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65" w:rsidRDefault="00AE4365" w:rsidP="00AE4365">
      <w:pPr>
        <w:spacing w:line="560" w:lineRule="exac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附件1</w:t>
      </w:r>
    </w:p>
    <w:p w:rsidR="00AE4365" w:rsidRDefault="00AE4365" w:rsidP="00AE4365">
      <w:pPr>
        <w:spacing w:line="560" w:lineRule="exact"/>
        <w:ind w:firstLineChars="50" w:firstLine="160"/>
        <w:jc w:val="center"/>
        <w:rPr>
          <w:rFonts w:ascii="黑体" w:eastAsia="黑体" w:hAnsi="黑体" w:cs="经典繁圆艺" w:hint="eastAsia"/>
          <w:bCs/>
          <w:sz w:val="32"/>
          <w:szCs w:val="32"/>
        </w:rPr>
      </w:pPr>
    </w:p>
    <w:p w:rsidR="00AE4365" w:rsidRPr="0059471D" w:rsidRDefault="00AE4365" w:rsidP="00AE4365">
      <w:pPr>
        <w:spacing w:line="560" w:lineRule="exact"/>
        <w:ind w:firstLineChars="50" w:firstLine="180"/>
        <w:jc w:val="center"/>
        <w:rPr>
          <w:rFonts w:ascii="黑体" w:eastAsia="黑体" w:hAnsi="黑体" w:cs="经典繁圆艺" w:hint="eastAsia"/>
          <w:bCs/>
          <w:sz w:val="36"/>
          <w:szCs w:val="36"/>
        </w:rPr>
      </w:pPr>
      <w:r w:rsidRPr="0059471D">
        <w:rPr>
          <w:rFonts w:ascii="黑体" w:eastAsia="黑体" w:hAnsi="黑体" w:cs="经典繁圆艺" w:hint="eastAsia"/>
          <w:bCs/>
          <w:sz w:val="36"/>
          <w:szCs w:val="36"/>
        </w:rPr>
        <w:t>甘肃省高级人民法院2022年度司法研究课题题目</w:t>
      </w:r>
    </w:p>
    <w:p w:rsidR="00AE4365" w:rsidRPr="00290DC2" w:rsidRDefault="00AE4365" w:rsidP="00AE4365">
      <w:pPr>
        <w:spacing w:line="560" w:lineRule="exact"/>
        <w:ind w:firstLineChars="50" w:firstLine="160"/>
        <w:jc w:val="center"/>
        <w:rPr>
          <w:rFonts w:ascii="黑体" w:eastAsia="黑体" w:hAnsi="黑体" w:cs="经典繁圆艺"/>
          <w:sz w:val="32"/>
          <w:szCs w:val="32"/>
        </w:rPr>
      </w:pP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1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统一城乡居民人身损害赔偿标准在我省审判实践中的问</w:t>
      </w:r>
    </w:p>
    <w:p w:rsidR="00AE4365" w:rsidRPr="0095110C" w:rsidRDefault="00AE4365" w:rsidP="00AE4365">
      <w:pPr>
        <w:spacing w:line="560" w:lineRule="exact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题及对策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2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我省近五年重大刑事案件质量分析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3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“双碳”战略下司法供给侧改革的目标及实现路径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4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新中国成立以来甘肃民族地区司法建设进程研究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5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铸牢中华民族共同体视阈下的涉藏地区多元纠纷解决机</w:t>
      </w:r>
    </w:p>
    <w:p w:rsidR="00AE4365" w:rsidRPr="0095110C" w:rsidRDefault="00AE4365" w:rsidP="00AE4365">
      <w:pPr>
        <w:spacing w:line="560" w:lineRule="exact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制研究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6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新时代坚持党的领导与审判机关依法独立公正行使审判</w:t>
      </w:r>
    </w:p>
    <w:p w:rsidR="00AE4365" w:rsidRPr="0095110C" w:rsidRDefault="00AE4365" w:rsidP="00AE4365">
      <w:pPr>
        <w:spacing w:line="560" w:lineRule="exact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权关系研究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7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环境治理视域下环境执法协同机制研究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8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人民法院如何服务和保障全面推进乡村振兴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9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矛盾纠纷多元化解的张掖经验分析研究</w:t>
      </w:r>
    </w:p>
    <w:p w:rsidR="00AE4365" w:rsidRPr="0095110C" w:rsidRDefault="00AE4365" w:rsidP="00AE4365">
      <w:pPr>
        <w:spacing w:line="560" w:lineRule="exact"/>
        <w:ind w:left="643"/>
        <w:jc w:val="left"/>
        <w:rPr>
          <w:rFonts w:ascii="仿宋_GB2312" w:eastAsia="仿宋_GB2312" w:hAnsi="Times New Roman" w:hint="eastAsia"/>
          <w:bCs/>
          <w:sz w:val="30"/>
          <w:szCs w:val="30"/>
        </w:rPr>
      </w:pPr>
      <w:r w:rsidRPr="0095110C">
        <w:rPr>
          <w:rFonts w:ascii="仿宋_GB2312" w:eastAsia="仿宋_GB2312" w:hAnsi="Times New Roman" w:hint="eastAsia"/>
          <w:bCs/>
          <w:sz w:val="30"/>
          <w:szCs w:val="30"/>
        </w:rPr>
        <w:t>10</w:t>
      </w:r>
      <w:r w:rsidRPr="0095110C">
        <w:rPr>
          <w:rFonts w:ascii="仿宋_GB2312" w:eastAsia="仿宋_GB2312" w:hint="eastAsia"/>
          <w:sz w:val="30"/>
          <w:szCs w:val="30"/>
        </w:rPr>
        <w:t>.</w:t>
      </w:r>
      <w:r w:rsidRPr="0095110C">
        <w:rPr>
          <w:rFonts w:ascii="仿宋_GB2312" w:eastAsia="仿宋_GB2312" w:hAnsi="Times New Roman" w:hint="eastAsia"/>
          <w:bCs/>
          <w:sz w:val="30"/>
          <w:szCs w:val="30"/>
        </w:rPr>
        <w:t>网络个人信息保护问题研究</w:t>
      </w:r>
    </w:p>
    <w:p w:rsidR="00D04BA9" w:rsidRPr="00AE4365" w:rsidRDefault="00D04BA9"/>
    <w:sectPr w:rsidR="00D04BA9" w:rsidRPr="00AE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BA9" w:rsidRDefault="00D04BA9" w:rsidP="005E39DC">
      <w:r>
        <w:separator/>
      </w:r>
    </w:p>
  </w:endnote>
  <w:endnote w:type="continuationSeparator" w:id="1">
    <w:p w:rsidR="00D04BA9" w:rsidRDefault="00D04BA9" w:rsidP="005E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繁圆艺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BA9" w:rsidRDefault="00D04BA9" w:rsidP="005E39DC">
      <w:r>
        <w:separator/>
      </w:r>
    </w:p>
  </w:footnote>
  <w:footnote w:type="continuationSeparator" w:id="1">
    <w:p w:rsidR="00D04BA9" w:rsidRDefault="00D04BA9" w:rsidP="005E3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9DC"/>
    <w:rsid w:val="005E39DC"/>
    <w:rsid w:val="00AE4365"/>
    <w:rsid w:val="00D0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9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2022-05-25T06:50:00Z</dcterms:created>
  <dcterms:modified xsi:type="dcterms:W3CDTF">2022-05-25T06:51:00Z</dcterms:modified>
</cp:coreProperties>
</file>