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甘肃省民族法制文化研究所2022年度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研究课题题目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习近平法治思想研究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《民法典》相关研究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中华优秀传统法律文化研究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中华民族共同体法治文化研究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生态文明司法</w:t>
      </w:r>
      <w:r>
        <w:rPr>
          <w:rFonts w:hint="eastAsia" w:ascii="仿宋_GB2312" w:eastAsia="仿宋_GB2312"/>
          <w:sz w:val="32"/>
          <w:szCs w:val="32"/>
          <w:lang w:eastAsia="zh-CN"/>
        </w:rPr>
        <w:t>保障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  <w:lang w:eastAsia="zh-CN"/>
        </w:rPr>
        <w:t>诉源治理研究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健全中国特色一站式多元解纷和诉讼服务体系研究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民族事务</w:t>
      </w:r>
      <w:r>
        <w:rPr>
          <w:rFonts w:hint="eastAsia" w:ascii="仿宋_GB2312" w:eastAsia="仿宋_GB2312"/>
          <w:sz w:val="32"/>
          <w:szCs w:val="32"/>
          <w:lang w:eastAsia="zh-CN"/>
        </w:rPr>
        <w:t>治理法治化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马锡五审判方式在新时代的传承与发展研究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新时代双语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法治</w:t>
      </w:r>
      <w:r>
        <w:rPr>
          <w:rFonts w:hint="eastAsia" w:ascii="仿宋_GB2312" w:eastAsia="仿宋_GB2312"/>
          <w:sz w:val="32"/>
          <w:szCs w:val="32"/>
        </w:rPr>
        <w:t>人才培养</w:t>
      </w:r>
      <w:r>
        <w:rPr>
          <w:rFonts w:hint="eastAsia" w:ascii="仿宋_GB2312" w:eastAsia="仿宋_GB2312"/>
          <w:sz w:val="32"/>
          <w:szCs w:val="32"/>
          <w:lang w:eastAsia="zh-CN"/>
        </w:rPr>
        <w:t>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ZjJhYzRhZDBmYmUzNzE3M2JkNjhmZjMwYjZlZTYifQ=="/>
  </w:docVars>
  <w:rsids>
    <w:rsidRoot w:val="6F1040FF"/>
    <w:rsid w:val="6F1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174</Characters>
  <Lines>0</Lines>
  <Paragraphs>0</Paragraphs>
  <TotalTime>1</TotalTime>
  <ScaleCrop>false</ScaleCrop>
  <LinksUpToDate>false</LinksUpToDate>
  <CharactersWithSpaces>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2022-05-31T02:46:00Z</dcterms:created>
  <dc:creator> April.</dc:creator>
  <cp:lastModifiedBy> April.</cp:lastModifiedBy>
  <dcterms:modified xsi:type="dcterms:W3CDTF">2022-05-31T03:02:01Z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CA3380E7802742E5AB723C430DF81FD0</vt:lpwstr>
  </property>
</Properties>
</file>