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560"/>
      </w:pPr>
    </w:p>
    <w:p>
      <w:pPr>
        <w:ind w:firstLine="560"/>
      </w:pPr>
    </w:p>
    <w:p/>
    <w:p>
      <w:pPr>
        <w:ind w:firstLine="0" w:firstLineChars="0"/>
        <w:jc w:val="center"/>
        <w:rPr>
          <w:rFonts w:ascii="宋体" w:hAnsi="宋体" w:eastAsia="宋体" w:cstheme="minorBidi"/>
          <w:b/>
          <w:bCs/>
          <w:sz w:val="44"/>
          <w:szCs w:val="44"/>
        </w:rPr>
      </w:pPr>
      <w:r>
        <w:rPr>
          <w:rFonts w:hint="eastAsia" w:ascii="宋体" w:hAnsi="宋体" w:eastAsia="宋体" w:cstheme="minorBidi"/>
          <w:b/>
          <w:bCs/>
          <w:sz w:val="44"/>
          <w:szCs w:val="44"/>
        </w:rPr>
        <w:t>2021年度张掖市中级人民法院</w:t>
      </w:r>
    </w:p>
    <w:p>
      <w:pPr>
        <w:ind w:firstLine="0" w:firstLineChars="0"/>
        <w:jc w:val="center"/>
        <w:rPr>
          <w:rFonts w:ascii="宋体" w:hAnsi="宋体" w:eastAsia="宋体" w:cstheme="minorBidi"/>
          <w:b/>
          <w:bCs/>
          <w:sz w:val="44"/>
          <w:szCs w:val="44"/>
        </w:rPr>
      </w:pPr>
      <w:r>
        <w:rPr>
          <w:rFonts w:hint="eastAsia" w:ascii="宋体" w:hAnsi="宋体" w:eastAsia="宋体" w:cstheme="minorBidi"/>
          <w:b/>
          <w:bCs/>
          <w:sz w:val="44"/>
          <w:szCs w:val="44"/>
        </w:rPr>
        <w:t>部门预算执行情况绩效自评报告</w:t>
      </w: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560"/>
      </w:pPr>
    </w:p>
    <w:p>
      <w:pPr>
        <w:ind w:firstLine="0" w:firstLineChars="0"/>
        <w:jc w:val="center"/>
        <w:rPr>
          <w:rFonts w:ascii="宋体" w:hAnsi="宋体" w:eastAsia="宋体" w:cstheme="minorBidi"/>
          <w:b/>
          <w:bCs/>
          <w:sz w:val="32"/>
          <w:szCs w:val="32"/>
        </w:rPr>
      </w:pPr>
      <w:r>
        <w:rPr>
          <w:rFonts w:hint="eastAsia" w:ascii="宋体" w:hAnsi="宋体" w:eastAsia="宋体" w:cstheme="minorBidi"/>
          <w:b/>
          <w:bCs/>
          <w:sz w:val="32"/>
          <w:szCs w:val="32"/>
        </w:rPr>
        <w:t>张掖市中级人民法院</w:t>
      </w:r>
    </w:p>
    <w:p>
      <w:pPr>
        <w:ind w:firstLine="0" w:firstLineChars="0"/>
        <w:jc w:val="center"/>
        <w:rPr>
          <w:rFonts w:ascii="宋体" w:hAnsi="宋体" w:eastAsia="宋体" w:cstheme="minorBidi"/>
          <w:b/>
          <w:bCs/>
          <w:sz w:val="32"/>
          <w:szCs w:val="32"/>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cols w:space="720" w:num="1"/>
          <w:docGrid w:type="lines" w:linePitch="312" w:charSpace="0"/>
        </w:sectPr>
      </w:pPr>
      <w:r>
        <w:rPr>
          <w:rFonts w:hint="eastAsia" w:ascii="宋体" w:hAnsi="宋体" w:eastAsia="宋体" w:cstheme="minorBidi"/>
          <w:b/>
          <w:bCs/>
          <w:sz w:val="32"/>
          <w:szCs w:val="32"/>
        </w:rPr>
        <w:t>2022年2月</w:t>
      </w:r>
    </w:p>
    <w:sdt>
      <w:sdtPr>
        <w:rPr>
          <w:rFonts w:hint="eastAsia" w:ascii="黑体" w:hAnsi="黑体" w:eastAsia="黑体" w:cs="黑体"/>
          <w:b/>
          <w:bCs/>
          <w:sz w:val="32"/>
          <w:szCs w:val="32"/>
        </w:rPr>
        <w:id w:val="147465018"/>
        <w15:color w:val="DBDBDB"/>
        <w:docPartObj>
          <w:docPartGallery w:val="Table of Contents"/>
          <w:docPartUnique/>
        </w:docPartObj>
      </w:sdtPr>
      <w:sdtEndPr>
        <w:rPr>
          <w:rFonts w:hint="eastAsia" w:ascii="仿宋_GB2312" w:hAnsi="宋体" w:eastAsia="仿宋_GB2312" w:cstheme="minorBidi"/>
          <w:b/>
          <w:bCs/>
          <w:sz w:val="21"/>
          <w:szCs w:val="32"/>
        </w:rPr>
      </w:sdtEndPr>
      <w:sdtContent>
        <w:p>
          <w:pPr>
            <w:ind w:firstLine="0" w:firstLineChars="0"/>
            <w:jc w:val="center"/>
            <w:rPr>
              <w:rFonts w:ascii="黑体" w:hAnsi="黑体" w:eastAsia="黑体" w:cs="黑体"/>
              <w:b/>
              <w:bCs/>
              <w:sz w:val="32"/>
              <w:szCs w:val="32"/>
            </w:rPr>
          </w:pPr>
          <w:r>
            <w:rPr>
              <w:rFonts w:hint="eastAsia" w:ascii="黑体" w:hAnsi="黑体" w:eastAsia="黑体" w:cs="黑体"/>
              <w:b/>
              <w:bCs/>
              <w:sz w:val="32"/>
              <w:szCs w:val="32"/>
            </w:rPr>
            <w:t>目录</w:t>
          </w:r>
        </w:p>
        <w:p>
          <w:pPr>
            <w:pStyle w:val="14"/>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_Toc8915 </w:instrText>
          </w:r>
          <w:r>
            <w:fldChar w:fldCharType="separate"/>
          </w:r>
          <w:r>
            <w:rPr>
              <w:rFonts w:hint="eastAsia" w:ascii="黑体" w:hAnsi="黑体" w:cstheme="minorBidi"/>
              <w:bCs/>
            </w:rPr>
            <w:t>一、基本情况</w:t>
          </w:r>
          <w:r>
            <w:tab/>
          </w:r>
          <w:r>
            <w:fldChar w:fldCharType="begin"/>
          </w:r>
          <w:r>
            <w:instrText xml:space="preserve"> PAGEREF _Toc8915 \h </w:instrText>
          </w:r>
          <w:r>
            <w:fldChar w:fldCharType="separate"/>
          </w:r>
          <w:r>
            <w:t>1</w:t>
          </w:r>
          <w:r>
            <w:fldChar w:fldCharType="end"/>
          </w:r>
          <w: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_Toc26630 </w:instrText>
          </w:r>
          <w:r>
            <w:rPr>
              <w:rFonts w:hAnsi="仿宋_GB2312"/>
              <w:lang w:bidi="ar"/>
            </w:rPr>
            <w:fldChar w:fldCharType="separate"/>
          </w:r>
          <w:r>
            <w:rPr>
              <w:rFonts w:cstheme="majorBidi"/>
              <w:bCs/>
            </w:rPr>
            <w:t>（一）部门主要职能</w:t>
          </w:r>
          <w:r>
            <w:tab/>
          </w:r>
          <w:r>
            <w:fldChar w:fldCharType="begin"/>
          </w:r>
          <w:r>
            <w:instrText xml:space="preserve"> PAGEREF _Toc26630 \h </w:instrText>
          </w:r>
          <w:r>
            <w:fldChar w:fldCharType="separate"/>
          </w:r>
          <w:r>
            <w:t>1</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_Toc28617 </w:instrText>
          </w:r>
          <w:r>
            <w:rPr>
              <w:rFonts w:hAnsi="仿宋_GB2312"/>
              <w:lang w:bidi="ar"/>
            </w:rPr>
            <w:fldChar w:fldCharType="separate"/>
          </w:r>
          <w:r>
            <w:rPr>
              <w:rFonts w:cstheme="majorBidi"/>
              <w:bCs/>
            </w:rPr>
            <w:t>（二）内设机构及所属单位概况</w:t>
          </w:r>
          <w:r>
            <w:tab/>
          </w:r>
          <w:r>
            <w:fldChar w:fldCharType="begin"/>
          </w:r>
          <w:r>
            <w:instrText xml:space="preserve"> PAGEREF _Toc28617 \h </w:instrText>
          </w:r>
          <w:r>
            <w:fldChar w:fldCharType="separate"/>
          </w:r>
          <w:r>
            <w:t>2</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_Toc4957 </w:instrText>
          </w:r>
          <w:r>
            <w:rPr>
              <w:rFonts w:hAnsi="仿宋_GB2312"/>
              <w:lang w:bidi="ar"/>
            </w:rPr>
            <w:fldChar w:fldCharType="separate"/>
          </w:r>
          <w:r>
            <w:rPr>
              <w:rFonts w:hint="eastAsia"/>
            </w:rPr>
            <w:t>二、绩效自评工作组织开展情况</w:t>
          </w:r>
          <w:r>
            <w:tab/>
          </w:r>
          <w:r>
            <w:fldChar w:fldCharType="begin"/>
          </w:r>
          <w:r>
            <w:instrText xml:space="preserve"> PAGEREF _Toc4957 \h </w:instrText>
          </w:r>
          <w:r>
            <w:fldChar w:fldCharType="separate"/>
          </w:r>
          <w:r>
            <w:t>2</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_Toc30008 </w:instrText>
          </w:r>
          <w:r>
            <w:rPr>
              <w:rFonts w:hAnsi="仿宋_GB2312"/>
              <w:lang w:bidi="ar"/>
            </w:rPr>
            <w:fldChar w:fldCharType="separate"/>
          </w:r>
          <w:r>
            <w:rPr>
              <w:rFonts w:cstheme="majorBidi"/>
              <w:bCs/>
            </w:rPr>
            <w:t>（一）自评对象和范围</w:t>
          </w:r>
          <w:r>
            <w:tab/>
          </w:r>
          <w:r>
            <w:fldChar w:fldCharType="begin"/>
          </w:r>
          <w:r>
            <w:instrText xml:space="preserve"> PAGEREF _Toc30008 \h </w:instrText>
          </w:r>
          <w:r>
            <w:fldChar w:fldCharType="separate"/>
          </w:r>
          <w:r>
            <w:t>2</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_Toc12881 </w:instrText>
          </w:r>
          <w:r>
            <w:rPr>
              <w:rFonts w:hAnsi="仿宋_GB2312"/>
              <w:lang w:bidi="ar"/>
            </w:rPr>
            <w:fldChar w:fldCharType="separate"/>
          </w:r>
          <w:r>
            <w:t>（二）自评组织管理情况</w:t>
          </w:r>
          <w:r>
            <w:tab/>
          </w:r>
          <w:r>
            <w:fldChar w:fldCharType="begin"/>
          </w:r>
          <w:r>
            <w:instrText xml:space="preserve"> PAGEREF _Toc12881 \h </w:instrText>
          </w:r>
          <w:r>
            <w:fldChar w:fldCharType="separate"/>
          </w:r>
          <w:r>
            <w:t>3</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_Toc14776 </w:instrText>
          </w:r>
          <w:r>
            <w:rPr>
              <w:rFonts w:hAnsi="仿宋_GB2312"/>
              <w:lang w:bidi="ar"/>
            </w:rPr>
            <w:fldChar w:fldCharType="separate"/>
          </w:r>
          <w:r>
            <w:rPr>
              <w:rFonts w:hint="eastAsia"/>
            </w:rPr>
            <w:t>三、部门整体支出绩效自评情况分析</w:t>
          </w:r>
          <w:r>
            <w:tab/>
          </w:r>
          <w:r>
            <w:fldChar w:fldCharType="begin"/>
          </w:r>
          <w:r>
            <w:instrText xml:space="preserve"> PAGEREF _Toc14776 \h </w:instrText>
          </w:r>
          <w:r>
            <w:fldChar w:fldCharType="separate"/>
          </w:r>
          <w:r>
            <w:t>4</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_Toc29533 </w:instrText>
          </w:r>
          <w:r>
            <w:rPr>
              <w:rFonts w:hAnsi="仿宋_GB2312"/>
              <w:lang w:bidi="ar"/>
            </w:rPr>
            <w:fldChar w:fldCharType="separate"/>
          </w:r>
          <w:r>
            <w:t>（一）部门决算情况</w:t>
          </w:r>
          <w:r>
            <w:tab/>
          </w:r>
          <w:r>
            <w:fldChar w:fldCharType="begin"/>
          </w:r>
          <w:r>
            <w:instrText xml:space="preserve"> PAGEREF _Toc29533 \h </w:instrText>
          </w:r>
          <w:r>
            <w:fldChar w:fldCharType="separate"/>
          </w:r>
          <w:r>
            <w:t>4</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_Toc29457 </w:instrText>
          </w:r>
          <w:r>
            <w:rPr>
              <w:rFonts w:hAnsi="仿宋_GB2312"/>
              <w:lang w:bidi="ar"/>
            </w:rPr>
            <w:fldChar w:fldCharType="separate"/>
          </w:r>
          <w:r>
            <w:t>（二）总体绩效目标完成情况分析</w:t>
          </w:r>
          <w:r>
            <w:tab/>
          </w:r>
          <w:r>
            <w:fldChar w:fldCharType="begin"/>
          </w:r>
          <w:r>
            <w:instrText xml:space="preserve"> PAGEREF _Toc29457 \h </w:instrText>
          </w:r>
          <w:r>
            <w:fldChar w:fldCharType="separate"/>
          </w:r>
          <w:r>
            <w:t>5</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_Toc22904 </w:instrText>
          </w:r>
          <w:r>
            <w:rPr>
              <w:rFonts w:hAnsi="仿宋_GB2312"/>
              <w:lang w:bidi="ar"/>
            </w:rPr>
            <w:fldChar w:fldCharType="separate"/>
          </w:r>
          <w:r>
            <w:t>（三）各项指标完成情况分析</w:t>
          </w:r>
          <w:r>
            <w:tab/>
          </w:r>
          <w:r>
            <w:fldChar w:fldCharType="begin"/>
          </w:r>
          <w:r>
            <w:instrText xml:space="preserve"> PAGEREF _Toc22904 \h </w:instrText>
          </w:r>
          <w:r>
            <w:fldChar w:fldCharType="separate"/>
          </w:r>
          <w:r>
            <w:t>6</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_Toc29545 </w:instrText>
          </w:r>
          <w:r>
            <w:rPr>
              <w:rFonts w:hAnsi="仿宋_GB2312"/>
              <w:lang w:bidi="ar"/>
            </w:rPr>
            <w:fldChar w:fldCharType="separate"/>
          </w:r>
          <w:r>
            <w:t>（四）偏离绩效目标的原因及下一步改进措施</w:t>
          </w:r>
          <w:r>
            <w:tab/>
          </w:r>
          <w:r>
            <w:fldChar w:fldCharType="begin"/>
          </w:r>
          <w:r>
            <w:instrText xml:space="preserve"> PAGEREF _Toc29545 \h </w:instrText>
          </w:r>
          <w:r>
            <w:fldChar w:fldCharType="separate"/>
          </w:r>
          <w:r>
            <w:t>17</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_Toc1303 </w:instrText>
          </w:r>
          <w:r>
            <w:rPr>
              <w:rFonts w:hAnsi="仿宋_GB2312"/>
              <w:lang w:bidi="ar"/>
            </w:rPr>
            <w:fldChar w:fldCharType="separate"/>
          </w:r>
          <w:r>
            <w:rPr>
              <w:rFonts w:hint="eastAsia"/>
            </w:rPr>
            <w:t>四、部门预算项目支出绩效自评情况分析</w:t>
          </w:r>
          <w:r>
            <w:tab/>
          </w:r>
          <w:r>
            <w:fldChar w:fldCharType="begin"/>
          </w:r>
          <w:r>
            <w:instrText xml:space="preserve"> PAGEREF _Toc1303 \h </w:instrText>
          </w:r>
          <w:r>
            <w:fldChar w:fldCharType="separate"/>
          </w:r>
          <w:r>
            <w:t>17</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_Toc7354 </w:instrText>
          </w:r>
          <w:r>
            <w:rPr>
              <w:rFonts w:hAnsi="仿宋_GB2312"/>
              <w:lang w:bidi="ar"/>
            </w:rPr>
            <w:fldChar w:fldCharType="separate"/>
          </w:r>
          <w:r>
            <w:t>（一）业务费（本级）</w:t>
          </w:r>
          <w:r>
            <w:tab/>
          </w:r>
          <w:r>
            <w:fldChar w:fldCharType="begin"/>
          </w:r>
          <w:r>
            <w:instrText xml:space="preserve"> PAGEREF _Toc7354 \h </w:instrText>
          </w:r>
          <w:r>
            <w:fldChar w:fldCharType="separate"/>
          </w:r>
          <w:r>
            <w:t>18</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_Toc28220 </w:instrText>
          </w:r>
          <w:r>
            <w:rPr>
              <w:rFonts w:hAnsi="仿宋_GB2312"/>
              <w:lang w:bidi="ar"/>
            </w:rPr>
            <w:fldChar w:fldCharType="separate"/>
          </w:r>
          <w:r>
            <w:rPr>
              <w:rFonts w:hint="eastAsia"/>
            </w:rPr>
            <w:t>五、部门管理的省对市县转移支付绩效自评情况分析</w:t>
          </w:r>
          <w:r>
            <w:tab/>
          </w:r>
          <w:r>
            <w:fldChar w:fldCharType="begin"/>
          </w:r>
          <w:r>
            <w:instrText xml:space="preserve"> PAGEREF _Toc28220 \h </w:instrText>
          </w:r>
          <w:r>
            <w:fldChar w:fldCharType="separate"/>
          </w:r>
          <w:r>
            <w:t>25</w:t>
          </w:r>
          <w:r>
            <w:fldChar w:fldCharType="end"/>
          </w:r>
          <w:r>
            <w:rPr>
              <w:rFonts w:hAnsi="仿宋_GB2312"/>
              <w:lang w:bidi="ar"/>
            </w:rPr>
            <w:fldChar w:fldCharType="end"/>
          </w:r>
        </w:p>
        <w:p>
          <w:pPr>
            <w:pStyle w:val="15"/>
            <w:tabs>
              <w:tab w:val="right" w:leader="dot" w:pos="8306"/>
            </w:tabs>
          </w:pPr>
          <w:r>
            <w:rPr>
              <w:rFonts w:hAnsi="仿宋_GB2312"/>
              <w:lang w:bidi="ar"/>
            </w:rPr>
            <w:fldChar w:fldCharType="begin"/>
          </w:r>
          <w:r>
            <w:rPr>
              <w:rFonts w:hAnsi="仿宋_GB2312"/>
              <w:lang w:bidi="ar"/>
            </w:rPr>
            <w:instrText xml:space="preserve"> HYPERLINK \l _Toc29992 </w:instrText>
          </w:r>
          <w:r>
            <w:rPr>
              <w:rFonts w:hAnsi="仿宋_GB2312"/>
              <w:lang w:bidi="ar"/>
            </w:rPr>
            <w:fldChar w:fldCharType="separate"/>
          </w:r>
          <w:r>
            <w:rPr>
              <w:rFonts w:cstheme="majorBidi"/>
              <w:bCs/>
            </w:rPr>
            <w:t>（一）转移支付-中央政法转移支付资金（本级）</w:t>
          </w:r>
          <w:r>
            <w:tab/>
          </w:r>
          <w:r>
            <w:fldChar w:fldCharType="begin"/>
          </w:r>
          <w:r>
            <w:instrText xml:space="preserve"> PAGEREF _Toc29992 \h </w:instrText>
          </w:r>
          <w:r>
            <w:fldChar w:fldCharType="separate"/>
          </w:r>
          <w:r>
            <w:t>25</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_Toc24568 </w:instrText>
          </w:r>
          <w:r>
            <w:rPr>
              <w:rFonts w:hAnsi="仿宋_GB2312"/>
              <w:lang w:bidi="ar"/>
            </w:rPr>
            <w:fldChar w:fldCharType="separate"/>
          </w:r>
          <w:r>
            <w:rPr>
              <w:rFonts w:hint="eastAsia"/>
            </w:rPr>
            <w:t>六、绩效自评结果拟应用和公开情况</w:t>
          </w:r>
          <w:r>
            <w:tab/>
          </w:r>
          <w:r>
            <w:fldChar w:fldCharType="begin"/>
          </w:r>
          <w:r>
            <w:instrText xml:space="preserve"> PAGEREF _Toc24568 \h </w:instrText>
          </w:r>
          <w:r>
            <w:fldChar w:fldCharType="separate"/>
          </w:r>
          <w:r>
            <w:t>32</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_Toc2811 </w:instrText>
          </w:r>
          <w:r>
            <w:rPr>
              <w:rFonts w:hAnsi="仿宋_GB2312"/>
              <w:lang w:bidi="ar"/>
            </w:rPr>
            <w:fldChar w:fldCharType="separate"/>
          </w:r>
          <w:r>
            <w:rPr>
              <w:rFonts w:hint="eastAsia"/>
            </w:rPr>
            <w:t>七、其他需要说明的问题</w:t>
          </w:r>
          <w:r>
            <w:tab/>
          </w:r>
          <w:r>
            <w:fldChar w:fldCharType="begin"/>
          </w:r>
          <w:r>
            <w:instrText xml:space="preserve"> PAGEREF _Toc2811 \h </w:instrText>
          </w:r>
          <w:r>
            <w:fldChar w:fldCharType="separate"/>
          </w:r>
          <w:r>
            <w:t>32</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_Toc18702 </w:instrText>
          </w:r>
          <w:r>
            <w:rPr>
              <w:rFonts w:hAnsi="仿宋_GB2312"/>
              <w:lang w:bidi="ar"/>
            </w:rPr>
            <w:fldChar w:fldCharType="separate"/>
          </w:r>
          <w:r>
            <w:t>附件</w:t>
          </w:r>
          <w:r>
            <w:rPr>
              <w:rFonts w:hint="eastAsia"/>
            </w:rPr>
            <w:t>1：部门整体支出绩效自评表</w:t>
          </w:r>
          <w:r>
            <w:tab/>
          </w:r>
          <w:r>
            <w:fldChar w:fldCharType="begin"/>
          </w:r>
          <w:r>
            <w:instrText xml:space="preserve"> PAGEREF _Toc18702 \h </w:instrText>
          </w:r>
          <w:r>
            <w:fldChar w:fldCharType="separate"/>
          </w:r>
          <w:r>
            <w:t>33</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_Toc3380 </w:instrText>
          </w:r>
          <w:r>
            <w:rPr>
              <w:rFonts w:hAnsi="仿宋_GB2312"/>
              <w:lang w:bidi="ar"/>
            </w:rPr>
            <w:fldChar w:fldCharType="separate"/>
          </w:r>
          <w:r>
            <w:rPr>
              <w:rFonts w:hint="eastAsia" w:ascii="黑体" w:hAnsi="黑体" w:cs="黑体"/>
              <w:szCs w:val="32"/>
            </w:rPr>
            <w:t>附件2：部门预算项目支出绩效自评结果汇总表</w:t>
          </w:r>
          <w:r>
            <w:tab/>
          </w:r>
          <w:r>
            <w:fldChar w:fldCharType="begin"/>
          </w:r>
          <w:r>
            <w:instrText xml:space="preserve"> PAGEREF _Toc3380 \h </w:instrText>
          </w:r>
          <w:r>
            <w:fldChar w:fldCharType="separate"/>
          </w:r>
          <w:r>
            <w:t>38</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_Toc21141 </w:instrText>
          </w:r>
          <w:r>
            <w:rPr>
              <w:rFonts w:hAnsi="仿宋_GB2312"/>
              <w:lang w:bidi="ar"/>
            </w:rPr>
            <w:fldChar w:fldCharType="separate"/>
          </w:r>
          <w:r>
            <w:rPr>
              <w:rFonts w:hint="eastAsia" w:ascii="黑体" w:hAnsi="黑体" w:cs="黑体"/>
            </w:rPr>
            <w:t>附件3：业务费项目绩效自评表</w:t>
          </w:r>
          <w:r>
            <w:tab/>
          </w:r>
          <w:r>
            <w:fldChar w:fldCharType="begin"/>
          </w:r>
          <w:r>
            <w:instrText xml:space="preserve"> PAGEREF _Toc21141 \h </w:instrText>
          </w:r>
          <w:r>
            <w:fldChar w:fldCharType="separate"/>
          </w:r>
          <w:r>
            <w:t>39</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_Toc26148 </w:instrText>
          </w:r>
          <w:r>
            <w:rPr>
              <w:rFonts w:hAnsi="仿宋_GB2312"/>
              <w:lang w:bidi="ar"/>
            </w:rPr>
            <w:fldChar w:fldCharType="separate"/>
          </w:r>
          <w:r>
            <w:rPr>
              <w:rFonts w:hint="eastAsia" w:ascii="黑体" w:hAnsi="黑体" w:cs="黑体"/>
            </w:rPr>
            <w:t>附件</w:t>
          </w:r>
          <w:r>
            <w:rPr>
              <w:rFonts w:hint="eastAsia" w:ascii="黑体" w:hAnsi="黑体" w:cs="黑体"/>
              <w:lang w:val="en-US" w:eastAsia="zh-CN"/>
            </w:rPr>
            <w:t>4</w:t>
          </w:r>
          <w:r>
            <w:rPr>
              <w:rFonts w:hint="eastAsia" w:ascii="黑体" w:hAnsi="黑体" w:cs="黑体"/>
            </w:rPr>
            <w:t>：2021年度省对市县转移支付绩效自评结果汇总表</w:t>
          </w:r>
          <w:r>
            <w:tab/>
          </w:r>
          <w:r>
            <w:fldChar w:fldCharType="begin"/>
          </w:r>
          <w:r>
            <w:instrText xml:space="preserve"> PAGEREF _Toc26148 \h </w:instrText>
          </w:r>
          <w:r>
            <w:fldChar w:fldCharType="separate"/>
          </w:r>
          <w:r>
            <w:t>41</w:t>
          </w:r>
          <w:r>
            <w:fldChar w:fldCharType="end"/>
          </w:r>
          <w:r>
            <w:rPr>
              <w:rFonts w:hAnsi="仿宋_GB2312"/>
              <w:lang w:bidi="ar"/>
            </w:rPr>
            <w:fldChar w:fldCharType="end"/>
          </w:r>
        </w:p>
        <w:p>
          <w:pPr>
            <w:pStyle w:val="14"/>
            <w:tabs>
              <w:tab w:val="right" w:leader="dot" w:pos="8306"/>
              <w:tab w:val="clear" w:pos="8296"/>
            </w:tabs>
          </w:pPr>
          <w:r>
            <w:rPr>
              <w:rFonts w:hAnsi="仿宋_GB2312"/>
              <w:lang w:bidi="ar"/>
            </w:rPr>
            <w:fldChar w:fldCharType="begin"/>
          </w:r>
          <w:r>
            <w:rPr>
              <w:rFonts w:hAnsi="仿宋_GB2312"/>
              <w:lang w:bidi="ar"/>
            </w:rPr>
            <w:instrText xml:space="preserve"> HYPERLINK \l _Toc29905 </w:instrText>
          </w:r>
          <w:r>
            <w:rPr>
              <w:rFonts w:hAnsi="仿宋_GB2312"/>
              <w:lang w:bidi="ar"/>
            </w:rPr>
            <w:fldChar w:fldCharType="separate"/>
          </w:r>
          <w:r>
            <w:rPr>
              <w:rFonts w:hint="eastAsia" w:ascii="黑体" w:hAnsi="黑体" w:cs="黑体"/>
            </w:rPr>
            <w:t>附件</w:t>
          </w:r>
          <w:r>
            <w:rPr>
              <w:rFonts w:hint="eastAsia" w:ascii="黑体" w:hAnsi="黑体" w:cs="黑体"/>
              <w:lang w:val="en-US" w:eastAsia="zh-CN"/>
            </w:rPr>
            <w:t>5</w:t>
          </w:r>
          <w:r>
            <w:rPr>
              <w:rFonts w:hint="eastAsia" w:ascii="黑体" w:hAnsi="黑体" w:cs="黑体"/>
            </w:rPr>
            <w:t>：中央政法转移支付资金项目绩效自评表</w:t>
          </w:r>
          <w:r>
            <w:tab/>
          </w:r>
          <w:r>
            <w:fldChar w:fldCharType="begin"/>
          </w:r>
          <w:r>
            <w:instrText xml:space="preserve"> PAGEREF _Toc29905 \h </w:instrText>
          </w:r>
          <w:r>
            <w:fldChar w:fldCharType="separate"/>
          </w:r>
          <w:r>
            <w:t>42</w:t>
          </w:r>
          <w:r>
            <w:fldChar w:fldCharType="end"/>
          </w:r>
          <w:r>
            <w:rPr>
              <w:rFonts w:hAnsi="仿宋_GB2312"/>
              <w:lang w:bidi="ar"/>
            </w:rPr>
            <w:fldChar w:fldCharType="end"/>
          </w:r>
        </w:p>
        <w:p>
          <w:pPr>
            <w:pStyle w:val="14"/>
            <w:rPr>
              <w:rFonts w:hint="default" w:cstheme="minorBidi"/>
            </w:rPr>
          </w:pPr>
          <w:r>
            <w:rPr>
              <w:rFonts w:hAnsi="仿宋_GB2312"/>
              <w:lang w:bidi="ar"/>
            </w:rPr>
            <w:fldChar w:fldCharType="end"/>
          </w:r>
        </w:p>
      </w:sdtContent>
    </w:sdt>
    <w:p>
      <w:pPr>
        <w:pStyle w:val="3"/>
        <w:jc w:val="both"/>
        <w:rPr>
          <w:rFonts w:ascii="黑体" w:hAnsi="黑体" w:cstheme="minorBidi"/>
          <w:bCs/>
        </w:rPr>
        <w:sectPr>
          <w:pgSz w:w="11906" w:h="16838"/>
          <w:pgMar w:top="1440" w:right="1800" w:bottom="1440" w:left="1800" w:header="851" w:footer="992" w:gutter="0"/>
          <w:cols w:space="720" w:num="1"/>
          <w:docGrid w:type="lines" w:linePitch="312" w:charSpace="0"/>
        </w:sectPr>
      </w:pPr>
    </w:p>
    <w:p>
      <w:pPr>
        <w:pStyle w:val="3"/>
        <w:numPr>
          <w:ilvl w:val="0"/>
          <w:numId w:val="0"/>
        </w:numPr>
        <w:jc w:val="both"/>
        <w:rPr>
          <w:rFonts w:ascii="黑体" w:hAnsi="黑体" w:cstheme="minorBidi"/>
          <w:bCs/>
        </w:rPr>
      </w:pPr>
      <w:bookmarkStart w:id="0" w:name="_Toc19475"/>
      <w:bookmarkStart w:id="1" w:name="_Toc3064"/>
      <w:bookmarkStart w:id="2" w:name="_Toc8915"/>
      <w:r>
        <w:rPr>
          <w:rFonts w:hint="eastAsia" w:ascii="黑体" w:hAnsi="黑体" w:cstheme="minorBidi"/>
          <w:bCs/>
        </w:rPr>
        <w:t>一、基本情况</w:t>
      </w:r>
      <w:bookmarkEnd w:id="0"/>
      <w:bookmarkEnd w:id="1"/>
      <w:bookmarkEnd w:id="2"/>
    </w:p>
    <w:p>
      <w:pPr>
        <w:pStyle w:val="4"/>
        <w:numPr>
          <w:ilvl w:val="0"/>
          <w:numId w:val="0"/>
        </w:numPr>
        <w:ind w:left="560" w:leftChars="200"/>
        <w:jc w:val="both"/>
        <w:rPr>
          <w:rFonts w:hint="default" w:cstheme="majorBidi"/>
          <w:bCs/>
        </w:rPr>
      </w:pPr>
      <w:bookmarkStart w:id="3" w:name="_Toc18649"/>
      <w:bookmarkStart w:id="4" w:name="_Toc22177"/>
      <w:bookmarkStart w:id="5" w:name="_Toc26630"/>
      <w:r>
        <w:rPr>
          <w:rFonts w:cstheme="majorBidi"/>
          <w:bCs/>
        </w:rPr>
        <w:t>（一）部门主要职能</w:t>
      </w:r>
      <w:bookmarkEnd w:id="3"/>
      <w:bookmarkEnd w:id="4"/>
      <w:bookmarkEnd w:id="5"/>
    </w:p>
    <w:p>
      <w:pPr>
        <w:ind w:firstLine="560"/>
      </w:pPr>
      <w:r>
        <w:rPr>
          <w:rFonts w:hint="eastAsia"/>
        </w:rPr>
        <w:t>甘肃省张掖市中级人民法院是国家审判机关，依法独立行使审判权，对地方人民代表大会及其常务委员会负责并报告工作。</w:t>
      </w:r>
    </w:p>
    <w:p>
      <w:pPr>
        <w:ind w:firstLine="560"/>
      </w:pPr>
      <w:r>
        <w:rPr>
          <w:rFonts w:hint="eastAsia"/>
        </w:rPr>
        <w:t>主要职责是：</w:t>
      </w:r>
    </w:p>
    <w:p>
      <w:pPr>
        <w:ind w:firstLine="560"/>
      </w:pPr>
      <w:r>
        <w:t>1、审判法律规定由中级人民法院管辖和其认为应当由自己审判的案件。</w:t>
      </w:r>
    </w:p>
    <w:p>
      <w:pPr>
        <w:ind w:firstLine="560"/>
      </w:pPr>
      <w:r>
        <w:t>2、审判全市的减刑和假释案件。</w:t>
      </w:r>
    </w:p>
    <w:p>
      <w:pPr>
        <w:ind w:firstLine="560"/>
      </w:pPr>
      <w:r>
        <w:t>3、审判省高级人民法院交由中级法院审判的刑事、民事、行政案件。</w:t>
      </w:r>
    </w:p>
    <w:p>
      <w:pPr>
        <w:ind w:firstLine="560"/>
      </w:pPr>
      <w:r>
        <w:t>4、受理不服下级法院生效裁判的各类申诉和再审申请，对其中确有错误的，提审或指令下级人民法院再审。</w:t>
      </w:r>
    </w:p>
    <w:p>
      <w:pPr>
        <w:ind w:firstLine="560"/>
      </w:pPr>
      <w:r>
        <w:t>5、依法审判由检察院按照审判监督程序提出的抗诉案件。</w:t>
      </w:r>
    </w:p>
    <w:p>
      <w:pPr>
        <w:ind w:firstLine="560"/>
      </w:pPr>
      <w:r>
        <w:t>6、依法对下级人民法院行使指定管辖权。</w:t>
      </w:r>
    </w:p>
    <w:p>
      <w:pPr>
        <w:ind w:firstLine="560"/>
      </w:pPr>
      <w:r>
        <w:t>7、监督下级人民法院的审判工作。</w:t>
      </w:r>
    </w:p>
    <w:p>
      <w:pPr>
        <w:ind w:firstLine="560"/>
      </w:pPr>
      <w:r>
        <w:t>8、调查研究审判工作中的法律政策及疑难问题，总结审判经验；参与地方立法活动，组织汇总上报相关法律草案的意见；针对案件审理中发现的问题提出司法建议；综合指导全市各基层人民法院司法统计工作。</w:t>
      </w:r>
    </w:p>
    <w:p>
      <w:pPr>
        <w:ind w:firstLine="560"/>
      </w:pPr>
      <w:r>
        <w:t>9、依法决定国家赔偿。</w:t>
      </w:r>
    </w:p>
    <w:p>
      <w:pPr>
        <w:ind w:firstLine="560"/>
      </w:pPr>
      <w:r>
        <w:t>10、对中级人员的法官和其他审判辅助人员进行思想政治教育、组织专业培训；指导全市基层人民法院的思想政治工作和教育培训工作；按照权限管理、培训法官和其他审判辅助人员；协助有关部门管理全市法院的机构、编制工作。</w:t>
      </w:r>
    </w:p>
    <w:p>
      <w:pPr>
        <w:ind w:firstLine="560"/>
      </w:pPr>
      <w:r>
        <w:t>12、负责本院并领导全市人民法院的监察工作。</w:t>
      </w:r>
    </w:p>
    <w:p>
      <w:pPr>
        <w:ind w:firstLine="560"/>
      </w:pPr>
      <w:r>
        <w:t>13、管理全市人民法院的有关经费和物质装备。</w:t>
      </w:r>
    </w:p>
    <w:p>
      <w:pPr>
        <w:ind w:firstLine="560"/>
      </w:pPr>
      <w:r>
        <w:t>14、在审判工作中宣传法制、教育公民自觉遵守宪法、法律。</w:t>
      </w:r>
    </w:p>
    <w:p>
      <w:pPr>
        <w:ind w:firstLine="560"/>
      </w:pPr>
      <w:r>
        <w:t>15、管理中级人民法院直属的事业单位和社会团体。</w:t>
      </w:r>
    </w:p>
    <w:p>
      <w:pPr>
        <w:ind w:firstLine="560"/>
      </w:pPr>
      <w:r>
        <w:t>16、领导全市人民法院的司法警察工作。</w:t>
      </w:r>
    </w:p>
    <w:p>
      <w:pPr>
        <w:ind w:firstLine="560"/>
      </w:pPr>
      <w:r>
        <w:t>17、承办其他应由中级人民法院负责的工作。</w:t>
      </w:r>
    </w:p>
    <w:p>
      <w:pPr>
        <w:pStyle w:val="4"/>
        <w:numPr>
          <w:ilvl w:val="0"/>
          <w:numId w:val="0"/>
        </w:numPr>
        <w:ind w:left="560" w:leftChars="200"/>
        <w:jc w:val="both"/>
        <w:rPr>
          <w:rFonts w:hint="default" w:cstheme="majorBidi"/>
          <w:bCs/>
        </w:rPr>
      </w:pPr>
      <w:bookmarkStart w:id="6" w:name="_Toc2339"/>
      <w:bookmarkStart w:id="7" w:name="_Toc21505"/>
      <w:bookmarkStart w:id="8" w:name="_Toc28617"/>
      <w:r>
        <w:rPr>
          <w:rFonts w:cstheme="majorBidi"/>
          <w:bCs/>
        </w:rPr>
        <w:t>（二）内设机构及所属单位概况</w:t>
      </w:r>
      <w:bookmarkEnd w:id="6"/>
      <w:bookmarkEnd w:id="7"/>
      <w:bookmarkEnd w:id="8"/>
    </w:p>
    <w:p>
      <w:pPr>
        <w:pStyle w:val="5"/>
        <w:ind w:firstLine="562"/>
        <w:rPr>
          <w:rFonts w:hint="default"/>
        </w:rPr>
      </w:pPr>
      <w:r>
        <w:t>1、机关内设机构</w:t>
      </w:r>
    </w:p>
    <w:p>
      <w:pPr>
        <w:ind w:firstLine="560"/>
      </w:pPr>
      <w:r>
        <w:rPr>
          <w:rFonts w:hint="eastAsia"/>
        </w:rPr>
        <w:t>张掖市中级人民法院部门预算指本院院机关，内设</w:t>
      </w:r>
      <w:r>
        <w:t>16个机构，即政治部、纪检组、办公室、立案庭、诉讼服务中心、审管办、研究室、信访室、刑事审判团队、民一庭、民二庭、民三庭、行政庭、审监庭、执行局、法警支队。</w:t>
      </w:r>
    </w:p>
    <w:p>
      <w:pPr>
        <w:pStyle w:val="5"/>
        <w:ind w:firstLine="562"/>
        <w:rPr>
          <w:rFonts w:hint="default"/>
        </w:rPr>
      </w:pPr>
      <w:r>
        <w:t>2、所属单位概况</w:t>
      </w:r>
    </w:p>
    <w:p>
      <w:pPr>
        <w:ind w:firstLine="560"/>
        <w:rPr>
          <w:rFonts w:hAnsi="宋体" w:cstheme="minorBidi"/>
          <w:szCs w:val="28"/>
        </w:rPr>
      </w:pPr>
      <w:r>
        <w:rPr>
          <w:rFonts w:hint="eastAsia" w:hAnsi="宋体" w:cstheme="minorBidi"/>
          <w:szCs w:val="28"/>
        </w:rPr>
        <w:t>本院无直属事业单位。</w:t>
      </w:r>
    </w:p>
    <w:p>
      <w:pPr>
        <w:pStyle w:val="3"/>
        <w:numPr>
          <w:ilvl w:val="0"/>
          <w:numId w:val="0"/>
        </w:numPr>
      </w:pPr>
      <w:bookmarkStart w:id="9" w:name="_Toc87"/>
      <w:bookmarkStart w:id="10" w:name="_Toc11019"/>
      <w:bookmarkStart w:id="11" w:name="_Toc4957"/>
      <w:r>
        <w:rPr>
          <w:rFonts w:hint="eastAsia"/>
        </w:rPr>
        <w:t>二、绩效自评工作组织开展情况</w:t>
      </w:r>
      <w:bookmarkEnd w:id="9"/>
      <w:bookmarkEnd w:id="10"/>
      <w:bookmarkEnd w:id="11"/>
    </w:p>
    <w:p>
      <w:pPr>
        <w:pStyle w:val="4"/>
        <w:numPr>
          <w:ilvl w:val="0"/>
          <w:numId w:val="0"/>
        </w:numPr>
        <w:ind w:left="560" w:leftChars="200"/>
        <w:jc w:val="both"/>
        <w:rPr>
          <w:rFonts w:hint="default" w:cstheme="majorBidi"/>
          <w:bCs/>
        </w:rPr>
      </w:pPr>
      <w:bookmarkStart w:id="12" w:name="_Toc18744"/>
      <w:bookmarkStart w:id="13" w:name="_Toc6231"/>
      <w:bookmarkStart w:id="14" w:name="_Toc30008"/>
      <w:r>
        <w:rPr>
          <w:rFonts w:cstheme="majorBidi"/>
          <w:bCs/>
        </w:rPr>
        <w:t>（一）自评对象和范围</w:t>
      </w:r>
      <w:bookmarkEnd w:id="12"/>
      <w:bookmarkEnd w:id="13"/>
      <w:bookmarkEnd w:id="14"/>
    </w:p>
    <w:p>
      <w:pPr>
        <w:ind w:firstLine="560"/>
        <w:rPr>
          <w:rFonts w:hAnsi="宋体" w:cstheme="minorBidi"/>
          <w:szCs w:val="28"/>
        </w:rPr>
      </w:pPr>
      <w:r>
        <w:rPr>
          <w:rFonts w:hint="eastAsia" w:hAnsi="宋体" w:cstheme="minorBidi"/>
          <w:szCs w:val="28"/>
        </w:rPr>
        <w:t>本次预算绩效自评价，按照省级部门预算项目支出、省对市县转移支付、整体支出三类评价对象全覆盖的原则，结合我院2021年度实际情况，自评所有对象为业务费（本级）项目自评、中央政法转移支付资金（本级）自评和整体支出自评。</w:t>
      </w:r>
    </w:p>
    <w:p>
      <w:pPr>
        <w:pStyle w:val="4"/>
        <w:numPr>
          <w:ilvl w:val="0"/>
          <w:numId w:val="0"/>
        </w:numPr>
        <w:ind w:left="560" w:leftChars="200"/>
        <w:rPr>
          <w:rFonts w:hint="default"/>
        </w:rPr>
      </w:pPr>
      <w:bookmarkStart w:id="15" w:name="_Toc9726"/>
      <w:bookmarkStart w:id="16" w:name="_Toc4722"/>
      <w:bookmarkStart w:id="17" w:name="_Toc12881"/>
      <w:r>
        <w:t>（二）自评组织管理情况</w:t>
      </w:r>
      <w:bookmarkEnd w:id="15"/>
      <w:bookmarkEnd w:id="16"/>
      <w:bookmarkEnd w:id="17"/>
    </w:p>
    <w:p>
      <w:pPr>
        <w:ind w:firstLine="560"/>
        <w:rPr>
          <w:rFonts w:hAnsi="宋体" w:cstheme="minorBidi"/>
          <w:szCs w:val="28"/>
        </w:rPr>
      </w:pPr>
      <w:r>
        <w:rPr>
          <w:rFonts w:hint="eastAsia" w:hAnsi="宋体" w:cstheme="minorBidi"/>
          <w:szCs w:val="28"/>
        </w:rPr>
        <w:t>我院积极开展本次自评工作，由财务部门牵头，各个相关部门协调配合，按照以下流程进行：</w:t>
      </w:r>
    </w:p>
    <w:p>
      <w:pPr>
        <w:pStyle w:val="5"/>
        <w:ind w:firstLine="562"/>
        <w:rPr>
          <w:rFonts w:hint="default"/>
        </w:rPr>
      </w:pPr>
      <w:r>
        <w:t>1、查阅收集资料</w:t>
      </w:r>
    </w:p>
    <w:p>
      <w:pPr>
        <w:ind w:firstLine="560"/>
        <w:rPr>
          <w:rFonts w:hAnsi="宋体"/>
          <w:szCs w:val="28"/>
        </w:rPr>
      </w:pPr>
      <w:bookmarkStart w:id="18" w:name="_Toc5201"/>
      <w:r>
        <w:rPr>
          <w:rFonts w:hint="eastAsia" w:hAnsi="宋体" w:cstheme="minorBidi"/>
          <w:szCs w:val="28"/>
        </w:rPr>
        <w:t>根据《甘肃省财政厅关于开展2021年度省级预算执行情况绩效自评工作的通知》（甘财绩〔2021〕8号）文件要求，为保证优质高效完成我院</w:t>
      </w:r>
      <w:r>
        <w:rPr>
          <w:rFonts w:hint="eastAsia" w:hAnsi="宋体" w:cstheme="minorBidi"/>
          <w:color w:val="000000" w:themeColor="text1"/>
          <w:szCs w:val="28"/>
          <w14:textFill>
            <w14:solidFill>
              <w14:schemeClr w14:val="tx1"/>
            </w14:solidFill>
          </w14:textFill>
        </w:rPr>
        <w:t>2021</w:t>
      </w:r>
      <w:r>
        <w:rPr>
          <w:rFonts w:hint="eastAsia" w:hAnsi="宋体" w:cstheme="minorBidi"/>
          <w:szCs w:val="28"/>
        </w:rPr>
        <w:t>年度绩效自评工作，院内各部门相互配合，整理收集绩效</w:t>
      </w:r>
      <w:r>
        <w:rPr>
          <w:rFonts w:hint="eastAsia" w:hAnsi="宋体" w:cstheme="minorBidi"/>
          <w:szCs w:val="28"/>
          <w:lang w:eastAsia="zh-CN"/>
        </w:rPr>
        <w:t>自评</w:t>
      </w:r>
      <w:r>
        <w:rPr>
          <w:rFonts w:hint="eastAsia" w:hAnsi="宋体" w:cstheme="minorBidi"/>
          <w:szCs w:val="28"/>
        </w:rPr>
        <w:t>所需数据及文件资料，力争做到资料完整，数据真实、准确。</w:t>
      </w:r>
      <w:bookmarkEnd w:id="18"/>
    </w:p>
    <w:p>
      <w:pPr>
        <w:pStyle w:val="5"/>
        <w:ind w:firstLine="562"/>
        <w:rPr>
          <w:rFonts w:hint="default"/>
        </w:rPr>
      </w:pPr>
      <w:r>
        <w:t>2、分析整理数据</w:t>
      </w:r>
    </w:p>
    <w:p>
      <w:pPr>
        <w:ind w:firstLine="560"/>
        <w:rPr>
          <w:rFonts w:hAnsi="宋体" w:cstheme="minorBidi"/>
          <w:szCs w:val="28"/>
        </w:rPr>
      </w:pPr>
      <w:bookmarkStart w:id="19" w:name="_Toc5773"/>
      <w:r>
        <w:rPr>
          <w:rFonts w:hint="eastAsia" w:hAnsi="宋体" w:cstheme="minorBidi"/>
          <w:szCs w:val="28"/>
        </w:rPr>
        <w:t>采用科学合理的方法对收集到的数据进行整理和分析。一是对数据进行分类，根据部门整体支出绩效自评表中的每项指标要求，对数据进行分类；二是对数据进行选取，从不同来源收集的资料中选取同一绩效</w:t>
      </w:r>
      <w:r>
        <w:rPr>
          <w:rFonts w:hint="eastAsia" w:hAnsi="宋体" w:cstheme="minorBidi"/>
          <w:szCs w:val="28"/>
          <w:lang w:eastAsia="zh-CN"/>
        </w:rPr>
        <w:t>自评</w:t>
      </w:r>
      <w:r>
        <w:rPr>
          <w:rFonts w:hint="eastAsia" w:hAnsi="宋体" w:cstheme="minorBidi"/>
          <w:szCs w:val="28"/>
        </w:rPr>
        <w:t>指标的数据；三是对数据进行验证，对不同来源的数据进行交叉验证，剔除错误数据、无效数据；四是数据确定，在数据验证的基础上，最终得到绩效</w:t>
      </w:r>
      <w:r>
        <w:rPr>
          <w:rFonts w:hint="eastAsia" w:hAnsi="宋体" w:cstheme="minorBidi"/>
          <w:szCs w:val="28"/>
          <w:lang w:eastAsia="zh-CN"/>
        </w:rPr>
        <w:t>自评</w:t>
      </w:r>
      <w:r>
        <w:rPr>
          <w:rFonts w:hint="eastAsia" w:hAnsi="宋体" w:cstheme="minorBidi"/>
          <w:szCs w:val="28"/>
        </w:rPr>
        <w:t>的可支撑数据。</w:t>
      </w:r>
      <w:bookmarkEnd w:id="19"/>
    </w:p>
    <w:p>
      <w:pPr>
        <w:pStyle w:val="5"/>
        <w:ind w:firstLine="562"/>
        <w:rPr>
          <w:rFonts w:hint="default"/>
        </w:rPr>
      </w:pPr>
      <w:r>
        <w:t>3、填写绩效自评表</w:t>
      </w:r>
    </w:p>
    <w:p>
      <w:pPr>
        <w:ind w:firstLine="560"/>
        <w:rPr>
          <w:rFonts w:hAnsi="宋体" w:cstheme="minorBidi"/>
          <w:szCs w:val="28"/>
        </w:rPr>
      </w:pPr>
      <w:bookmarkStart w:id="20" w:name="_Toc31622"/>
      <w:r>
        <w:rPr>
          <w:rFonts w:hint="eastAsia" w:hAnsi="宋体" w:cstheme="minorBidi"/>
          <w:szCs w:val="28"/>
        </w:rPr>
        <w:t>以我院</w:t>
      </w:r>
      <w:r>
        <w:rPr>
          <w:rFonts w:hint="eastAsia" w:hAnsi="宋体" w:cstheme="minorBidi"/>
          <w:color w:val="000000" w:themeColor="text1"/>
          <w:szCs w:val="28"/>
          <w14:textFill>
            <w14:solidFill>
              <w14:schemeClr w14:val="tx1"/>
            </w14:solidFill>
          </w14:textFill>
        </w:rPr>
        <w:t>2021</w:t>
      </w:r>
      <w:r>
        <w:rPr>
          <w:rFonts w:hint="eastAsia" w:hAnsi="宋体" w:cstheme="minorBidi"/>
          <w:szCs w:val="28"/>
        </w:rPr>
        <w:t>年度申报的财政预算及绩效目标为基础，结合部门职能职责，从预算执行、部门管理、部门履职效果、部门能力建设、服务对象满意度5个方面填写《</w:t>
      </w:r>
      <w:r>
        <w:rPr>
          <w:rFonts w:hint="eastAsia" w:hAnsi="宋体" w:cstheme="minorBidi"/>
          <w:color w:val="000000" w:themeColor="text1"/>
          <w:szCs w:val="28"/>
          <w14:textFill>
            <w14:solidFill>
              <w14:schemeClr w14:val="tx1"/>
            </w14:solidFill>
          </w14:textFill>
        </w:rPr>
        <w:t>2021</w:t>
      </w:r>
      <w:r>
        <w:rPr>
          <w:rFonts w:hint="eastAsia" w:hAnsi="宋体" w:cstheme="minorBidi"/>
          <w:szCs w:val="28"/>
        </w:rPr>
        <w:t>年度张掖市中级人民法院部门整体支出绩效自评表》，从预算执行、产出指标、效益指标、满意度指标4个方面填写《2021年度张掖市中级人民法院部门预算业务费（本级）项目支出绩效自评表》和《2021年度张掖市中级人民法院中央政法转移支付资金（本级）绩效自评表》，并根据各项指标资金量所占比重赋予相应比例的分值，做到自评表内容完整、权重合理、数据真实、结果客观。</w:t>
      </w:r>
      <w:bookmarkEnd w:id="20"/>
    </w:p>
    <w:p>
      <w:pPr>
        <w:pStyle w:val="5"/>
        <w:ind w:firstLine="562"/>
        <w:rPr>
          <w:rFonts w:hint="default"/>
        </w:rPr>
      </w:pPr>
      <w:r>
        <w:rPr>
          <w:rFonts w:hint="default"/>
        </w:rPr>
        <w:t>4</w:t>
      </w:r>
      <w:r>
        <w:t>、撰写自评报告</w:t>
      </w:r>
    </w:p>
    <w:p>
      <w:pPr>
        <w:ind w:firstLine="560"/>
        <w:rPr>
          <w:rFonts w:hAnsi="宋体" w:cstheme="minorBidi"/>
          <w:szCs w:val="28"/>
        </w:rPr>
      </w:pPr>
      <w:bookmarkStart w:id="21" w:name="_Toc15762"/>
      <w:r>
        <w:rPr>
          <w:rFonts w:hint="eastAsia" w:hAnsi="宋体" w:cstheme="minorBidi"/>
          <w:szCs w:val="28"/>
        </w:rPr>
        <w:t>根据绩效自评表打分结果，结合部门履职情况，撰写《2021年度张掖市中级人民法院部门预算执行情况绩效自评报告》，总结经验，归纳问题，分析成因，提出改进措施，将自评结果作为我院以后年度预算编制、财政支出结构优化的决策参考和依据。</w:t>
      </w:r>
      <w:bookmarkEnd w:id="21"/>
    </w:p>
    <w:p>
      <w:pPr>
        <w:pStyle w:val="3"/>
        <w:numPr>
          <w:ilvl w:val="0"/>
          <w:numId w:val="0"/>
        </w:numPr>
      </w:pPr>
      <w:bookmarkStart w:id="22" w:name="_Toc32049"/>
      <w:bookmarkStart w:id="23" w:name="_Toc13830"/>
      <w:bookmarkStart w:id="24" w:name="_Toc14776"/>
      <w:r>
        <w:rPr>
          <w:rFonts w:hint="eastAsia"/>
        </w:rPr>
        <w:t>三、部门整体支出绩效自评情况分析</w:t>
      </w:r>
      <w:bookmarkEnd w:id="22"/>
      <w:bookmarkEnd w:id="23"/>
      <w:bookmarkEnd w:id="24"/>
    </w:p>
    <w:p>
      <w:pPr>
        <w:pStyle w:val="4"/>
        <w:numPr>
          <w:ilvl w:val="0"/>
          <w:numId w:val="0"/>
        </w:numPr>
        <w:ind w:left="643"/>
        <w:rPr>
          <w:rFonts w:hint="default"/>
        </w:rPr>
      </w:pPr>
      <w:bookmarkStart w:id="25" w:name="_Toc5275"/>
      <w:bookmarkStart w:id="26" w:name="_Toc27939"/>
      <w:bookmarkStart w:id="27" w:name="_Toc29533"/>
      <w:r>
        <w:t>（一）部门决算情况</w:t>
      </w:r>
      <w:bookmarkEnd w:id="25"/>
      <w:bookmarkEnd w:id="26"/>
      <w:bookmarkEnd w:id="27"/>
    </w:p>
    <w:p>
      <w:pPr>
        <w:ind w:firstLine="560"/>
        <w:rPr>
          <w:rFonts w:hint="eastAsia" w:hAnsi="宋体" w:eastAsia="仿宋_GB2312"/>
          <w:szCs w:val="28"/>
          <w:lang w:eastAsia="zh-CN"/>
        </w:rPr>
      </w:pPr>
      <w:bookmarkStart w:id="28" w:name="_Toc7074"/>
      <w:r>
        <w:rPr>
          <w:rFonts w:hint="eastAsia"/>
        </w:rPr>
        <w:t>202</w:t>
      </w:r>
      <w:r>
        <w:t>1</w:t>
      </w:r>
      <w:r>
        <w:rPr>
          <w:rFonts w:hint="eastAsia"/>
        </w:rPr>
        <w:t>年度，我院整体支出年初预算数2709.28万元，其中基本支出2188.28万元，项目支出521万元。经调整，全年预算资金总额为3776.69万元，其中基本支出2750.16万元，项目支出1026.53万元。根据年末部门支出决算，我院2021年实际支出3495.58</w:t>
      </w:r>
      <w:r>
        <w:rPr>
          <w:rFonts w:hint="eastAsia"/>
          <w:lang w:eastAsia="zh-CN"/>
        </w:rPr>
        <w:t>万</w:t>
      </w:r>
      <w:r>
        <w:rPr>
          <w:rFonts w:hint="eastAsia"/>
        </w:rPr>
        <w:t>元，部门整体支出预算执行率为92.56%</w:t>
      </w:r>
      <w:r>
        <w:rPr>
          <w:rFonts w:hint="eastAsia"/>
          <w:lang w:eastAsia="zh-CN"/>
        </w:rPr>
        <w:t>。</w:t>
      </w:r>
    </w:p>
    <w:p>
      <w:pPr>
        <w:pStyle w:val="4"/>
        <w:numPr>
          <w:ilvl w:val="0"/>
          <w:numId w:val="0"/>
        </w:numPr>
        <w:ind w:left="643"/>
        <w:rPr>
          <w:rFonts w:hint="default"/>
        </w:rPr>
      </w:pPr>
      <w:bookmarkStart w:id="29" w:name="_Toc1691"/>
      <w:bookmarkStart w:id="30" w:name="_Toc29457"/>
      <w:r>
        <w:t>（二）总体绩效目标完成情况分析</w:t>
      </w:r>
      <w:bookmarkEnd w:id="28"/>
      <w:bookmarkEnd w:id="29"/>
      <w:bookmarkEnd w:id="30"/>
    </w:p>
    <w:p>
      <w:pPr>
        <w:pStyle w:val="5"/>
        <w:ind w:firstLine="562"/>
        <w:rPr>
          <w:rFonts w:hint="default"/>
        </w:rPr>
      </w:pPr>
      <w:r>
        <w:t>1、总体绩效目标</w:t>
      </w:r>
    </w:p>
    <w:p>
      <w:pPr>
        <w:ind w:firstLine="560"/>
        <w:rPr>
          <w:rFonts w:hAnsi="宋体" w:cstheme="minorBidi"/>
          <w:szCs w:val="28"/>
        </w:rPr>
      </w:pPr>
      <w:r>
        <w:rPr>
          <w:rFonts w:hint="eastAsia" w:hAnsi="宋体" w:cstheme="minorBidi"/>
          <w:szCs w:val="28"/>
        </w:rPr>
        <w:t>经综合评价与分析，</w:t>
      </w:r>
      <w:r>
        <w:rPr>
          <w:rFonts w:hint="eastAsia" w:hAnsi="宋体" w:cstheme="minorBidi"/>
          <w:szCs w:val="28"/>
          <w:lang w:eastAsia="zh-CN"/>
        </w:rPr>
        <w:t>我院</w:t>
      </w:r>
      <w:r>
        <w:rPr>
          <w:rFonts w:hint="eastAsia" w:hAnsi="宋体" w:cstheme="minorBidi"/>
          <w:szCs w:val="28"/>
        </w:rPr>
        <w:t>2021年度</w:t>
      </w:r>
      <w:r>
        <w:rPr>
          <w:rFonts w:hint="eastAsia" w:hAnsi="宋体" w:cstheme="minorBidi"/>
          <w:szCs w:val="28"/>
          <w:lang w:eastAsia="zh-CN"/>
        </w:rPr>
        <w:t>部门</w:t>
      </w:r>
      <w:r>
        <w:rPr>
          <w:rFonts w:hint="eastAsia" w:hAnsi="宋体" w:cstheme="minorBidi"/>
          <w:szCs w:val="28"/>
        </w:rPr>
        <w:t>整体支出绩效</w:t>
      </w:r>
      <w:r>
        <w:rPr>
          <w:rFonts w:hint="eastAsia" w:hAnsi="宋体" w:cstheme="minorBidi"/>
          <w:szCs w:val="28"/>
          <w:lang w:eastAsia="zh-CN"/>
        </w:rPr>
        <w:t>自评</w:t>
      </w:r>
      <w:r>
        <w:rPr>
          <w:rFonts w:hint="eastAsia" w:hAnsi="宋体" w:cstheme="minorBidi"/>
          <w:szCs w:val="28"/>
        </w:rPr>
        <w:t>最终得分为99.03分，</w:t>
      </w:r>
      <w:r>
        <w:rPr>
          <w:rFonts w:hint="eastAsia" w:hAnsi="宋体" w:cstheme="minorBidi"/>
          <w:szCs w:val="28"/>
          <w:lang w:eastAsia="zh-CN"/>
        </w:rPr>
        <w:t>自评</w:t>
      </w:r>
      <w:r>
        <w:rPr>
          <w:rFonts w:hint="eastAsia" w:hAnsi="宋体" w:cstheme="minorBidi"/>
          <w:szCs w:val="28"/>
        </w:rPr>
        <w:t>结果为“优”。</w:t>
      </w:r>
    </w:p>
    <w:p>
      <w:pPr>
        <w:ind w:firstLine="0" w:firstLineChars="0"/>
        <w:jc w:val="center"/>
        <w:rPr>
          <w:rFonts w:hAnsi="宋体" w:cstheme="minorEastAsia"/>
          <w:b/>
          <w:bCs/>
          <w:kern w:val="0"/>
          <w:szCs w:val="28"/>
        </w:rPr>
      </w:pPr>
      <w:r>
        <w:rPr>
          <w:rFonts w:hint="eastAsia" w:hAnsi="宋体" w:cstheme="minorEastAsia"/>
          <w:b/>
          <w:bCs/>
          <w:kern w:val="0"/>
          <w:szCs w:val="28"/>
        </w:rPr>
        <w:t>2021年度部门整体支出绩效</w:t>
      </w:r>
      <w:r>
        <w:rPr>
          <w:rFonts w:hint="eastAsia" w:hAnsi="宋体" w:cstheme="minorEastAsia"/>
          <w:b/>
          <w:bCs/>
          <w:kern w:val="0"/>
          <w:szCs w:val="28"/>
          <w:lang w:eastAsia="zh-CN"/>
        </w:rPr>
        <w:t>自评</w:t>
      </w:r>
      <w:r>
        <w:rPr>
          <w:rFonts w:hint="eastAsia" w:hAnsi="宋体" w:cstheme="minorEastAsia"/>
          <w:b/>
          <w:bCs/>
          <w:kern w:val="0"/>
          <w:szCs w:val="28"/>
        </w:rPr>
        <w:t>指标得分情况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4"/>
        <w:gridCol w:w="1710"/>
        <w:gridCol w:w="158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一级指标</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实际得分</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预算执行率</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9.26</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92.60%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部门管理</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20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Cambria Math" w:hAnsi="Cambria Math" w:cs="宋体"/>
                <w:kern w:val="0"/>
                <w:sz w:val="24"/>
                <w:szCs w:val="24"/>
                <w:oMath/>
              </w:rPr>
            </w:pPr>
            <w:r>
              <w:rPr>
                <w:rFonts w:hint="eastAsia" w:hAnsi="Cambria Math" w:cs="宋体"/>
                <w:kern w:val="0"/>
                <w:sz w:val="24"/>
                <w:szCs w:val="24"/>
              </w:rPr>
              <w:t>20</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履职效果</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highlight w:val="lightGray"/>
              </w:rPr>
            </w:pPr>
            <w:r>
              <w:rPr>
                <w:rFonts w:hint="eastAsia" w:hAnsi="宋体" w:cs="宋体"/>
                <w:kern w:val="0"/>
                <w:sz w:val="24"/>
                <w:szCs w:val="24"/>
              </w:rPr>
              <w:t>50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49.77</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能力建设</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kern w:val="0"/>
                <w:sz w:val="24"/>
                <w:szCs w:val="24"/>
              </w:rPr>
              <w:t>服务对象满意度</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合计</w:t>
            </w:r>
          </w:p>
        </w:tc>
        <w:tc>
          <w:tcPr>
            <w:tcW w:w="100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100</w:t>
            </w:r>
          </w:p>
        </w:tc>
        <w:tc>
          <w:tcPr>
            <w:tcW w:w="930"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99.03</w:t>
            </w:r>
          </w:p>
        </w:tc>
        <w:tc>
          <w:tcPr>
            <w:tcW w:w="1175"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99.03%</w:t>
            </w:r>
          </w:p>
        </w:tc>
      </w:tr>
    </w:tbl>
    <w:p>
      <w:pPr>
        <w:pStyle w:val="5"/>
        <w:ind w:firstLine="562"/>
        <w:rPr>
          <w:rFonts w:hint="default"/>
        </w:rPr>
      </w:pPr>
      <w:r>
        <w:rPr>
          <w:rFonts w:hint="default"/>
        </w:rPr>
        <w:t>2</w:t>
      </w:r>
      <w:r>
        <w:t>、年度绩效目标及完成情况</w:t>
      </w:r>
    </w:p>
    <w:p>
      <w:pPr>
        <w:ind w:firstLine="562"/>
      </w:pPr>
      <w:r>
        <w:rPr>
          <w:rFonts w:hint="eastAsia"/>
          <w:b/>
          <w:bCs/>
        </w:rPr>
        <w:t>目标一：</w:t>
      </w:r>
      <w:r>
        <w:rPr>
          <w:rFonts w:hint="eastAsia"/>
        </w:rPr>
        <w:t>紧紧围绕司法为民、公正司法工作主线，充分发挥审判职能作用，审结刑事、民商事、行政等案件，为维护社会和谐稳定、服务改革发展提供坚强保障。</w:t>
      </w:r>
    </w:p>
    <w:p>
      <w:pPr>
        <w:ind w:firstLine="562"/>
      </w:pPr>
      <w:r>
        <w:rPr>
          <w:rFonts w:hint="eastAsia"/>
          <w:b/>
          <w:bCs/>
        </w:rPr>
        <w:t>目标一</w:t>
      </w:r>
      <w:r>
        <w:rPr>
          <w:b/>
          <w:bCs/>
        </w:rPr>
        <w:t>完成情况</w:t>
      </w:r>
      <w:r>
        <w:rPr>
          <w:rFonts w:hint="eastAsia"/>
          <w:b/>
          <w:bCs/>
        </w:rPr>
        <w:t>：</w:t>
      </w:r>
      <w:r>
        <w:rPr>
          <w:rFonts w:hint="eastAsia"/>
        </w:rPr>
        <w:t>我院忠实履行宪法法律赋予的职责，不断提高办案水平和审判质效，严厉打击刑事罪犯，妥善化解民商事案件，着力防范金融风险，维护人民群众生命财产安全。</w:t>
      </w:r>
    </w:p>
    <w:p>
      <w:pPr>
        <w:ind w:firstLine="562"/>
      </w:pPr>
      <w:r>
        <w:rPr>
          <w:rFonts w:hint="eastAsia"/>
          <w:b/>
          <w:bCs/>
        </w:rPr>
        <w:t>目标二：</w:t>
      </w:r>
      <w:r>
        <w:rPr>
          <w:rFonts w:hint="eastAsia"/>
        </w:rPr>
        <w:t>加强智慧法院建设，完成智慧用电安全监管系统等项目工程，为人民群众提供更加优质高效便捷的司法服务，持续深化司法公开，促进阳光司法，提升法院公信力。</w:t>
      </w:r>
    </w:p>
    <w:p>
      <w:pPr>
        <w:ind w:firstLine="562"/>
      </w:pPr>
      <w:r>
        <w:rPr>
          <w:rFonts w:hint="eastAsia"/>
          <w:b/>
          <w:bCs/>
        </w:rPr>
        <w:t>目标二</w:t>
      </w:r>
      <w:r>
        <w:rPr>
          <w:b/>
          <w:bCs/>
        </w:rPr>
        <w:t>完成情况</w:t>
      </w:r>
      <w:r>
        <w:rPr>
          <w:rFonts w:hint="eastAsia"/>
          <w:b/>
          <w:bCs/>
        </w:rPr>
        <w:t>：</w:t>
      </w:r>
      <w:r>
        <w:rPr>
          <w:rFonts w:hint="eastAsia"/>
        </w:rPr>
        <w:t>我院加强智慧法院建设工作，完成了智慧用电安全监管系统项目工程、实施消防系统及自来水系统维修改造工程、室内变增容供配电工程等项目工程；购置了案卷装订设备、自助立案、自助阅卷等智能化终端，推进事务当场办、自助办，为辖区群众提供一站通办、一网通办、一号通办的诉讼服务，实现了让数据多跑路，让群众少跑腿的目的，提升了司法公信力。</w:t>
      </w:r>
    </w:p>
    <w:p>
      <w:pPr>
        <w:ind w:firstLine="562"/>
      </w:pPr>
      <w:r>
        <w:rPr>
          <w:rFonts w:hint="eastAsia"/>
          <w:b/>
          <w:bCs/>
        </w:rPr>
        <w:t>目标三：</w:t>
      </w:r>
      <w:r>
        <w:rPr>
          <w:rFonts w:hint="eastAsia"/>
        </w:rPr>
        <w:t>加强法治宣传工作，规范公众行为、树立正确导向的功能，助力营造和谐的法治人文环境。</w:t>
      </w:r>
    </w:p>
    <w:p>
      <w:pPr>
        <w:ind w:firstLine="562"/>
      </w:pPr>
      <w:r>
        <w:rPr>
          <w:rFonts w:hint="eastAsia"/>
          <w:b/>
          <w:bCs/>
        </w:rPr>
        <w:t>目标三</w:t>
      </w:r>
      <w:r>
        <w:rPr>
          <w:b/>
          <w:bCs/>
        </w:rPr>
        <w:t>完成情况</w:t>
      </w:r>
      <w:r>
        <w:rPr>
          <w:rFonts w:hint="eastAsia"/>
          <w:b/>
          <w:bCs/>
        </w:rPr>
        <w:t>：</w:t>
      </w:r>
      <w:bookmarkStart w:id="31" w:name="_Toc14421"/>
      <w:r>
        <w:rPr>
          <w:rFonts w:hint="eastAsia"/>
        </w:rPr>
        <w:t>我院始终把精神文明建设作为一项重要工作抓在手上，年内，组织干警开展了以生态环保、禁毒、民法典为重点的普法宣传活动，有效助力营造和谐的法治人文环境。</w:t>
      </w:r>
    </w:p>
    <w:p>
      <w:pPr>
        <w:ind w:firstLine="562"/>
      </w:pPr>
      <w:r>
        <w:rPr>
          <w:rFonts w:hint="eastAsia"/>
          <w:b/>
          <w:bCs/>
        </w:rPr>
        <w:t>目标四：</w:t>
      </w:r>
      <w:r>
        <w:rPr>
          <w:rFonts w:hint="eastAsia"/>
        </w:rPr>
        <w:t>加强干警培训工作，教育引导广大干警坚定理想信念，提升队伍建设水平，全面践行司法为民宗旨，提高干警的综合素质和业务能力。</w:t>
      </w:r>
    </w:p>
    <w:p>
      <w:pPr>
        <w:ind w:firstLine="562"/>
      </w:pPr>
      <w:r>
        <w:rPr>
          <w:rFonts w:hint="eastAsia"/>
          <w:b/>
          <w:bCs/>
        </w:rPr>
        <w:t>目标四</w:t>
      </w:r>
      <w:r>
        <w:rPr>
          <w:b/>
          <w:bCs/>
        </w:rPr>
        <w:t>完成情况</w:t>
      </w:r>
      <w:r>
        <w:rPr>
          <w:rFonts w:hint="eastAsia"/>
          <w:b/>
          <w:bCs/>
        </w:rPr>
        <w:t>：</w:t>
      </w:r>
      <w:r>
        <w:rPr>
          <w:rFonts w:hint="eastAsia"/>
        </w:rPr>
        <w:t>坚持“线上线下”相结合，极参加党委安排的培训班、报告会，实现了对重点岗位干警的全覆盖，引导广大干警坚守法治信仰、站稳人民立场、忠诚司法事业、严格公正司法。</w:t>
      </w:r>
    </w:p>
    <w:p>
      <w:pPr>
        <w:pStyle w:val="4"/>
        <w:numPr>
          <w:ilvl w:val="0"/>
          <w:numId w:val="0"/>
        </w:numPr>
        <w:ind w:left="420"/>
        <w:rPr>
          <w:rFonts w:hint="default"/>
        </w:rPr>
      </w:pPr>
      <w:bookmarkStart w:id="32" w:name="_Toc2641"/>
      <w:bookmarkStart w:id="33" w:name="_Toc22904"/>
      <w:r>
        <w:t>（三）各项指标完成情况分析</w:t>
      </w:r>
      <w:bookmarkEnd w:id="31"/>
      <w:bookmarkEnd w:id="32"/>
      <w:bookmarkEnd w:id="33"/>
    </w:p>
    <w:p>
      <w:pPr>
        <w:pStyle w:val="5"/>
        <w:ind w:firstLine="562"/>
        <w:rPr>
          <w:rFonts w:hint="default"/>
        </w:rPr>
      </w:pPr>
      <w:r>
        <w:t>1、预算执行率</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309"/>
        <w:gridCol w:w="1819"/>
        <w:gridCol w:w="1902"/>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一级指标</w:t>
            </w:r>
          </w:p>
        </w:tc>
        <w:tc>
          <w:tcPr>
            <w:tcW w:w="76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1067"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1116"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c>
          <w:tcPr>
            <w:tcW w:w="108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预算执行</w:t>
            </w:r>
            <w:r>
              <w:rPr>
                <w:rFonts w:hAnsi="宋体" w:cs="宋体"/>
                <w:b/>
                <w:bCs/>
                <w:color w:val="000000"/>
                <w:kern w:val="0"/>
                <w:sz w:val="24"/>
                <w:szCs w:val="24"/>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预算执行率</w:t>
            </w:r>
          </w:p>
        </w:tc>
        <w:tc>
          <w:tcPr>
            <w:tcW w:w="76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106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9.26</w:t>
            </w:r>
          </w:p>
        </w:tc>
        <w:tc>
          <w:tcPr>
            <w:tcW w:w="1116"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92.60%</w:t>
            </w:r>
          </w:p>
        </w:tc>
        <w:tc>
          <w:tcPr>
            <w:tcW w:w="108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92.56%</w:t>
            </w:r>
          </w:p>
        </w:tc>
      </w:tr>
    </w:tbl>
    <w:p>
      <w:pPr>
        <w:ind w:firstLine="560"/>
        <w:rPr>
          <w:rFonts w:hAnsi="宋体" w:cstheme="minorBidi"/>
          <w:szCs w:val="28"/>
        </w:rPr>
      </w:pPr>
      <w:r>
        <w:rPr>
          <w:rFonts w:hint="eastAsia" w:hAnsi="宋体" w:cstheme="minorBidi"/>
          <w:szCs w:val="28"/>
        </w:rPr>
        <w:t>我院2021年度年初预算数2709.28万元，经调整</w:t>
      </w:r>
      <w:r>
        <w:rPr>
          <w:rFonts w:hAnsi="宋体" w:cstheme="minorBidi"/>
          <w:szCs w:val="28"/>
        </w:rPr>
        <w:t>，全年预算资金总额</w:t>
      </w:r>
      <w:r>
        <w:rPr>
          <w:rFonts w:hint="eastAsia" w:hAnsi="宋体" w:cstheme="minorBidi"/>
          <w:szCs w:val="28"/>
        </w:rPr>
        <w:t>3776.69万元</w:t>
      </w:r>
      <w:r>
        <w:rPr>
          <w:rFonts w:hAnsi="宋体" w:cstheme="minorBidi"/>
          <w:szCs w:val="28"/>
        </w:rPr>
        <w:t>；根据年末决算反</w:t>
      </w:r>
      <w:r>
        <w:rPr>
          <w:rFonts w:hint="eastAsia" w:hAnsi="宋体" w:cstheme="minorBidi"/>
          <w:szCs w:val="28"/>
        </w:rPr>
        <w:t>映</w:t>
      </w:r>
      <w:r>
        <w:rPr>
          <w:rFonts w:hAnsi="宋体" w:cstheme="minorBidi"/>
          <w:szCs w:val="28"/>
        </w:rPr>
        <w:t>，我</w:t>
      </w:r>
      <w:r>
        <w:rPr>
          <w:rFonts w:hint="eastAsia" w:hAnsi="宋体" w:cstheme="minorBidi"/>
          <w:szCs w:val="28"/>
        </w:rPr>
        <w:t>院</w:t>
      </w:r>
      <w:r>
        <w:rPr>
          <w:rFonts w:hAnsi="宋体" w:cstheme="minorBidi"/>
          <w:szCs w:val="28"/>
        </w:rPr>
        <w:t>今年实际支出数</w:t>
      </w:r>
      <w:r>
        <w:rPr>
          <w:rFonts w:hint="eastAsia" w:hAnsi="宋体" w:cstheme="minorBidi"/>
          <w:szCs w:val="28"/>
        </w:rPr>
        <w:t>为3495.58万元</w:t>
      </w:r>
      <w:r>
        <w:rPr>
          <w:rFonts w:hAnsi="宋体" w:cstheme="minorBidi"/>
          <w:szCs w:val="28"/>
        </w:rPr>
        <w:t>，</w:t>
      </w:r>
      <w:r>
        <w:rPr>
          <w:rFonts w:hint="eastAsia" w:hAnsi="宋体" w:cstheme="minorBidi"/>
          <w:szCs w:val="28"/>
        </w:rPr>
        <w:t>部门整体</w:t>
      </w:r>
      <w:r>
        <w:rPr>
          <w:rFonts w:hAnsi="宋体" w:cstheme="minorBidi"/>
          <w:szCs w:val="28"/>
        </w:rPr>
        <w:t>支出</w:t>
      </w:r>
      <w:r>
        <w:rPr>
          <w:rFonts w:hint="eastAsia" w:hAnsi="宋体" w:cstheme="minorBidi"/>
          <w:szCs w:val="28"/>
        </w:rPr>
        <w:t>预算执行率92.56%。</w:t>
      </w:r>
    </w:p>
    <w:p>
      <w:pPr>
        <w:pStyle w:val="5"/>
        <w:ind w:firstLine="562"/>
        <w:rPr>
          <w:rFonts w:hint="default"/>
        </w:rPr>
      </w:pPr>
      <w:r>
        <w:t>2、部门管理</w:t>
      </w:r>
    </w:p>
    <w:p>
      <w:pPr>
        <w:ind w:firstLine="560"/>
        <w:rPr>
          <w:rFonts w:hAnsi="宋体" w:cstheme="minorBidi"/>
          <w:szCs w:val="28"/>
        </w:rPr>
      </w:pPr>
      <w:r>
        <w:rPr>
          <w:rFonts w:hint="eastAsia" w:hAnsi="宋体" w:cstheme="minorBidi"/>
          <w:szCs w:val="28"/>
        </w:rPr>
        <w:t>部门管理一级指标下设10个三级指标，指标权重合计20分，自评得分20分，得分率为100%。</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1421"/>
        <w:gridCol w:w="1590"/>
        <w:gridCol w:w="723"/>
        <w:gridCol w:w="866"/>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三级指标</w:t>
            </w:r>
          </w:p>
        </w:tc>
        <w:tc>
          <w:tcPr>
            <w:tcW w:w="83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年度目标值</w:t>
            </w:r>
          </w:p>
        </w:tc>
        <w:tc>
          <w:tcPr>
            <w:tcW w:w="93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实际完成值</w:t>
            </w:r>
          </w:p>
        </w:tc>
        <w:tc>
          <w:tcPr>
            <w:tcW w:w="42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分值</w:t>
            </w:r>
          </w:p>
        </w:tc>
        <w:tc>
          <w:tcPr>
            <w:tcW w:w="50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得分</w:t>
            </w:r>
          </w:p>
        </w:tc>
        <w:tc>
          <w:tcPr>
            <w:tcW w:w="59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bCs/>
                <w:color w:val="000000"/>
                <w:kern w:val="0"/>
                <w:sz w:val="24"/>
                <w:szCs w:val="24"/>
              </w:rPr>
            </w:pPr>
            <w:r>
              <w:rPr>
                <w:rFonts w:hint="eastAsia"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基本支出预算执行率</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91.60%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项目支出预算执行率</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default" w:eastAsia="仿宋_GB2312" w:cs="仿宋_GB2312"/>
                <w:color w:val="000000"/>
                <w:kern w:val="0"/>
                <w:sz w:val="24"/>
                <w:szCs w:val="24"/>
                <w:lang w:val="en-US" w:eastAsia="zh-CN"/>
              </w:rPr>
            </w:pPr>
            <w:r>
              <w:rPr>
                <w:rFonts w:hint="eastAsia" w:cs="仿宋_GB2312"/>
                <w:color w:val="000000"/>
                <w:kern w:val="0"/>
                <w:sz w:val="24"/>
                <w:szCs w:val="24"/>
                <w:lang w:val="en-US" w:eastAsia="zh-CN"/>
              </w:rPr>
              <w:t>=95%以上</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95.13%</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“三公经费”控制率</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77.81%</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结转结余变动率</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w:t>
            </w:r>
            <w:r>
              <w:rPr>
                <w:rFonts w:hint="eastAsia" w:cs="仿宋_GB2312"/>
                <w:color w:val="000000"/>
                <w:kern w:val="0"/>
                <w:sz w:val="24"/>
                <w:szCs w:val="24"/>
                <w:lang w:val="en-US" w:eastAsia="zh-CN"/>
              </w:rPr>
              <w:t>5</w:t>
            </w:r>
            <w:r>
              <w:rPr>
                <w:rFonts w:hint="eastAsia" w:cs="仿宋_GB2312"/>
                <w:color w:val="000000"/>
                <w:kern w:val="0"/>
                <w:sz w:val="24"/>
                <w:szCs w:val="24"/>
              </w:rPr>
              <w:t>%</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0.30%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财务管理制度健全性</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健全</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资金使用规范性</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规范</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政府采购规范性</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规范</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资产管理规范性</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规范</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在职人员控制率</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58.17%</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Cs/>
                <w:color w:val="000000"/>
                <w:kern w:val="0"/>
                <w:sz w:val="24"/>
                <w:szCs w:val="24"/>
              </w:rPr>
            </w:pPr>
            <w:r>
              <w:rPr>
                <w:rFonts w:hint="eastAsia" w:cs="仿宋_GB2312"/>
                <w:bCs/>
                <w:color w:val="000000"/>
                <w:kern w:val="0"/>
                <w:sz w:val="24"/>
                <w:szCs w:val="24"/>
              </w:rPr>
              <w:t>重点工作管理制度健全性</w:t>
            </w:r>
          </w:p>
        </w:tc>
        <w:tc>
          <w:tcPr>
            <w:tcW w:w="83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健全</w:t>
            </w:r>
          </w:p>
        </w:tc>
        <w:tc>
          <w:tcPr>
            <w:tcW w:w="93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c>
          <w:tcPr>
            <w:tcW w:w="42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08"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2</w:t>
            </w:r>
          </w:p>
        </w:tc>
        <w:tc>
          <w:tcPr>
            <w:tcW w:w="59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74"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仿宋_GB2312"/>
                <w:b/>
                <w:color w:val="000000"/>
                <w:kern w:val="0"/>
                <w:sz w:val="24"/>
                <w:szCs w:val="24"/>
              </w:rPr>
            </w:pPr>
            <w:r>
              <w:rPr>
                <w:rFonts w:hint="eastAsia" w:cs="仿宋_GB2312"/>
                <w:b/>
                <w:color w:val="000000"/>
                <w:kern w:val="0"/>
                <w:sz w:val="24"/>
                <w:szCs w:val="24"/>
              </w:rPr>
              <w:t>合计</w:t>
            </w:r>
          </w:p>
        </w:tc>
        <w:tc>
          <w:tcPr>
            <w:tcW w:w="42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color w:val="000000"/>
                <w:kern w:val="0"/>
                <w:sz w:val="24"/>
                <w:szCs w:val="24"/>
              </w:rPr>
            </w:pPr>
            <w:r>
              <w:rPr>
                <w:rFonts w:hint="eastAsia" w:cs="仿宋_GB2312"/>
                <w:b/>
                <w:color w:val="000000"/>
                <w:kern w:val="0"/>
                <w:sz w:val="24"/>
                <w:szCs w:val="24"/>
              </w:rPr>
              <w:t>20</w:t>
            </w:r>
          </w:p>
        </w:tc>
        <w:tc>
          <w:tcPr>
            <w:tcW w:w="508"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color w:val="000000"/>
                <w:kern w:val="0"/>
                <w:sz w:val="24"/>
                <w:szCs w:val="24"/>
              </w:rPr>
            </w:pPr>
            <w:r>
              <w:rPr>
                <w:rFonts w:hint="eastAsia" w:cs="仿宋_GB2312"/>
                <w:b/>
                <w:color w:val="000000"/>
                <w:kern w:val="0"/>
                <w:sz w:val="24"/>
                <w:szCs w:val="24"/>
              </w:rPr>
              <w:t>20</w:t>
            </w:r>
          </w:p>
        </w:tc>
        <w:tc>
          <w:tcPr>
            <w:tcW w:w="59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cs="仿宋_GB2312"/>
                <w:b/>
                <w:color w:val="000000"/>
                <w:kern w:val="0"/>
                <w:sz w:val="24"/>
                <w:szCs w:val="24"/>
              </w:rPr>
            </w:pPr>
            <w:r>
              <w:rPr>
                <w:rFonts w:hint="eastAsia" w:cs="仿宋_GB2312"/>
                <w:b/>
                <w:color w:val="000000"/>
                <w:kern w:val="0"/>
                <w:sz w:val="24"/>
                <w:szCs w:val="24"/>
              </w:rPr>
              <w:t>100%</w:t>
            </w:r>
          </w:p>
        </w:tc>
      </w:tr>
    </w:tbl>
    <w:p>
      <w:pPr>
        <w:ind w:firstLine="562"/>
        <w:rPr>
          <w:rFonts w:hAnsi="宋体" w:cstheme="minorBidi"/>
          <w:szCs w:val="28"/>
          <w:highlight w:val="yellow"/>
        </w:rPr>
      </w:pPr>
      <w:r>
        <w:rPr>
          <w:rFonts w:hint="eastAsia" w:hAnsi="宋体" w:cstheme="minorBidi"/>
          <w:b/>
          <w:bCs/>
          <w:szCs w:val="28"/>
        </w:rPr>
        <w:t>基本支出预算执行率：</w:t>
      </w:r>
      <w:r>
        <w:rPr>
          <w:rFonts w:hint="eastAsia" w:hAnsi="宋体" w:cstheme="minorBidi"/>
          <w:szCs w:val="28"/>
        </w:rPr>
        <w:t>2021年度基本支出全年预算数2750.16万元，实际支出数2519.05万元，基本支出预算执行率为91.60%。指标分值2分，自评得分2分，得分率为100%。</w:t>
      </w:r>
    </w:p>
    <w:p>
      <w:pPr>
        <w:ind w:firstLine="562"/>
        <w:rPr>
          <w:rFonts w:hAnsi="宋体" w:cstheme="minorBidi"/>
          <w:szCs w:val="28"/>
          <w:highlight w:val="yellow"/>
        </w:rPr>
      </w:pPr>
      <w:r>
        <w:rPr>
          <w:rFonts w:hint="eastAsia" w:hAnsi="宋体" w:cstheme="minorBidi"/>
          <w:b/>
          <w:bCs/>
          <w:szCs w:val="28"/>
        </w:rPr>
        <w:t>项目支出预算执行率：</w:t>
      </w:r>
      <w:r>
        <w:rPr>
          <w:rFonts w:hint="eastAsia" w:hAnsi="宋体" w:cstheme="minorBidi"/>
          <w:szCs w:val="28"/>
        </w:rPr>
        <w:t>2021年度项目支出全年预算数1026.53万元，实际支出数976.53万元，项目支出预算执行率为95.13%。指标分值2分，自评得分2分，得分率为100%。</w:t>
      </w:r>
    </w:p>
    <w:p>
      <w:pPr>
        <w:ind w:firstLine="562"/>
        <w:rPr>
          <w:rFonts w:hAnsi="宋体" w:cstheme="minorBidi"/>
          <w:szCs w:val="28"/>
          <w:highlight w:val="yellow"/>
        </w:rPr>
      </w:pPr>
      <w:r>
        <w:rPr>
          <w:rFonts w:hint="eastAsia" w:hAnsi="宋体" w:cstheme="minorBidi"/>
          <w:b/>
          <w:bCs/>
          <w:szCs w:val="28"/>
        </w:rPr>
        <w:t>“三公经费”控制率：</w:t>
      </w:r>
      <w:r>
        <w:rPr>
          <w:rFonts w:hint="eastAsia" w:hAnsi="宋体" w:cstheme="minorBidi"/>
          <w:szCs w:val="28"/>
        </w:rPr>
        <w:t>2</w:t>
      </w:r>
      <w:r>
        <w:rPr>
          <w:rFonts w:hint="eastAsia" w:hAnsi="宋体" w:cstheme="minorBidi"/>
          <w:color w:val="000000" w:themeColor="text1"/>
          <w:szCs w:val="28"/>
          <w14:textFill>
            <w14:solidFill>
              <w14:schemeClr w14:val="tx1"/>
            </w14:solidFill>
          </w14:textFill>
        </w:rPr>
        <w:t>021</w:t>
      </w:r>
      <w:r>
        <w:rPr>
          <w:rFonts w:hint="eastAsia" w:hAnsi="宋体" w:cstheme="minorBidi"/>
          <w:szCs w:val="28"/>
        </w:rPr>
        <w:t>年度“三公经费”预算数99.72万元，实际支出数77.59万元，“三公经费”控制率为77.81%。指标分值2分，自评得分2分，得分率为100%。</w:t>
      </w:r>
    </w:p>
    <w:p>
      <w:pPr>
        <w:ind w:firstLine="562"/>
        <w:rPr>
          <w:rFonts w:hAnsi="宋体" w:cstheme="minorBidi"/>
          <w:szCs w:val="28"/>
          <w:highlight w:val="yellow"/>
        </w:rPr>
      </w:pPr>
      <w:r>
        <w:rPr>
          <w:rFonts w:hint="eastAsia" w:hAnsi="宋体" w:cstheme="minorBidi"/>
          <w:b/>
          <w:bCs/>
          <w:szCs w:val="28"/>
        </w:rPr>
        <w:t>结转结余变动率：</w:t>
      </w:r>
      <w:r>
        <w:rPr>
          <w:rFonts w:hint="eastAsia" w:hAnsi="宋体" w:cstheme="minorBidi"/>
          <w:szCs w:val="28"/>
        </w:rPr>
        <w:t>2020年度结转结余资金280.30万元，</w:t>
      </w:r>
      <w:r>
        <w:rPr>
          <w:rFonts w:hint="eastAsia" w:hAnsi="宋体" w:cstheme="minorBidi"/>
          <w:color w:val="000000" w:themeColor="text1"/>
          <w:szCs w:val="28"/>
          <w14:textFill>
            <w14:solidFill>
              <w14:schemeClr w14:val="tx1"/>
            </w14:solidFill>
          </w14:textFill>
        </w:rPr>
        <w:t>2021</w:t>
      </w:r>
      <w:r>
        <w:rPr>
          <w:rFonts w:hint="eastAsia" w:hAnsi="宋体" w:cstheme="minorBidi"/>
          <w:szCs w:val="28"/>
        </w:rPr>
        <w:t>年度结转结余资金281.11万元，结转结余资金变动率为0.30%</w:t>
      </w:r>
      <w:r>
        <w:rPr>
          <w:rFonts w:hint="eastAsia" w:hAnsi="宋体" w:cstheme="minorBidi"/>
          <w:szCs w:val="28"/>
          <w:lang w:eastAsia="zh-CN"/>
        </w:rPr>
        <w:t>，在</w:t>
      </w:r>
      <w:r>
        <w:rPr>
          <w:rFonts w:hint="eastAsia" w:hAnsi="宋体" w:cstheme="minorBidi"/>
          <w:szCs w:val="28"/>
          <w:lang w:val="en-US" w:eastAsia="zh-CN"/>
        </w:rPr>
        <w:t>5%以内</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hAnsi="宋体" w:cstheme="minorBidi"/>
          <w:b/>
          <w:bCs/>
          <w:szCs w:val="28"/>
        </w:rPr>
        <w:t>财务管理制度健全性</w:t>
      </w:r>
      <w:r>
        <w:rPr>
          <w:rFonts w:hint="eastAsia" w:hAnsi="宋体" w:cstheme="minorBidi"/>
          <w:szCs w:val="28"/>
        </w:rPr>
        <w:t>：我院制定了</w:t>
      </w:r>
      <w:r>
        <w:rPr>
          <w:rFonts w:hint="eastAsia" w:ascii="EU-BZ" w:hAnsi="EU-BZ"/>
          <w:color w:val="000000"/>
        </w:rPr>
        <w:t>《</w:t>
      </w:r>
      <w:r>
        <w:rPr>
          <w:rFonts w:hint="eastAsia" w:ascii="FZShuSong-Z01" w:hAnsi="FZShuSong-Z01"/>
          <w:color w:val="000000"/>
        </w:rPr>
        <w:t>张掖市中级人民法院财务管理制度</w:t>
      </w:r>
      <w:r>
        <w:rPr>
          <w:rFonts w:hint="eastAsia" w:ascii="EU-BZ" w:hAnsi="EU-BZ"/>
          <w:color w:val="000000"/>
        </w:rPr>
        <w:t>》</w:t>
      </w:r>
      <w:r>
        <w:rPr>
          <w:rFonts w:hint="eastAsia" w:ascii="FZShuSong-Z01" w:hAnsi="FZShuSong-Z01"/>
          <w:color w:val="000000"/>
        </w:rPr>
        <w:t>，加强</w:t>
      </w:r>
      <w:r>
        <w:rPr>
          <w:rFonts w:hint="eastAsia" w:hAnsi="宋体" w:cstheme="minorBidi"/>
          <w:szCs w:val="28"/>
        </w:rPr>
        <w:t>对资金开支审批流程和管控手续的管理，大额资金均由党委会研究通过后使用，在预算执行、事项支出、会计核算以及重大事项支出程序等方面不存在不规范现象，无虚列项目支出、截留、挤占、挪用项目资金等情况。指标分值2分，自评得分2分，得分率为100%。</w:t>
      </w:r>
    </w:p>
    <w:p>
      <w:pPr>
        <w:ind w:firstLine="562"/>
        <w:rPr>
          <w:rFonts w:hAnsi="宋体" w:cstheme="minorBidi"/>
          <w:szCs w:val="28"/>
          <w:highlight w:val="yellow"/>
        </w:rPr>
      </w:pPr>
      <w:r>
        <w:rPr>
          <w:rFonts w:hint="eastAsia" w:hAnsi="宋体" w:cstheme="minorBidi"/>
          <w:b/>
          <w:bCs/>
          <w:szCs w:val="28"/>
        </w:rPr>
        <w:t>资金使用规范性：</w:t>
      </w:r>
      <w:r>
        <w:rPr>
          <w:rFonts w:hint="eastAsia" w:hAnsi="宋体" w:cstheme="minorBidi"/>
          <w:szCs w:val="28"/>
        </w:rPr>
        <w:t>我院资金支出总体上审批程序合规、手续齐全，支出内容符合省财政预算批复规定的用途。指标分值2分，自评得分2分，得分率为100%。</w:t>
      </w:r>
    </w:p>
    <w:p>
      <w:pPr>
        <w:ind w:firstLine="562"/>
        <w:rPr>
          <w:rFonts w:hAnsi="宋体" w:cstheme="minorBidi"/>
          <w:szCs w:val="28"/>
        </w:rPr>
      </w:pPr>
      <w:r>
        <w:rPr>
          <w:rFonts w:hint="eastAsia" w:hAnsi="宋体" w:cstheme="minorBidi"/>
          <w:b/>
          <w:bCs/>
          <w:szCs w:val="28"/>
        </w:rPr>
        <w:t>政府采购规范性：</w:t>
      </w:r>
      <w:r>
        <w:rPr>
          <w:rFonts w:hint="eastAsia" w:hAnsi="宋体"/>
          <w:szCs w:val="28"/>
        </w:rPr>
        <w:t>我院</w:t>
      </w:r>
      <w:r>
        <w:rPr>
          <w:rFonts w:hint="eastAsia" w:hAnsi="宋体" w:cstheme="minorBidi"/>
          <w:szCs w:val="28"/>
        </w:rPr>
        <w:t>采购工作严格按照</w:t>
      </w:r>
      <w:r>
        <w:rPr>
          <w:rFonts w:hAnsi="宋体" w:cstheme="minorBidi"/>
          <w:szCs w:val="28"/>
        </w:rPr>
        <w:t>《中华人民共和国政府采购法》《中华人民共和国政府采购法实施条例》</w:t>
      </w:r>
      <w:r>
        <w:rPr>
          <w:rFonts w:hint="eastAsia" w:hAnsi="宋体" w:cstheme="minorBidi"/>
          <w:szCs w:val="28"/>
        </w:rPr>
        <w:t>和我院制定的《张掖市中级人民法院采购管理办法（试行）》开展，采购实际执行情况与采购计划安排无差异。指标分值2分，自评得分2分，得分率为100%。</w:t>
      </w:r>
    </w:p>
    <w:p>
      <w:pPr>
        <w:ind w:firstLine="562"/>
        <w:rPr>
          <w:rFonts w:hint="eastAsia" w:ascii="FZShuSong-Z01" w:hAnsi="FZShuSong-Z01"/>
          <w:color w:val="000000"/>
        </w:rPr>
      </w:pPr>
      <w:r>
        <w:rPr>
          <w:rFonts w:hint="eastAsia" w:hAnsi="宋体" w:cstheme="minorBidi"/>
          <w:b/>
          <w:bCs/>
          <w:szCs w:val="28"/>
        </w:rPr>
        <w:t>资产管理规范性：</w:t>
      </w:r>
      <w:r>
        <w:rPr>
          <w:rFonts w:hint="eastAsia" w:hAnsi="宋体" w:cstheme="minorBidi"/>
          <w:szCs w:val="28"/>
        </w:rPr>
        <w:t>我</w:t>
      </w:r>
      <w:r>
        <w:rPr>
          <w:rFonts w:hAnsi="宋体" w:cstheme="minorBidi"/>
          <w:szCs w:val="28"/>
        </w:rPr>
        <w:t>院</w:t>
      </w:r>
      <w:r>
        <w:rPr>
          <w:rFonts w:hint="eastAsia" w:hAnsi="宋体" w:cstheme="minorBidi"/>
          <w:szCs w:val="28"/>
        </w:rPr>
        <w:t>致力于资产的管理工作，制定了《</w:t>
      </w:r>
      <w:r>
        <w:rPr>
          <w:rFonts w:hint="eastAsia" w:ascii="FZShuSong-Z01" w:hAnsi="FZShuSong-Z01"/>
          <w:color w:val="000000"/>
        </w:rPr>
        <w:t>张掖市中级人民法院固定资产管理制度</w:t>
      </w:r>
      <w:r>
        <w:rPr>
          <w:rFonts w:hint="eastAsia" w:hAnsi="宋体" w:cstheme="minorBidi"/>
          <w:szCs w:val="28"/>
        </w:rPr>
        <w:t>》《</w:t>
      </w:r>
      <w:r>
        <w:rPr>
          <w:rFonts w:hint="eastAsia" w:ascii="FZShuSong-Z01" w:hAnsi="FZShuSong-Z01"/>
          <w:color w:val="000000"/>
        </w:rPr>
        <w:t>张掖市中级人民法院车辆使用管理制度</w:t>
      </w:r>
      <w:r>
        <w:rPr>
          <w:rFonts w:hint="eastAsia" w:hAnsi="宋体" w:cstheme="minorBidi"/>
          <w:szCs w:val="28"/>
        </w:rPr>
        <w:t>》《</w:t>
      </w:r>
      <w:r>
        <w:rPr>
          <w:rFonts w:hint="eastAsia" w:ascii="FZShuSong-Z01" w:hAnsi="FZShuSong-Z01"/>
          <w:color w:val="000000"/>
        </w:rPr>
        <w:t>张掖市中级人民法院废旧物资处置办法</w:t>
      </w:r>
      <w:r>
        <w:rPr>
          <w:rFonts w:hint="eastAsia" w:hAnsi="宋体" w:cstheme="minorBidi"/>
          <w:szCs w:val="28"/>
        </w:rPr>
        <w:t>》等管理办法，实现各类资产保存完整，合理有效的使用、调度，确保资产安全性以及处置规范。指标分值2分，自评得分2分，得分率为100%。</w:t>
      </w:r>
    </w:p>
    <w:p>
      <w:pPr>
        <w:ind w:firstLine="562"/>
        <w:rPr>
          <w:rFonts w:hAnsi="宋体" w:cstheme="minorBidi"/>
          <w:szCs w:val="28"/>
          <w:highlight w:val="yellow"/>
        </w:rPr>
      </w:pPr>
      <w:r>
        <w:rPr>
          <w:rFonts w:hint="eastAsia" w:hAnsi="宋体" w:cstheme="minorBidi"/>
          <w:b/>
          <w:bCs/>
          <w:szCs w:val="28"/>
        </w:rPr>
        <w:t>在职人员控制率：</w:t>
      </w:r>
      <w:r>
        <w:rPr>
          <w:rFonts w:hint="eastAsia" w:hAnsi="宋体" w:cstheme="minorBidi"/>
          <w:szCs w:val="28"/>
        </w:rPr>
        <w:t>我院人员管理较为规范，整体的财政供养人员规模得到有效控制。编制人员153人，在职人员89人，在职人员控制率为58.17%。指标分值2分，自评得分2分，得分率为100%。</w:t>
      </w:r>
    </w:p>
    <w:p>
      <w:pPr>
        <w:ind w:firstLine="562"/>
        <w:rPr>
          <w:rFonts w:hAnsi="宋体" w:cstheme="minorBidi"/>
          <w:szCs w:val="28"/>
          <w:highlight w:val="yellow"/>
        </w:rPr>
      </w:pPr>
      <w:r>
        <w:rPr>
          <w:rFonts w:hint="eastAsia" w:hAnsi="宋体" w:cstheme="minorBidi"/>
          <w:b/>
          <w:bCs/>
          <w:szCs w:val="28"/>
        </w:rPr>
        <w:t>重点工作管理制度健全性：</w:t>
      </w:r>
      <w:r>
        <w:rPr>
          <w:rFonts w:hint="eastAsia" w:hAnsi="宋体" w:cstheme="minorBidi"/>
          <w:szCs w:val="28"/>
        </w:rPr>
        <w:t>我院一直加强内部制度的管理，制定了《</w:t>
      </w:r>
      <w:r>
        <w:rPr>
          <w:rFonts w:hAnsi="宋体" w:cstheme="minorBidi"/>
          <w:szCs w:val="28"/>
        </w:rPr>
        <w:t>张掖市中级人民法院财务管理</w:t>
      </w:r>
      <w:r>
        <w:rPr>
          <w:rFonts w:hint="eastAsia" w:hAnsi="宋体" w:cstheme="minorBidi"/>
          <w:szCs w:val="28"/>
          <w:lang w:eastAsia="zh-CN"/>
        </w:rPr>
        <w:t>制度</w:t>
      </w:r>
      <w:r>
        <w:rPr>
          <w:rFonts w:hint="eastAsia" w:hAnsi="宋体" w:cstheme="minorBidi"/>
          <w:szCs w:val="28"/>
        </w:rPr>
        <w:t>》《</w:t>
      </w:r>
      <w:r>
        <w:rPr>
          <w:rFonts w:hAnsi="宋体" w:cstheme="minorBidi"/>
          <w:szCs w:val="28"/>
        </w:rPr>
        <w:t>张掖市中级人民</w:t>
      </w:r>
      <w:r>
        <w:rPr>
          <w:rFonts w:hint="eastAsia" w:hAnsi="宋体" w:cstheme="minorBidi"/>
          <w:szCs w:val="28"/>
        </w:rPr>
        <w:t>法院审判法庭使用管理办法》等重点工作管理制度，提高审判重点工作的管理效率，保证我院重点工作能够按时有效推进和实施。指标分值2分，自评得分2分，得分率为100%。</w:t>
      </w:r>
    </w:p>
    <w:p>
      <w:pPr>
        <w:pStyle w:val="5"/>
        <w:ind w:firstLine="562"/>
        <w:rPr>
          <w:rFonts w:hint="default"/>
        </w:rPr>
      </w:pPr>
      <w:r>
        <w:t>3、履职效果</w:t>
      </w:r>
    </w:p>
    <w:p>
      <w:pPr>
        <w:ind w:firstLine="560"/>
        <w:rPr>
          <w:rFonts w:hAnsi="宋体" w:cstheme="minorBidi"/>
          <w:szCs w:val="28"/>
        </w:rPr>
      </w:pPr>
      <w:r>
        <w:rPr>
          <w:rFonts w:hint="eastAsia" w:hAnsi="宋体" w:cstheme="minorBidi"/>
          <w:szCs w:val="28"/>
        </w:rPr>
        <w:t>根据部门职责，履职效果下设部门履职目标、部门效果目标和社会影响</w:t>
      </w:r>
      <w:r>
        <w:rPr>
          <w:rFonts w:hAnsi="宋体" w:cstheme="minorBidi"/>
          <w:szCs w:val="28"/>
        </w:rPr>
        <w:t>3</w:t>
      </w:r>
      <w:r>
        <w:rPr>
          <w:rFonts w:hint="eastAsia" w:hAnsi="宋体" w:cstheme="minorBidi"/>
          <w:szCs w:val="28"/>
        </w:rPr>
        <w:t>个二级指标。其中部门履职目标从产出数量、质量、时效和成本指标4个方面去考核；部门效果目标从经济、社会和生态效益指标3个方面考核；社会影响主要从部门的获奖情况和违法违纪情况考核。</w:t>
      </w:r>
    </w:p>
    <w:p>
      <w:pPr>
        <w:ind w:firstLine="562"/>
        <w:rPr>
          <w:rFonts w:hAnsi="宋体" w:cstheme="minorBidi"/>
          <w:b/>
          <w:bCs/>
          <w:szCs w:val="28"/>
        </w:rPr>
      </w:pPr>
      <w:r>
        <w:rPr>
          <w:rFonts w:hint="eastAsia" w:hAnsi="宋体" w:cstheme="minorBidi"/>
          <w:b/>
          <w:bCs/>
          <w:szCs w:val="28"/>
        </w:rPr>
        <w:t>（1）部门履职目标</w:t>
      </w:r>
    </w:p>
    <w:p>
      <w:pPr>
        <w:ind w:firstLine="560"/>
        <w:rPr>
          <w:rFonts w:hAnsi="宋体" w:cstheme="minorBidi"/>
          <w:szCs w:val="28"/>
        </w:rPr>
      </w:pPr>
      <w:r>
        <w:rPr>
          <w:rFonts w:hint="eastAsia" w:hAnsi="宋体" w:cstheme="minorBidi"/>
          <w:szCs w:val="28"/>
        </w:rPr>
        <w:t>部门履职目标根据部门重点工作任务的产出而设置，从产出数量、产出质量、产出时效、产出成本4个方面考虑。</w:t>
      </w:r>
      <w:r>
        <w:rPr>
          <w:rFonts w:hint="eastAsia" w:hAnsi="宋体"/>
          <w:szCs w:val="28"/>
        </w:rPr>
        <w:t>指标权重合计41分，自评得分41分，得分率为100%。</w:t>
      </w:r>
    </w:p>
    <w:p>
      <w:pPr>
        <w:pStyle w:val="38"/>
        <w:ind w:left="920" w:firstLine="0" w:firstLineChars="0"/>
        <w:rPr>
          <w:b/>
          <w:bCs/>
        </w:rPr>
      </w:pPr>
      <w:r>
        <w:rPr>
          <w:rFonts w:hint="eastAsia"/>
          <w:b/>
          <w:bCs/>
        </w:rPr>
        <w:t>①产出数量指标</w:t>
      </w:r>
    </w:p>
    <w:p>
      <w:pPr>
        <w:ind w:firstLine="560"/>
        <w:rPr>
          <w:rFonts w:hint="eastAsia"/>
        </w:rPr>
      </w:pPr>
      <w:r>
        <w:rPr>
          <w:rFonts w:hint="eastAsia"/>
        </w:rPr>
        <w:t>产出数量指标下设</w:t>
      </w:r>
      <w:r>
        <w:t>8</w:t>
      </w:r>
      <w:r>
        <w:rPr>
          <w:rFonts w:hint="eastAsia"/>
        </w:rPr>
        <w:t>个指标，指标分值合计1</w:t>
      </w:r>
      <w:r>
        <w:t>6</w:t>
      </w:r>
      <w:r>
        <w:rPr>
          <w:rFonts w:hint="eastAsia"/>
        </w:rPr>
        <w:t>分，自评得分1</w:t>
      </w:r>
      <w:r>
        <w:t>6</w:t>
      </w:r>
      <w:r>
        <w:rPr>
          <w:rFonts w:hint="eastAsia"/>
        </w:rPr>
        <w:t>分，得分率为100</w:t>
      </w:r>
      <w:r>
        <w:t>%</w:t>
      </w:r>
      <w:r>
        <w:rPr>
          <w:rFonts w:hint="eastAsia"/>
        </w:rPr>
        <w:t>。</w:t>
      </w:r>
    </w:p>
    <w:p>
      <w:pPr>
        <w:bidi w:val="0"/>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1590"/>
        <w:gridCol w:w="1544"/>
        <w:gridCol w:w="796"/>
        <w:gridCol w:w="85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85"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三级指标</w:t>
            </w:r>
          </w:p>
        </w:tc>
        <w:tc>
          <w:tcPr>
            <w:tcW w:w="933"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年度指标值</w:t>
            </w:r>
          </w:p>
        </w:tc>
        <w:tc>
          <w:tcPr>
            <w:tcW w:w="906"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实际完成值</w:t>
            </w:r>
          </w:p>
        </w:tc>
        <w:tc>
          <w:tcPr>
            <w:tcW w:w="467" w:type="pct"/>
            <w:vAlign w:val="center"/>
          </w:tcPr>
          <w:p>
            <w:pPr>
              <w:pStyle w:val="8"/>
              <w:spacing w:line="240" w:lineRule="auto"/>
              <w:ind w:firstLine="0" w:firstLineChars="0"/>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得分</w:t>
            </w:r>
          </w:p>
        </w:tc>
        <w:tc>
          <w:tcPr>
            <w:tcW w:w="607"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kern w:val="0"/>
                <w:sz w:val="24"/>
                <w:szCs w:val="24"/>
              </w:rPr>
            </w:pPr>
            <w:r>
              <w:rPr>
                <w:rFonts w:hint="eastAsia" w:cs="仿宋_GB2312"/>
                <w:color w:val="000000"/>
                <w:sz w:val="24"/>
                <w:szCs w:val="24"/>
              </w:rPr>
              <w:t>刑事案件审结率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91.23%</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民商事案件审结率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88.76%</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行政案件审结率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89.47%</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执行案件结案率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91.67%</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采购工作完成率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维修改造工作完成率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法治宣传工作完成率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5" w:type="pct"/>
            <w:vAlign w:val="center"/>
          </w:tcPr>
          <w:p>
            <w:pPr>
              <w:widowControl/>
              <w:spacing w:line="240" w:lineRule="auto"/>
              <w:ind w:firstLine="0" w:firstLineChars="0"/>
              <w:jc w:val="center"/>
              <w:rPr>
                <w:rFonts w:cs="仿宋_GB2312"/>
                <w:color w:val="000000"/>
                <w:sz w:val="24"/>
                <w:szCs w:val="24"/>
              </w:rPr>
            </w:pPr>
            <w:r>
              <w:rPr>
                <w:rFonts w:hint="eastAsia" w:cs="仿宋_GB2312"/>
                <w:color w:val="000000"/>
                <w:sz w:val="24"/>
                <w:szCs w:val="24"/>
              </w:rPr>
              <w:t>培训工作完成率</w:t>
            </w:r>
          </w:p>
        </w:tc>
        <w:tc>
          <w:tcPr>
            <w:tcW w:w="933"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906" w:type="pct"/>
            <w:shd w:val="clear" w:color="auto" w:fill="auto"/>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46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02" w:type="pct"/>
            <w:vAlign w:val="center"/>
          </w:tcPr>
          <w:p>
            <w:pPr>
              <w:pStyle w:val="8"/>
              <w:spacing w:line="240" w:lineRule="auto"/>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rPr>
              <w:t>2</w:t>
            </w:r>
          </w:p>
        </w:tc>
        <w:tc>
          <w:tcPr>
            <w:tcW w:w="607" w:type="pct"/>
            <w:vAlign w:val="center"/>
          </w:tcPr>
          <w:p>
            <w:pPr>
              <w:pStyle w:val="8"/>
              <w:spacing w:line="240" w:lineRule="auto"/>
              <w:ind w:firstLine="0" w:firstLineChars="0"/>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23" w:type="pct"/>
            <w:gridSpan w:val="3"/>
            <w:vAlign w:val="center"/>
          </w:tcPr>
          <w:p>
            <w:pPr>
              <w:pStyle w:val="8"/>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rPr>
              <w:t>合计</w:t>
            </w:r>
          </w:p>
        </w:tc>
        <w:tc>
          <w:tcPr>
            <w:tcW w:w="467" w:type="pct"/>
            <w:vAlign w:val="center"/>
          </w:tcPr>
          <w:p>
            <w:pPr>
              <w:pStyle w:val="8"/>
              <w:spacing w:line="240" w:lineRule="auto"/>
              <w:ind w:firstLine="0" w:firstLineChars="0"/>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16</w:t>
            </w:r>
          </w:p>
        </w:tc>
        <w:tc>
          <w:tcPr>
            <w:tcW w:w="502" w:type="pct"/>
            <w:vAlign w:val="center"/>
          </w:tcPr>
          <w:p>
            <w:pPr>
              <w:pStyle w:val="8"/>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16</w:t>
            </w:r>
          </w:p>
        </w:tc>
        <w:tc>
          <w:tcPr>
            <w:tcW w:w="607" w:type="pct"/>
            <w:vAlign w:val="center"/>
          </w:tcPr>
          <w:p>
            <w:pPr>
              <w:pStyle w:val="8"/>
              <w:spacing w:line="240" w:lineRule="auto"/>
              <w:ind w:firstLine="0" w:firstLineChars="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100%</w:t>
            </w:r>
          </w:p>
        </w:tc>
      </w:tr>
    </w:tbl>
    <w:p>
      <w:pPr>
        <w:ind w:firstLine="562"/>
        <w:rPr>
          <w:rFonts w:hAnsi="宋体" w:cstheme="minorBidi"/>
          <w:szCs w:val="28"/>
        </w:rPr>
      </w:pPr>
      <w:r>
        <w:rPr>
          <w:rFonts w:hint="eastAsia"/>
          <w:b/>
          <w:bCs/>
        </w:rPr>
        <w:t>刑事案件审结率：</w:t>
      </w:r>
      <w:r>
        <w:rPr>
          <w:rFonts w:hint="eastAsia"/>
        </w:rPr>
        <w:t>我院</w:t>
      </w:r>
      <w:r>
        <w:t>本年度刑事案件审结率为91.23%，</w:t>
      </w:r>
      <w:r>
        <w:rPr>
          <w:rFonts w:hint="eastAsia"/>
        </w:rPr>
        <w:t>指标实际完成值达到年度目标值</w:t>
      </w:r>
      <w:r>
        <w:t>。</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民商事案件审结率：</w:t>
      </w:r>
      <w:r>
        <w:rPr>
          <w:rFonts w:hint="eastAsia"/>
        </w:rPr>
        <w:t>我院</w:t>
      </w:r>
      <w:r>
        <w:t>本年度民商事案件审结率为</w:t>
      </w:r>
      <w:r>
        <w:rPr>
          <w:rFonts w:hint="eastAsia"/>
        </w:rPr>
        <w:t>88.</w:t>
      </w:r>
      <w:r>
        <w:t>76%，</w:t>
      </w:r>
      <w:r>
        <w:rPr>
          <w:rFonts w:hint="eastAsia"/>
        </w:rPr>
        <w:t>指标实际完成值达到年度目标值</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行政案件审结率：</w:t>
      </w:r>
      <w:r>
        <w:rPr>
          <w:rFonts w:hint="eastAsia"/>
        </w:rPr>
        <w:t>我院本年度行政案件审结率为</w:t>
      </w:r>
      <w:r>
        <w:t>89.47</w:t>
      </w:r>
      <w:r>
        <w:rPr>
          <w:rFonts w:hint="eastAsia"/>
        </w:rPr>
        <w:t>%，指标实际完成值达到年度目标值</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执行案件结案率：</w:t>
      </w:r>
      <w:r>
        <w:rPr>
          <w:rFonts w:hint="eastAsia"/>
        </w:rPr>
        <w:t>我院本年度执行案件执结率为9</w:t>
      </w:r>
      <w:r>
        <w:t>1.67</w:t>
      </w:r>
      <w:r>
        <w:rPr>
          <w:rFonts w:hint="eastAsia"/>
        </w:rPr>
        <w:t>%，指标实际完成值达到年度目标值</w:t>
      </w:r>
      <w:r>
        <w:rPr>
          <w:rFonts w:hint="eastAsia" w:hAnsi="宋体" w:cstheme="minorBidi"/>
          <w:szCs w:val="28"/>
        </w:rPr>
        <w:t>。指标分值2分，自评得分2分，得分率为100%。</w:t>
      </w:r>
    </w:p>
    <w:p>
      <w:pPr>
        <w:ind w:firstLine="562"/>
        <w:rPr>
          <w:rFonts w:hAnsi="宋体" w:cstheme="minorBidi"/>
          <w:szCs w:val="28"/>
        </w:rPr>
      </w:pPr>
      <w:r>
        <w:rPr>
          <w:rFonts w:hint="eastAsia"/>
          <w:b/>
          <w:bCs/>
        </w:rPr>
        <w:t>采购工作完成率：</w:t>
      </w:r>
      <w:r>
        <w:rPr>
          <w:rFonts w:hint="eastAsia"/>
        </w:rPr>
        <w:t>我院本年度根据年初采购计划完成了执法办案车辆、案卷装订设备等各类设备购置工作，设备购置工作完成率为1</w:t>
      </w:r>
      <w:r>
        <w:t>00%</w:t>
      </w:r>
      <w:r>
        <w:rPr>
          <w:rFonts w:hint="eastAsia"/>
        </w:rPr>
        <w:t>。</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维修改造工作完成率：</w:t>
      </w:r>
      <w:r>
        <w:rPr>
          <w:rFonts w:hint="eastAsia"/>
        </w:rPr>
        <w:t>我院本年度根据年初计划完成了消防系统及自来水系统维修改造工程、室内变增容供配电工程、供热系统维修改造工程、地下停车场装修工程，维修改造工作完成率为1</w:t>
      </w:r>
      <w:r>
        <w:t>00%</w:t>
      </w:r>
      <w:r>
        <w:rPr>
          <w:rFonts w:hint="eastAsia"/>
        </w:rPr>
        <w:t>。</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法治宣传工作完成率：</w:t>
      </w:r>
      <w:r>
        <w:rPr>
          <w:rFonts w:hint="eastAsia"/>
        </w:rPr>
        <w:t>我院始终把精神文明建设作为一项重要工作抓在手上，年内组织干警开展了以生态环保、禁毒、民法典为重点的普法宣传活动，法治宣传工作完成率为100%。</w:t>
      </w:r>
      <w:r>
        <w:rPr>
          <w:rFonts w:hint="eastAsia" w:hAnsi="宋体" w:cstheme="minorBidi"/>
          <w:szCs w:val="28"/>
        </w:rPr>
        <w:t>指标分值2分，自评得分2分，得分率为100%。</w:t>
      </w:r>
    </w:p>
    <w:p>
      <w:pPr>
        <w:ind w:firstLine="562"/>
        <w:rPr>
          <w:rFonts w:hAnsi="宋体" w:cstheme="minorBidi"/>
          <w:szCs w:val="28"/>
          <w:highlight w:val="yellow"/>
        </w:rPr>
      </w:pPr>
      <w:r>
        <w:rPr>
          <w:rFonts w:hint="eastAsia"/>
          <w:b/>
          <w:bCs/>
        </w:rPr>
        <w:t>培训工作完成率：</w:t>
      </w:r>
      <w:r>
        <w:rPr>
          <w:rFonts w:hint="eastAsia"/>
        </w:rPr>
        <w:t>我院坚持“线上线下”相结合，积极参加党委安排的培训班、报告会，实现了对重点岗位干警的全覆盖，组织</w:t>
      </w:r>
      <w:r>
        <w:t>200名法官、法官助理赴兰州大学开展综合素质提升培训</w:t>
      </w:r>
      <w:r>
        <w:rPr>
          <w:rFonts w:hint="eastAsia"/>
        </w:rPr>
        <w:t>，</w:t>
      </w:r>
      <w:r>
        <w:t>加强岗位练兵，通过开展“庭审观摩”“优秀裁判文书评比”等活动，不断提升干警业务能力</w:t>
      </w:r>
      <w:r>
        <w:rPr>
          <w:rFonts w:hint="eastAsia"/>
        </w:rPr>
        <w:t>，培训工作完成率为100%</w:t>
      </w:r>
      <w:r>
        <w:t>。</w:t>
      </w:r>
      <w:r>
        <w:rPr>
          <w:rFonts w:hint="eastAsia" w:hAnsi="宋体" w:cstheme="minorBidi"/>
          <w:szCs w:val="28"/>
        </w:rPr>
        <w:t>指标分值2分，自评得分2分，得分率为100%。</w:t>
      </w:r>
    </w:p>
    <w:p>
      <w:pPr>
        <w:ind w:firstLine="562"/>
        <w:rPr>
          <w:b/>
          <w:bCs/>
        </w:rPr>
      </w:pPr>
      <w:r>
        <w:rPr>
          <w:rFonts w:hint="eastAsia"/>
          <w:b/>
          <w:bCs/>
        </w:rPr>
        <w:t>②产出质量指标</w:t>
      </w:r>
    </w:p>
    <w:p>
      <w:pPr>
        <w:ind w:firstLine="560"/>
      </w:pPr>
      <w:r>
        <w:rPr>
          <w:rFonts w:hint="eastAsia"/>
        </w:rPr>
        <w:t>产出质量指标下设4个指标，指标分值合计1</w:t>
      </w:r>
      <w:r>
        <w:t>2</w:t>
      </w:r>
      <w:r>
        <w:rPr>
          <w:rFonts w:hint="eastAsia"/>
        </w:rPr>
        <w:t>分，自评得分1</w:t>
      </w:r>
      <w:r>
        <w:t>2</w:t>
      </w:r>
      <w:r>
        <w:rPr>
          <w:rFonts w:hint="eastAsia"/>
        </w:rPr>
        <w:t>分，得分率为100</w:t>
      </w:r>
      <w:r>
        <w:t>%</w:t>
      </w:r>
      <w:r>
        <w:rPr>
          <w:rFonts w:hint="eastAsia"/>
        </w:rPr>
        <w:t>。</w:t>
      </w:r>
    </w:p>
    <w:tbl>
      <w:tblPr>
        <w:tblStyle w:val="19"/>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8"/>
        <w:gridCol w:w="1552"/>
        <w:gridCol w:w="1455"/>
        <w:gridCol w:w="979"/>
        <w:gridCol w:w="83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三级指标</w:t>
            </w:r>
          </w:p>
        </w:tc>
        <w:tc>
          <w:tcPr>
            <w:tcW w:w="88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年度目标值</w:t>
            </w:r>
          </w:p>
        </w:tc>
        <w:tc>
          <w:tcPr>
            <w:tcW w:w="82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实际完成值</w:t>
            </w:r>
          </w:p>
        </w:tc>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分值</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color w:val="000000"/>
                <w:sz w:val="24"/>
                <w:szCs w:val="24"/>
              </w:rPr>
              <w:t>二审改判率</w:t>
            </w:r>
          </w:p>
        </w:tc>
        <w:tc>
          <w:tcPr>
            <w:tcW w:w="8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≤15%</w:t>
            </w:r>
          </w:p>
        </w:tc>
        <w:tc>
          <w:tcPr>
            <w:tcW w:w="82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14.30%</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3</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r>
              <w:rPr>
                <w:rFonts w:hint="eastAsia"/>
                <w:color w:val="000000"/>
                <w:sz w:val="24"/>
                <w:szCs w:val="24"/>
              </w:rPr>
              <w:t>采购设备质量验收合格率</w:t>
            </w:r>
          </w:p>
        </w:tc>
        <w:tc>
          <w:tcPr>
            <w:tcW w:w="883"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828"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55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3</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r>
              <w:rPr>
                <w:rFonts w:hint="eastAsia"/>
                <w:color w:val="000000"/>
                <w:sz w:val="24"/>
                <w:szCs w:val="24"/>
              </w:rPr>
              <w:t>维修改造工程验收合格率</w:t>
            </w:r>
          </w:p>
        </w:tc>
        <w:tc>
          <w:tcPr>
            <w:tcW w:w="883"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828"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55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3</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bookmarkStart w:id="34" w:name="_Hlk93329942"/>
            <w:r>
              <w:rPr>
                <w:rFonts w:hint="eastAsia"/>
                <w:color w:val="000000"/>
                <w:sz w:val="24"/>
                <w:szCs w:val="24"/>
              </w:rPr>
              <w:t>培训考核通过率</w:t>
            </w:r>
            <w:bookmarkEnd w:id="34"/>
          </w:p>
        </w:tc>
        <w:tc>
          <w:tcPr>
            <w:tcW w:w="883"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828"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557" w:type="pct"/>
            <w:tcBorders>
              <w:top w:val="nil"/>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sz w:val="24"/>
                <w:szCs w:val="24"/>
              </w:rPr>
            </w:pPr>
            <w:r>
              <w:rPr>
                <w:rFonts w:hint="eastAsia"/>
                <w:sz w:val="24"/>
                <w:szCs w:val="24"/>
              </w:rPr>
              <w:t>3</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72"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55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2</w:t>
            </w:r>
          </w:p>
        </w:tc>
        <w:tc>
          <w:tcPr>
            <w:tcW w:w="473"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2</w:t>
            </w:r>
          </w:p>
        </w:tc>
        <w:tc>
          <w:tcPr>
            <w:tcW w:w="59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rFonts w:hAnsi="宋体" w:cstheme="minorBidi"/>
          <w:szCs w:val="28"/>
          <w:highlight w:val="yellow"/>
        </w:rPr>
      </w:pPr>
      <w:r>
        <w:rPr>
          <w:rFonts w:hint="eastAsia"/>
          <w:b/>
          <w:bCs/>
        </w:rPr>
        <w:t>二审改判率：</w:t>
      </w:r>
      <w:r>
        <w:rPr>
          <w:rFonts w:hint="eastAsia"/>
        </w:rPr>
        <w:t>我院本年度二审改判率为</w:t>
      </w:r>
      <w:r>
        <w:t>14.30%,</w:t>
      </w:r>
      <w:r>
        <w:rPr>
          <w:rFonts w:hint="eastAsia"/>
        </w:rPr>
        <w:t>控制在1</w:t>
      </w:r>
      <w:r>
        <w:t>5%</w:t>
      </w:r>
      <w:r>
        <w:rPr>
          <w:rFonts w:hint="eastAsia"/>
        </w:rPr>
        <w:t>以内，指标实际完成值达到年度目标值</w:t>
      </w:r>
      <w:r>
        <w:rPr>
          <w:rFonts w:hint="eastAsia" w:hAnsi="宋体" w:cstheme="minorBidi"/>
          <w:szCs w:val="28"/>
        </w:rPr>
        <w:t>。指标分值</w:t>
      </w:r>
      <w:r>
        <w:rPr>
          <w:rFonts w:hAnsi="宋体" w:cstheme="minorBidi"/>
          <w:szCs w:val="28"/>
        </w:rPr>
        <w:t>3</w:t>
      </w:r>
      <w:r>
        <w:rPr>
          <w:rFonts w:hint="eastAsia" w:hAnsi="宋体" w:cstheme="minorBidi"/>
          <w:szCs w:val="28"/>
        </w:rPr>
        <w:t>分，自评得分</w:t>
      </w:r>
      <w:r>
        <w:rPr>
          <w:rFonts w:hAnsi="宋体" w:cstheme="minorBidi"/>
          <w:szCs w:val="28"/>
        </w:rPr>
        <w:t>3</w:t>
      </w:r>
      <w:r>
        <w:rPr>
          <w:rFonts w:hint="eastAsia" w:hAnsi="宋体" w:cstheme="minorBidi"/>
          <w:szCs w:val="28"/>
        </w:rPr>
        <w:t>分，得分率为100%。</w:t>
      </w:r>
    </w:p>
    <w:p>
      <w:pPr>
        <w:ind w:firstLine="562"/>
        <w:rPr>
          <w:rFonts w:hAnsi="宋体" w:cstheme="minorBidi"/>
          <w:szCs w:val="28"/>
        </w:rPr>
      </w:pPr>
      <w:r>
        <w:rPr>
          <w:rFonts w:hint="eastAsia"/>
          <w:b/>
          <w:bCs/>
        </w:rPr>
        <w:t>采购设备质量验收合格率：</w:t>
      </w:r>
      <w:r>
        <w:rPr>
          <w:rFonts w:hint="eastAsia"/>
        </w:rPr>
        <w:t>2</w:t>
      </w:r>
      <w:r>
        <w:t>021</w:t>
      </w:r>
      <w:r>
        <w:rPr>
          <w:rFonts w:hint="eastAsia"/>
        </w:rPr>
        <w:t>年度所采购设备均达到验收标准，通过验收。</w:t>
      </w:r>
      <w:r>
        <w:rPr>
          <w:rFonts w:hint="eastAsia" w:hAnsi="宋体" w:cstheme="minorBidi"/>
          <w:szCs w:val="28"/>
        </w:rPr>
        <w:t>指标分值3分，自评得分3分，得分率为100%。</w:t>
      </w:r>
    </w:p>
    <w:p>
      <w:pPr>
        <w:ind w:firstLine="562"/>
        <w:rPr>
          <w:szCs w:val="28"/>
        </w:rPr>
      </w:pPr>
      <w:r>
        <w:rPr>
          <w:rFonts w:hint="eastAsia"/>
          <w:b/>
          <w:bCs/>
        </w:rPr>
        <w:t>维修改造工程质量验收合格率：</w:t>
      </w:r>
      <w:r>
        <w:rPr>
          <w:rFonts w:hint="eastAsia"/>
        </w:rPr>
        <w:t>2</w:t>
      </w:r>
      <w:r>
        <w:t>021</w:t>
      </w:r>
      <w:r>
        <w:rPr>
          <w:rFonts w:hint="eastAsia"/>
        </w:rPr>
        <w:t>年度所实施的维修改造工程均达到验收标准，通过验收。</w:t>
      </w:r>
      <w:r>
        <w:rPr>
          <w:rFonts w:hint="eastAsia" w:hAnsi="宋体" w:cstheme="minorBidi"/>
          <w:szCs w:val="28"/>
        </w:rPr>
        <w:t>指标分值3分，自评得分3分，得分率为100%。</w:t>
      </w:r>
    </w:p>
    <w:p>
      <w:pPr>
        <w:ind w:firstLine="562"/>
        <w:rPr>
          <w:szCs w:val="28"/>
        </w:rPr>
      </w:pPr>
      <w:r>
        <w:rPr>
          <w:rFonts w:hint="eastAsia"/>
          <w:b/>
          <w:bCs/>
        </w:rPr>
        <w:t>培训考核通过率：</w:t>
      </w:r>
      <w:r>
        <w:rPr>
          <w:rFonts w:hint="eastAsia"/>
        </w:rPr>
        <w:t>我院组织干警进行培训学习，培训考核通过率为100%，指标实际完成值达到年度目标值。</w:t>
      </w:r>
      <w:r>
        <w:rPr>
          <w:rFonts w:hint="eastAsia" w:hAnsi="宋体" w:cstheme="minorBidi"/>
          <w:szCs w:val="28"/>
        </w:rPr>
        <w:t>指标分值3分，自评得分3分，得分率为100%</w:t>
      </w:r>
      <w:r>
        <w:rPr>
          <w:rFonts w:hint="eastAsia"/>
        </w:rPr>
        <w:t>。</w:t>
      </w:r>
    </w:p>
    <w:p>
      <w:pPr>
        <w:pStyle w:val="38"/>
        <w:ind w:left="920" w:firstLine="0" w:firstLineChars="0"/>
        <w:rPr>
          <w:b/>
          <w:bCs/>
        </w:rPr>
      </w:pPr>
      <w:r>
        <w:rPr>
          <w:rFonts w:hint="eastAsia"/>
          <w:b/>
          <w:bCs/>
        </w:rPr>
        <w:t>③产出时效指标</w:t>
      </w:r>
    </w:p>
    <w:p>
      <w:pPr>
        <w:ind w:firstLine="560"/>
      </w:pPr>
      <w:r>
        <w:rPr>
          <w:rFonts w:hint="eastAsia"/>
        </w:rPr>
        <w:t>产出时效指标下设</w:t>
      </w:r>
      <w:r>
        <w:t>5</w:t>
      </w:r>
      <w:r>
        <w:rPr>
          <w:rFonts w:hint="eastAsia"/>
        </w:rPr>
        <w:t>个指标，指标分值合计</w:t>
      </w:r>
      <w:r>
        <w:t>11</w:t>
      </w:r>
      <w:r>
        <w:rPr>
          <w:rFonts w:hint="eastAsia"/>
        </w:rPr>
        <w:t>分，自评得分</w:t>
      </w:r>
      <w:r>
        <w:t>11</w:t>
      </w:r>
      <w:r>
        <w:rPr>
          <w:rFonts w:hint="eastAsia"/>
        </w:rPr>
        <w:t>分，得分率为100</w:t>
      </w:r>
      <w:r>
        <w:t>%</w:t>
      </w:r>
      <w:r>
        <w:rPr>
          <w:rFonts w:hint="eastAsia"/>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1476"/>
        <w:gridCol w:w="1462"/>
        <w:gridCol w:w="781"/>
        <w:gridCol w:w="893"/>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三级指标</w:t>
            </w:r>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年度目标值</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实际完成值</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分值</w:t>
            </w:r>
          </w:p>
        </w:tc>
        <w:tc>
          <w:tcPr>
            <w:tcW w:w="52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bookmarkStart w:id="35" w:name="_Hlk93330025"/>
            <w:r>
              <w:rPr>
                <w:rFonts w:hint="eastAsia"/>
                <w:color w:val="000000"/>
                <w:sz w:val="24"/>
                <w:szCs w:val="24"/>
              </w:rPr>
              <w:t>法定审限内结案率</w:t>
            </w:r>
            <w:bookmarkEnd w:id="35"/>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≥95%</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99.08%</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8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bookmarkStart w:id="36" w:name="_Hlk93330034"/>
            <w:r>
              <w:rPr>
                <w:rFonts w:hint="eastAsia"/>
                <w:color w:val="000000"/>
                <w:sz w:val="24"/>
                <w:szCs w:val="24"/>
              </w:rPr>
              <w:t>采购工作完成及时性</w:t>
            </w:r>
            <w:bookmarkEnd w:id="36"/>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r>
              <w:rPr>
                <w:rFonts w:hint="eastAsia"/>
                <w:color w:val="000000"/>
                <w:sz w:val="24"/>
                <w:szCs w:val="24"/>
              </w:rPr>
              <w:t>维修改造工作完成及时性</w:t>
            </w:r>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r>
              <w:rPr>
                <w:rFonts w:hint="eastAsia"/>
                <w:color w:val="000000"/>
                <w:sz w:val="24"/>
                <w:szCs w:val="24"/>
              </w:rPr>
              <w:t>法治宣传工作完成及时性</w:t>
            </w:r>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2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color w:val="000000"/>
                <w:sz w:val="24"/>
                <w:szCs w:val="24"/>
              </w:rPr>
            </w:pPr>
            <w:bookmarkStart w:id="37" w:name="_Hlk93330041"/>
            <w:r>
              <w:rPr>
                <w:rFonts w:hint="eastAsia"/>
                <w:color w:val="000000"/>
                <w:sz w:val="24"/>
                <w:szCs w:val="24"/>
              </w:rPr>
              <w:t>培训工作完成及时性</w:t>
            </w:r>
            <w:bookmarkEnd w:id="37"/>
          </w:p>
        </w:tc>
        <w:tc>
          <w:tcPr>
            <w:tcW w:w="8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8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8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52"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45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1</w:t>
            </w:r>
          </w:p>
        </w:tc>
        <w:tc>
          <w:tcPr>
            <w:tcW w:w="524"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1</w:t>
            </w:r>
          </w:p>
        </w:tc>
        <w:tc>
          <w:tcPr>
            <w:tcW w:w="56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szCs w:val="28"/>
        </w:rPr>
      </w:pPr>
      <w:bookmarkStart w:id="38" w:name="_Hlk64230340"/>
      <w:r>
        <w:rPr>
          <w:rFonts w:hint="eastAsia"/>
          <w:b/>
          <w:bCs/>
        </w:rPr>
        <w:t>法定审限内结案率：</w:t>
      </w:r>
      <w:r>
        <w:rPr>
          <w:rFonts w:hint="eastAsia"/>
        </w:rPr>
        <w:t>我院本年度法定审限内结案率为</w:t>
      </w:r>
      <w:r>
        <w:t>99.08%</w:t>
      </w:r>
      <w:r>
        <w:rPr>
          <w:rFonts w:hint="eastAsia"/>
        </w:rPr>
        <w:t>，指标实际完成值达到年度目标值</w:t>
      </w:r>
      <w:r>
        <w:rPr>
          <w:rFonts w:hint="eastAsia" w:hAnsi="宋体" w:cstheme="minorBidi"/>
          <w:szCs w:val="28"/>
        </w:rPr>
        <w:t>。指标分值3分，自评得分3分，得分率为100%。</w:t>
      </w:r>
    </w:p>
    <w:p>
      <w:pPr>
        <w:ind w:firstLine="562"/>
        <w:rPr>
          <w:rFonts w:hAnsi="宋体" w:cstheme="minorBidi"/>
          <w:szCs w:val="28"/>
        </w:rPr>
      </w:pPr>
      <w:r>
        <w:rPr>
          <w:rFonts w:hint="eastAsia"/>
          <w:b/>
          <w:bCs/>
        </w:rPr>
        <w:t>采购工作完成及时性：</w:t>
      </w:r>
      <w:r>
        <w:rPr>
          <w:rFonts w:hint="eastAsia"/>
        </w:rPr>
        <w:t>我院按计划及时完成了执法执勤车辆等设备的购置工作，设备购置工作完成及时性达到年度目标值。</w:t>
      </w:r>
      <w:r>
        <w:rPr>
          <w:rFonts w:hint="eastAsia" w:hAnsi="宋体" w:cstheme="minorBidi"/>
          <w:szCs w:val="28"/>
        </w:rPr>
        <w:t>指标分值2分，自评得分2分，得分率为100%。</w:t>
      </w:r>
    </w:p>
    <w:p>
      <w:pPr>
        <w:ind w:firstLine="562"/>
        <w:rPr>
          <w:szCs w:val="28"/>
        </w:rPr>
      </w:pPr>
      <w:r>
        <w:rPr>
          <w:rFonts w:hint="eastAsia"/>
          <w:b/>
          <w:bCs/>
        </w:rPr>
        <w:t>维修改造工作完成及时性：</w:t>
      </w:r>
      <w:r>
        <w:rPr>
          <w:rFonts w:hint="eastAsia"/>
        </w:rPr>
        <w:t>我院按计划及时完成了消防系统及自来水系统维修改造工程等各项维修改造工作，维修改造工作完成及时性达到年度目标值。</w:t>
      </w:r>
      <w:r>
        <w:rPr>
          <w:rFonts w:hint="eastAsia" w:hAnsi="宋体" w:cstheme="minorBidi"/>
          <w:szCs w:val="28"/>
        </w:rPr>
        <w:t>指标分值2分，自评得分2分，得分率为100%。</w:t>
      </w:r>
    </w:p>
    <w:p>
      <w:pPr>
        <w:ind w:firstLine="562"/>
        <w:rPr>
          <w:szCs w:val="28"/>
        </w:rPr>
      </w:pPr>
      <w:r>
        <w:rPr>
          <w:rFonts w:hint="eastAsia"/>
          <w:b/>
          <w:bCs/>
        </w:rPr>
        <w:t>法治宣传工作完成及时性：</w:t>
      </w:r>
      <w:r>
        <w:rPr>
          <w:rFonts w:hint="eastAsia"/>
        </w:rPr>
        <w:t>我院按时完成年初计划的宣传工作，宣传工作完成及时性达到年度目标值。</w:t>
      </w:r>
      <w:r>
        <w:rPr>
          <w:rFonts w:hint="eastAsia" w:hAnsi="宋体" w:cstheme="minorBidi"/>
          <w:szCs w:val="28"/>
        </w:rPr>
        <w:t>指标分值2分，自评得分2分，得分率为100%。</w:t>
      </w:r>
    </w:p>
    <w:p>
      <w:pPr>
        <w:ind w:firstLine="562"/>
        <w:rPr>
          <w:szCs w:val="28"/>
        </w:rPr>
      </w:pPr>
      <w:r>
        <w:rPr>
          <w:rFonts w:hint="eastAsia"/>
          <w:b/>
          <w:bCs/>
        </w:rPr>
        <w:t>培训工作完成及时性：</w:t>
      </w:r>
      <w:r>
        <w:rPr>
          <w:rFonts w:hint="eastAsia"/>
        </w:rPr>
        <w:t>我院按时完成培训工作，培训工作完成及时性达年度到目标值。</w:t>
      </w:r>
      <w:r>
        <w:rPr>
          <w:rFonts w:hint="eastAsia" w:hAnsi="宋体" w:cstheme="minorBidi"/>
          <w:szCs w:val="28"/>
        </w:rPr>
        <w:t>指标分值2分，自评得分2分，得分率为100%。</w:t>
      </w:r>
    </w:p>
    <w:p>
      <w:pPr>
        <w:pStyle w:val="38"/>
        <w:ind w:left="920" w:firstLine="0" w:firstLineChars="0"/>
        <w:rPr>
          <w:b/>
          <w:bCs/>
        </w:rPr>
      </w:pPr>
      <w:r>
        <w:rPr>
          <w:rFonts w:hint="eastAsia"/>
          <w:b/>
          <w:bCs/>
        </w:rPr>
        <w:t>④产出成本指标</w:t>
      </w:r>
    </w:p>
    <w:p>
      <w:pPr>
        <w:ind w:firstLine="560"/>
      </w:pPr>
      <w:r>
        <w:rPr>
          <w:rFonts w:hint="eastAsia"/>
        </w:rPr>
        <w:t>产出成本指标下设1个指标，指标分值合计</w:t>
      </w:r>
      <w:r>
        <w:t>2</w:t>
      </w:r>
      <w:r>
        <w:rPr>
          <w:rFonts w:hint="eastAsia"/>
        </w:rPr>
        <w:t>分，自评得分</w:t>
      </w:r>
      <w:r>
        <w:t>2</w:t>
      </w:r>
      <w:r>
        <w:rPr>
          <w:rFonts w:hint="eastAsia"/>
        </w:rPr>
        <w:t>分，得分率为100</w:t>
      </w:r>
      <w:r>
        <w:t>%</w:t>
      </w:r>
      <w:r>
        <w:rPr>
          <w:rFonts w:hint="eastAsia"/>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1725"/>
        <w:gridCol w:w="1725"/>
        <w:gridCol w:w="862"/>
        <w:gridCol w:w="71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32" w:type="pct"/>
            <w:vAlign w:val="center"/>
          </w:tcPr>
          <w:p>
            <w:pPr>
              <w:spacing w:line="240" w:lineRule="auto"/>
              <w:ind w:firstLine="0" w:firstLineChars="0"/>
              <w:jc w:val="center"/>
              <w:rPr>
                <w:b/>
                <w:bCs/>
                <w:sz w:val="24"/>
                <w:szCs w:val="24"/>
              </w:rPr>
            </w:pPr>
            <w:r>
              <w:rPr>
                <w:rFonts w:hint="eastAsia" w:hAnsi="宋体" w:cs="宋体"/>
                <w:b/>
                <w:bCs/>
                <w:sz w:val="24"/>
                <w:szCs w:val="24"/>
              </w:rPr>
              <w:t>三级指标</w:t>
            </w:r>
          </w:p>
        </w:tc>
        <w:tc>
          <w:tcPr>
            <w:tcW w:w="1012" w:type="pct"/>
            <w:vAlign w:val="center"/>
          </w:tcPr>
          <w:p>
            <w:pPr>
              <w:spacing w:line="240" w:lineRule="auto"/>
              <w:ind w:firstLine="0" w:firstLineChars="0"/>
              <w:jc w:val="center"/>
              <w:rPr>
                <w:b/>
                <w:bCs/>
                <w:sz w:val="24"/>
                <w:szCs w:val="24"/>
              </w:rPr>
            </w:pPr>
            <w:r>
              <w:rPr>
                <w:rFonts w:hint="eastAsia" w:hAnsi="宋体" w:cs="宋体"/>
                <w:b/>
                <w:bCs/>
                <w:sz w:val="24"/>
                <w:szCs w:val="24"/>
              </w:rPr>
              <w:t>年度目标值</w:t>
            </w:r>
          </w:p>
        </w:tc>
        <w:tc>
          <w:tcPr>
            <w:tcW w:w="1012" w:type="pct"/>
            <w:vAlign w:val="center"/>
          </w:tcPr>
          <w:p>
            <w:pPr>
              <w:spacing w:line="240" w:lineRule="auto"/>
              <w:ind w:firstLine="0" w:firstLineChars="0"/>
              <w:jc w:val="center"/>
              <w:rPr>
                <w:b/>
                <w:bCs/>
                <w:sz w:val="24"/>
                <w:szCs w:val="24"/>
              </w:rPr>
            </w:pPr>
            <w:r>
              <w:rPr>
                <w:rFonts w:hint="eastAsia" w:hAnsi="宋体" w:cs="宋体"/>
                <w:b/>
                <w:bCs/>
                <w:sz w:val="24"/>
                <w:szCs w:val="24"/>
              </w:rPr>
              <w:t>实际完成值</w:t>
            </w:r>
          </w:p>
        </w:tc>
        <w:tc>
          <w:tcPr>
            <w:tcW w:w="506" w:type="pct"/>
            <w:vAlign w:val="center"/>
          </w:tcPr>
          <w:p>
            <w:pPr>
              <w:spacing w:line="240" w:lineRule="auto"/>
              <w:ind w:firstLine="0" w:firstLineChars="0"/>
              <w:jc w:val="center"/>
              <w:rPr>
                <w:b/>
                <w:bCs/>
                <w:sz w:val="24"/>
                <w:szCs w:val="24"/>
              </w:rPr>
            </w:pPr>
            <w:r>
              <w:rPr>
                <w:rFonts w:hint="eastAsia" w:hAnsi="宋体" w:cs="宋体"/>
                <w:b/>
                <w:bCs/>
                <w:sz w:val="24"/>
                <w:szCs w:val="24"/>
              </w:rPr>
              <w:t>分值</w:t>
            </w:r>
          </w:p>
        </w:tc>
        <w:tc>
          <w:tcPr>
            <w:tcW w:w="421" w:type="pct"/>
            <w:vAlign w:val="center"/>
          </w:tcPr>
          <w:p>
            <w:pPr>
              <w:spacing w:line="240" w:lineRule="auto"/>
              <w:ind w:firstLine="0" w:firstLineChars="0"/>
              <w:jc w:val="center"/>
              <w:rPr>
                <w:b/>
                <w:bCs/>
                <w:sz w:val="24"/>
                <w:szCs w:val="24"/>
              </w:rPr>
            </w:pPr>
            <w:r>
              <w:rPr>
                <w:rFonts w:hint="eastAsia" w:hAnsi="宋体" w:cs="宋体"/>
                <w:b/>
                <w:bCs/>
                <w:sz w:val="24"/>
                <w:szCs w:val="24"/>
              </w:rPr>
              <w:t>得分</w:t>
            </w:r>
          </w:p>
        </w:tc>
        <w:tc>
          <w:tcPr>
            <w:tcW w:w="617" w:type="pct"/>
            <w:vAlign w:val="center"/>
          </w:tcPr>
          <w:p>
            <w:pPr>
              <w:spacing w:line="240" w:lineRule="auto"/>
              <w:ind w:firstLine="0" w:firstLineChars="0"/>
              <w:jc w:val="center"/>
              <w:rPr>
                <w:b/>
                <w:bCs/>
                <w:sz w:val="24"/>
                <w:szCs w:val="24"/>
              </w:rPr>
            </w:pPr>
            <w:r>
              <w:rPr>
                <w:rFonts w:hint="eastAsia" w:hAnsi="宋体" w:cs="宋体"/>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pct"/>
            <w:vAlign w:val="center"/>
          </w:tcPr>
          <w:p>
            <w:pPr>
              <w:spacing w:line="240" w:lineRule="auto"/>
              <w:ind w:firstLine="0" w:firstLineChars="0"/>
              <w:jc w:val="center"/>
              <w:rPr>
                <w:sz w:val="24"/>
                <w:szCs w:val="24"/>
              </w:rPr>
            </w:pPr>
            <w:r>
              <w:rPr>
                <w:sz w:val="24"/>
                <w:szCs w:val="24"/>
              </w:rPr>
              <w:t>成本控制情况</w:t>
            </w:r>
          </w:p>
        </w:tc>
        <w:tc>
          <w:tcPr>
            <w:tcW w:w="1012" w:type="pct"/>
            <w:vAlign w:val="center"/>
          </w:tcPr>
          <w:p>
            <w:pPr>
              <w:spacing w:line="240" w:lineRule="auto"/>
              <w:ind w:firstLine="0" w:firstLineChars="0"/>
              <w:jc w:val="center"/>
              <w:rPr>
                <w:sz w:val="24"/>
                <w:szCs w:val="24"/>
              </w:rPr>
            </w:pPr>
            <w:r>
              <w:rPr>
                <w:rFonts w:hint="eastAsia"/>
                <w:sz w:val="24"/>
                <w:szCs w:val="24"/>
              </w:rPr>
              <w:t>在预算范围内</w:t>
            </w:r>
          </w:p>
        </w:tc>
        <w:tc>
          <w:tcPr>
            <w:tcW w:w="1012" w:type="pct"/>
            <w:vAlign w:val="center"/>
          </w:tcPr>
          <w:p>
            <w:pPr>
              <w:spacing w:line="240" w:lineRule="auto"/>
              <w:ind w:firstLine="0" w:firstLineChars="0"/>
              <w:jc w:val="center"/>
              <w:rPr>
                <w:sz w:val="24"/>
                <w:szCs w:val="24"/>
              </w:rPr>
            </w:pPr>
            <w:r>
              <w:rPr>
                <w:rFonts w:hint="eastAsia"/>
                <w:sz w:val="24"/>
                <w:szCs w:val="24"/>
              </w:rPr>
              <w:t>100%</w:t>
            </w:r>
          </w:p>
        </w:tc>
        <w:tc>
          <w:tcPr>
            <w:tcW w:w="506" w:type="pct"/>
            <w:vAlign w:val="center"/>
          </w:tcPr>
          <w:p>
            <w:pPr>
              <w:spacing w:line="240" w:lineRule="auto"/>
              <w:ind w:firstLine="0" w:firstLineChars="0"/>
              <w:jc w:val="center"/>
              <w:rPr>
                <w:sz w:val="24"/>
                <w:szCs w:val="24"/>
              </w:rPr>
            </w:pPr>
            <w:r>
              <w:rPr>
                <w:rFonts w:hint="eastAsia"/>
                <w:sz w:val="24"/>
                <w:szCs w:val="24"/>
              </w:rPr>
              <w:t>2</w:t>
            </w:r>
          </w:p>
        </w:tc>
        <w:tc>
          <w:tcPr>
            <w:tcW w:w="421" w:type="pct"/>
            <w:vAlign w:val="center"/>
          </w:tcPr>
          <w:p>
            <w:pPr>
              <w:spacing w:line="240" w:lineRule="auto"/>
              <w:ind w:firstLine="0" w:firstLineChars="0"/>
              <w:jc w:val="center"/>
              <w:rPr>
                <w:sz w:val="24"/>
                <w:szCs w:val="24"/>
              </w:rPr>
            </w:pPr>
            <w:r>
              <w:rPr>
                <w:rFonts w:hint="eastAsia"/>
                <w:sz w:val="24"/>
                <w:szCs w:val="24"/>
              </w:rPr>
              <w:t>2</w:t>
            </w:r>
          </w:p>
        </w:tc>
        <w:tc>
          <w:tcPr>
            <w:tcW w:w="617" w:type="pct"/>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6" w:type="pct"/>
            <w:gridSpan w:val="3"/>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506" w:type="pct"/>
            <w:vAlign w:val="center"/>
          </w:tcPr>
          <w:p>
            <w:pPr>
              <w:spacing w:line="240" w:lineRule="auto"/>
              <w:ind w:firstLine="0" w:firstLineChars="0"/>
              <w:jc w:val="center"/>
              <w:rPr>
                <w:b/>
                <w:bCs/>
                <w:sz w:val="24"/>
                <w:szCs w:val="24"/>
              </w:rPr>
            </w:pPr>
            <w:r>
              <w:rPr>
                <w:rFonts w:hint="eastAsia"/>
                <w:b/>
                <w:bCs/>
                <w:sz w:val="24"/>
                <w:szCs w:val="24"/>
              </w:rPr>
              <w:t>2</w:t>
            </w:r>
          </w:p>
        </w:tc>
        <w:tc>
          <w:tcPr>
            <w:tcW w:w="421" w:type="pct"/>
            <w:vAlign w:val="center"/>
          </w:tcPr>
          <w:p>
            <w:pPr>
              <w:spacing w:line="240" w:lineRule="auto"/>
              <w:ind w:firstLine="0" w:firstLineChars="0"/>
              <w:jc w:val="center"/>
              <w:rPr>
                <w:b/>
                <w:bCs/>
                <w:sz w:val="24"/>
                <w:szCs w:val="24"/>
              </w:rPr>
            </w:pPr>
            <w:r>
              <w:rPr>
                <w:rFonts w:hint="eastAsia"/>
                <w:b/>
                <w:bCs/>
                <w:sz w:val="24"/>
                <w:szCs w:val="24"/>
              </w:rPr>
              <w:t>2</w:t>
            </w:r>
          </w:p>
        </w:tc>
        <w:tc>
          <w:tcPr>
            <w:tcW w:w="617" w:type="pct"/>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szCs w:val="28"/>
        </w:rPr>
      </w:pPr>
      <w:r>
        <w:rPr>
          <w:rFonts w:hint="eastAsia"/>
          <w:b/>
          <w:bCs/>
        </w:rPr>
        <w:t>成本控制情况：</w:t>
      </w:r>
      <w:bookmarkEnd w:id="38"/>
      <w:r>
        <w:rPr>
          <w:rFonts w:hint="eastAsia"/>
        </w:rPr>
        <w:t>本项目</w:t>
      </w:r>
      <w:r>
        <w:rPr>
          <w:rFonts w:hint="eastAsia" w:hAnsi="宋体"/>
          <w:color w:val="000000" w:themeColor="text1"/>
          <w:szCs w:val="28"/>
          <w14:textFill>
            <w14:solidFill>
              <w14:schemeClr w14:val="tx1"/>
            </w14:solidFill>
          </w14:textFill>
        </w:rPr>
        <w:t>全年预算资金总额为3776.69万元，实际支出3495.58万元，成本有效控制在预算范围内，</w:t>
      </w:r>
      <w:r>
        <w:rPr>
          <w:rFonts w:hint="eastAsia"/>
        </w:rPr>
        <w:t>指标实际完成值达到年度目标值</w:t>
      </w:r>
      <w:r>
        <w:rPr>
          <w:rFonts w:hint="eastAsia" w:hAnsi="宋体" w:cstheme="minorBidi"/>
          <w:szCs w:val="28"/>
        </w:rPr>
        <w:t>。指标分值</w:t>
      </w:r>
      <w:r>
        <w:rPr>
          <w:rFonts w:hAnsi="宋体" w:cstheme="minorBidi"/>
          <w:szCs w:val="28"/>
        </w:rPr>
        <w:t>2</w:t>
      </w:r>
      <w:r>
        <w:rPr>
          <w:rFonts w:hint="eastAsia" w:hAnsi="宋体" w:cstheme="minorBidi"/>
          <w:szCs w:val="28"/>
        </w:rPr>
        <w:t>分，自评得分</w:t>
      </w:r>
      <w:r>
        <w:rPr>
          <w:rFonts w:hAnsi="宋体" w:cstheme="minorBidi"/>
          <w:szCs w:val="28"/>
        </w:rPr>
        <w:t>2</w:t>
      </w:r>
      <w:r>
        <w:rPr>
          <w:rFonts w:hint="eastAsia" w:hAnsi="宋体" w:cstheme="minorBidi"/>
          <w:szCs w:val="28"/>
        </w:rPr>
        <w:t>分，得分率为100%。</w:t>
      </w:r>
    </w:p>
    <w:p>
      <w:pPr>
        <w:ind w:firstLine="562"/>
        <w:rPr>
          <w:b/>
          <w:bCs/>
        </w:rPr>
      </w:pPr>
      <w:r>
        <w:rPr>
          <w:rFonts w:hint="eastAsia"/>
          <w:b/>
          <w:bCs/>
        </w:rPr>
        <w:t>（2）部门效果目标</w:t>
      </w:r>
    </w:p>
    <w:p>
      <w:pPr>
        <w:ind w:firstLine="560"/>
      </w:pPr>
      <w:r>
        <w:rPr>
          <w:rFonts w:hint="eastAsia"/>
        </w:rPr>
        <w:t>部门效果目标根据部门重点工作任务的效果而设置，根据我部门的工作职能，从经济效益、社会效益两个方面考虑，指标权重合计</w:t>
      </w:r>
      <w:r>
        <w:t>5</w:t>
      </w:r>
      <w:r>
        <w:rPr>
          <w:rFonts w:hint="eastAsia"/>
        </w:rPr>
        <w:t>分，自评得分4.77分，得分率为95.40</w:t>
      </w:r>
      <w:r>
        <w:t>%</w:t>
      </w:r>
      <w:r>
        <w:rPr>
          <w:rFonts w:hint="eastAsia"/>
        </w:rPr>
        <w:t>。</w:t>
      </w:r>
    </w:p>
    <w:p>
      <w:pPr>
        <w:pStyle w:val="38"/>
        <w:ind w:left="922" w:firstLine="0" w:firstLineChars="0"/>
        <w:rPr>
          <w:b/>
          <w:bCs/>
        </w:rPr>
      </w:pPr>
      <w:r>
        <w:rPr>
          <w:rFonts w:hint="eastAsia"/>
          <w:b/>
          <w:bCs/>
        </w:rPr>
        <w:t>①经济效益指标</w:t>
      </w:r>
    </w:p>
    <w:p>
      <w:pPr>
        <w:ind w:firstLine="560"/>
      </w:pPr>
      <w:r>
        <w:rPr>
          <w:rFonts w:hint="eastAsia"/>
        </w:rPr>
        <w:t>经济效益指标下设1个指标，指标分值合计2分，自评得分1.77分，得分率为88.5</w:t>
      </w:r>
      <w:r>
        <w:t>0%</w:t>
      </w:r>
      <w:r>
        <w:rPr>
          <w:rFonts w:hint="eastAsia"/>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1725"/>
        <w:gridCol w:w="1725"/>
        <w:gridCol w:w="862"/>
        <w:gridCol w:w="71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三级指标</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年度目标值</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实际完成值</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分值</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hAnsi="宋体" w:cs="宋体"/>
                <w:color w:val="000000"/>
                <w:kern w:val="0"/>
                <w:sz w:val="24"/>
                <w:szCs w:val="24"/>
              </w:rPr>
              <w:t>执行标的到位率</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10</w:t>
            </w:r>
            <w:r>
              <w:rPr>
                <w:rFonts w:hint="eastAsia"/>
                <w:sz w:val="24"/>
                <w:szCs w:val="24"/>
              </w:rPr>
              <w:t>%</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8.87</w:t>
            </w:r>
            <w:r>
              <w:rPr>
                <w:rFonts w:hint="eastAsia"/>
                <w:sz w:val="24"/>
                <w:szCs w:val="24"/>
              </w:rPr>
              <w:t>%</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2</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1.77</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2</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1.77</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88.50%</w:t>
            </w:r>
          </w:p>
        </w:tc>
      </w:tr>
    </w:tbl>
    <w:p>
      <w:pPr>
        <w:ind w:firstLine="562"/>
      </w:pPr>
      <w:r>
        <w:rPr>
          <w:rFonts w:hint="eastAsia"/>
          <w:b/>
          <w:bCs/>
        </w:rPr>
        <w:t>执行标的到位率：</w:t>
      </w:r>
      <w:r>
        <w:rPr>
          <w:rFonts w:hint="eastAsia"/>
        </w:rPr>
        <w:t>我院不断优化营商环境，妥善处理金融借贷、民间借款合同纠纷案</w:t>
      </w:r>
      <w:r>
        <w:t>件，着力防范金融风险</w:t>
      </w:r>
      <w:r>
        <w:rPr>
          <w:rFonts w:hint="eastAsia"/>
        </w:rPr>
        <w:t>，执行标的到位率为8</w:t>
      </w:r>
      <w:r>
        <w:t>.87</w:t>
      </w:r>
      <w:r>
        <w:rPr>
          <w:rFonts w:hint="eastAsia"/>
        </w:rPr>
        <w:t>%，实际完成值略低于年度目标值，根据得分标准扣0.23分。指标分值合计</w:t>
      </w:r>
      <w:r>
        <w:t>2</w:t>
      </w:r>
      <w:r>
        <w:rPr>
          <w:rFonts w:hint="eastAsia"/>
        </w:rPr>
        <w:t>分，自评得分</w:t>
      </w:r>
      <w:r>
        <w:t>1</w:t>
      </w:r>
      <w:r>
        <w:rPr>
          <w:rFonts w:hint="eastAsia"/>
        </w:rPr>
        <w:t>.77分，得分率为88.</w:t>
      </w:r>
      <w:r>
        <w:t>50%</w:t>
      </w:r>
      <w:r>
        <w:rPr>
          <w:rFonts w:hint="eastAsia"/>
        </w:rPr>
        <w:t>。</w:t>
      </w:r>
    </w:p>
    <w:p>
      <w:pPr>
        <w:pStyle w:val="38"/>
        <w:ind w:left="922" w:firstLine="0" w:firstLineChars="0"/>
        <w:rPr>
          <w:rFonts w:hAnsi="仿宋"/>
          <w:b/>
          <w:bCs/>
        </w:rPr>
      </w:pPr>
      <w:r>
        <w:rPr>
          <w:rFonts w:hint="eastAsia"/>
          <w:b/>
          <w:bCs/>
        </w:rPr>
        <w:t>②社会效益指标</w:t>
      </w:r>
    </w:p>
    <w:p>
      <w:pPr>
        <w:ind w:firstLine="560"/>
      </w:pPr>
      <w:r>
        <w:rPr>
          <w:rFonts w:hint="eastAsia"/>
        </w:rPr>
        <w:t>社会效益指标下设</w:t>
      </w:r>
      <w:r>
        <w:t>1</w:t>
      </w:r>
      <w:r>
        <w:rPr>
          <w:rFonts w:hint="eastAsia"/>
        </w:rPr>
        <w:t>个指标，指标分值合计</w:t>
      </w:r>
      <w:r>
        <w:t>3</w:t>
      </w:r>
      <w:r>
        <w:rPr>
          <w:rFonts w:hint="eastAsia"/>
        </w:rPr>
        <w:t>分，自评得分</w:t>
      </w:r>
      <w:r>
        <w:t>3</w:t>
      </w:r>
      <w:r>
        <w:rPr>
          <w:rFonts w:hint="eastAsia"/>
        </w:rPr>
        <w:t>分，得分率为100</w:t>
      </w:r>
      <w:r>
        <w:t>%</w:t>
      </w:r>
      <w:r>
        <w:rPr>
          <w:rFonts w:hint="eastAsia"/>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1725"/>
        <w:gridCol w:w="1725"/>
        <w:gridCol w:w="862"/>
        <w:gridCol w:w="71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三级指标</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年度目标值</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实际完成值</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分值</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裁判文书上网率</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65%</w:t>
            </w:r>
          </w:p>
        </w:tc>
        <w:tc>
          <w:tcPr>
            <w:tcW w:w="1012"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67.89%</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3</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6" w:type="pct"/>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506"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3</w:t>
            </w:r>
          </w:p>
        </w:tc>
        <w:tc>
          <w:tcPr>
            <w:tcW w:w="42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3</w:t>
            </w:r>
          </w:p>
        </w:tc>
        <w:tc>
          <w:tcPr>
            <w:tcW w:w="617"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78"/>
        <w:rPr>
          <w:szCs w:val="28"/>
        </w:rPr>
      </w:pPr>
      <w:r>
        <w:rPr>
          <w:rFonts w:hint="eastAsia"/>
          <w:b/>
          <w:bCs/>
          <w:spacing w:val="4"/>
          <w:szCs w:val="28"/>
        </w:rPr>
        <w:t>裁判文书上网率：</w:t>
      </w:r>
      <w:r>
        <w:rPr>
          <w:rFonts w:hint="eastAsia"/>
        </w:rPr>
        <w:t>裁判文书是审判工作的最终产品，我院认真落实文书上网制度。在满足当事人知情权、参与权的同时，自觉接受监督，倒逼法官提升司法能力，让公平正义经得起围观，</w:t>
      </w:r>
      <w:r>
        <w:rPr>
          <w:rFonts w:hint="eastAsia"/>
          <w:spacing w:val="4"/>
          <w:szCs w:val="28"/>
        </w:rPr>
        <w:t>上网裁判文书</w:t>
      </w:r>
      <w:r>
        <w:rPr>
          <w:spacing w:val="4"/>
          <w:szCs w:val="28"/>
        </w:rPr>
        <w:t>3.4万余份</w:t>
      </w:r>
      <w:r>
        <w:rPr>
          <w:rFonts w:hint="eastAsia"/>
          <w:spacing w:val="4"/>
          <w:szCs w:val="28"/>
        </w:rPr>
        <w:t>，</w:t>
      </w:r>
      <w:r>
        <w:rPr>
          <w:rFonts w:hint="eastAsia"/>
        </w:rPr>
        <w:t>指标实际完成值达到年度目标值</w:t>
      </w:r>
      <w:r>
        <w:rPr>
          <w:rFonts w:hint="eastAsia"/>
          <w:b/>
          <w:bCs/>
          <w:spacing w:val="4"/>
          <w:szCs w:val="28"/>
        </w:rPr>
        <w:t>。</w:t>
      </w:r>
      <w:r>
        <w:rPr>
          <w:rFonts w:hint="eastAsia" w:hAnsi="宋体" w:cstheme="minorBidi"/>
          <w:szCs w:val="28"/>
        </w:rPr>
        <w:t>按照得分标准得满分2分，得分率为100%。</w:t>
      </w:r>
    </w:p>
    <w:p>
      <w:pPr>
        <w:ind w:firstLine="562"/>
        <w:rPr>
          <w:rFonts w:cstheme="minorBidi"/>
          <w:b/>
          <w:bCs/>
          <w:szCs w:val="28"/>
        </w:rPr>
      </w:pPr>
      <w:r>
        <w:rPr>
          <w:rFonts w:hint="eastAsia" w:cstheme="minorBidi"/>
          <w:b/>
          <w:bCs/>
          <w:szCs w:val="28"/>
        </w:rPr>
        <w:t>（3）社会影响</w:t>
      </w:r>
    </w:p>
    <w:p>
      <w:pPr>
        <w:ind w:firstLine="560"/>
        <w:rPr>
          <w:rFonts w:hAnsi="宋体" w:cstheme="minorBidi"/>
          <w:szCs w:val="28"/>
        </w:rPr>
      </w:pPr>
      <w:r>
        <w:rPr>
          <w:rFonts w:hint="eastAsia" w:cstheme="minorBidi"/>
          <w:szCs w:val="28"/>
        </w:rPr>
        <w:t>社会影响</w:t>
      </w:r>
      <w:r>
        <w:rPr>
          <w:rFonts w:hint="eastAsia" w:hAnsi="宋体" w:cstheme="minorBidi"/>
          <w:szCs w:val="28"/>
        </w:rPr>
        <w:t>指标下设2个三级指标，指标分值合计4分，自评得分4分，得分率为100%。</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559"/>
        <w:gridCol w:w="1134"/>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三级指标</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年度目标值</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实际完成值</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分值</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hAnsi="宋体" w:eastAsia="仿宋_GB2312"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单位获奖情况</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有</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00%</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2</w:t>
            </w:r>
          </w:p>
        </w:tc>
        <w:tc>
          <w:tcPr>
            <w:tcW w:w="993"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2</w:t>
            </w: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80"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违法违纪情况</w:t>
            </w:r>
          </w:p>
        </w:tc>
        <w:tc>
          <w:tcPr>
            <w:tcW w:w="1559"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无</w:t>
            </w:r>
          </w:p>
        </w:tc>
        <w:tc>
          <w:tcPr>
            <w:tcW w:w="1559" w:type="dxa"/>
            <w:vAlign w:val="center"/>
          </w:tcPr>
          <w:p>
            <w:pPr>
              <w:pStyle w:val="8"/>
              <w:spacing w:line="240" w:lineRule="auto"/>
              <w:ind w:firstLine="0" w:firstLineChars="0"/>
              <w:jc w:val="center"/>
              <w:rPr>
                <w:rFonts w:ascii="仿宋_GB2312" w:eastAsia="仿宋_GB2312"/>
                <w:sz w:val="24"/>
                <w:szCs w:val="24"/>
              </w:rPr>
            </w:pPr>
            <w:r>
              <w:rPr>
                <w:rFonts w:ascii="仿宋_GB2312" w:eastAsia="仿宋_GB2312"/>
                <w:sz w:val="24"/>
                <w:szCs w:val="24"/>
              </w:rPr>
              <w:t>100%</w:t>
            </w:r>
          </w:p>
        </w:tc>
        <w:tc>
          <w:tcPr>
            <w:tcW w:w="1134"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2</w:t>
            </w:r>
          </w:p>
        </w:tc>
        <w:tc>
          <w:tcPr>
            <w:tcW w:w="993" w:type="dxa"/>
            <w:vAlign w:val="center"/>
          </w:tcPr>
          <w:p>
            <w:pPr>
              <w:pStyle w:val="8"/>
              <w:spacing w:line="240" w:lineRule="auto"/>
              <w:ind w:firstLine="0" w:firstLineChars="0"/>
              <w:jc w:val="center"/>
              <w:rPr>
                <w:rFonts w:ascii="仿宋_GB2312" w:eastAsia="仿宋_GB2312"/>
                <w:sz w:val="24"/>
                <w:szCs w:val="24"/>
              </w:rPr>
            </w:pPr>
          </w:p>
        </w:tc>
        <w:tc>
          <w:tcPr>
            <w:tcW w:w="1071" w:type="dxa"/>
            <w:vAlign w:val="center"/>
          </w:tcPr>
          <w:p>
            <w:pPr>
              <w:pStyle w:val="8"/>
              <w:spacing w:line="240" w:lineRule="auto"/>
              <w:ind w:firstLine="0" w:firstLineChars="0"/>
              <w:jc w:val="center"/>
              <w:rPr>
                <w:rFonts w:ascii="仿宋_GB2312" w:eastAsia="仿宋_GB2312"/>
                <w:sz w:val="24"/>
                <w:szCs w:val="24"/>
              </w:rPr>
            </w:pPr>
            <w:r>
              <w:rPr>
                <w:rFonts w:hint="eastAsia" w:ascii="仿宋_GB2312"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098" w:type="dxa"/>
            <w:gridSpan w:val="3"/>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合计</w:t>
            </w:r>
          </w:p>
        </w:tc>
        <w:tc>
          <w:tcPr>
            <w:tcW w:w="1134"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4</w:t>
            </w:r>
          </w:p>
        </w:tc>
        <w:tc>
          <w:tcPr>
            <w:tcW w:w="993"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4</w:t>
            </w:r>
          </w:p>
        </w:tc>
        <w:tc>
          <w:tcPr>
            <w:tcW w:w="1071" w:type="dxa"/>
            <w:vAlign w:val="center"/>
          </w:tcPr>
          <w:p>
            <w:pPr>
              <w:pStyle w:val="8"/>
              <w:spacing w:line="240" w:lineRule="auto"/>
              <w:ind w:firstLine="0" w:firstLineChars="0"/>
              <w:jc w:val="center"/>
              <w:rPr>
                <w:rFonts w:ascii="仿宋_GB2312" w:eastAsia="仿宋_GB2312"/>
                <w:b/>
                <w:bCs/>
                <w:sz w:val="24"/>
                <w:szCs w:val="24"/>
              </w:rPr>
            </w:pPr>
            <w:r>
              <w:rPr>
                <w:rFonts w:hint="eastAsia" w:ascii="仿宋_GB2312" w:eastAsia="仿宋_GB2312"/>
                <w:b/>
                <w:bCs/>
                <w:sz w:val="24"/>
                <w:szCs w:val="24"/>
              </w:rPr>
              <w:t>100%</w:t>
            </w:r>
          </w:p>
        </w:tc>
      </w:tr>
    </w:tbl>
    <w:p>
      <w:pPr>
        <w:ind w:firstLine="562"/>
        <w:rPr>
          <w:rFonts w:hAnsi="宋体" w:cstheme="minorBidi"/>
          <w:szCs w:val="28"/>
          <w:highlight w:val="yellow"/>
        </w:rPr>
      </w:pPr>
      <w:r>
        <w:rPr>
          <w:rFonts w:hint="eastAsia" w:hAnsi="宋体" w:cstheme="minorBidi"/>
          <w:b/>
          <w:bCs/>
          <w:szCs w:val="28"/>
        </w:rPr>
        <w:t>单位获奖情况：</w:t>
      </w:r>
      <w:r>
        <w:rPr>
          <w:rFonts w:hint="eastAsia" w:hAnsi="宋体" w:cstheme="minorBidi"/>
          <w:szCs w:val="28"/>
        </w:rPr>
        <w:t>我院荣获全省法院一站式建设先进集体，一站式诉讼服务工作走在全省前列；我院刑事审判团队荣获全市法院扫黑除恶专项斗争先进集体。指标分值2分，自评得分2分，得分率为100%。</w:t>
      </w:r>
    </w:p>
    <w:p>
      <w:pPr>
        <w:ind w:firstLine="562"/>
        <w:rPr>
          <w:rFonts w:hAnsi="宋体" w:cstheme="minorBidi"/>
          <w:szCs w:val="28"/>
        </w:rPr>
      </w:pPr>
      <w:r>
        <w:rPr>
          <w:rFonts w:hint="eastAsia" w:hAnsi="宋体" w:cstheme="minorBidi"/>
          <w:b/>
          <w:bCs/>
          <w:szCs w:val="28"/>
        </w:rPr>
        <w:t>违法违纪情况：</w:t>
      </w:r>
      <w:r>
        <w:rPr>
          <w:rFonts w:hint="eastAsia" w:hAnsi="宋体" w:cstheme="minorBidi"/>
          <w:szCs w:val="28"/>
        </w:rPr>
        <w:t>2021年未出现在国家层面督查或人大审计、监察等监督监察时发现问题被问责的情况。指标分值2分，自评得分2分，得分率为100%。</w:t>
      </w:r>
    </w:p>
    <w:p>
      <w:pPr>
        <w:pStyle w:val="5"/>
        <w:ind w:firstLine="562"/>
        <w:rPr>
          <w:rFonts w:hint="default"/>
        </w:rPr>
      </w:pPr>
      <w:r>
        <w:t>4、能力建设</w:t>
      </w:r>
    </w:p>
    <w:p>
      <w:pPr>
        <w:ind w:firstLine="560"/>
      </w:pPr>
      <w:r>
        <w:rPr>
          <w:rFonts w:hint="eastAsia"/>
        </w:rPr>
        <w:t>一级指标能力建设下设5个三级指标，其中文件中的共性指标党建工作开展规律性和信息化管理覆盖率指标无法在系统中予以添加，报告中仅做分析，不计入得分。指标权重合计10分，自评得分10分，得分率为100%。</w:t>
      </w:r>
    </w:p>
    <w:tbl>
      <w:tblPr>
        <w:tblStyle w:val="18"/>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5"/>
        <w:gridCol w:w="1701"/>
        <w:gridCol w:w="1702"/>
        <w:gridCol w:w="832"/>
        <w:gridCol w:w="832"/>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963"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年度目标值</w:t>
            </w:r>
          </w:p>
        </w:tc>
        <w:tc>
          <w:tcPr>
            <w:tcW w:w="964"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中期规划建设完备程度</w:t>
            </w:r>
          </w:p>
        </w:tc>
        <w:tc>
          <w:tcPr>
            <w:tcW w:w="96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9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3</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党建工作开展规律性</w:t>
            </w:r>
          </w:p>
        </w:tc>
        <w:tc>
          <w:tcPr>
            <w:tcW w:w="96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规律</w:t>
            </w:r>
          </w:p>
        </w:tc>
        <w:tc>
          <w:tcPr>
            <w:tcW w:w="9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信息化管理覆盖率</w:t>
            </w:r>
          </w:p>
        </w:tc>
        <w:tc>
          <w:tcPr>
            <w:tcW w:w="96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1</w:t>
            </w:r>
            <w:r>
              <w:rPr>
                <w:rFonts w:hAnsi="楷体" w:cs="宋体"/>
                <w:color w:val="000000"/>
                <w:kern w:val="0"/>
                <w:sz w:val="24"/>
                <w:szCs w:val="24"/>
              </w:rPr>
              <w:t>00%</w:t>
            </w:r>
          </w:p>
        </w:tc>
        <w:tc>
          <w:tcPr>
            <w:tcW w:w="9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人员培训机制完备性</w:t>
            </w:r>
          </w:p>
        </w:tc>
        <w:tc>
          <w:tcPr>
            <w:tcW w:w="96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9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Ansi="宋体" w:cs="宋体"/>
                <w:kern w:val="0"/>
                <w:sz w:val="24"/>
                <w:szCs w:val="24"/>
              </w:rPr>
              <w:t>4</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Ansi="宋体" w:cs="宋体"/>
                <w:kern w:val="0"/>
                <w:sz w:val="24"/>
                <w:szCs w:val="24"/>
              </w:rPr>
              <w:t>4</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9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档案管理完备性</w:t>
            </w:r>
          </w:p>
        </w:tc>
        <w:tc>
          <w:tcPr>
            <w:tcW w:w="963"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完备</w:t>
            </w:r>
          </w:p>
        </w:tc>
        <w:tc>
          <w:tcPr>
            <w:tcW w:w="964"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90%</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Ansi="宋体" w:cs="宋体"/>
                <w:kern w:val="0"/>
                <w:sz w:val="24"/>
                <w:szCs w:val="24"/>
              </w:rPr>
              <w:t>3</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Ansi="宋体" w:cs="宋体"/>
                <w:kern w:val="0"/>
                <w:sz w:val="24"/>
                <w:szCs w:val="24"/>
              </w:rPr>
              <w:t>3</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kern w:val="0"/>
                <w:sz w:val="24"/>
                <w:szCs w:val="24"/>
              </w:rPr>
            </w:pPr>
            <w:r>
              <w:rPr>
                <w:rFonts w:hint="eastAsia" w:hAnsi="宋体"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425"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合计</w:t>
            </w:r>
          </w:p>
        </w:tc>
        <w:tc>
          <w:tcPr>
            <w:tcW w:w="4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w:t>
            </w:r>
          </w:p>
        </w:tc>
        <w:tc>
          <w:tcPr>
            <w:tcW w:w="471"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100%</w:t>
            </w:r>
          </w:p>
        </w:tc>
      </w:tr>
    </w:tbl>
    <w:p>
      <w:pPr>
        <w:ind w:firstLine="562"/>
        <w:rPr>
          <w:szCs w:val="28"/>
        </w:rPr>
      </w:pPr>
      <w:bookmarkStart w:id="39" w:name="_Toc40046035"/>
      <w:bookmarkStart w:id="40" w:name="_Toc40255930"/>
      <w:r>
        <w:rPr>
          <w:rFonts w:hint="eastAsia" w:hAnsi="宋体" w:cstheme="minorBidi"/>
          <w:b/>
          <w:bCs/>
          <w:szCs w:val="28"/>
        </w:rPr>
        <w:t>中期规划建设完备程度：</w:t>
      </w:r>
      <w:r>
        <w:rPr>
          <w:rFonts w:hint="eastAsia" w:hAnsi="宋体" w:cstheme="minorBidi"/>
          <w:szCs w:val="28"/>
        </w:rPr>
        <w:t>我院中期规划明确完整、内容全面可行，能够为未来的工作明确目标、方向和内容。指标分值3分，自评得分3分，得分率为100%。</w:t>
      </w:r>
    </w:p>
    <w:p>
      <w:pPr>
        <w:ind w:firstLine="562"/>
        <w:rPr>
          <w:szCs w:val="28"/>
        </w:rPr>
      </w:pPr>
      <w:r>
        <w:rPr>
          <w:rFonts w:hint="eastAsia"/>
          <w:b/>
          <w:bCs/>
        </w:rPr>
        <w:t>党建工作开展规律性：</w:t>
      </w:r>
      <w:r>
        <w:rPr>
          <w:rFonts w:hint="eastAsia"/>
          <w:szCs w:val="28"/>
        </w:rPr>
        <w:t>我院始终坚持抓党建带队建促审判工作思路，认真贯彻落实《中央政法工作条例》，依托“学习强国”“甘肃党建”信息化平台，通过“互联网</w:t>
      </w:r>
      <w:r>
        <w:rPr>
          <w:szCs w:val="28"/>
        </w:rPr>
        <w:t>+党建”方式，引导党员打扫思想灰尘、净化政治灵魂、锤炼政治品格</w:t>
      </w:r>
      <w:r>
        <w:rPr>
          <w:rFonts w:hint="eastAsia"/>
          <w:szCs w:val="28"/>
        </w:rPr>
        <w:t>，院党组年内专题研究意识形态工作</w:t>
      </w:r>
      <w:r>
        <w:rPr>
          <w:szCs w:val="28"/>
        </w:rPr>
        <w:t>3次，听取意识形态工作汇报2次</w:t>
      </w:r>
      <w:r>
        <w:rPr>
          <w:rFonts w:hint="eastAsia"/>
          <w:szCs w:val="28"/>
        </w:rPr>
        <w:t>，</w:t>
      </w:r>
      <w:r>
        <w:rPr>
          <w:szCs w:val="28"/>
        </w:rPr>
        <w:t>党建规范化水平不断提升。</w:t>
      </w:r>
      <w:bookmarkStart w:id="41" w:name="_Hlk93578074"/>
    </w:p>
    <w:p>
      <w:pPr>
        <w:ind w:firstLine="562"/>
        <w:rPr>
          <w:highlight w:val="yellow"/>
        </w:rPr>
      </w:pPr>
      <w:r>
        <w:rPr>
          <w:rFonts w:hint="eastAsia"/>
          <w:b/>
          <w:bCs/>
        </w:rPr>
        <w:t>信息化管理覆盖率</w:t>
      </w:r>
      <w:bookmarkEnd w:id="41"/>
      <w:r>
        <w:rPr>
          <w:rFonts w:hint="eastAsia"/>
          <w:b/>
          <w:bCs/>
        </w:rPr>
        <w:t>：</w:t>
      </w:r>
      <w:r>
        <w:rPr>
          <w:rFonts w:hint="eastAsia"/>
        </w:rPr>
        <w:t>我院进一步加强信息化建设工作，深度应用新版诉讼服务网、移动微法院，基本实现了诉讼服务事项在线办理。依托中国邮政建立集约化送达中心，实现了裁判文书异地打印、同城送达，群众诉讼更加便捷，信息化管理覆盖率进一步提高。</w:t>
      </w:r>
    </w:p>
    <w:p>
      <w:pPr>
        <w:ind w:firstLine="562"/>
        <w:rPr>
          <w:szCs w:val="28"/>
        </w:rPr>
      </w:pPr>
      <w:r>
        <w:rPr>
          <w:rFonts w:hint="eastAsia" w:hAnsi="宋体" w:cstheme="minorBidi"/>
          <w:b/>
          <w:bCs/>
          <w:szCs w:val="28"/>
        </w:rPr>
        <w:t>人员培训机制完备性：</w:t>
      </w:r>
      <w:r>
        <w:rPr>
          <w:rFonts w:hint="eastAsia" w:hAnsi="宋体" w:cstheme="minorBidi"/>
          <w:szCs w:val="28"/>
        </w:rPr>
        <w:t>我院定期组织开展内部学习与培训，同时根据业务开展需要，派出相关业务人员，外出参与外部学习与培训，部门工作人员的业务能力与业务素质不断得到提升。指标分值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szCs w:val="28"/>
        </w:rPr>
      </w:pPr>
      <w:r>
        <w:rPr>
          <w:rFonts w:hint="eastAsia" w:hAnsi="宋体" w:cstheme="minorBidi"/>
          <w:b/>
          <w:bCs/>
          <w:szCs w:val="28"/>
        </w:rPr>
        <w:t>档案管理完备性：</w:t>
      </w:r>
      <w:r>
        <w:rPr>
          <w:rFonts w:hint="eastAsia" w:hAnsi="宋体"/>
          <w:szCs w:val="28"/>
        </w:rPr>
        <w:t>我院档案管理工作完成较好，档案收集、保管方面管理到位，有效执行</w:t>
      </w:r>
      <w:r>
        <w:rPr>
          <w:rFonts w:hint="eastAsia"/>
        </w:rPr>
        <w:t>。</w:t>
      </w:r>
      <w:r>
        <w:rPr>
          <w:rFonts w:hint="eastAsia" w:hAnsi="宋体" w:cstheme="minorBidi"/>
          <w:szCs w:val="28"/>
        </w:rPr>
        <w:t>指标分值</w:t>
      </w:r>
      <w:r>
        <w:rPr>
          <w:rFonts w:hAnsi="宋体" w:cstheme="minorBidi"/>
          <w:szCs w:val="28"/>
        </w:rPr>
        <w:t>3</w:t>
      </w:r>
      <w:r>
        <w:rPr>
          <w:rFonts w:hint="eastAsia" w:hAnsi="宋体" w:cstheme="minorBidi"/>
          <w:szCs w:val="28"/>
        </w:rPr>
        <w:t>分，自评得分</w:t>
      </w:r>
      <w:r>
        <w:rPr>
          <w:rFonts w:hAnsi="宋体" w:cstheme="minorBidi"/>
          <w:szCs w:val="28"/>
        </w:rPr>
        <w:t>3</w:t>
      </w:r>
      <w:r>
        <w:rPr>
          <w:rFonts w:hint="eastAsia" w:hAnsi="宋体" w:cstheme="minorBidi"/>
          <w:szCs w:val="28"/>
        </w:rPr>
        <w:t>分，得分率为100%。</w:t>
      </w:r>
    </w:p>
    <w:p>
      <w:pPr>
        <w:pStyle w:val="5"/>
        <w:ind w:firstLine="562"/>
        <w:rPr>
          <w:rFonts w:hint="default"/>
        </w:rPr>
      </w:pPr>
      <w:r>
        <w:t>5、服务对象满意度</w:t>
      </w:r>
    </w:p>
    <w:p>
      <w:pPr>
        <w:ind w:firstLine="560"/>
      </w:pPr>
      <w:r>
        <w:rPr>
          <w:rFonts w:hint="eastAsia" w:hAnsi="宋体" w:cstheme="minorBidi"/>
          <w:szCs w:val="28"/>
        </w:rPr>
        <w:t>根据我院向社会提供公共产品和服务的主要对象，服务对象满意度主要是人民群众满意度，</w:t>
      </w:r>
      <w:r>
        <w:rPr>
          <w:rFonts w:hint="eastAsia"/>
        </w:rPr>
        <w:t>指标权重合计10分，自评得分10分，得分率为100%。</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1699"/>
        <w:gridCol w:w="1698"/>
        <w:gridCol w:w="833"/>
        <w:gridCol w:w="833"/>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7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三级指标</w:t>
            </w:r>
          </w:p>
        </w:tc>
        <w:tc>
          <w:tcPr>
            <w:tcW w:w="997"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年度目标值</w:t>
            </w:r>
          </w:p>
        </w:tc>
        <w:tc>
          <w:tcPr>
            <w:tcW w:w="996" w:type="pct"/>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实际完成值</w:t>
            </w:r>
          </w:p>
        </w:tc>
        <w:tc>
          <w:tcPr>
            <w:tcW w:w="48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分值</w:t>
            </w:r>
          </w:p>
        </w:tc>
        <w:tc>
          <w:tcPr>
            <w:tcW w:w="48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w:t>
            </w:r>
          </w:p>
        </w:tc>
        <w:tc>
          <w:tcPr>
            <w:tcW w:w="6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color w:val="000000"/>
                <w:kern w:val="0"/>
                <w:sz w:val="24"/>
                <w:szCs w:val="24"/>
              </w:rPr>
            </w:pPr>
            <w:r>
              <w:rPr>
                <w:rFonts w:hint="eastAsia" w:hAnsi="宋体" w:cs="宋体"/>
                <w:b/>
                <w:bCs/>
                <w:color w:val="000000"/>
                <w:kern w:val="0"/>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37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楷体" w:cs="宋体"/>
                <w:color w:val="000000"/>
                <w:kern w:val="0"/>
                <w:sz w:val="24"/>
                <w:szCs w:val="24"/>
              </w:rPr>
              <w:t>人民群众满意度</w:t>
            </w:r>
          </w:p>
        </w:tc>
        <w:tc>
          <w:tcPr>
            <w:tcW w:w="99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w:t>
            </w:r>
            <w:r>
              <w:rPr>
                <w:rFonts w:hAnsi="楷体" w:cs="宋体"/>
                <w:color w:val="000000"/>
                <w:kern w:val="0"/>
                <w:sz w:val="24"/>
                <w:szCs w:val="24"/>
              </w:rPr>
              <w:t>85%</w:t>
            </w:r>
          </w:p>
        </w:tc>
        <w:tc>
          <w:tcPr>
            <w:tcW w:w="996"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楷体" w:cs="宋体"/>
                <w:color w:val="000000"/>
                <w:kern w:val="0"/>
                <w:sz w:val="24"/>
                <w:szCs w:val="24"/>
              </w:rPr>
            </w:pPr>
            <w:r>
              <w:rPr>
                <w:rFonts w:hint="eastAsia" w:hAnsi="楷体" w:cs="宋体"/>
                <w:color w:val="000000"/>
                <w:kern w:val="0"/>
                <w:sz w:val="24"/>
                <w:szCs w:val="24"/>
              </w:rPr>
              <w:t>85%</w:t>
            </w:r>
          </w:p>
        </w:tc>
        <w:tc>
          <w:tcPr>
            <w:tcW w:w="48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48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w:t>
            </w:r>
          </w:p>
        </w:tc>
        <w:tc>
          <w:tcPr>
            <w:tcW w:w="6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365" w:type="pct"/>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合计</w:t>
            </w:r>
          </w:p>
        </w:tc>
        <w:tc>
          <w:tcPr>
            <w:tcW w:w="489"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w:t>
            </w:r>
          </w:p>
        </w:tc>
        <w:tc>
          <w:tcPr>
            <w:tcW w:w="48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w:t>
            </w:r>
          </w:p>
        </w:tc>
        <w:tc>
          <w:tcPr>
            <w:tcW w:w="6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Ansi="宋体" w:cs="宋体"/>
                <w:b/>
                <w:bCs/>
                <w:kern w:val="0"/>
                <w:sz w:val="24"/>
                <w:szCs w:val="24"/>
              </w:rPr>
            </w:pPr>
            <w:r>
              <w:rPr>
                <w:rFonts w:hint="eastAsia" w:hAnsi="宋体" w:cs="宋体"/>
                <w:b/>
                <w:bCs/>
                <w:kern w:val="0"/>
                <w:sz w:val="24"/>
                <w:szCs w:val="24"/>
              </w:rPr>
              <w:t>100%</w:t>
            </w:r>
          </w:p>
        </w:tc>
      </w:tr>
    </w:tbl>
    <w:p>
      <w:pPr>
        <w:ind w:firstLine="560"/>
      </w:pPr>
      <w:r>
        <w:rPr>
          <w:rFonts w:hint="eastAsia"/>
        </w:rPr>
        <w:t>我院积极发挥审判职能，为辖区内的人民群众提供司法服务，公开、公平、公正的审理各类审判案件，保障人民群众的合法权益，维护辖区内的和谐稳定，取得了人民群众的好评，人民群众满意度为85%,达到年度目标值。按照得分标准得满分10分，得分率为100%。</w:t>
      </w:r>
    </w:p>
    <w:p>
      <w:pPr>
        <w:pStyle w:val="4"/>
        <w:numPr>
          <w:ilvl w:val="0"/>
          <w:numId w:val="0"/>
        </w:numPr>
        <w:ind w:left="560" w:leftChars="200"/>
        <w:rPr>
          <w:rFonts w:hint="default"/>
        </w:rPr>
      </w:pPr>
      <w:bookmarkStart w:id="42" w:name="_Toc16025"/>
      <w:bookmarkStart w:id="43" w:name="_Toc10941"/>
      <w:bookmarkStart w:id="44" w:name="_Toc29545"/>
      <w:r>
        <w:t>（四）偏离绩效目标的原因及下一步改进措施</w:t>
      </w:r>
      <w:bookmarkEnd w:id="39"/>
      <w:bookmarkEnd w:id="40"/>
      <w:bookmarkEnd w:id="42"/>
      <w:bookmarkEnd w:id="43"/>
      <w:bookmarkEnd w:id="44"/>
    </w:p>
    <w:p>
      <w:pPr>
        <w:ind w:firstLine="562"/>
      </w:pPr>
      <w:r>
        <w:rPr>
          <w:rFonts w:hint="eastAsia"/>
          <w:b/>
          <w:bCs/>
        </w:rPr>
        <w:t>执行标的到位率：</w:t>
      </w:r>
      <w:r>
        <w:rPr>
          <w:rFonts w:hint="eastAsia"/>
        </w:rPr>
        <w:t>案件不断增加，新类型的案件不断出现，新收案件申请标的额增大，有些案件不能全部执行到位，最后只能终本结案，因此降低了案件执行标的到位率。下一年度我院将继续着重加强大标的案件的执行，转变执行观念，规范执行行为，创新执行方式，争取大标的案件得到执结。</w:t>
      </w:r>
    </w:p>
    <w:p>
      <w:pPr>
        <w:pStyle w:val="3"/>
        <w:numPr>
          <w:ilvl w:val="0"/>
          <w:numId w:val="0"/>
        </w:numPr>
      </w:pPr>
      <w:bookmarkStart w:id="45" w:name="_Toc22498"/>
      <w:bookmarkStart w:id="46" w:name="_Toc23747"/>
      <w:bookmarkStart w:id="47" w:name="_Toc1303"/>
      <w:r>
        <w:rPr>
          <w:rFonts w:hint="eastAsia"/>
        </w:rPr>
        <w:t>四、部门预算项目支出绩效自评情况分析</w:t>
      </w:r>
      <w:bookmarkEnd w:id="45"/>
      <w:bookmarkEnd w:id="46"/>
      <w:bookmarkEnd w:id="47"/>
    </w:p>
    <w:p>
      <w:pPr>
        <w:ind w:firstLine="560"/>
      </w:pPr>
      <w:r>
        <w:rPr>
          <w:rFonts w:hint="eastAsia" w:hAnsi="宋体" w:cstheme="minorBidi"/>
          <w:szCs w:val="28"/>
        </w:rPr>
        <w:t>2021年，</w:t>
      </w:r>
      <w:r>
        <w:rPr>
          <w:rFonts w:hint="eastAsia"/>
        </w:rPr>
        <w:t>我院预算支出项目为业务费（本级），当年项目全年预算数共286.13万元，全年支出286.13万元，执行率</w:t>
      </w:r>
      <w:r>
        <w:t>100</w:t>
      </w:r>
      <w:r>
        <w:rPr>
          <w:rFonts w:hint="eastAsia"/>
        </w:rPr>
        <w:t>%。业务费（本级）项目自评价得分100分，自评结果为“优”。项目自评情况分析如下：</w:t>
      </w:r>
    </w:p>
    <w:p>
      <w:pPr>
        <w:pStyle w:val="4"/>
        <w:numPr>
          <w:ilvl w:val="255"/>
          <w:numId w:val="0"/>
          <w:ins w:id="0" w:author="Administrator" w:date="2022-02-12T19:18:00Z"/>
        </w:numPr>
        <w:rPr>
          <w:rFonts w:hint="default"/>
        </w:rPr>
      </w:pPr>
      <w:bookmarkStart w:id="48" w:name="_Toc1083"/>
      <w:bookmarkStart w:id="49" w:name="_Toc2819"/>
      <w:bookmarkStart w:id="50" w:name="_Toc7354"/>
      <w:r>
        <w:t>（一）业务费（本级）</w:t>
      </w:r>
      <w:bookmarkEnd w:id="48"/>
      <w:bookmarkEnd w:id="49"/>
      <w:bookmarkEnd w:id="50"/>
    </w:p>
    <w:p>
      <w:pPr>
        <w:pStyle w:val="5"/>
        <w:ind w:firstLine="562"/>
        <w:rPr>
          <w:rFonts w:hint="default"/>
        </w:rPr>
      </w:pPr>
      <w:r>
        <w:t>1、项目支出预算执行情况</w:t>
      </w:r>
    </w:p>
    <w:p>
      <w:pPr>
        <w:ind w:firstLine="560"/>
      </w:pPr>
      <w:r>
        <w:rPr>
          <w:rFonts w:hint="eastAsia" w:hAnsi="宋体" w:cstheme="minorBidi"/>
          <w:szCs w:val="28"/>
        </w:rPr>
        <w:t>业务费（本级）项目年初预算</w:t>
      </w:r>
      <w:r>
        <w:rPr>
          <w:rFonts w:hint="eastAsia" w:hAnsi="宋体" w:cstheme="minorBidi"/>
          <w:szCs w:val="28"/>
          <w:lang w:eastAsia="zh-CN"/>
        </w:rPr>
        <w:t>数、全年预算数和全年执行数资金总额均为</w:t>
      </w:r>
      <w:r>
        <w:rPr>
          <w:rFonts w:hint="eastAsia" w:hAnsi="宋体" w:cstheme="minorBidi"/>
          <w:szCs w:val="28"/>
        </w:rPr>
        <w:t>286.13万元（其中当年财政拨款为285万元，上年结转资金1.13万元），预算执行率为</w:t>
      </w:r>
      <w:r>
        <w:rPr>
          <w:rFonts w:hAnsi="宋体" w:cstheme="minorBidi"/>
          <w:szCs w:val="28"/>
        </w:rPr>
        <w:t>100</w:t>
      </w:r>
      <w:r>
        <w:rPr>
          <w:rFonts w:hint="eastAsia" w:hAnsi="宋体" w:cstheme="minorBidi"/>
          <w:szCs w:val="28"/>
        </w:rPr>
        <w:t>%。满分10分，自评得分</w:t>
      </w:r>
      <w:r>
        <w:rPr>
          <w:rFonts w:hAnsi="宋体" w:cstheme="minorBidi"/>
          <w:szCs w:val="28"/>
        </w:rPr>
        <w:t>10</w:t>
      </w:r>
      <w:r>
        <w:rPr>
          <w:rFonts w:hint="eastAsia" w:hAnsi="宋体" w:cstheme="minorBidi"/>
          <w:szCs w:val="28"/>
        </w:rPr>
        <w:t>分。</w:t>
      </w:r>
    </w:p>
    <w:p>
      <w:pPr>
        <w:pStyle w:val="5"/>
        <w:ind w:firstLine="562"/>
        <w:rPr>
          <w:rFonts w:hint="default"/>
        </w:rPr>
      </w:pPr>
      <w:r>
        <w:t>2、总体绩效目标完成情况分析</w:t>
      </w:r>
    </w:p>
    <w:p>
      <w:pPr>
        <w:ind w:firstLine="560"/>
      </w:pPr>
      <w:r>
        <w:rPr>
          <w:rFonts w:hint="eastAsia"/>
        </w:rPr>
        <w:t>我院本年度加强业务费资金的使用效益，保障了审判综合大楼水电暖费用、物业费、劳务费、信息化运维经费等各项业务的支出，进而确保我院顺利完成2021年各类案件的审判执行工作，案件结案率达89.78%；完成了消防系统、自来水系统、供热系统等基础设施的维修改造工程及智慧用电安全监管系统等信息化建设工作，保障了我院重点工作的开展。</w:t>
      </w:r>
    </w:p>
    <w:p>
      <w:pPr>
        <w:pStyle w:val="5"/>
        <w:ind w:firstLine="562"/>
        <w:rPr>
          <w:rFonts w:hint="default"/>
        </w:rPr>
      </w:pPr>
      <w:r>
        <w:rPr>
          <w:rFonts w:hint="default"/>
        </w:rPr>
        <w:t>3</w:t>
      </w:r>
      <w:r>
        <w:t>、各项指标完成情况分析</w:t>
      </w:r>
    </w:p>
    <w:p>
      <w:pPr>
        <w:ind w:firstLine="562"/>
        <w:rPr>
          <w:rFonts w:hint="eastAsia"/>
          <w:b/>
          <w:bCs/>
          <w:szCs w:val="28"/>
        </w:rPr>
      </w:pPr>
      <w:r>
        <w:rPr>
          <w:rFonts w:hint="eastAsia" w:hAnsi="宋体" w:cstheme="minorBidi"/>
          <w:b/>
          <w:bCs/>
          <w:szCs w:val="28"/>
        </w:rPr>
        <w:t>情况说明：</w:t>
      </w:r>
      <w:r>
        <w:rPr>
          <w:rFonts w:hint="eastAsia" w:hAnsi="宋体" w:cstheme="minorBidi"/>
          <w:szCs w:val="28"/>
        </w:rPr>
        <w:t>由于年初对绩效的理解不深入，设置指标不能全面、清晰的体现业务费项目内容，现根据最新理解与本年度工作完成情况对原先填报的绩效指标予以修改调整，此报告中是以重新修改调整后的指标为基础进行的分析，与系统上所填报的指标、分值（系统中指标无法修改，按原指标上报）有略微不同，但不影响整体评价结果。</w:t>
      </w:r>
    </w:p>
    <w:p>
      <w:pPr>
        <w:ind w:firstLine="562"/>
        <w:rPr>
          <w:b/>
          <w:bCs/>
          <w:szCs w:val="28"/>
        </w:rPr>
      </w:pPr>
      <w:r>
        <w:rPr>
          <w:rFonts w:hint="eastAsia"/>
          <w:b/>
          <w:bCs/>
          <w:szCs w:val="28"/>
        </w:rPr>
        <w:t>（1）产出指标</w:t>
      </w:r>
    </w:p>
    <w:p>
      <w:pPr>
        <w:ind w:firstLine="560"/>
        <w:rPr>
          <w:rFonts w:hAnsi="宋体"/>
          <w:szCs w:val="28"/>
        </w:rPr>
      </w:pPr>
      <w:r>
        <w:rPr>
          <w:rFonts w:hint="eastAsia" w:hAnsi="宋体" w:cstheme="minorBidi"/>
          <w:szCs w:val="28"/>
        </w:rPr>
        <w:t>产出指标包括数量、质量、时效和成本指标4个二级指标。</w:t>
      </w:r>
      <w:r>
        <w:rPr>
          <w:rFonts w:hint="eastAsia" w:hAnsi="宋体"/>
          <w:szCs w:val="28"/>
        </w:rPr>
        <w:t>指标权重合计50分，自评得分50分，得分率为100%。</w:t>
      </w:r>
    </w:p>
    <w:p>
      <w:pPr>
        <w:ind w:firstLine="562"/>
        <w:rPr>
          <w:b/>
          <w:bCs/>
        </w:rPr>
      </w:pPr>
      <w:r>
        <w:rPr>
          <w:rFonts w:hint="eastAsia"/>
          <w:b/>
          <w:bCs/>
        </w:rPr>
        <w:t>①数量指标</w:t>
      </w:r>
    </w:p>
    <w:p>
      <w:pPr>
        <w:ind w:firstLine="560"/>
        <w:rPr>
          <w:rFonts w:hAnsi="宋体"/>
          <w:szCs w:val="28"/>
        </w:rPr>
      </w:pPr>
      <w:r>
        <w:rPr>
          <w:rFonts w:hint="eastAsia"/>
        </w:rPr>
        <w:t>产出数量指标下设</w:t>
      </w:r>
      <w:r>
        <w:t>4</w:t>
      </w:r>
      <w:r>
        <w:rPr>
          <w:rFonts w:hint="eastAsia"/>
        </w:rPr>
        <w:t>个三级指标，</w:t>
      </w:r>
      <w:r>
        <w:rPr>
          <w:rFonts w:hint="eastAsia" w:hAnsi="宋体"/>
          <w:szCs w:val="28"/>
        </w:rPr>
        <w:t>指标分值合计2</w:t>
      </w:r>
      <w:r>
        <w:rPr>
          <w:rFonts w:hAnsi="宋体"/>
          <w:szCs w:val="28"/>
        </w:rPr>
        <w:t>4</w:t>
      </w:r>
      <w:r>
        <w:rPr>
          <w:rFonts w:hint="eastAsia" w:hAnsi="宋体"/>
          <w:szCs w:val="28"/>
        </w:rPr>
        <w:t>分，自评得分2</w:t>
      </w:r>
      <w:r>
        <w:rPr>
          <w:rFonts w:hAnsi="宋体"/>
          <w:szCs w:val="28"/>
        </w:rPr>
        <w:t>4</w:t>
      </w:r>
      <w:r>
        <w:rPr>
          <w:rFonts w:hint="eastAsia" w:hAnsi="宋体"/>
          <w:szCs w:val="28"/>
        </w:rPr>
        <w:t>分，得分率为100%。</w:t>
      </w:r>
    </w:p>
    <w:tbl>
      <w:tblPr>
        <w:tblStyle w:val="19"/>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办理诉讼执行案件</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≥1500件</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1500件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审判执行工作的完成率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案件结案率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≥85%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89.78%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维修改造工程完成率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2</w:t>
            </w:r>
            <w:r>
              <w:rPr>
                <w:b/>
                <w:bCs/>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2</w:t>
            </w:r>
            <w:r>
              <w:rPr>
                <w:b/>
                <w:bCs/>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szCs w:val="28"/>
        </w:rPr>
      </w:pPr>
      <w:r>
        <w:rPr>
          <w:rFonts w:hint="eastAsia"/>
          <w:b/>
          <w:bCs/>
        </w:rPr>
        <w:t>办理诉讼执行案件：</w:t>
      </w:r>
      <w:r>
        <w:rPr>
          <w:rFonts w:hint="eastAsia"/>
        </w:rPr>
        <w:t>我院</w:t>
      </w:r>
      <w:r>
        <w:t>本年度</w:t>
      </w:r>
      <w:r>
        <w:rPr>
          <w:rFonts w:hint="eastAsia"/>
        </w:rPr>
        <w:t>办理诉讼执行案件1</w:t>
      </w:r>
      <w:r>
        <w:t>500</w:t>
      </w:r>
      <w:r>
        <w:rPr>
          <w:rFonts w:hint="eastAsia"/>
        </w:rPr>
        <w:t>件</w:t>
      </w:r>
      <w:r>
        <w:t>，</w:t>
      </w:r>
      <w:r>
        <w:rPr>
          <w:rFonts w:hint="eastAsia"/>
        </w:rPr>
        <w:t>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szCs w:val="28"/>
        </w:rPr>
      </w:pPr>
      <w:r>
        <w:rPr>
          <w:rFonts w:hint="eastAsia"/>
          <w:b/>
          <w:bCs/>
        </w:rPr>
        <w:t>审判执行工作完成率：</w:t>
      </w:r>
      <w:r>
        <w:rPr>
          <w:rFonts w:hint="eastAsia"/>
        </w:rPr>
        <w:t>我院认真落实市委《关于加强综合治理从源头切实解决执行难问题实施意见》，坚持执行联动，合力执行攻坚，通过网络查控、冻结、扣划等手段，不断加大执行力度，有效完成审判执行工作，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rFonts w:hAnsi="宋体" w:cstheme="minorBidi"/>
          <w:szCs w:val="28"/>
          <w:highlight w:val="yellow"/>
        </w:rPr>
      </w:pPr>
      <w:r>
        <w:rPr>
          <w:rFonts w:hint="eastAsia"/>
          <w:b/>
          <w:bCs/>
        </w:rPr>
        <w:t>案件结案率：</w:t>
      </w:r>
      <w:r>
        <w:rPr>
          <w:rFonts w:hint="eastAsia"/>
        </w:rPr>
        <w:t>我院本年度案件结案率为</w:t>
      </w:r>
      <w:r>
        <w:t>89.78</w:t>
      </w:r>
      <w:r>
        <w:rPr>
          <w:rFonts w:hint="eastAsia"/>
        </w:rPr>
        <w:t>%，指标实际完成值达到年度目标值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rFonts w:hAnsi="宋体" w:cstheme="minorBidi"/>
          <w:szCs w:val="28"/>
          <w:highlight w:val="yellow"/>
        </w:rPr>
      </w:pPr>
      <w:r>
        <w:rPr>
          <w:rFonts w:hint="eastAsia"/>
          <w:b/>
          <w:bCs/>
        </w:rPr>
        <w:t>维修改造工程完成率：</w:t>
      </w:r>
      <w:r>
        <w:rPr>
          <w:rFonts w:hint="eastAsia"/>
        </w:rPr>
        <w:t>我院本年度完成了供热系统维修改造工程、消防系统及自来水系统维修改造工程等各项维修改造工程，指标实际完成值达到年度目标值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b/>
          <w:bCs/>
        </w:rPr>
      </w:pPr>
      <w:r>
        <w:rPr>
          <w:rFonts w:hint="eastAsia"/>
          <w:b/>
          <w:bCs/>
        </w:rPr>
        <w:t>②质量指标</w:t>
      </w:r>
    </w:p>
    <w:p>
      <w:pPr>
        <w:ind w:firstLine="560"/>
        <w:rPr>
          <w:rFonts w:hAnsi="宋体"/>
          <w:szCs w:val="28"/>
        </w:rPr>
      </w:pPr>
      <w:r>
        <w:rPr>
          <w:rFonts w:hint="eastAsia"/>
        </w:rPr>
        <w:t>产出质量指标下设</w:t>
      </w:r>
      <w:r>
        <w:t>2</w:t>
      </w:r>
      <w:r>
        <w:rPr>
          <w:rFonts w:hint="eastAsia"/>
        </w:rPr>
        <w:t>个三级指标，</w:t>
      </w:r>
      <w:r>
        <w:rPr>
          <w:rFonts w:hint="eastAsia" w:hAnsi="宋体"/>
          <w:szCs w:val="28"/>
        </w:rPr>
        <w:t>指标分值合计1</w:t>
      </w:r>
      <w:r>
        <w:rPr>
          <w:rFonts w:hAnsi="宋体"/>
          <w:szCs w:val="28"/>
        </w:rPr>
        <w:t>5</w:t>
      </w:r>
      <w:r>
        <w:rPr>
          <w:rFonts w:hint="eastAsia" w:hAnsi="宋体"/>
          <w:szCs w:val="28"/>
        </w:rPr>
        <w:t>分，自评得分1</w:t>
      </w:r>
      <w:r>
        <w:rPr>
          <w:rFonts w:hAnsi="宋体"/>
          <w:szCs w:val="28"/>
        </w:rPr>
        <w:t>5</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bookmarkStart w:id="51" w:name="_Hlk93342803"/>
            <w:r>
              <w:rPr>
                <w:rFonts w:hint="eastAsia" w:hAnsi="宋体" w:cs="宋体"/>
                <w:color w:val="000000"/>
                <w:kern w:val="0"/>
                <w:sz w:val="24"/>
                <w:szCs w:val="24"/>
              </w:rPr>
              <w:t>提升办案质效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8</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维修改造工程质量验收合格率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7</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7</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szCs w:val="28"/>
        </w:rPr>
      </w:pPr>
      <w:r>
        <w:rPr>
          <w:rFonts w:hint="eastAsia"/>
          <w:b/>
          <w:bCs/>
        </w:rPr>
        <w:t>提升办案质效：</w:t>
      </w:r>
      <w:r>
        <w:rPr>
          <w:rFonts w:hint="eastAsia"/>
        </w:rPr>
        <w:t>我院始终把提供优质高效法律服务和营造公平正义营商环境作为服务中心的切入点，加强队伍建设，提高干警办案水平，办案质效进一步得以提升，指标实际完成值达到年度目标值。</w:t>
      </w:r>
      <w:r>
        <w:rPr>
          <w:rFonts w:hint="eastAsia" w:hAnsi="宋体" w:cstheme="minorBidi"/>
          <w:szCs w:val="28"/>
        </w:rPr>
        <w:t>指标分值</w:t>
      </w:r>
      <w:r>
        <w:rPr>
          <w:rFonts w:hAnsi="宋体" w:cstheme="minorBidi"/>
          <w:szCs w:val="28"/>
        </w:rPr>
        <w:t>8</w:t>
      </w:r>
      <w:r>
        <w:rPr>
          <w:rFonts w:hint="eastAsia" w:hAnsi="宋体" w:cstheme="minorBidi"/>
          <w:szCs w:val="28"/>
        </w:rPr>
        <w:t>分，自评得分</w:t>
      </w:r>
      <w:r>
        <w:rPr>
          <w:rFonts w:hAnsi="宋体" w:cstheme="minorBidi"/>
          <w:szCs w:val="28"/>
        </w:rPr>
        <w:t>8</w:t>
      </w:r>
      <w:r>
        <w:rPr>
          <w:rFonts w:hint="eastAsia" w:hAnsi="宋体" w:cstheme="minorBidi"/>
          <w:szCs w:val="28"/>
        </w:rPr>
        <w:t>分，得分率为100%。</w:t>
      </w:r>
    </w:p>
    <w:p>
      <w:pPr>
        <w:ind w:firstLine="562"/>
        <w:rPr>
          <w:szCs w:val="28"/>
        </w:rPr>
      </w:pPr>
      <w:r>
        <w:rPr>
          <w:rFonts w:hint="eastAsia"/>
          <w:b/>
          <w:bCs/>
        </w:rPr>
        <w:t>维修改造工程质量验收合格率：</w:t>
      </w:r>
      <w:r>
        <w:rPr>
          <w:rFonts w:hint="eastAsia"/>
        </w:rPr>
        <w:t>我院2</w:t>
      </w:r>
      <w:r>
        <w:t>021</w:t>
      </w:r>
      <w:r>
        <w:rPr>
          <w:rFonts w:hint="eastAsia"/>
        </w:rPr>
        <w:t>年度开展的各项维修改造工程均达到验收标准，通过验收。</w:t>
      </w:r>
      <w:r>
        <w:rPr>
          <w:rFonts w:hint="eastAsia" w:hAnsi="宋体" w:cstheme="minorBidi"/>
          <w:szCs w:val="28"/>
        </w:rPr>
        <w:t>指标分值</w:t>
      </w:r>
      <w:r>
        <w:rPr>
          <w:rFonts w:hAnsi="宋体" w:cstheme="minorBidi"/>
          <w:szCs w:val="28"/>
        </w:rPr>
        <w:t>7</w:t>
      </w:r>
      <w:r>
        <w:rPr>
          <w:rFonts w:hint="eastAsia" w:hAnsi="宋体" w:cstheme="minorBidi"/>
          <w:szCs w:val="28"/>
        </w:rPr>
        <w:t>分，自评得分</w:t>
      </w:r>
      <w:r>
        <w:rPr>
          <w:rFonts w:hAnsi="宋体" w:cstheme="minorBidi"/>
          <w:szCs w:val="28"/>
        </w:rPr>
        <w:t>7</w:t>
      </w:r>
      <w:r>
        <w:rPr>
          <w:rFonts w:hint="eastAsia" w:hAnsi="宋体" w:cstheme="minorBidi"/>
          <w:szCs w:val="28"/>
        </w:rPr>
        <w:t>分，得分率为100%。</w:t>
      </w:r>
    </w:p>
    <w:p>
      <w:pPr>
        <w:ind w:firstLine="562"/>
        <w:rPr>
          <w:b/>
          <w:bCs/>
        </w:rPr>
      </w:pPr>
      <w:r>
        <w:rPr>
          <w:rFonts w:hint="eastAsia"/>
          <w:b/>
          <w:bCs/>
        </w:rPr>
        <w:t>③时效指标</w:t>
      </w:r>
    </w:p>
    <w:p>
      <w:pPr>
        <w:ind w:firstLine="560"/>
        <w:rPr>
          <w:highlight w:val="yellow"/>
        </w:rPr>
      </w:pPr>
      <w:r>
        <w:rPr>
          <w:rFonts w:hint="eastAsia"/>
        </w:rPr>
        <w:t>产出时效指标下设</w:t>
      </w:r>
      <w:r>
        <w:t>2</w:t>
      </w:r>
      <w:r>
        <w:rPr>
          <w:rFonts w:hint="eastAsia"/>
        </w:rPr>
        <w:t>个三级指标，</w:t>
      </w:r>
      <w:r>
        <w:rPr>
          <w:rFonts w:hint="eastAsia" w:hAnsi="宋体"/>
          <w:szCs w:val="28"/>
        </w:rPr>
        <w:t>指标分值合计</w:t>
      </w:r>
      <w:r>
        <w:rPr>
          <w:rFonts w:hAnsi="宋体"/>
          <w:szCs w:val="28"/>
        </w:rPr>
        <w:t>8</w:t>
      </w:r>
      <w:r>
        <w:rPr>
          <w:rFonts w:hint="eastAsia" w:hAnsi="宋体"/>
          <w:szCs w:val="28"/>
        </w:rPr>
        <w:t>分，自评得分</w:t>
      </w:r>
      <w:r>
        <w:rPr>
          <w:rFonts w:hAnsi="宋体"/>
          <w:szCs w:val="28"/>
        </w:rPr>
        <w:t>8</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1"/>
              </w:rPr>
            </w:pPr>
            <w:r>
              <w:rPr>
                <w:rFonts w:hint="eastAsia"/>
                <w:sz w:val="24"/>
                <w:szCs w:val="21"/>
              </w:rPr>
              <w:t>按时保质保量完成工程进度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达到规定进度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1"/>
              </w:rPr>
            </w:pPr>
            <w:r>
              <w:rPr>
                <w:rFonts w:hint="eastAsia"/>
                <w:sz w:val="24"/>
                <w:szCs w:val="21"/>
              </w:rPr>
              <w:t>工作保障及时性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及时性高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r>
              <w:rPr>
                <w:rFonts w:hint="eastAsia"/>
                <w:sz w:val="24"/>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8</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rFonts w:hAnsi="宋体" w:cstheme="minorBidi"/>
          <w:szCs w:val="28"/>
        </w:rPr>
      </w:pPr>
      <w:r>
        <w:rPr>
          <w:rFonts w:hint="eastAsia"/>
          <w:b/>
          <w:bCs/>
        </w:rPr>
        <w:t>按时保质保量完成工程进度：</w:t>
      </w:r>
      <w:r>
        <w:rPr>
          <w:rFonts w:hint="eastAsia"/>
        </w:rPr>
        <w:t>我院加强项目的实施与执行，及时办理诉讼案件，法定审限内结案率达9</w:t>
      </w:r>
      <w:r>
        <w:t>9.08%</w:t>
      </w:r>
      <w:r>
        <w:rPr>
          <w:rFonts w:hint="eastAsia"/>
        </w:rPr>
        <w:t>，按时完成了施智慧用电安全监管系统项目工程、供热系统维修改造工程、地下停车场装修工程等各项工程，各项目工程达到规定进度，指标实际完成值达到年度目标值</w:t>
      </w:r>
      <w:r>
        <w:rPr>
          <w:rFonts w:hint="eastAsia" w:hAnsi="宋体" w:cstheme="minorBidi"/>
          <w:szCs w:val="28"/>
        </w:rPr>
        <w:t>。指标分值4分，自评得分4分，得分率为100%。</w:t>
      </w:r>
    </w:p>
    <w:p>
      <w:pPr>
        <w:ind w:firstLine="562"/>
        <w:rPr>
          <w:rFonts w:hAnsi="宋体" w:cstheme="minorBidi"/>
          <w:szCs w:val="28"/>
        </w:rPr>
      </w:pPr>
      <w:r>
        <w:rPr>
          <w:rFonts w:hint="eastAsia"/>
          <w:b/>
          <w:bCs/>
        </w:rPr>
        <w:t>工作保障及时性：</w:t>
      </w:r>
      <w:r>
        <w:rPr>
          <w:rFonts w:hint="eastAsia"/>
        </w:rPr>
        <w:t>我院加强各项工作的保障工作，及时的购置设备，完善配套设施，完成维修改造工程，以确保各项工作的顺利开展，各项工作的保障及时性高，指标实际完成值达到年度目标值</w:t>
      </w:r>
      <w:r>
        <w:rPr>
          <w:rFonts w:hint="eastAsia" w:hAnsi="宋体" w:cstheme="minorBidi"/>
          <w:szCs w:val="28"/>
        </w:rPr>
        <w:t>。指标分值4分，自评得分4分，得分率为100%</w:t>
      </w:r>
    </w:p>
    <w:p>
      <w:pPr>
        <w:ind w:firstLine="562"/>
        <w:rPr>
          <w:b/>
          <w:bCs/>
        </w:rPr>
      </w:pPr>
      <w:r>
        <w:rPr>
          <w:rFonts w:hint="eastAsia"/>
          <w:b/>
          <w:bCs/>
        </w:rPr>
        <w:t>④成本指标</w:t>
      </w:r>
    </w:p>
    <w:p>
      <w:pPr>
        <w:ind w:firstLine="560"/>
      </w:pPr>
      <w:r>
        <w:rPr>
          <w:rFonts w:hint="eastAsia"/>
        </w:rPr>
        <w:t>产出成本指标下设</w:t>
      </w:r>
      <w:r>
        <w:t>1</w:t>
      </w:r>
      <w:r>
        <w:rPr>
          <w:rFonts w:hint="eastAsia"/>
        </w:rPr>
        <w:t>个三级指标，</w:t>
      </w:r>
      <w:r>
        <w:rPr>
          <w:rFonts w:hint="eastAsia" w:hAnsi="宋体"/>
          <w:szCs w:val="28"/>
        </w:rPr>
        <w:t>指标分值合计</w:t>
      </w:r>
      <w:r>
        <w:rPr>
          <w:rFonts w:hAnsi="宋体"/>
          <w:szCs w:val="28"/>
        </w:rPr>
        <w:t>3</w:t>
      </w:r>
      <w:r>
        <w:rPr>
          <w:rFonts w:hint="eastAsia" w:hAnsi="宋体"/>
          <w:szCs w:val="28"/>
        </w:rPr>
        <w:t>分，自评得分</w:t>
      </w:r>
      <w:r>
        <w:rPr>
          <w:rFonts w:hAnsi="宋体"/>
          <w:szCs w:val="28"/>
        </w:rPr>
        <w:t>3</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bookmarkStart w:id="52" w:name="_Hlk94973472"/>
            <w:r>
              <w:rPr>
                <w:rFonts w:hint="eastAsia"/>
                <w:sz w:val="24"/>
                <w:szCs w:val="21"/>
              </w:rPr>
              <w:t>严格控制成本支出</w:t>
            </w:r>
            <w:bookmarkEnd w:id="52"/>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压缩成本</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3</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3</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3</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pPr>
      <w:r>
        <w:rPr>
          <w:rFonts w:hint="eastAsia"/>
          <w:b/>
          <w:bCs/>
        </w:rPr>
        <w:t>严格控制成本支出：</w:t>
      </w:r>
      <w:r>
        <w:rPr>
          <w:rFonts w:hint="eastAsia"/>
        </w:rPr>
        <w:t>本项目</w:t>
      </w:r>
      <w:r>
        <w:rPr>
          <w:rFonts w:hint="eastAsia" w:hAnsi="宋体"/>
          <w:color w:val="000000" w:themeColor="text1"/>
          <w:szCs w:val="28"/>
          <w14:textFill>
            <w14:solidFill>
              <w14:schemeClr w14:val="tx1"/>
            </w14:solidFill>
          </w14:textFill>
        </w:rPr>
        <w:t>全年预算资金总额为286.13万元，我院严格控制成本支出，压缩各项目成本，本年度实际支出286.13万元，有效控制在预算范围内。</w:t>
      </w:r>
      <w:r>
        <w:rPr>
          <w:rFonts w:hint="eastAsia"/>
        </w:rPr>
        <w:t>按照得分标准得满分</w:t>
      </w:r>
      <w:r>
        <w:t>3</w:t>
      </w:r>
      <w:r>
        <w:rPr>
          <w:rFonts w:hint="eastAsia"/>
        </w:rPr>
        <w:t>分，得分率为100%。</w:t>
      </w:r>
    </w:p>
    <w:p>
      <w:pPr>
        <w:ind w:firstLine="562"/>
        <w:rPr>
          <w:b/>
          <w:bCs/>
          <w:szCs w:val="28"/>
        </w:rPr>
      </w:pPr>
      <w:r>
        <w:rPr>
          <w:rFonts w:hint="eastAsia"/>
          <w:b/>
          <w:bCs/>
          <w:szCs w:val="28"/>
        </w:rPr>
        <w:t>（2）效益指标</w:t>
      </w:r>
    </w:p>
    <w:p>
      <w:pPr>
        <w:ind w:firstLine="560"/>
        <w:rPr>
          <w:rFonts w:hAnsi="宋体"/>
          <w:szCs w:val="28"/>
        </w:rPr>
      </w:pPr>
      <w:r>
        <w:rPr>
          <w:rFonts w:hint="eastAsia" w:hAnsi="宋体" w:cstheme="minorBidi"/>
          <w:szCs w:val="28"/>
        </w:rPr>
        <w:t>效益指标包括</w:t>
      </w:r>
      <w:r>
        <w:rPr>
          <w:rFonts w:hint="eastAsia"/>
          <w:szCs w:val="28"/>
        </w:rPr>
        <w:t>经济效益、社会效益和可持续影响指标</w:t>
      </w:r>
      <w:r>
        <w:rPr>
          <w:rFonts w:hAnsi="宋体" w:cstheme="minorBidi"/>
          <w:szCs w:val="28"/>
        </w:rPr>
        <w:t>3</w:t>
      </w:r>
      <w:r>
        <w:rPr>
          <w:rFonts w:hint="eastAsia" w:hAnsi="宋体" w:cstheme="minorBidi"/>
          <w:szCs w:val="28"/>
        </w:rPr>
        <w:t>个二级指标。</w:t>
      </w:r>
      <w:r>
        <w:rPr>
          <w:rFonts w:hint="eastAsia" w:hAnsi="宋体"/>
          <w:szCs w:val="28"/>
        </w:rPr>
        <w:t>指标权重合计30分，自评得分30分，得分率为100%。</w:t>
      </w:r>
    </w:p>
    <w:p>
      <w:pPr>
        <w:ind w:firstLine="562"/>
        <w:rPr>
          <w:b/>
          <w:bCs/>
        </w:rPr>
      </w:pPr>
      <w:r>
        <w:rPr>
          <w:rFonts w:hint="eastAsia"/>
          <w:b/>
          <w:bCs/>
        </w:rPr>
        <w:t>①经济效益指标</w:t>
      </w:r>
    </w:p>
    <w:p>
      <w:pPr>
        <w:ind w:firstLine="560"/>
      </w:pPr>
      <w:r>
        <w:rPr>
          <w:rFonts w:hint="eastAsia"/>
        </w:rPr>
        <w:t>经济效益指标下设</w:t>
      </w:r>
      <w:r>
        <w:t>1</w:t>
      </w:r>
      <w:r>
        <w:rPr>
          <w:rFonts w:hint="eastAsia"/>
        </w:rPr>
        <w:t>个三级指标，</w:t>
      </w:r>
      <w:r>
        <w:rPr>
          <w:rFonts w:hint="eastAsia" w:hAnsi="宋体"/>
          <w:szCs w:val="28"/>
        </w:rPr>
        <w:t>指标分值合计7分，自评得分7分，得分率为100%。</w:t>
      </w:r>
    </w:p>
    <w:tbl>
      <w:tblPr>
        <w:tblStyle w:val="19"/>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4"/>
        <w:gridCol w:w="1550"/>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71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hAnsi="宋体" w:cs="宋体"/>
                <w:color w:val="000000"/>
                <w:kern w:val="0"/>
                <w:sz w:val="24"/>
                <w:szCs w:val="24"/>
              </w:rPr>
              <w:t>经济稳定性</w:t>
            </w:r>
          </w:p>
        </w:tc>
        <w:tc>
          <w:tcPr>
            <w:tcW w:w="15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提高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7</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7</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6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7</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7</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pPr>
      <w:r>
        <w:rPr>
          <w:rFonts w:hint="eastAsia"/>
          <w:b/>
          <w:bCs/>
        </w:rPr>
        <w:t>经济稳定性：</w:t>
      </w:r>
      <w:r>
        <w:rPr>
          <w:rFonts w:hint="eastAsia"/>
        </w:rPr>
        <w:t>我院主动为企业提供法律服务，着力解决企业在发展中遇到的涉法难题，帮助企业家纾困解难，着力营造良好的法治化营商环境，积极服务供给侧结构性改革，发挥“府院联动”作用，妥善处置“僵尸企业”，有效维护市场秩序，提高了经济稳定性。按照得分标准得满分7分，得分率为100%。</w:t>
      </w:r>
    </w:p>
    <w:p>
      <w:pPr>
        <w:ind w:firstLine="562"/>
        <w:rPr>
          <w:b/>
          <w:bCs/>
        </w:rPr>
      </w:pPr>
      <w:r>
        <w:rPr>
          <w:rFonts w:hint="eastAsia"/>
          <w:b/>
          <w:bCs/>
        </w:rPr>
        <w:t>②社会效益指标</w:t>
      </w:r>
    </w:p>
    <w:p>
      <w:pPr>
        <w:ind w:firstLine="560"/>
      </w:pPr>
      <w:r>
        <w:rPr>
          <w:rFonts w:hint="eastAsia"/>
        </w:rPr>
        <w:t>社会效益指标下设</w:t>
      </w:r>
      <w:r>
        <w:t>2</w:t>
      </w:r>
      <w:r>
        <w:rPr>
          <w:rFonts w:hint="eastAsia"/>
        </w:rPr>
        <w:t>个三级指标，</w:t>
      </w:r>
      <w:r>
        <w:rPr>
          <w:rFonts w:hint="eastAsia" w:hAnsi="宋体"/>
          <w:szCs w:val="28"/>
        </w:rPr>
        <w:t>指标分值合计</w:t>
      </w:r>
      <w:r>
        <w:rPr>
          <w:rFonts w:hAnsi="宋体"/>
          <w:szCs w:val="28"/>
        </w:rPr>
        <w:t>16</w:t>
      </w:r>
      <w:r>
        <w:rPr>
          <w:rFonts w:hint="eastAsia" w:hAnsi="宋体"/>
          <w:szCs w:val="28"/>
        </w:rPr>
        <w:t>分，自评得分</w:t>
      </w:r>
      <w:r>
        <w:rPr>
          <w:rFonts w:hAnsi="宋体"/>
          <w:szCs w:val="28"/>
        </w:rPr>
        <w:t>16</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裁判文书上网率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w:t>
            </w:r>
            <w:r>
              <w:rPr>
                <w:sz w:val="24"/>
                <w:szCs w:val="21"/>
              </w:rPr>
              <w:t>65%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67.89%</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8</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有效保障审判服务</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有效保障</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8</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16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16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rFonts w:hAnsi="宋体" w:cstheme="minorBidi"/>
          <w:szCs w:val="28"/>
        </w:rPr>
      </w:pPr>
      <w:r>
        <w:rPr>
          <w:rFonts w:hint="eastAsia"/>
          <w:b/>
          <w:bCs/>
          <w:szCs w:val="28"/>
        </w:rPr>
        <w:t>裁判文书上网率：</w:t>
      </w:r>
      <w:r>
        <w:rPr>
          <w:rFonts w:hint="eastAsia"/>
        </w:rPr>
        <w:t>裁判文书是审判工作的最终产品，我院认真落实文书上网制度，在满足当事人知情权、参与权的同时，自觉接受监督，倒逼法官提升司法能力，让公平正义经得起围观，</w:t>
      </w:r>
      <w:r>
        <w:rPr>
          <w:rFonts w:hint="eastAsia"/>
          <w:spacing w:val="4"/>
          <w:szCs w:val="28"/>
        </w:rPr>
        <w:t>上网裁判文书</w:t>
      </w:r>
      <w:r>
        <w:rPr>
          <w:spacing w:val="4"/>
          <w:szCs w:val="28"/>
        </w:rPr>
        <w:t>3.4万余份</w:t>
      </w:r>
      <w:r>
        <w:rPr>
          <w:rFonts w:hint="eastAsia"/>
          <w:spacing w:val="4"/>
          <w:szCs w:val="28"/>
        </w:rPr>
        <w:t>，</w:t>
      </w:r>
      <w:r>
        <w:rPr>
          <w:rFonts w:hint="eastAsia"/>
        </w:rPr>
        <w:t>指标实际完成值达到年度目标值</w:t>
      </w:r>
      <w:r>
        <w:rPr>
          <w:rFonts w:hint="eastAsia" w:hAnsi="宋体" w:cstheme="minorBidi"/>
          <w:szCs w:val="28"/>
        </w:rPr>
        <w:t>。指标分值</w:t>
      </w:r>
      <w:r>
        <w:rPr>
          <w:rFonts w:hAnsi="宋体" w:cstheme="minorBidi"/>
          <w:szCs w:val="28"/>
        </w:rPr>
        <w:t>8</w:t>
      </w:r>
      <w:r>
        <w:rPr>
          <w:rFonts w:hint="eastAsia" w:hAnsi="宋体" w:cstheme="minorBidi"/>
          <w:szCs w:val="28"/>
        </w:rPr>
        <w:t>分，自评得分</w:t>
      </w:r>
      <w:r>
        <w:rPr>
          <w:rFonts w:hAnsi="宋体" w:cstheme="minorBidi"/>
          <w:szCs w:val="28"/>
        </w:rPr>
        <w:t>8</w:t>
      </w:r>
      <w:r>
        <w:rPr>
          <w:rFonts w:hint="eastAsia" w:hAnsi="宋体" w:cstheme="minorBidi"/>
          <w:szCs w:val="28"/>
        </w:rPr>
        <w:t>分，得分率为100%。</w:t>
      </w:r>
    </w:p>
    <w:p>
      <w:pPr>
        <w:ind w:firstLine="562"/>
        <w:rPr>
          <w:szCs w:val="28"/>
        </w:rPr>
      </w:pPr>
      <w:r>
        <w:rPr>
          <w:rFonts w:hint="eastAsia"/>
          <w:b/>
          <w:bCs/>
          <w:szCs w:val="28"/>
        </w:rPr>
        <w:t>有效保障审判服务：</w:t>
      </w:r>
      <w:r>
        <w:rPr>
          <w:rFonts w:hint="eastAsia"/>
          <w:spacing w:val="4"/>
          <w:szCs w:val="28"/>
        </w:rPr>
        <w:t>我院一方面购置各类办公设备，完善配套设施，另一方面加强干警培训与岗位练兵工作，组织</w:t>
      </w:r>
      <w:r>
        <w:rPr>
          <w:spacing w:val="4"/>
          <w:szCs w:val="28"/>
        </w:rPr>
        <w:t>200名法官、法官助理赴兰州大学开展综合素质提升培训</w:t>
      </w:r>
      <w:r>
        <w:rPr>
          <w:rFonts w:hint="eastAsia"/>
          <w:spacing w:val="4"/>
          <w:szCs w:val="28"/>
        </w:rPr>
        <w:t>，</w:t>
      </w:r>
      <w:r>
        <w:rPr>
          <w:spacing w:val="4"/>
          <w:szCs w:val="28"/>
        </w:rPr>
        <w:t>通过开展“庭审观摩”“优秀裁判文书评比”等活动，不断提升干警业务能力</w:t>
      </w:r>
      <w:r>
        <w:rPr>
          <w:rFonts w:hint="eastAsia"/>
          <w:spacing w:val="4"/>
          <w:szCs w:val="28"/>
        </w:rPr>
        <w:t>，有效保障审判服务工作。</w:t>
      </w:r>
      <w:r>
        <w:rPr>
          <w:rFonts w:hint="eastAsia" w:hAnsi="宋体" w:cstheme="minorBidi"/>
          <w:szCs w:val="28"/>
        </w:rPr>
        <w:t>指标分值</w:t>
      </w:r>
      <w:r>
        <w:rPr>
          <w:rFonts w:hAnsi="宋体" w:cstheme="minorBidi"/>
          <w:szCs w:val="28"/>
        </w:rPr>
        <w:t>8</w:t>
      </w:r>
      <w:r>
        <w:rPr>
          <w:rFonts w:hint="eastAsia" w:hAnsi="宋体" w:cstheme="minorBidi"/>
          <w:szCs w:val="28"/>
        </w:rPr>
        <w:t>分，自评得分</w:t>
      </w:r>
      <w:r>
        <w:rPr>
          <w:rFonts w:hAnsi="宋体" w:cstheme="minorBidi"/>
          <w:szCs w:val="28"/>
        </w:rPr>
        <w:t>8</w:t>
      </w:r>
      <w:r>
        <w:rPr>
          <w:rFonts w:hint="eastAsia" w:hAnsi="宋体" w:cstheme="minorBidi"/>
          <w:szCs w:val="28"/>
        </w:rPr>
        <w:t>分，得分率为100%。</w:t>
      </w:r>
    </w:p>
    <w:p>
      <w:pPr>
        <w:ind w:firstLine="562"/>
        <w:rPr>
          <w:b/>
          <w:bCs/>
        </w:rPr>
      </w:pPr>
      <w:r>
        <w:rPr>
          <w:rFonts w:hint="eastAsia"/>
          <w:b/>
          <w:bCs/>
        </w:rPr>
        <w:t>③可持续影响指标</w:t>
      </w:r>
    </w:p>
    <w:p>
      <w:pPr>
        <w:ind w:firstLine="560"/>
      </w:pPr>
      <w:r>
        <w:rPr>
          <w:rFonts w:hint="eastAsia"/>
        </w:rPr>
        <w:t>可持续影响指标下设</w:t>
      </w:r>
      <w:r>
        <w:t>1</w:t>
      </w:r>
      <w:r>
        <w:rPr>
          <w:rFonts w:hint="eastAsia"/>
        </w:rPr>
        <w:t>个三级指标，</w:t>
      </w:r>
      <w:r>
        <w:rPr>
          <w:rFonts w:hint="eastAsia" w:hAnsi="宋体"/>
          <w:szCs w:val="28"/>
        </w:rPr>
        <w:t>指标分值合计</w:t>
      </w:r>
      <w:r>
        <w:rPr>
          <w:rFonts w:hAnsi="宋体"/>
          <w:szCs w:val="28"/>
        </w:rPr>
        <w:t>7</w:t>
      </w:r>
      <w:r>
        <w:rPr>
          <w:rFonts w:hint="eastAsia" w:hAnsi="宋体"/>
          <w:szCs w:val="28"/>
        </w:rPr>
        <w:t>分，自评得分</w:t>
      </w:r>
      <w:r>
        <w:rPr>
          <w:rFonts w:hAnsi="宋体"/>
          <w:szCs w:val="28"/>
        </w:rPr>
        <w:t>7</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4"/>
        <w:gridCol w:w="1525"/>
        <w:gridCol w:w="1675"/>
        <w:gridCol w:w="850"/>
        <w:gridCol w:w="82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hAnsi="宋体" w:cs="宋体"/>
                <w:color w:val="000000"/>
                <w:kern w:val="0"/>
                <w:sz w:val="24"/>
                <w:szCs w:val="24"/>
              </w:rPr>
              <w:t>各部门之间协作能力</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7</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7</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tabs>
          <w:tab w:val="left" w:pos="381"/>
        </w:tabs>
        <w:ind w:firstLine="562"/>
        <w:rPr>
          <w:szCs w:val="28"/>
        </w:rPr>
      </w:pPr>
      <w:r>
        <w:rPr>
          <w:rFonts w:hint="eastAsia"/>
          <w:b/>
          <w:bCs/>
          <w:szCs w:val="28"/>
        </w:rPr>
        <w:t>各部门之间协作能力：</w:t>
      </w:r>
      <w:r>
        <w:rPr>
          <w:rFonts w:hint="eastAsia"/>
          <w:szCs w:val="28"/>
        </w:rPr>
        <w:t>我院注重部门之间的协作，合力开展各项工作，提高工作质效，协同市金融办设立张掖市银行业及保险业协会金融纠纷调解委员会，推动涉金融纠纷快速、简便、低成本化解，各部门之间的协助能力不断得到提高。按照得分标准得满分</w:t>
      </w:r>
      <w:r>
        <w:rPr>
          <w:szCs w:val="28"/>
        </w:rPr>
        <w:t>7</w:t>
      </w:r>
      <w:r>
        <w:rPr>
          <w:rFonts w:hint="eastAsia"/>
          <w:szCs w:val="28"/>
        </w:rPr>
        <w:t>分，得分率为100%。</w:t>
      </w:r>
    </w:p>
    <w:p>
      <w:pPr>
        <w:ind w:firstLine="562"/>
        <w:rPr>
          <w:b/>
          <w:bCs/>
          <w:szCs w:val="28"/>
        </w:rPr>
      </w:pPr>
      <w:r>
        <w:rPr>
          <w:rFonts w:hint="eastAsia"/>
          <w:b/>
          <w:bCs/>
          <w:szCs w:val="28"/>
        </w:rPr>
        <w:t>（3）满意度指标</w:t>
      </w:r>
    </w:p>
    <w:p>
      <w:pPr>
        <w:ind w:firstLine="560"/>
      </w:pPr>
      <w:r>
        <w:rPr>
          <w:rFonts w:hint="eastAsia"/>
          <w:szCs w:val="28"/>
        </w:rPr>
        <w:t>满意度指标</w:t>
      </w:r>
      <w:r>
        <w:rPr>
          <w:rFonts w:hint="eastAsia"/>
        </w:rPr>
        <w:t>下设</w:t>
      </w:r>
      <w:r>
        <w:t>2</w:t>
      </w:r>
      <w:r>
        <w:rPr>
          <w:rFonts w:hint="eastAsia"/>
        </w:rPr>
        <w:t>个三级指标，</w:t>
      </w:r>
      <w:r>
        <w:rPr>
          <w:rFonts w:hint="eastAsia" w:hAnsi="宋体"/>
          <w:szCs w:val="28"/>
        </w:rPr>
        <w:t>指标权重合计10分，自评得分10分，得分率为100%。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hAnsi="宋体" w:cs="宋体"/>
                <w:color w:val="000000"/>
                <w:kern w:val="0"/>
                <w:sz w:val="24"/>
                <w:szCs w:val="24"/>
              </w:rPr>
              <w:t>干警满意度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≥9</w:t>
            </w:r>
            <w:r>
              <w:rPr>
                <w:sz w:val="24"/>
                <w:szCs w:val="21"/>
              </w:rPr>
              <w:t>0</w:t>
            </w:r>
            <w:r>
              <w:rPr>
                <w:rFonts w:hint="eastAsia"/>
                <w:sz w:val="24"/>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90</w:t>
            </w:r>
            <w:r>
              <w:rPr>
                <w:rFonts w:hint="eastAsia"/>
                <w:sz w:val="24"/>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人民群众满意度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≥9</w:t>
            </w:r>
            <w:r>
              <w:rPr>
                <w:sz w:val="24"/>
                <w:szCs w:val="21"/>
              </w:rPr>
              <w:t>0</w:t>
            </w:r>
            <w:r>
              <w:rPr>
                <w:rFonts w:hint="eastAsia"/>
                <w:sz w:val="24"/>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9</w:t>
            </w:r>
            <w:r>
              <w:rPr>
                <w:sz w:val="24"/>
                <w:szCs w:val="21"/>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szCs w:val="28"/>
        </w:rPr>
      </w:pPr>
      <w:r>
        <w:rPr>
          <w:rFonts w:hint="eastAsia"/>
          <w:b/>
          <w:bCs/>
          <w:szCs w:val="28"/>
        </w:rPr>
        <w:t>干警满意度：</w:t>
      </w:r>
      <w:r>
        <w:rPr>
          <w:rFonts w:hint="eastAsia"/>
          <w:szCs w:val="28"/>
        </w:rPr>
        <w:t>我院加强配套设备的完善工作，购置各种信息化设备，不断减轻干警压力，干警满意度为90%，指标实际完成值达到年度目标值。指标分值5分，自评得分5分，得分率为100%。</w:t>
      </w:r>
    </w:p>
    <w:p>
      <w:pPr>
        <w:ind w:firstLine="562"/>
      </w:pPr>
      <w:r>
        <w:rPr>
          <w:rFonts w:hint="eastAsia"/>
          <w:b/>
          <w:bCs/>
          <w:szCs w:val="28"/>
        </w:rPr>
        <w:t>人民群众满意度：</w:t>
      </w:r>
      <w:r>
        <w:rPr>
          <w:rFonts w:hint="eastAsia"/>
          <w:szCs w:val="28"/>
        </w:rPr>
        <w:t>我院设立律师驿站，与保险、银行等机构开展平台对接，为群众提供便捷的法律咨询、诉讼担保和收缴费服务，依法为符合条件的当事人减、免、缓交诉讼费，让困难群众打得起官司，提高了人民群众的满意度，人民群众满意度为90%，</w:t>
      </w:r>
      <w:r>
        <w:rPr>
          <w:rFonts w:hint="eastAsia"/>
        </w:rPr>
        <w:t>指标实际完成值达到年度目标值</w:t>
      </w:r>
      <w:r>
        <w:rPr>
          <w:rFonts w:hint="eastAsia" w:hAnsi="宋体" w:cstheme="minorBidi"/>
          <w:szCs w:val="28"/>
        </w:rPr>
        <w:t>。</w:t>
      </w:r>
      <w:r>
        <w:rPr>
          <w:rFonts w:hint="eastAsia"/>
          <w:szCs w:val="28"/>
        </w:rPr>
        <w:t>指标分值5分，自评得分5分，得分率为100%。</w:t>
      </w:r>
    </w:p>
    <w:p>
      <w:pPr>
        <w:ind w:firstLine="562"/>
        <w:rPr>
          <w:b/>
          <w:bCs/>
        </w:rPr>
      </w:pPr>
      <w:r>
        <w:rPr>
          <w:rFonts w:hint="eastAsia"/>
          <w:b/>
          <w:bCs/>
        </w:rPr>
        <w:t>注：年初</w:t>
      </w:r>
      <w:r>
        <w:rPr>
          <w:rFonts w:hint="eastAsia"/>
          <w:b/>
          <w:bCs/>
          <w:szCs w:val="28"/>
        </w:rPr>
        <w:t>系统</w:t>
      </w:r>
      <w:r>
        <w:rPr>
          <w:rFonts w:hint="eastAsia"/>
          <w:b/>
          <w:bCs/>
        </w:rPr>
        <w:t>中填报绩效指标如下：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2551"/>
        <w:gridCol w:w="274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61"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一级指标</w:t>
            </w:r>
          </w:p>
        </w:tc>
        <w:tc>
          <w:tcPr>
            <w:tcW w:w="1497"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二级指标</w:t>
            </w:r>
          </w:p>
        </w:tc>
        <w:tc>
          <w:tcPr>
            <w:tcW w:w="1608"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三级指标</w:t>
            </w:r>
          </w:p>
        </w:tc>
        <w:tc>
          <w:tcPr>
            <w:tcW w:w="834"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产出指标</w:t>
            </w:r>
          </w:p>
        </w:tc>
        <w:tc>
          <w:tcPr>
            <w:tcW w:w="1497" w:type="pc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数量指标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办理诉讼执行案件</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≥1500件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restar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质量指标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办案质效的提升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continue"/>
            <w:tcBorders>
              <w:left w:val="nil"/>
              <w:bottom w:val="single" w:color="auto" w:sz="4" w:space="0"/>
              <w:right w:val="single" w:color="auto" w:sz="4" w:space="0"/>
            </w:tcBorders>
            <w:vAlign w:val="center"/>
          </w:tcPr>
          <w:p>
            <w:pPr>
              <w:spacing w:line="240" w:lineRule="auto"/>
              <w:ind w:firstLine="0" w:firstLineChars="0"/>
              <w:jc w:val="center"/>
              <w:rPr>
                <w:sz w:val="24"/>
                <w:szCs w:val="24"/>
              </w:rPr>
            </w:pP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审判执行工作的完成率</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restar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时效指标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按时保质保量完成工程进度</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达到规定进度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continue"/>
            <w:tcBorders>
              <w:left w:val="nil"/>
              <w:bottom w:val="single" w:color="auto" w:sz="4" w:space="0"/>
              <w:right w:val="single" w:color="auto" w:sz="4" w:space="0"/>
            </w:tcBorders>
            <w:vAlign w:val="center"/>
          </w:tcPr>
          <w:p>
            <w:pPr>
              <w:spacing w:line="240" w:lineRule="auto"/>
              <w:ind w:firstLine="0" w:firstLineChars="0"/>
              <w:jc w:val="center"/>
              <w:rPr>
                <w:sz w:val="24"/>
                <w:szCs w:val="24"/>
              </w:rPr>
            </w:pP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工作保障及时性</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及时性高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成本指标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严格控制成本支出</w:t>
            </w:r>
          </w:p>
        </w:tc>
        <w:tc>
          <w:tcPr>
            <w:tcW w:w="83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sz w:val="24"/>
                <w:szCs w:val="24"/>
              </w:rPr>
            </w:pPr>
            <w:r>
              <w:rPr>
                <w:rFonts w:hint="eastAsia"/>
                <w:sz w:val="24"/>
                <w:szCs w:val="24"/>
              </w:rPr>
              <w:t>压缩成本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效益指标</w:t>
            </w:r>
          </w:p>
        </w:tc>
        <w:tc>
          <w:tcPr>
            <w:tcW w:w="1497" w:type="pc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经济效益指标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减少当事人立案时间，提高立案效率</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提高立案效率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restar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社会效益指标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案件结案率</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continue"/>
            <w:tcBorders>
              <w:left w:val="nil"/>
              <w:bottom w:val="single" w:color="auto" w:sz="4" w:space="0"/>
              <w:right w:val="single" w:color="auto" w:sz="4" w:space="0"/>
            </w:tcBorders>
            <w:vAlign w:val="center"/>
          </w:tcPr>
          <w:p>
            <w:pPr>
              <w:spacing w:line="240" w:lineRule="auto"/>
              <w:ind w:firstLine="0" w:firstLineChars="0"/>
              <w:jc w:val="center"/>
              <w:rPr>
                <w:sz w:val="24"/>
                <w:szCs w:val="24"/>
              </w:rPr>
            </w:pP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经济稳定性</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可持续影响指标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各部门之间协作能力</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满意度指标</w:t>
            </w:r>
          </w:p>
        </w:tc>
        <w:tc>
          <w:tcPr>
            <w:tcW w:w="1497" w:type="pct"/>
            <w:vMerge w:val="restart"/>
            <w:tcBorders>
              <w:top w:val="single" w:color="auto" w:sz="4" w:space="0"/>
              <w:left w:val="nil"/>
              <w:right w:val="single" w:color="auto" w:sz="4" w:space="0"/>
            </w:tcBorders>
            <w:vAlign w:val="center"/>
          </w:tcPr>
          <w:p>
            <w:pPr>
              <w:spacing w:line="240" w:lineRule="auto"/>
              <w:ind w:firstLine="0" w:firstLineChars="0"/>
              <w:jc w:val="center"/>
              <w:rPr>
                <w:sz w:val="24"/>
                <w:szCs w:val="24"/>
              </w:rPr>
            </w:pPr>
            <w:r>
              <w:rPr>
                <w:rFonts w:hint="eastAsia"/>
                <w:sz w:val="24"/>
                <w:szCs w:val="24"/>
              </w:rPr>
              <w:t>服务对象满意度指标</w:t>
            </w: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干警满意度</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p>
        </w:tc>
        <w:tc>
          <w:tcPr>
            <w:tcW w:w="1497" w:type="pct"/>
            <w:vMerge w:val="continue"/>
            <w:tcBorders>
              <w:left w:val="nil"/>
              <w:bottom w:val="single" w:color="auto" w:sz="4" w:space="0"/>
              <w:right w:val="single" w:color="auto" w:sz="4" w:space="0"/>
            </w:tcBorders>
            <w:vAlign w:val="center"/>
          </w:tcPr>
          <w:p>
            <w:pPr>
              <w:spacing w:line="240" w:lineRule="auto"/>
              <w:ind w:firstLine="0" w:firstLineChars="0"/>
              <w:jc w:val="center"/>
              <w:rPr>
                <w:sz w:val="24"/>
                <w:szCs w:val="24"/>
              </w:rPr>
            </w:pPr>
          </w:p>
        </w:tc>
        <w:tc>
          <w:tcPr>
            <w:tcW w:w="1608"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人民群众满意度</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≥90%</w:t>
            </w:r>
          </w:p>
        </w:tc>
      </w:tr>
    </w:tbl>
    <w:p>
      <w:pPr>
        <w:pStyle w:val="5"/>
        <w:ind w:firstLine="562"/>
        <w:rPr>
          <w:rFonts w:hint="default"/>
        </w:rPr>
      </w:pPr>
      <w:r>
        <w:t>4、偏离绩效目标的原因及下一步改进措施</w:t>
      </w:r>
    </w:p>
    <w:p>
      <w:pPr>
        <w:ind w:firstLine="560"/>
        <w:rPr>
          <w:rFonts w:hint="eastAsia" w:eastAsia="仿宋_GB2312"/>
          <w:lang w:eastAsia="zh-CN"/>
        </w:rPr>
      </w:pPr>
      <w:bookmarkStart w:id="53" w:name="_Toc24904"/>
      <w:r>
        <w:rPr>
          <w:rFonts w:hint="eastAsia"/>
        </w:rPr>
        <w:t>无</w:t>
      </w:r>
      <w:r>
        <w:rPr>
          <w:rFonts w:hint="eastAsia"/>
          <w:lang w:eastAsia="zh-CN"/>
        </w:rPr>
        <w:t>。</w:t>
      </w:r>
    </w:p>
    <w:bookmarkEnd w:id="53"/>
    <w:p>
      <w:pPr>
        <w:pStyle w:val="3"/>
        <w:numPr>
          <w:ilvl w:val="0"/>
          <w:numId w:val="0"/>
        </w:numPr>
      </w:pPr>
      <w:bookmarkStart w:id="54" w:name="_Toc30908"/>
      <w:bookmarkStart w:id="55" w:name="_Toc971"/>
      <w:bookmarkStart w:id="56" w:name="_Toc28220"/>
      <w:r>
        <w:rPr>
          <w:rFonts w:hint="eastAsia"/>
        </w:rPr>
        <w:t>五、部门管理的省对市县转移支付绩效自评情况分析</w:t>
      </w:r>
      <w:bookmarkEnd w:id="54"/>
      <w:bookmarkEnd w:id="55"/>
      <w:bookmarkEnd w:id="56"/>
    </w:p>
    <w:p>
      <w:pPr>
        <w:pStyle w:val="4"/>
        <w:numPr>
          <w:ilvl w:val="0"/>
          <w:numId w:val="0"/>
        </w:numPr>
        <w:jc w:val="both"/>
        <w:rPr>
          <w:rFonts w:hint="default" w:ascii="等线" w:hAnsi="等线"/>
        </w:rPr>
      </w:pPr>
      <w:bookmarkStart w:id="57" w:name="_Toc3954"/>
      <w:bookmarkStart w:id="58" w:name="_Toc13783"/>
      <w:bookmarkStart w:id="59" w:name="_Toc29992"/>
      <w:r>
        <w:rPr>
          <w:rFonts w:cstheme="majorBidi"/>
          <w:bCs/>
        </w:rPr>
        <w:t>（一）转移支付-</w:t>
      </w:r>
      <w:bookmarkEnd w:id="57"/>
      <w:r>
        <w:rPr>
          <w:rFonts w:cstheme="majorBidi"/>
          <w:bCs/>
        </w:rPr>
        <w:t>中央政法转移支付资金（本级）</w:t>
      </w:r>
      <w:bookmarkEnd w:id="58"/>
      <w:bookmarkEnd w:id="59"/>
    </w:p>
    <w:p>
      <w:pPr>
        <w:ind w:firstLine="560"/>
        <w:rPr>
          <w:lang w:val="en"/>
        </w:rPr>
      </w:pPr>
      <w:r>
        <w:rPr>
          <w:rFonts w:hint="eastAsia"/>
          <w:lang w:val="en"/>
        </w:rPr>
        <w:t>2021年，我院中央政法转移支付项目年初各级预算共安排</w:t>
      </w:r>
      <w:r>
        <w:rPr>
          <w:rFonts w:hint="eastAsia"/>
        </w:rPr>
        <w:t>733</w:t>
      </w:r>
      <w:r>
        <w:rPr>
          <w:rFonts w:hint="eastAsia"/>
          <w:lang w:val="en"/>
        </w:rPr>
        <w:t>万元（均为中央资金，无省级资金、市县资金及其他资金）；经调整，全年预算资金总额</w:t>
      </w:r>
      <w:r>
        <w:rPr>
          <w:rFonts w:hint="eastAsia"/>
        </w:rPr>
        <w:t>733万元，均为中央资金</w:t>
      </w:r>
      <w:r>
        <w:rPr>
          <w:rFonts w:hint="eastAsia"/>
          <w:lang w:val="en"/>
        </w:rPr>
        <w:t>；当年支出</w:t>
      </w:r>
      <w:r>
        <w:rPr>
          <w:rFonts w:hint="eastAsia"/>
        </w:rPr>
        <w:t>683</w:t>
      </w:r>
      <w:r>
        <w:rPr>
          <w:rFonts w:hint="eastAsia"/>
          <w:lang w:val="en"/>
        </w:rPr>
        <w:t>万元，执行率</w:t>
      </w:r>
      <w:r>
        <w:rPr>
          <w:rFonts w:hint="eastAsia"/>
        </w:rPr>
        <w:t>93.18</w:t>
      </w:r>
      <w:r>
        <w:rPr>
          <w:rFonts w:hint="eastAsia"/>
          <w:lang w:val="en"/>
        </w:rPr>
        <w:t>%。通过自评，自评得分</w:t>
      </w:r>
      <w:r>
        <w:rPr>
          <w:rFonts w:hint="eastAsia"/>
        </w:rPr>
        <w:t>99.32分</w:t>
      </w:r>
      <w:r>
        <w:rPr>
          <w:rFonts w:hint="eastAsia"/>
          <w:lang w:val="en"/>
        </w:rPr>
        <w:t>，结果为“优”，自评情况分析如下：</w:t>
      </w:r>
    </w:p>
    <w:p>
      <w:pPr>
        <w:pStyle w:val="5"/>
        <w:ind w:firstLine="562"/>
        <w:rPr>
          <w:rFonts w:hint="default"/>
        </w:rPr>
      </w:pPr>
      <w:r>
        <w:t>1、转移支付预算执行情况</w:t>
      </w:r>
    </w:p>
    <w:p>
      <w:pPr>
        <w:ind w:firstLine="560"/>
        <w:rPr>
          <w:rFonts w:hAnsi="仿宋" w:cs="Times New Roman"/>
          <w:szCs w:val="28"/>
          <w:lang w:bidi="ar"/>
        </w:rPr>
      </w:pPr>
      <w:r>
        <w:rPr>
          <w:rFonts w:hint="eastAsia" w:hAnsi="宋体" w:cstheme="minorBidi"/>
          <w:szCs w:val="28"/>
        </w:rPr>
        <w:t>转移支付年初预算为733万元，预算调整为733万元，全年执行数为683万元，执行率为93.18%。满分10分，得分9.32分。</w:t>
      </w:r>
    </w:p>
    <w:p>
      <w:pPr>
        <w:pStyle w:val="5"/>
        <w:ind w:firstLine="562"/>
        <w:rPr>
          <w:rFonts w:hint="default"/>
        </w:rPr>
      </w:pPr>
      <w:r>
        <w:t>2、总体绩效目标完成情况分析</w:t>
      </w:r>
    </w:p>
    <w:p>
      <w:pPr>
        <w:ind w:firstLine="560"/>
        <w:rPr>
          <w:rFonts w:hint="eastAsia" w:eastAsia="仿宋_GB2312"/>
          <w:lang w:eastAsia="zh-CN"/>
        </w:rPr>
      </w:pPr>
      <w:r>
        <w:rPr>
          <w:rFonts w:hint="eastAsia"/>
        </w:rPr>
        <w:t>本年度我院使用中央政法转移支付资金，完成了案卷装订、执法用车等设备的购置工作和科技法庭改造、档案室及配电室改造、多功能会议室等改造项目，有效保障审判执行工作的顺利开展；依法履行执行，完成了民事、刑事等各类案件的审判工作，案件结案率达89.78%</w:t>
      </w:r>
      <w:r>
        <w:rPr>
          <w:rFonts w:hint="eastAsia"/>
          <w:lang w:eastAsia="zh-CN"/>
        </w:rPr>
        <w:t>。</w:t>
      </w:r>
    </w:p>
    <w:p>
      <w:pPr>
        <w:pStyle w:val="5"/>
        <w:bidi w:val="0"/>
      </w:pPr>
      <w:r>
        <w:rPr>
          <w:rFonts w:hint="eastAsia"/>
          <w:lang w:val="en-US" w:eastAsia="zh-CN"/>
        </w:rPr>
        <w:t>3、各项指标完成情况分析</w:t>
      </w:r>
    </w:p>
    <w:p>
      <w:pPr>
        <w:ind w:firstLine="562"/>
        <w:rPr>
          <w:rFonts w:hAnsi="宋体" w:cstheme="minorBidi"/>
          <w:szCs w:val="28"/>
        </w:rPr>
      </w:pPr>
      <w:r>
        <w:rPr>
          <w:rFonts w:hint="eastAsia" w:hAnsi="宋体" w:cstheme="minorBidi"/>
          <w:b/>
          <w:bCs/>
          <w:szCs w:val="28"/>
        </w:rPr>
        <w:t>情况说明：</w:t>
      </w:r>
      <w:r>
        <w:rPr>
          <w:rFonts w:hint="eastAsia" w:hAnsi="宋体" w:cstheme="minorBidi"/>
          <w:szCs w:val="28"/>
        </w:rPr>
        <w:t>由于年初对绩效的理解不深入，设置指标及指标值不够合理，不能全面、清晰的体现中央政法转移支付资金项目内容，现根据最新理解与本年度工作完成情况对原先填报的绩效指标予以修改调整，此报告中是以重新修改调整后的指标为基础进行的分析，与系统上所填报的指标、分值（系统中指标无法修改，按原指标上报）有略微不同，但不影响整个评价结果。</w:t>
      </w:r>
    </w:p>
    <w:p>
      <w:pPr>
        <w:ind w:firstLine="562"/>
        <w:rPr>
          <w:b/>
          <w:bCs/>
          <w:szCs w:val="28"/>
        </w:rPr>
      </w:pPr>
      <w:r>
        <w:rPr>
          <w:rFonts w:hint="eastAsia"/>
          <w:b/>
          <w:bCs/>
          <w:szCs w:val="28"/>
        </w:rPr>
        <w:t>（1）产出指标</w:t>
      </w:r>
    </w:p>
    <w:p>
      <w:pPr>
        <w:ind w:firstLine="560"/>
        <w:rPr>
          <w:rFonts w:hAnsi="宋体"/>
          <w:szCs w:val="28"/>
        </w:rPr>
      </w:pPr>
      <w:r>
        <w:rPr>
          <w:rFonts w:hint="eastAsia" w:hAnsi="宋体" w:cstheme="minorBidi"/>
          <w:szCs w:val="28"/>
        </w:rPr>
        <w:t>产出指标包括数量、质量、时效和成本指标4个二级指标。</w:t>
      </w:r>
      <w:r>
        <w:rPr>
          <w:rFonts w:hint="eastAsia" w:hAnsi="宋体"/>
          <w:szCs w:val="28"/>
        </w:rPr>
        <w:t>指标权重合计50分，自评得分50分，得分率为100%。</w:t>
      </w:r>
    </w:p>
    <w:p>
      <w:pPr>
        <w:ind w:firstLine="562"/>
        <w:rPr>
          <w:b/>
          <w:bCs/>
        </w:rPr>
      </w:pPr>
      <w:r>
        <w:rPr>
          <w:rFonts w:hint="eastAsia"/>
          <w:b/>
          <w:bCs/>
        </w:rPr>
        <w:t>①数量指标</w:t>
      </w:r>
    </w:p>
    <w:p>
      <w:pPr>
        <w:ind w:firstLine="560"/>
        <w:rPr>
          <w:rFonts w:hAnsi="宋体"/>
          <w:szCs w:val="28"/>
        </w:rPr>
      </w:pPr>
      <w:r>
        <w:rPr>
          <w:rFonts w:hint="eastAsia"/>
        </w:rPr>
        <w:t>产出数量指标下设</w:t>
      </w:r>
      <w:r>
        <w:t>4</w:t>
      </w:r>
      <w:r>
        <w:rPr>
          <w:rFonts w:hint="eastAsia"/>
        </w:rPr>
        <w:t>个三级指标，</w:t>
      </w:r>
      <w:r>
        <w:rPr>
          <w:rFonts w:hint="eastAsia" w:hAnsi="宋体"/>
          <w:szCs w:val="28"/>
        </w:rPr>
        <w:t>指标分值合计1</w:t>
      </w:r>
      <w:r>
        <w:rPr>
          <w:rFonts w:hAnsi="宋体"/>
          <w:szCs w:val="28"/>
        </w:rPr>
        <w:t>6</w:t>
      </w:r>
      <w:r>
        <w:rPr>
          <w:rFonts w:hint="eastAsia" w:hAnsi="宋体"/>
          <w:szCs w:val="28"/>
        </w:rPr>
        <w:t>分，自评得分1</w:t>
      </w:r>
      <w:r>
        <w:rPr>
          <w:rFonts w:hAnsi="宋体"/>
          <w:szCs w:val="28"/>
        </w:rPr>
        <w:t>6</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案卷装订设备购置数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6套</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6套</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bookmarkStart w:id="60" w:name="_Hlk95014938"/>
            <w:r>
              <w:rPr>
                <w:rFonts w:hint="eastAsia"/>
                <w:sz w:val="24"/>
                <w:szCs w:val="24"/>
              </w:rPr>
              <w:t>档案室及配电室改造项目完成率</w:t>
            </w:r>
            <w:bookmarkEnd w:id="60"/>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执法用车购置数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2辆</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2辆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案件结案率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≥85%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sz w:val="24"/>
                <w:szCs w:val="24"/>
              </w:rPr>
            </w:pPr>
            <w:r>
              <w:rPr>
                <w:rFonts w:hint="eastAsia"/>
                <w:sz w:val="24"/>
                <w:szCs w:val="24"/>
              </w:rPr>
              <w:t>89.78%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w:t>
            </w:r>
            <w:r>
              <w:rPr>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00</w:t>
            </w:r>
            <w:r>
              <w:rPr>
                <w:rFonts w:hint="eastAsia"/>
                <w:b/>
                <w:bCs/>
                <w:sz w:val="24"/>
                <w:szCs w:val="24"/>
              </w:rPr>
              <w:t>%</w:t>
            </w:r>
          </w:p>
        </w:tc>
      </w:tr>
    </w:tbl>
    <w:p>
      <w:pPr>
        <w:ind w:firstLine="562"/>
        <w:rPr>
          <w:rFonts w:hAnsi="宋体" w:cstheme="minorBidi"/>
          <w:szCs w:val="28"/>
        </w:rPr>
      </w:pPr>
      <w:r>
        <w:rPr>
          <w:rFonts w:hint="eastAsia"/>
          <w:b/>
          <w:bCs/>
        </w:rPr>
        <w:t>案卷装订设备购置数：</w:t>
      </w:r>
      <w:r>
        <w:rPr>
          <w:rFonts w:hint="eastAsia"/>
        </w:rPr>
        <w:t>我院按照采购计划完成了6套案卷装订设备的购置工作，指标实际完成值达到年度目标值。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szCs w:val="28"/>
        </w:rPr>
      </w:pPr>
      <w:bookmarkStart w:id="61" w:name="_Hlk93591512"/>
      <w:r>
        <w:rPr>
          <w:rFonts w:hint="eastAsia"/>
          <w:b/>
          <w:bCs/>
        </w:rPr>
        <w:t>档案室及配电室改造项目完成率：</w:t>
      </w:r>
      <w:bookmarkEnd w:id="61"/>
      <w:r>
        <w:rPr>
          <w:rFonts w:hint="eastAsia"/>
        </w:rPr>
        <w:t>我院按照年初计划完成了档案室及配电室改造项目工作，指标实际完成值达到年度目标值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rFonts w:hAnsi="宋体" w:cstheme="minorBidi"/>
          <w:szCs w:val="28"/>
        </w:rPr>
      </w:pPr>
      <w:r>
        <w:rPr>
          <w:rFonts w:hint="eastAsia"/>
          <w:b/>
          <w:bCs/>
        </w:rPr>
        <w:t>执法用车购置数：</w:t>
      </w:r>
      <w:r>
        <w:rPr>
          <w:rFonts w:hint="eastAsia"/>
        </w:rPr>
        <w:t>我院按照采购计划完成了2辆执法用车购置工作，指标实际完成值达到年度目标值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szCs w:val="28"/>
        </w:rPr>
      </w:pPr>
      <w:r>
        <w:rPr>
          <w:rFonts w:hint="eastAsia"/>
          <w:b/>
          <w:bCs/>
          <w:szCs w:val="28"/>
        </w:rPr>
        <w:t>案件结案率：</w:t>
      </w:r>
      <w:bookmarkStart w:id="62" w:name="_Hlk93591438"/>
      <w:r>
        <w:rPr>
          <w:rFonts w:hint="eastAsia"/>
          <w:szCs w:val="28"/>
        </w:rPr>
        <w:t>本年度我院案件结案率为8</w:t>
      </w:r>
      <w:r>
        <w:rPr>
          <w:szCs w:val="28"/>
        </w:rPr>
        <w:t>9.78%</w:t>
      </w:r>
      <w:r>
        <w:rPr>
          <w:rFonts w:hint="eastAsia"/>
          <w:szCs w:val="28"/>
        </w:rPr>
        <w:t>，</w:t>
      </w:r>
      <w:bookmarkEnd w:id="62"/>
      <w:r>
        <w:rPr>
          <w:rFonts w:hint="eastAsia"/>
        </w:rPr>
        <w:t>指标实际完成值达到年度目标值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b/>
          <w:bCs/>
        </w:rPr>
      </w:pPr>
      <w:r>
        <w:rPr>
          <w:rFonts w:hint="eastAsia"/>
          <w:b/>
          <w:bCs/>
        </w:rPr>
        <w:t>②质量指标</w:t>
      </w:r>
    </w:p>
    <w:p>
      <w:pPr>
        <w:ind w:firstLine="560"/>
        <w:rPr>
          <w:rFonts w:hAnsi="宋体"/>
          <w:szCs w:val="28"/>
        </w:rPr>
      </w:pPr>
      <w:r>
        <w:rPr>
          <w:rFonts w:hint="eastAsia"/>
        </w:rPr>
        <w:t>产出质量指标下设3个三级指标，</w:t>
      </w:r>
      <w:r>
        <w:rPr>
          <w:rFonts w:hint="eastAsia" w:hAnsi="宋体"/>
          <w:szCs w:val="28"/>
        </w:rPr>
        <w:t>指标分值合计1</w:t>
      </w:r>
      <w:r>
        <w:rPr>
          <w:rFonts w:hAnsi="宋体"/>
          <w:szCs w:val="28"/>
        </w:rPr>
        <w:t>8</w:t>
      </w:r>
      <w:r>
        <w:rPr>
          <w:rFonts w:hint="eastAsia" w:hAnsi="宋体"/>
          <w:szCs w:val="28"/>
        </w:rPr>
        <w:t>分，自评得分1</w:t>
      </w:r>
      <w:r>
        <w:rPr>
          <w:rFonts w:hAnsi="宋体"/>
          <w:szCs w:val="28"/>
        </w:rPr>
        <w:t>8</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购置设备质量验收合格率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bookmarkStart w:id="63" w:name="_Hlk95015707"/>
            <w:r>
              <w:rPr>
                <w:rFonts w:hint="eastAsia"/>
                <w:sz w:val="24"/>
                <w:szCs w:val="24"/>
              </w:rPr>
              <w:t>档案室及配电室改造项目验收合格率</w:t>
            </w:r>
            <w:bookmarkEnd w:id="63"/>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办案质效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8</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8</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pPr>
      <w:r>
        <w:rPr>
          <w:rFonts w:hint="eastAsia"/>
          <w:b/>
          <w:bCs/>
        </w:rPr>
        <w:t>购置设备质量验收合格率：</w:t>
      </w:r>
      <w:r>
        <w:rPr>
          <w:rFonts w:hint="eastAsia"/>
        </w:rPr>
        <w:t>本年度使用中央政法转移支付资金购置的案卷装订设备及执法用车均达到验收标准，通过验收，指标实际完成值达到年度目标值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rFonts w:hAnsi="宋体" w:cstheme="minorBidi"/>
          <w:szCs w:val="28"/>
        </w:rPr>
      </w:pPr>
      <w:bookmarkStart w:id="64" w:name="_Hlk95015888"/>
      <w:bookmarkStart w:id="65" w:name="_Hlk95015919"/>
      <w:r>
        <w:rPr>
          <w:rFonts w:hint="eastAsia"/>
          <w:b/>
          <w:bCs/>
        </w:rPr>
        <w:t>档案室及配电室改造项目</w:t>
      </w:r>
      <w:bookmarkEnd w:id="64"/>
      <w:r>
        <w:rPr>
          <w:rFonts w:hint="eastAsia"/>
          <w:b/>
          <w:bCs/>
        </w:rPr>
        <w:t>验收合格率</w:t>
      </w:r>
      <w:bookmarkEnd w:id="65"/>
      <w:r>
        <w:rPr>
          <w:rFonts w:hint="eastAsia"/>
          <w:b/>
          <w:bCs/>
        </w:rPr>
        <w:t>：</w:t>
      </w:r>
      <w:r>
        <w:rPr>
          <w:rFonts w:hint="eastAsia"/>
        </w:rPr>
        <w:t>我院本年度完成了档案室及配电室改造项目工作，并按照合同规定完成质量验收，档案室及配电室改造项目验收合格率为1</w:t>
      </w:r>
      <w:r>
        <w:t>00%</w:t>
      </w:r>
      <w:r>
        <w:rPr>
          <w:rFonts w:hint="eastAsia"/>
        </w:rPr>
        <w:t>，指标实际完成值达到年度目标值</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pPr>
      <w:r>
        <w:rPr>
          <w:rFonts w:hint="eastAsia"/>
          <w:b/>
          <w:bCs/>
        </w:rPr>
        <w:t>办案质效：</w:t>
      </w:r>
      <w:r>
        <w:rPr>
          <w:rFonts w:hint="eastAsia"/>
        </w:rPr>
        <w:t>我院在满足当事人知情权、参与权的同时，自觉接受监督，提升法官司法能力，促进办案质效的提高。</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b/>
          <w:bCs/>
        </w:rPr>
      </w:pPr>
      <w:r>
        <w:rPr>
          <w:rFonts w:hint="eastAsia"/>
          <w:b/>
          <w:bCs/>
        </w:rPr>
        <w:t>③时效指标</w:t>
      </w:r>
    </w:p>
    <w:p>
      <w:pPr>
        <w:ind w:firstLine="560"/>
      </w:pPr>
      <w:r>
        <w:rPr>
          <w:rFonts w:hint="eastAsia"/>
        </w:rPr>
        <w:t>产出时效指标下设3个三级指标，</w:t>
      </w:r>
      <w:r>
        <w:rPr>
          <w:rFonts w:hint="eastAsia" w:hAnsi="宋体"/>
          <w:szCs w:val="28"/>
        </w:rPr>
        <w:t>指标分值合计1</w:t>
      </w:r>
      <w:r>
        <w:rPr>
          <w:rFonts w:hAnsi="宋体"/>
          <w:szCs w:val="28"/>
        </w:rPr>
        <w:t>2</w:t>
      </w:r>
      <w:r>
        <w:rPr>
          <w:rFonts w:hint="eastAsia" w:hAnsi="宋体"/>
          <w:szCs w:val="28"/>
        </w:rPr>
        <w:t>分，自评得分1</w:t>
      </w:r>
      <w:r>
        <w:rPr>
          <w:rFonts w:hAnsi="宋体"/>
          <w:szCs w:val="28"/>
        </w:rPr>
        <w:t>2</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设备购置工作完成及时性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100</w:t>
            </w:r>
            <w:r>
              <w:rPr>
                <w:rFonts w:hint="eastAsia"/>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bookmarkStart w:id="66" w:name="_Hlk95016548"/>
            <w:bookmarkStart w:id="67" w:name="_Hlk93349894"/>
            <w:r>
              <w:rPr>
                <w:rFonts w:hint="eastAsia"/>
                <w:sz w:val="24"/>
                <w:szCs w:val="24"/>
              </w:rPr>
              <w:t>档案室及配电室改造项目完成及时性</w:t>
            </w:r>
            <w:bookmarkEnd w:id="66"/>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及时</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396"/>
              </w:tabs>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法定审限内结案率</w:t>
            </w:r>
            <w:bookmarkEnd w:id="67"/>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≥95%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99.08%</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2</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w:t>
            </w:r>
            <w:r>
              <w:rPr>
                <w:b/>
                <w:bCs/>
                <w:sz w:val="24"/>
                <w:szCs w:val="24"/>
              </w:rPr>
              <w:t>2</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pPr>
      <w:r>
        <w:rPr>
          <w:rFonts w:hint="eastAsia"/>
          <w:b/>
          <w:bCs/>
        </w:rPr>
        <w:t>设备购置工作完成及时性：</w:t>
      </w:r>
      <w:r>
        <w:rPr>
          <w:rFonts w:hint="eastAsia"/>
        </w:rPr>
        <w:t>本年度按计划及时完成了案卷装订设备及执法用车购置工作，设备购置工作完成及时性达到目标值。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rFonts w:hAnsi="宋体" w:cstheme="minorBidi"/>
          <w:szCs w:val="28"/>
        </w:rPr>
      </w:pPr>
      <w:bookmarkStart w:id="68" w:name="_Hlk95016683"/>
      <w:r>
        <w:rPr>
          <w:rFonts w:hint="eastAsia"/>
          <w:b/>
          <w:bCs/>
        </w:rPr>
        <w:t>档案室及配电室改造项目</w:t>
      </w:r>
      <w:bookmarkEnd w:id="68"/>
      <w:r>
        <w:rPr>
          <w:rFonts w:hint="eastAsia"/>
          <w:b/>
          <w:bCs/>
        </w:rPr>
        <w:t>完成及时性：</w:t>
      </w:r>
      <w:r>
        <w:rPr>
          <w:rFonts w:hint="eastAsia"/>
        </w:rPr>
        <w:t>本年度按计划及时完成了档案室及配电室改造项目工作，档案室及配电室改造项目工作完成及时性达到目标值。</w:t>
      </w:r>
      <w:r>
        <w:rPr>
          <w:rFonts w:hint="eastAsia" w:hAnsi="宋体" w:cstheme="minorBidi"/>
          <w:szCs w:val="28"/>
        </w:rPr>
        <w:t>指标分值</w:t>
      </w:r>
      <w:r>
        <w:rPr>
          <w:rFonts w:hAnsi="宋体" w:cstheme="minorBidi"/>
          <w:szCs w:val="28"/>
        </w:rPr>
        <w:t>4</w:t>
      </w:r>
      <w:r>
        <w:rPr>
          <w:rFonts w:hint="eastAsia" w:hAnsi="宋体" w:cstheme="minorBidi"/>
          <w:szCs w:val="28"/>
        </w:rPr>
        <w:t>分，自评得分</w:t>
      </w:r>
      <w:r>
        <w:rPr>
          <w:rFonts w:hAnsi="宋体" w:cstheme="minorBidi"/>
          <w:szCs w:val="28"/>
        </w:rPr>
        <w:t>4</w:t>
      </w:r>
      <w:r>
        <w:rPr>
          <w:rFonts w:hint="eastAsia" w:hAnsi="宋体" w:cstheme="minorBidi"/>
          <w:szCs w:val="28"/>
        </w:rPr>
        <w:t>分，得分率为100%。</w:t>
      </w:r>
    </w:p>
    <w:p>
      <w:pPr>
        <w:ind w:firstLine="562"/>
        <w:rPr>
          <w:rFonts w:hAnsi="宋体" w:cstheme="minorBidi"/>
          <w:szCs w:val="28"/>
        </w:rPr>
      </w:pPr>
      <w:r>
        <w:rPr>
          <w:rFonts w:hint="eastAsia"/>
          <w:b/>
          <w:bCs/>
        </w:rPr>
        <w:t>法定审限内结案率：</w:t>
      </w:r>
      <w:r>
        <w:rPr>
          <w:rFonts w:hint="eastAsia"/>
        </w:rPr>
        <w:t>我院本年度法定审限内结案率为</w:t>
      </w:r>
      <w:r>
        <w:t>99.08%</w:t>
      </w:r>
      <w:r>
        <w:rPr>
          <w:rFonts w:hint="eastAsia"/>
        </w:rPr>
        <w:t>，指标实际完成值达到年度目标值</w:t>
      </w:r>
      <w:r>
        <w:rPr>
          <w:rFonts w:hint="eastAsia" w:hAnsi="宋体" w:cstheme="minorBidi"/>
          <w:szCs w:val="28"/>
        </w:rPr>
        <w:t>。指标分值4分，自评得分4分，得分率为100%。</w:t>
      </w:r>
    </w:p>
    <w:p>
      <w:pPr>
        <w:ind w:firstLine="562"/>
        <w:rPr>
          <w:b/>
          <w:bCs/>
        </w:rPr>
      </w:pPr>
      <w:r>
        <w:rPr>
          <w:rFonts w:hint="eastAsia"/>
          <w:b/>
          <w:bCs/>
        </w:rPr>
        <w:t>④成本指标</w:t>
      </w:r>
    </w:p>
    <w:p>
      <w:pPr>
        <w:ind w:firstLine="560"/>
        <w:rPr>
          <w:rFonts w:hint="eastAsia" w:hAnsi="宋体"/>
          <w:szCs w:val="28"/>
        </w:rPr>
      </w:pPr>
      <w:r>
        <w:rPr>
          <w:rFonts w:hint="eastAsia"/>
        </w:rPr>
        <w:t>产出成本指标下设</w:t>
      </w:r>
      <w:r>
        <w:t>1</w:t>
      </w:r>
      <w:r>
        <w:rPr>
          <w:rFonts w:hint="eastAsia"/>
        </w:rPr>
        <w:t>个三级指标，</w:t>
      </w:r>
      <w:r>
        <w:rPr>
          <w:rFonts w:hint="eastAsia" w:hAnsi="宋体"/>
          <w:szCs w:val="28"/>
        </w:rPr>
        <w:t>指标分值合计</w:t>
      </w:r>
      <w:r>
        <w:rPr>
          <w:rFonts w:hAnsi="宋体"/>
          <w:szCs w:val="28"/>
        </w:rPr>
        <w:t>4</w:t>
      </w:r>
      <w:r>
        <w:rPr>
          <w:rFonts w:hint="eastAsia" w:hAnsi="宋体"/>
          <w:szCs w:val="28"/>
        </w:rPr>
        <w:t>分，自评得分</w:t>
      </w:r>
      <w:r>
        <w:rPr>
          <w:rFonts w:hAnsi="宋体"/>
          <w:szCs w:val="28"/>
        </w:rPr>
        <w:t>4</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成本控制情况</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在预算范围内</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4</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4</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rFonts w:hAnsi="宋体"/>
          <w:color w:val="000000" w:themeColor="text1"/>
          <w:szCs w:val="28"/>
          <w14:textFill>
            <w14:solidFill>
              <w14:schemeClr w14:val="tx1"/>
            </w14:solidFill>
          </w14:textFill>
        </w:rPr>
      </w:pPr>
      <w:r>
        <w:rPr>
          <w:rFonts w:hint="eastAsia"/>
          <w:b/>
          <w:bCs/>
        </w:rPr>
        <w:t>成本控制情况：</w:t>
      </w:r>
      <w:r>
        <w:rPr>
          <w:rFonts w:hint="eastAsia"/>
        </w:rPr>
        <w:t>本项目</w:t>
      </w:r>
      <w:r>
        <w:rPr>
          <w:rFonts w:hint="eastAsia" w:hAnsi="宋体"/>
          <w:color w:val="000000" w:themeColor="text1"/>
          <w:szCs w:val="28"/>
          <w14:textFill>
            <w14:solidFill>
              <w14:schemeClr w14:val="tx1"/>
            </w14:solidFill>
          </w14:textFill>
        </w:rPr>
        <w:t>全年预算资金总额为</w:t>
      </w:r>
      <w:r>
        <w:rPr>
          <w:rFonts w:hAnsi="宋体"/>
          <w:color w:val="000000" w:themeColor="text1"/>
          <w:szCs w:val="28"/>
          <w14:textFill>
            <w14:solidFill>
              <w14:schemeClr w14:val="tx1"/>
            </w14:solidFill>
          </w14:textFill>
        </w:rPr>
        <w:t>336</w:t>
      </w:r>
      <w:r>
        <w:rPr>
          <w:rFonts w:hint="eastAsia" w:hAnsi="宋体"/>
          <w:color w:val="000000" w:themeColor="text1"/>
          <w:szCs w:val="28"/>
          <w14:textFill>
            <w14:solidFill>
              <w14:schemeClr w14:val="tx1"/>
            </w14:solidFill>
          </w14:textFill>
        </w:rPr>
        <w:t>万元，实际支出</w:t>
      </w:r>
      <w:r>
        <w:rPr>
          <w:rFonts w:hAnsi="宋体"/>
          <w:color w:val="000000" w:themeColor="text1"/>
          <w:szCs w:val="28"/>
          <w14:textFill>
            <w14:solidFill>
              <w14:schemeClr w14:val="tx1"/>
            </w14:solidFill>
          </w14:textFill>
        </w:rPr>
        <w:t>336</w:t>
      </w:r>
      <w:r>
        <w:rPr>
          <w:rFonts w:hint="eastAsia" w:hAnsi="宋体"/>
          <w:color w:val="000000" w:themeColor="text1"/>
          <w:szCs w:val="28"/>
          <w14:textFill>
            <w14:solidFill>
              <w14:schemeClr w14:val="tx1"/>
            </w14:solidFill>
          </w14:textFill>
        </w:rPr>
        <w:t>万元，成本有效控制在预算范围内，</w:t>
      </w:r>
      <w:r>
        <w:rPr>
          <w:rFonts w:hint="eastAsia"/>
        </w:rPr>
        <w:t>指标实际完成值达到年度目标值</w:t>
      </w:r>
      <w:r>
        <w:rPr>
          <w:rFonts w:hint="eastAsia" w:hAnsi="宋体" w:cstheme="minorBidi"/>
          <w:szCs w:val="28"/>
        </w:rPr>
        <w:t>。</w:t>
      </w:r>
      <w:r>
        <w:rPr>
          <w:rFonts w:hint="eastAsia" w:hAnsi="宋体"/>
          <w:color w:val="000000" w:themeColor="text1"/>
          <w:szCs w:val="28"/>
          <w14:textFill>
            <w14:solidFill>
              <w14:schemeClr w14:val="tx1"/>
            </w14:solidFill>
          </w14:textFill>
        </w:rPr>
        <w:t>按照得分标准得满分</w:t>
      </w:r>
      <w:r>
        <w:rPr>
          <w:rFonts w:hAnsi="宋体"/>
          <w:color w:val="000000" w:themeColor="text1"/>
          <w:szCs w:val="28"/>
          <w14:textFill>
            <w14:solidFill>
              <w14:schemeClr w14:val="tx1"/>
            </w14:solidFill>
          </w14:textFill>
        </w:rPr>
        <w:t>4</w:t>
      </w:r>
      <w:r>
        <w:rPr>
          <w:rFonts w:hint="eastAsia" w:hAnsi="宋体"/>
          <w:color w:val="000000" w:themeColor="text1"/>
          <w:szCs w:val="28"/>
          <w14:textFill>
            <w14:solidFill>
              <w14:schemeClr w14:val="tx1"/>
            </w14:solidFill>
          </w14:textFill>
        </w:rPr>
        <w:t>分，得分率为100%。</w:t>
      </w:r>
    </w:p>
    <w:p>
      <w:pPr>
        <w:ind w:firstLine="562"/>
        <w:rPr>
          <w:b/>
          <w:bCs/>
          <w:szCs w:val="28"/>
        </w:rPr>
      </w:pPr>
      <w:r>
        <w:rPr>
          <w:rFonts w:hint="eastAsia"/>
          <w:b/>
          <w:bCs/>
          <w:szCs w:val="28"/>
        </w:rPr>
        <w:t>（2）效益指标</w:t>
      </w:r>
    </w:p>
    <w:p>
      <w:pPr>
        <w:ind w:firstLine="560"/>
        <w:rPr>
          <w:rFonts w:hAnsi="宋体"/>
          <w:szCs w:val="28"/>
        </w:rPr>
      </w:pPr>
      <w:r>
        <w:rPr>
          <w:rFonts w:hint="eastAsia" w:hAnsi="宋体" w:cstheme="minorBidi"/>
          <w:szCs w:val="28"/>
        </w:rPr>
        <w:t>效益指标包括</w:t>
      </w:r>
      <w:r>
        <w:rPr>
          <w:rFonts w:hint="eastAsia"/>
          <w:szCs w:val="28"/>
        </w:rPr>
        <w:t>社会效益和可持续影响指标</w:t>
      </w:r>
      <w:r>
        <w:rPr>
          <w:rFonts w:hint="eastAsia" w:hAnsi="宋体" w:cstheme="minorBidi"/>
          <w:szCs w:val="28"/>
        </w:rPr>
        <w:t>2个二级指标。</w:t>
      </w:r>
      <w:r>
        <w:rPr>
          <w:rFonts w:hint="eastAsia" w:hAnsi="宋体"/>
          <w:szCs w:val="28"/>
        </w:rPr>
        <w:t>指标权重合计30分，自评得分30分，得分率为100%。</w:t>
      </w:r>
    </w:p>
    <w:p>
      <w:pPr>
        <w:ind w:firstLine="562"/>
        <w:rPr>
          <w:b/>
          <w:bCs/>
        </w:rPr>
      </w:pPr>
      <w:r>
        <w:rPr>
          <w:rFonts w:hint="eastAsia"/>
          <w:b/>
          <w:bCs/>
        </w:rPr>
        <w:t>①社会效益指标</w:t>
      </w:r>
    </w:p>
    <w:p>
      <w:pPr>
        <w:ind w:firstLine="560"/>
      </w:pPr>
      <w:r>
        <w:rPr>
          <w:rFonts w:hint="eastAsia"/>
        </w:rPr>
        <w:t>社会效益指标下设</w:t>
      </w:r>
      <w:r>
        <w:t>2</w:t>
      </w:r>
      <w:r>
        <w:rPr>
          <w:rFonts w:hint="eastAsia"/>
        </w:rPr>
        <w:t>个三级指标，</w:t>
      </w:r>
      <w:r>
        <w:rPr>
          <w:rFonts w:hint="eastAsia" w:hAnsi="宋体"/>
          <w:szCs w:val="28"/>
        </w:rPr>
        <w:t>指标分值合计</w:t>
      </w:r>
      <w:r>
        <w:rPr>
          <w:rFonts w:hAnsi="宋体"/>
          <w:szCs w:val="28"/>
        </w:rPr>
        <w:t>11</w:t>
      </w:r>
      <w:r>
        <w:rPr>
          <w:rFonts w:hint="eastAsia" w:hAnsi="宋体"/>
          <w:szCs w:val="28"/>
        </w:rPr>
        <w:t>分，自评得分</w:t>
      </w:r>
      <w:r>
        <w:rPr>
          <w:rFonts w:hAnsi="宋体"/>
          <w:szCs w:val="28"/>
        </w:rPr>
        <w:t>11</w:t>
      </w:r>
      <w:r>
        <w:rPr>
          <w:rFonts w:hint="eastAsia" w:hAnsi="宋体"/>
          <w:szCs w:val="28"/>
        </w:rPr>
        <w:t>分，得分率为100%。</w:t>
      </w:r>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sz w:val="24"/>
                <w:szCs w:val="24"/>
              </w:rPr>
            </w:pPr>
            <w:bookmarkStart w:id="69" w:name="_Hlk95017056"/>
            <w:r>
              <w:rPr>
                <w:rFonts w:hint="eastAsia" w:hAnsi="宋体" w:cs="宋体"/>
                <w:color w:val="000000"/>
                <w:kern w:val="0"/>
                <w:sz w:val="24"/>
                <w:szCs w:val="24"/>
              </w:rPr>
              <w:t>法院工作的保密性</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安全性提高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bookmark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Ansi="宋体" w:cs="宋体"/>
                <w:color w:val="000000"/>
                <w:kern w:val="0"/>
                <w:sz w:val="24"/>
                <w:szCs w:val="24"/>
              </w:rPr>
            </w:pPr>
            <w:r>
              <w:rPr>
                <w:rFonts w:hint="eastAsia" w:hAnsi="宋体" w:cs="宋体"/>
                <w:color w:val="000000"/>
                <w:kern w:val="0"/>
                <w:sz w:val="24"/>
                <w:szCs w:val="24"/>
              </w:rPr>
              <w:t>确保法院工作的公平公正公开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公开</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6</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sz w:val="24"/>
                <w:szCs w:val="24"/>
              </w:rPr>
              <w:t>6</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b/>
                <w:bCs/>
                <w:sz w:val="24"/>
                <w:szCs w:val="24"/>
              </w:rPr>
              <w:t>11</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b/>
                <w:bCs/>
                <w:sz w:val="24"/>
                <w:szCs w:val="24"/>
              </w:rPr>
              <w:t>11</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100%</w:t>
            </w:r>
          </w:p>
        </w:tc>
      </w:tr>
    </w:tbl>
    <w:p>
      <w:pPr>
        <w:ind w:firstLine="562"/>
        <w:rPr>
          <w:szCs w:val="28"/>
        </w:rPr>
      </w:pPr>
      <w:r>
        <w:rPr>
          <w:rFonts w:hint="eastAsia"/>
          <w:b/>
          <w:bCs/>
          <w:szCs w:val="28"/>
        </w:rPr>
        <w:t>法院工作的保密性：</w:t>
      </w:r>
      <w:r>
        <w:rPr>
          <w:rFonts w:hint="eastAsia"/>
          <w:szCs w:val="28"/>
        </w:rPr>
        <w:t>我院充分认识泄密问题的严重性、危害性，牢固树立纪律观念和法制观念，强化保密责任意识，抓好保密制度落实，扎实做好经常性、基础性工作，提高保密工作的综合防范能力。</w:t>
      </w:r>
      <w:r>
        <w:rPr>
          <w:rFonts w:hint="eastAsia" w:hAnsi="宋体" w:cstheme="minorBidi"/>
          <w:szCs w:val="28"/>
        </w:rPr>
        <w:t>指标分值</w:t>
      </w:r>
      <w:r>
        <w:rPr>
          <w:rFonts w:hAnsi="宋体" w:cstheme="minorBidi"/>
          <w:szCs w:val="28"/>
        </w:rPr>
        <w:t>5</w:t>
      </w:r>
      <w:r>
        <w:rPr>
          <w:rFonts w:hint="eastAsia" w:hAnsi="宋体" w:cstheme="minorBidi"/>
          <w:szCs w:val="28"/>
        </w:rPr>
        <w:t>分，自评得分</w:t>
      </w:r>
      <w:r>
        <w:rPr>
          <w:rFonts w:hAnsi="宋体" w:cstheme="minorBidi"/>
          <w:szCs w:val="28"/>
        </w:rPr>
        <w:t>5</w:t>
      </w:r>
      <w:r>
        <w:rPr>
          <w:rFonts w:hint="eastAsia" w:hAnsi="宋体" w:cstheme="minorBidi"/>
          <w:szCs w:val="28"/>
        </w:rPr>
        <w:t>分，得分率为100%。</w:t>
      </w:r>
    </w:p>
    <w:p>
      <w:pPr>
        <w:ind w:firstLine="562"/>
      </w:pPr>
      <w:r>
        <w:rPr>
          <w:rFonts w:hint="eastAsia"/>
          <w:b/>
          <w:bCs/>
          <w:szCs w:val="28"/>
        </w:rPr>
        <w:t>确保法院工作的公平公正公开：</w:t>
      </w:r>
      <w:r>
        <w:rPr>
          <w:rFonts w:hint="eastAsia"/>
          <w:szCs w:val="28"/>
        </w:rPr>
        <w:t>我院坚持以公开为原则、以不公开为例外，将司法公开覆盖法院工作各领域、各环节，通过裁判文书、审判流程、执行信息和庭审直播四大公开平台，上网裁判文书</w:t>
      </w:r>
      <w:r>
        <w:rPr>
          <w:szCs w:val="28"/>
        </w:rPr>
        <w:t>3.4万余份，庭审直播9600余场次</w:t>
      </w:r>
      <w:r>
        <w:rPr>
          <w:rFonts w:hint="eastAsia"/>
          <w:szCs w:val="28"/>
        </w:rPr>
        <w:t>，确保了法院工作的公平公正公开。</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b/>
          <w:bCs/>
        </w:rPr>
      </w:pPr>
      <w:r>
        <w:rPr>
          <w:rFonts w:hint="eastAsia"/>
          <w:b/>
          <w:bCs/>
        </w:rPr>
        <w:t>②可持续影响指标</w:t>
      </w:r>
    </w:p>
    <w:p>
      <w:pPr>
        <w:ind w:firstLine="560"/>
      </w:pPr>
      <w:r>
        <w:rPr>
          <w:rFonts w:hint="eastAsia"/>
        </w:rPr>
        <w:t>可持续影响指标下设</w:t>
      </w:r>
      <w:r>
        <w:t>3</w:t>
      </w:r>
      <w:r>
        <w:rPr>
          <w:rFonts w:hint="eastAsia"/>
        </w:rPr>
        <w:t>个三级指标，</w:t>
      </w:r>
      <w:r>
        <w:rPr>
          <w:rFonts w:hint="eastAsia" w:hAnsi="宋体"/>
          <w:szCs w:val="28"/>
        </w:rPr>
        <w:t>指标分值合计</w:t>
      </w:r>
      <w:r>
        <w:rPr>
          <w:rFonts w:hAnsi="宋体"/>
          <w:szCs w:val="28"/>
        </w:rPr>
        <w:t>19</w:t>
      </w:r>
      <w:r>
        <w:rPr>
          <w:rFonts w:hint="eastAsia" w:hAnsi="宋体"/>
          <w:szCs w:val="28"/>
        </w:rPr>
        <w:t>分，自评得分</w:t>
      </w:r>
      <w:r>
        <w:rPr>
          <w:rFonts w:hAnsi="宋体"/>
          <w:szCs w:val="28"/>
        </w:rPr>
        <w:t>19</w:t>
      </w:r>
      <w:r>
        <w:rPr>
          <w:rFonts w:hint="eastAsia" w:hAnsi="宋体"/>
          <w:szCs w:val="28"/>
        </w:rPr>
        <w:t>分，得分率为100%。</w:t>
      </w:r>
    </w:p>
    <w:tbl>
      <w:tblPr>
        <w:tblStyle w:val="19"/>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1675"/>
        <w:gridCol w:w="1675"/>
        <w:gridCol w:w="850"/>
        <w:gridCol w:w="821"/>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hAnsi="宋体" w:cs="宋体"/>
                <w:color w:val="000000"/>
                <w:kern w:val="0"/>
                <w:sz w:val="24"/>
                <w:szCs w:val="24"/>
              </w:rPr>
              <w:t>案件评查机制健全性</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健全</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7</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7</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各部门之间协作能力</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提高</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6</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6</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信息化社会共享</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w:t>
            </w:r>
            <w:r>
              <w:rPr>
                <w:sz w:val="24"/>
                <w:szCs w:val="21"/>
              </w:rPr>
              <w:t>90%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6</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6</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3"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w:t>
            </w:r>
            <w:r>
              <w:rPr>
                <w:b/>
                <w:bCs/>
                <w:sz w:val="24"/>
                <w:szCs w:val="21"/>
              </w:rPr>
              <w:t>9</w:t>
            </w:r>
          </w:p>
        </w:tc>
        <w:tc>
          <w:tcPr>
            <w:tcW w:w="82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b/>
                <w:bCs/>
                <w:sz w:val="24"/>
                <w:szCs w:val="21"/>
              </w:rPr>
              <w:t>19</w:t>
            </w:r>
          </w:p>
        </w:tc>
        <w:tc>
          <w:tcPr>
            <w:tcW w:w="102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rFonts w:hAnsi="宋体" w:cstheme="minorBidi"/>
          <w:szCs w:val="28"/>
        </w:rPr>
      </w:pPr>
      <w:r>
        <w:rPr>
          <w:rFonts w:hint="eastAsia"/>
          <w:b/>
          <w:bCs/>
          <w:szCs w:val="28"/>
        </w:rPr>
        <w:t>案件评查机制健全性：</w:t>
      </w:r>
      <w:r>
        <w:rPr>
          <w:rFonts w:hint="eastAsia"/>
          <w:szCs w:val="28"/>
        </w:rPr>
        <w:t>我院加强案件规范化管理，案件质量评查工作机制进一步健全。</w:t>
      </w:r>
      <w:r>
        <w:rPr>
          <w:rFonts w:hint="eastAsia" w:hAnsi="宋体" w:cstheme="minorBidi"/>
          <w:szCs w:val="28"/>
        </w:rPr>
        <w:t>指标分值</w:t>
      </w:r>
      <w:r>
        <w:rPr>
          <w:rFonts w:hAnsi="宋体" w:cstheme="minorBidi"/>
          <w:szCs w:val="28"/>
        </w:rPr>
        <w:t>7</w:t>
      </w:r>
      <w:r>
        <w:rPr>
          <w:rFonts w:hint="eastAsia" w:hAnsi="宋体" w:cstheme="minorBidi"/>
          <w:szCs w:val="28"/>
        </w:rPr>
        <w:t>分，自评得分</w:t>
      </w:r>
      <w:r>
        <w:rPr>
          <w:rFonts w:hAnsi="宋体" w:cstheme="minorBidi"/>
          <w:szCs w:val="28"/>
        </w:rPr>
        <w:t>7</w:t>
      </w:r>
      <w:r>
        <w:rPr>
          <w:rFonts w:hint="eastAsia" w:hAnsi="宋体" w:cstheme="minorBidi"/>
          <w:szCs w:val="28"/>
        </w:rPr>
        <w:t>分，得分率为100%。</w:t>
      </w:r>
    </w:p>
    <w:p>
      <w:pPr>
        <w:ind w:firstLine="562"/>
        <w:rPr>
          <w:rFonts w:hAnsi="宋体" w:cstheme="minorBidi"/>
          <w:szCs w:val="28"/>
        </w:rPr>
      </w:pPr>
      <w:r>
        <w:rPr>
          <w:rFonts w:hint="eastAsia"/>
          <w:b/>
          <w:bCs/>
        </w:rPr>
        <w:t>各部门之间协作能力：</w:t>
      </w:r>
      <w:r>
        <w:rPr>
          <w:rFonts w:hint="eastAsia"/>
        </w:rPr>
        <w:t>我院注重部门之间的协作，合力开展各项工作，提高工作质效，协同市金融办设立张掖市银行业及保险业协会金融纠纷调解委员会，推动涉金融纠纷快速、简便、低成本化解，各部门之间的协助能力不断得到提高。</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rFonts w:hAnsi="宋体" w:cstheme="minorBidi"/>
          <w:szCs w:val="28"/>
        </w:rPr>
      </w:pPr>
      <w:r>
        <w:rPr>
          <w:rFonts w:hint="eastAsia"/>
          <w:b/>
          <w:bCs/>
        </w:rPr>
        <w:t>信息化社会共享：</w:t>
      </w:r>
      <w:r>
        <w:rPr>
          <w:rFonts w:hint="eastAsia"/>
        </w:rPr>
        <w:t>我院加强信息之间的互通共享，提高办案效率，设立律师驿站，与保险、银行等机构开展平台对接，为群众提供便捷的法律咨询，提高法院公信力。</w:t>
      </w:r>
      <w:r>
        <w:rPr>
          <w:rFonts w:hint="eastAsia" w:hAnsi="宋体" w:cstheme="minorBidi"/>
          <w:szCs w:val="28"/>
        </w:rPr>
        <w:t>指标分值</w:t>
      </w:r>
      <w:r>
        <w:rPr>
          <w:rFonts w:hAnsi="宋体" w:cstheme="minorBidi"/>
          <w:szCs w:val="28"/>
        </w:rPr>
        <w:t>6</w:t>
      </w:r>
      <w:r>
        <w:rPr>
          <w:rFonts w:hint="eastAsia" w:hAnsi="宋体" w:cstheme="minorBidi"/>
          <w:szCs w:val="28"/>
        </w:rPr>
        <w:t>分，自评得分</w:t>
      </w:r>
      <w:r>
        <w:rPr>
          <w:rFonts w:hAnsi="宋体" w:cstheme="minorBidi"/>
          <w:szCs w:val="28"/>
        </w:rPr>
        <w:t>6</w:t>
      </w:r>
      <w:r>
        <w:rPr>
          <w:rFonts w:hint="eastAsia" w:hAnsi="宋体" w:cstheme="minorBidi"/>
          <w:szCs w:val="28"/>
        </w:rPr>
        <w:t>分，得分率为100%。</w:t>
      </w:r>
    </w:p>
    <w:p>
      <w:pPr>
        <w:ind w:firstLine="562"/>
        <w:rPr>
          <w:b/>
          <w:bCs/>
          <w:szCs w:val="28"/>
        </w:rPr>
      </w:pPr>
      <w:r>
        <w:rPr>
          <w:rFonts w:hint="eastAsia"/>
          <w:b/>
          <w:bCs/>
          <w:szCs w:val="28"/>
        </w:rPr>
        <w:t>（3）服务对象满意度指标</w:t>
      </w:r>
    </w:p>
    <w:p>
      <w:pPr>
        <w:ind w:firstLine="560"/>
      </w:pPr>
      <w:r>
        <w:rPr>
          <w:rFonts w:hint="eastAsia"/>
          <w:szCs w:val="28"/>
        </w:rPr>
        <w:t>服务对象满意度指标</w:t>
      </w:r>
      <w:r>
        <w:rPr>
          <w:rFonts w:hint="eastAsia"/>
        </w:rPr>
        <w:t>下设</w:t>
      </w:r>
      <w:r>
        <w:t>2</w:t>
      </w:r>
      <w:r>
        <w:rPr>
          <w:rFonts w:hint="eastAsia"/>
        </w:rPr>
        <w:t>个三级指标，</w:t>
      </w:r>
      <w:r>
        <w:rPr>
          <w:rFonts w:hint="eastAsia" w:hAnsi="宋体"/>
          <w:szCs w:val="28"/>
        </w:rPr>
        <w:t>指标权重合计10分，自评得分10分，得分率为100%。</w:t>
      </w:r>
      <w:bookmarkStart w:id="87" w:name="_GoBack"/>
      <w:bookmarkEnd w:id="87"/>
    </w:p>
    <w:tbl>
      <w:tblPr>
        <w:tblStyle w:val="19"/>
        <w:tblW w:w="8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01"/>
        <w:gridCol w:w="1701"/>
        <w:gridCol w:w="851"/>
        <w:gridCol w:w="70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三级指标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年度目标值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实际完成值</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分值</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hAnsi="宋体" w:cs="宋体"/>
                <w:color w:val="000000"/>
                <w:kern w:val="0"/>
                <w:sz w:val="24"/>
                <w:szCs w:val="24"/>
              </w:rPr>
              <w:t>干警满意度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w:t>
            </w:r>
            <w:r>
              <w:rPr>
                <w:sz w:val="24"/>
                <w:szCs w:val="21"/>
              </w:rPr>
              <w:t>90%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90%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Ansi="宋体" w:cs="宋体"/>
                <w:color w:val="000000"/>
                <w:kern w:val="0"/>
                <w:sz w:val="24"/>
                <w:szCs w:val="24"/>
              </w:rPr>
            </w:pPr>
            <w:r>
              <w:rPr>
                <w:rFonts w:hint="eastAsia" w:hAnsi="宋体" w:cs="宋体"/>
                <w:color w:val="000000"/>
                <w:kern w:val="0"/>
                <w:sz w:val="24"/>
                <w:szCs w:val="24"/>
              </w:rPr>
              <w:t>人民群众满意度</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w:t>
            </w:r>
            <w:r>
              <w:rPr>
                <w:sz w:val="24"/>
                <w:szCs w:val="21"/>
              </w:rPr>
              <w:t>90%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sz w:val="24"/>
                <w:szCs w:val="21"/>
              </w:rPr>
              <w:t>90%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5</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4"/>
                <w:szCs w:val="21"/>
              </w:rPr>
            </w:pPr>
            <w:r>
              <w:rPr>
                <w:rFonts w:hint="eastAsia"/>
                <w:sz w:val="24"/>
                <w:szCs w:val="21"/>
              </w:rPr>
              <w:t>1</w:t>
            </w:r>
            <w:r>
              <w:rPr>
                <w:sz w:val="24"/>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80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hAnsi="宋体" w:cs="宋体"/>
                <w:b/>
                <w:bCs/>
                <w:color w:val="000000"/>
                <w:kern w:val="0"/>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w:t>
            </w:r>
          </w:p>
        </w:tc>
        <w:tc>
          <w:tcPr>
            <w:tcW w:w="103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1"/>
              </w:rPr>
            </w:pPr>
            <w:r>
              <w:rPr>
                <w:rFonts w:hint="eastAsia"/>
                <w:b/>
                <w:bCs/>
                <w:sz w:val="24"/>
                <w:szCs w:val="21"/>
              </w:rPr>
              <w:t>100%</w:t>
            </w:r>
          </w:p>
        </w:tc>
      </w:tr>
    </w:tbl>
    <w:p>
      <w:pPr>
        <w:ind w:firstLine="562"/>
        <w:rPr>
          <w:szCs w:val="28"/>
        </w:rPr>
      </w:pPr>
      <w:r>
        <w:rPr>
          <w:rFonts w:hint="eastAsia"/>
          <w:b/>
          <w:bCs/>
          <w:szCs w:val="28"/>
        </w:rPr>
        <w:t>干警满意度：</w:t>
      </w:r>
      <w:r>
        <w:rPr>
          <w:rFonts w:hint="eastAsia"/>
          <w:szCs w:val="28"/>
        </w:rPr>
        <w:t>我院加强配套设备的完善工作，购置了案卷装订机等设备，不断减轻干警压力，提高了工作效率，干警满意度为90%，</w:t>
      </w:r>
      <w:r>
        <w:rPr>
          <w:rFonts w:hint="eastAsia"/>
        </w:rPr>
        <w:t>指标实际完成值达到年度目标值</w:t>
      </w:r>
      <w:r>
        <w:rPr>
          <w:rFonts w:hint="eastAsia"/>
          <w:szCs w:val="28"/>
        </w:rPr>
        <w:t>。指标分值5分，自评得分5分，得分率为100%。</w:t>
      </w:r>
    </w:p>
    <w:p>
      <w:pPr>
        <w:ind w:firstLine="562"/>
      </w:pPr>
      <w:r>
        <w:rPr>
          <w:rFonts w:hint="eastAsia"/>
          <w:b/>
          <w:bCs/>
          <w:szCs w:val="28"/>
        </w:rPr>
        <w:t>人民群众满意度指标：</w:t>
      </w:r>
      <w:r>
        <w:rPr>
          <w:rFonts w:hint="eastAsia"/>
          <w:b w:val="0"/>
          <w:bCs w:val="0"/>
          <w:szCs w:val="28"/>
        </w:rPr>
        <w:t>我院</w:t>
      </w:r>
      <w:r>
        <w:rPr>
          <w:rFonts w:hint="eastAsia"/>
          <w:szCs w:val="28"/>
        </w:rPr>
        <w:t>依托中国邮政建立集约化送达中心，实现了裁判文书异地打印、同城送达，群众诉讼更加便捷，推进事务当场办、自助办，实现了让数据多跑路，让群众少跑腿的目的，得到了人民群众的好评，</w:t>
      </w:r>
      <w:r>
        <w:rPr>
          <w:rFonts w:hint="eastAsia"/>
        </w:rPr>
        <w:t>指标实际完成值达到年度目标值</w:t>
      </w:r>
      <w:r>
        <w:rPr>
          <w:rFonts w:hint="eastAsia" w:hAnsi="宋体" w:cstheme="minorBidi"/>
          <w:szCs w:val="28"/>
        </w:rPr>
        <w:t>。</w:t>
      </w:r>
      <w:r>
        <w:rPr>
          <w:rFonts w:hint="eastAsia"/>
          <w:szCs w:val="28"/>
        </w:rPr>
        <w:t>指标分值5分，自评得分5分，得分率为100%。</w:t>
      </w:r>
    </w:p>
    <w:p>
      <w:pPr>
        <w:ind w:firstLine="562"/>
        <w:rPr>
          <w:b/>
          <w:bCs/>
        </w:rPr>
      </w:pPr>
      <w:r>
        <w:rPr>
          <w:rFonts w:hint="eastAsia"/>
          <w:b/>
          <w:bCs/>
        </w:rPr>
        <w:t>注：年初系统中填报绩效指标如下：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189"/>
        <w:gridCol w:w="3345"/>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18"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b/>
                <w:bCs/>
                <w:sz w:val="24"/>
                <w:szCs w:val="24"/>
              </w:rPr>
            </w:pPr>
            <w:r>
              <w:rPr>
                <w:rFonts w:hint="eastAsia"/>
                <w:b/>
                <w:bCs/>
                <w:sz w:val="24"/>
                <w:szCs w:val="24"/>
              </w:rPr>
              <w:t>一级指标</w:t>
            </w:r>
          </w:p>
        </w:tc>
        <w:tc>
          <w:tcPr>
            <w:tcW w:w="1284"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二级指标</w:t>
            </w:r>
          </w:p>
        </w:tc>
        <w:tc>
          <w:tcPr>
            <w:tcW w:w="1962"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三级指标</w:t>
            </w:r>
          </w:p>
        </w:tc>
        <w:tc>
          <w:tcPr>
            <w:tcW w:w="834" w:type="pct"/>
            <w:tcBorders>
              <w:top w:val="single" w:color="auto" w:sz="4" w:space="0"/>
              <w:left w:val="nil"/>
              <w:bottom w:val="single" w:color="auto" w:sz="4" w:space="0"/>
              <w:right w:val="single" w:color="auto" w:sz="4" w:space="0"/>
            </w:tcBorders>
            <w:noWrap/>
            <w:vAlign w:val="center"/>
          </w:tcPr>
          <w:p>
            <w:pPr>
              <w:spacing w:line="240" w:lineRule="auto"/>
              <w:ind w:firstLine="0" w:firstLineChars="0"/>
              <w:jc w:val="center"/>
              <w:rPr>
                <w:b/>
                <w:bCs/>
                <w:sz w:val="24"/>
                <w:szCs w:val="24"/>
              </w:rPr>
            </w:pPr>
            <w:r>
              <w:rPr>
                <w:rFonts w:hint="eastAsia"/>
                <w:b/>
                <w:bCs/>
                <w:sz w:val="24"/>
                <w:szCs w:val="24"/>
              </w:rPr>
              <w:t>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产出指标</w:t>
            </w:r>
          </w:p>
        </w:tc>
        <w:tc>
          <w:tcPr>
            <w:tcW w:w="1284" w:type="pct"/>
            <w:vMerge w:val="restart"/>
            <w:tcBorders>
              <w:top w:val="single" w:color="auto" w:sz="4" w:space="0"/>
              <w:left w:val="nil"/>
              <w:right w:val="single" w:color="auto" w:sz="4" w:space="0"/>
            </w:tcBorders>
            <w:vAlign w:val="center"/>
          </w:tcPr>
          <w:p>
            <w:pPr>
              <w:spacing w:line="240" w:lineRule="auto"/>
              <w:ind w:firstLine="0" w:firstLineChars="0"/>
              <w:jc w:val="left"/>
              <w:rPr>
                <w:sz w:val="24"/>
                <w:szCs w:val="24"/>
              </w:rPr>
            </w:pPr>
            <w:r>
              <w:rPr>
                <w:rFonts w:hint="eastAsia"/>
                <w:sz w:val="24"/>
                <w:szCs w:val="24"/>
              </w:rPr>
              <w:t>数量指标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案卷装订设备购置</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44万元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档案室及配电室改造项目完成率</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执法用车购置数</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质量指标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办案质效</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时效指标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提高法律文书送达的及时性</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成本指标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将成本控制在预算数内</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在预算内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效益指标</w:t>
            </w:r>
          </w:p>
        </w:tc>
        <w:tc>
          <w:tcPr>
            <w:tcW w:w="1284" w:type="pct"/>
            <w:vMerge w:val="restart"/>
            <w:tcBorders>
              <w:top w:val="single" w:color="auto" w:sz="4" w:space="0"/>
              <w:left w:val="nil"/>
              <w:right w:val="single" w:color="auto" w:sz="4" w:space="0"/>
            </w:tcBorders>
            <w:vAlign w:val="center"/>
          </w:tcPr>
          <w:p>
            <w:pPr>
              <w:spacing w:line="240" w:lineRule="auto"/>
              <w:ind w:firstLine="0" w:firstLineChars="0"/>
              <w:jc w:val="left"/>
              <w:rPr>
                <w:sz w:val="24"/>
                <w:szCs w:val="24"/>
              </w:rPr>
            </w:pPr>
            <w:r>
              <w:rPr>
                <w:rFonts w:hint="eastAsia"/>
                <w:sz w:val="24"/>
                <w:szCs w:val="24"/>
              </w:rPr>
              <w:t>社会效益指标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案件结案率</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法院工作的保密性</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安全性提高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确保法院工作的公平公正公开</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restart"/>
            <w:tcBorders>
              <w:top w:val="single" w:color="auto" w:sz="4" w:space="0"/>
              <w:left w:val="nil"/>
              <w:right w:val="single" w:color="auto" w:sz="4" w:space="0"/>
            </w:tcBorders>
            <w:vAlign w:val="center"/>
          </w:tcPr>
          <w:p>
            <w:pPr>
              <w:spacing w:line="240" w:lineRule="auto"/>
              <w:ind w:firstLine="0" w:firstLineChars="0"/>
              <w:jc w:val="left"/>
              <w:rPr>
                <w:sz w:val="24"/>
                <w:szCs w:val="24"/>
              </w:rPr>
            </w:pPr>
            <w:r>
              <w:rPr>
                <w:rFonts w:hint="eastAsia"/>
                <w:sz w:val="24"/>
                <w:szCs w:val="24"/>
              </w:rPr>
              <w:t>可持续影响指标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法院工作人员的工作积极性</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积极性提高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符合国家规定的案件公开审理</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公开审理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48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各部分之间协作能力</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right w:val="single" w:color="auto" w:sz="4" w:space="0"/>
            </w:tcBorders>
            <w:vAlign w:val="center"/>
          </w:tcPr>
          <w:p>
            <w:pPr>
              <w:spacing w:line="240" w:lineRule="auto"/>
              <w:ind w:firstLine="0" w:firstLineChars="0"/>
              <w:jc w:val="left"/>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信息化社会共享</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满意度指标</w:t>
            </w:r>
          </w:p>
        </w:tc>
        <w:tc>
          <w:tcPr>
            <w:tcW w:w="1284" w:type="pct"/>
            <w:vMerge w:val="restart"/>
            <w:tcBorders>
              <w:top w:val="single" w:color="auto" w:sz="4" w:space="0"/>
              <w:left w:val="nil"/>
              <w:right w:val="single" w:color="auto" w:sz="4" w:space="0"/>
            </w:tcBorders>
            <w:vAlign w:val="center"/>
          </w:tcPr>
          <w:p>
            <w:pPr>
              <w:spacing w:line="240" w:lineRule="auto"/>
              <w:ind w:firstLine="0" w:firstLineChars="0"/>
              <w:jc w:val="left"/>
              <w:rPr>
                <w:sz w:val="24"/>
                <w:szCs w:val="24"/>
              </w:rPr>
            </w:pPr>
            <w:r>
              <w:rPr>
                <w:rFonts w:hint="eastAsia"/>
                <w:sz w:val="24"/>
                <w:szCs w:val="24"/>
              </w:rPr>
              <w:t>服务对象满意度指标</w:t>
            </w: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干警满意度</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8" w:type="pct"/>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sz w:val="24"/>
                <w:szCs w:val="24"/>
              </w:rPr>
            </w:pPr>
          </w:p>
        </w:tc>
        <w:tc>
          <w:tcPr>
            <w:tcW w:w="1284" w:type="pct"/>
            <w:vMerge w:val="continue"/>
            <w:tcBorders>
              <w:left w:val="nil"/>
              <w:bottom w:val="single" w:color="auto" w:sz="4" w:space="0"/>
              <w:right w:val="single" w:color="auto" w:sz="4" w:space="0"/>
            </w:tcBorders>
            <w:vAlign w:val="center"/>
          </w:tcPr>
          <w:p>
            <w:pPr>
              <w:spacing w:line="240" w:lineRule="auto"/>
              <w:ind w:firstLine="0" w:firstLineChars="0"/>
              <w:jc w:val="center"/>
              <w:rPr>
                <w:sz w:val="24"/>
                <w:szCs w:val="24"/>
              </w:rPr>
            </w:pPr>
          </w:p>
        </w:tc>
        <w:tc>
          <w:tcPr>
            <w:tcW w:w="1962" w:type="pct"/>
            <w:tcBorders>
              <w:top w:val="single" w:color="auto" w:sz="4" w:space="0"/>
              <w:left w:val="nil"/>
              <w:bottom w:val="single" w:color="auto" w:sz="4" w:space="0"/>
              <w:right w:val="single" w:color="auto" w:sz="4" w:space="0"/>
            </w:tcBorders>
            <w:vAlign w:val="center"/>
          </w:tcPr>
          <w:p>
            <w:pPr>
              <w:spacing w:line="240" w:lineRule="auto"/>
              <w:ind w:firstLine="0" w:firstLineChars="0"/>
              <w:jc w:val="left"/>
              <w:rPr>
                <w:sz w:val="24"/>
                <w:szCs w:val="24"/>
              </w:rPr>
            </w:pPr>
            <w:r>
              <w:rPr>
                <w:rFonts w:hint="eastAsia"/>
                <w:sz w:val="24"/>
                <w:szCs w:val="24"/>
              </w:rPr>
              <w:t>人民群众满意度</w:t>
            </w:r>
          </w:p>
        </w:tc>
        <w:tc>
          <w:tcPr>
            <w:tcW w:w="834"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sz w:val="24"/>
                <w:szCs w:val="24"/>
              </w:rPr>
            </w:pPr>
            <w:r>
              <w:rPr>
                <w:rFonts w:hint="eastAsia"/>
                <w:sz w:val="24"/>
                <w:szCs w:val="24"/>
              </w:rPr>
              <w:t>≥</w:t>
            </w:r>
            <w:r>
              <w:rPr>
                <w:sz w:val="24"/>
                <w:szCs w:val="24"/>
              </w:rPr>
              <w:t>90%</w:t>
            </w:r>
          </w:p>
        </w:tc>
      </w:tr>
    </w:tbl>
    <w:p>
      <w:pPr>
        <w:pStyle w:val="5"/>
        <w:ind w:firstLine="562"/>
        <w:rPr>
          <w:rFonts w:hint="default"/>
        </w:rPr>
      </w:pPr>
      <w:r>
        <w:t>4、偏离绩效目标的原因及下一步改进措施</w:t>
      </w:r>
    </w:p>
    <w:p>
      <w:pPr>
        <w:ind w:firstLine="562"/>
        <w:rPr>
          <w:rFonts w:hint="eastAsia" w:eastAsia="仿宋_GB2312"/>
          <w:bCs/>
          <w:lang w:eastAsia="zh-CN"/>
        </w:rPr>
      </w:pPr>
      <w:bookmarkStart w:id="70" w:name="_Toc23712"/>
      <w:bookmarkStart w:id="71" w:name="_Toc29275"/>
      <w:r>
        <w:rPr>
          <w:rFonts w:hint="eastAsia" w:hAnsi="宋体" w:cstheme="minorBidi"/>
          <w:szCs w:val="28"/>
          <w:lang w:eastAsia="zh-CN"/>
        </w:rPr>
        <w:t>无。</w:t>
      </w:r>
    </w:p>
    <w:p>
      <w:pPr>
        <w:pStyle w:val="3"/>
        <w:numPr>
          <w:ilvl w:val="0"/>
          <w:numId w:val="0"/>
        </w:numPr>
      </w:pPr>
      <w:bookmarkStart w:id="72" w:name="_Toc24568"/>
      <w:r>
        <w:rPr>
          <w:rFonts w:hint="eastAsia"/>
        </w:rPr>
        <w:t>六、绩效自评结果拟应用和公开情况</w:t>
      </w:r>
      <w:bookmarkEnd w:id="70"/>
      <w:bookmarkEnd w:id="71"/>
      <w:bookmarkEnd w:id="72"/>
    </w:p>
    <w:p>
      <w:pPr>
        <w:ind w:firstLine="560"/>
        <w:jc w:val="left"/>
        <w:rPr>
          <w:rFonts w:hAnsi="宋体" w:cstheme="minorBidi"/>
          <w:szCs w:val="28"/>
        </w:rPr>
      </w:pPr>
      <w:r>
        <w:rPr>
          <w:rFonts w:hint="eastAsia" w:hAnsi="宋体" w:cstheme="minorBidi"/>
          <w:szCs w:val="28"/>
        </w:rPr>
        <w:t>我院将绩效自评结果作为完善政策和改进管理的重要依据，同时加强</w:t>
      </w:r>
      <w:r>
        <w:rPr>
          <w:rFonts w:hint="eastAsia" w:hAnsi="宋体" w:cstheme="minorBidi"/>
          <w:szCs w:val="28"/>
          <w:lang w:eastAsia="zh-CN"/>
        </w:rPr>
        <w:t>自评</w:t>
      </w:r>
      <w:r>
        <w:rPr>
          <w:rFonts w:hint="eastAsia" w:hAnsi="宋体" w:cstheme="minorBidi"/>
          <w:szCs w:val="28"/>
        </w:rPr>
        <w:t>结果的应用，切实提高部门预算绩效管理水平。</w:t>
      </w:r>
      <w:r>
        <w:rPr>
          <w:rFonts w:hint="eastAsia" w:hAnsi="宋体" w:cs="Times New Roman"/>
          <w:szCs w:val="28"/>
          <w:lang w:bidi="ar"/>
        </w:rPr>
        <w:t>根据政策文件规定，我院绩效自评结果将编入2021年度决算中，随同2021年度部门决算同步公开。</w:t>
      </w:r>
    </w:p>
    <w:p>
      <w:pPr>
        <w:pStyle w:val="3"/>
        <w:numPr>
          <w:ilvl w:val="0"/>
          <w:numId w:val="0"/>
        </w:numPr>
      </w:pPr>
      <w:bookmarkStart w:id="73" w:name="_Toc22970"/>
      <w:bookmarkStart w:id="74" w:name="_Toc15144"/>
      <w:bookmarkStart w:id="75" w:name="_Toc2811"/>
      <w:r>
        <w:rPr>
          <w:rFonts w:hint="eastAsia"/>
        </w:rPr>
        <w:t>七、其他需要说明的问题</w:t>
      </w:r>
      <w:bookmarkEnd w:id="73"/>
      <w:bookmarkEnd w:id="74"/>
      <w:bookmarkEnd w:id="75"/>
    </w:p>
    <w:p>
      <w:pPr>
        <w:ind w:firstLine="560"/>
        <w:rPr>
          <w:rFonts w:hint="eastAsia"/>
          <w:lang w:eastAsia="zh-CN"/>
        </w:rPr>
        <w:sectPr>
          <w:footerReference r:id="rId11" w:type="default"/>
          <w:pgSz w:w="11906" w:h="16838"/>
          <w:pgMar w:top="1440" w:right="1800" w:bottom="1440" w:left="1800" w:header="851" w:footer="992" w:gutter="0"/>
          <w:pgNumType w:start="1"/>
          <w:cols w:space="720" w:num="1"/>
          <w:docGrid w:type="lines" w:linePitch="312" w:charSpace="0"/>
        </w:sectPr>
      </w:pPr>
      <w:r>
        <w:rPr>
          <w:rFonts w:hint="eastAsia"/>
        </w:rPr>
        <w:t>无</w:t>
      </w:r>
      <w:r>
        <w:rPr>
          <w:rFonts w:hint="eastAsia"/>
          <w:lang w:eastAsia="zh-CN"/>
        </w:rPr>
        <w:t>。</w:t>
      </w:r>
    </w:p>
    <w:p>
      <w:pPr>
        <w:pStyle w:val="3"/>
        <w:numPr>
          <w:ilvl w:val="0"/>
          <w:numId w:val="0"/>
        </w:numPr>
        <w:ind w:firstLine="643" w:firstLineChars="200"/>
      </w:pPr>
      <w:bookmarkStart w:id="76" w:name="_Toc18750"/>
      <w:bookmarkStart w:id="77" w:name="_Toc8023"/>
      <w:bookmarkStart w:id="78" w:name="_Toc18702"/>
      <w:r>
        <w:t>附件</w:t>
      </w:r>
      <w:r>
        <w:rPr>
          <w:rFonts w:hint="eastAsia"/>
        </w:rPr>
        <w:t>1：部门整体支出绩效自评表</w:t>
      </w:r>
      <w:bookmarkEnd w:id="76"/>
      <w:bookmarkEnd w:id="77"/>
      <w:bookmarkEnd w:id="78"/>
    </w:p>
    <w:tbl>
      <w:tblPr>
        <w:tblStyle w:val="18"/>
        <w:tblW w:w="5040" w:type="pct"/>
        <w:tblInd w:w="-1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5"/>
        <w:gridCol w:w="1258"/>
        <w:gridCol w:w="1904"/>
        <w:gridCol w:w="1883"/>
        <w:gridCol w:w="1767"/>
        <w:gridCol w:w="1416"/>
        <w:gridCol w:w="1000"/>
        <w:gridCol w:w="1150"/>
        <w:gridCol w:w="2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9"/>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Style w:val="47"/>
                <w:rFonts w:hint="eastAsia" w:ascii="仿宋_GB2312" w:hAnsi="仿宋_GB2312" w:eastAsia="仿宋_GB2312" w:cs="仿宋_GB2312"/>
                <w:sz w:val="24"/>
                <w:szCs w:val="24"/>
                <w:lang w:val="en-US" w:eastAsia="zh-CN" w:bidi="ar"/>
              </w:rPr>
              <w:t>2021年</w:t>
            </w:r>
            <w:r>
              <w:rPr>
                <w:rStyle w:val="47"/>
                <w:rFonts w:hint="eastAsia" w:cs="仿宋_GB2312"/>
                <w:sz w:val="24"/>
                <w:szCs w:val="24"/>
                <w:u w:val="single"/>
                <w:lang w:val="en-US" w:eastAsia="zh-CN" w:bidi="ar"/>
              </w:rPr>
              <w:t xml:space="preserve">  </w:t>
            </w:r>
            <w:r>
              <w:rPr>
                <w:rStyle w:val="48"/>
                <w:rFonts w:hint="eastAsia" w:ascii="仿宋_GB2312" w:hAnsi="仿宋_GB2312" w:eastAsia="仿宋_GB2312" w:cs="仿宋_GB2312"/>
                <w:sz w:val="24"/>
                <w:szCs w:val="24"/>
                <w:lang w:val="en-US" w:eastAsia="zh-CN" w:bidi="ar"/>
              </w:rPr>
              <w:t>张掖市中级人民法院</w:t>
            </w:r>
            <w:r>
              <w:rPr>
                <w:rStyle w:val="48"/>
                <w:rFonts w:hint="eastAsia" w:cs="仿宋_GB2312"/>
                <w:sz w:val="24"/>
                <w:szCs w:val="24"/>
                <w:lang w:val="en-US" w:eastAsia="zh-CN" w:bidi="ar"/>
              </w:rPr>
              <w:t xml:space="preserve">  </w:t>
            </w:r>
            <w:r>
              <w:rPr>
                <w:rStyle w:val="47"/>
                <w:rFonts w:hint="eastAsia" w:ascii="仿宋_GB2312" w:hAnsi="仿宋_GB2312" w:eastAsia="仿宋_GB2312" w:cs="仿宋_GB2312"/>
                <w:sz w:val="24"/>
                <w:szCs w:val="24"/>
                <w:lang w:val="en-US" w:eastAsia="zh-CN" w:bidi="ar"/>
              </w:rPr>
              <w:t>部门整体支出绩效自评表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部门名称</w:t>
            </w:r>
          </w:p>
        </w:tc>
        <w:tc>
          <w:tcPr>
            <w:tcW w:w="4613"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restar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部门整体支出</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（万元）</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年初预算数</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全年预算数（A）</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实际支出数（B）</w:t>
            </w:r>
          </w:p>
        </w:tc>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执行率（B/A）</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981"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全年支出</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2709.28</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3776.69</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3495.58</w:t>
            </w:r>
          </w:p>
        </w:tc>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92.56%</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81"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基本支出</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2188.28</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2750.16</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2519.05</w:t>
            </w:r>
          </w:p>
        </w:tc>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91.60%</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81"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项目支出</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521</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1026.53</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976.53</w:t>
            </w:r>
          </w:p>
        </w:tc>
        <w:tc>
          <w:tcPr>
            <w:tcW w:w="84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95.13%</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81" w:type="pct"/>
            <w:tcBorders>
              <w:top w:val="single" w:color="auto" w:sz="4" w:space="0"/>
              <w:left w:val="single" w:color="auto" w:sz="4" w:space="0"/>
              <w:bottom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restar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年度总体绩效目标完成情况</w:t>
            </w:r>
          </w:p>
        </w:tc>
        <w:tc>
          <w:tcPr>
            <w:tcW w:w="1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预期目标</w:t>
            </w:r>
          </w:p>
        </w:tc>
        <w:tc>
          <w:tcPr>
            <w:tcW w:w="2847" w:type="pct"/>
            <w:gridSpan w:val="5"/>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目标1：紧紧围绕司法为民、公正司法工作主线，充分发挥审判职能作用，审结刑事、民商事、行政等案件，为维护社会和谐稳定、服务改革发展提供坚强保障。</w:t>
            </w:r>
          </w:p>
        </w:tc>
        <w:tc>
          <w:tcPr>
            <w:tcW w:w="2847" w:type="pct"/>
            <w:gridSpan w:val="5"/>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目标1完成情况：我院忠实履行宪法法律赋予的职责，不断提高办案水平和审判质效，严厉打击刑事罪犯，妥善化解民商事案件，着力防范金融风险，维护人民群众生命财产安全。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目标2：加强智慧法院建设，完成智慧用电安全监管系统等项目工程，为人民群众提供更加优质高效便捷的司法服务，持续深化司法公开，促进阳光司法，提升法院公信力。</w:t>
            </w:r>
          </w:p>
        </w:tc>
        <w:tc>
          <w:tcPr>
            <w:tcW w:w="2847" w:type="pct"/>
            <w:gridSpan w:val="5"/>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2完成情况：我院加强智慧法院建设工作，完成了智慧用电安全监管系统项目工程、实施消防系统及自来水系统维修改造工程、室内变增容供配电工程等项目工程；购置了案卷装订设备、自助立案、自助阅卷等智能化终端，推进事务当场办、自助办，为辖区群众提供一站通办、一网通办、一号通办的诉讼服务，实现了让数据多跑路，让群众少跑腿的目的，提升了司法公信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目标3：加强法治宣传工作，规范公众行为、树立正确导向的功能，助力营造和谐的法治人文环境。</w:t>
            </w:r>
          </w:p>
        </w:tc>
        <w:tc>
          <w:tcPr>
            <w:tcW w:w="2847" w:type="pct"/>
            <w:gridSpan w:val="5"/>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目标3完成情况：我院始终把精神文明建设作为一项重要工作抓在手上，年内，组织干警开展了以生态环保、禁毒、民法典为重点的普法宣传活动，有效助力营造和谐的法治人文环境。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76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目标4：加强干警培训工作，教育引导广大干警坚定理想信念，提升队伍建设水平，全面践行司法为民宗旨，提高干警的综合素质和业务能力。</w:t>
            </w:r>
          </w:p>
        </w:tc>
        <w:tc>
          <w:tcPr>
            <w:tcW w:w="2847" w:type="pct"/>
            <w:gridSpan w:val="5"/>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目标4完成情况：坚持“线上线下”相结合，积极参加党委安排的培训班、报告会，实现了对重点岗位干警的全覆盖，引导广大干警坚守法治信仰、站稳人民立场、忠诚司法事业、严格公正司法。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restart"/>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年度绩效指标完成情况</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一级指标</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三级指标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年度指标值</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实际完成值</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分值</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得分</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部门管理</w:t>
            </w: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资金投入</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基本支出预算执行率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91.60%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项目支出预算执行率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cs="仿宋_GB2312"/>
                <w:i w:val="0"/>
                <w:iCs w:val="0"/>
                <w:color w:val="000000"/>
                <w:kern w:val="0"/>
                <w:sz w:val="21"/>
                <w:szCs w:val="21"/>
                <w:u w:val="none"/>
                <w:lang w:val="en-US" w:eastAsia="zh-CN" w:bidi="ar"/>
              </w:rPr>
              <w:t>=95%以上</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95.13%</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“三公经费”控制率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77.81%</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结转结余变动率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r>
              <w:rPr>
                <w:rFonts w:hint="eastAsia" w:cs="仿宋_GB2312"/>
                <w:i w:val="0"/>
                <w:iCs w:val="0"/>
                <w:color w:val="000000"/>
                <w:kern w:val="0"/>
                <w:sz w:val="21"/>
                <w:szCs w:val="21"/>
                <w:u w:val="none"/>
                <w:lang w:val="en-US" w:eastAsia="zh-CN" w:bidi="ar"/>
              </w:rPr>
              <w:t>5</w:t>
            </w:r>
            <w:r>
              <w:rPr>
                <w:rFonts w:hint="eastAsia" w:ascii="仿宋_GB2312" w:hAnsi="仿宋_GB2312" w:eastAsia="仿宋_GB2312" w:cs="仿宋_GB2312"/>
                <w:i w:val="0"/>
                <w:iCs w:val="0"/>
                <w:color w:val="000000"/>
                <w:kern w:val="0"/>
                <w:sz w:val="21"/>
                <w:szCs w:val="21"/>
                <w:u w:val="none"/>
                <w:lang w:val="en-US" w:eastAsia="zh-CN" w:bidi="ar"/>
              </w:rPr>
              <w:t>%</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财务管理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财务管理制度健全性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健全</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资金使用规范性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采购管理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政府采购规范性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资产管理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资产管理规范性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在职人员控制率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58.17%</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重点工作管理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重点工作管理制度健全性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健全</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履职效果</w:t>
            </w: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部门履职目标</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产出数量指标1-刑事案件审结率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91.23%</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产出数量指标2-民商事案件审结率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88.76%</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产出数量指标3-行政案件审结率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89.47%</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产出数量指标4-执行案件结案率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91.67%</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产出数量指标5-采购工作完成率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产出数量指标6-维修改造工作完成率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产出数量指标7-法治宣传工作完成率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产出数量指标8-培训工作完成率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产出质量指标1-二审改判率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产出质量指标2-采购设备质量验收合格率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产出质量指标3-维修改造工程验收合格率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产出质量指标4-培训考核通过率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产出时效指标1-法定审限内结案率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99.08%</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产出时效指标2-采购工作完成及时性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产出时效指标3-维修改造工作完成及时性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产出时效指标4-法治宣传工作完成及时性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产出时效指标5-培训工作完成及时性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产出成本指标-成本控制情况</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在预算范围内</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部门效果目标</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经济效益指标-执行标的到位率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8.87%</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1.77</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偏差原因分析：案件不断增加，新类型的案件不断出现，新收案件申请标的额增大，有些案件不能全部执行到位，最后只能终本结案，因此降低了案件执行标的到位率。</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改进措施：下一年度我院将继续着重加强大标的案件的执行，转变执行观念，规范执行行为，创新执行方式，争取大标的案件得到执结。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社会效益指标1-裁判文书上网率</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67.89%</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社会影响</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单位获奖情况</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违法违纪情况</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能力建设</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长效管理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中期规划建设完备程度</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完备</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人力资源建设</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人员培训机制完备性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完备</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档案管理</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档案管理完备性</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完备</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86" w:type="pct"/>
            <w:vMerge w:val="continue"/>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6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人民群众满意度</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4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981" w:type="pct"/>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615" w:type="pct"/>
            <w:gridSpan w:val="7"/>
            <w:tcBorders>
              <w:top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40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99.03</w:t>
            </w:r>
          </w:p>
        </w:tc>
        <w:tc>
          <w:tcPr>
            <w:tcW w:w="981" w:type="pct"/>
            <w:tcBorders>
              <w:top w:val="single" w:color="auto" w:sz="4" w:space="0"/>
              <w:lef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i w:val="0"/>
                <w:iCs w:val="0"/>
                <w:color w:val="000000"/>
                <w:sz w:val="21"/>
                <w:szCs w:val="21"/>
                <w:u w:val="none"/>
              </w:rPr>
            </w:pPr>
          </w:p>
        </w:tc>
      </w:tr>
    </w:tbl>
    <w:p>
      <w:pPr>
        <w:bidi w:val="0"/>
        <w:sectPr>
          <w:pgSz w:w="16838" w:h="11906" w:orient="landscape"/>
          <w:pgMar w:top="1800" w:right="1440" w:bottom="1800" w:left="1440" w:header="851" w:footer="992" w:gutter="0"/>
          <w:cols w:space="720" w:num="1"/>
          <w:docGrid w:type="lines" w:linePitch="312" w:charSpace="0"/>
        </w:sectPr>
      </w:pPr>
    </w:p>
    <w:p>
      <w:pPr>
        <w:pStyle w:val="3"/>
        <w:numPr>
          <w:ilvl w:val="0"/>
          <w:numId w:val="0"/>
        </w:numPr>
        <w:ind w:firstLine="643" w:firstLineChars="200"/>
        <w:rPr>
          <w:rFonts w:hint="eastAsia" w:ascii="黑体" w:hAnsi="黑体" w:cs="黑体"/>
          <w:szCs w:val="32"/>
        </w:rPr>
      </w:pPr>
      <w:bookmarkStart w:id="79" w:name="_Toc5659"/>
      <w:bookmarkStart w:id="80" w:name="_Toc3380"/>
      <w:r>
        <w:rPr>
          <w:rFonts w:hint="eastAsia" w:ascii="黑体" w:hAnsi="黑体" w:cs="黑体"/>
          <w:szCs w:val="32"/>
        </w:rPr>
        <w:t>附件2：部门预算项目支出绩效自评结果汇总表</w:t>
      </w:r>
      <w:bookmarkEnd w:id="79"/>
      <w:bookmarkEnd w:id="80"/>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1709"/>
        <w:gridCol w:w="2140"/>
        <w:gridCol w:w="856"/>
        <w:gridCol w:w="1502"/>
        <w:gridCol w:w="1502"/>
        <w:gridCol w:w="1293"/>
        <w:gridCol w:w="1823"/>
        <w:gridCol w:w="975"/>
        <w:gridCol w:w="1075"/>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4"/>
                <w:szCs w:val="24"/>
                <w:u w:val="none"/>
                <w:lang w:val="en-US" w:eastAsia="zh-CN" w:bidi="ar"/>
              </w:rPr>
              <w:t>2021年度省级部门预算支出项目绩效自评结果汇总表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项目名称</w:t>
            </w:r>
          </w:p>
        </w:tc>
        <w:tc>
          <w:tcPr>
            <w:tcW w:w="7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主管部门</w:t>
            </w:r>
          </w:p>
        </w:tc>
        <w:tc>
          <w:tcPr>
            <w:tcW w:w="280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项目资金（万元）</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自评得分</w:t>
            </w:r>
          </w:p>
        </w:tc>
        <w:tc>
          <w:tcPr>
            <w:tcW w:w="22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8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全年预算数（A）</w:t>
            </w:r>
          </w:p>
        </w:tc>
        <w:tc>
          <w:tcPr>
            <w:tcW w:w="6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全年执行数（B）</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执行率</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（B/A）</w:t>
            </w: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229"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7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当年财政拨款</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上年结转资金</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其他资金</w:t>
            </w:r>
          </w:p>
        </w:tc>
        <w:tc>
          <w:tcPr>
            <w:tcW w:w="6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229"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60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业务费（本级）</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286.13</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285.13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286.13</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285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1.13</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0</w:t>
            </w:r>
          </w:p>
        </w:tc>
        <w:tc>
          <w:tcPr>
            <w:tcW w:w="6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285.13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bl>
    <w:p/>
    <w:p>
      <w:pPr>
        <w:pStyle w:val="2"/>
        <w:sectPr>
          <w:pgSz w:w="16838" w:h="11906" w:orient="landscape"/>
          <w:pgMar w:top="1800" w:right="1440" w:bottom="1800" w:left="1440" w:header="851" w:footer="992" w:gutter="0"/>
          <w:cols w:space="720" w:num="1"/>
          <w:docGrid w:type="lines" w:linePitch="312" w:charSpace="0"/>
        </w:sectPr>
      </w:pPr>
    </w:p>
    <w:p>
      <w:pPr>
        <w:pStyle w:val="3"/>
        <w:numPr>
          <w:ilvl w:val="0"/>
          <w:numId w:val="0"/>
        </w:numPr>
        <w:ind w:left="883"/>
        <w:rPr>
          <w:rFonts w:hint="eastAsia" w:ascii="黑体" w:hAnsi="黑体" w:cs="黑体"/>
        </w:rPr>
      </w:pPr>
      <w:bookmarkStart w:id="81" w:name="_Toc31047"/>
      <w:bookmarkStart w:id="82" w:name="_Toc21141"/>
      <w:r>
        <w:rPr>
          <w:rFonts w:hint="eastAsia" w:ascii="黑体" w:hAnsi="黑体" w:cs="黑体"/>
        </w:rPr>
        <w:t>附件3：业务费项目绩效自评表</w:t>
      </w:r>
      <w:bookmarkEnd w:id="81"/>
      <w:bookmarkEnd w:id="82"/>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1317"/>
        <w:gridCol w:w="1857"/>
        <w:gridCol w:w="1982"/>
        <w:gridCol w:w="1534"/>
        <w:gridCol w:w="1687"/>
        <w:gridCol w:w="1375"/>
        <w:gridCol w:w="1154"/>
        <w:gridCol w:w="933"/>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Style w:val="49"/>
                <w:rFonts w:hint="eastAsia" w:ascii="仿宋_GB2312" w:hAnsi="仿宋_GB2312" w:eastAsia="仿宋_GB2312" w:cs="仿宋_GB2312"/>
                <w:sz w:val="24"/>
                <w:szCs w:val="24"/>
                <w:lang w:val="en-US" w:eastAsia="zh-CN" w:bidi="ar"/>
              </w:rPr>
              <w:t>2021年</w:t>
            </w:r>
            <w:r>
              <w:rPr>
                <w:rStyle w:val="49"/>
                <w:rFonts w:hint="eastAsia" w:cs="仿宋_GB2312"/>
                <w:sz w:val="24"/>
                <w:szCs w:val="24"/>
                <w:u w:val="single"/>
                <w:lang w:val="en-US" w:eastAsia="zh-CN" w:bidi="ar"/>
              </w:rPr>
              <w:t xml:space="preserve">  </w:t>
            </w:r>
            <w:r>
              <w:rPr>
                <w:rFonts w:hint="eastAsia" w:ascii="仿宋_GB2312" w:hAnsi="仿宋_GB2312" w:eastAsia="仿宋_GB2312" w:cs="仿宋_GB2312"/>
                <w:b/>
                <w:bCs/>
                <w:i w:val="0"/>
                <w:iCs w:val="0"/>
                <w:color w:val="000000"/>
                <w:kern w:val="0"/>
                <w:sz w:val="24"/>
                <w:szCs w:val="24"/>
                <w:u w:val="single"/>
                <w:lang w:val="en-US" w:eastAsia="zh-CN" w:bidi="ar"/>
              </w:rPr>
              <w:t>张掖市中级人民法院</w:t>
            </w:r>
            <w:r>
              <w:rPr>
                <w:rFonts w:hint="eastAsia" w:cs="仿宋_GB2312"/>
                <w:b/>
                <w:bCs/>
                <w:i w:val="0"/>
                <w:iCs w:val="0"/>
                <w:color w:val="000000"/>
                <w:kern w:val="0"/>
                <w:sz w:val="24"/>
                <w:szCs w:val="24"/>
                <w:u w:val="single"/>
                <w:lang w:val="en-US" w:eastAsia="zh-CN" w:bidi="ar"/>
              </w:rPr>
              <w:t xml:space="preserve">  </w:t>
            </w:r>
            <w:r>
              <w:rPr>
                <w:rStyle w:val="49"/>
                <w:rFonts w:hint="eastAsia" w:ascii="仿宋_GB2312" w:hAnsi="仿宋_GB2312" w:eastAsia="仿宋_GB2312" w:cs="仿宋_GB2312"/>
                <w:sz w:val="24"/>
                <w:szCs w:val="24"/>
                <w:lang w:val="en-US" w:eastAsia="zh-CN" w:bidi="ar"/>
              </w:rPr>
              <w:t>部门预算项目支出绩效自评表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项目名称</w:t>
            </w:r>
          </w:p>
        </w:tc>
        <w:tc>
          <w:tcPr>
            <w:tcW w:w="429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业务费（本级）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主管部门</w:t>
            </w:r>
          </w:p>
        </w:tc>
        <w:tc>
          <w:tcPr>
            <w:tcW w:w="18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w:t>
            </w:r>
          </w:p>
        </w:tc>
        <w:tc>
          <w:tcPr>
            <w:tcW w:w="18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r>
              <w:rPr>
                <w:rFonts w:hint="eastAsia" w:hAnsi="宋体" w:cs="宋体"/>
                <w:color w:val="000000"/>
                <w:kern w:val="0"/>
                <w:sz w:val="21"/>
                <w:szCs w:val="21"/>
              </w:rPr>
              <w:t>项目资金（万元）</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年初预算数</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全年执行数</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分值</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执行率</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年度资金总额</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286.13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286.13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286.13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210" w:firstLineChars="10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当年财政拨款</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285</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上年结转资金</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年度总体目标</w:t>
            </w: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预期目标</w:t>
            </w:r>
          </w:p>
        </w:tc>
        <w:tc>
          <w:tcPr>
            <w:tcW w:w="24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2021年财政预算全省法院业务费300万元，主要是为了改善我院办案办公条件提供保障，弥补我院审判综合大楼水电暖费用、物业费、劳务费，办案车辆保障，信息化运维经费，提高审判办案质量，提高案件结案率、执行率；保障我院的重点工作。</w:t>
            </w:r>
          </w:p>
        </w:tc>
        <w:tc>
          <w:tcPr>
            <w:tcW w:w="240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我院本年度加强业务费资金的使用效益，保障了审判综合大楼水电暖费用、物业费、劳务费、信息化运维经费等各项业务的支出，进而确保我院顺利完成2021年各类案件的审判执行工作，案件结案率达89.78%；完成了消防系统、自来水系统、供热系统等基础设施的维修改造工程及智慧用电安全监管系统等信息化建设工作，保障了我院重点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绩效指标</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一级指标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二级指标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三级指标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年度指标值</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实际完成值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分值</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得分</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办理诉讼执行案件</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≥1500件</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1500件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审判执行工作完成率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案件结案率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89.78%</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维修改造工程完成率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提升办案质效</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维修改造工程质量验收合格率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按时保质保量完成工程进度</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达到规定进度</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工作保障及时性</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及时性高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严格控制成本支出</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压缩成本</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经济效益指标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经济稳定性</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裁判文书上网率</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67.89%</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有效保障审判服务</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有效保障</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各部门之间协作能力</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干警满意度</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人民群众满意度</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9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总分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100</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eastAsia" w:ascii="仿宋_GB2312" w:hAnsi="仿宋_GB2312" w:eastAsia="仿宋_GB2312" w:cs="仿宋_GB2312"/>
                <w:b/>
                <w:bCs/>
                <w:i w:val="0"/>
                <w:iCs w:val="0"/>
                <w:color w:val="000000"/>
                <w:sz w:val="21"/>
                <w:szCs w:val="21"/>
                <w:u w:val="none"/>
              </w:rPr>
            </w:pPr>
          </w:p>
        </w:tc>
      </w:tr>
    </w:tbl>
    <w:p>
      <w:pPr>
        <w:rPr>
          <w:b/>
          <w:bCs/>
        </w:rPr>
      </w:pPr>
    </w:p>
    <w:p>
      <w:pPr>
        <w:rPr>
          <w:b/>
          <w:bCs/>
        </w:rPr>
        <w:sectPr>
          <w:pgSz w:w="16838" w:h="11906" w:orient="landscape"/>
          <w:pgMar w:top="1800" w:right="1440" w:bottom="1800" w:left="1440" w:header="851" w:footer="992" w:gutter="0"/>
          <w:cols w:space="720" w:num="1"/>
          <w:docGrid w:type="lines" w:linePitch="312" w:charSpace="0"/>
        </w:sectPr>
      </w:pPr>
    </w:p>
    <w:p>
      <w:pPr>
        <w:pStyle w:val="3"/>
        <w:numPr>
          <w:ilvl w:val="0"/>
          <w:numId w:val="0"/>
        </w:numPr>
        <w:tabs>
          <w:tab w:val="center" w:pos="6979"/>
        </w:tabs>
        <w:ind w:firstLine="643" w:firstLineChars="200"/>
      </w:pPr>
      <w:bookmarkStart w:id="83" w:name="_Toc1608"/>
      <w:bookmarkStart w:id="84" w:name="_Toc26148"/>
      <w:r>
        <w:rPr>
          <w:rFonts w:hint="eastAsia" w:ascii="黑体" w:hAnsi="黑体" w:cs="黑体"/>
        </w:rPr>
        <w:t>附件</w:t>
      </w:r>
      <w:r>
        <w:rPr>
          <w:rFonts w:hint="eastAsia" w:ascii="黑体" w:hAnsi="黑体" w:cs="黑体"/>
          <w:lang w:val="en-US" w:eastAsia="zh-CN"/>
        </w:rPr>
        <w:t>4</w:t>
      </w:r>
      <w:r>
        <w:rPr>
          <w:rFonts w:hint="eastAsia" w:ascii="黑体" w:hAnsi="黑体" w:cs="黑体"/>
        </w:rPr>
        <w:t>：</w:t>
      </w:r>
      <w:bookmarkEnd w:id="83"/>
      <w:r>
        <w:rPr>
          <w:rFonts w:hint="eastAsia" w:ascii="黑体" w:hAnsi="黑体" w:cs="黑体"/>
        </w:rPr>
        <w:t>2021年度省对市县转移支付绩效自评结果汇总表</w:t>
      </w:r>
      <w:bookmarkEnd w:id="84"/>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3156"/>
        <w:gridCol w:w="2106"/>
        <w:gridCol w:w="906"/>
        <w:gridCol w:w="824"/>
        <w:gridCol w:w="750"/>
        <w:gridCol w:w="750"/>
        <w:gridCol w:w="753"/>
        <w:gridCol w:w="824"/>
        <w:gridCol w:w="1065"/>
        <w:gridCol w:w="121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4"/>
                <w:szCs w:val="24"/>
                <w:u w:val="none"/>
                <w:lang w:val="en-US" w:eastAsia="zh-CN" w:bidi="ar"/>
              </w:rPr>
              <w:t>2021年度省对市县转移支付绩效自评结果汇总表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转移支付名称</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主管部门</w:t>
            </w:r>
          </w:p>
        </w:tc>
        <w:tc>
          <w:tcPr>
            <w:tcW w:w="217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转移支付预算执行情况（万元）</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自评得分</w:t>
            </w:r>
          </w:p>
        </w:tc>
        <w:tc>
          <w:tcPr>
            <w:tcW w:w="335"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147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全年预算数（A）</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全年执行数（B）</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执行率</w:t>
            </w:r>
            <w:r>
              <w:rPr>
                <w:rFonts w:hint="eastAsia" w:ascii="仿宋_GB2312" w:hAnsi="仿宋_GB2312" w:eastAsia="仿宋_GB2312" w:cs="仿宋_GB2312"/>
                <w:b/>
                <w:bCs/>
                <w:i w:val="0"/>
                <w:iCs w:val="0"/>
                <w:color w:val="000000"/>
                <w:kern w:val="0"/>
                <w:sz w:val="21"/>
                <w:szCs w:val="21"/>
                <w:u w:val="none"/>
                <w:lang w:val="en-US" w:eastAsia="zh-CN" w:bidi="ar"/>
              </w:rPr>
              <w:br w:type="textWrapping"/>
            </w:r>
            <w:r>
              <w:rPr>
                <w:rFonts w:hint="eastAsia" w:ascii="仿宋_GB2312" w:hAnsi="仿宋_GB2312" w:eastAsia="仿宋_GB2312" w:cs="仿宋_GB2312"/>
                <w:b/>
                <w:bCs/>
                <w:i w:val="0"/>
                <w:iCs w:val="0"/>
                <w:color w:val="000000"/>
                <w:kern w:val="0"/>
                <w:sz w:val="21"/>
                <w:szCs w:val="21"/>
                <w:u w:val="none"/>
                <w:lang w:val="en-US" w:eastAsia="zh-CN" w:bidi="ar"/>
              </w:rPr>
              <w:t>（B/A）</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35"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中央补助</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省级安排</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市县安排</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其他资金</w:t>
            </w: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335"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中央政法转移支付资金（本级）</w:t>
            </w:r>
          </w:p>
        </w:tc>
        <w:tc>
          <w:tcPr>
            <w:tcW w:w="71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c>
          <w:tcPr>
            <w:tcW w:w="334"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93.18%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99.32</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733</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733</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683</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93.18%</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bl>
    <w:p>
      <w:pPr>
        <w:sectPr>
          <w:pgSz w:w="16838" w:h="11906" w:orient="landscape"/>
          <w:pgMar w:top="1800" w:right="1440" w:bottom="1800" w:left="1440" w:header="851" w:footer="992" w:gutter="0"/>
          <w:cols w:space="720" w:num="1"/>
          <w:docGrid w:type="lines" w:linePitch="312" w:charSpace="0"/>
        </w:sectPr>
      </w:pPr>
    </w:p>
    <w:p>
      <w:pPr>
        <w:pStyle w:val="3"/>
        <w:numPr>
          <w:ilvl w:val="0"/>
          <w:numId w:val="0"/>
        </w:numPr>
        <w:tabs>
          <w:tab w:val="center" w:pos="6979"/>
        </w:tabs>
        <w:ind w:firstLine="643" w:firstLineChars="200"/>
      </w:pPr>
      <w:bookmarkStart w:id="85" w:name="_Toc24939"/>
      <w:bookmarkStart w:id="86" w:name="_Toc29905"/>
      <w:r>
        <w:rPr>
          <w:rFonts w:hint="eastAsia" w:ascii="黑体" w:hAnsi="黑体" w:cs="黑体"/>
        </w:rPr>
        <w:t>附件</w:t>
      </w:r>
      <w:r>
        <w:rPr>
          <w:rFonts w:hint="eastAsia" w:ascii="黑体" w:hAnsi="黑体" w:cs="黑体"/>
          <w:lang w:val="en-US" w:eastAsia="zh-CN"/>
        </w:rPr>
        <w:t>5</w:t>
      </w:r>
      <w:r>
        <w:rPr>
          <w:rFonts w:hint="eastAsia" w:ascii="黑体" w:hAnsi="黑体" w:cs="黑体"/>
        </w:rPr>
        <w:t>：</w:t>
      </w:r>
      <w:bookmarkEnd w:id="85"/>
      <w:r>
        <w:rPr>
          <w:rFonts w:hint="eastAsia" w:ascii="黑体" w:hAnsi="黑体" w:cs="黑体"/>
        </w:rPr>
        <w:t>中央政法转移支付资金项目绩效自评表</w:t>
      </w:r>
      <w:bookmarkEnd w:id="86"/>
    </w:p>
    <w:tbl>
      <w:tblPr>
        <w:tblStyle w:val="18"/>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2"/>
        <w:gridCol w:w="1429"/>
        <w:gridCol w:w="1801"/>
        <w:gridCol w:w="1882"/>
        <w:gridCol w:w="1729"/>
        <w:gridCol w:w="1401"/>
        <w:gridCol w:w="1340"/>
        <w:gridCol w:w="1049"/>
        <w:gridCol w:w="674"/>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4"/>
                <w:szCs w:val="24"/>
                <w:u w:val="none"/>
                <w:lang w:val="en-US" w:eastAsia="zh-CN" w:bidi="ar"/>
              </w:rPr>
              <w:t>2021年度中央政法转移支付资金绩效自评表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转移支付名称</w:t>
            </w:r>
          </w:p>
        </w:tc>
        <w:tc>
          <w:tcPr>
            <w:tcW w:w="4145" w:type="pct"/>
            <w:gridSpan w:val="8"/>
            <w:tcBorders>
              <w:top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中央政法转移支付资金（本级）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省级主管部门</w:t>
            </w:r>
          </w:p>
        </w:tc>
        <w:tc>
          <w:tcPr>
            <w:tcW w:w="1878"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甘肃省高级人民法院</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实施单位</w:t>
            </w:r>
          </w:p>
        </w:tc>
        <w:tc>
          <w:tcPr>
            <w:tcW w:w="1782"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张掖市中级人民法院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r>
              <w:rPr>
                <w:rFonts w:hint="eastAsia" w:hAnsi="宋体" w:cs="宋体"/>
                <w:color w:val="000000"/>
                <w:kern w:val="0"/>
                <w:sz w:val="21"/>
                <w:szCs w:val="21"/>
              </w:rPr>
              <w:t>项目资金（万元）</w:t>
            </w:r>
          </w:p>
        </w:tc>
        <w:tc>
          <w:tcPr>
            <w:tcW w:w="62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年初预算数</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全年预算数</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全年执行数</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分值</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执行率</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年度资金总额</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683</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93.18%</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其中：中央资金</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733</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683</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省级资金</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市县资金</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854" w:type="pct"/>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其他资金</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598"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年度总体目标</w:t>
            </w:r>
          </w:p>
        </w:tc>
        <w:tc>
          <w:tcPr>
            <w:tcW w:w="2374"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预期目标</w:t>
            </w:r>
          </w:p>
        </w:tc>
        <w:tc>
          <w:tcPr>
            <w:tcW w:w="2267" w:type="pct"/>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b/>
                <w:bCs/>
                <w:i w:val="0"/>
                <w:iCs w:val="0"/>
                <w:color w:val="000000"/>
                <w:sz w:val="21"/>
                <w:szCs w:val="21"/>
                <w:u w:val="none"/>
              </w:rPr>
            </w:pPr>
          </w:p>
        </w:tc>
        <w:tc>
          <w:tcPr>
            <w:tcW w:w="2374"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2021年财政预算安排中央政法转移资金355万元。通过政法转移支付资金，建立新型的更加完善的法院经费保障机制，以确保法院依法履行职责，保障法院完成各类案年的审判、执行工作，完成2021年法院计划内设备配置及其他业务装备工作。</w:t>
            </w:r>
          </w:p>
        </w:tc>
        <w:tc>
          <w:tcPr>
            <w:tcW w:w="2267" w:type="pct"/>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本年度我院使用中央政法转移支付资金，完成了案卷装订、执法用车等设备的购置工作和科技法庭改造、档案室及配电室改造、多功能会议室等改造项目，有效保障审判执行工作的顺利开展；依法履行执行，完成了民事、刑事等各类案件的审判工作，案件结案率达89.78%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restart"/>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绩效指标</w:t>
            </w:r>
          </w:p>
        </w:tc>
        <w:tc>
          <w:tcPr>
            <w:tcW w:w="49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一级指标</w:t>
            </w: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二级指标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三级指标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年度指标值</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实际完成值</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分值</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得分</w:t>
            </w:r>
          </w:p>
        </w:tc>
        <w:tc>
          <w:tcPr>
            <w:tcW w:w="951"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案卷装订设备购置数</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6套</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6套</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档案室及配电室改造项目完成率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执法用车购置数</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2辆</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2辆</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案件结案率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89.78%</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购置设备质量验收合格率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档案室及配电室改造项目验收合格率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办案质效</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设备购置工作完成及时性</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档案室及配电室改造项目完成及时性</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及时</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法定审限内结案率</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99.08%</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成本控制情况</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在预算范围内</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效益指标</w:t>
            </w: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法院工作的保密性</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安全性提高</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确保法院工作的公平公正公开</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公开</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案件评查机制健全性</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健全</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各部门之间协作能力</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信息化社会共享</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62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干警满意度</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58" w:type="pct"/>
            <w:vMerge w:val="continue"/>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49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25"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仿宋_GB2312" w:eastAsia="仿宋_GB2312" w:cs="仿宋_GB2312"/>
                <w:i w:val="0"/>
                <w:iCs w:val="0"/>
                <w:color w:val="000000"/>
                <w:sz w:val="21"/>
                <w:szCs w:val="21"/>
                <w:u w:val="none"/>
              </w:rPr>
            </w:pPr>
          </w:p>
        </w:tc>
        <w:tc>
          <w:tcPr>
            <w:tcW w:w="6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人民群众满意度</w:t>
            </w:r>
          </w:p>
        </w:tc>
        <w:tc>
          <w:tcPr>
            <w:tcW w:w="5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95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3217" w:type="pct"/>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总分</w:t>
            </w:r>
          </w:p>
        </w:tc>
        <w:tc>
          <w:tcPr>
            <w:tcW w:w="4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100</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99.32</w:t>
            </w:r>
          </w:p>
        </w:tc>
        <w:tc>
          <w:tcPr>
            <w:tcW w:w="951" w:type="pct"/>
            <w:gridSpan w:val="2"/>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_GB2312" w:hAnsi="仿宋_GB2312" w:eastAsia="仿宋_GB2312" w:cs="仿宋_GB2312"/>
                <w:i w:val="0"/>
                <w:iCs w:val="0"/>
                <w:color w:val="000000"/>
                <w:sz w:val="21"/>
                <w:szCs w:val="21"/>
                <w:u w:val="none"/>
              </w:rPr>
            </w:pPr>
          </w:p>
        </w:tc>
      </w:tr>
    </w:tbl>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GB2312">
    <w:altName w:val="Calibri"/>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EU-BZ">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FZShuSong-Z0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1754988"/>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9078B"/>
    <w:multiLevelType w:val="singleLevel"/>
    <w:tmpl w:val="0949078B"/>
    <w:lvl w:ilvl="0" w:tentative="0">
      <w:start w:val="1"/>
      <w:numFmt w:val="chineseCounting"/>
      <w:pStyle w:val="4"/>
      <w:suff w:val="nothing"/>
      <w:lvlText w:val="（%1）"/>
      <w:lvlJc w:val="left"/>
      <w:pPr>
        <w:ind w:left="0" w:firstLine="420"/>
      </w:pPr>
      <w:rPr>
        <w:rFonts w:hint="eastAsia"/>
      </w:rPr>
    </w:lvl>
  </w:abstractNum>
  <w:abstractNum w:abstractNumId="1">
    <w:nsid w:val="11FC2491"/>
    <w:multiLevelType w:val="singleLevel"/>
    <w:tmpl w:val="11FC2491"/>
    <w:lvl w:ilvl="0" w:tentative="0">
      <w:start w:val="1"/>
      <w:numFmt w:val="chineseCounting"/>
      <w:pStyle w:val="3"/>
      <w:suff w:val="nothing"/>
      <w:lvlText w:val="%1、"/>
      <w:lvlJc w:val="left"/>
      <w:pPr>
        <w:ind w:left="0" w:firstLine="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08"/>
    <w:rsid w:val="00001BB3"/>
    <w:rsid w:val="00006169"/>
    <w:rsid w:val="00006C40"/>
    <w:rsid w:val="0001170A"/>
    <w:rsid w:val="00011802"/>
    <w:rsid w:val="000139C5"/>
    <w:rsid w:val="000148A1"/>
    <w:rsid w:val="0001559A"/>
    <w:rsid w:val="00015613"/>
    <w:rsid w:val="0001663D"/>
    <w:rsid w:val="000219B3"/>
    <w:rsid w:val="00021E51"/>
    <w:rsid w:val="00024AE9"/>
    <w:rsid w:val="00026B9A"/>
    <w:rsid w:val="000300C7"/>
    <w:rsid w:val="00031422"/>
    <w:rsid w:val="00035005"/>
    <w:rsid w:val="000413FA"/>
    <w:rsid w:val="00051A50"/>
    <w:rsid w:val="00054953"/>
    <w:rsid w:val="000549CA"/>
    <w:rsid w:val="0005637E"/>
    <w:rsid w:val="00056BD8"/>
    <w:rsid w:val="00060680"/>
    <w:rsid w:val="0006140B"/>
    <w:rsid w:val="00070B6B"/>
    <w:rsid w:val="00072F69"/>
    <w:rsid w:val="00074BAB"/>
    <w:rsid w:val="00076B05"/>
    <w:rsid w:val="0008688B"/>
    <w:rsid w:val="00086E1C"/>
    <w:rsid w:val="00091B9B"/>
    <w:rsid w:val="00097CC3"/>
    <w:rsid w:val="000A18FC"/>
    <w:rsid w:val="000A1CDE"/>
    <w:rsid w:val="000A1E5E"/>
    <w:rsid w:val="000A487A"/>
    <w:rsid w:val="000A4EF9"/>
    <w:rsid w:val="000A4F02"/>
    <w:rsid w:val="000A65F0"/>
    <w:rsid w:val="000A6FB3"/>
    <w:rsid w:val="000B118D"/>
    <w:rsid w:val="000B18A0"/>
    <w:rsid w:val="000B780A"/>
    <w:rsid w:val="000B7A16"/>
    <w:rsid w:val="000C011D"/>
    <w:rsid w:val="000C08C3"/>
    <w:rsid w:val="000C2BDF"/>
    <w:rsid w:val="000C490F"/>
    <w:rsid w:val="000C4B97"/>
    <w:rsid w:val="000D0C85"/>
    <w:rsid w:val="000D139E"/>
    <w:rsid w:val="000D4DE3"/>
    <w:rsid w:val="000D53F7"/>
    <w:rsid w:val="000D5DD4"/>
    <w:rsid w:val="000D7102"/>
    <w:rsid w:val="000E3920"/>
    <w:rsid w:val="000E6AD6"/>
    <w:rsid w:val="000F0A27"/>
    <w:rsid w:val="000F1AD3"/>
    <w:rsid w:val="000F1C2F"/>
    <w:rsid w:val="000F313D"/>
    <w:rsid w:val="00107BF9"/>
    <w:rsid w:val="00110B01"/>
    <w:rsid w:val="00111ED0"/>
    <w:rsid w:val="0011239F"/>
    <w:rsid w:val="00113D4F"/>
    <w:rsid w:val="001149FF"/>
    <w:rsid w:val="00116412"/>
    <w:rsid w:val="00120108"/>
    <w:rsid w:val="001219E3"/>
    <w:rsid w:val="00123137"/>
    <w:rsid w:val="001257B4"/>
    <w:rsid w:val="00125DA3"/>
    <w:rsid w:val="00126E07"/>
    <w:rsid w:val="001273B9"/>
    <w:rsid w:val="00132409"/>
    <w:rsid w:val="00132531"/>
    <w:rsid w:val="0013501A"/>
    <w:rsid w:val="00140446"/>
    <w:rsid w:val="0014119C"/>
    <w:rsid w:val="00144AAF"/>
    <w:rsid w:val="00144F86"/>
    <w:rsid w:val="001458AF"/>
    <w:rsid w:val="001460D6"/>
    <w:rsid w:val="0014656C"/>
    <w:rsid w:val="0014753D"/>
    <w:rsid w:val="00152299"/>
    <w:rsid w:val="00160997"/>
    <w:rsid w:val="00161798"/>
    <w:rsid w:val="0016414D"/>
    <w:rsid w:val="00166980"/>
    <w:rsid w:val="001674C7"/>
    <w:rsid w:val="001728D4"/>
    <w:rsid w:val="001732AF"/>
    <w:rsid w:val="001735A0"/>
    <w:rsid w:val="001737D2"/>
    <w:rsid w:val="00176B2E"/>
    <w:rsid w:val="001843F3"/>
    <w:rsid w:val="00186DB5"/>
    <w:rsid w:val="00193C18"/>
    <w:rsid w:val="00193D10"/>
    <w:rsid w:val="00196F91"/>
    <w:rsid w:val="001A01AE"/>
    <w:rsid w:val="001A1397"/>
    <w:rsid w:val="001A2617"/>
    <w:rsid w:val="001A46F1"/>
    <w:rsid w:val="001A6659"/>
    <w:rsid w:val="001B0779"/>
    <w:rsid w:val="001B220F"/>
    <w:rsid w:val="001B40E5"/>
    <w:rsid w:val="001B4B7D"/>
    <w:rsid w:val="001B50B3"/>
    <w:rsid w:val="001B6DD7"/>
    <w:rsid w:val="001C1650"/>
    <w:rsid w:val="001C3875"/>
    <w:rsid w:val="001C4AB5"/>
    <w:rsid w:val="001C6517"/>
    <w:rsid w:val="001D0071"/>
    <w:rsid w:val="001D20DF"/>
    <w:rsid w:val="001D3116"/>
    <w:rsid w:val="001D4384"/>
    <w:rsid w:val="001D69AD"/>
    <w:rsid w:val="001D6A8D"/>
    <w:rsid w:val="001E18B6"/>
    <w:rsid w:val="001E2C74"/>
    <w:rsid w:val="001E3A0E"/>
    <w:rsid w:val="001E4017"/>
    <w:rsid w:val="001E49E5"/>
    <w:rsid w:val="001E72D8"/>
    <w:rsid w:val="001E777D"/>
    <w:rsid w:val="001F2588"/>
    <w:rsid w:val="001F4FDC"/>
    <w:rsid w:val="001F74E4"/>
    <w:rsid w:val="001F7D9F"/>
    <w:rsid w:val="00201AD4"/>
    <w:rsid w:val="00203A1B"/>
    <w:rsid w:val="00203B3D"/>
    <w:rsid w:val="002046B4"/>
    <w:rsid w:val="00204901"/>
    <w:rsid w:val="00205F8B"/>
    <w:rsid w:val="0021196A"/>
    <w:rsid w:val="002124A6"/>
    <w:rsid w:val="00213769"/>
    <w:rsid w:val="002152D0"/>
    <w:rsid w:val="0021531E"/>
    <w:rsid w:val="002154DB"/>
    <w:rsid w:val="002214FA"/>
    <w:rsid w:val="00222277"/>
    <w:rsid w:val="002249DE"/>
    <w:rsid w:val="00224E61"/>
    <w:rsid w:val="0022594F"/>
    <w:rsid w:val="002266AF"/>
    <w:rsid w:val="002322A4"/>
    <w:rsid w:val="002322A5"/>
    <w:rsid w:val="00232852"/>
    <w:rsid w:val="002338AF"/>
    <w:rsid w:val="002342A3"/>
    <w:rsid w:val="002358D5"/>
    <w:rsid w:val="0023661B"/>
    <w:rsid w:val="00236B24"/>
    <w:rsid w:val="00240A71"/>
    <w:rsid w:val="0024183D"/>
    <w:rsid w:val="00251DA1"/>
    <w:rsid w:val="00254F71"/>
    <w:rsid w:val="00255034"/>
    <w:rsid w:val="00255789"/>
    <w:rsid w:val="00255A7E"/>
    <w:rsid w:val="00257EF6"/>
    <w:rsid w:val="002601CC"/>
    <w:rsid w:val="00261610"/>
    <w:rsid w:val="00264304"/>
    <w:rsid w:val="0026600B"/>
    <w:rsid w:val="002660B2"/>
    <w:rsid w:val="002669EC"/>
    <w:rsid w:val="0027080F"/>
    <w:rsid w:val="00272C6A"/>
    <w:rsid w:val="00273B76"/>
    <w:rsid w:val="00277C74"/>
    <w:rsid w:val="00281D46"/>
    <w:rsid w:val="002905E7"/>
    <w:rsid w:val="00294565"/>
    <w:rsid w:val="002946B5"/>
    <w:rsid w:val="00295AA5"/>
    <w:rsid w:val="00296D64"/>
    <w:rsid w:val="00297408"/>
    <w:rsid w:val="002A2942"/>
    <w:rsid w:val="002A5286"/>
    <w:rsid w:val="002A640E"/>
    <w:rsid w:val="002A785E"/>
    <w:rsid w:val="002A7CAC"/>
    <w:rsid w:val="002B3011"/>
    <w:rsid w:val="002B4458"/>
    <w:rsid w:val="002B6064"/>
    <w:rsid w:val="002B7612"/>
    <w:rsid w:val="002C1C00"/>
    <w:rsid w:val="002C2B81"/>
    <w:rsid w:val="002C2D74"/>
    <w:rsid w:val="002D137E"/>
    <w:rsid w:val="002D1AD3"/>
    <w:rsid w:val="002D1D53"/>
    <w:rsid w:val="002D47D5"/>
    <w:rsid w:val="002E141A"/>
    <w:rsid w:val="002E2D35"/>
    <w:rsid w:val="002E316E"/>
    <w:rsid w:val="002E5959"/>
    <w:rsid w:val="002E5CF2"/>
    <w:rsid w:val="002E5F93"/>
    <w:rsid w:val="002E77C9"/>
    <w:rsid w:val="002E7CDB"/>
    <w:rsid w:val="002F0465"/>
    <w:rsid w:val="002F06FB"/>
    <w:rsid w:val="002F0E16"/>
    <w:rsid w:val="002F1A8A"/>
    <w:rsid w:val="002F4161"/>
    <w:rsid w:val="002F4BE4"/>
    <w:rsid w:val="002F4D90"/>
    <w:rsid w:val="002F50FF"/>
    <w:rsid w:val="003025FF"/>
    <w:rsid w:val="00302618"/>
    <w:rsid w:val="00303643"/>
    <w:rsid w:val="00304C26"/>
    <w:rsid w:val="00307057"/>
    <w:rsid w:val="00310B1A"/>
    <w:rsid w:val="00311C1F"/>
    <w:rsid w:val="003124FF"/>
    <w:rsid w:val="003135C0"/>
    <w:rsid w:val="00313DCF"/>
    <w:rsid w:val="00316DF0"/>
    <w:rsid w:val="00317A43"/>
    <w:rsid w:val="0032006E"/>
    <w:rsid w:val="0032333E"/>
    <w:rsid w:val="00324461"/>
    <w:rsid w:val="003255DE"/>
    <w:rsid w:val="003262DF"/>
    <w:rsid w:val="00327804"/>
    <w:rsid w:val="003310B7"/>
    <w:rsid w:val="0033174E"/>
    <w:rsid w:val="00331FD0"/>
    <w:rsid w:val="00332705"/>
    <w:rsid w:val="00333143"/>
    <w:rsid w:val="00334A17"/>
    <w:rsid w:val="003366E1"/>
    <w:rsid w:val="00336C78"/>
    <w:rsid w:val="0033772B"/>
    <w:rsid w:val="00337F5C"/>
    <w:rsid w:val="00344F95"/>
    <w:rsid w:val="00345202"/>
    <w:rsid w:val="00350BA4"/>
    <w:rsid w:val="00354262"/>
    <w:rsid w:val="00354DE5"/>
    <w:rsid w:val="00354F46"/>
    <w:rsid w:val="00354FE4"/>
    <w:rsid w:val="003653AD"/>
    <w:rsid w:val="00370B6B"/>
    <w:rsid w:val="00375E9D"/>
    <w:rsid w:val="00377F41"/>
    <w:rsid w:val="00383979"/>
    <w:rsid w:val="00383E3B"/>
    <w:rsid w:val="0038657F"/>
    <w:rsid w:val="003936DF"/>
    <w:rsid w:val="0039431B"/>
    <w:rsid w:val="0039590C"/>
    <w:rsid w:val="00396271"/>
    <w:rsid w:val="003A3401"/>
    <w:rsid w:val="003A42AF"/>
    <w:rsid w:val="003A4CE2"/>
    <w:rsid w:val="003A5A87"/>
    <w:rsid w:val="003A60D3"/>
    <w:rsid w:val="003A75E7"/>
    <w:rsid w:val="003B3F3B"/>
    <w:rsid w:val="003B501A"/>
    <w:rsid w:val="003B7971"/>
    <w:rsid w:val="003C0163"/>
    <w:rsid w:val="003C0E47"/>
    <w:rsid w:val="003C376D"/>
    <w:rsid w:val="003C54CF"/>
    <w:rsid w:val="003C7467"/>
    <w:rsid w:val="003D6E54"/>
    <w:rsid w:val="003D710F"/>
    <w:rsid w:val="003D748E"/>
    <w:rsid w:val="003E065C"/>
    <w:rsid w:val="003E0DB3"/>
    <w:rsid w:val="003E17D0"/>
    <w:rsid w:val="003E453B"/>
    <w:rsid w:val="003E4BF8"/>
    <w:rsid w:val="003E4E73"/>
    <w:rsid w:val="003E5E0C"/>
    <w:rsid w:val="003E79C5"/>
    <w:rsid w:val="003E7C7A"/>
    <w:rsid w:val="003F0F69"/>
    <w:rsid w:val="003F4259"/>
    <w:rsid w:val="003F477F"/>
    <w:rsid w:val="003F4D53"/>
    <w:rsid w:val="003F4E30"/>
    <w:rsid w:val="003F5CEC"/>
    <w:rsid w:val="003F6243"/>
    <w:rsid w:val="003F73E0"/>
    <w:rsid w:val="003F775C"/>
    <w:rsid w:val="00402DB8"/>
    <w:rsid w:val="00403C73"/>
    <w:rsid w:val="00403CB2"/>
    <w:rsid w:val="004047CB"/>
    <w:rsid w:val="0040539C"/>
    <w:rsid w:val="004055D5"/>
    <w:rsid w:val="00406C85"/>
    <w:rsid w:val="00407F1E"/>
    <w:rsid w:val="00410B30"/>
    <w:rsid w:val="00410D7B"/>
    <w:rsid w:val="00415288"/>
    <w:rsid w:val="00415A8F"/>
    <w:rsid w:val="00416127"/>
    <w:rsid w:val="004211D4"/>
    <w:rsid w:val="004218ED"/>
    <w:rsid w:val="0042369C"/>
    <w:rsid w:val="004245E0"/>
    <w:rsid w:val="004256EA"/>
    <w:rsid w:val="00425885"/>
    <w:rsid w:val="004271F9"/>
    <w:rsid w:val="00431F81"/>
    <w:rsid w:val="00432019"/>
    <w:rsid w:val="00432158"/>
    <w:rsid w:val="004354C9"/>
    <w:rsid w:val="0043630B"/>
    <w:rsid w:val="004422F7"/>
    <w:rsid w:val="0044591D"/>
    <w:rsid w:val="004471D4"/>
    <w:rsid w:val="0045091D"/>
    <w:rsid w:val="0045106C"/>
    <w:rsid w:val="0045151D"/>
    <w:rsid w:val="00454C2A"/>
    <w:rsid w:val="00454E5E"/>
    <w:rsid w:val="00455ACE"/>
    <w:rsid w:val="00456C12"/>
    <w:rsid w:val="004616E4"/>
    <w:rsid w:val="00463FA8"/>
    <w:rsid w:val="00465999"/>
    <w:rsid w:val="00465FD0"/>
    <w:rsid w:val="0046663B"/>
    <w:rsid w:val="0046780F"/>
    <w:rsid w:val="00467A93"/>
    <w:rsid w:val="00473C6A"/>
    <w:rsid w:val="00474587"/>
    <w:rsid w:val="00474E51"/>
    <w:rsid w:val="0047506B"/>
    <w:rsid w:val="00475804"/>
    <w:rsid w:val="00481124"/>
    <w:rsid w:val="0048356A"/>
    <w:rsid w:val="00485381"/>
    <w:rsid w:val="004857F0"/>
    <w:rsid w:val="0048686F"/>
    <w:rsid w:val="00487EB9"/>
    <w:rsid w:val="004911BC"/>
    <w:rsid w:val="0049669B"/>
    <w:rsid w:val="00497651"/>
    <w:rsid w:val="004A0BC4"/>
    <w:rsid w:val="004A12D4"/>
    <w:rsid w:val="004A15E6"/>
    <w:rsid w:val="004A1A95"/>
    <w:rsid w:val="004A2496"/>
    <w:rsid w:val="004A24DA"/>
    <w:rsid w:val="004A2AF0"/>
    <w:rsid w:val="004A3BA5"/>
    <w:rsid w:val="004A4477"/>
    <w:rsid w:val="004B0DED"/>
    <w:rsid w:val="004B0FDD"/>
    <w:rsid w:val="004B2D7A"/>
    <w:rsid w:val="004B5424"/>
    <w:rsid w:val="004C1118"/>
    <w:rsid w:val="004C19EC"/>
    <w:rsid w:val="004C3B49"/>
    <w:rsid w:val="004C61FF"/>
    <w:rsid w:val="004D14E2"/>
    <w:rsid w:val="004D1814"/>
    <w:rsid w:val="004D2F9F"/>
    <w:rsid w:val="004D3A74"/>
    <w:rsid w:val="004D5650"/>
    <w:rsid w:val="004D5976"/>
    <w:rsid w:val="004D6A1B"/>
    <w:rsid w:val="004E09DD"/>
    <w:rsid w:val="004E2CE4"/>
    <w:rsid w:val="004E42FA"/>
    <w:rsid w:val="004E4FE7"/>
    <w:rsid w:val="004E534D"/>
    <w:rsid w:val="004E633C"/>
    <w:rsid w:val="004E6B7E"/>
    <w:rsid w:val="004E7BB9"/>
    <w:rsid w:val="004E7FFA"/>
    <w:rsid w:val="004F137B"/>
    <w:rsid w:val="004F1C31"/>
    <w:rsid w:val="004F1F84"/>
    <w:rsid w:val="004F29E9"/>
    <w:rsid w:val="004F3F64"/>
    <w:rsid w:val="004F61B7"/>
    <w:rsid w:val="0050485F"/>
    <w:rsid w:val="005058CD"/>
    <w:rsid w:val="0050701E"/>
    <w:rsid w:val="005101B6"/>
    <w:rsid w:val="005103F5"/>
    <w:rsid w:val="00511FD6"/>
    <w:rsid w:val="005133CA"/>
    <w:rsid w:val="00515F07"/>
    <w:rsid w:val="00520B73"/>
    <w:rsid w:val="005231F4"/>
    <w:rsid w:val="005234AA"/>
    <w:rsid w:val="005248B8"/>
    <w:rsid w:val="00524A80"/>
    <w:rsid w:val="0052528A"/>
    <w:rsid w:val="00527F7F"/>
    <w:rsid w:val="00527FBB"/>
    <w:rsid w:val="00534C36"/>
    <w:rsid w:val="0053595E"/>
    <w:rsid w:val="0053658A"/>
    <w:rsid w:val="0054092B"/>
    <w:rsid w:val="00540F30"/>
    <w:rsid w:val="0054362C"/>
    <w:rsid w:val="0054528B"/>
    <w:rsid w:val="00547FD3"/>
    <w:rsid w:val="00552CC9"/>
    <w:rsid w:val="00553D75"/>
    <w:rsid w:val="005550AF"/>
    <w:rsid w:val="00555979"/>
    <w:rsid w:val="00560961"/>
    <w:rsid w:val="005646E2"/>
    <w:rsid w:val="00571F73"/>
    <w:rsid w:val="0057435D"/>
    <w:rsid w:val="005763F1"/>
    <w:rsid w:val="00576533"/>
    <w:rsid w:val="00582425"/>
    <w:rsid w:val="005849B2"/>
    <w:rsid w:val="00587ACE"/>
    <w:rsid w:val="00590544"/>
    <w:rsid w:val="0059311B"/>
    <w:rsid w:val="0059672E"/>
    <w:rsid w:val="00596B04"/>
    <w:rsid w:val="00596DB8"/>
    <w:rsid w:val="005A284B"/>
    <w:rsid w:val="005A4099"/>
    <w:rsid w:val="005A530A"/>
    <w:rsid w:val="005B125B"/>
    <w:rsid w:val="005B444B"/>
    <w:rsid w:val="005B5587"/>
    <w:rsid w:val="005B58BE"/>
    <w:rsid w:val="005B670A"/>
    <w:rsid w:val="005C34F8"/>
    <w:rsid w:val="005C3925"/>
    <w:rsid w:val="005C445A"/>
    <w:rsid w:val="005C5B89"/>
    <w:rsid w:val="005C7B63"/>
    <w:rsid w:val="005D4345"/>
    <w:rsid w:val="005D4866"/>
    <w:rsid w:val="005D7336"/>
    <w:rsid w:val="005D7A87"/>
    <w:rsid w:val="005E1946"/>
    <w:rsid w:val="005E19AB"/>
    <w:rsid w:val="005E347B"/>
    <w:rsid w:val="005E3A30"/>
    <w:rsid w:val="005E3C71"/>
    <w:rsid w:val="005F114B"/>
    <w:rsid w:val="005F1E04"/>
    <w:rsid w:val="005F248D"/>
    <w:rsid w:val="005F2B90"/>
    <w:rsid w:val="005F36BB"/>
    <w:rsid w:val="005F48E2"/>
    <w:rsid w:val="005F6C73"/>
    <w:rsid w:val="00601FBF"/>
    <w:rsid w:val="006024C4"/>
    <w:rsid w:val="0060373C"/>
    <w:rsid w:val="006041C1"/>
    <w:rsid w:val="0060468C"/>
    <w:rsid w:val="00604EF2"/>
    <w:rsid w:val="00605B89"/>
    <w:rsid w:val="006069DC"/>
    <w:rsid w:val="00612176"/>
    <w:rsid w:val="00614437"/>
    <w:rsid w:val="00614B82"/>
    <w:rsid w:val="00614D6E"/>
    <w:rsid w:val="006222CA"/>
    <w:rsid w:val="00624FA7"/>
    <w:rsid w:val="00626517"/>
    <w:rsid w:val="00626611"/>
    <w:rsid w:val="00627607"/>
    <w:rsid w:val="00627C30"/>
    <w:rsid w:val="0063172A"/>
    <w:rsid w:val="00636A16"/>
    <w:rsid w:val="00637409"/>
    <w:rsid w:val="006403AA"/>
    <w:rsid w:val="00641FB8"/>
    <w:rsid w:val="00642DD3"/>
    <w:rsid w:val="006436DB"/>
    <w:rsid w:val="00645208"/>
    <w:rsid w:val="00650343"/>
    <w:rsid w:val="006527FA"/>
    <w:rsid w:val="00652DA5"/>
    <w:rsid w:val="0065661B"/>
    <w:rsid w:val="00667D72"/>
    <w:rsid w:val="006719FE"/>
    <w:rsid w:val="0067262D"/>
    <w:rsid w:val="00681F10"/>
    <w:rsid w:val="00683EE7"/>
    <w:rsid w:val="00685536"/>
    <w:rsid w:val="0068557F"/>
    <w:rsid w:val="00685870"/>
    <w:rsid w:val="0068634D"/>
    <w:rsid w:val="006905B5"/>
    <w:rsid w:val="00690942"/>
    <w:rsid w:val="006922E3"/>
    <w:rsid w:val="006926D0"/>
    <w:rsid w:val="00692C16"/>
    <w:rsid w:val="0069341A"/>
    <w:rsid w:val="0069495F"/>
    <w:rsid w:val="00694EE3"/>
    <w:rsid w:val="00695400"/>
    <w:rsid w:val="006A0B7A"/>
    <w:rsid w:val="006A1D4A"/>
    <w:rsid w:val="006A5666"/>
    <w:rsid w:val="006A5D85"/>
    <w:rsid w:val="006A6728"/>
    <w:rsid w:val="006A76B9"/>
    <w:rsid w:val="006A77E7"/>
    <w:rsid w:val="006B2CA2"/>
    <w:rsid w:val="006B5A20"/>
    <w:rsid w:val="006B5CA3"/>
    <w:rsid w:val="006B6A06"/>
    <w:rsid w:val="006C02E6"/>
    <w:rsid w:val="006C1575"/>
    <w:rsid w:val="006C3251"/>
    <w:rsid w:val="006C34FD"/>
    <w:rsid w:val="006C3E2D"/>
    <w:rsid w:val="006C61F3"/>
    <w:rsid w:val="006D0637"/>
    <w:rsid w:val="006D12B5"/>
    <w:rsid w:val="006D25B1"/>
    <w:rsid w:val="006D4100"/>
    <w:rsid w:val="006E01D4"/>
    <w:rsid w:val="006E1C08"/>
    <w:rsid w:val="006E25CE"/>
    <w:rsid w:val="006E4E1E"/>
    <w:rsid w:val="006E58B9"/>
    <w:rsid w:val="006E5A7A"/>
    <w:rsid w:val="006E6D27"/>
    <w:rsid w:val="006E7158"/>
    <w:rsid w:val="006E73F3"/>
    <w:rsid w:val="006F2DA8"/>
    <w:rsid w:val="006F46A2"/>
    <w:rsid w:val="0070009F"/>
    <w:rsid w:val="007006EA"/>
    <w:rsid w:val="00701DAA"/>
    <w:rsid w:val="00702407"/>
    <w:rsid w:val="0070514B"/>
    <w:rsid w:val="00707C5E"/>
    <w:rsid w:val="00710930"/>
    <w:rsid w:val="00710E87"/>
    <w:rsid w:val="00714DB8"/>
    <w:rsid w:val="0071500D"/>
    <w:rsid w:val="007178F2"/>
    <w:rsid w:val="00721C75"/>
    <w:rsid w:val="00722EC8"/>
    <w:rsid w:val="00730F07"/>
    <w:rsid w:val="00732501"/>
    <w:rsid w:val="00734182"/>
    <w:rsid w:val="007343AB"/>
    <w:rsid w:val="007365D1"/>
    <w:rsid w:val="00736F98"/>
    <w:rsid w:val="007404FE"/>
    <w:rsid w:val="0074195C"/>
    <w:rsid w:val="007424F5"/>
    <w:rsid w:val="007429B7"/>
    <w:rsid w:val="007442EB"/>
    <w:rsid w:val="0074595E"/>
    <w:rsid w:val="00745D1E"/>
    <w:rsid w:val="00747B73"/>
    <w:rsid w:val="0075407C"/>
    <w:rsid w:val="0076162C"/>
    <w:rsid w:val="00762D5F"/>
    <w:rsid w:val="00764081"/>
    <w:rsid w:val="007648FB"/>
    <w:rsid w:val="007669EE"/>
    <w:rsid w:val="00770CBD"/>
    <w:rsid w:val="00773BCE"/>
    <w:rsid w:val="00774560"/>
    <w:rsid w:val="00774BD7"/>
    <w:rsid w:val="00775424"/>
    <w:rsid w:val="0077578E"/>
    <w:rsid w:val="00776ADD"/>
    <w:rsid w:val="007807D5"/>
    <w:rsid w:val="00780C4C"/>
    <w:rsid w:val="00782121"/>
    <w:rsid w:val="00784601"/>
    <w:rsid w:val="00784ED4"/>
    <w:rsid w:val="0079247C"/>
    <w:rsid w:val="007929CF"/>
    <w:rsid w:val="007932AA"/>
    <w:rsid w:val="00794079"/>
    <w:rsid w:val="00796F3F"/>
    <w:rsid w:val="00797497"/>
    <w:rsid w:val="007A1D2C"/>
    <w:rsid w:val="007A328F"/>
    <w:rsid w:val="007A3FE6"/>
    <w:rsid w:val="007A65A5"/>
    <w:rsid w:val="007A7323"/>
    <w:rsid w:val="007A76DB"/>
    <w:rsid w:val="007B0A7D"/>
    <w:rsid w:val="007B1E5C"/>
    <w:rsid w:val="007B396F"/>
    <w:rsid w:val="007B3FB3"/>
    <w:rsid w:val="007B4BFB"/>
    <w:rsid w:val="007B50A9"/>
    <w:rsid w:val="007B568C"/>
    <w:rsid w:val="007C171C"/>
    <w:rsid w:val="007C20B2"/>
    <w:rsid w:val="007C35BA"/>
    <w:rsid w:val="007C79D7"/>
    <w:rsid w:val="007D4740"/>
    <w:rsid w:val="007D6197"/>
    <w:rsid w:val="007E5ADC"/>
    <w:rsid w:val="007E6153"/>
    <w:rsid w:val="007E6D70"/>
    <w:rsid w:val="007F1769"/>
    <w:rsid w:val="007F17C8"/>
    <w:rsid w:val="007F2AD9"/>
    <w:rsid w:val="007F3883"/>
    <w:rsid w:val="00801A1C"/>
    <w:rsid w:val="00802344"/>
    <w:rsid w:val="00805900"/>
    <w:rsid w:val="0080597C"/>
    <w:rsid w:val="008074B5"/>
    <w:rsid w:val="00807679"/>
    <w:rsid w:val="008128DC"/>
    <w:rsid w:val="00814CC5"/>
    <w:rsid w:val="00815662"/>
    <w:rsid w:val="008164D3"/>
    <w:rsid w:val="008169EB"/>
    <w:rsid w:val="00820BD7"/>
    <w:rsid w:val="00820C71"/>
    <w:rsid w:val="00821DEA"/>
    <w:rsid w:val="00825373"/>
    <w:rsid w:val="0082702C"/>
    <w:rsid w:val="008359DD"/>
    <w:rsid w:val="008421E1"/>
    <w:rsid w:val="008426AC"/>
    <w:rsid w:val="00842B1D"/>
    <w:rsid w:val="00844D52"/>
    <w:rsid w:val="00844EF9"/>
    <w:rsid w:val="00845444"/>
    <w:rsid w:val="00846AAE"/>
    <w:rsid w:val="00846F4A"/>
    <w:rsid w:val="0084748E"/>
    <w:rsid w:val="0085151C"/>
    <w:rsid w:val="00854AD9"/>
    <w:rsid w:val="008561E6"/>
    <w:rsid w:val="008570C4"/>
    <w:rsid w:val="00861A22"/>
    <w:rsid w:val="0086202C"/>
    <w:rsid w:val="00870317"/>
    <w:rsid w:val="00871487"/>
    <w:rsid w:val="008718C1"/>
    <w:rsid w:val="00872B15"/>
    <w:rsid w:val="00877648"/>
    <w:rsid w:val="0088196B"/>
    <w:rsid w:val="00882612"/>
    <w:rsid w:val="00882873"/>
    <w:rsid w:val="00885705"/>
    <w:rsid w:val="00890656"/>
    <w:rsid w:val="00892197"/>
    <w:rsid w:val="008953B7"/>
    <w:rsid w:val="008955B8"/>
    <w:rsid w:val="00896DFE"/>
    <w:rsid w:val="008979F9"/>
    <w:rsid w:val="008A0597"/>
    <w:rsid w:val="008A3184"/>
    <w:rsid w:val="008A594A"/>
    <w:rsid w:val="008A76C0"/>
    <w:rsid w:val="008B0D84"/>
    <w:rsid w:val="008B21F8"/>
    <w:rsid w:val="008B2724"/>
    <w:rsid w:val="008B491B"/>
    <w:rsid w:val="008B4E0C"/>
    <w:rsid w:val="008B659A"/>
    <w:rsid w:val="008B77E2"/>
    <w:rsid w:val="008C2BC7"/>
    <w:rsid w:val="008C37A2"/>
    <w:rsid w:val="008D44CF"/>
    <w:rsid w:val="008D454F"/>
    <w:rsid w:val="008D5730"/>
    <w:rsid w:val="008D6D7B"/>
    <w:rsid w:val="008E0667"/>
    <w:rsid w:val="008E0E7B"/>
    <w:rsid w:val="008E20B9"/>
    <w:rsid w:val="008E3542"/>
    <w:rsid w:val="008E6504"/>
    <w:rsid w:val="008E7D88"/>
    <w:rsid w:val="008F0842"/>
    <w:rsid w:val="008F15E4"/>
    <w:rsid w:val="008F1DF6"/>
    <w:rsid w:val="008F2AEB"/>
    <w:rsid w:val="008F34C0"/>
    <w:rsid w:val="008F7577"/>
    <w:rsid w:val="00902920"/>
    <w:rsid w:val="00902A18"/>
    <w:rsid w:val="00906C50"/>
    <w:rsid w:val="009132C9"/>
    <w:rsid w:val="0091369A"/>
    <w:rsid w:val="0091439C"/>
    <w:rsid w:val="00914E81"/>
    <w:rsid w:val="0091620B"/>
    <w:rsid w:val="009202B6"/>
    <w:rsid w:val="00920475"/>
    <w:rsid w:val="00922DE8"/>
    <w:rsid w:val="0092334A"/>
    <w:rsid w:val="0092479C"/>
    <w:rsid w:val="00924EE8"/>
    <w:rsid w:val="00926A31"/>
    <w:rsid w:val="00926E5B"/>
    <w:rsid w:val="00934C81"/>
    <w:rsid w:val="00941C9A"/>
    <w:rsid w:val="0094355E"/>
    <w:rsid w:val="0094527F"/>
    <w:rsid w:val="00952B85"/>
    <w:rsid w:val="00953F90"/>
    <w:rsid w:val="00955964"/>
    <w:rsid w:val="0095780F"/>
    <w:rsid w:val="00960963"/>
    <w:rsid w:val="009635B5"/>
    <w:rsid w:val="009649C7"/>
    <w:rsid w:val="00966157"/>
    <w:rsid w:val="00966770"/>
    <w:rsid w:val="00967649"/>
    <w:rsid w:val="00971F0C"/>
    <w:rsid w:val="00977BFE"/>
    <w:rsid w:val="009852B8"/>
    <w:rsid w:val="00990ADF"/>
    <w:rsid w:val="00993195"/>
    <w:rsid w:val="00995A0F"/>
    <w:rsid w:val="00996A46"/>
    <w:rsid w:val="009975F0"/>
    <w:rsid w:val="009A0E69"/>
    <w:rsid w:val="009A7698"/>
    <w:rsid w:val="009B0840"/>
    <w:rsid w:val="009B0A5F"/>
    <w:rsid w:val="009B1DA5"/>
    <w:rsid w:val="009B2AF1"/>
    <w:rsid w:val="009B4433"/>
    <w:rsid w:val="009B55A1"/>
    <w:rsid w:val="009B7F4F"/>
    <w:rsid w:val="009C1731"/>
    <w:rsid w:val="009C2EBE"/>
    <w:rsid w:val="009C3FE5"/>
    <w:rsid w:val="009C67B2"/>
    <w:rsid w:val="009D0D0C"/>
    <w:rsid w:val="009D305F"/>
    <w:rsid w:val="009D4635"/>
    <w:rsid w:val="009D6F6D"/>
    <w:rsid w:val="009D717C"/>
    <w:rsid w:val="009D77F6"/>
    <w:rsid w:val="009E3870"/>
    <w:rsid w:val="009E6429"/>
    <w:rsid w:val="009E7062"/>
    <w:rsid w:val="009F0A21"/>
    <w:rsid w:val="00A01ED3"/>
    <w:rsid w:val="00A01EF9"/>
    <w:rsid w:val="00A03A36"/>
    <w:rsid w:val="00A0499F"/>
    <w:rsid w:val="00A04F7A"/>
    <w:rsid w:val="00A056BD"/>
    <w:rsid w:val="00A05C0D"/>
    <w:rsid w:val="00A1024F"/>
    <w:rsid w:val="00A11B5A"/>
    <w:rsid w:val="00A153AD"/>
    <w:rsid w:val="00A155AE"/>
    <w:rsid w:val="00A221AD"/>
    <w:rsid w:val="00A22593"/>
    <w:rsid w:val="00A26237"/>
    <w:rsid w:val="00A3021E"/>
    <w:rsid w:val="00A33D48"/>
    <w:rsid w:val="00A342B0"/>
    <w:rsid w:val="00A344F7"/>
    <w:rsid w:val="00A350D2"/>
    <w:rsid w:val="00A42A26"/>
    <w:rsid w:val="00A44098"/>
    <w:rsid w:val="00A44415"/>
    <w:rsid w:val="00A44F28"/>
    <w:rsid w:val="00A4632B"/>
    <w:rsid w:val="00A46D55"/>
    <w:rsid w:val="00A471C8"/>
    <w:rsid w:val="00A50DEA"/>
    <w:rsid w:val="00A51BA5"/>
    <w:rsid w:val="00A5233C"/>
    <w:rsid w:val="00A524FF"/>
    <w:rsid w:val="00A53BF3"/>
    <w:rsid w:val="00A54E47"/>
    <w:rsid w:val="00A56420"/>
    <w:rsid w:val="00A600F4"/>
    <w:rsid w:val="00A60426"/>
    <w:rsid w:val="00A60C97"/>
    <w:rsid w:val="00A62A95"/>
    <w:rsid w:val="00A63304"/>
    <w:rsid w:val="00A641E3"/>
    <w:rsid w:val="00A64C8F"/>
    <w:rsid w:val="00A6596C"/>
    <w:rsid w:val="00A65A37"/>
    <w:rsid w:val="00A6604A"/>
    <w:rsid w:val="00A669F9"/>
    <w:rsid w:val="00A66A7A"/>
    <w:rsid w:val="00A66E02"/>
    <w:rsid w:val="00A67430"/>
    <w:rsid w:val="00A679BD"/>
    <w:rsid w:val="00A72DD6"/>
    <w:rsid w:val="00A73B5D"/>
    <w:rsid w:val="00A7420E"/>
    <w:rsid w:val="00A762AC"/>
    <w:rsid w:val="00A769E1"/>
    <w:rsid w:val="00A772CF"/>
    <w:rsid w:val="00A80AB1"/>
    <w:rsid w:val="00A80F61"/>
    <w:rsid w:val="00A8335A"/>
    <w:rsid w:val="00A83371"/>
    <w:rsid w:val="00A84060"/>
    <w:rsid w:val="00A84E2A"/>
    <w:rsid w:val="00A9104E"/>
    <w:rsid w:val="00AA0154"/>
    <w:rsid w:val="00AA18CF"/>
    <w:rsid w:val="00AA3328"/>
    <w:rsid w:val="00AA6C9A"/>
    <w:rsid w:val="00AB142C"/>
    <w:rsid w:val="00AB2348"/>
    <w:rsid w:val="00AB3CD1"/>
    <w:rsid w:val="00AB45E9"/>
    <w:rsid w:val="00AB515E"/>
    <w:rsid w:val="00AC2DEE"/>
    <w:rsid w:val="00AC5617"/>
    <w:rsid w:val="00AC6C93"/>
    <w:rsid w:val="00AD034A"/>
    <w:rsid w:val="00AD4A0F"/>
    <w:rsid w:val="00AD691D"/>
    <w:rsid w:val="00AE0073"/>
    <w:rsid w:val="00AE1FC6"/>
    <w:rsid w:val="00AE61FB"/>
    <w:rsid w:val="00AF0EBD"/>
    <w:rsid w:val="00AF4E0C"/>
    <w:rsid w:val="00AF6EA3"/>
    <w:rsid w:val="00B004DC"/>
    <w:rsid w:val="00B058B6"/>
    <w:rsid w:val="00B05D13"/>
    <w:rsid w:val="00B07D82"/>
    <w:rsid w:val="00B10BE6"/>
    <w:rsid w:val="00B123C1"/>
    <w:rsid w:val="00B126AA"/>
    <w:rsid w:val="00B13E26"/>
    <w:rsid w:val="00B13E55"/>
    <w:rsid w:val="00B14E43"/>
    <w:rsid w:val="00B16A25"/>
    <w:rsid w:val="00B16A9D"/>
    <w:rsid w:val="00B17371"/>
    <w:rsid w:val="00B22FF8"/>
    <w:rsid w:val="00B23AF6"/>
    <w:rsid w:val="00B24EF4"/>
    <w:rsid w:val="00B27498"/>
    <w:rsid w:val="00B30671"/>
    <w:rsid w:val="00B33EF6"/>
    <w:rsid w:val="00B34B1A"/>
    <w:rsid w:val="00B37517"/>
    <w:rsid w:val="00B40D06"/>
    <w:rsid w:val="00B41E7A"/>
    <w:rsid w:val="00B428F6"/>
    <w:rsid w:val="00B469D5"/>
    <w:rsid w:val="00B472BF"/>
    <w:rsid w:val="00B4780B"/>
    <w:rsid w:val="00B4789B"/>
    <w:rsid w:val="00B5175C"/>
    <w:rsid w:val="00B52D81"/>
    <w:rsid w:val="00B53754"/>
    <w:rsid w:val="00B54441"/>
    <w:rsid w:val="00B554B1"/>
    <w:rsid w:val="00B56651"/>
    <w:rsid w:val="00B57951"/>
    <w:rsid w:val="00B61154"/>
    <w:rsid w:val="00B625B4"/>
    <w:rsid w:val="00B6584F"/>
    <w:rsid w:val="00B65D6A"/>
    <w:rsid w:val="00B671B5"/>
    <w:rsid w:val="00B7202A"/>
    <w:rsid w:val="00B77BDF"/>
    <w:rsid w:val="00B8031E"/>
    <w:rsid w:val="00B80DB1"/>
    <w:rsid w:val="00B85FAC"/>
    <w:rsid w:val="00B9000D"/>
    <w:rsid w:val="00B9091B"/>
    <w:rsid w:val="00B90DB8"/>
    <w:rsid w:val="00B9187F"/>
    <w:rsid w:val="00B91952"/>
    <w:rsid w:val="00B9667F"/>
    <w:rsid w:val="00B97F15"/>
    <w:rsid w:val="00BA034F"/>
    <w:rsid w:val="00BA1EC1"/>
    <w:rsid w:val="00BA2B77"/>
    <w:rsid w:val="00BB121A"/>
    <w:rsid w:val="00BB5ECE"/>
    <w:rsid w:val="00BB71F8"/>
    <w:rsid w:val="00BB747D"/>
    <w:rsid w:val="00BC0E06"/>
    <w:rsid w:val="00BC19A7"/>
    <w:rsid w:val="00BC1ED5"/>
    <w:rsid w:val="00BC2FD9"/>
    <w:rsid w:val="00BC35CA"/>
    <w:rsid w:val="00BC627B"/>
    <w:rsid w:val="00BC7BE1"/>
    <w:rsid w:val="00BD28E3"/>
    <w:rsid w:val="00BD3FA9"/>
    <w:rsid w:val="00BD77BA"/>
    <w:rsid w:val="00BE4E1B"/>
    <w:rsid w:val="00BE5880"/>
    <w:rsid w:val="00BE6085"/>
    <w:rsid w:val="00BE6621"/>
    <w:rsid w:val="00BF0120"/>
    <w:rsid w:val="00BF075A"/>
    <w:rsid w:val="00BF09E5"/>
    <w:rsid w:val="00BF14B6"/>
    <w:rsid w:val="00C000D5"/>
    <w:rsid w:val="00C00FA6"/>
    <w:rsid w:val="00C0165D"/>
    <w:rsid w:val="00C01D08"/>
    <w:rsid w:val="00C02C37"/>
    <w:rsid w:val="00C10525"/>
    <w:rsid w:val="00C13074"/>
    <w:rsid w:val="00C1328B"/>
    <w:rsid w:val="00C13616"/>
    <w:rsid w:val="00C136F7"/>
    <w:rsid w:val="00C13EB8"/>
    <w:rsid w:val="00C149BD"/>
    <w:rsid w:val="00C16BAF"/>
    <w:rsid w:val="00C17B0A"/>
    <w:rsid w:val="00C21E64"/>
    <w:rsid w:val="00C276FB"/>
    <w:rsid w:val="00C27B5C"/>
    <w:rsid w:val="00C30033"/>
    <w:rsid w:val="00C33AF0"/>
    <w:rsid w:val="00C36008"/>
    <w:rsid w:val="00C372D0"/>
    <w:rsid w:val="00C41974"/>
    <w:rsid w:val="00C4241F"/>
    <w:rsid w:val="00C435CD"/>
    <w:rsid w:val="00C437D2"/>
    <w:rsid w:val="00C444CE"/>
    <w:rsid w:val="00C4697E"/>
    <w:rsid w:val="00C510F7"/>
    <w:rsid w:val="00C518EE"/>
    <w:rsid w:val="00C5217C"/>
    <w:rsid w:val="00C55B95"/>
    <w:rsid w:val="00C5645F"/>
    <w:rsid w:val="00C600BE"/>
    <w:rsid w:val="00C67056"/>
    <w:rsid w:val="00C7016C"/>
    <w:rsid w:val="00C70C91"/>
    <w:rsid w:val="00C74C16"/>
    <w:rsid w:val="00C766BB"/>
    <w:rsid w:val="00C807B0"/>
    <w:rsid w:val="00C867C9"/>
    <w:rsid w:val="00C87A7F"/>
    <w:rsid w:val="00C87D95"/>
    <w:rsid w:val="00C91BF6"/>
    <w:rsid w:val="00C93011"/>
    <w:rsid w:val="00C93BC3"/>
    <w:rsid w:val="00C93EB6"/>
    <w:rsid w:val="00C94717"/>
    <w:rsid w:val="00C96529"/>
    <w:rsid w:val="00CA0A10"/>
    <w:rsid w:val="00CA13D1"/>
    <w:rsid w:val="00CA14D8"/>
    <w:rsid w:val="00CA28BF"/>
    <w:rsid w:val="00CB1669"/>
    <w:rsid w:val="00CB1F1F"/>
    <w:rsid w:val="00CB2595"/>
    <w:rsid w:val="00CB2CA0"/>
    <w:rsid w:val="00CB2CD3"/>
    <w:rsid w:val="00CB7968"/>
    <w:rsid w:val="00CC496F"/>
    <w:rsid w:val="00CC4D1E"/>
    <w:rsid w:val="00CC503C"/>
    <w:rsid w:val="00CC547D"/>
    <w:rsid w:val="00CD0281"/>
    <w:rsid w:val="00CD07C6"/>
    <w:rsid w:val="00CD44F2"/>
    <w:rsid w:val="00CD676D"/>
    <w:rsid w:val="00CE0392"/>
    <w:rsid w:val="00CE0822"/>
    <w:rsid w:val="00CE45CB"/>
    <w:rsid w:val="00CE6154"/>
    <w:rsid w:val="00CF0E7E"/>
    <w:rsid w:val="00CF0F80"/>
    <w:rsid w:val="00CF123C"/>
    <w:rsid w:val="00CF231A"/>
    <w:rsid w:val="00CF2A80"/>
    <w:rsid w:val="00CF37F6"/>
    <w:rsid w:val="00CF40E3"/>
    <w:rsid w:val="00CF534C"/>
    <w:rsid w:val="00CF5486"/>
    <w:rsid w:val="00CF5910"/>
    <w:rsid w:val="00CF627F"/>
    <w:rsid w:val="00CF6821"/>
    <w:rsid w:val="00CF7E08"/>
    <w:rsid w:val="00D00F52"/>
    <w:rsid w:val="00D0144F"/>
    <w:rsid w:val="00D022AC"/>
    <w:rsid w:val="00D03D97"/>
    <w:rsid w:val="00D04842"/>
    <w:rsid w:val="00D07F10"/>
    <w:rsid w:val="00D10907"/>
    <w:rsid w:val="00D117BA"/>
    <w:rsid w:val="00D11E6D"/>
    <w:rsid w:val="00D152E9"/>
    <w:rsid w:val="00D1600C"/>
    <w:rsid w:val="00D16DC5"/>
    <w:rsid w:val="00D16E2B"/>
    <w:rsid w:val="00D17B25"/>
    <w:rsid w:val="00D2025C"/>
    <w:rsid w:val="00D26141"/>
    <w:rsid w:val="00D27218"/>
    <w:rsid w:val="00D27D27"/>
    <w:rsid w:val="00D3174D"/>
    <w:rsid w:val="00D31ACC"/>
    <w:rsid w:val="00D31D64"/>
    <w:rsid w:val="00D332E4"/>
    <w:rsid w:val="00D338D4"/>
    <w:rsid w:val="00D34126"/>
    <w:rsid w:val="00D40834"/>
    <w:rsid w:val="00D413C5"/>
    <w:rsid w:val="00D42107"/>
    <w:rsid w:val="00D4417D"/>
    <w:rsid w:val="00D53536"/>
    <w:rsid w:val="00D55671"/>
    <w:rsid w:val="00D55DDA"/>
    <w:rsid w:val="00D5681C"/>
    <w:rsid w:val="00D57511"/>
    <w:rsid w:val="00D60063"/>
    <w:rsid w:val="00D624A2"/>
    <w:rsid w:val="00D63E9E"/>
    <w:rsid w:val="00D67717"/>
    <w:rsid w:val="00D71006"/>
    <w:rsid w:val="00D7582B"/>
    <w:rsid w:val="00D80CB4"/>
    <w:rsid w:val="00D81BE5"/>
    <w:rsid w:val="00D84440"/>
    <w:rsid w:val="00D900ED"/>
    <w:rsid w:val="00D91860"/>
    <w:rsid w:val="00D95485"/>
    <w:rsid w:val="00D959C7"/>
    <w:rsid w:val="00DA255B"/>
    <w:rsid w:val="00DA634C"/>
    <w:rsid w:val="00DA7620"/>
    <w:rsid w:val="00DA7698"/>
    <w:rsid w:val="00DB0322"/>
    <w:rsid w:val="00DB07F7"/>
    <w:rsid w:val="00DB1C33"/>
    <w:rsid w:val="00DB2C69"/>
    <w:rsid w:val="00DB3227"/>
    <w:rsid w:val="00DB3D2C"/>
    <w:rsid w:val="00DB602F"/>
    <w:rsid w:val="00DB6EB1"/>
    <w:rsid w:val="00DC0445"/>
    <w:rsid w:val="00DC0A9F"/>
    <w:rsid w:val="00DC2C0D"/>
    <w:rsid w:val="00DC5EE7"/>
    <w:rsid w:val="00DD59F6"/>
    <w:rsid w:val="00DE1238"/>
    <w:rsid w:val="00DE2236"/>
    <w:rsid w:val="00DE345A"/>
    <w:rsid w:val="00DE504D"/>
    <w:rsid w:val="00DE5414"/>
    <w:rsid w:val="00DE5679"/>
    <w:rsid w:val="00DE5A2B"/>
    <w:rsid w:val="00DE65CD"/>
    <w:rsid w:val="00DF0168"/>
    <w:rsid w:val="00DF2EC6"/>
    <w:rsid w:val="00DF51B8"/>
    <w:rsid w:val="00DF54FB"/>
    <w:rsid w:val="00DF7CA4"/>
    <w:rsid w:val="00E00BE7"/>
    <w:rsid w:val="00E028DF"/>
    <w:rsid w:val="00E14553"/>
    <w:rsid w:val="00E24A23"/>
    <w:rsid w:val="00E25B7D"/>
    <w:rsid w:val="00E26B4D"/>
    <w:rsid w:val="00E271BB"/>
    <w:rsid w:val="00E27595"/>
    <w:rsid w:val="00E3311E"/>
    <w:rsid w:val="00E346FA"/>
    <w:rsid w:val="00E3480A"/>
    <w:rsid w:val="00E35C65"/>
    <w:rsid w:val="00E374D3"/>
    <w:rsid w:val="00E4252A"/>
    <w:rsid w:val="00E42819"/>
    <w:rsid w:val="00E42CF2"/>
    <w:rsid w:val="00E44113"/>
    <w:rsid w:val="00E4444E"/>
    <w:rsid w:val="00E44A93"/>
    <w:rsid w:val="00E45A3E"/>
    <w:rsid w:val="00E50BB5"/>
    <w:rsid w:val="00E511EB"/>
    <w:rsid w:val="00E527CF"/>
    <w:rsid w:val="00E55330"/>
    <w:rsid w:val="00E61FC2"/>
    <w:rsid w:val="00E62CBA"/>
    <w:rsid w:val="00E62EC2"/>
    <w:rsid w:val="00E63692"/>
    <w:rsid w:val="00E638D3"/>
    <w:rsid w:val="00E64583"/>
    <w:rsid w:val="00E6468F"/>
    <w:rsid w:val="00E65E5F"/>
    <w:rsid w:val="00E663F6"/>
    <w:rsid w:val="00E674F9"/>
    <w:rsid w:val="00E676C4"/>
    <w:rsid w:val="00E73B13"/>
    <w:rsid w:val="00E777D6"/>
    <w:rsid w:val="00E805DB"/>
    <w:rsid w:val="00E81D5C"/>
    <w:rsid w:val="00E826F9"/>
    <w:rsid w:val="00E8278B"/>
    <w:rsid w:val="00E83CED"/>
    <w:rsid w:val="00E8425D"/>
    <w:rsid w:val="00E85DF7"/>
    <w:rsid w:val="00E86AA0"/>
    <w:rsid w:val="00E87731"/>
    <w:rsid w:val="00E91F98"/>
    <w:rsid w:val="00E94D50"/>
    <w:rsid w:val="00EA0279"/>
    <w:rsid w:val="00EA12D2"/>
    <w:rsid w:val="00EA5A77"/>
    <w:rsid w:val="00EA673C"/>
    <w:rsid w:val="00EA76CF"/>
    <w:rsid w:val="00EB322A"/>
    <w:rsid w:val="00EB33E5"/>
    <w:rsid w:val="00EB3700"/>
    <w:rsid w:val="00EB3B09"/>
    <w:rsid w:val="00EB5E33"/>
    <w:rsid w:val="00EC1A33"/>
    <w:rsid w:val="00EC422E"/>
    <w:rsid w:val="00EC711B"/>
    <w:rsid w:val="00EC7407"/>
    <w:rsid w:val="00ED10DB"/>
    <w:rsid w:val="00ED36FE"/>
    <w:rsid w:val="00ED6117"/>
    <w:rsid w:val="00ED6820"/>
    <w:rsid w:val="00ED6B29"/>
    <w:rsid w:val="00EE1DB9"/>
    <w:rsid w:val="00EE2BA0"/>
    <w:rsid w:val="00EE3380"/>
    <w:rsid w:val="00EF04A9"/>
    <w:rsid w:val="00EF2ACC"/>
    <w:rsid w:val="00EF2B2C"/>
    <w:rsid w:val="00EF395D"/>
    <w:rsid w:val="00EF5E01"/>
    <w:rsid w:val="00EF793D"/>
    <w:rsid w:val="00F0126C"/>
    <w:rsid w:val="00F042C8"/>
    <w:rsid w:val="00F04DC7"/>
    <w:rsid w:val="00F06CAF"/>
    <w:rsid w:val="00F07744"/>
    <w:rsid w:val="00F2181F"/>
    <w:rsid w:val="00F23A58"/>
    <w:rsid w:val="00F32CF7"/>
    <w:rsid w:val="00F330D9"/>
    <w:rsid w:val="00F3342B"/>
    <w:rsid w:val="00F35EEE"/>
    <w:rsid w:val="00F35F2F"/>
    <w:rsid w:val="00F3622F"/>
    <w:rsid w:val="00F40139"/>
    <w:rsid w:val="00F417ED"/>
    <w:rsid w:val="00F46CB5"/>
    <w:rsid w:val="00F46CC3"/>
    <w:rsid w:val="00F479C9"/>
    <w:rsid w:val="00F50134"/>
    <w:rsid w:val="00F50929"/>
    <w:rsid w:val="00F51B8B"/>
    <w:rsid w:val="00F532FF"/>
    <w:rsid w:val="00F564DB"/>
    <w:rsid w:val="00F56D20"/>
    <w:rsid w:val="00F61B11"/>
    <w:rsid w:val="00F62136"/>
    <w:rsid w:val="00F62A42"/>
    <w:rsid w:val="00F62D96"/>
    <w:rsid w:val="00F72661"/>
    <w:rsid w:val="00F73239"/>
    <w:rsid w:val="00F73A58"/>
    <w:rsid w:val="00F74CA0"/>
    <w:rsid w:val="00F75B45"/>
    <w:rsid w:val="00F80355"/>
    <w:rsid w:val="00F82ED4"/>
    <w:rsid w:val="00F856C6"/>
    <w:rsid w:val="00F92ACD"/>
    <w:rsid w:val="00F94611"/>
    <w:rsid w:val="00F9624E"/>
    <w:rsid w:val="00F96B6F"/>
    <w:rsid w:val="00F96D46"/>
    <w:rsid w:val="00F975B3"/>
    <w:rsid w:val="00F979B7"/>
    <w:rsid w:val="00F97B42"/>
    <w:rsid w:val="00FA012F"/>
    <w:rsid w:val="00FA056D"/>
    <w:rsid w:val="00FA7A65"/>
    <w:rsid w:val="00FB0102"/>
    <w:rsid w:val="00FB03E3"/>
    <w:rsid w:val="00FB14A1"/>
    <w:rsid w:val="00FB3B49"/>
    <w:rsid w:val="00FB451C"/>
    <w:rsid w:val="00FB6C3C"/>
    <w:rsid w:val="00FB7275"/>
    <w:rsid w:val="00FB7524"/>
    <w:rsid w:val="00FC110D"/>
    <w:rsid w:val="00FC3735"/>
    <w:rsid w:val="00FC49BA"/>
    <w:rsid w:val="00FC6900"/>
    <w:rsid w:val="00FC6B28"/>
    <w:rsid w:val="00FC6E2A"/>
    <w:rsid w:val="00FD1953"/>
    <w:rsid w:val="00FD4741"/>
    <w:rsid w:val="00FD5ED4"/>
    <w:rsid w:val="00FE3380"/>
    <w:rsid w:val="00FE39E6"/>
    <w:rsid w:val="00FE6F2E"/>
    <w:rsid w:val="00FE701B"/>
    <w:rsid w:val="00FF2039"/>
    <w:rsid w:val="00FF4E19"/>
    <w:rsid w:val="00FF5018"/>
    <w:rsid w:val="01176169"/>
    <w:rsid w:val="01301049"/>
    <w:rsid w:val="013A754B"/>
    <w:rsid w:val="01720E74"/>
    <w:rsid w:val="01F57D70"/>
    <w:rsid w:val="02236543"/>
    <w:rsid w:val="0267763C"/>
    <w:rsid w:val="027462EB"/>
    <w:rsid w:val="02852ACA"/>
    <w:rsid w:val="02ED1F30"/>
    <w:rsid w:val="02F76778"/>
    <w:rsid w:val="0303260F"/>
    <w:rsid w:val="035D7C91"/>
    <w:rsid w:val="036C1642"/>
    <w:rsid w:val="037936EC"/>
    <w:rsid w:val="037A2239"/>
    <w:rsid w:val="039D5277"/>
    <w:rsid w:val="03B9526C"/>
    <w:rsid w:val="03EC54DC"/>
    <w:rsid w:val="043625E9"/>
    <w:rsid w:val="04577ECA"/>
    <w:rsid w:val="047F3EDB"/>
    <w:rsid w:val="04813EB0"/>
    <w:rsid w:val="04CB2698"/>
    <w:rsid w:val="04FC43CB"/>
    <w:rsid w:val="05606AFA"/>
    <w:rsid w:val="056E3031"/>
    <w:rsid w:val="056F6060"/>
    <w:rsid w:val="05870A98"/>
    <w:rsid w:val="059C6980"/>
    <w:rsid w:val="05C44B0D"/>
    <w:rsid w:val="05CE47B0"/>
    <w:rsid w:val="05DB7947"/>
    <w:rsid w:val="06051F1B"/>
    <w:rsid w:val="066309EF"/>
    <w:rsid w:val="069D376F"/>
    <w:rsid w:val="06E3569D"/>
    <w:rsid w:val="07234BA5"/>
    <w:rsid w:val="073B1952"/>
    <w:rsid w:val="077A406C"/>
    <w:rsid w:val="077F294B"/>
    <w:rsid w:val="079F4253"/>
    <w:rsid w:val="07AB0349"/>
    <w:rsid w:val="07B27674"/>
    <w:rsid w:val="082E687A"/>
    <w:rsid w:val="08591E62"/>
    <w:rsid w:val="086735A3"/>
    <w:rsid w:val="0875020F"/>
    <w:rsid w:val="08A263BA"/>
    <w:rsid w:val="08DA4F05"/>
    <w:rsid w:val="093C06ED"/>
    <w:rsid w:val="0940567D"/>
    <w:rsid w:val="09514CF8"/>
    <w:rsid w:val="0956336D"/>
    <w:rsid w:val="095E535A"/>
    <w:rsid w:val="0978425B"/>
    <w:rsid w:val="09946A8D"/>
    <w:rsid w:val="099773B3"/>
    <w:rsid w:val="09AF2ECF"/>
    <w:rsid w:val="09B313AB"/>
    <w:rsid w:val="0A0155BF"/>
    <w:rsid w:val="0A491C33"/>
    <w:rsid w:val="0AB63052"/>
    <w:rsid w:val="0ABB45B1"/>
    <w:rsid w:val="0AC16071"/>
    <w:rsid w:val="0BC9387D"/>
    <w:rsid w:val="0BEB6AE6"/>
    <w:rsid w:val="0C1134D6"/>
    <w:rsid w:val="0C833A7B"/>
    <w:rsid w:val="0C9548E1"/>
    <w:rsid w:val="0C9619D2"/>
    <w:rsid w:val="0CBC342D"/>
    <w:rsid w:val="0CBF0D7C"/>
    <w:rsid w:val="0D041C65"/>
    <w:rsid w:val="0D5E490C"/>
    <w:rsid w:val="0D7B1BFB"/>
    <w:rsid w:val="0D8B4D9C"/>
    <w:rsid w:val="0DB22432"/>
    <w:rsid w:val="0DFC4FC5"/>
    <w:rsid w:val="0E0C110E"/>
    <w:rsid w:val="0E151622"/>
    <w:rsid w:val="0E1C22D5"/>
    <w:rsid w:val="0E235674"/>
    <w:rsid w:val="0E2D0446"/>
    <w:rsid w:val="0E39079B"/>
    <w:rsid w:val="0E7D3513"/>
    <w:rsid w:val="0E824135"/>
    <w:rsid w:val="0E9152EF"/>
    <w:rsid w:val="0EA76037"/>
    <w:rsid w:val="0ED97725"/>
    <w:rsid w:val="0F0C207E"/>
    <w:rsid w:val="0F286B2C"/>
    <w:rsid w:val="0F296B92"/>
    <w:rsid w:val="0F2E76D7"/>
    <w:rsid w:val="0F434A36"/>
    <w:rsid w:val="0F4A6585"/>
    <w:rsid w:val="0F983C8C"/>
    <w:rsid w:val="0FA34FC7"/>
    <w:rsid w:val="0FA53177"/>
    <w:rsid w:val="0FDD2055"/>
    <w:rsid w:val="0FE807D8"/>
    <w:rsid w:val="10004C75"/>
    <w:rsid w:val="10032EBA"/>
    <w:rsid w:val="100B7ABF"/>
    <w:rsid w:val="10173ED8"/>
    <w:rsid w:val="101C3B08"/>
    <w:rsid w:val="10273A36"/>
    <w:rsid w:val="102B5951"/>
    <w:rsid w:val="102C2EFC"/>
    <w:rsid w:val="10392F53"/>
    <w:rsid w:val="1054055F"/>
    <w:rsid w:val="1096520B"/>
    <w:rsid w:val="109A648C"/>
    <w:rsid w:val="109D78C1"/>
    <w:rsid w:val="10DE393D"/>
    <w:rsid w:val="10E2715B"/>
    <w:rsid w:val="11296E2B"/>
    <w:rsid w:val="11333FAF"/>
    <w:rsid w:val="1161461F"/>
    <w:rsid w:val="11700B04"/>
    <w:rsid w:val="11A064B7"/>
    <w:rsid w:val="11AB719A"/>
    <w:rsid w:val="11DC5ADB"/>
    <w:rsid w:val="11F81C11"/>
    <w:rsid w:val="121D60AA"/>
    <w:rsid w:val="12237321"/>
    <w:rsid w:val="122A773F"/>
    <w:rsid w:val="12474A27"/>
    <w:rsid w:val="12486FC3"/>
    <w:rsid w:val="12535865"/>
    <w:rsid w:val="12662D1B"/>
    <w:rsid w:val="128B564B"/>
    <w:rsid w:val="12AE69EC"/>
    <w:rsid w:val="12FE2DDF"/>
    <w:rsid w:val="13017A4F"/>
    <w:rsid w:val="13565C40"/>
    <w:rsid w:val="135F28DC"/>
    <w:rsid w:val="136C7D7C"/>
    <w:rsid w:val="13932C2D"/>
    <w:rsid w:val="13B605AC"/>
    <w:rsid w:val="13E229EE"/>
    <w:rsid w:val="142E6A25"/>
    <w:rsid w:val="14394BE0"/>
    <w:rsid w:val="146D06CD"/>
    <w:rsid w:val="14926106"/>
    <w:rsid w:val="14C32865"/>
    <w:rsid w:val="14C83004"/>
    <w:rsid w:val="153C11E8"/>
    <w:rsid w:val="154C036F"/>
    <w:rsid w:val="154E33A5"/>
    <w:rsid w:val="15991182"/>
    <w:rsid w:val="15A2705A"/>
    <w:rsid w:val="15C80746"/>
    <w:rsid w:val="15F81F46"/>
    <w:rsid w:val="15F921EB"/>
    <w:rsid w:val="15FD1B81"/>
    <w:rsid w:val="15FE5106"/>
    <w:rsid w:val="160D7823"/>
    <w:rsid w:val="161065A9"/>
    <w:rsid w:val="16721F62"/>
    <w:rsid w:val="1682607A"/>
    <w:rsid w:val="16CC5006"/>
    <w:rsid w:val="16D93875"/>
    <w:rsid w:val="16DC22CD"/>
    <w:rsid w:val="17226960"/>
    <w:rsid w:val="174C7CA7"/>
    <w:rsid w:val="176C7B58"/>
    <w:rsid w:val="1772527C"/>
    <w:rsid w:val="17784C3B"/>
    <w:rsid w:val="17BF1330"/>
    <w:rsid w:val="17E92B34"/>
    <w:rsid w:val="1800620B"/>
    <w:rsid w:val="18194395"/>
    <w:rsid w:val="18364839"/>
    <w:rsid w:val="184B4881"/>
    <w:rsid w:val="186F53B3"/>
    <w:rsid w:val="188C297F"/>
    <w:rsid w:val="18907D48"/>
    <w:rsid w:val="18C36D1A"/>
    <w:rsid w:val="18EE4F25"/>
    <w:rsid w:val="190620D6"/>
    <w:rsid w:val="194846D7"/>
    <w:rsid w:val="1956148F"/>
    <w:rsid w:val="1998163E"/>
    <w:rsid w:val="19BC255F"/>
    <w:rsid w:val="1A1B7D79"/>
    <w:rsid w:val="1A7253F6"/>
    <w:rsid w:val="1A890EAD"/>
    <w:rsid w:val="1A8F6908"/>
    <w:rsid w:val="1AB57A17"/>
    <w:rsid w:val="1AD3318D"/>
    <w:rsid w:val="1AD440E2"/>
    <w:rsid w:val="1AF3397B"/>
    <w:rsid w:val="1B003164"/>
    <w:rsid w:val="1B283D33"/>
    <w:rsid w:val="1B31639F"/>
    <w:rsid w:val="1B5834C5"/>
    <w:rsid w:val="1B6415E6"/>
    <w:rsid w:val="1B742FC1"/>
    <w:rsid w:val="1BCB49AF"/>
    <w:rsid w:val="1BD23AA3"/>
    <w:rsid w:val="1BF32D02"/>
    <w:rsid w:val="1C2956BC"/>
    <w:rsid w:val="1C4A076F"/>
    <w:rsid w:val="1C4D52A3"/>
    <w:rsid w:val="1C535EC2"/>
    <w:rsid w:val="1C743E75"/>
    <w:rsid w:val="1C7B73F8"/>
    <w:rsid w:val="1CA345EC"/>
    <w:rsid w:val="1CDB2FEA"/>
    <w:rsid w:val="1CF4445F"/>
    <w:rsid w:val="1CFF18DB"/>
    <w:rsid w:val="1D2363BB"/>
    <w:rsid w:val="1D297DEF"/>
    <w:rsid w:val="1DBA7475"/>
    <w:rsid w:val="1DD107AD"/>
    <w:rsid w:val="1DEB181E"/>
    <w:rsid w:val="1E0A712D"/>
    <w:rsid w:val="1E0E0ED6"/>
    <w:rsid w:val="1E932A48"/>
    <w:rsid w:val="1F102012"/>
    <w:rsid w:val="1F173CAF"/>
    <w:rsid w:val="1F2A7C43"/>
    <w:rsid w:val="1F5E07B1"/>
    <w:rsid w:val="1F75149F"/>
    <w:rsid w:val="1F856D01"/>
    <w:rsid w:val="1F920C16"/>
    <w:rsid w:val="1F931487"/>
    <w:rsid w:val="1FB30DFF"/>
    <w:rsid w:val="1FC722A7"/>
    <w:rsid w:val="203066ED"/>
    <w:rsid w:val="208F14F2"/>
    <w:rsid w:val="20B3339F"/>
    <w:rsid w:val="20E31B4E"/>
    <w:rsid w:val="20F36A44"/>
    <w:rsid w:val="20F61F96"/>
    <w:rsid w:val="21537232"/>
    <w:rsid w:val="21902555"/>
    <w:rsid w:val="21A709A0"/>
    <w:rsid w:val="21D33A5B"/>
    <w:rsid w:val="21F32EEB"/>
    <w:rsid w:val="2275614A"/>
    <w:rsid w:val="228A5DDC"/>
    <w:rsid w:val="22AE5EC5"/>
    <w:rsid w:val="22E226E7"/>
    <w:rsid w:val="22FB3509"/>
    <w:rsid w:val="23090FCE"/>
    <w:rsid w:val="2349118D"/>
    <w:rsid w:val="2354432B"/>
    <w:rsid w:val="237D5B5F"/>
    <w:rsid w:val="23A045F7"/>
    <w:rsid w:val="23A82143"/>
    <w:rsid w:val="23AE3F93"/>
    <w:rsid w:val="23B30E6B"/>
    <w:rsid w:val="23C3039F"/>
    <w:rsid w:val="24096A38"/>
    <w:rsid w:val="24444924"/>
    <w:rsid w:val="24470A0E"/>
    <w:rsid w:val="246E1CB5"/>
    <w:rsid w:val="247E4F60"/>
    <w:rsid w:val="24A632BD"/>
    <w:rsid w:val="24F23717"/>
    <w:rsid w:val="24F35148"/>
    <w:rsid w:val="24FF2BC5"/>
    <w:rsid w:val="24FF3117"/>
    <w:rsid w:val="250D318E"/>
    <w:rsid w:val="253B152A"/>
    <w:rsid w:val="25454EE3"/>
    <w:rsid w:val="25573B64"/>
    <w:rsid w:val="256506CA"/>
    <w:rsid w:val="25C54D20"/>
    <w:rsid w:val="25D570E2"/>
    <w:rsid w:val="261B0FF7"/>
    <w:rsid w:val="261C6242"/>
    <w:rsid w:val="26256C3E"/>
    <w:rsid w:val="26B05860"/>
    <w:rsid w:val="26B54AE3"/>
    <w:rsid w:val="26C00E9C"/>
    <w:rsid w:val="26C03F07"/>
    <w:rsid w:val="26CA0C0E"/>
    <w:rsid w:val="26D6041C"/>
    <w:rsid w:val="26E06425"/>
    <w:rsid w:val="26FF4A76"/>
    <w:rsid w:val="273546BA"/>
    <w:rsid w:val="27543617"/>
    <w:rsid w:val="27836E42"/>
    <w:rsid w:val="279152FE"/>
    <w:rsid w:val="27917A78"/>
    <w:rsid w:val="27D44870"/>
    <w:rsid w:val="27DC5A43"/>
    <w:rsid w:val="27E64D5A"/>
    <w:rsid w:val="281D3CB4"/>
    <w:rsid w:val="282D6C21"/>
    <w:rsid w:val="285A0E76"/>
    <w:rsid w:val="287557FF"/>
    <w:rsid w:val="289A0DFF"/>
    <w:rsid w:val="29D65266"/>
    <w:rsid w:val="29D86B54"/>
    <w:rsid w:val="2A7619FA"/>
    <w:rsid w:val="2A8117F8"/>
    <w:rsid w:val="2AA43FAE"/>
    <w:rsid w:val="2AAF5640"/>
    <w:rsid w:val="2AC673B2"/>
    <w:rsid w:val="2B154ECC"/>
    <w:rsid w:val="2B2744FC"/>
    <w:rsid w:val="2B3719C5"/>
    <w:rsid w:val="2B5A1EDD"/>
    <w:rsid w:val="2B7864CC"/>
    <w:rsid w:val="2B9D6075"/>
    <w:rsid w:val="2BD51706"/>
    <w:rsid w:val="2C367D87"/>
    <w:rsid w:val="2C3B1AAD"/>
    <w:rsid w:val="2C5048AD"/>
    <w:rsid w:val="2C785D22"/>
    <w:rsid w:val="2CC826AB"/>
    <w:rsid w:val="2CE304B2"/>
    <w:rsid w:val="2CE71B24"/>
    <w:rsid w:val="2CFE7A28"/>
    <w:rsid w:val="2D383B92"/>
    <w:rsid w:val="2D447DDF"/>
    <w:rsid w:val="2DAE5A29"/>
    <w:rsid w:val="2DB47F9C"/>
    <w:rsid w:val="2DD43863"/>
    <w:rsid w:val="2DE42613"/>
    <w:rsid w:val="2DEF3BF9"/>
    <w:rsid w:val="2DF126AA"/>
    <w:rsid w:val="2E185D55"/>
    <w:rsid w:val="2E3C11E9"/>
    <w:rsid w:val="2E3C6B5B"/>
    <w:rsid w:val="2E705783"/>
    <w:rsid w:val="2EAC56D7"/>
    <w:rsid w:val="2EB45E35"/>
    <w:rsid w:val="2EC04BEF"/>
    <w:rsid w:val="2EF700AA"/>
    <w:rsid w:val="2F16689A"/>
    <w:rsid w:val="2F4E34E5"/>
    <w:rsid w:val="2F5C639F"/>
    <w:rsid w:val="2F7A1D56"/>
    <w:rsid w:val="2FB13E9F"/>
    <w:rsid w:val="2FDC1EE7"/>
    <w:rsid w:val="301E36C8"/>
    <w:rsid w:val="30391EB6"/>
    <w:rsid w:val="305A19A0"/>
    <w:rsid w:val="306B2ED1"/>
    <w:rsid w:val="308C3E88"/>
    <w:rsid w:val="30CE4078"/>
    <w:rsid w:val="30D66407"/>
    <w:rsid w:val="311D459C"/>
    <w:rsid w:val="312719A7"/>
    <w:rsid w:val="31275AE4"/>
    <w:rsid w:val="31532AB8"/>
    <w:rsid w:val="31541D0B"/>
    <w:rsid w:val="31551CE6"/>
    <w:rsid w:val="315542C4"/>
    <w:rsid w:val="316A5FAD"/>
    <w:rsid w:val="31A36FCE"/>
    <w:rsid w:val="31B34496"/>
    <w:rsid w:val="31F657F0"/>
    <w:rsid w:val="3256623B"/>
    <w:rsid w:val="32865D8D"/>
    <w:rsid w:val="32907D26"/>
    <w:rsid w:val="329B079F"/>
    <w:rsid w:val="32A62AC6"/>
    <w:rsid w:val="32EE6D35"/>
    <w:rsid w:val="330B6E7B"/>
    <w:rsid w:val="331B4A7A"/>
    <w:rsid w:val="33207199"/>
    <w:rsid w:val="339A7945"/>
    <w:rsid w:val="33D67ED3"/>
    <w:rsid w:val="340D6897"/>
    <w:rsid w:val="34345F3D"/>
    <w:rsid w:val="345954D5"/>
    <w:rsid w:val="345A59E7"/>
    <w:rsid w:val="34600977"/>
    <w:rsid w:val="3474776F"/>
    <w:rsid w:val="3485065B"/>
    <w:rsid w:val="349C3D02"/>
    <w:rsid w:val="34AD710D"/>
    <w:rsid w:val="351E6AE1"/>
    <w:rsid w:val="352670A5"/>
    <w:rsid w:val="35383BF3"/>
    <w:rsid w:val="355D61A8"/>
    <w:rsid w:val="35702107"/>
    <w:rsid w:val="35852DEA"/>
    <w:rsid w:val="35941368"/>
    <w:rsid w:val="359D48C8"/>
    <w:rsid w:val="35A91AD4"/>
    <w:rsid w:val="35DA7017"/>
    <w:rsid w:val="360276E0"/>
    <w:rsid w:val="36257D97"/>
    <w:rsid w:val="364D54D3"/>
    <w:rsid w:val="36534B6D"/>
    <w:rsid w:val="368C1385"/>
    <w:rsid w:val="368D3A4E"/>
    <w:rsid w:val="36C81D3D"/>
    <w:rsid w:val="36DB07EC"/>
    <w:rsid w:val="36F31F7C"/>
    <w:rsid w:val="375A7253"/>
    <w:rsid w:val="378A0968"/>
    <w:rsid w:val="37966A5F"/>
    <w:rsid w:val="37A241CA"/>
    <w:rsid w:val="37BB6938"/>
    <w:rsid w:val="37D010F4"/>
    <w:rsid w:val="37EA0E09"/>
    <w:rsid w:val="37F3783D"/>
    <w:rsid w:val="38077046"/>
    <w:rsid w:val="38185734"/>
    <w:rsid w:val="3822362D"/>
    <w:rsid w:val="38532C76"/>
    <w:rsid w:val="38574B2D"/>
    <w:rsid w:val="38945742"/>
    <w:rsid w:val="389F67BD"/>
    <w:rsid w:val="38BA6FE0"/>
    <w:rsid w:val="39050154"/>
    <w:rsid w:val="392730C8"/>
    <w:rsid w:val="39441939"/>
    <w:rsid w:val="399C6219"/>
    <w:rsid w:val="39C53C99"/>
    <w:rsid w:val="3A30318F"/>
    <w:rsid w:val="3A4F2F7F"/>
    <w:rsid w:val="3A5319EE"/>
    <w:rsid w:val="3A6409A2"/>
    <w:rsid w:val="3A983391"/>
    <w:rsid w:val="3AC70086"/>
    <w:rsid w:val="3AF43805"/>
    <w:rsid w:val="3AF60263"/>
    <w:rsid w:val="3B317175"/>
    <w:rsid w:val="3B526AB2"/>
    <w:rsid w:val="3B5B7B12"/>
    <w:rsid w:val="3B8F2A89"/>
    <w:rsid w:val="3BA56DCC"/>
    <w:rsid w:val="3BB07762"/>
    <w:rsid w:val="3BBA1FAC"/>
    <w:rsid w:val="3BC91196"/>
    <w:rsid w:val="3BD74A70"/>
    <w:rsid w:val="3C9372E8"/>
    <w:rsid w:val="3CAC28DD"/>
    <w:rsid w:val="3CCC1D36"/>
    <w:rsid w:val="3CD0342E"/>
    <w:rsid w:val="3CEE2758"/>
    <w:rsid w:val="3D2739F3"/>
    <w:rsid w:val="3D373BE2"/>
    <w:rsid w:val="3D3E28FC"/>
    <w:rsid w:val="3D477BD3"/>
    <w:rsid w:val="3D6B3050"/>
    <w:rsid w:val="3D757D06"/>
    <w:rsid w:val="3D762D48"/>
    <w:rsid w:val="3D810C12"/>
    <w:rsid w:val="3D975792"/>
    <w:rsid w:val="3D9C6551"/>
    <w:rsid w:val="3DA144ED"/>
    <w:rsid w:val="3E197702"/>
    <w:rsid w:val="3E533833"/>
    <w:rsid w:val="3E6532F9"/>
    <w:rsid w:val="3EA41C70"/>
    <w:rsid w:val="3F157C2E"/>
    <w:rsid w:val="3F3844B4"/>
    <w:rsid w:val="3F5E37B0"/>
    <w:rsid w:val="3FAC536B"/>
    <w:rsid w:val="3FCD028A"/>
    <w:rsid w:val="403C75AB"/>
    <w:rsid w:val="406C334C"/>
    <w:rsid w:val="407B4548"/>
    <w:rsid w:val="40897037"/>
    <w:rsid w:val="40B67E93"/>
    <w:rsid w:val="40CC4BED"/>
    <w:rsid w:val="40CF412F"/>
    <w:rsid w:val="40E0211C"/>
    <w:rsid w:val="40EF61C3"/>
    <w:rsid w:val="40F37205"/>
    <w:rsid w:val="41176478"/>
    <w:rsid w:val="418F0C86"/>
    <w:rsid w:val="419E209B"/>
    <w:rsid w:val="41E53802"/>
    <w:rsid w:val="41F83138"/>
    <w:rsid w:val="41FD621E"/>
    <w:rsid w:val="420B3686"/>
    <w:rsid w:val="422735C1"/>
    <w:rsid w:val="422E5841"/>
    <w:rsid w:val="427421E2"/>
    <w:rsid w:val="429D65DC"/>
    <w:rsid w:val="42A02B71"/>
    <w:rsid w:val="42B21C15"/>
    <w:rsid w:val="435900A4"/>
    <w:rsid w:val="43BC3E38"/>
    <w:rsid w:val="43DE6F6B"/>
    <w:rsid w:val="440C6831"/>
    <w:rsid w:val="44265329"/>
    <w:rsid w:val="44CC5344"/>
    <w:rsid w:val="44CE0A0A"/>
    <w:rsid w:val="44E11578"/>
    <w:rsid w:val="44E65051"/>
    <w:rsid w:val="453345D3"/>
    <w:rsid w:val="4540462A"/>
    <w:rsid w:val="45511325"/>
    <w:rsid w:val="455133A8"/>
    <w:rsid w:val="457145F2"/>
    <w:rsid w:val="457679DB"/>
    <w:rsid w:val="45A72515"/>
    <w:rsid w:val="45C6323D"/>
    <w:rsid w:val="45E4152A"/>
    <w:rsid w:val="45F325D3"/>
    <w:rsid w:val="460B2F0B"/>
    <w:rsid w:val="46821022"/>
    <w:rsid w:val="46A94DC8"/>
    <w:rsid w:val="46B121C1"/>
    <w:rsid w:val="46B85451"/>
    <w:rsid w:val="46EC42A5"/>
    <w:rsid w:val="46ED68C2"/>
    <w:rsid w:val="47444D17"/>
    <w:rsid w:val="47456B0F"/>
    <w:rsid w:val="47747989"/>
    <w:rsid w:val="478325F5"/>
    <w:rsid w:val="47F17523"/>
    <w:rsid w:val="481029EC"/>
    <w:rsid w:val="482073E3"/>
    <w:rsid w:val="483E2EF3"/>
    <w:rsid w:val="48B7438A"/>
    <w:rsid w:val="490E5D1F"/>
    <w:rsid w:val="498660D9"/>
    <w:rsid w:val="49DA6C60"/>
    <w:rsid w:val="49EE0ABB"/>
    <w:rsid w:val="4A0A1FED"/>
    <w:rsid w:val="4A103C3F"/>
    <w:rsid w:val="4A154DE1"/>
    <w:rsid w:val="4A25435A"/>
    <w:rsid w:val="4A877806"/>
    <w:rsid w:val="4A9D4107"/>
    <w:rsid w:val="4ABF2138"/>
    <w:rsid w:val="4ADA5EA8"/>
    <w:rsid w:val="4AF8797D"/>
    <w:rsid w:val="4B7F46E4"/>
    <w:rsid w:val="4B8D7F63"/>
    <w:rsid w:val="4BB60D1A"/>
    <w:rsid w:val="4BD81187"/>
    <w:rsid w:val="4C264E5F"/>
    <w:rsid w:val="4C53088C"/>
    <w:rsid w:val="4C811DF7"/>
    <w:rsid w:val="4C88649E"/>
    <w:rsid w:val="4CB312C5"/>
    <w:rsid w:val="4CB816DA"/>
    <w:rsid w:val="4D0260C8"/>
    <w:rsid w:val="4D161FBC"/>
    <w:rsid w:val="4D37788B"/>
    <w:rsid w:val="4D457ABD"/>
    <w:rsid w:val="4D571317"/>
    <w:rsid w:val="4D674BBE"/>
    <w:rsid w:val="4D796072"/>
    <w:rsid w:val="4D913070"/>
    <w:rsid w:val="4DAE0348"/>
    <w:rsid w:val="4DBA6E6B"/>
    <w:rsid w:val="4DC228BC"/>
    <w:rsid w:val="4DCA5241"/>
    <w:rsid w:val="4DFA1393"/>
    <w:rsid w:val="4E230251"/>
    <w:rsid w:val="4E291901"/>
    <w:rsid w:val="4E781A78"/>
    <w:rsid w:val="4EA90501"/>
    <w:rsid w:val="4EBC3191"/>
    <w:rsid w:val="4ED410F2"/>
    <w:rsid w:val="4EDA532C"/>
    <w:rsid w:val="4EE97EEF"/>
    <w:rsid w:val="4EFF6C04"/>
    <w:rsid w:val="4F2D2B70"/>
    <w:rsid w:val="4F332260"/>
    <w:rsid w:val="4F5E3F0E"/>
    <w:rsid w:val="4F64236A"/>
    <w:rsid w:val="4F8B3771"/>
    <w:rsid w:val="4F930E91"/>
    <w:rsid w:val="4F9F62D3"/>
    <w:rsid w:val="4FAB4A87"/>
    <w:rsid w:val="4FB13C57"/>
    <w:rsid w:val="4FCD5026"/>
    <w:rsid w:val="4FD04A09"/>
    <w:rsid w:val="4FED7EE7"/>
    <w:rsid w:val="502E62AD"/>
    <w:rsid w:val="503C7A10"/>
    <w:rsid w:val="504E277A"/>
    <w:rsid w:val="506313D6"/>
    <w:rsid w:val="50807D53"/>
    <w:rsid w:val="50C86602"/>
    <w:rsid w:val="50EE7054"/>
    <w:rsid w:val="50F30C4F"/>
    <w:rsid w:val="51A73BCC"/>
    <w:rsid w:val="51B40E67"/>
    <w:rsid w:val="51B80E8D"/>
    <w:rsid w:val="51BB0FE7"/>
    <w:rsid w:val="51E052F1"/>
    <w:rsid w:val="51E23F34"/>
    <w:rsid w:val="51E25F2F"/>
    <w:rsid w:val="51ED2912"/>
    <w:rsid w:val="5266120E"/>
    <w:rsid w:val="526E5067"/>
    <w:rsid w:val="52722405"/>
    <w:rsid w:val="527E4244"/>
    <w:rsid w:val="529D2D2B"/>
    <w:rsid w:val="52E16E49"/>
    <w:rsid w:val="5311185E"/>
    <w:rsid w:val="53242A7B"/>
    <w:rsid w:val="534760CA"/>
    <w:rsid w:val="535742D7"/>
    <w:rsid w:val="536C4891"/>
    <w:rsid w:val="53811E76"/>
    <w:rsid w:val="53AF4DC2"/>
    <w:rsid w:val="53B01532"/>
    <w:rsid w:val="53FB1CDE"/>
    <w:rsid w:val="544A6CFB"/>
    <w:rsid w:val="54785386"/>
    <w:rsid w:val="549E5C4F"/>
    <w:rsid w:val="54C06F45"/>
    <w:rsid w:val="54E954EE"/>
    <w:rsid w:val="54ED37F6"/>
    <w:rsid w:val="550516DB"/>
    <w:rsid w:val="55375EBB"/>
    <w:rsid w:val="554344D5"/>
    <w:rsid w:val="557A392D"/>
    <w:rsid w:val="557C1B50"/>
    <w:rsid w:val="558D3996"/>
    <w:rsid w:val="55AE6909"/>
    <w:rsid w:val="55B36894"/>
    <w:rsid w:val="55C063AE"/>
    <w:rsid w:val="55CA0B8E"/>
    <w:rsid w:val="55DC34CC"/>
    <w:rsid w:val="55FD3626"/>
    <w:rsid w:val="560B59D8"/>
    <w:rsid w:val="56366F24"/>
    <w:rsid w:val="563C182D"/>
    <w:rsid w:val="56587B48"/>
    <w:rsid w:val="566D69D7"/>
    <w:rsid w:val="56727BF7"/>
    <w:rsid w:val="568769BE"/>
    <w:rsid w:val="56AA7CAA"/>
    <w:rsid w:val="57326D82"/>
    <w:rsid w:val="574D5118"/>
    <w:rsid w:val="574F2772"/>
    <w:rsid w:val="576071DD"/>
    <w:rsid w:val="577D3C6D"/>
    <w:rsid w:val="57965080"/>
    <w:rsid w:val="57B86CD8"/>
    <w:rsid w:val="58124FD0"/>
    <w:rsid w:val="583B72DD"/>
    <w:rsid w:val="585E0F67"/>
    <w:rsid w:val="586B2B31"/>
    <w:rsid w:val="58877908"/>
    <w:rsid w:val="589F26EF"/>
    <w:rsid w:val="58C22757"/>
    <w:rsid w:val="58D8399B"/>
    <w:rsid w:val="590301CF"/>
    <w:rsid w:val="59337635"/>
    <w:rsid w:val="59516264"/>
    <w:rsid w:val="59555E2C"/>
    <w:rsid w:val="59C77E08"/>
    <w:rsid w:val="59FF71D6"/>
    <w:rsid w:val="5A014964"/>
    <w:rsid w:val="5A325C4A"/>
    <w:rsid w:val="5A3D7959"/>
    <w:rsid w:val="5A814E23"/>
    <w:rsid w:val="5A98371F"/>
    <w:rsid w:val="5ACA262D"/>
    <w:rsid w:val="5ACE42A2"/>
    <w:rsid w:val="5AD044E5"/>
    <w:rsid w:val="5AE9532B"/>
    <w:rsid w:val="5B592228"/>
    <w:rsid w:val="5B6B0100"/>
    <w:rsid w:val="5BB00DF9"/>
    <w:rsid w:val="5BC10B6F"/>
    <w:rsid w:val="5BD25FF1"/>
    <w:rsid w:val="5BD4656A"/>
    <w:rsid w:val="5BE33DFD"/>
    <w:rsid w:val="5BEC1DC4"/>
    <w:rsid w:val="5C566DF3"/>
    <w:rsid w:val="5C6649B0"/>
    <w:rsid w:val="5C8F0B99"/>
    <w:rsid w:val="5CB35B29"/>
    <w:rsid w:val="5CC47D03"/>
    <w:rsid w:val="5D1F7DEB"/>
    <w:rsid w:val="5D2B5BDA"/>
    <w:rsid w:val="5D327B8B"/>
    <w:rsid w:val="5D6B2FD0"/>
    <w:rsid w:val="5D730A66"/>
    <w:rsid w:val="5D855240"/>
    <w:rsid w:val="5D8E3E93"/>
    <w:rsid w:val="5D903082"/>
    <w:rsid w:val="5DCF3A95"/>
    <w:rsid w:val="5E08012D"/>
    <w:rsid w:val="5E342AEE"/>
    <w:rsid w:val="5E3A6680"/>
    <w:rsid w:val="5E5259CF"/>
    <w:rsid w:val="5ECF2F90"/>
    <w:rsid w:val="5EE46585"/>
    <w:rsid w:val="5F037B28"/>
    <w:rsid w:val="5F040A28"/>
    <w:rsid w:val="5F177C97"/>
    <w:rsid w:val="5F4F6CCB"/>
    <w:rsid w:val="5F564C1C"/>
    <w:rsid w:val="5F686052"/>
    <w:rsid w:val="5F710701"/>
    <w:rsid w:val="5F7D5ED3"/>
    <w:rsid w:val="5F891266"/>
    <w:rsid w:val="5F9A0748"/>
    <w:rsid w:val="5FC14BED"/>
    <w:rsid w:val="5FCE643B"/>
    <w:rsid w:val="5FE315A4"/>
    <w:rsid w:val="5FEF1436"/>
    <w:rsid w:val="6007470F"/>
    <w:rsid w:val="60161B19"/>
    <w:rsid w:val="603946C5"/>
    <w:rsid w:val="603A0614"/>
    <w:rsid w:val="60672B38"/>
    <w:rsid w:val="606751C1"/>
    <w:rsid w:val="60891F24"/>
    <w:rsid w:val="614162E6"/>
    <w:rsid w:val="614A72E1"/>
    <w:rsid w:val="61CC1E8F"/>
    <w:rsid w:val="620C5928"/>
    <w:rsid w:val="62102B24"/>
    <w:rsid w:val="624A43A7"/>
    <w:rsid w:val="62510C3C"/>
    <w:rsid w:val="628C1A7E"/>
    <w:rsid w:val="62BB3E1A"/>
    <w:rsid w:val="630059E7"/>
    <w:rsid w:val="6322622C"/>
    <w:rsid w:val="63CB214D"/>
    <w:rsid w:val="63F9237F"/>
    <w:rsid w:val="64065A97"/>
    <w:rsid w:val="641010F2"/>
    <w:rsid w:val="645B3848"/>
    <w:rsid w:val="646314B8"/>
    <w:rsid w:val="646E355C"/>
    <w:rsid w:val="64BA4710"/>
    <w:rsid w:val="64C84DC0"/>
    <w:rsid w:val="64EA1D4D"/>
    <w:rsid w:val="6509720F"/>
    <w:rsid w:val="654D0B6C"/>
    <w:rsid w:val="65AF4EEC"/>
    <w:rsid w:val="65D578D6"/>
    <w:rsid w:val="65D6184F"/>
    <w:rsid w:val="65ED17E8"/>
    <w:rsid w:val="65FE5FFE"/>
    <w:rsid w:val="66201B25"/>
    <w:rsid w:val="662C08FB"/>
    <w:rsid w:val="662E7D7B"/>
    <w:rsid w:val="66400750"/>
    <w:rsid w:val="664426D7"/>
    <w:rsid w:val="6650375B"/>
    <w:rsid w:val="665A4D80"/>
    <w:rsid w:val="665A54E5"/>
    <w:rsid w:val="66782FCF"/>
    <w:rsid w:val="66AE420C"/>
    <w:rsid w:val="66E1342E"/>
    <w:rsid w:val="66EB0EEC"/>
    <w:rsid w:val="67044D0D"/>
    <w:rsid w:val="671539F5"/>
    <w:rsid w:val="674D0605"/>
    <w:rsid w:val="676266AA"/>
    <w:rsid w:val="67976683"/>
    <w:rsid w:val="67E27A92"/>
    <w:rsid w:val="67F91C51"/>
    <w:rsid w:val="6818510D"/>
    <w:rsid w:val="681F7C78"/>
    <w:rsid w:val="68BE6C27"/>
    <w:rsid w:val="68E00E33"/>
    <w:rsid w:val="68F05F69"/>
    <w:rsid w:val="691A13DD"/>
    <w:rsid w:val="691C4DF9"/>
    <w:rsid w:val="69324361"/>
    <w:rsid w:val="6963450C"/>
    <w:rsid w:val="696B7548"/>
    <w:rsid w:val="698A6B32"/>
    <w:rsid w:val="69B9787D"/>
    <w:rsid w:val="69FC7CF2"/>
    <w:rsid w:val="6A1333BD"/>
    <w:rsid w:val="6A377844"/>
    <w:rsid w:val="6A5B18C6"/>
    <w:rsid w:val="6A5D0B7C"/>
    <w:rsid w:val="6A5E6D49"/>
    <w:rsid w:val="6A6432E1"/>
    <w:rsid w:val="6A7606C1"/>
    <w:rsid w:val="6AD06952"/>
    <w:rsid w:val="6AF721E0"/>
    <w:rsid w:val="6B15625C"/>
    <w:rsid w:val="6B7808F7"/>
    <w:rsid w:val="6B7E1FE2"/>
    <w:rsid w:val="6B8D1DDB"/>
    <w:rsid w:val="6BC0280E"/>
    <w:rsid w:val="6BF92C61"/>
    <w:rsid w:val="6C001424"/>
    <w:rsid w:val="6C0B263C"/>
    <w:rsid w:val="6C2A6D00"/>
    <w:rsid w:val="6C311C68"/>
    <w:rsid w:val="6C4942B3"/>
    <w:rsid w:val="6C563E16"/>
    <w:rsid w:val="6C8344EA"/>
    <w:rsid w:val="6C922A8F"/>
    <w:rsid w:val="6CA6192A"/>
    <w:rsid w:val="6CD70E56"/>
    <w:rsid w:val="6D1B5135"/>
    <w:rsid w:val="6D511FF0"/>
    <w:rsid w:val="6D93141D"/>
    <w:rsid w:val="6DD3123F"/>
    <w:rsid w:val="6DE41045"/>
    <w:rsid w:val="6DF24E07"/>
    <w:rsid w:val="6DFA6780"/>
    <w:rsid w:val="6E213562"/>
    <w:rsid w:val="6E302A68"/>
    <w:rsid w:val="6E503895"/>
    <w:rsid w:val="6E7A681A"/>
    <w:rsid w:val="6E853591"/>
    <w:rsid w:val="6EA72F42"/>
    <w:rsid w:val="6EC509D4"/>
    <w:rsid w:val="6ED204CE"/>
    <w:rsid w:val="6EDC633E"/>
    <w:rsid w:val="6F15104E"/>
    <w:rsid w:val="6F194F99"/>
    <w:rsid w:val="6F4D4EC9"/>
    <w:rsid w:val="6F6E77EC"/>
    <w:rsid w:val="6F8209F2"/>
    <w:rsid w:val="6F8C4AD4"/>
    <w:rsid w:val="6F983325"/>
    <w:rsid w:val="70623A1E"/>
    <w:rsid w:val="70803340"/>
    <w:rsid w:val="708365FD"/>
    <w:rsid w:val="70A23D12"/>
    <w:rsid w:val="70B27B0A"/>
    <w:rsid w:val="70C73752"/>
    <w:rsid w:val="70E604B2"/>
    <w:rsid w:val="710F2A58"/>
    <w:rsid w:val="7110760B"/>
    <w:rsid w:val="712734E7"/>
    <w:rsid w:val="71281D5C"/>
    <w:rsid w:val="71555B23"/>
    <w:rsid w:val="71594F65"/>
    <w:rsid w:val="71980570"/>
    <w:rsid w:val="71F42F8B"/>
    <w:rsid w:val="723722A4"/>
    <w:rsid w:val="725C7094"/>
    <w:rsid w:val="72693E73"/>
    <w:rsid w:val="72EB5C90"/>
    <w:rsid w:val="73716EBD"/>
    <w:rsid w:val="73901DDF"/>
    <w:rsid w:val="73974A57"/>
    <w:rsid w:val="739F19EB"/>
    <w:rsid w:val="73A03882"/>
    <w:rsid w:val="73CF7EDA"/>
    <w:rsid w:val="73DB1277"/>
    <w:rsid w:val="73E3173F"/>
    <w:rsid w:val="74346E1B"/>
    <w:rsid w:val="74403DCE"/>
    <w:rsid w:val="74450604"/>
    <w:rsid w:val="74B44F58"/>
    <w:rsid w:val="74B60738"/>
    <w:rsid w:val="74FD447B"/>
    <w:rsid w:val="750D3CBF"/>
    <w:rsid w:val="75273C18"/>
    <w:rsid w:val="75330BA2"/>
    <w:rsid w:val="75520687"/>
    <w:rsid w:val="7557749D"/>
    <w:rsid w:val="75651E2C"/>
    <w:rsid w:val="75824D13"/>
    <w:rsid w:val="75D54725"/>
    <w:rsid w:val="75FA1798"/>
    <w:rsid w:val="76023CCD"/>
    <w:rsid w:val="7612461C"/>
    <w:rsid w:val="76511261"/>
    <w:rsid w:val="76570F33"/>
    <w:rsid w:val="76695453"/>
    <w:rsid w:val="767469CE"/>
    <w:rsid w:val="76885C51"/>
    <w:rsid w:val="76AF2046"/>
    <w:rsid w:val="76B2323E"/>
    <w:rsid w:val="76E231C4"/>
    <w:rsid w:val="76E55E59"/>
    <w:rsid w:val="773F61AF"/>
    <w:rsid w:val="774A6C0B"/>
    <w:rsid w:val="77981B11"/>
    <w:rsid w:val="77AF4CAE"/>
    <w:rsid w:val="77C4019E"/>
    <w:rsid w:val="77FC005B"/>
    <w:rsid w:val="78DF29E4"/>
    <w:rsid w:val="790D3C07"/>
    <w:rsid w:val="792D2D46"/>
    <w:rsid w:val="79356959"/>
    <w:rsid w:val="794146FC"/>
    <w:rsid w:val="79587C28"/>
    <w:rsid w:val="799C63F0"/>
    <w:rsid w:val="79C74C1D"/>
    <w:rsid w:val="79E47F9A"/>
    <w:rsid w:val="79F03B94"/>
    <w:rsid w:val="7A280341"/>
    <w:rsid w:val="7A284E26"/>
    <w:rsid w:val="7A4D1F1F"/>
    <w:rsid w:val="7A550887"/>
    <w:rsid w:val="7A653748"/>
    <w:rsid w:val="7A722587"/>
    <w:rsid w:val="7A745408"/>
    <w:rsid w:val="7A8460EF"/>
    <w:rsid w:val="7A8724F8"/>
    <w:rsid w:val="7B1F78EE"/>
    <w:rsid w:val="7B246B08"/>
    <w:rsid w:val="7B326E4C"/>
    <w:rsid w:val="7B426B8A"/>
    <w:rsid w:val="7B451339"/>
    <w:rsid w:val="7B826934"/>
    <w:rsid w:val="7BA10D1E"/>
    <w:rsid w:val="7BCC7F22"/>
    <w:rsid w:val="7C3C0AB4"/>
    <w:rsid w:val="7C65203E"/>
    <w:rsid w:val="7C917FB6"/>
    <w:rsid w:val="7CC1242F"/>
    <w:rsid w:val="7CC93BEF"/>
    <w:rsid w:val="7CEB58C8"/>
    <w:rsid w:val="7CFC1BAF"/>
    <w:rsid w:val="7D0272EE"/>
    <w:rsid w:val="7D0933BA"/>
    <w:rsid w:val="7D6010BC"/>
    <w:rsid w:val="7DA26860"/>
    <w:rsid w:val="7DBC1862"/>
    <w:rsid w:val="7DE61109"/>
    <w:rsid w:val="7DF03B9B"/>
    <w:rsid w:val="7E7017F0"/>
    <w:rsid w:val="7E813C13"/>
    <w:rsid w:val="7EB8069E"/>
    <w:rsid w:val="7EDF4B75"/>
    <w:rsid w:val="7EF2143C"/>
    <w:rsid w:val="7F624B08"/>
    <w:rsid w:val="7F6B7218"/>
    <w:rsid w:val="7F876BF0"/>
    <w:rsid w:val="7F8B42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等线"/>
      <w:kern w:val="2"/>
      <w:sz w:val="28"/>
      <w:szCs w:val="22"/>
      <w:lang w:val="en-US" w:eastAsia="zh-CN" w:bidi="ar-SA"/>
    </w:rPr>
  </w:style>
  <w:style w:type="paragraph" w:styleId="3">
    <w:name w:val="heading 1"/>
    <w:basedOn w:val="1"/>
    <w:next w:val="1"/>
    <w:link w:val="27"/>
    <w:qFormat/>
    <w:uiPriority w:val="9"/>
    <w:pPr>
      <w:keepNext/>
      <w:keepLines/>
      <w:numPr>
        <w:ilvl w:val="0"/>
        <w:numId w:val="1"/>
      </w:numPr>
      <w:spacing w:before="200" w:after="200"/>
      <w:ind w:firstLine="0" w:firstLineChars="0"/>
      <w:jc w:val="left"/>
      <w:outlineLvl w:val="0"/>
    </w:pPr>
    <w:rPr>
      <w:rFonts w:ascii="Calibri" w:hAnsi="Calibri" w:eastAsia="黑体" w:cs="Times New Roman"/>
      <w:b/>
      <w:kern w:val="44"/>
      <w:sz w:val="32"/>
      <w:szCs w:val="44"/>
    </w:rPr>
  </w:style>
  <w:style w:type="paragraph" w:styleId="4">
    <w:name w:val="heading 2"/>
    <w:basedOn w:val="1"/>
    <w:next w:val="1"/>
    <w:link w:val="29"/>
    <w:unhideWhenUsed/>
    <w:qFormat/>
    <w:uiPriority w:val="9"/>
    <w:pPr>
      <w:keepNext/>
      <w:keepLines/>
      <w:numPr>
        <w:ilvl w:val="0"/>
        <w:numId w:val="2"/>
      </w:numPr>
      <w:spacing w:before="100" w:after="100"/>
      <w:ind w:firstLine="964"/>
      <w:jc w:val="left"/>
      <w:outlineLvl w:val="1"/>
    </w:pPr>
    <w:rPr>
      <w:rFonts w:hint="eastAsia" w:ascii="楷体" w:hAnsi="楷体" w:eastAsia="楷体" w:cs="Times New Roman"/>
      <w:b/>
      <w:sz w:val="32"/>
      <w:szCs w:val="32"/>
    </w:rPr>
  </w:style>
  <w:style w:type="paragraph" w:styleId="5">
    <w:name w:val="heading 3"/>
    <w:basedOn w:val="1"/>
    <w:next w:val="1"/>
    <w:link w:val="30"/>
    <w:unhideWhenUsed/>
    <w:qFormat/>
    <w:uiPriority w:val="9"/>
    <w:pPr>
      <w:keepNext/>
      <w:keepLines/>
      <w:outlineLvl w:val="2"/>
    </w:pPr>
    <w:rPr>
      <w:rFonts w:hint="eastAsia" w:cs="Times New Roman"/>
      <w:b/>
      <w:szCs w:val="32"/>
    </w:rPr>
  </w:style>
  <w:style w:type="paragraph" w:styleId="6">
    <w:name w:val="heading 4"/>
    <w:basedOn w:val="1"/>
    <w:next w:val="1"/>
    <w:qFormat/>
    <w:uiPriority w:val="0"/>
    <w:pPr>
      <w:keepNext/>
      <w:keepLines/>
      <w:outlineLvl w:val="3"/>
    </w:pPr>
    <w:rPr>
      <w:rFonts w:ascii="Arial" w:hAnsi="Arial" w:cs="Times New Roman"/>
      <w:b/>
    </w:rPr>
  </w:style>
  <w:style w:type="paragraph" w:styleId="7">
    <w:name w:val="heading 5"/>
    <w:basedOn w:val="1"/>
    <w:next w:val="1"/>
    <w:qFormat/>
    <w:uiPriority w:val="0"/>
    <w:pPr>
      <w:keepNext/>
      <w:keepLines/>
      <w:outlineLvl w:val="4"/>
    </w:pPr>
    <w:rPr>
      <w:rFonts w:cs="Times New Roman"/>
      <w:b/>
    </w:rPr>
  </w:style>
  <w:style w:type="paragraph" w:styleId="2">
    <w:name w:val="heading 6"/>
    <w:basedOn w:val="1"/>
    <w:next w:val="1"/>
    <w:link w:val="26"/>
    <w:qFormat/>
    <w:uiPriority w:val="9"/>
    <w:pPr>
      <w:keepNext/>
      <w:keepLines/>
      <w:spacing w:before="240" w:after="64" w:line="320" w:lineRule="auto"/>
      <w:outlineLvl w:val="5"/>
    </w:pPr>
    <w:rPr>
      <w:rFonts w:ascii="等线 Light" w:hAnsi="等线 Light" w:eastAsia="等线 Light" w:cs="Times New Roman"/>
      <w:b/>
      <w:bCs/>
      <w:sz w:val="24"/>
      <w:szCs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0"/>
    <w:rPr>
      <w:rFonts w:ascii="Arial" w:hAnsi="Arial" w:eastAsia="黑体" w:cs="Arial"/>
      <w:sz w:val="20"/>
      <w:szCs w:val="20"/>
    </w:rPr>
  </w:style>
  <w:style w:type="paragraph" w:styleId="9">
    <w:name w:val="annotation text"/>
    <w:basedOn w:val="1"/>
    <w:link w:val="33"/>
    <w:semiHidden/>
    <w:unhideWhenUsed/>
    <w:qFormat/>
    <w:uiPriority w:val="99"/>
    <w:pPr>
      <w:jc w:val="left"/>
    </w:pPr>
  </w:style>
  <w:style w:type="paragraph" w:styleId="10">
    <w:name w:val="Body Text"/>
    <w:basedOn w:val="1"/>
    <w:link w:val="36"/>
    <w:semiHidden/>
    <w:unhideWhenUsed/>
    <w:qFormat/>
    <w:uiPriority w:val="99"/>
    <w:pPr>
      <w:spacing w:after="120"/>
    </w:pPr>
    <w:rPr>
      <w:rFonts w:cs="Times New Roman"/>
    </w:rPr>
  </w:style>
  <w:style w:type="paragraph" w:styleId="11">
    <w:name w:val="Balloon Text"/>
    <w:basedOn w:val="1"/>
    <w:link w:val="25"/>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ind w:firstLine="0" w:firstLineChars="0"/>
    </w:pPr>
    <w:rPr>
      <w:rFonts w:hint="eastAsia" w:hAnsi="宋体" w:cs="Times New Roman"/>
      <w:b/>
      <w:bCs/>
    </w:rPr>
  </w:style>
  <w:style w:type="paragraph" w:styleId="15">
    <w:name w:val="toc 2"/>
    <w:basedOn w:val="1"/>
    <w:next w:val="1"/>
    <w:unhideWhenUsed/>
    <w:qFormat/>
    <w:uiPriority w:val="39"/>
  </w:style>
  <w:style w:type="paragraph" w:styleId="16">
    <w:name w:val="Normal (Web)"/>
    <w:basedOn w:val="1"/>
    <w:unhideWhenUsed/>
    <w:qFormat/>
    <w:uiPriority w:val="99"/>
    <w:pPr>
      <w:spacing w:before="100" w:beforeAutospacing="1" w:after="100" w:afterAutospacing="1"/>
      <w:jc w:val="left"/>
    </w:pPr>
    <w:rPr>
      <w:rFonts w:ascii="Calibri" w:hAnsi="Calibri" w:cs="Times New Roman"/>
      <w:kern w:val="0"/>
      <w:sz w:val="24"/>
      <w:szCs w:val="24"/>
    </w:rPr>
  </w:style>
  <w:style w:type="paragraph" w:styleId="17">
    <w:name w:val="annotation subject"/>
    <w:basedOn w:val="9"/>
    <w:next w:val="9"/>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customStyle="1" w:styleId="23">
    <w:name w:val="页眉 字符"/>
    <w:link w:val="13"/>
    <w:qFormat/>
    <w:uiPriority w:val="99"/>
    <w:rPr>
      <w:sz w:val="18"/>
      <w:szCs w:val="18"/>
    </w:rPr>
  </w:style>
  <w:style w:type="character" w:customStyle="1" w:styleId="24">
    <w:name w:val="页脚 字符"/>
    <w:link w:val="12"/>
    <w:qFormat/>
    <w:uiPriority w:val="99"/>
    <w:rPr>
      <w:sz w:val="18"/>
      <w:szCs w:val="18"/>
    </w:rPr>
  </w:style>
  <w:style w:type="character" w:customStyle="1" w:styleId="25">
    <w:name w:val="批注框文本 字符"/>
    <w:link w:val="11"/>
    <w:semiHidden/>
    <w:qFormat/>
    <w:uiPriority w:val="99"/>
    <w:rPr>
      <w:sz w:val="18"/>
      <w:szCs w:val="18"/>
    </w:rPr>
  </w:style>
  <w:style w:type="character" w:customStyle="1" w:styleId="26">
    <w:name w:val="标题 6 字符"/>
    <w:link w:val="2"/>
    <w:semiHidden/>
    <w:qFormat/>
    <w:uiPriority w:val="9"/>
    <w:rPr>
      <w:rFonts w:ascii="等线 Light" w:hAnsi="等线 Light" w:eastAsia="等线 Light" w:cs="Times New Roman"/>
      <w:b/>
      <w:bCs/>
      <w:sz w:val="24"/>
      <w:szCs w:val="24"/>
    </w:rPr>
  </w:style>
  <w:style w:type="character" w:customStyle="1" w:styleId="27">
    <w:name w:val="标题 1 字符"/>
    <w:basedOn w:val="20"/>
    <w:link w:val="3"/>
    <w:qFormat/>
    <w:uiPriority w:val="9"/>
    <w:rPr>
      <w:rFonts w:ascii="Calibri" w:hAnsi="Calibri" w:eastAsia="黑体"/>
      <w:b/>
      <w:kern w:val="44"/>
      <w:sz w:val="32"/>
      <w:szCs w:val="44"/>
    </w:rPr>
  </w:style>
  <w:style w:type="paragraph" w:customStyle="1" w:styleId="28">
    <w:name w:val="正文1"/>
    <w:qFormat/>
    <w:uiPriority w:val="0"/>
    <w:pPr>
      <w:jc w:val="both"/>
    </w:pPr>
    <w:rPr>
      <w:rFonts w:ascii="Calibri" w:hAnsi="Calibri" w:eastAsia="宋体" w:cs="宋体"/>
      <w:kern w:val="2"/>
      <w:sz w:val="21"/>
      <w:szCs w:val="21"/>
      <w:lang w:val="en-US" w:eastAsia="zh-CN" w:bidi="ar-SA"/>
    </w:rPr>
  </w:style>
  <w:style w:type="character" w:customStyle="1" w:styleId="29">
    <w:name w:val="标题 2 字符"/>
    <w:basedOn w:val="20"/>
    <w:link w:val="4"/>
    <w:qFormat/>
    <w:uiPriority w:val="9"/>
    <w:rPr>
      <w:rFonts w:ascii="楷体" w:hAnsi="楷体" w:eastAsia="楷体"/>
      <w:b/>
      <w:kern w:val="2"/>
      <w:sz w:val="32"/>
      <w:szCs w:val="32"/>
    </w:rPr>
  </w:style>
  <w:style w:type="character" w:customStyle="1" w:styleId="30">
    <w:name w:val="标题 3 字符"/>
    <w:basedOn w:val="20"/>
    <w:link w:val="5"/>
    <w:qFormat/>
    <w:uiPriority w:val="0"/>
    <w:rPr>
      <w:rFonts w:hint="eastAsia" w:ascii="仿宋_GB2312" w:hAnsi="仿宋_GB2312" w:eastAsia="仿宋_GB2312" w:cs="仿宋_GB2312"/>
      <w:b/>
      <w:sz w:val="28"/>
      <w:szCs w:val="32"/>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3">
    <w:name w:val="批注文字 字符"/>
    <w:basedOn w:val="20"/>
    <w:link w:val="9"/>
    <w:semiHidden/>
    <w:qFormat/>
    <w:uiPriority w:val="99"/>
    <w:rPr>
      <w:rFonts w:ascii="等线" w:hAnsi="等线" w:eastAsia="仿宋GB2312" w:cs="等线"/>
      <w:kern w:val="2"/>
      <w:sz w:val="28"/>
      <w:szCs w:val="22"/>
    </w:rPr>
  </w:style>
  <w:style w:type="character" w:customStyle="1" w:styleId="34">
    <w:name w:val="批注主题 字符"/>
    <w:basedOn w:val="33"/>
    <w:link w:val="17"/>
    <w:semiHidden/>
    <w:qFormat/>
    <w:uiPriority w:val="99"/>
    <w:rPr>
      <w:rFonts w:ascii="等线" w:hAnsi="等线" w:eastAsia="仿宋GB2312" w:cs="等线"/>
      <w:b/>
      <w:bCs/>
      <w:kern w:val="2"/>
      <w:sz w:val="28"/>
      <w:szCs w:val="22"/>
    </w:rPr>
  </w:style>
  <w:style w:type="character" w:styleId="35">
    <w:name w:val="Placeholder Text"/>
    <w:basedOn w:val="20"/>
    <w:semiHidden/>
    <w:qFormat/>
    <w:uiPriority w:val="99"/>
    <w:rPr>
      <w:color w:val="808080"/>
    </w:rPr>
  </w:style>
  <w:style w:type="character" w:customStyle="1" w:styleId="36">
    <w:name w:val="正文文本 字符"/>
    <w:basedOn w:val="20"/>
    <w:link w:val="10"/>
    <w:qFormat/>
    <w:uiPriority w:val="0"/>
    <w:rPr>
      <w:rFonts w:hint="default" w:ascii="仿宋_GB2312" w:hAnsi="仿宋_GB2312" w:eastAsia="仿宋_GB2312" w:cs="仿宋_GB2312"/>
      <w:kern w:val="2"/>
      <w:sz w:val="28"/>
      <w:szCs w:val="22"/>
    </w:rPr>
  </w:style>
  <w:style w:type="character" w:customStyle="1" w:styleId="37">
    <w:name w:val="font51"/>
    <w:basedOn w:val="20"/>
    <w:qFormat/>
    <w:uiPriority w:val="0"/>
    <w:rPr>
      <w:rFonts w:hint="eastAsia" w:ascii="宋体" w:hAnsi="宋体" w:eastAsia="宋体" w:cs="宋体"/>
      <w:color w:val="000000"/>
      <w:sz w:val="18"/>
      <w:szCs w:val="18"/>
      <w:u w:val="none"/>
    </w:rPr>
  </w:style>
  <w:style w:type="paragraph" w:styleId="38">
    <w:name w:val="List Paragraph"/>
    <w:basedOn w:val="1"/>
    <w:qFormat/>
    <w:uiPriority w:val="99"/>
    <w:pPr>
      <w:ind w:firstLine="420"/>
    </w:pPr>
  </w:style>
  <w:style w:type="paragraph" w:customStyle="1" w:styleId="39">
    <w:name w:val="修订1"/>
    <w:hidden/>
    <w:semiHidden/>
    <w:qFormat/>
    <w:uiPriority w:val="99"/>
    <w:rPr>
      <w:rFonts w:ascii="等线" w:hAnsi="等线" w:eastAsia="仿宋GB2312" w:cs="等线"/>
      <w:kern w:val="2"/>
      <w:sz w:val="28"/>
      <w:szCs w:val="22"/>
      <w:lang w:val="en-US" w:eastAsia="zh-CN" w:bidi="ar-SA"/>
    </w:rPr>
  </w:style>
  <w:style w:type="character" w:customStyle="1" w:styleId="40">
    <w:name w:val="qowt-font10-gb2312"/>
    <w:basedOn w:val="20"/>
    <w:qFormat/>
    <w:uiPriority w:val="0"/>
  </w:style>
  <w:style w:type="paragraph" w:customStyle="1" w:styleId="41">
    <w:name w:val="qowt-li-0_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2">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43">
    <w:name w:val="TOC 标题1"/>
    <w:basedOn w:val="3"/>
    <w:next w:val="1"/>
    <w:qFormat/>
    <w:uiPriority w:val="0"/>
    <w:pPr>
      <w:widowControl/>
      <w:spacing w:before="240" w:after="0" w:line="256" w:lineRule="auto"/>
    </w:pPr>
    <w:rPr>
      <w:rFonts w:ascii="等线 Light" w:hAnsi="等线 Light" w:eastAsia="等线 Light"/>
      <w:color w:val="2F5496"/>
      <w:kern w:val="0"/>
      <w:szCs w:val="32"/>
    </w:rPr>
  </w:style>
  <w:style w:type="character" w:customStyle="1" w:styleId="44">
    <w:name w:val="font11"/>
    <w:basedOn w:val="20"/>
    <w:qFormat/>
    <w:uiPriority w:val="0"/>
    <w:rPr>
      <w:rFonts w:hint="eastAsia" w:ascii="宋体" w:hAnsi="宋体" w:eastAsia="宋体"/>
      <w:color w:val="000000"/>
      <w:sz w:val="21"/>
      <w:szCs w:val="21"/>
      <w:u w:val="none"/>
    </w:rPr>
  </w:style>
  <w:style w:type="paragraph" w:customStyle="1" w:styleId="45">
    <w:name w:val="修订2"/>
    <w:hidden/>
    <w:semiHidden/>
    <w:qFormat/>
    <w:uiPriority w:val="99"/>
    <w:rPr>
      <w:rFonts w:ascii="仿宋_GB2312" w:hAnsi="仿宋_GB2312" w:eastAsia="仿宋_GB2312" w:cs="等线"/>
      <w:kern w:val="2"/>
      <w:sz w:val="28"/>
      <w:szCs w:val="22"/>
      <w:lang w:val="en-US" w:eastAsia="zh-CN" w:bidi="ar-SA"/>
    </w:rPr>
  </w:style>
  <w:style w:type="paragraph" w:customStyle="1" w:styleId="46">
    <w:name w:val="Revision"/>
    <w:hidden/>
    <w:semiHidden/>
    <w:qFormat/>
    <w:uiPriority w:val="99"/>
    <w:rPr>
      <w:rFonts w:ascii="仿宋_GB2312" w:hAnsi="仿宋_GB2312" w:eastAsia="仿宋_GB2312" w:cs="等线"/>
      <w:kern w:val="2"/>
      <w:sz w:val="28"/>
      <w:szCs w:val="22"/>
      <w:lang w:val="en-US" w:eastAsia="zh-CN" w:bidi="ar-SA"/>
    </w:rPr>
  </w:style>
  <w:style w:type="character" w:customStyle="1" w:styleId="47">
    <w:name w:val="font41"/>
    <w:basedOn w:val="20"/>
    <w:qFormat/>
    <w:uiPriority w:val="0"/>
    <w:rPr>
      <w:rFonts w:hint="eastAsia" w:ascii="宋体" w:hAnsi="宋体" w:eastAsia="宋体" w:cs="宋体"/>
      <w:b/>
      <w:bCs/>
      <w:color w:val="000000"/>
      <w:sz w:val="40"/>
      <w:szCs w:val="40"/>
      <w:u w:val="none"/>
    </w:rPr>
  </w:style>
  <w:style w:type="character" w:customStyle="1" w:styleId="48">
    <w:name w:val="font61"/>
    <w:basedOn w:val="20"/>
    <w:qFormat/>
    <w:uiPriority w:val="0"/>
    <w:rPr>
      <w:rFonts w:hint="eastAsia" w:ascii="宋体" w:hAnsi="宋体" w:eastAsia="宋体" w:cs="宋体"/>
      <w:b/>
      <w:bCs/>
      <w:color w:val="000000"/>
      <w:sz w:val="40"/>
      <w:szCs w:val="40"/>
      <w:u w:val="single"/>
    </w:rPr>
  </w:style>
  <w:style w:type="character" w:customStyle="1" w:styleId="49">
    <w:name w:val="font31"/>
    <w:basedOn w:val="20"/>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41F00-E434-48FE-A683-82904022C5D1}">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3105</Words>
  <Characters>17701</Characters>
  <Lines>147</Lines>
  <Paragraphs>41</Paragraphs>
  <TotalTime>36</TotalTime>
  <ScaleCrop>false</ScaleCrop>
  <LinksUpToDate>false</LinksUpToDate>
  <CharactersWithSpaces>20765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2021-01-31T12:28:00Z</dcterms:created>
  <dc:creator>Administrator</dc:creator>
  <cp:lastModifiedBy>Administrator</cp:lastModifiedBy>
  <cp:lastPrinted>2021-02-26T07:17:00Z</cp:lastPrinted>
  <dcterms:modified xsi:type="dcterms:W3CDTF">2022-02-28T09:34:19Z</dcterms:modified>
  <cp:revision>488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A7C33AD82AA746A7A0298BEF348F9F86</vt:lpwstr>
  </property>
</Properties>
</file>