
<file path=[Content_Types].xml><?xml version="1.0" encoding="utf-8"?>
<Types xmlns="http://schemas.openxmlformats.org/package/2006/content-types">
  <Default Extension="xml" ContentType="application/xml"/>
  <Default Extension="xlsx" ContentType="application/vnd.openxmlformats-officedocument.spreadsheetml.sheet"/>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colors7.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charts/style7.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680" w:lineRule="exact"/>
        <w:ind w:left="113"/>
        <w:rPr>
          <w:rFonts w:ascii="仿宋_GB2312"/>
          <w:highlight w:val="none"/>
        </w:rPr>
      </w:pPr>
      <w:r>
        <w:rPr>
          <w:rFonts w:hint="eastAsia" w:ascii="仿宋_GB2312"/>
        </w:rPr>
        <w:t xml:space="preserve"> </w:t>
      </w:r>
    </w:p>
    <w:p>
      <w:pPr>
        <w:spacing w:line="680" w:lineRule="exact"/>
        <w:ind w:left="6" w:right="4"/>
        <w:jc w:val="center"/>
        <w:rPr>
          <w:rFonts w:ascii="宋体" w:hAnsi="宋体" w:eastAsia="宋体" w:cs="Times New Roman"/>
          <w:b/>
          <w:sz w:val="44"/>
          <w:szCs w:val="44"/>
          <w:highlight w:val="none"/>
        </w:rPr>
      </w:pPr>
    </w:p>
    <w:p>
      <w:pPr>
        <w:spacing w:line="680" w:lineRule="exact"/>
        <w:ind w:left="6" w:right="4"/>
        <w:jc w:val="center"/>
        <w:rPr>
          <w:rFonts w:ascii="宋体" w:hAnsi="宋体" w:eastAsia="宋体" w:cs="Times New Roman"/>
          <w:b/>
          <w:sz w:val="44"/>
          <w:szCs w:val="44"/>
          <w:highlight w:val="none"/>
        </w:rPr>
      </w:pPr>
    </w:p>
    <w:p>
      <w:pPr>
        <w:spacing w:line="680" w:lineRule="exact"/>
        <w:ind w:left="6" w:right="4"/>
        <w:jc w:val="center"/>
        <w:rPr>
          <w:rFonts w:ascii="方正小标宋简体" w:hAnsi="方正小标宋简体" w:eastAsia="方正小标宋简体" w:cs="方正小标宋简体"/>
          <w:b/>
          <w:bCs/>
          <w:sz w:val="44"/>
          <w:szCs w:val="44"/>
          <w:highlight w:val="none"/>
        </w:rPr>
      </w:pPr>
      <w:bookmarkStart w:id="0" w:name="_Toc21198"/>
      <w:bookmarkStart w:id="1" w:name="_Toc818"/>
      <w:bookmarkStart w:id="2" w:name="_Toc17249"/>
      <w:bookmarkStart w:id="3" w:name="_Toc24322"/>
      <w:bookmarkStart w:id="4" w:name="_Toc16957"/>
      <w:bookmarkStart w:id="5" w:name="_Toc29616"/>
      <w:bookmarkStart w:id="6" w:name="_Toc3655"/>
      <w:bookmarkStart w:id="7" w:name="_Toc73915926"/>
      <w:bookmarkStart w:id="8" w:name="_Toc30170"/>
      <w:bookmarkStart w:id="9" w:name="_Toc24122"/>
      <w:r>
        <w:rPr>
          <w:rFonts w:hint="eastAsia" w:ascii="方正小标宋简体" w:hAnsi="方正小标宋简体" w:eastAsia="方正小标宋简体" w:cs="方正小标宋简体"/>
          <w:sz w:val="44"/>
          <w:szCs w:val="44"/>
          <w:highlight w:val="none"/>
        </w:rPr>
        <w:t>2022年度甘肃省高级人民法院重点</w:t>
      </w:r>
      <w:bookmarkEnd w:id="0"/>
      <w:bookmarkEnd w:id="1"/>
      <w:bookmarkEnd w:id="2"/>
      <w:bookmarkEnd w:id="3"/>
      <w:bookmarkEnd w:id="4"/>
      <w:bookmarkEnd w:id="5"/>
      <w:bookmarkEnd w:id="6"/>
      <w:bookmarkEnd w:id="7"/>
      <w:bookmarkEnd w:id="8"/>
      <w:bookmarkEnd w:id="9"/>
      <w:r>
        <w:rPr>
          <w:rFonts w:hint="eastAsia" w:ascii="方正小标宋简体" w:hAnsi="方正小标宋简体" w:eastAsia="方正小标宋简体" w:cs="方正小标宋简体"/>
          <w:sz w:val="44"/>
          <w:szCs w:val="44"/>
          <w:highlight w:val="none"/>
        </w:rPr>
        <w:t>项目</w:t>
      </w:r>
    </w:p>
    <w:p>
      <w:pPr>
        <w:spacing w:line="680" w:lineRule="exact"/>
        <w:ind w:left="6" w:right="4"/>
        <w:jc w:val="center"/>
        <w:rPr>
          <w:rFonts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——全省法院人民法庭维修经费</w:t>
      </w:r>
    </w:p>
    <w:p>
      <w:pPr>
        <w:spacing w:line="680" w:lineRule="exact"/>
        <w:ind w:left="6" w:right="4"/>
        <w:jc w:val="center"/>
        <w:rPr>
          <w:rFonts w:ascii="宋体" w:hAnsi="宋体" w:eastAsia="宋体"/>
          <w:b/>
          <w:sz w:val="44"/>
          <w:szCs w:val="44"/>
          <w:highlight w:val="none"/>
        </w:rPr>
      </w:pPr>
      <w:r>
        <w:rPr>
          <w:rFonts w:hint="eastAsia" w:ascii="方正小标宋简体" w:hAnsi="方正小标宋简体" w:eastAsia="方正小标宋简体" w:cs="方正小标宋简体"/>
          <w:sz w:val="44"/>
          <w:szCs w:val="44"/>
          <w:highlight w:val="none"/>
        </w:rPr>
        <w:t>绩效评价报告</w:t>
      </w:r>
    </w:p>
    <w:p>
      <w:pPr>
        <w:pStyle w:val="2"/>
        <w:spacing w:line="680" w:lineRule="exact"/>
        <w:rPr>
          <w:sz w:val="56"/>
          <w:highlight w:val="none"/>
        </w:rPr>
      </w:pPr>
    </w:p>
    <w:p>
      <w:pPr>
        <w:pStyle w:val="2"/>
        <w:spacing w:line="680" w:lineRule="exact"/>
        <w:rPr>
          <w:sz w:val="56"/>
          <w:highlight w:val="none"/>
        </w:rPr>
      </w:pPr>
    </w:p>
    <w:p>
      <w:pPr>
        <w:spacing w:line="578" w:lineRule="exact"/>
        <w:ind w:left="1600" w:hanging="1600" w:hangingChars="500"/>
        <w:rPr>
          <w:rFonts w:ascii="仿宋_GB2312" w:hAnsi="仿宋" w:eastAsia="仿宋_GB2312" w:cs="仿宋"/>
          <w:sz w:val="32"/>
          <w:szCs w:val="32"/>
          <w:highlight w:val="none"/>
        </w:rPr>
      </w:pPr>
      <w:r>
        <w:rPr>
          <w:rFonts w:hint="eastAsia" w:ascii="仿宋_GB2312" w:hAnsi="仿宋" w:eastAsia="仿宋_GB2312" w:cs="仿宋"/>
          <w:sz w:val="32"/>
          <w:szCs w:val="32"/>
          <w:highlight w:val="none"/>
        </w:rPr>
        <w:t xml:space="preserve">    </w:t>
      </w:r>
    </w:p>
    <w:p>
      <w:pPr>
        <w:pStyle w:val="12"/>
        <w:rPr>
          <w:highlight w:val="none"/>
        </w:rPr>
      </w:pPr>
    </w:p>
    <w:p>
      <w:pPr>
        <w:spacing w:line="578" w:lineRule="exact"/>
        <w:ind w:firstLine="300" w:firstLineChars="100"/>
        <w:rPr>
          <w:rFonts w:ascii="仿宋_GB2312" w:hAnsi="仿宋" w:eastAsia="仿宋_GB2312" w:cs="仿宋"/>
          <w:sz w:val="30"/>
          <w:szCs w:val="32"/>
          <w:highlight w:val="none"/>
          <w:u w:val="single"/>
        </w:rPr>
      </w:pPr>
      <w:r>
        <w:rPr>
          <w:rFonts w:hint="eastAsia" w:ascii="仿宋_GB2312" w:hAnsi="仿宋" w:eastAsia="仿宋_GB2312" w:cs="仿宋"/>
          <w:sz w:val="30"/>
          <w:szCs w:val="32"/>
          <w:highlight w:val="none"/>
        </w:rPr>
        <w:t>评价类型：</w:t>
      </w:r>
      <w:r>
        <w:rPr>
          <w:rFonts w:hint="eastAsia" w:ascii="仿宋_GB2312" w:hAnsi="仿宋" w:eastAsia="仿宋_GB2312" w:cs="仿宋"/>
          <w:sz w:val="30"/>
          <w:szCs w:val="32"/>
          <w:highlight w:val="none"/>
          <w:u w:val="single"/>
        </w:rPr>
        <w:sym w:font="Wingdings 2" w:char="00A3"/>
      </w:r>
      <w:r>
        <w:rPr>
          <w:rFonts w:hint="eastAsia" w:ascii="仿宋_GB2312" w:hAnsi="仿宋" w:eastAsia="仿宋_GB2312" w:cs="仿宋"/>
          <w:sz w:val="30"/>
          <w:szCs w:val="32"/>
          <w:highlight w:val="none"/>
          <w:u w:val="single"/>
        </w:rPr>
        <w:t>实施过程评价</w:t>
      </w:r>
      <w:r>
        <w:rPr>
          <w:rFonts w:hint="eastAsia" w:ascii="仿宋_GB2312" w:hAnsi="仿宋" w:eastAsia="仿宋_GB2312" w:cs="仿宋"/>
          <w:sz w:val="30"/>
          <w:szCs w:val="32"/>
          <w:highlight w:val="none"/>
        </w:rPr>
        <w:t xml:space="preserve">          </w:t>
      </w:r>
      <w:r>
        <w:rPr>
          <w:rFonts w:hint="eastAsia" w:ascii="仿宋_GB2312" w:hAnsi="仿宋" w:eastAsia="仿宋_GB2312" w:cs="仿宋"/>
          <w:sz w:val="30"/>
          <w:szCs w:val="32"/>
          <w:highlight w:val="none"/>
          <w:u w:val="single"/>
        </w:rPr>
        <w:sym w:font="Wingdings 2" w:char="0052"/>
      </w:r>
      <w:r>
        <w:rPr>
          <w:rFonts w:hint="eastAsia" w:ascii="仿宋_GB2312" w:hAnsi="仿宋" w:eastAsia="仿宋_GB2312" w:cs="仿宋"/>
          <w:sz w:val="30"/>
          <w:szCs w:val="32"/>
          <w:highlight w:val="none"/>
          <w:u w:val="single"/>
        </w:rPr>
        <w:t>完成结果评价</w:t>
      </w:r>
    </w:p>
    <w:p>
      <w:pPr>
        <w:spacing w:line="578" w:lineRule="exact"/>
        <w:ind w:left="1800" w:right="456" w:rightChars="217" w:hanging="1800" w:hangingChars="600"/>
        <w:jc w:val="left"/>
        <w:rPr>
          <w:rFonts w:hint="default" w:ascii="仿宋_GB2312" w:hAnsi="仿宋" w:eastAsia="仿宋_GB2312" w:cs="仿宋"/>
          <w:sz w:val="30"/>
          <w:szCs w:val="32"/>
          <w:highlight w:val="none"/>
          <w:u w:val="single"/>
          <w:lang w:val="en-US" w:eastAsia="zh-CN"/>
        </w:rPr>
      </w:pPr>
      <w:r>
        <w:rPr>
          <w:rFonts w:hint="eastAsia" w:ascii="仿宋_GB2312" w:hAnsi="仿宋" w:eastAsia="仿宋_GB2312" w:cs="仿宋"/>
          <w:sz w:val="30"/>
          <w:szCs w:val="32"/>
          <w:highlight w:val="none"/>
        </w:rPr>
        <w:t xml:space="preserve">  项目名称：</w:t>
      </w:r>
      <w:r>
        <w:rPr>
          <w:rFonts w:hint="eastAsia" w:ascii="仿宋_GB2312" w:hAnsi="仿宋" w:eastAsia="仿宋_GB2312" w:cs="仿宋"/>
          <w:sz w:val="30"/>
          <w:szCs w:val="32"/>
          <w:highlight w:val="none"/>
          <w:u w:val="single"/>
        </w:rPr>
        <w:t>全省法院人民法庭维修经费</w:t>
      </w:r>
      <w:r>
        <w:rPr>
          <w:rFonts w:hint="eastAsia" w:ascii="仿宋_GB2312" w:hAnsi="仿宋" w:eastAsia="仿宋_GB2312" w:cs="仿宋"/>
          <w:sz w:val="30"/>
          <w:szCs w:val="32"/>
          <w:highlight w:val="none"/>
          <w:u w:val="single"/>
          <w:lang w:val="en-US" w:eastAsia="zh-CN"/>
        </w:rPr>
        <w:t xml:space="preserve">             </w:t>
      </w:r>
    </w:p>
    <w:p>
      <w:pPr>
        <w:spacing w:line="578" w:lineRule="exact"/>
        <w:ind w:left="1800" w:right="456" w:rightChars="217" w:hanging="1800" w:hangingChars="600"/>
        <w:jc w:val="left"/>
        <w:rPr>
          <w:rFonts w:ascii="仿宋_GB2312" w:hAnsi="仿宋" w:eastAsia="仿宋_GB2312" w:cs="仿宋"/>
          <w:sz w:val="30"/>
          <w:szCs w:val="32"/>
          <w:highlight w:val="none"/>
        </w:rPr>
      </w:pPr>
      <w:r>
        <w:rPr>
          <w:rFonts w:hint="eastAsia" w:ascii="仿宋_GB2312" w:hAnsi="仿宋" w:eastAsia="仿宋_GB2312" w:cs="仿宋"/>
          <w:sz w:val="30"/>
          <w:szCs w:val="32"/>
          <w:highlight w:val="none"/>
        </w:rPr>
        <w:t xml:space="preserve">  主管部门：</w:t>
      </w:r>
      <w:r>
        <w:rPr>
          <w:rFonts w:hint="eastAsia" w:ascii="仿宋_GB2312" w:hAnsi="仿宋" w:eastAsia="仿宋_GB2312" w:cs="仿宋"/>
          <w:sz w:val="30"/>
          <w:szCs w:val="32"/>
          <w:highlight w:val="none"/>
          <w:u w:val="single"/>
        </w:rPr>
        <w:t xml:space="preserve">甘肃省高级人民法院 </w:t>
      </w:r>
      <w:r>
        <w:rPr>
          <w:rFonts w:hint="eastAsia" w:ascii="仿宋_GB2312" w:hAnsi="仿宋" w:eastAsia="仿宋_GB2312" w:cs="仿宋"/>
          <w:sz w:val="30"/>
          <w:szCs w:val="32"/>
          <w:highlight w:val="none"/>
          <w:u w:val="single"/>
          <w:lang w:val="en-US" w:eastAsia="zh-CN"/>
        </w:rPr>
        <w:t xml:space="preserve">                  </w:t>
      </w:r>
      <w:r>
        <w:rPr>
          <w:rFonts w:hint="eastAsia" w:ascii="仿宋_GB2312" w:hAnsi="仿宋" w:eastAsia="仿宋_GB2312" w:cs="仿宋"/>
          <w:sz w:val="30"/>
          <w:szCs w:val="32"/>
          <w:highlight w:val="none"/>
        </w:rPr>
        <w:t xml:space="preserve"> </w:t>
      </w:r>
    </w:p>
    <w:p>
      <w:pPr>
        <w:spacing w:line="578" w:lineRule="exact"/>
        <w:ind w:left="1800" w:right="456" w:rightChars="217" w:hanging="1800" w:hangingChars="600"/>
        <w:jc w:val="left"/>
        <w:rPr>
          <w:rFonts w:hint="eastAsia" w:ascii="仿宋_GB2312" w:hAnsi="仿宋" w:eastAsia="仿宋_GB2312" w:cs="仿宋"/>
          <w:sz w:val="30"/>
          <w:szCs w:val="32"/>
          <w:highlight w:val="none"/>
          <w:u w:val="single"/>
          <w:lang w:val="en-US" w:eastAsia="zh-CN"/>
        </w:rPr>
      </w:pPr>
      <w:r>
        <w:rPr>
          <w:rFonts w:hint="eastAsia" w:ascii="仿宋_GB2312" w:hAnsi="仿宋" w:eastAsia="仿宋_GB2312" w:cs="仿宋"/>
          <w:sz w:val="30"/>
          <w:szCs w:val="32"/>
          <w:highlight w:val="none"/>
        </w:rPr>
        <w:t xml:space="preserve">  评价时间：</w:t>
      </w:r>
      <w:r>
        <w:rPr>
          <w:rFonts w:hint="eastAsia" w:ascii="仿宋_GB2312" w:hAnsi="仿宋" w:eastAsia="仿宋_GB2312" w:cs="仿宋"/>
          <w:sz w:val="30"/>
          <w:szCs w:val="32"/>
          <w:highlight w:val="none"/>
          <w:u w:val="single"/>
        </w:rPr>
        <w:t>2022年01月01日至 2022年12月31日</w:t>
      </w:r>
      <w:r>
        <w:rPr>
          <w:rFonts w:hint="eastAsia" w:ascii="仿宋_GB2312" w:hAnsi="仿宋" w:eastAsia="仿宋_GB2312" w:cs="仿宋"/>
          <w:sz w:val="30"/>
          <w:szCs w:val="32"/>
          <w:highlight w:val="none"/>
          <w:u w:val="single"/>
          <w:lang w:val="en-US" w:eastAsia="zh-CN"/>
        </w:rPr>
        <w:t xml:space="preserve"> </w:t>
      </w:r>
    </w:p>
    <w:p>
      <w:pPr>
        <w:spacing w:line="578" w:lineRule="exact"/>
        <w:ind w:left="1800" w:right="456" w:rightChars="217" w:hanging="1800" w:hangingChars="600"/>
        <w:jc w:val="left"/>
        <w:rPr>
          <w:rFonts w:ascii="仿宋_GB2312" w:hAnsi="仿宋" w:eastAsia="仿宋_GB2312" w:cs="仿宋"/>
          <w:sz w:val="30"/>
          <w:szCs w:val="32"/>
          <w:highlight w:val="none"/>
        </w:rPr>
      </w:pPr>
      <w:r>
        <w:rPr>
          <w:rFonts w:hint="eastAsia" w:ascii="仿宋_GB2312" w:hAnsi="仿宋" w:eastAsia="仿宋_GB2312" w:cs="仿宋"/>
          <w:sz w:val="30"/>
          <w:szCs w:val="32"/>
          <w:highlight w:val="none"/>
        </w:rPr>
        <w:t xml:space="preserve">  组织方式：</w:t>
      </w:r>
      <w:r>
        <w:rPr>
          <w:rFonts w:hint="eastAsia" w:ascii="仿宋_GB2312" w:hAnsi="仿宋" w:eastAsia="仿宋_GB2312" w:cs="仿宋"/>
          <w:sz w:val="30"/>
          <w:szCs w:val="32"/>
          <w:highlight w:val="none"/>
          <w:u w:val="single"/>
        </w:rPr>
        <w:t>□财政部门</w:t>
      </w:r>
      <w:r>
        <w:rPr>
          <w:rFonts w:hint="eastAsia" w:ascii="仿宋_GB2312" w:hAnsi="仿宋" w:eastAsia="仿宋_GB2312" w:cs="仿宋"/>
          <w:sz w:val="30"/>
          <w:szCs w:val="32"/>
          <w:highlight w:val="none"/>
        </w:rPr>
        <w:t xml:space="preserve">   </w:t>
      </w:r>
      <w:r>
        <w:rPr>
          <w:rFonts w:hint="eastAsia" w:ascii="仿宋_GB2312" w:hAnsi="仿宋" w:eastAsia="仿宋_GB2312" w:cs="仿宋"/>
          <w:sz w:val="30"/>
          <w:szCs w:val="32"/>
          <w:highlight w:val="none"/>
          <w:u w:val="single"/>
        </w:rPr>
        <w:t xml:space="preserve"> </w:t>
      </w:r>
      <w:r>
        <w:rPr>
          <w:rFonts w:hint="eastAsia" w:ascii="仿宋_GB2312" w:hAnsi="仿宋" w:eastAsia="仿宋_GB2312" w:cs="仿宋"/>
          <w:sz w:val="30"/>
          <w:szCs w:val="32"/>
          <w:highlight w:val="none"/>
          <w:u w:val="single"/>
        </w:rPr>
        <w:sym w:font="Wingdings 2" w:char="0052"/>
      </w:r>
      <w:r>
        <w:rPr>
          <w:rFonts w:hint="eastAsia" w:ascii="仿宋_GB2312" w:hAnsi="仿宋" w:eastAsia="仿宋_GB2312" w:cs="仿宋"/>
          <w:sz w:val="30"/>
          <w:szCs w:val="32"/>
          <w:highlight w:val="none"/>
          <w:u w:val="single"/>
        </w:rPr>
        <w:t>主管部门</w:t>
      </w:r>
      <w:r>
        <w:rPr>
          <w:rFonts w:hint="eastAsia" w:ascii="仿宋_GB2312" w:hAnsi="仿宋" w:eastAsia="仿宋_GB2312" w:cs="仿宋"/>
          <w:sz w:val="30"/>
          <w:szCs w:val="32"/>
          <w:highlight w:val="none"/>
        </w:rPr>
        <w:t xml:space="preserve">     </w:t>
      </w:r>
      <w:r>
        <w:rPr>
          <w:rFonts w:hint="eastAsia" w:ascii="仿宋_GB2312" w:hAnsi="仿宋" w:eastAsia="仿宋_GB2312" w:cs="仿宋"/>
          <w:sz w:val="30"/>
          <w:szCs w:val="32"/>
          <w:highlight w:val="none"/>
          <w:u w:val="single"/>
        </w:rPr>
        <w:sym w:font="Wingdings 2" w:char="00A3"/>
      </w:r>
      <w:r>
        <w:rPr>
          <w:rFonts w:hint="eastAsia" w:ascii="仿宋_GB2312" w:hAnsi="仿宋" w:eastAsia="仿宋_GB2312" w:cs="仿宋"/>
          <w:sz w:val="30"/>
          <w:szCs w:val="32"/>
          <w:highlight w:val="none"/>
          <w:u w:val="single"/>
        </w:rPr>
        <w:t>项目单位</w:t>
      </w:r>
      <w:r>
        <w:rPr>
          <w:rFonts w:hint="eastAsia" w:ascii="仿宋_GB2312" w:hAnsi="仿宋" w:eastAsia="仿宋_GB2312" w:cs="仿宋"/>
          <w:sz w:val="30"/>
          <w:szCs w:val="32"/>
          <w:highlight w:val="none"/>
        </w:rPr>
        <w:t xml:space="preserve"> </w:t>
      </w:r>
    </w:p>
    <w:p>
      <w:pPr>
        <w:spacing w:line="578" w:lineRule="exact"/>
        <w:ind w:left="1800" w:right="456" w:rightChars="217" w:hanging="1800" w:hangingChars="600"/>
        <w:jc w:val="left"/>
        <w:rPr>
          <w:rFonts w:ascii="仿宋_GB2312" w:hAnsi="仿宋" w:eastAsia="仿宋_GB2312" w:cs="仿宋"/>
          <w:sz w:val="30"/>
          <w:szCs w:val="32"/>
          <w:highlight w:val="none"/>
        </w:rPr>
      </w:pPr>
      <w:r>
        <w:rPr>
          <w:rFonts w:hint="eastAsia" w:ascii="仿宋_GB2312" w:hAnsi="仿宋" w:eastAsia="仿宋_GB2312" w:cs="仿宋"/>
          <w:sz w:val="30"/>
          <w:szCs w:val="32"/>
          <w:highlight w:val="none"/>
        </w:rPr>
        <w:t xml:space="preserve">  评价机构：</w:t>
      </w:r>
      <w:r>
        <w:rPr>
          <w:rFonts w:hint="eastAsia" w:ascii="仿宋_GB2312" w:hAnsi="仿宋" w:eastAsia="仿宋_GB2312" w:cs="仿宋"/>
          <w:sz w:val="30"/>
          <w:szCs w:val="32"/>
          <w:highlight w:val="none"/>
          <w:u w:val="single"/>
        </w:rPr>
        <w:sym w:font="Wingdings 2" w:char="0052"/>
      </w:r>
      <w:r>
        <w:rPr>
          <w:rFonts w:hint="eastAsia" w:ascii="仿宋_GB2312" w:hAnsi="仿宋" w:eastAsia="仿宋_GB2312" w:cs="仿宋"/>
          <w:sz w:val="30"/>
          <w:szCs w:val="32"/>
          <w:highlight w:val="none"/>
          <w:u w:val="single"/>
        </w:rPr>
        <w:t>中介机构</w:t>
      </w:r>
      <w:r>
        <w:rPr>
          <w:rFonts w:hint="eastAsia" w:ascii="仿宋_GB2312" w:hAnsi="仿宋" w:eastAsia="仿宋_GB2312" w:cs="仿宋"/>
          <w:sz w:val="30"/>
          <w:szCs w:val="32"/>
          <w:highlight w:val="none"/>
        </w:rPr>
        <w:t xml:space="preserve">    </w:t>
      </w:r>
      <w:r>
        <w:rPr>
          <w:rFonts w:hint="eastAsia" w:ascii="仿宋_GB2312" w:hAnsi="仿宋" w:eastAsia="仿宋_GB2312" w:cs="仿宋"/>
          <w:sz w:val="30"/>
          <w:szCs w:val="32"/>
          <w:highlight w:val="none"/>
          <w:u w:val="single"/>
        </w:rPr>
        <w:t>□专家组</w:t>
      </w:r>
      <w:r>
        <w:rPr>
          <w:rFonts w:hint="eastAsia" w:ascii="仿宋_GB2312" w:hAnsi="仿宋" w:eastAsia="仿宋_GB2312" w:cs="仿宋"/>
          <w:sz w:val="30"/>
          <w:szCs w:val="32"/>
          <w:highlight w:val="none"/>
        </w:rPr>
        <w:t xml:space="preserve">   </w:t>
      </w:r>
      <w:r>
        <w:rPr>
          <w:rFonts w:hint="eastAsia" w:ascii="仿宋_GB2312" w:hAnsi="仿宋" w:eastAsia="仿宋_GB2312" w:cs="仿宋"/>
          <w:sz w:val="30"/>
          <w:szCs w:val="32"/>
          <w:highlight w:val="none"/>
          <w:u w:val="single"/>
        </w:rPr>
        <w:t>□项目单位评价组</w:t>
      </w:r>
    </w:p>
    <w:p>
      <w:pPr>
        <w:spacing w:line="578" w:lineRule="exact"/>
        <w:rPr>
          <w:rFonts w:ascii="仿宋_GB2312" w:hAnsi="仿宋" w:eastAsia="仿宋_GB2312" w:cs="仿宋"/>
          <w:sz w:val="30"/>
          <w:szCs w:val="32"/>
          <w:highlight w:val="none"/>
        </w:rPr>
      </w:pPr>
    </w:p>
    <w:p>
      <w:pPr>
        <w:spacing w:line="578" w:lineRule="exact"/>
        <w:ind w:left="4800" w:hanging="4800" w:hangingChars="1600"/>
        <w:rPr>
          <w:rFonts w:hint="eastAsia" w:ascii="仿宋_GB2312" w:hAnsi="仿宋" w:eastAsia="仿宋_GB2312" w:cs="仿宋"/>
          <w:sz w:val="30"/>
          <w:szCs w:val="32"/>
          <w:highlight w:val="none"/>
        </w:rPr>
      </w:pPr>
    </w:p>
    <w:p>
      <w:pPr>
        <w:spacing w:line="578" w:lineRule="exact"/>
        <w:ind w:left="4800" w:hanging="4800" w:hangingChars="1600"/>
        <w:rPr>
          <w:rFonts w:ascii="仿宋_GB2312" w:hAnsi="仿宋" w:eastAsia="仿宋_GB2312" w:cs="仿宋"/>
          <w:sz w:val="30"/>
          <w:szCs w:val="32"/>
          <w:highlight w:val="none"/>
        </w:rPr>
      </w:pPr>
      <w:r>
        <w:rPr>
          <w:rFonts w:hint="eastAsia" w:ascii="仿宋_GB2312" w:hAnsi="仿宋" w:eastAsia="仿宋_GB2312" w:cs="仿宋"/>
          <w:sz w:val="30"/>
          <w:szCs w:val="32"/>
          <w:highlight w:val="none"/>
        </w:rPr>
        <w:t xml:space="preserve">             </w:t>
      </w:r>
    </w:p>
    <w:p>
      <w:pPr>
        <w:spacing w:line="578" w:lineRule="exact"/>
        <w:ind w:right="456" w:rightChars="217" w:firstLine="300" w:firstLineChars="100"/>
        <w:jc w:val="left"/>
        <w:rPr>
          <w:rFonts w:ascii="宋体" w:hAnsi="宋体" w:eastAsia="宋体" w:cs="宋体"/>
          <w:sz w:val="30"/>
          <w:szCs w:val="32"/>
          <w:highlight w:val="none"/>
        </w:rPr>
      </w:pPr>
      <w:r>
        <w:rPr>
          <w:rFonts w:hint="eastAsia" w:ascii="宋体" w:hAnsi="宋体" w:eastAsia="宋体" w:cs="宋体"/>
          <w:sz w:val="30"/>
          <w:szCs w:val="32"/>
          <w:highlight w:val="none"/>
        </w:rPr>
        <w:t>评价单位：甘肃卓诚财务咨询有限公司</w:t>
      </w:r>
    </w:p>
    <w:p>
      <w:pPr>
        <w:spacing w:line="578" w:lineRule="exact"/>
        <w:ind w:right="456" w:rightChars="217" w:firstLine="300" w:firstLineChars="100"/>
        <w:jc w:val="left"/>
        <w:rPr>
          <w:rFonts w:ascii="宋体" w:hAnsi="宋体" w:eastAsia="宋体" w:cs="宋体"/>
          <w:sz w:val="30"/>
          <w:szCs w:val="32"/>
          <w:highlight w:val="none"/>
        </w:rPr>
        <w:sectPr>
          <w:headerReference r:id="rId3" w:type="default"/>
          <w:footerReference r:id="rId4" w:type="default"/>
          <w:pgSz w:w="11906" w:h="16838"/>
          <w:pgMar w:top="1440" w:right="1800" w:bottom="1440" w:left="1800" w:header="851" w:footer="992" w:gutter="0"/>
          <w:cols w:space="720" w:num="1"/>
          <w:docGrid w:type="lines" w:linePitch="312" w:charSpace="0"/>
        </w:sectPr>
      </w:pPr>
      <w:r>
        <w:rPr>
          <w:rFonts w:hint="eastAsia" w:ascii="宋体" w:hAnsi="宋体" w:eastAsia="宋体" w:cs="宋体"/>
          <w:sz w:val="30"/>
          <w:szCs w:val="32"/>
          <w:highlight w:val="none"/>
        </w:rPr>
        <w:t>上报日期：2023年05月2</w:t>
      </w:r>
      <w:r>
        <w:rPr>
          <w:rFonts w:hint="eastAsia" w:ascii="宋体" w:hAnsi="宋体" w:eastAsia="宋体" w:cs="宋体"/>
          <w:sz w:val="30"/>
          <w:szCs w:val="32"/>
          <w:highlight w:val="none"/>
          <w:lang w:val="en-US" w:eastAsia="zh-CN"/>
        </w:rPr>
        <w:t>9</w:t>
      </w:r>
      <w:r>
        <w:rPr>
          <w:rFonts w:hint="eastAsia" w:ascii="宋体" w:hAnsi="宋体" w:eastAsia="宋体" w:cs="宋体"/>
          <w:sz w:val="30"/>
          <w:szCs w:val="32"/>
          <w:highlight w:val="none"/>
        </w:rPr>
        <w:t>日</w:t>
      </w:r>
    </w:p>
    <w:sdt>
      <w:sdtPr>
        <w:rPr>
          <w:rFonts w:ascii="宋体" w:hAnsi="宋体" w:eastAsia="宋体"/>
          <w:color w:val="FF0000"/>
          <w:sz w:val="32"/>
          <w:szCs w:val="32"/>
          <w:highlight w:val="none"/>
        </w:rPr>
        <w:id w:val="147453237"/>
        <w15:color w:val="DBDBDB"/>
        <w:docPartObj>
          <w:docPartGallery w:val="Table of Contents"/>
          <w:docPartUnique/>
        </w:docPartObj>
      </w:sdtPr>
      <w:sdtEndPr>
        <w:rPr>
          <w:rFonts w:hint="eastAsia" w:ascii="宋体" w:hAnsi="宋体" w:eastAsia="仿宋"/>
          <w:b/>
          <w:bCs/>
          <w:color w:val="FF0000"/>
          <w:sz w:val="28"/>
          <w:szCs w:val="44"/>
          <w:highlight w:val="none"/>
        </w:rPr>
      </w:sdtEndPr>
      <w:sdtContent>
        <w:p>
          <w:pPr>
            <w:jc w:val="center"/>
            <w:rPr>
              <w:rFonts w:ascii="宋体" w:hAnsi="宋体" w:eastAsia="宋体" w:cs="宋体"/>
              <w:b/>
              <w:bCs/>
              <w:sz w:val="36"/>
              <w:szCs w:val="36"/>
              <w:highlight w:val="none"/>
            </w:rPr>
          </w:pPr>
          <w:r>
            <w:rPr>
              <w:rFonts w:hint="eastAsia" w:ascii="宋体" w:hAnsi="宋体" w:eastAsia="宋体" w:cs="宋体"/>
              <w:b/>
              <w:bCs/>
              <w:sz w:val="36"/>
              <w:szCs w:val="36"/>
              <w:highlight w:val="none"/>
            </w:rPr>
            <w:t>目  录</w:t>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fldChar w:fldCharType="begin"/>
          </w:r>
          <w:r>
            <w:rPr>
              <w:rFonts w:hint="eastAsia" w:ascii="仿宋" w:hAnsi="仿宋" w:eastAsia="仿宋" w:cs="仿宋"/>
              <w:b/>
              <w:bCs/>
              <w:sz w:val="28"/>
              <w:szCs w:val="28"/>
              <w:highlight w:val="none"/>
            </w:rPr>
            <w:instrText xml:space="preserve">TOC \o "1-2" \h \u </w:instrText>
          </w:r>
          <w:r>
            <w:rPr>
              <w:rFonts w:hint="eastAsia" w:ascii="仿宋" w:hAnsi="仿宋" w:eastAsia="仿宋" w:cs="仿宋"/>
              <w:b/>
              <w:bCs/>
              <w:sz w:val="28"/>
              <w:szCs w:val="28"/>
              <w:highlight w:val="none"/>
            </w:rPr>
            <w:fldChar w:fldCharType="separate"/>
          </w:r>
          <w:r>
            <w:rPr>
              <w:rFonts w:hint="eastAsia" w:ascii="仿宋" w:hAnsi="仿宋" w:eastAsia="仿宋" w:cs="仿宋"/>
              <w:b/>
              <w:bCs/>
              <w:sz w:val="28"/>
              <w:szCs w:val="28"/>
              <w:highlight w:val="none"/>
            </w:rPr>
            <w:fldChar w:fldCharType="begin"/>
          </w:r>
          <w:r>
            <w:rPr>
              <w:rFonts w:hint="eastAsia" w:ascii="仿宋" w:hAnsi="仿宋" w:eastAsia="仿宋" w:cs="仿宋"/>
              <w:b/>
              <w:bCs/>
              <w:sz w:val="28"/>
              <w:szCs w:val="28"/>
              <w:highlight w:val="none"/>
            </w:rPr>
            <w:instrText xml:space="preserve"> HYPERLINK \l _Toc13618 </w:instrText>
          </w:r>
          <w:r>
            <w:rPr>
              <w:rFonts w:hint="eastAsia" w:ascii="仿宋" w:hAnsi="仿宋" w:eastAsia="仿宋" w:cs="仿宋"/>
              <w:b/>
              <w:bCs/>
              <w:sz w:val="28"/>
              <w:szCs w:val="28"/>
              <w:highlight w:val="none"/>
            </w:rPr>
            <w:fldChar w:fldCharType="separate"/>
          </w:r>
          <w:r>
            <w:rPr>
              <w:rFonts w:hint="eastAsia" w:ascii="仿宋" w:hAnsi="仿宋" w:eastAsia="仿宋" w:cs="仿宋"/>
              <w:b/>
              <w:bCs/>
              <w:sz w:val="28"/>
              <w:szCs w:val="28"/>
              <w:highlight w:val="none"/>
            </w:rPr>
            <w:t>摘   要</w:t>
          </w:r>
          <w:r>
            <w:rPr>
              <w:rFonts w:hint="eastAsia" w:ascii="仿宋" w:hAnsi="仿宋" w:eastAsia="仿宋" w:cs="仿宋"/>
              <w:b/>
              <w:bCs/>
              <w:sz w:val="28"/>
              <w:szCs w:val="28"/>
              <w:highlight w:val="none"/>
            </w:rPr>
            <w:tab/>
          </w:r>
          <w:r>
            <w:rPr>
              <w:rFonts w:hint="eastAsia" w:ascii="仿宋" w:hAnsi="仿宋" w:eastAsia="仿宋" w:cs="仿宋"/>
              <w:b/>
              <w:bCs/>
              <w:sz w:val="28"/>
              <w:szCs w:val="28"/>
              <w:highlight w:val="none"/>
            </w:rPr>
            <w:fldChar w:fldCharType="begin"/>
          </w:r>
          <w:r>
            <w:rPr>
              <w:rFonts w:hint="eastAsia" w:ascii="仿宋" w:hAnsi="仿宋" w:eastAsia="仿宋" w:cs="仿宋"/>
              <w:b/>
              <w:bCs/>
              <w:sz w:val="28"/>
              <w:szCs w:val="28"/>
              <w:highlight w:val="none"/>
            </w:rPr>
            <w:instrText xml:space="preserve"> PAGEREF _Toc13618 \h </w:instrText>
          </w:r>
          <w:r>
            <w:rPr>
              <w:rFonts w:hint="eastAsia" w:ascii="仿宋" w:hAnsi="仿宋" w:eastAsia="仿宋" w:cs="仿宋"/>
              <w:b/>
              <w:bCs/>
              <w:sz w:val="28"/>
              <w:szCs w:val="28"/>
              <w:highlight w:val="none"/>
            </w:rPr>
            <w:fldChar w:fldCharType="separate"/>
          </w:r>
          <w:r>
            <w:rPr>
              <w:rFonts w:hint="eastAsia" w:ascii="仿宋" w:hAnsi="仿宋" w:eastAsia="仿宋" w:cs="仿宋"/>
              <w:b/>
              <w:bCs/>
              <w:sz w:val="28"/>
              <w:szCs w:val="28"/>
              <w:highlight w:val="none"/>
            </w:rPr>
            <w:t>1</w:t>
          </w:r>
          <w:r>
            <w:rPr>
              <w:rFonts w:hint="eastAsia" w:ascii="仿宋" w:hAnsi="仿宋" w:eastAsia="仿宋" w:cs="仿宋"/>
              <w:b/>
              <w:bCs/>
              <w:sz w:val="28"/>
              <w:szCs w:val="28"/>
              <w:highlight w:val="none"/>
            </w:rPr>
            <w:fldChar w:fldCharType="end"/>
          </w:r>
          <w:r>
            <w:rPr>
              <w:rFonts w:hint="eastAsia" w:ascii="仿宋" w:hAnsi="仿宋" w:eastAsia="仿宋" w:cs="仿宋"/>
              <w:b/>
              <w:bCs/>
              <w:sz w:val="28"/>
              <w:szCs w:val="28"/>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_Toc1372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一、项目基本情况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_Toc1372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_Toc7151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（一）项目立项背景及实施目的</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_Toc7151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_Toc32240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（二）项目预算安排和支出情况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_Toc32240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_Toc30192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（三）项目主要内容和实施情况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_Toc30192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_Toc18009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二、项目绩效目标</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_Toc18009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_Toc13454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（一）总体绩效目标</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_Toc13454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_Toc29070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（二）2022年度绩效目标</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_Toc29070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_Toc29158 </w:instrText>
          </w:r>
          <w:r>
            <w:rPr>
              <w:rFonts w:hint="eastAsia" w:ascii="仿宋" w:hAnsi="仿宋" w:eastAsia="仿宋" w:cs="仿宋"/>
              <w:bCs/>
              <w:sz w:val="28"/>
              <w:szCs w:val="28"/>
              <w:highlight w:val="none"/>
            </w:rPr>
            <w:fldChar w:fldCharType="separate"/>
          </w:r>
          <w:r>
            <w:rPr>
              <w:rFonts w:hint="eastAsia" w:ascii="仿宋" w:hAnsi="仿宋" w:eastAsia="仿宋" w:cs="仿宋"/>
              <w:sz w:val="28"/>
              <w:szCs w:val="28"/>
              <w:highlight w:val="none"/>
            </w:rPr>
            <w:t>三</w:t>
          </w:r>
          <w:r>
            <w:rPr>
              <w:rFonts w:hint="eastAsia" w:ascii="仿宋" w:hAnsi="仿宋" w:eastAsia="仿宋" w:cs="仿宋"/>
              <w:bCs/>
              <w:sz w:val="28"/>
              <w:szCs w:val="28"/>
              <w:highlight w:val="none"/>
            </w:rPr>
            <w:t>、评价基本情况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_Toc29158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_Toc8264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（一）评价目的、对象和范围</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_Toc8264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_Toc18062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（二）评价原则、评价方法、评价指标体系</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_Toc18062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3</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_Toc16491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（三）绩效评价工作过程</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_Toc16491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3</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_Toc18938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四、评价结论和绩效分析</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_Toc18938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3</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_Toc3391 </w:instrText>
          </w:r>
          <w:r>
            <w:rPr>
              <w:rFonts w:hint="eastAsia" w:ascii="仿宋" w:hAnsi="仿宋" w:eastAsia="仿宋" w:cs="仿宋"/>
              <w:bCs/>
              <w:sz w:val="28"/>
              <w:szCs w:val="28"/>
              <w:highlight w:val="none"/>
            </w:rPr>
            <w:fldChar w:fldCharType="separate"/>
          </w:r>
          <w:r>
            <w:rPr>
              <w:rFonts w:hint="eastAsia" w:ascii="仿宋" w:hAnsi="仿宋" w:eastAsia="仿宋" w:cs="仿宋"/>
              <w:bCs w:val="0"/>
              <w:sz w:val="28"/>
              <w:szCs w:val="28"/>
              <w:highlight w:val="none"/>
            </w:rPr>
            <w:t>五、存在问题及原因分析</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_Toc3391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4</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_Toc29902 </w:instrText>
          </w:r>
          <w:r>
            <w:rPr>
              <w:rFonts w:hint="eastAsia" w:ascii="仿宋" w:hAnsi="仿宋" w:eastAsia="仿宋" w:cs="仿宋"/>
              <w:bCs/>
              <w:sz w:val="28"/>
              <w:szCs w:val="28"/>
              <w:highlight w:val="none"/>
            </w:rPr>
            <w:fldChar w:fldCharType="separate"/>
          </w:r>
          <w:r>
            <w:rPr>
              <w:rFonts w:hint="eastAsia" w:ascii="仿宋" w:hAnsi="仿宋" w:eastAsia="仿宋" w:cs="仿宋"/>
              <w:bCs w:val="0"/>
              <w:sz w:val="28"/>
              <w:szCs w:val="28"/>
              <w:highlight w:val="none"/>
            </w:rPr>
            <w:t>六、有关建议</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_Toc29902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4</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fldChar w:fldCharType="begin"/>
          </w:r>
          <w:r>
            <w:rPr>
              <w:rFonts w:hint="eastAsia" w:ascii="仿宋" w:hAnsi="仿宋" w:eastAsia="仿宋" w:cs="仿宋"/>
              <w:b/>
              <w:bCs/>
              <w:sz w:val="28"/>
              <w:szCs w:val="28"/>
              <w:highlight w:val="none"/>
            </w:rPr>
            <w:instrText xml:space="preserve"> HYPERLINK \l _Toc6210 </w:instrText>
          </w:r>
          <w:r>
            <w:rPr>
              <w:rFonts w:hint="eastAsia" w:ascii="仿宋" w:hAnsi="仿宋" w:eastAsia="仿宋" w:cs="仿宋"/>
              <w:b/>
              <w:bCs/>
              <w:sz w:val="28"/>
              <w:szCs w:val="28"/>
              <w:highlight w:val="none"/>
            </w:rPr>
            <w:fldChar w:fldCharType="separate"/>
          </w:r>
          <w:r>
            <w:rPr>
              <w:rFonts w:hint="eastAsia" w:ascii="仿宋" w:hAnsi="仿宋" w:eastAsia="仿宋" w:cs="仿宋"/>
              <w:b/>
              <w:bCs/>
              <w:sz w:val="28"/>
              <w:szCs w:val="28"/>
              <w:highlight w:val="none"/>
            </w:rPr>
            <w:t>全省法院人民法庭维修经费绩效评价报告</w:t>
          </w:r>
          <w:r>
            <w:rPr>
              <w:rFonts w:hint="eastAsia" w:ascii="仿宋" w:hAnsi="仿宋" w:eastAsia="仿宋" w:cs="仿宋"/>
              <w:b/>
              <w:bCs/>
              <w:sz w:val="28"/>
              <w:szCs w:val="28"/>
              <w:highlight w:val="none"/>
            </w:rPr>
            <w:tab/>
          </w:r>
          <w:r>
            <w:rPr>
              <w:rFonts w:hint="eastAsia" w:ascii="仿宋" w:hAnsi="仿宋" w:eastAsia="仿宋" w:cs="仿宋"/>
              <w:b/>
              <w:bCs/>
              <w:sz w:val="28"/>
              <w:szCs w:val="28"/>
              <w:highlight w:val="none"/>
            </w:rPr>
            <w:fldChar w:fldCharType="begin"/>
          </w:r>
          <w:r>
            <w:rPr>
              <w:rFonts w:hint="eastAsia" w:ascii="仿宋" w:hAnsi="仿宋" w:eastAsia="仿宋" w:cs="仿宋"/>
              <w:b/>
              <w:bCs/>
              <w:sz w:val="28"/>
              <w:szCs w:val="28"/>
              <w:highlight w:val="none"/>
            </w:rPr>
            <w:instrText xml:space="preserve"> PAGEREF _Toc6210 \h </w:instrText>
          </w:r>
          <w:r>
            <w:rPr>
              <w:rFonts w:hint="eastAsia" w:ascii="仿宋" w:hAnsi="仿宋" w:eastAsia="仿宋" w:cs="仿宋"/>
              <w:b/>
              <w:bCs/>
              <w:sz w:val="28"/>
              <w:szCs w:val="28"/>
              <w:highlight w:val="none"/>
            </w:rPr>
            <w:fldChar w:fldCharType="separate"/>
          </w:r>
          <w:r>
            <w:rPr>
              <w:rFonts w:hint="eastAsia" w:ascii="仿宋" w:hAnsi="仿宋" w:eastAsia="仿宋" w:cs="仿宋"/>
              <w:b/>
              <w:bCs/>
              <w:sz w:val="28"/>
              <w:szCs w:val="28"/>
              <w:highlight w:val="none"/>
            </w:rPr>
            <w:t>5</w:t>
          </w:r>
          <w:r>
            <w:rPr>
              <w:rFonts w:hint="eastAsia" w:ascii="仿宋" w:hAnsi="仿宋" w:eastAsia="仿宋" w:cs="仿宋"/>
              <w:b/>
              <w:bCs/>
              <w:sz w:val="28"/>
              <w:szCs w:val="28"/>
              <w:highlight w:val="none"/>
            </w:rPr>
            <w:fldChar w:fldCharType="end"/>
          </w:r>
          <w:r>
            <w:rPr>
              <w:rFonts w:hint="eastAsia" w:ascii="仿宋" w:hAnsi="仿宋" w:eastAsia="仿宋" w:cs="仿宋"/>
              <w:b/>
              <w:bCs/>
              <w:sz w:val="28"/>
              <w:szCs w:val="28"/>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_Toc1059 </w:instrText>
          </w:r>
          <w:r>
            <w:rPr>
              <w:rFonts w:hint="eastAsia" w:ascii="仿宋" w:hAnsi="仿宋" w:eastAsia="仿宋" w:cs="仿宋"/>
              <w:bCs/>
              <w:sz w:val="28"/>
              <w:szCs w:val="28"/>
              <w:highlight w:val="none"/>
            </w:rPr>
            <w:fldChar w:fldCharType="separate"/>
          </w:r>
          <w:r>
            <w:rPr>
              <w:rFonts w:hint="eastAsia" w:ascii="仿宋" w:hAnsi="仿宋" w:eastAsia="仿宋" w:cs="仿宋"/>
              <w:sz w:val="28"/>
              <w:szCs w:val="28"/>
              <w:highlight w:val="none"/>
            </w:rPr>
            <w:t>一、项目基本情况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_Toc1059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5</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_Toc23655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（一）项目立项背景</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_Toc23655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5</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_Toc8517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（二）项目预算安排及使用情况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_Toc8517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6</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_Toc3168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（三）项目计划内容及实施情况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_Toc3168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9</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_Toc30175 </w:instrText>
          </w:r>
          <w:r>
            <w:rPr>
              <w:rFonts w:hint="eastAsia" w:ascii="仿宋" w:hAnsi="仿宋" w:eastAsia="仿宋" w:cs="仿宋"/>
              <w:bCs/>
              <w:sz w:val="28"/>
              <w:szCs w:val="28"/>
              <w:highlight w:val="none"/>
            </w:rPr>
            <w:fldChar w:fldCharType="separate"/>
          </w:r>
          <w:r>
            <w:rPr>
              <w:rFonts w:hint="eastAsia" w:ascii="仿宋" w:hAnsi="仿宋" w:eastAsia="仿宋" w:cs="仿宋"/>
              <w:sz w:val="28"/>
              <w:szCs w:val="28"/>
              <w:highlight w:val="none"/>
            </w:rPr>
            <w:t>二、项目绩效目标</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_Toc30175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12</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_Toc28960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（一）总体目标</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_Toc28960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12</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_Toc28559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（二）年度目标</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_Toc28559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12</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_Toc7514 </w:instrText>
          </w:r>
          <w:r>
            <w:rPr>
              <w:rFonts w:hint="eastAsia" w:ascii="仿宋" w:hAnsi="仿宋" w:eastAsia="仿宋" w:cs="仿宋"/>
              <w:bCs/>
              <w:sz w:val="28"/>
              <w:szCs w:val="28"/>
              <w:highlight w:val="none"/>
            </w:rPr>
            <w:fldChar w:fldCharType="separate"/>
          </w:r>
          <w:r>
            <w:rPr>
              <w:rFonts w:hint="eastAsia" w:ascii="仿宋" w:hAnsi="仿宋" w:eastAsia="仿宋" w:cs="仿宋"/>
              <w:sz w:val="28"/>
              <w:szCs w:val="28"/>
              <w:highlight w:val="none"/>
            </w:rPr>
            <w:t>三、评价基本情况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_Toc7514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13</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_Toc27554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（一）评价目的</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_Toc27554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13</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_Toc16643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（二）评价对象与范围</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_Toc16643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13</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_Toc27304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（三）评价依据</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_Toc27304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13</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_Toc28943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（四）评价原则、评价方法</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_Toc28943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13</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_Toc28500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（五）绩效评价指标体系</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_Toc28500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16</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_Toc23743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（六）评价人员组成</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_Toc23743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18</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_Toc26074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（七）绩效评价工作过程</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_Toc26074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19</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_Toc19365 </w:instrText>
          </w:r>
          <w:r>
            <w:rPr>
              <w:rFonts w:hint="eastAsia" w:ascii="仿宋" w:hAnsi="仿宋" w:eastAsia="仿宋" w:cs="仿宋"/>
              <w:bCs/>
              <w:sz w:val="28"/>
              <w:szCs w:val="28"/>
              <w:highlight w:val="none"/>
            </w:rPr>
            <w:fldChar w:fldCharType="separate"/>
          </w:r>
          <w:r>
            <w:rPr>
              <w:rFonts w:hint="eastAsia" w:ascii="仿宋" w:hAnsi="仿宋" w:eastAsia="仿宋" w:cs="仿宋"/>
              <w:sz w:val="28"/>
              <w:szCs w:val="28"/>
              <w:highlight w:val="none"/>
            </w:rPr>
            <w:t>四、评价结论及分析</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_Toc19365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21</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_Toc30557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（一）综合评价情况及评价结论</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_Toc30557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21</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_Toc31645 </w:instrText>
          </w:r>
          <w:r>
            <w:rPr>
              <w:rFonts w:hint="eastAsia" w:ascii="仿宋" w:hAnsi="仿宋" w:eastAsia="仿宋" w:cs="仿宋"/>
              <w:bCs/>
              <w:sz w:val="28"/>
              <w:szCs w:val="28"/>
              <w:highlight w:val="none"/>
            </w:rPr>
            <w:fldChar w:fldCharType="separate"/>
          </w:r>
          <w:r>
            <w:rPr>
              <w:rFonts w:hint="eastAsia" w:ascii="仿宋" w:hAnsi="仿宋" w:eastAsia="仿宋" w:cs="仿宋"/>
              <w:bCs/>
              <w:kern w:val="0"/>
              <w:sz w:val="28"/>
              <w:szCs w:val="28"/>
              <w:highlight w:val="none"/>
              <w:lang w:bidi="ar"/>
            </w:rPr>
            <w:t>（二）非现场评价情况分析</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_Toc31645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22</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_Toc15507 </w:instrText>
          </w:r>
          <w:r>
            <w:rPr>
              <w:rFonts w:hint="eastAsia" w:ascii="仿宋" w:hAnsi="仿宋" w:eastAsia="仿宋" w:cs="仿宋"/>
              <w:bCs/>
              <w:sz w:val="28"/>
              <w:szCs w:val="28"/>
              <w:highlight w:val="none"/>
            </w:rPr>
            <w:fldChar w:fldCharType="separate"/>
          </w:r>
          <w:r>
            <w:rPr>
              <w:rFonts w:hint="eastAsia" w:ascii="仿宋" w:hAnsi="仿宋" w:eastAsia="仿宋" w:cs="仿宋"/>
              <w:bCs/>
              <w:kern w:val="0"/>
              <w:sz w:val="28"/>
              <w:szCs w:val="28"/>
              <w:highlight w:val="none"/>
              <w:lang w:bidi="ar"/>
            </w:rPr>
            <w:t>（三）现场评价情况分析</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_Toc15507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22</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_Toc9404 </w:instrText>
          </w:r>
          <w:r>
            <w:rPr>
              <w:rFonts w:hint="eastAsia" w:ascii="仿宋" w:hAnsi="仿宋" w:eastAsia="仿宋" w:cs="仿宋"/>
              <w:bCs/>
              <w:sz w:val="28"/>
              <w:szCs w:val="28"/>
              <w:highlight w:val="none"/>
            </w:rPr>
            <w:fldChar w:fldCharType="separate"/>
          </w:r>
          <w:r>
            <w:rPr>
              <w:rFonts w:hint="eastAsia" w:ascii="仿宋" w:hAnsi="仿宋" w:eastAsia="仿宋" w:cs="仿宋"/>
              <w:sz w:val="28"/>
              <w:szCs w:val="28"/>
              <w:highlight w:val="none"/>
            </w:rPr>
            <w:t>五、绩效评价指标分析</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_Toc9404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23</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_Toc28306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（一）项目决策情况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_Toc28306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23</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_Toc16331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（二）项目过程情况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_Toc16331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27</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_Toc24288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（三）项目产出情况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_Toc24288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29</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_Toc11412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（四）项目效益情况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_Toc11412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33</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_Toc22800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（五）满意度情况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_Toc22800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35</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_Toc3973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六、项目主要经验及做法</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_Toc3973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39</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_Toc11968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七、存在的问题及原因分析</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_Toc11968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40</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_Toc5159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八、有关建议</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_Toc5159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42</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_Toc5251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九、需要说明的问题</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_Toc5251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43</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2"/>
            <w:keepNext w:val="0"/>
            <w:keepLines w:val="0"/>
            <w:pageBreakBefore w:val="0"/>
            <w:widowControl w:val="0"/>
            <w:kinsoku/>
            <w:wordWrap/>
            <w:overflowPunct/>
            <w:topLinePunct w:val="0"/>
            <w:autoSpaceDE/>
            <w:autoSpaceDN/>
            <w:bidi w:val="0"/>
            <w:adjustRightInd/>
            <w:snapToGrid/>
            <w:spacing w:line="500" w:lineRule="exact"/>
            <w:textAlignment w:val="auto"/>
            <w:rPr>
              <w:rFonts w:ascii="宋体" w:hAnsi="宋体" w:eastAsia="仿宋"/>
              <w:b/>
              <w:bCs/>
              <w:sz w:val="28"/>
              <w:szCs w:val="44"/>
              <w:highlight w:val="none"/>
            </w:rPr>
            <w:sectPr>
              <w:headerReference r:id="rId5" w:type="default"/>
              <w:pgSz w:w="11906" w:h="16838"/>
              <w:pgMar w:top="1440" w:right="1800" w:bottom="1440" w:left="1800" w:header="851" w:footer="992" w:gutter="0"/>
              <w:pgNumType w:start="1"/>
              <w:cols w:space="425" w:num="1"/>
              <w:docGrid w:type="lines" w:linePitch="312" w:charSpace="0"/>
            </w:sectPr>
          </w:pPr>
          <w:r>
            <w:rPr>
              <w:rFonts w:hint="eastAsia" w:ascii="仿宋" w:hAnsi="仿宋" w:eastAsia="仿宋" w:cs="仿宋"/>
              <w:bCs/>
              <w:sz w:val="28"/>
              <w:szCs w:val="28"/>
              <w:highlight w:val="none"/>
            </w:rPr>
            <w:fldChar w:fldCharType="end"/>
          </w:r>
        </w:p>
      </w:sdtContent>
    </w:sdt>
    <w:p>
      <w:pPr>
        <w:pStyle w:val="2"/>
        <w:spacing w:line="560" w:lineRule="exact"/>
        <w:ind w:firstLine="880" w:firstLineChars="200"/>
        <w:jc w:val="center"/>
        <w:outlineLvl w:val="0"/>
        <w:rPr>
          <w:rFonts w:ascii="方正小标宋简体" w:hAnsi="宋体" w:eastAsia="方正小标宋简体"/>
          <w:sz w:val="44"/>
          <w:szCs w:val="44"/>
          <w:highlight w:val="none"/>
        </w:rPr>
      </w:pPr>
      <w:bookmarkStart w:id="10" w:name="_Toc13618"/>
      <w:r>
        <w:rPr>
          <w:rFonts w:hint="eastAsia" w:ascii="方正小标宋简体" w:hAnsi="宋体" w:eastAsia="方正小标宋简体"/>
          <w:sz w:val="44"/>
          <w:szCs w:val="44"/>
          <w:highlight w:val="none"/>
        </w:rPr>
        <w:t xml:space="preserve">摘 </w:t>
      </w:r>
      <w:r>
        <w:rPr>
          <w:rFonts w:ascii="方正小标宋简体" w:hAnsi="宋体" w:eastAsia="方正小标宋简体"/>
          <w:sz w:val="44"/>
          <w:szCs w:val="44"/>
          <w:highlight w:val="none"/>
        </w:rPr>
        <w:t xml:space="preserve">  </w:t>
      </w:r>
      <w:r>
        <w:rPr>
          <w:rFonts w:hint="eastAsia" w:ascii="方正小标宋简体" w:hAnsi="宋体" w:eastAsia="方正小标宋简体"/>
          <w:sz w:val="44"/>
          <w:szCs w:val="44"/>
          <w:highlight w:val="none"/>
        </w:rPr>
        <w:t>要</w:t>
      </w:r>
      <w:bookmarkEnd w:id="10"/>
    </w:p>
    <w:p>
      <w:pPr>
        <w:spacing w:line="560" w:lineRule="exact"/>
        <w:ind w:firstLine="420" w:firstLineChars="200"/>
        <w:jc w:val="center"/>
        <w:rPr>
          <w:highlight w:val="none"/>
        </w:rPr>
      </w:pPr>
    </w:p>
    <w:p>
      <w:pPr>
        <w:tabs>
          <w:tab w:val="left" w:pos="849"/>
        </w:tabs>
        <w:spacing w:line="560" w:lineRule="exact"/>
        <w:ind w:firstLine="640" w:firstLineChars="200"/>
        <w:outlineLvl w:val="0"/>
        <w:rPr>
          <w:rFonts w:ascii="黑体" w:hAnsi="黑体" w:eastAsia="黑体" w:cs="黑体"/>
          <w:b w:val="0"/>
          <w:bCs w:val="0"/>
          <w:sz w:val="32"/>
          <w:szCs w:val="32"/>
          <w:highlight w:val="none"/>
        </w:rPr>
      </w:pPr>
      <w:bookmarkStart w:id="11" w:name="_Toc13873"/>
      <w:bookmarkStart w:id="12" w:name="_Toc1372"/>
      <w:r>
        <w:rPr>
          <w:rFonts w:hint="eastAsia" w:ascii="黑体" w:hAnsi="黑体" w:eastAsia="黑体" w:cs="黑体"/>
          <w:b w:val="0"/>
          <w:bCs w:val="0"/>
          <w:sz w:val="32"/>
          <w:szCs w:val="32"/>
          <w:highlight w:val="none"/>
        </w:rPr>
        <w:t>一、项目基本情况</w:t>
      </w:r>
      <w:bookmarkEnd w:id="11"/>
      <w:bookmarkEnd w:id="12"/>
    </w:p>
    <w:p>
      <w:pPr>
        <w:pStyle w:val="2"/>
        <w:spacing w:line="560" w:lineRule="exact"/>
        <w:ind w:firstLine="643" w:firstLineChars="200"/>
        <w:outlineLvl w:val="1"/>
        <w:rPr>
          <w:rFonts w:ascii="楷体" w:hAnsi="楷体" w:eastAsia="楷体" w:cs="楷体"/>
          <w:b/>
          <w:bCs/>
          <w:highlight w:val="none"/>
        </w:rPr>
      </w:pPr>
      <w:bookmarkStart w:id="13" w:name="_Toc7151"/>
      <w:bookmarkStart w:id="14" w:name="_Toc30374"/>
      <w:r>
        <w:rPr>
          <w:rFonts w:hint="eastAsia" w:ascii="楷体" w:hAnsi="楷体" w:eastAsia="楷体" w:cs="楷体"/>
          <w:b/>
          <w:bCs/>
          <w:highlight w:val="none"/>
        </w:rPr>
        <w:t>（一）项目立项背景及实施目的</w:t>
      </w:r>
      <w:bookmarkEnd w:id="13"/>
      <w:bookmarkEnd w:id="14"/>
    </w:p>
    <w:p>
      <w:pPr>
        <w:pStyle w:val="2"/>
        <w:spacing w:line="560" w:lineRule="exact"/>
        <w:ind w:firstLine="640" w:firstLineChars="200"/>
        <w:rPr>
          <w:rFonts w:ascii="仿宋_GB2312" w:hAnsi="仿宋_GB2312" w:cs="仿宋_GB2312"/>
          <w:highlight w:val="none"/>
        </w:rPr>
      </w:pPr>
      <w:bookmarkStart w:id="15" w:name="_Toc24239"/>
      <w:r>
        <w:rPr>
          <w:rFonts w:hint="eastAsia" w:ascii="仿宋_GB2312" w:hAnsi="仿宋_GB2312" w:cs="仿宋_GB2312"/>
          <w:highlight w:val="none"/>
        </w:rPr>
        <w:t>为确保基层人民法庭审判、执行工作的正常运转，充分发挥人民法庭的职能作用，保证基层人民法庭审判工作人员的正常工作，为人民群众到基层人民法庭解决诉讼争议，创造良好的环境，特设立全省法院人民法庭维修经费项目。</w:t>
      </w:r>
    </w:p>
    <w:p>
      <w:pPr>
        <w:pStyle w:val="2"/>
        <w:spacing w:line="560" w:lineRule="exact"/>
        <w:ind w:firstLine="643" w:firstLineChars="200"/>
        <w:outlineLvl w:val="1"/>
        <w:rPr>
          <w:rFonts w:ascii="楷体" w:hAnsi="楷体" w:eastAsia="楷体" w:cs="楷体"/>
          <w:b/>
          <w:bCs/>
          <w:highlight w:val="none"/>
        </w:rPr>
      </w:pPr>
      <w:bookmarkStart w:id="16" w:name="_Toc32240"/>
      <w:r>
        <w:rPr>
          <w:rFonts w:hint="eastAsia" w:ascii="楷体" w:hAnsi="楷体" w:eastAsia="楷体" w:cs="楷体"/>
          <w:b/>
          <w:bCs/>
          <w:highlight w:val="none"/>
        </w:rPr>
        <w:t>（二）项目预算安排和支出情况</w:t>
      </w:r>
      <w:bookmarkEnd w:id="15"/>
      <w:bookmarkEnd w:id="16"/>
    </w:p>
    <w:p>
      <w:pPr>
        <w:pStyle w:val="2"/>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根据甘肃省财政厅2022年度预算安排，全省法院人民法庭维修经费项目全年预算资金5,273.74万元</w:t>
      </w:r>
      <w:r>
        <w:rPr>
          <w:rFonts w:hint="eastAsia" w:ascii="仿宋_GB2312" w:hAnsi="仿宋_GB2312" w:cs="仿宋_GB2312"/>
          <w:highlight w:val="none"/>
          <w:lang w:eastAsia="zh-CN"/>
        </w:rPr>
        <w:t>，</w:t>
      </w:r>
      <w:r>
        <w:rPr>
          <w:rFonts w:hint="eastAsia" w:ascii="仿宋_GB2312" w:hAnsi="仿宋_GB2312" w:cs="仿宋_GB2312"/>
          <w:highlight w:val="none"/>
        </w:rPr>
        <w:t>其中当年财政拨款5,000.00万元，上年结转资金273.74万元，截止2022年12月31日，该项目实际支出2,46</w:t>
      </w:r>
      <w:r>
        <w:rPr>
          <w:rFonts w:hint="eastAsia" w:ascii="仿宋_GB2312" w:hAnsi="仿宋_GB2312" w:cs="仿宋_GB2312"/>
          <w:highlight w:val="none"/>
          <w:lang w:val="en-US" w:eastAsia="zh-CN"/>
        </w:rPr>
        <w:t>9</w:t>
      </w:r>
      <w:r>
        <w:rPr>
          <w:rFonts w:hint="eastAsia" w:ascii="仿宋_GB2312" w:hAnsi="仿宋_GB2312" w:cs="仿宋_GB2312"/>
          <w:highlight w:val="none"/>
        </w:rPr>
        <w:t>.45万元。</w:t>
      </w:r>
    </w:p>
    <w:p>
      <w:pPr>
        <w:pStyle w:val="2"/>
        <w:spacing w:line="560" w:lineRule="exact"/>
        <w:ind w:firstLine="643" w:firstLineChars="200"/>
        <w:outlineLvl w:val="1"/>
        <w:rPr>
          <w:rFonts w:ascii="楷体" w:hAnsi="楷体" w:eastAsia="楷体" w:cs="楷体"/>
          <w:b/>
          <w:bCs/>
          <w:highlight w:val="none"/>
        </w:rPr>
      </w:pPr>
      <w:bookmarkStart w:id="17" w:name="_Toc30192"/>
      <w:bookmarkStart w:id="18" w:name="_Toc22406"/>
      <w:r>
        <w:rPr>
          <w:rFonts w:hint="eastAsia" w:ascii="楷体" w:hAnsi="楷体" w:eastAsia="楷体" w:cs="楷体"/>
          <w:b/>
          <w:bCs/>
          <w:highlight w:val="none"/>
        </w:rPr>
        <w:t>（三）项目主要内容和实施情况</w:t>
      </w:r>
      <w:bookmarkEnd w:id="17"/>
      <w:bookmarkEnd w:id="18"/>
    </w:p>
    <w:p>
      <w:pPr>
        <w:pStyle w:val="2"/>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为保障全省法院综合审判法庭、人民法庭业务用房能正常使用，2022年度拟对使用年限较长、设施设备老化、用房功能不全、存在安全隐患、无法满足工作基本需要的业务用房及实施基层人民法庭取暖工程的法院进行维修改造，确保各级法院能有效发挥审判职能。</w:t>
      </w:r>
    </w:p>
    <w:p>
      <w:pPr>
        <w:pStyle w:val="2"/>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本年度共拨付全省法院人民法庭维修经费项目</w:t>
      </w:r>
      <w:r>
        <w:rPr>
          <w:rFonts w:hint="eastAsia" w:ascii="仿宋_GB2312" w:hAnsi="仿宋_GB2312" w:cs="仿宋_GB2312"/>
          <w:highlight w:val="none"/>
          <w:lang w:val="en-US" w:eastAsia="zh-CN"/>
        </w:rPr>
        <w:t>79</w:t>
      </w:r>
      <w:r>
        <w:rPr>
          <w:rFonts w:hint="eastAsia" w:ascii="仿宋_GB2312" w:hAnsi="仿宋_GB2312" w:cs="仿宋_GB2312"/>
          <w:highlight w:val="none"/>
        </w:rPr>
        <w:t>个，</w:t>
      </w:r>
      <w:r>
        <w:rPr>
          <w:rFonts w:hint="eastAsia" w:ascii="仿宋_GB2312" w:hAnsi="仿宋_GB2312" w:cs="仿宋_GB2312"/>
          <w:highlight w:val="none"/>
          <w:lang w:val="en-US" w:eastAsia="zh-CN"/>
        </w:rPr>
        <w:t>其中</w:t>
      </w:r>
      <w:r>
        <w:rPr>
          <w:rFonts w:hint="eastAsia" w:ascii="仿宋_GB2312" w:hAnsi="仿宋_GB2312" w:cs="仿宋_GB2312"/>
          <w:highlight w:val="none"/>
        </w:rPr>
        <w:t>维修维护项目共批复22项，其中8个项目已完工并通过验收，2个项目完工待验收，10个项目尚未完工，2个项目年底未开工。基层法庭取暖工程共批复57项，其中36个法庭取暖项目已完工并通过验收，9个法庭取暖项目完工待验收，11个法庭取暖项目尚未完工，1个法庭未达到取暖条件年底未开工。</w:t>
      </w:r>
    </w:p>
    <w:p>
      <w:pPr>
        <w:tabs>
          <w:tab w:val="left" w:pos="849"/>
        </w:tabs>
        <w:spacing w:line="560" w:lineRule="exact"/>
        <w:ind w:firstLine="640" w:firstLineChars="200"/>
        <w:outlineLvl w:val="0"/>
        <w:rPr>
          <w:rFonts w:ascii="黑体" w:hAnsi="黑体" w:eastAsia="黑体" w:cs="黑体"/>
          <w:b w:val="0"/>
          <w:bCs w:val="0"/>
          <w:sz w:val="32"/>
          <w:szCs w:val="32"/>
          <w:highlight w:val="none"/>
        </w:rPr>
      </w:pPr>
      <w:bookmarkStart w:id="19" w:name="_Toc18009"/>
      <w:bookmarkStart w:id="20" w:name="_Toc4760"/>
      <w:r>
        <w:rPr>
          <w:rFonts w:hint="eastAsia" w:ascii="黑体" w:hAnsi="黑体" w:eastAsia="黑体" w:cs="黑体"/>
          <w:b w:val="0"/>
          <w:bCs w:val="0"/>
          <w:sz w:val="32"/>
          <w:szCs w:val="32"/>
          <w:highlight w:val="none"/>
        </w:rPr>
        <w:t>二、项目绩效目标</w:t>
      </w:r>
      <w:bookmarkEnd w:id="19"/>
      <w:bookmarkEnd w:id="20"/>
    </w:p>
    <w:p>
      <w:pPr>
        <w:pStyle w:val="2"/>
        <w:spacing w:line="560" w:lineRule="exact"/>
        <w:ind w:firstLine="643" w:firstLineChars="200"/>
        <w:outlineLvl w:val="1"/>
        <w:rPr>
          <w:rFonts w:ascii="仿宋" w:hAnsi="仿宋" w:eastAsia="仿宋" w:cs="仿宋"/>
          <w:b/>
          <w:bCs/>
          <w:highlight w:val="none"/>
        </w:rPr>
      </w:pPr>
      <w:bookmarkStart w:id="21" w:name="_Toc1873"/>
      <w:bookmarkStart w:id="22" w:name="_Toc13454"/>
      <w:r>
        <w:rPr>
          <w:rFonts w:hint="eastAsia" w:ascii="楷体" w:hAnsi="楷体" w:eastAsia="楷体" w:cs="楷体"/>
          <w:b/>
          <w:bCs/>
          <w:highlight w:val="none"/>
        </w:rPr>
        <w:t>（一）总体绩效目标</w:t>
      </w:r>
      <w:bookmarkEnd w:id="21"/>
      <w:bookmarkEnd w:id="22"/>
    </w:p>
    <w:p>
      <w:pPr>
        <w:pStyle w:val="2"/>
        <w:spacing w:line="560" w:lineRule="exact"/>
        <w:ind w:firstLine="640" w:firstLineChars="200"/>
        <w:rPr>
          <w:rFonts w:ascii="仿宋_GB2312" w:hAnsi="仿宋_GB2312" w:cs="仿宋_GB2312"/>
          <w:highlight w:val="none"/>
        </w:rPr>
      </w:pPr>
      <w:bookmarkStart w:id="23" w:name="_Toc13132"/>
      <w:r>
        <w:rPr>
          <w:rFonts w:hint="eastAsia" w:ascii="仿宋_GB2312" w:hAnsi="仿宋_GB2312" w:cs="仿宋_GB2312"/>
          <w:highlight w:val="none"/>
        </w:rPr>
        <w:t>全省法院综合审判法庭、人民法庭业务用房因使用年限较长、设施设备老化、用房功能不全、存在安全隐患、无法满足工作基本需要的进行维修改造，确保基层人民法庭审判、执行工作的正常运转，充分发挥人民法庭的职能作用，保证基层人民法庭审判工作人员的正常工作，为人民群众到基层人民法庭解决诉讼争议，创造良好的环境。</w:t>
      </w:r>
    </w:p>
    <w:p>
      <w:pPr>
        <w:pStyle w:val="2"/>
        <w:spacing w:line="560" w:lineRule="exact"/>
        <w:ind w:firstLine="643" w:firstLineChars="200"/>
        <w:outlineLvl w:val="1"/>
        <w:rPr>
          <w:rFonts w:ascii="楷体" w:hAnsi="楷体" w:eastAsia="楷体" w:cs="楷体"/>
          <w:b/>
          <w:bCs/>
          <w:highlight w:val="none"/>
        </w:rPr>
      </w:pPr>
      <w:bookmarkStart w:id="24" w:name="_Toc29070"/>
      <w:r>
        <w:rPr>
          <w:rFonts w:hint="eastAsia" w:ascii="楷体" w:hAnsi="楷体" w:eastAsia="楷体" w:cs="楷体"/>
          <w:b/>
          <w:bCs/>
          <w:highlight w:val="none"/>
        </w:rPr>
        <w:t>（二）2022年度绩效目标</w:t>
      </w:r>
      <w:bookmarkEnd w:id="23"/>
      <w:bookmarkEnd w:id="24"/>
    </w:p>
    <w:p>
      <w:pPr>
        <w:pStyle w:val="2"/>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为保障全省法院综合审判法庭、人民法庭业务用房能正常使用，2022年度拟对使用年限较长、设施设备老化、用房功能不全、存在安全隐患、无法满足工作基本需要的业务用房及实施基层人民法庭取暖工程的法院进行维修改造，确保各级法院能有效发挥审判职能。</w:t>
      </w:r>
    </w:p>
    <w:p>
      <w:pPr>
        <w:pStyle w:val="2"/>
        <w:spacing w:line="560" w:lineRule="exact"/>
        <w:ind w:firstLine="640" w:firstLineChars="200"/>
        <w:outlineLvl w:val="0"/>
        <w:rPr>
          <w:rFonts w:ascii="黑体" w:hAnsi="黑体" w:eastAsia="黑体" w:cs="黑体"/>
          <w:b w:val="0"/>
          <w:bCs w:val="0"/>
          <w:highlight w:val="none"/>
        </w:rPr>
      </w:pPr>
      <w:bookmarkStart w:id="25" w:name="_Toc23835"/>
      <w:bookmarkStart w:id="26" w:name="_Toc29158"/>
      <w:r>
        <w:rPr>
          <w:rFonts w:hint="eastAsia" w:ascii="黑体" w:hAnsi="黑体" w:eastAsia="黑体" w:cs="黑体"/>
          <w:b w:val="0"/>
          <w:bCs w:val="0"/>
          <w:highlight w:val="none"/>
        </w:rPr>
        <w:t>三、评价基本情况</w:t>
      </w:r>
      <w:bookmarkEnd w:id="25"/>
      <w:bookmarkEnd w:id="26"/>
    </w:p>
    <w:p>
      <w:pPr>
        <w:pStyle w:val="2"/>
        <w:spacing w:line="560" w:lineRule="exact"/>
        <w:ind w:firstLine="643" w:firstLineChars="200"/>
        <w:outlineLvl w:val="1"/>
        <w:rPr>
          <w:rFonts w:ascii="楷体" w:hAnsi="楷体" w:eastAsia="楷体" w:cs="楷体"/>
          <w:b/>
          <w:bCs/>
          <w:highlight w:val="none"/>
        </w:rPr>
      </w:pPr>
      <w:bookmarkStart w:id="27" w:name="_Toc8264"/>
      <w:bookmarkStart w:id="28" w:name="_Toc12764"/>
      <w:r>
        <w:rPr>
          <w:rFonts w:hint="eastAsia" w:ascii="楷体" w:hAnsi="楷体" w:eastAsia="楷体" w:cs="楷体"/>
          <w:b/>
          <w:bCs/>
          <w:highlight w:val="none"/>
        </w:rPr>
        <w:t>（一）评价目的、对象和范围</w:t>
      </w:r>
      <w:bookmarkEnd w:id="27"/>
      <w:bookmarkEnd w:id="28"/>
    </w:p>
    <w:p>
      <w:pPr>
        <w:pStyle w:val="2"/>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本次绩效评价的目的是对</w:t>
      </w:r>
      <w:r>
        <w:rPr>
          <w:rFonts w:hint="eastAsia" w:ascii="仿宋_GB2312" w:hAnsi="仿宋_GB2312" w:cs="仿宋_GB2312"/>
          <w:highlight w:val="none"/>
          <w:lang w:val="en-US" w:eastAsia="zh-CN"/>
        </w:rPr>
        <w:t>项目</w:t>
      </w:r>
      <w:r>
        <w:rPr>
          <w:rFonts w:hint="eastAsia" w:ascii="仿宋_GB2312" w:hAnsi="仿宋_GB2312" w:cs="仿宋_GB2312"/>
          <w:highlight w:val="none"/>
        </w:rPr>
        <w:t>预算资金的执行情况、资金使用情况、项目的绩效情况进行综合分析，与预期绩效目标进行对比评价，优化资金使用、完善资金管理，为该项目下一步的预算安排提供参考，不断提高资金的使用效益。</w:t>
      </w:r>
    </w:p>
    <w:p>
      <w:pPr>
        <w:pStyle w:val="2"/>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本次评价对象为2022年省财政安排的“全省法院人民法庭维修经费”</w:t>
      </w:r>
      <w:r>
        <w:rPr>
          <w:rFonts w:hint="eastAsia" w:ascii="仿宋_GB2312" w:hAnsi="仿宋_GB2312" w:cs="仿宋_GB2312"/>
          <w:highlight w:val="none"/>
          <w:lang w:val="en-US" w:eastAsia="zh-CN"/>
        </w:rPr>
        <w:t>项目</w:t>
      </w:r>
      <w:r>
        <w:rPr>
          <w:rFonts w:hint="eastAsia" w:ascii="仿宋_GB2312" w:hAnsi="仿宋_GB2312" w:cs="仿宋_GB2312"/>
          <w:highlight w:val="none"/>
        </w:rPr>
        <w:t>；评价范围为2022年全省法院人民法庭维修经费全年预算资金5,273.74万元</w:t>
      </w:r>
      <w:r>
        <w:rPr>
          <w:rFonts w:hint="eastAsia" w:ascii="仿宋_GB2312" w:hAnsi="仿宋_GB2312" w:cs="仿宋_GB2312"/>
          <w:highlight w:val="none"/>
          <w:lang w:val="en-US" w:eastAsia="zh-CN"/>
        </w:rPr>
        <w:t>的</w:t>
      </w:r>
      <w:r>
        <w:rPr>
          <w:rFonts w:hint="eastAsia" w:ascii="仿宋_GB2312" w:hAnsi="仿宋_GB2312" w:cs="仿宋_GB2312"/>
          <w:highlight w:val="none"/>
        </w:rPr>
        <w:t>资金使用和项目实施效益情况。</w:t>
      </w:r>
    </w:p>
    <w:p>
      <w:pPr>
        <w:pStyle w:val="2"/>
        <w:spacing w:line="560" w:lineRule="exact"/>
        <w:ind w:firstLine="643" w:firstLineChars="200"/>
        <w:outlineLvl w:val="1"/>
        <w:rPr>
          <w:rFonts w:ascii="楷体" w:hAnsi="楷体" w:eastAsia="楷体" w:cs="楷体"/>
          <w:b/>
          <w:bCs/>
          <w:highlight w:val="none"/>
        </w:rPr>
      </w:pPr>
      <w:bookmarkStart w:id="29" w:name="_Toc18062"/>
      <w:bookmarkStart w:id="30" w:name="_Toc861"/>
      <w:r>
        <w:rPr>
          <w:rFonts w:hint="eastAsia" w:ascii="楷体" w:hAnsi="楷体" w:eastAsia="楷体" w:cs="楷体"/>
          <w:b/>
          <w:bCs/>
          <w:highlight w:val="none"/>
        </w:rPr>
        <w:t>（二）评价原则、评价方法、评价指标体系</w:t>
      </w:r>
      <w:bookmarkEnd w:id="29"/>
      <w:bookmarkEnd w:id="30"/>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本次绩效评价遵循</w:t>
      </w:r>
      <w:r>
        <w:rPr>
          <w:rFonts w:hint="eastAsia" w:ascii="仿宋_GB2312" w:hAnsi="仿宋_GB2312" w:eastAsia="仿宋_GB2312" w:cs="仿宋_GB2312"/>
          <w:color w:val="000000" w:themeColor="text1"/>
          <w:sz w:val="32"/>
          <w:szCs w:val="32"/>
          <w:highlight w:val="none"/>
          <w14:textFill>
            <w14:solidFill>
              <w14:schemeClr w14:val="tx1"/>
            </w14:solidFill>
          </w14:textFill>
        </w:rPr>
        <w:t>科学规范、绩效相关、公开透明、激励约束的原</w:t>
      </w:r>
      <w:r>
        <w:rPr>
          <w:rFonts w:hint="eastAsia" w:ascii="仿宋_GB2312" w:hAnsi="仿宋_GB2312" w:eastAsia="仿宋_GB2312" w:cs="仿宋_GB2312"/>
          <w:sz w:val="32"/>
          <w:szCs w:val="32"/>
          <w:highlight w:val="none"/>
        </w:rPr>
        <w:t>则。</w:t>
      </w:r>
      <w:r>
        <w:rPr>
          <w:rFonts w:hint="eastAsia" w:ascii="仿宋_GB2312" w:hAnsi="仿宋_GB2312" w:eastAsia="仿宋_GB2312" w:cs="仿宋_GB2312"/>
          <w:color w:val="000000" w:themeColor="text1"/>
          <w:sz w:val="32"/>
          <w:szCs w:val="32"/>
          <w:highlight w:val="none"/>
          <w14:textFill>
            <w14:solidFill>
              <w14:schemeClr w14:val="tx1"/>
            </w14:solidFill>
          </w14:textFill>
        </w:rPr>
        <w:t>本次绩效评价采用定量和定性分析相结合，第三方评价机构现场核实、资料评审相结合，综合运用比较法、因素分析法和专家评议等方法进行评价。</w:t>
      </w:r>
      <w:r>
        <w:rPr>
          <w:rFonts w:hint="eastAsia" w:ascii="仿宋_GB2312" w:hAnsi="仿宋_GB2312" w:eastAsia="仿宋_GB2312" w:cs="仿宋_GB2312"/>
          <w:sz w:val="32"/>
          <w:szCs w:val="32"/>
          <w:highlight w:val="none"/>
        </w:rPr>
        <w:t>根据相关文件规定，绩效评价指标划分为三级，一级指标主要包括：项目决策</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过程、产出、效益、服务对象满意度情况，二级指标和三级指标根据项目情况量化、细化。</w:t>
      </w:r>
    </w:p>
    <w:p>
      <w:pPr>
        <w:pStyle w:val="2"/>
        <w:spacing w:line="560" w:lineRule="exact"/>
        <w:ind w:firstLine="643" w:firstLineChars="200"/>
        <w:outlineLvl w:val="1"/>
        <w:rPr>
          <w:rFonts w:ascii="楷体" w:hAnsi="楷体" w:eastAsia="楷体" w:cs="楷体"/>
          <w:b/>
          <w:bCs/>
          <w:highlight w:val="none"/>
        </w:rPr>
      </w:pPr>
      <w:bookmarkStart w:id="31" w:name="_Toc7306"/>
      <w:bookmarkStart w:id="32" w:name="_Toc16491"/>
      <w:r>
        <w:rPr>
          <w:rFonts w:hint="eastAsia" w:ascii="楷体" w:hAnsi="楷体" w:eastAsia="楷体" w:cs="楷体"/>
          <w:b/>
          <w:bCs/>
          <w:highlight w:val="none"/>
        </w:rPr>
        <w:t>（三）绩效评价工作过程</w:t>
      </w:r>
      <w:bookmarkEnd w:id="31"/>
      <w:bookmarkEnd w:id="32"/>
    </w:p>
    <w:p>
      <w:pPr>
        <w:spacing w:line="560" w:lineRule="exact"/>
        <w:ind w:firstLine="640" w:firstLineChars="200"/>
        <w:rPr>
          <w:rFonts w:ascii="仿宋_GB2312" w:hAnsi="仿宋_GB2312" w:eastAsia="仿宋_GB2312" w:cs="仿宋_GB2312"/>
          <w:sz w:val="32"/>
          <w:szCs w:val="32"/>
          <w:highlight w:val="none"/>
        </w:rPr>
      </w:pPr>
      <w:bookmarkStart w:id="33" w:name="_Toc29824"/>
      <w:r>
        <w:rPr>
          <w:rFonts w:hint="eastAsia" w:ascii="仿宋_GB2312" w:hAnsi="仿宋_GB2312" w:eastAsia="仿宋_GB2312" w:cs="仿宋_GB2312"/>
          <w:sz w:val="32"/>
          <w:szCs w:val="32"/>
          <w:highlight w:val="none"/>
        </w:rPr>
        <w:t>本次评价由甘肃省高级人民法院</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以下简称省法院</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委托甘肃卓诚财务咨询有限公司组成评价工作组，按照《甘肃省财政厅关于开展2022年度省级预算执行情况部门和财政重点绩效评价工作的通知》（甘财绩〔2023〕3号）要求，在充分开展前期调研的基础上，收集评价资料、开展现场评价、进行综合分析、撰写评价报告。</w:t>
      </w:r>
    </w:p>
    <w:p>
      <w:pPr>
        <w:pStyle w:val="2"/>
        <w:adjustRightInd w:val="0"/>
        <w:snapToGrid w:val="0"/>
        <w:spacing w:line="560" w:lineRule="exact"/>
        <w:ind w:firstLine="640" w:firstLineChars="200"/>
        <w:outlineLvl w:val="0"/>
        <w:rPr>
          <w:rFonts w:ascii="仿宋" w:hAnsi="仿宋" w:eastAsia="仿宋" w:cs="仿宋"/>
          <w:b w:val="0"/>
          <w:bCs w:val="0"/>
          <w:highlight w:val="none"/>
        </w:rPr>
      </w:pPr>
      <w:bookmarkStart w:id="34" w:name="_Toc18938"/>
      <w:r>
        <w:rPr>
          <w:rFonts w:hint="eastAsia" w:ascii="黑体" w:hAnsi="黑体" w:eastAsia="黑体" w:cs="黑体"/>
          <w:b w:val="0"/>
          <w:bCs w:val="0"/>
          <w:highlight w:val="none"/>
        </w:rPr>
        <w:t>四、评价结论和绩效分析</w:t>
      </w:r>
      <w:bookmarkEnd w:id="33"/>
      <w:bookmarkEnd w:id="34"/>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依据项目支出绩效评价指标体系和评分标准，综合评定2022年度全省法院人民法庭维修经费项目绩效评分为84.</w:t>
      </w:r>
      <w:r>
        <w:rPr>
          <w:rFonts w:hint="eastAsia" w:ascii="仿宋_GB2312" w:hAnsi="仿宋_GB2312" w:eastAsia="仿宋_GB2312" w:cs="仿宋_GB2312"/>
          <w:sz w:val="32"/>
          <w:szCs w:val="32"/>
          <w:highlight w:val="none"/>
          <w:lang w:val="en-US" w:eastAsia="zh-CN"/>
        </w:rPr>
        <w:t>79</w:t>
      </w:r>
      <w:r>
        <w:rPr>
          <w:rFonts w:hint="eastAsia" w:ascii="仿宋_GB2312" w:hAnsi="仿宋_GB2312" w:eastAsia="仿宋_GB2312" w:cs="仿宋_GB2312"/>
          <w:sz w:val="32"/>
          <w:szCs w:val="32"/>
          <w:highlight w:val="none"/>
        </w:rPr>
        <w:t>分，绩效等级为“良”。</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评价认为，2022年</w:t>
      </w:r>
      <w:r>
        <w:rPr>
          <w:rFonts w:hint="eastAsia" w:ascii="仿宋_GB2312" w:hAnsi="仿宋" w:eastAsia="仿宋_GB2312" w:cs="仿宋"/>
          <w:sz w:val="32"/>
          <w:szCs w:val="32"/>
          <w:highlight w:val="none"/>
        </w:rPr>
        <w:t>全省法院人民法庭维修经费项目</w:t>
      </w:r>
      <w:r>
        <w:rPr>
          <w:rFonts w:hint="eastAsia" w:ascii="仿宋_GB2312" w:hAnsi="仿宋_GB2312" w:eastAsia="仿宋_GB2312" w:cs="仿宋_GB2312"/>
          <w:sz w:val="32"/>
          <w:szCs w:val="32"/>
          <w:highlight w:val="none"/>
        </w:rPr>
        <w:t>立项依据充分，立项程序规范，预算编制科学，资金及时到位，管理制度健全，资金分配合理，</w:t>
      </w:r>
      <w:r>
        <w:rPr>
          <w:rFonts w:hint="eastAsia" w:ascii="仿宋_GB2312" w:hAnsi="仿宋_GB2312" w:eastAsia="仿宋_GB2312" w:cs="仿宋_GB2312"/>
          <w:sz w:val="32"/>
          <w:szCs w:val="32"/>
          <w:highlight w:val="none"/>
          <w:lang w:val="en-US" w:eastAsia="zh-CN"/>
        </w:rPr>
        <w:t>项目的实施为人民群众到基层人民法庭解决诉讼争议创造良好的环境，</w:t>
      </w:r>
      <w:r>
        <w:rPr>
          <w:rFonts w:hint="eastAsia" w:ascii="仿宋_GB2312" w:hAnsi="仿宋_GB2312" w:eastAsia="仿宋_GB2312" w:cs="仿宋_GB2312"/>
          <w:sz w:val="32"/>
          <w:szCs w:val="32"/>
          <w:highlight w:val="none"/>
        </w:rPr>
        <w:t>实施效益显著</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服务对象满意度较好。</w:t>
      </w:r>
      <w:r>
        <w:rPr>
          <w:rFonts w:hint="eastAsia" w:ascii="仿宋_GB2312" w:hAnsi="仿宋_GB2312" w:eastAsia="仿宋_GB2312" w:cs="仿宋_GB2312"/>
          <w:sz w:val="32"/>
          <w:szCs w:val="32"/>
          <w:highlight w:val="none"/>
          <w:lang w:val="en-US" w:eastAsia="zh-CN"/>
        </w:rPr>
        <w:t>但该项目仍存在</w:t>
      </w:r>
      <w:r>
        <w:rPr>
          <w:rFonts w:hint="eastAsia" w:ascii="仿宋_GB2312" w:hAnsi="仿宋_GB2312" w:eastAsia="仿宋_GB2312" w:cs="仿宋_GB2312"/>
          <w:sz w:val="32"/>
          <w:szCs w:val="32"/>
          <w:highlight w:val="none"/>
        </w:rPr>
        <w:t>绩效目标编制有待规范，预算执行率有待进一步提高，</w:t>
      </w:r>
      <w:r>
        <w:rPr>
          <w:rFonts w:hint="eastAsia" w:ascii="仿宋_GB2312" w:hAnsi="仿宋_GB2312" w:eastAsia="仿宋_GB2312" w:cs="仿宋_GB2312"/>
          <w:sz w:val="32"/>
          <w:szCs w:val="32"/>
          <w:highlight w:val="none"/>
          <w:lang w:val="en-US" w:eastAsia="zh-CN"/>
        </w:rPr>
        <w:t>资金使用有待规范，</w:t>
      </w:r>
      <w:r>
        <w:rPr>
          <w:rFonts w:hint="eastAsia" w:ascii="仿宋_GB2312" w:hAnsi="仿宋_GB2312" w:eastAsia="仿宋_GB2312" w:cs="仿宋_GB2312"/>
          <w:sz w:val="32"/>
          <w:szCs w:val="32"/>
          <w:highlight w:val="none"/>
        </w:rPr>
        <w:t>受疫情影响部分法院项目进度滞后</w:t>
      </w:r>
      <w:r>
        <w:rPr>
          <w:rFonts w:hint="eastAsia" w:ascii="仿宋_GB2312" w:hAnsi="仿宋_GB2312" w:eastAsia="仿宋_GB2312" w:cs="仿宋_GB2312"/>
          <w:sz w:val="32"/>
          <w:szCs w:val="32"/>
          <w:highlight w:val="none"/>
          <w:lang w:val="en-US" w:eastAsia="zh-CN"/>
        </w:rPr>
        <w:t>的问题</w:t>
      </w:r>
      <w:r>
        <w:rPr>
          <w:rFonts w:hint="eastAsia" w:ascii="仿宋_GB2312" w:hAnsi="仿宋_GB2312" w:eastAsia="仿宋_GB2312" w:cs="仿宋_GB2312"/>
          <w:sz w:val="32"/>
          <w:szCs w:val="32"/>
          <w:highlight w:val="none"/>
        </w:rPr>
        <w:t>。</w:t>
      </w:r>
    </w:p>
    <w:p>
      <w:pPr>
        <w:pStyle w:val="4"/>
        <w:keepNext w:val="0"/>
        <w:keepLines w:val="0"/>
        <w:spacing w:before="0" w:after="0" w:line="560" w:lineRule="exact"/>
        <w:ind w:firstLine="640" w:firstLineChars="200"/>
        <w:rPr>
          <w:rFonts w:ascii="黑体" w:hAnsi="黑体" w:eastAsia="黑体" w:cs="黑体"/>
          <w:b w:val="0"/>
          <w:bCs/>
          <w:sz w:val="32"/>
          <w:szCs w:val="32"/>
          <w:highlight w:val="none"/>
        </w:rPr>
      </w:pPr>
      <w:bookmarkStart w:id="35" w:name="_Toc16038"/>
      <w:bookmarkStart w:id="36" w:name="_Toc3391"/>
      <w:r>
        <w:rPr>
          <w:rFonts w:hint="eastAsia" w:ascii="黑体" w:hAnsi="黑体" w:eastAsia="黑体" w:cs="黑体"/>
          <w:b w:val="0"/>
          <w:bCs/>
          <w:sz w:val="32"/>
          <w:szCs w:val="32"/>
          <w:highlight w:val="none"/>
        </w:rPr>
        <w:t>五、存在问题及原因分析</w:t>
      </w:r>
      <w:bookmarkEnd w:id="35"/>
      <w:bookmarkEnd w:id="36"/>
    </w:p>
    <w:p>
      <w:pPr>
        <w:spacing w:line="560" w:lineRule="exact"/>
        <w:ind w:firstLine="640" w:firstLineChars="200"/>
        <w:rPr>
          <w:rFonts w:hint="eastAsia" w:ascii="仿宋_GB2312" w:hAnsi="仿宋_GB2312" w:eastAsia="仿宋_GB2312" w:cs="仿宋_GB2312"/>
          <w:color w:val="000000" w:themeColor="text1"/>
          <w:sz w:val="32"/>
          <w:szCs w:val="32"/>
          <w:highlight w:val="none"/>
          <w14:textFill>
            <w14:solidFill>
              <w14:schemeClr w14:val="tx1"/>
            </w14:solidFill>
          </w14:textFill>
        </w:rPr>
      </w:pPr>
      <w:bookmarkStart w:id="37" w:name="_Toc135595285"/>
      <w:bookmarkStart w:id="38" w:name="_Toc31513"/>
      <w:bookmarkStart w:id="39" w:name="_Toc9017"/>
      <w:bookmarkStart w:id="40" w:name="_Toc16824"/>
      <w:r>
        <w:rPr>
          <w:rFonts w:hint="eastAsia" w:ascii="仿宋_GB2312" w:hAnsi="仿宋_GB2312" w:eastAsia="仿宋_GB2312" w:cs="仿宋_GB2312"/>
          <w:color w:val="000000" w:themeColor="text1"/>
          <w:sz w:val="32"/>
          <w:szCs w:val="32"/>
          <w:highlight w:val="none"/>
          <w14:textFill>
            <w14:solidFill>
              <w14:schemeClr w14:val="tx1"/>
            </w14:solidFill>
          </w14:textFill>
        </w:rPr>
        <w:t>（一）项目支出预算执行率</w:t>
      </w:r>
      <w:bookmarkEnd w:id="37"/>
      <w:bookmarkEnd w:id="38"/>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有待提高。</w:t>
      </w:r>
    </w:p>
    <w:p>
      <w:pPr>
        <w:spacing w:line="560" w:lineRule="exact"/>
        <w:ind w:firstLine="640" w:firstLineChars="200"/>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bookmarkStart w:id="41" w:name="_Toc135595286"/>
      <w:bookmarkStart w:id="42" w:name="_Toc28765"/>
      <w:r>
        <w:rPr>
          <w:rFonts w:hint="eastAsia" w:ascii="仿宋_GB2312" w:hAnsi="仿宋_GB2312" w:eastAsia="仿宋_GB2312" w:cs="仿宋_GB2312"/>
          <w:color w:val="000000" w:themeColor="text1"/>
          <w:sz w:val="32"/>
          <w:szCs w:val="32"/>
          <w:highlight w:val="none"/>
          <w14:textFill>
            <w14:solidFill>
              <w14:schemeClr w14:val="tx1"/>
            </w14:solidFill>
          </w14:textFill>
        </w:rPr>
        <w:t>（二）绩效目标编制的合理性、明确性有待进一步提高</w:t>
      </w:r>
      <w:bookmarkEnd w:id="41"/>
      <w:bookmarkEnd w:id="42"/>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pPr>
        <w:spacing w:line="560" w:lineRule="exact"/>
        <w:ind w:firstLine="640" w:firstLineChars="200"/>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bookmarkStart w:id="43" w:name="_Toc4549"/>
      <w:bookmarkStart w:id="44" w:name="_Toc135595287"/>
      <w:r>
        <w:rPr>
          <w:rFonts w:hint="eastAsia" w:ascii="仿宋_GB2312" w:hAnsi="仿宋_GB2312" w:eastAsia="仿宋_GB2312" w:cs="仿宋_GB2312"/>
          <w:color w:val="000000" w:themeColor="text1"/>
          <w:sz w:val="32"/>
          <w:szCs w:val="32"/>
          <w:highlight w:val="none"/>
          <w14:textFill>
            <w14:solidFill>
              <w14:schemeClr w14:val="tx1"/>
            </w14:solidFill>
          </w14:textFill>
        </w:rPr>
        <w:t>（三）财务制度未严格执行，个别项目资金使用</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有待</w:t>
      </w:r>
      <w:r>
        <w:rPr>
          <w:rFonts w:hint="eastAsia" w:ascii="仿宋_GB2312" w:hAnsi="仿宋_GB2312" w:eastAsia="仿宋_GB2312" w:cs="仿宋_GB2312"/>
          <w:color w:val="000000" w:themeColor="text1"/>
          <w:sz w:val="32"/>
          <w:szCs w:val="32"/>
          <w:highlight w:val="none"/>
          <w14:textFill>
            <w14:solidFill>
              <w14:schemeClr w14:val="tx1"/>
            </w14:solidFill>
          </w14:textFill>
        </w:rPr>
        <w:t>规范</w:t>
      </w:r>
      <w:bookmarkEnd w:id="43"/>
      <w:bookmarkEnd w:id="44"/>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pPr>
        <w:spacing w:line="560" w:lineRule="exact"/>
        <w:ind w:firstLine="640" w:firstLineChars="200"/>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bookmarkStart w:id="45" w:name="_Toc12511"/>
      <w:bookmarkStart w:id="46" w:name="_Toc135595288"/>
      <w:r>
        <w:rPr>
          <w:rFonts w:hint="eastAsia" w:ascii="仿宋_GB2312" w:hAnsi="仿宋_GB2312" w:eastAsia="仿宋_GB2312" w:cs="仿宋_GB2312"/>
          <w:color w:val="000000" w:themeColor="text1"/>
          <w:sz w:val="32"/>
          <w:szCs w:val="32"/>
          <w:highlight w:val="none"/>
          <w14:textFill>
            <w14:solidFill>
              <w14:schemeClr w14:val="tx1"/>
            </w14:solidFill>
          </w14:textFill>
        </w:rPr>
        <w:t>（四）受疫情影响，部分法院项目进度滞后</w:t>
      </w:r>
      <w:bookmarkEnd w:id="45"/>
      <w:bookmarkEnd w:id="46"/>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pPr>
        <w:pStyle w:val="4"/>
        <w:keepNext w:val="0"/>
        <w:keepLines w:val="0"/>
        <w:spacing w:before="0" w:after="0" w:line="560" w:lineRule="exact"/>
        <w:ind w:firstLine="640" w:firstLineChars="200"/>
        <w:rPr>
          <w:rFonts w:ascii="黑体" w:hAnsi="黑体" w:eastAsia="黑体" w:cs="黑体"/>
          <w:b w:val="0"/>
          <w:bCs/>
          <w:sz w:val="32"/>
          <w:szCs w:val="32"/>
          <w:highlight w:val="none"/>
        </w:rPr>
      </w:pPr>
      <w:bookmarkStart w:id="47" w:name="_Toc29902"/>
      <w:r>
        <w:rPr>
          <w:rFonts w:hint="eastAsia" w:ascii="黑体" w:hAnsi="黑体" w:eastAsia="黑体" w:cs="黑体"/>
          <w:b w:val="0"/>
          <w:bCs/>
          <w:sz w:val="32"/>
          <w:szCs w:val="32"/>
          <w:highlight w:val="none"/>
        </w:rPr>
        <w:t>六、有关建议</w:t>
      </w:r>
      <w:bookmarkEnd w:id="47"/>
    </w:p>
    <w:p>
      <w:pPr>
        <w:spacing w:line="560" w:lineRule="exact"/>
        <w:ind w:firstLine="640" w:firstLineChars="200"/>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bookmarkStart w:id="48" w:name="_Toc955"/>
      <w:bookmarkStart w:id="49" w:name="_Toc135595290"/>
      <w:r>
        <w:rPr>
          <w:rFonts w:hint="eastAsia" w:ascii="仿宋_GB2312" w:hAnsi="仿宋_GB2312" w:eastAsia="仿宋_GB2312" w:cs="仿宋_GB2312"/>
          <w:color w:val="000000" w:themeColor="text1"/>
          <w:sz w:val="32"/>
          <w:szCs w:val="32"/>
          <w:highlight w:val="none"/>
          <w14:textFill>
            <w14:solidFill>
              <w14:schemeClr w14:val="tx1"/>
            </w14:solidFill>
          </w14:textFill>
        </w:rPr>
        <w:t>（一）细化预算编制，加快资金执行进度</w:t>
      </w:r>
      <w:bookmarkEnd w:id="48"/>
      <w:bookmarkEnd w:id="49"/>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pPr>
        <w:spacing w:line="560" w:lineRule="exact"/>
        <w:ind w:firstLine="640" w:firstLineChars="200"/>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bookmarkStart w:id="50" w:name="_Toc135595291"/>
      <w:bookmarkStart w:id="51" w:name="_Toc19319"/>
      <w:r>
        <w:rPr>
          <w:rFonts w:hint="eastAsia" w:ascii="仿宋_GB2312" w:hAnsi="仿宋_GB2312" w:eastAsia="仿宋_GB2312" w:cs="仿宋_GB2312"/>
          <w:color w:val="000000" w:themeColor="text1"/>
          <w:sz w:val="32"/>
          <w:szCs w:val="32"/>
          <w:highlight w:val="none"/>
          <w14:textFill>
            <w14:solidFill>
              <w14:schemeClr w14:val="tx1"/>
            </w14:solidFill>
          </w14:textFill>
        </w:rPr>
        <w:t>（二）以提高资金使用效益为目标，合理设定绩效指标</w:t>
      </w:r>
      <w:bookmarkEnd w:id="50"/>
      <w:bookmarkEnd w:id="51"/>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pPr>
        <w:spacing w:line="560" w:lineRule="exact"/>
        <w:ind w:firstLine="640" w:firstLineChars="200"/>
        <w:rPr>
          <w:rFonts w:hint="eastAsia" w:ascii="仿宋_GB2312" w:hAnsi="仿宋_GB2312" w:eastAsia="仿宋_GB2312" w:cs="仿宋_GB2312"/>
          <w:color w:val="000000" w:themeColor="text1"/>
          <w:sz w:val="32"/>
          <w:szCs w:val="32"/>
          <w:highlight w:val="none"/>
          <w14:textFill>
            <w14:solidFill>
              <w14:schemeClr w14:val="tx1"/>
            </w14:solidFill>
          </w14:textFill>
        </w:rPr>
      </w:pPr>
      <w:bookmarkStart w:id="52" w:name="_Toc135595292"/>
      <w:bookmarkStart w:id="53" w:name="_Toc18601"/>
      <w:r>
        <w:rPr>
          <w:rFonts w:hint="eastAsia" w:ascii="仿宋_GB2312" w:hAnsi="仿宋_GB2312" w:eastAsia="仿宋_GB2312" w:cs="仿宋_GB2312"/>
          <w:color w:val="000000" w:themeColor="text1"/>
          <w:sz w:val="32"/>
          <w:szCs w:val="32"/>
          <w:highlight w:val="none"/>
          <w14:textFill>
            <w14:solidFill>
              <w14:schemeClr w14:val="tx1"/>
            </w14:solidFill>
          </w14:textFill>
        </w:rPr>
        <w:t>（三）加强支付审批流程，严格按照合同约定付款。</w:t>
      </w:r>
      <w:bookmarkEnd w:id="52"/>
    </w:p>
    <w:bookmarkEnd w:id="53"/>
    <w:p>
      <w:pPr>
        <w:spacing w:line="560" w:lineRule="exact"/>
        <w:ind w:firstLine="640" w:firstLineChars="200"/>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bookmarkStart w:id="54" w:name="_Toc32275"/>
      <w:bookmarkStart w:id="55" w:name="_Toc135595293"/>
      <w:r>
        <w:rPr>
          <w:rFonts w:hint="eastAsia" w:ascii="仿宋_GB2312" w:hAnsi="仿宋_GB2312" w:eastAsia="仿宋_GB2312" w:cs="仿宋_GB2312"/>
          <w:color w:val="000000" w:themeColor="text1"/>
          <w:sz w:val="32"/>
          <w:szCs w:val="32"/>
          <w:highlight w:val="none"/>
          <w14:textFill>
            <w14:solidFill>
              <w14:schemeClr w14:val="tx1"/>
            </w14:solidFill>
          </w14:textFill>
        </w:rPr>
        <w:t>（四）规范项目管理，加快项目实施进度</w:t>
      </w:r>
      <w:bookmarkEnd w:id="54"/>
      <w:bookmarkEnd w:id="55"/>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pPr>
        <w:pStyle w:val="2"/>
        <w:spacing w:line="560" w:lineRule="exact"/>
        <w:ind w:firstLine="640" w:firstLineChars="200"/>
        <w:rPr>
          <w:rFonts w:ascii="仿宋_GB2312" w:hAnsi="仿宋_GB2312" w:cs="仿宋_GB2312"/>
          <w:highlight w:val="none"/>
        </w:rPr>
      </w:pPr>
    </w:p>
    <w:bookmarkEnd w:id="39"/>
    <w:bookmarkEnd w:id="40"/>
    <w:p>
      <w:pPr>
        <w:spacing w:line="560" w:lineRule="exact"/>
        <w:jc w:val="center"/>
        <w:outlineLvl w:val="0"/>
        <w:rPr>
          <w:rFonts w:ascii="方正小标宋简体" w:hAnsi="宋体" w:eastAsia="方正小标宋简体"/>
          <w:sz w:val="44"/>
          <w:szCs w:val="44"/>
          <w:highlight w:val="none"/>
        </w:rPr>
        <w:sectPr>
          <w:footerReference r:id="rId6" w:type="default"/>
          <w:pgSz w:w="11906" w:h="16838"/>
          <w:pgMar w:top="1440" w:right="1800" w:bottom="1440" w:left="1800" w:header="851" w:footer="992" w:gutter="0"/>
          <w:pgNumType w:fmt="decimal" w:start="1"/>
          <w:cols w:space="425" w:num="1"/>
          <w:docGrid w:type="lines" w:linePitch="312" w:charSpace="0"/>
        </w:sectPr>
      </w:pPr>
      <w:bookmarkStart w:id="56" w:name="_Toc2283"/>
      <w:bookmarkStart w:id="57" w:name="_Toc1784"/>
    </w:p>
    <w:p>
      <w:pPr>
        <w:spacing w:line="560" w:lineRule="exact"/>
        <w:jc w:val="center"/>
        <w:outlineLvl w:val="0"/>
        <w:rPr>
          <w:rFonts w:hint="eastAsia" w:ascii="方正小标宋简体" w:hAnsi="宋体" w:eastAsia="方正小标宋简体"/>
          <w:sz w:val="44"/>
          <w:szCs w:val="44"/>
          <w:highlight w:val="none"/>
        </w:rPr>
      </w:pPr>
      <w:bookmarkStart w:id="58" w:name="_Toc6210"/>
      <w:r>
        <w:rPr>
          <w:rFonts w:hint="eastAsia" w:ascii="方正小标宋简体" w:hAnsi="宋体" w:eastAsia="方正小标宋简体"/>
          <w:sz w:val="44"/>
          <w:szCs w:val="44"/>
          <w:highlight w:val="none"/>
        </w:rPr>
        <w:t>2022年度甘肃省高级人民法院重点项目</w:t>
      </w:r>
      <w:bookmarkStart w:id="59" w:name="_Toc10434"/>
      <w:bookmarkStart w:id="60" w:name="_Toc21731"/>
      <w:bookmarkStart w:id="61" w:name="_Toc25608"/>
      <w:bookmarkStart w:id="208" w:name="_GoBack"/>
      <w:bookmarkEnd w:id="208"/>
    </w:p>
    <w:p>
      <w:pPr>
        <w:spacing w:line="560" w:lineRule="exact"/>
        <w:jc w:val="center"/>
        <w:outlineLvl w:val="0"/>
        <w:rPr>
          <w:rFonts w:hint="eastAsia" w:ascii="方正小标宋简体" w:hAnsi="宋体" w:eastAsia="方正小标宋简体"/>
          <w:sz w:val="44"/>
          <w:szCs w:val="44"/>
          <w:highlight w:val="none"/>
        </w:rPr>
      </w:pPr>
      <w:r>
        <w:rPr>
          <w:rFonts w:hint="eastAsia" w:ascii="方正小标宋简体" w:hAnsi="宋体" w:eastAsia="方正小标宋简体"/>
          <w:sz w:val="44"/>
          <w:szCs w:val="44"/>
          <w:highlight w:val="none"/>
        </w:rPr>
        <w:t>—全省法院人民法庭维修经费</w:t>
      </w:r>
      <w:bookmarkEnd w:id="58"/>
    </w:p>
    <w:p>
      <w:pPr>
        <w:spacing w:line="560" w:lineRule="exact"/>
        <w:jc w:val="center"/>
        <w:outlineLvl w:val="0"/>
        <w:rPr>
          <w:rFonts w:ascii="方正小标宋简体" w:hAnsi="宋体" w:eastAsia="方正小标宋简体"/>
          <w:sz w:val="44"/>
          <w:szCs w:val="44"/>
          <w:highlight w:val="none"/>
        </w:rPr>
      </w:pPr>
      <w:bookmarkStart w:id="62" w:name="_Toc5667"/>
      <w:r>
        <w:rPr>
          <w:rFonts w:hint="eastAsia" w:ascii="方正小标宋简体" w:hAnsi="宋体" w:eastAsia="方正小标宋简体"/>
          <w:sz w:val="44"/>
          <w:szCs w:val="44"/>
          <w:highlight w:val="none"/>
        </w:rPr>
        <w:t>绩效评价报告</w:t>
      </w:r>
      <w:bookmarkEnd w:id="59"/>
      <w:bookmarkEnd w:id="60"/>
      <w:bookmarkEnd w:id="61"/>
      <w:bookmarkEnd w:id="62"/>
    </w:p>
    <w:p>
      <w:pPr>
        <w:pStyle w:val="2"/>
        <w:keepNext w:val="0"/>
        <w:keepLines w:val="0"/>
        <w:pageBreakBefore w:val="0"/>
        <w:widowControl w:val="0"/>
        <w:kinsoku/>
        <w:wordWrap/>
        <w:overflowPunct w:val="0"/>
        <w:topLinePunct w:val="0"/>
        <w:autoSpaceDE/>
        <w:autoSpaceDN/>
        <w:bidi w:val="0"/>
        <w:adjustRightInd/>
        <w:snapToGrid/>
        <w:spacing w:before="157" w:beforeLines="50" w:after="157" w:afterLines="50" w:line="560" w:lineRule="exact"/>
        <w:ind w:firstLine="560" w:firstLineChars="200"/>
        <w:jc w:val="right"/>
        <w:textAlignment w:val="auto"/>
        <w:outlineLvl w:val="0"/>
        <w:rPr>
          <w:rFonts w:hint="eastAsia"/>
        </w:rPr>
      </w:pPr>
      <w:bookmarkStart w:id="63" w:name="_Toc28166"/>
      <w:r>
        <w:rPr>
          <w:rFonts w:hint="eastAsia" w:ascii="楷体" w:hAnsi="楷体" w:eastAsia="楷体" w:cs="楷体"/>
          <w:sz w:val="28"/>
          <w:szCs w:val="28"/>
        </w:rPr>
        <w:t>甘卓诚咨字【2023】第01</w:t>
      </w:r>
      <w:r>
        <w:rPr>
          <w:rFonts w:hint="eastAsia" w:ascii="楷体" w:hAnsi="楷体" w:eastAsia="楷体" w:cs="楷体"/>
          <w:sz w:val="28"/>
          <w:szCs w:val="28"/>
          <w:lang w:val="en-US" w:eastAsia="zh-CN"/>
        </w:rPr>
        <w:t>4</w:t>
      </w:r>
      <w:r>
        <w:rPr>
          <w:rFonts w:hint="eastAsia" w:ascii="楷体" w:hAnsi="楷体" w:eastAsia="楷体" w:cs="楷体"/>
          <w:sz w:val="28"/>
          <w:szCs w:val="28"/>
        </w:rPr>
        <w:t>号</w:t>
      </w:r>
    </w:p>
    <w:p>
      <w:pPr>
        <w:pStyle w:val="2"/>
        <w:spacing w:line="560" w:lineRule="exact"/>
        <w:ind w:firstLine="640" w:firstLineChars="200"/>
        <w:outlineLvl w:val="0"/>
        <w:rPr>
          <w:rFonts w:ascii="黑体" w:eastAsia="黑体"/>
          <w:highlight w:val="none"/>
        </w:rPr>
      </w:pPr>
      <w:bookmarkStart w:id="64" w:name="_Toc1059"/>
      <w:r>
        <w:rPr>
          <w:rFonts w:hint="eastAsia" w:ascii="黑体" w:eastAsia="黑体"/>
          <w:highlight w:val="none"/>
        </w:rPr>
        <w:t>一、项目基本情况</w:t>
      </w:r>
      <w:bookmarkEnd w:id="56"/>
      <w:bookmarkEnd w:id="57"/>
      <w:bookmarkEnd w:id="63"/>
      <w:bookmarkEnd w:id="64"/>
    </w:p>
    <w:p>
      <w:pPr>
        <w:pStyle w:val="2"/>
        <w:spacing w:line="560" w:lineRule="exact"/>
        <w:ind w:firstLine="643" w:firstLineChars="200"/>
        <w:outlineLvl w:val="1"/>
        <w:rPr>
          <w:rFonts w:ascii="楷体" w:hAnsi="楷体" w:eastAsia="楷体" w:cs="楷体"/>
          <w:b/>
          <w:bCs/>
          <w:highlight w:val="none"/>
        </w:rPr>
      </w:pPr>
      <w:bookmarkStart w:id="65" w:name="_Toc23655"/>
      <w:bookmarkStart w:id="66" w:name="_Toc11404"/>
      <w:bookmarkStart w:id="67" w:name="_Toc21843"/>
      <w:r>
        <w:rPr>
          <w:rFonts w:hint="eastAsia" w:ascii="楷体" w:hAnsi="楷体" w:eastAsia="楷体" w:cs="楷体"/>
          <w:b/>
          <w:bCs/>
          <w:highlight w:val="none"/>
        </w:rPr>
        <w:t>（一）项目立项背景</w:t>
      </w:r>
      <w:bookmarkEnd w:id="65"/>
      <w:bookmarkEnd w:id="66"/>
      <w:bookmarkEnd w:id="67"/>
    </w:p>
    <w:p>
      <w:pPr>
        <w:pStyle w:val="2"/>
        <w:overflowPunct w:val="0"/>
        <w:spacing w:line="560" w:lineRule="exact"/>
        <w:ind w:firstLine="640" w:firstLineChars="200"/>
        <w:rPr>
          <w:rFonts w:hint="eastAsia" w:ascii="仿宋_GB2312" w:hAnsi="仿宋_GB2312" w:eastAsia="仿宋_GB2312" w:cs="仿宋_GB2312"/>
          <w:highlight w:val="none"/>
        </w:rPr>
      </w:pPr>
      <w:bookmarkStart w:id="68" w:name="_Hlk107005708"/>
      <w:bookmarkStart w:id="69" w:name="_Toc10699"/>
      <w:bookmarkStart w:id="70" w:name="_Toc27159"/>
      <w:r>
        <w:rPr>
          <w:rFonts w:hint="eastAsia" w:ascii="仿宋_GB2312" w:hAnsi="仿宋_GB2312" w:eastAsia="仿宋_GB2312" w:cs="仿宋_GB2312"/>
          <w:highlight w:val="none"/>
        </w:rPr>
        <w:t>在社会迅速发展时期，矛盾纠纷加剧且复杂化，人民法院辐射范围有限</w:t>
      </w:r>
      <w:r>
        <w:rPr>
          <w:rFonts w:hint="eastAsia" w:ascii="仿宋_GB2312" w:hAnsi="仿宋_GB2312" w:eastAsia="仿宋_GB2312" w:cs="仿宋_GB2312"/>
          <w:color w:val="auto"/>
          <w:highlight w:val="none"/>
        </w:rPr>
        <w:t>，基层法庭有其自身的优势和作用，在为有效解决我国基层社会纠纷，推动法治建设发挥了独特的作用。基层法庭属于基层法院的派出机构，主要职能是方便当地群众</w:t>
      </w:r>
      <w:r>
        <w:rPr>
          <w:rFonts w:hint="eastAsia" w:ascii="仿宋_GB2312" w:hAnsi="仿宋_GB2312" w:eastAsia="仿宋_GB2312" w:cs="仿宋_GB2312"/>
          <w:color w:val="auto"/>
          <w:highlight w:val="none"/>
          <w:lang w:val="en-US" w:eastAsia="zh-CN"/>
        </w:rPr>
        <w:t>诉讼</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rPr>
        <w:t>全省共有基层人民法庭338个，</w:t>
      </w:r>
      <w:r>
        <w:rPr>
          <w:rFonts w:hint="eastAsia" w:ascii="仿宋_GB2312" w:hAnsi="仿宋_GB2312" w:eastAsia="仿宋_GB2312" w:cs="仿宋_GB2312"/>
          <w:highlight w:val="none"/>
        </w:rPr>
        <w:t>为确保基层人民法庭审判、执行工作的正常运转，充分发挥人民法庭的职能作用，保证基层人民法庭审判工作人员的正常工作，为人民群众到基层人民法庭解决诉讼争议创造良好的环境，特设立全省法院人民法庭维修经费项目。</w:t>
      </w:r>
    </w:p>
    <w:p>
      <w:pPr>
        <w:pStyle w:val="2"/>
        <w:overflowPunct w:val="0"/>
        <w:spacing w:line="560" w:lineRule="exact"/>
        <w:ind w:firstLine="640" w:firstLineChars="200"/>
        <w:rPr>
          <w:rFonts w:ascii="仿宋_GB2312" w:hAnsi="仿宋_GB2312" w:cs="仿宋_GB2312"/>
          <w:highlight w:val="none"/>
        </w:rPr>
      </w:pPr>
      <w:r>
        <w:rPr>
          <w:rFonts w:hint="eastAsia" w:ascii="仿宋_GB2312" w:hAnsi="仿宋_GB2312" w:eastAsia="仿宋_GB2312" w:cs="仿宋_GB2312"/>
          <w:highlight w:val="none"/>
        </w:rPr>
        <w:t>全省法院综合审判法庭、人民法庭业务用房因使用年限较长、设施设备老化、用房功能不全、存在安全隐患、无法满足工作基本需要的可申请进行维修改造，主要对房屋基础局部损坏和墙体、墙面、门窗、屋顶损坏以及水、电、暖、通风、节能等确实需要的内容进行更换改造。项目按照省机关事务管理局出台的相关维修改造项目申报管理规定进行审批，所有批复项目的经费需从全省法院维修改造项目资金中安排；同时，为解决基层人民法庭取暖困难问题，对基层人民法庭实施取暖工程。</w:t>
      </w:r>
    </w:p>
    <w:bookmarkEnd w:id="68"/>
    <w:p>
      <w:pPr>
        <w:pStyle w:val="2"/>
        <w:spacing w:line="560" w:lineRule="exact"/>
        <w:ind w:firstLine="643" w:firstLineChars="200"/>
        <w:outlineLvl w:val="1"/>
        <w:rPr>
          <w:rFonts w:ascii="楷体" w:hAnsi="楷体" w:eastAsia="楷体" w:cs="楷体"/>
          <w:b/>
          <w:bCs/>
          <w:highlight w:val="none"/>
        </w:rPr>
      </w:pPr>
      <w:bookmarkStart w:id="71" w:name="_Toc8517"/>
      <w:r>
        <w:rPr>
          <w:rFonts w:hint="eastAsia" w:ascii="楷体" w:hAnsi="楷体" w:eastAsia="楷体" w:cs="楷体"/>
          <w:b/>
          <w:bCs/>
          <w:highlight w:val="none"/>
        </w:rPr>
        <w:t>（二）项目预算安排及使用情况</w:t>
      </w:r>
      <w:bookmarkEnd w:id="69"/>
      <w:bookmarkEnd w:id="70"/>
      <w:bookmarkEnd w:id="71"/>
    </w:p>
    <w:p>
      <w:pPr>
        <w:pStyle w:val="2"/>
        <w:spacing w:line="560" w:lineRule="exact"/>
        <w:ind w:firstLine="643" w:firstLineChars="200"/>
        <w:outlineLvl w:val="2"/>
        <w:rPr>
          <w:rFonts w:ascii="仿宋_GB2312" w:hAnsi="仿宋_GB2312" w:cs="仿宋_GB2312"/>
          <w:b/>
          <w:bCs/>
          <w:color w:val="000000" w:themeColor="text1"/>
          <w:highlight w:val="none"/>
          <w14:textFill>
            <w14:solidFill>
              <w14:schemeClr w14:val="tx1"/>
            </w14:solidFill>
          </w14:textFill>
        </w:rPr>
      </w:pPr>
      <w:r>
        <w:rPr>
          <w:rFonts w:hint="eastAsia" w:ascii="仿宋_GB2312" w:hAnsi="仿宋_GB2312" w:cs="仿宋_GB2312"/>
          <w:b/>
          <w:bCs/>
          <w:color w:val="000000" w:themeColor="text1"/>
          <w:highlight w:val="none"/>
          <w14:textFill>
            <w14:solidFill>
              <w14:schemeClr w14:val="tx1"/>
            </w14:solidFill>
          </w14:textFill>
        </w:rPr>
        <w:t>1.预算安排情况</w:t>
      </w:r>
    </w:p>
    <w:p>
      <w:pPr>
        <w:pStyle w:val="2"/>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lang w:eastAsia="zh-CN"/>
        </w:rPr>
        <w:t>根据甘肃省财政厅2022年度预算安排</w:t>
      </w:r>
      <w:r>
        <w:rPr>
          <w:rFonts w:hint="eastAsia" w:ascii="仿宋_GB2312" w:hAnsi="仿宋_GB2312" w:cs="仿宋_GB2312"/>
          <w:highlight w:val="none"/>
        </w:rPr>
        <w:t>，全省法院人民法庭维修经费全年预算数5,273.74万元</w:t>
      </w:r>
      <w:r>
        <w:rPr>
          <w:rFonts w:hint="eastAsia" w:ascii="仿宋_GB2312" w:hAnsi="仿宋_GB2312" w:cs="仿宋_GB2312"/>
          <w:highlight w:val="none"/>
          <w:lang w:eastAsia="zh-CN"/>
        </w:rPr>
        <w:t>，</w:t>
      </w:r>
      <w:r>
        <w:rPr>
          <w:rFonts w:hint="eastAsia" w:ascii="仿宋_GB2312" w:hAnsi="仿宋_GB2312" w:cs="仿宋_GB2312"/>
          <w:highlight w:val="none"/>
        </w:rPr>
        <w:t>其中当年财政拨款5,000.00万元，年初随部门预算下达至省法院</w:t>
      </w:r>
      <w:r>
        <w:rPr>
          <w:rFonts w:hint="eastAsia" w:ascii="仿宋_GB2312" w:hAnsi="仿宋_GB2312" w:cs="仿宋_GB2312"/>
          <w:highlight w:val="none"/>
          <w:lang w:eastAsia="zh-CN"/>
        </w:rPr>
        <w:t>，</w:t>
      </w:r>
      <w:r>
        <w:rPr>
          <w:rFonts w:hint="eastAsia" w:ascii="仿宋_GB2312" w:hAnsi="仿宋_GB2312" w:cs="仿宋_GB2312"/>
          <w:highlight w:val="none"/>
          <w:lang w:val="en-US" w:eastAsia="zh-CN"/>
        </w:rPr>
        <w:t>上年结转资金273.74万元</w:t>
      </w:r>
      <w:r>
        <w:rPr>
          <w:rFonts w:hint="eastAsia" w:ascii="仿宋_GB2312" w:hAnsi="仿宋_GB2312" w:cs="仿宋_GB2312"/>
          <w:highlight w:val="none"/>
        </w:rPr>
        <w:t>。</w:t>
      </w:r>
    </w:p>
    <w:p>
      <w:pPr>
        <w:pStyle w:val="2"/>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省法院《关于2022年度第一批全省法院维修资金安排建议的报告》</w:t>
      </w:r>
      <w:r>
        <w:rPr>
          <w:rFonts w:hint="eastAsia" w:ascii="仿宋_GB2312" w:hAnsi="仿宋_GB2312" w:cs="仿宋_GB2312"/>
          <w:highlight w:val="none"/>
          <w:lang w:eastAsia="zh-CN"/>
        </w:rPr>
        <w:t>（</w:t>
      </w:r>
      <w:r>
        <w:rPr>
          <w:rFonts w:hint="eastAsia" w:ascii="仿宋_GB2312" w:hAnsi="仿宋_GB2312" w:cs="仿宋_GB2312"/>
          <w:highlight w:val="none"/>
        </w:rPr>
        <w:t>甘高法行</w:t>
      </w:r>
      <w:r>
        <w:rPr>
          <w:rFonts w:hint="eastAsia" w:ascii="仿宋_GB2312" w:hAnsi="仿宋_GB2312" w:eastAsia="仿宋_GB2312" w:cs="仿宋_GB2312"/>
          <w:highlight w:val="none"/>
        </w:rPr>
        <w:t>装〔2022〕23号</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rPr>
        <w:t>提出第一批人民法庭维修资金1,855.00万元</w:t>
      </w:r>
      <w:r>
        <w:rPr>
          <w:rFonts w:hint="eastAsia" w:ascii="仿宋_GB2312" w:hAnsi="仿宋_GB2312" w:eastAsia="仿宋_GB2312" w:cs="仿宋_GB2312"/>
          <w:highlight w:val="none"/>
          <w:lang w:val="en-US" w:eastAsia="zh-CN"/>
        </w:rPr>
        <w:t>的</w:t>
      </w:r>
      <w:r>
        <w:rPr>
          <w:rFonts w:hint="eastAsia" w:ascii="仿宋_GB2312" w:hAnsi="仿宋_GB2312" w:eastAsia="仿宋_GB2312" w:cs="仿宋_GB2312"/>
          <w:highlight w:val="none"/>
        </w:rPr>
        <w:t>安排建议</w:t>
      </w:r>
      <w:r>
        <w:rPr>
          <w:rFonts w:hint="eastAsia" w:ascii="仿宋_GB2312" w:hAnsi="仿宋_GB2312" w:cs="仿宋_GB2312"/>
          <w:highlight w:val="none"/>
          <w:lang w:eastAsia="zh-CN"/>
        </w:rPr>
        <w:t>。</w:t>
      </w:r>
      <w:r>
        <w:rPr>
          <w:rFonts w:hint="eastAsia" w:ascii="仿宋_GB2312" w:hAnsi="仿宋_GB2312" w:eastAsia="仿宋_GB2312" w:cs="仿宋_GB2312"/>
          <w:highlight w:val="none"/>
        </w:rPr>
        <w:t>2022年4月22日，甘肃省财政厅《关于下达2022年第一批全省法院人民法庭维修经费的通知》（甘财政法〔2022〕11号）下达了第一批全省法院人民法庭维修经费1,855.00万元，</w:t>
      </w:r>
      <w:r>
        <w:rPr>
          <w:rFonts w:hint="eastAsia" w:ascii="仿宋_GB2312" w:hAnsi="仿宋_GB2312" w:eastAsia="仿宋_GB2312" w:cs="仿宋_GB2312"/>
          <w:highlight w:val="none"/>
          <w:lang w:val="en-US" w:eastAsia="zh-CN"/>
        </w:rPr>
        <w:t>由21</w:t>
      </w:r>
      <w:r>
        <w:rPr>
          <w:rFonts w:hint="eastAsia" w:ascii="仿宋_GB2312" w:hAnsi="仿宋_GB2312" w:eastAsia="仿宋_GB2312" w:cs="仿宋_GB2312"/>
          <w:highlight w:val="none"/>
        </w:rPr>
        <w:t>个</w:t>
      </w:r>
      <w:r>
        <w:rPr>
          <w:rFonts w:hint="eastAsia" w:ascii="仿宋_GB2312" w:hAnsi="仿宋_GB2312" w:cs="仿宋_GB2312"/>
          <w:highlight w:val="none"/>
        </w:rPr>
        <w:t>基层法院</w:t>
      </w:r>
      <w:r>
        <w:rPr>
          <w:rFonts w:hint="eastAsia" w:ascii="仿宋_GB2312" w:hAnsi="仿宋_GB2312" w:cs="仿宋_GB2312"/>
          <w:highlight w:val="none"/>
          <w:lang w:val="en-US" w:eastAsia="zh-CN"/>
        </w:rPr>
        <w:t>使用</w:t>
      </w:r>
      <w:r>
        <w:rPr>
          <w:rFonts w:hint="eastAsia" w:ascii="仿宋_GB2312" w:hAnsi="仿宋_GB2312" w:cs="仿宋_GB2312"/>
          <w:highlight w:val="none"/>
        </w:rPr>
        <w:t>。第一批全省法院人民法庭维修经费投入明细如下：</w:t>
      </w:r>
    </w:p>
    <w:tbl>
      <w:tblPr>
        <w:tblStyle w:val="15"/>
        <w:tblW w:w="8256" w:type="dxa"/>
        <w:jc w:val="center"/>
        <w:tblBorders>
          <w:top w:val="single" w:color="auto" w:sz="4" w:space="0"/>
          <w:left w:val="none" w:color="auto" w:sz="0" w:space="0"/>
          <w:bottom w:val="single" w:color="auto" w:sz="4"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761"/>
        <w:gridCol w:w="2833"/>
        <w:gridCol w:w="1140"/>
        <w:gridCol w:w="3522"/>
      </w:tblGrid>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jc w:val="center"/>
        </w:trPr>
        <w:tc>
          <w:tcPr>
            <w:tcW w:w="761" w:type="dxa"/>
            <w:shd w:val="clear" w:color="auto" w:fill="B8CCE4"/>
            <w:vAlign w:val="center"/>
          </w:tcPr>
          <w:p>
            <w:pPr>
              <w:widowControl/>
              <w:jc w:val="center"/>
              <w:textAlignment w:val="center"/>
              <w:rPr>
                <w:rFonts w:ascii="宋体" w:hAnsi="宋体" w:cs="宋体"/>
                <w:b/>
                <w:bCs/>
                <w:color w:val="000000"/>
                <w:kern w:val="0"/>
                <w:szCs w:val="21"/>
                <w:highlight w:val="none"/>
                <w:lang w:bidi="ar"/>
              </w:rPr>
            </w:pPr>
            <w:r>
              <w:rPr>
                <w:rFonts w:hint="eastAsia" w:ascii="宋体" w:hAnsi="宋体" w:cs="宋体"/>
                <w:b/>
                <w:bCs/>
                <w:color w:val="000000"/>
                <w:kern w:val="0"/>
                <w:szCs w:val="21"/>
                <w:highlight w:val="none"/>
                <w:lang w:bidi="ar"/>
              </w:rPr>
              <w:t>序号</w:t>
            </w:r>
          </w:p>
        </w:tc>
        <w:tc>
          <w:tcPr>
            <w:tcW w:w="2833" w:type="dxa"/>
            <w:shd w:val="clear" w:color="auto" w:fill="B8CCE4"/>
            <w:vAlign w:val="center"/>
          </w:tcPr>
          <w:p>
            <w:pPr>
              <w:widowControl/>
              <w:jc w:val="center"/>
              <w:textAlignment w:val="center"/>
              <w:rPr>
                <w:rFonts w:ascii="宋体" w:hAnsi="宋体" w:eastAsia="宋体" w:cs="宋体"/>
                <w:b/>
                <w:bCs/>
                <w:color w:val="000000"/>
                <w:kern w:val="0"/>
                <w:szCs w:val="21"/>
                <w:highlight w:val="none"/>
                <w:lang w:bidi="ar"/>
              </w:rPr>
            </w:pPr>
            <w:r>
              <w:rPr>
                <w:rFonts w:hint="eastAsia" w:ascii="宋体" w:hAnsi="宋体" w:cs="宋体"/>
                <w:b/>
                <w:bCs/>
                <w:color w:val="000000"/>
                <w:kern w:val="0"/>
                <w:szCs w:val="21"/>
                <w:highlight w:val="none"/>
                <w:lang w:bidi="ar"/>
              </w:rPr>
              <w:t>实施单位</w:t>
            </w:r>
          </w:p>
        </w:tc>
        <w:tc>
          <w:tcPr>
            <w:tcW w:w="1140" w:type="dxa"/>
            <w:shd w:val="clear" w:color="auto" w:fill="B8CCE4"/>
            <w:vAlign w:val="center"/>
          </w:tcPr>
          <w:p>
            <w:pPr>
              <w:widowControl/>
              <w:jc w:val="center"/>
              <w:textAlignment w:val="center"/>
              <w:rPr>
                <w:rFonts w:ascii="宋体" w:hAnsi="宋体" w:cs="宋体"/>
                <w:b/>
                <w:bCs/>
                <w:color w:val="000000"/>
                <w:kern w:val="0"/>
                <w:szCs w:val="21"/>
                <w:highlight w:val="none"/>
                <w:lang w:bidi="ar"/>
              </w:rPr>
            </w:pPr>
            <w:r>
              <w:rPr>
                <w:rFonts w:hint="eastAsia" w:ascii="宋体" w:hAnsi="宋体" w:cs="宋体"/>
                <w:b/>
                <w:bCs/>
                <w:color w:val="000000"/>
                <w:kern w:val="0"/>
                <w:szCs w:val="21"/>
                <w:highlight w:val="none"/>
                <w:lang w:bidi="ar"/>
              </w:rPr>
              <w:t>预算金额</w:t>
            </w:r>
          </w:p>
        </w:tc>
        <w:tc>
          <w:tcPr>
            <w:tcW w:w="3522" w:type="dxa"/>
            <w:shd w:val="clear" w:color="auto" w:fill="B8CCE4"/>
            <w:vAlign w:val="center"/>
          </w:tcPr>
          <w:p>
            <w:pPr>
              <w:widowControl/>
              <w:jc w:val="center"/>
              <w:textAlignment w:val="center"/>
              <w:rPr>
                <w:rFonts w:ascii="宋体" w:hAnsi="宋体" w:cs="宋体"/>
                <w:b/>
                <w:bCs/>
                <w:color w:val="000000"/>
                <w:kern w:val="0"/>
                <w:szCs w:val="21"/>
                <w:highlight w:val="none"/>
                <w:lang w:bidi="ar"/>
              </w:rPr>
            </w:pPr>
            <w:r>
              <w:rPr>
                <w:rFonts w:hint="eastAsia" w:ascii="宋体" w:hAnsi="宋体" w:cs="宋体"/>
                <w:b/>
                <w:bCs/>
                <w:color w:val="000000"/>
                <w:kern w:val="0"/>
                <w:szCs w:val="21"/>
                <w:highlight w:val="none"/>
                <w:lang w:bidi="ar"/>
              </w:rPr>
              <w:t>资金性质</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PrEx>
        <w:trPr>
          <w:trHeight w:val="354" w:hRule="atLeast"/>
          <w:jc w:val="center"/>
        </w:trPr>
        <w:tc>
          <w:tcPr>
            <w:tcW w:w="761" w:type="dxa"/>
            <w:noWrap/>
            <w:vAlign w:val="center"/>
          </w:tcPr>
          <w:p>
            <w:pPr>
              <w:widowControl/>
              <w:jc w:val="center"/>
              <w:textAlignment w:val="center"/>
              <w:rPr>
                <w:rFonts w:ascii="宋体" w:hAnsi="宋体" w:cs="宋体"/>
                <w:color w:val="000000"/>
                <w:kern w:val="0"/>
                <w:szCs w:val="21"/>
                <w:highlight w:val="none"/>
                <w:lang w:bidi="ar"/>
              </w:rPr>
            </w:pPr>
            <w:r>
              <w:rPr>
                <w:rFonts w:hint="eastAsia" w:ascii="宋体" w:hAnsi="宋体" w:cs="宋体"/>
                <w:color w:val="000000"/>
                <w:kern w:val="0"/>
                <w:szCs w:val="21"/>
                <w:highlight w:val="none"/>
                <w:lang w:bidi="ar"/>
              </w:rPr>
              <w:t>1</w:t>
            </w:r>
          </w:p>
        </w:tc>
        <w:tc>
          <w:tcPr>
            <w:tcW w:w="2833"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东乡族自治县人民法院</w:t>
            </w:r>
          </w:p>
        </w:tc>
        <w:tc>
          <w:tcPr>
            <w:tcW w:w="1140" w:type="dxa"/>
          </w:tcPr>
          <w:p>
            <w:pPr>
              <w:widowControl/>
              <w:jc w:val="righ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 xml:space="preserve">430.00 </w:t>
            </w:r>
          </w:p>
        </w:tc>
        <w:tc>
          <w:tcPr>
            <w:tcW w:w="3522"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人民法庭维修改造项目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cs="宋体"/>
                <w:color w:val="000000"/>
                <w:kern w:val="0"/>
                <w:szCs w:val="21"/>
                <w:highlight w:val="none"/>
                <w:lang w:bidi="ar"/>
              </w:rPr>
              <w:t>2</w:t>
            </w:r>
          </w:p>
        </w:tc>
        <w:tc>
          <w:tcPr>
            <w:tcW w:w="2833"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红古区人民法院</w:t>
            </w:r>
          </w:p>
        </w:tc>
        <w:tc>
          <w:tcPr>
            <w:tcW w:w="1140" w:type="dxa"/>
          </w:tcPr>
          <w:p>
            <w:pPr>
              <w:widowControl/>
              <w:jc w:val="righ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 xml:space="preserve">75.00 </w:t>
            </w:r>
          </w:p>
        </w:tc>
        <w:tc>
          <w:tcPr>
            <w:tcW w:w="3522"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人民法庭取暖项目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cs="宋体"/>
                <w:color w:val="000000"/>
                <w:kern w:val="0"/>
                <w:szCs w:val="21"/>
                <w:highlight w:val="none"/>
                <w:lang w:bidi="ar"/>
              </w:rPr>
              <w:t>3</w:t>
            </w:r>
          </w:p>
        </w:tc>
        <w:tc>
          <w:tcPr>
            <w:tcW w:w="2833"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白银区人民法院</w:t>
            </w:r>
          </w:p>
        </w:tc>
        <w:tc>
          <w:tcPr>
            <w:tcW w:w="1140" w:type="dxa"/>
          </w:tcPr>
          <w:p>
            <w:pPr>
              <w:widowControl/>
              <w:jc w:val="righ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 xml:space="preserve">25.00 </w:t>
            </w:r>
          </w:p>
        </w:tc>
        <w:tc>
          <w:tcPr>
            <w:tcW w:w="3522"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人民法庭取暖项目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cs="宋体"/>
                <w:color w:val="000000"/>
                <w:kern w:val="0"/>
                <w:szCs w:val="21"/>
                <w:highlight w:val="none"/>
                <w:lang w:bidi="ar"/>
              </w:rPr>
              <w:t>4</w:t>
            </w:r>
          </w:p>
        </w:tc>
        <w:tc>
          <w:tcPr>
            <w:tcW w:w="2833"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会宁县人民法院</w:t>
            </w:r>
          </w:p>
        </w:tc>
        <w:tc>
          <w:tcPr>
            <w:tcW w:w="1140" w:type="dxa"/>
          </w:tcPr>
          <w:p>
            <w:pPr>
              <w:widowControl/>
              <w:jc w:val="righ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 xml:space="preserve">125.00 </w:t>
            </w:r>
          </w:p>
        </w:tc>
        <w:tc>
          <w:tcPr>
            <w:tcW w:w="3522"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人民法庭取暖项目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5</w:t>
            </w:r>
          </w:p>
        </w:tc>
        <w:tc>
          <w:tcPr>
            <w:tcW w:w="2833"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肃北蒙古族自治县人民法院</w:t>
            </w:r>
          </w:p>
        </w:tc>
        <w:tc>
          <w:tcPr>
            <w:tcW w:w="1140" w:type="dxa"/>
            <w:vAlign w:val="center"/>
          </w:tcPr>
          <w:p>
            <w:pPr>
              <w:widowControl/>
              <w:jc w:val="righ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 xml:space="preserve">25.00  </w:t>
            </w:r>
          </w:p>
        </w:tc>
        <w:tc>
          <w:tcPr>
            <w:tcW w:w="3522"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人民法庭取暖项目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6</w:t>
            </w:r>
          </w:p>
        </w:tc>
        <w:tc>
          <w:tcPr>
            <w:tcW w:w="2833"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瓜州县人民法院</w:t>
            </w:r>
          </w:p>
        </w:tc>
        <w:tc>
          <w:tcPr>
            <w:tcW w:w="1140" w:type="dxa"/>
          </w:tcPr>
          <w:p>
            <w:pPr>
              <w:widowControl/>
              <w:jc w:val="righ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 xml:space="preserve">25.00 </w:t>
            </w:r>
          </w:p>
        </w:tc>
        <w:tc>
          <w:tcPr>
            <w:tcW w:w="3522"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人民法庭取暖项目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7</w:t>
            </w:r>
          </w:p>
        </w:tc>
        <w:tc>
          <w:tcPr>
            <w:tcW w:w="2833"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安定区人民法院</w:t>
            </w:r>
          </w:p>
        </w:tc>
        <w:tc>
          <w:tcPr>
            <w:tcW w:w="1140" w:type="dxa"/>
          </w:tcPr>
          <w:p>
            <w:pPr>
              <w:widowControl/>
              <w:jc w:val="righ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 xml:space="preserve">75.00 </w:t>
            </w:r>
          </w:p>
        </w:tc>
        <w:tc>
          <w:tcPr>
            <w:tcW w:w="3522"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人民法庭取暖项目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2" w:hRule="atLeast"/>
          <w:jc w:val="center"/>
        </w:trPr>
        <w:tc>
          <w:tcPr>
            <w:tcW w:w="76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8</w:t>
            </w:r>
          </w:p>
        </w:tc>
        <w:tc>
          <w:tcPr>
            <w:tcW w:w="2833"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通渭县人民法院</w:t>
            </w:r>
          </w:p>
        </w:tc>
        <w:tc>
          <w:tcPr>
            <w:tcW w:w="1140" w:type="dxa"/>
          </w:tcPr>
          <w:p>
            <w:pPr>
              <w:widowControl/>
              <w:jc w:val="righ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 xml:space="preserve">125.00 </w:t>
            </w:r>
          </w:p>
        </w:tc>
        <w:tc>
          <w:tcPr>
            <w:tcW w:w="3522"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人民法庭取暖项目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9</w:t>
            </w:r>
          </w:p>
        </w:tc>
        <w:tc>
          <w:tcPr>
            <w:tcW w:w="2833"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渭源县人民法院</w:t>
            </w:r>
          </w:p>
        </w:tc>
        <w:tc>
          <w:tcPr>
            <w:tcW w:w="1140" w:type="dxa"/>
          </w:tcPr>
          <w:p>
            <w:pPr>
              <w:widowControl/>
              <w:jc w:val="righ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 xml:space="preserve">75.00 </w:t>
            </w:r>
          </w:p>
        </w:tc>
        <w:tc>
          <w:tcPr>
            <w:tcW w:w="3522"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人民法庭取暖项目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10</w:t>
            </w:r>
          </w:p>
        </w:tc>
        <w:tc>
          <w:tcPr>
            <w:tcW w:w="2833"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临洮县人民法院</w:t>
            </w:r>
          </w:p>
        </w:tc>
        <w:tc>
          <w:tcPr>
            <w:tcW w:w="1140" w:type="dxa"/>
          </w:tcPr>
          <w:p>
            <w:pPr>
              <w:widowControl/>
              <w:jc w:val="righ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 xml:space="preserve">175.00 </w:t>
            </w:r>
          </w:p>
        </w:tc>
        <w:tc>
          <w:tcPr>
            <w:tcW w:w="3522"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人民法庭取暖项目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11</w:t>
            </w:r>
          </w:p>
        </w:tc>
        <w:tc>
          <w:tcPr>
            <w:tcW w:w="2833"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西和县人民法院</w:t>
            </w:r>
          </w:p>
        </w:tc>
        <w:tc>
          <w:tcPr>
            <w:tcW w:w="1140" w:type="dxa"/>
          </w:tcPr>
          <w:p>
            <w:pPr>
              <w:widowControl/>
              <w:jc w:val="righ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 xml:space="preserve">125.00 </w:t>
            </w:r>
          </w:p>
        </w:tc>
        <w:tc>
          <w:tcPr>
            <w:tcW w:w="3522"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人民法庭取暖项目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12</w:t>
            </w:r>
          </w:p>
        </w:tc>
        <w:tc>
          <w:tcPr>
            <w:tcW w:w="2833"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庄浪县人民法院</w:t>
            </w:r>
          </w:p>
        </w:tc>
        <w:tc>
          <w:tcPr>
            <w:tcW w:w="1140" w:type="dxa"/>
          </w:tcPr>
          <w:p>
            <w:pPr>
              <w:widowControl/>
              <w:jc w:val="righ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 xml:space="preserve">25.00 </w:t>
            </w:r>
          </w:p>
        </w:tc>
        <w:tc>
          <w:tcPr>
            <w:tcW w:w="3522"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人民法庭取暖项目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13</w:t>
            </w:r>
          </w:p>
        </w:tc>
        <w:tc>
          <w:tcPr>
            <w:tcW w:w="2833"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静宁县人民法院</w:t>
            </w:r>
          </w:p>
        </w:tc>
        <w:tc>
          <w:tcPr>
            <w:tcW w:w="1140" w:type="dxa"/>
          </w:tcPr>
          <w:p>
            <w:pPr>
              <w:widowControl/>
              <w:jc w:val="righ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 xml:space="preserve">75.00 </w:t>
            </w:r>
          </w:p>
        </w:tc>
        <w:tc>
          <w:tcPr>
            <w:tcW w:w="3522"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人民法庭取暖项目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14</w:t>
            </w:r>
          </w:p>
        </w:tc>
        <w:tc>
          <w:tcPr>
            <w:tcW w:w="2833"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泾川县人民法院</w:t>
            </w:r>
          </w:p>
        </w:tc>
        <w:tc>
          <w:tcPr>
            <w:tcW w:w="1140" w:type="dxa"/>
          </w:tcPr>
          <w:p>
            <w:pPr>
              <w:widowControl/>
              <w:jc w:val="righ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 xml:space="preserve">75.00 </w:t>
            </w:r>
          </w:p>
        </w:tc>
        <w:tc>
          <w:tcPr>
            <w:tcW w:w="3522"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人民法庭取暖项目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15</w:t>
            </w:r>
          </w:p>
        </w:tc>
        <w:tc>
          <w:tcPr>
            <w:tcW w:w="2833"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环县人民法院</w:t>
            </w:r>
          </w:p>
        </w:tc>
        <w:tc>
          <w:tcPr>
            <w:tcW w:w="1140" w:type="dxa"/>
          </w:tcPr>
          <w:p>
            <w:pPr>
              <w:widowControl/>
              <w:jc w:val="righ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 xml:space="preserve">75.00 </w:t>
            </w:r>
          </w:p>
        </w:tc>
        <w:tc>
          <w:tcPr>
            <w:tcW w:w="3522"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人民法庭取暖项目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16</w:t>
            </w:r>
          </w:p>
        </w:tc>
        <w:tc>
          <w:tcPr>
            <w:tcW w:w="2833"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镇原县人民法院</w:t>
            </w:r>
          </w:p>
        </w:tc>
        <w:tc>
          <w:tcPr>
            <w:tcW w:w="1140" w:type="dxa"/>
          </w:tcPr>
          <w:p>
            <w:pPr>
              <w:widowControl/>
              <w:jc w:val="righ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 xml:space="preserve">25.00 </w:t>
            </w:r>
          </w:p>
        </w:tc>
        <w:tc>
          <w:tcPr>
            <w:tcW w:w="3522"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人民法庭取暖项目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17</w:t>
            </w:r>
          </w:p>
        </w:tc>
        <w:tc>
          <w:tcPr>
            <w:tcW w:w="2833"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东乡族自治县人民法院</w:t>
            </w:r>
          </w:p>
        </w:tc>
        <w:tc>
          <w:tcPr>
            <w:tcW w:w="1140" w:type="dxa"/>
          </w:tcPr>
          <w:p>
            <w:pPr>
              <w:widowControl/>
              <w:jc w:val="righ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 xml:space="preserve">75.00 </w:t>
            </w:r>
          </w:p>
        </w:tc>
        <w:tc>
          <w:tcPr>
            <w:tcW w:w="3522"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人民法庭取暖项目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18</w:t>
            </w:r>
          </w:p>
        </w:tc>
        <w:tc>
          <w:tcPr>
            <w:tcW w:w="2833"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积石山县人民法院</w:t>
            </w:r>
          </w:p>
        </w:tc>
        <w:tc>
          <w:tcPr>
            <w:tcW w:w="1140" w:type="dxa"/>
          </w:tcPr>
          <w:p>
            <w:pPr>
              <w:widowControl/>
              <w:jc w:val="righ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 xml:space="preserve">75.00 </w:t>
            </w:r>
          </w:p>
        </w:tc>
        <w:tc>
          <w:tcPr>
            <w:tcW w:w="3522"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人民法庭取暖项目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19</w:t>
            </w:r>
          </w:p>
        </w:tc>
        <w:tc>
          <w:tcPr>
            <w:tcW w:w="2833"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临潭县人民法院</w:t>
            </w:r>
          </w:p>
        </w:tc>
        <w:tc>
          <w:tcPr>
            <w:tcW w:w="1140" w:type="dxa"/>
          </w:tcPr>
          <w:p>
            <w:pPr>
              <w:widowControl/>
              <w:jc w:val="righ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 xml:space="preserve">50.00 </w:t>
            </w:r>
          </w:p>
        </w:tc>
        <w:tc>
          <w:tcPr>
            <w:tcW w:w="3522"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人民法庭取暖项目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20</w:t>
            </w:r>
          </w:p>
        </w:tc>
        <w:tc>
          <w:tcPr>
            <w:tcW w:w="2833"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舟曲县人民法院</w:t>
            </w:r>
          </w:p>
        </w:tc>
        <w:tc>
          <w:tcPr>
            <w:tcW w:w="1140" w:type="dxa"/>
          </w:tcPr>
          <w:p>
            <w:pPr>
              <w:widowControl/>
              <w:jc w:val="righ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 xml:space="preserve">25.00 </w:t>
            </w:r>
          </w:p>
        </w:tc>
        <w:tc>
          <w:tcPr>
            <w:tcW w:w="3522"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人民法庭取暖项目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21</w:t>
            </w:r>
          </w:p>
        </w:tc>
        <w:tc>
          <w:tcPr>
            <w:tcW w:w="2833"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卓尼县人民法院</w:t>
            </w:r>
          </w:p>
        </w:tc>
        <w:tc>
          <w:tcPr>
            <w:tcW w:w="1140" w:type="dxa"/>
          </w:tcPr>
          <w:p>
            <w:pPr>
              <w:widowControl/>
              <w:jc w:val="righ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 xml:space="preserve">75.00 </w:t>
            </w:r>
          </w:p>
        </w:tc>
        <w:tc>
          <w:tcPr>
            <w:tcW w:w="3522"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人民法庭取暖项目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shd w:val="clear" w:color="auto" w:fill="C7DAF1"/>
            <w:noWrap/>
            <w:vAlign w:val="center"/>
          </w:tcPr>
          <w:p>
            <w:pPr>
              <w:widowControl/>
              <w:jc w:val="center"/>
              <w:textAlignment w:val="center"/>
              <w:rPr>
                <w:rFonts w:ascii="宋体" w:hAnsi="宋体" w:cs="宋体"/>
                <w:b/>
                <w:bCs/>
                <w:color w:val="000000"/>
                <w:kern w:val="0"/>
                <w:szCs w:val="21"/>
                <w:highlight w:val="none"/>
                <w:lang w:bidi="ar"/>
              </w:rPr>
            </w:pPr>
          </w:p>
        </w:tc>
        <w:tc>
          <w:tcPr>
            <w:tcW w:w="2833" w:type="dxa"/>
            <w:shd w:val="clear" w:color="auto" w:fill="C7DAF1"/>
            <w:vAlign w:val="center"/>
          </w:tcPr>
          <w:p>
            <w:pPr>
              <w:widowControl/>
              <w:jc w:val="center"/>
              <w:textAlignment w:val="center"/>
              <w:rPr>
                <w:rFonts w:ascii="宋体" w:hAnsi="宋体" w:cs="宋体"/>
                <w:b/>
                <w:bCs/>
                <w:color w:val="000000"/>
                <w:kern w:val="0"/>
                <w:szCs w:val="21"/>
                <w:highlight w:val="none"/>
                <w:lang w:bidi="ar"/>
              </w:rPr>
            </w:pPr>
            <w:r>
              <w:rPr>
                <w:rFonts w:hint="eastAsia" w:ascii="宋体" w:hAnsi="宋体" w:cs="宋体"/>
                <w:b/>
                <w:bCs/>
                <w:color w:val="000000"/>
                <w:kern w:val="0"/>
                <w:szCs w:val="21"/>
                <w:highlight w:val="none"/>
                <w:lang w:bidi="ar"/>
              </w:rPr>
              <w:t>合计</w:t>
            </w:r>
          </w:p>
        </w:tc>
        <w:tc>
          <w:tcPr>
            <w:tcW w:w="1140" w:type="dxa"/>
            <w:shd w:val="clear" w:color="auto" w:fill="C7DAF1"/>
          </w:tcPr>
          <w:p>
            <w:pPr>
              <w:widowControl/>
              <w:jc w:val="right"/>
              <w:textAlignment w:val="center"/>
              <w:rPr>
                <w:rFonts w:ascii="宋体" w:hAnsi="宋体" w:eastAsia="宋体" w:cs="宋体"/>
                <w:b/>
                <w:bCs/>
                <w:color w:val="000000"/>
                <w:kern w:val="0"/>
                <w:szCs w:val="21"/>
                <w:highlight w:val="none"/>
                <w:lang w:bidi="ar"/>
              </w:rPr>
            </w:pPr>
            <w:r>
              <w:rPr>
                <w:rFonts w:hint="eastAsia" w:ascii="宋体" w:hAnsi="宋体" w:cs="宋体"/>
                <w:b/>
                <w:bCs/>
                <w:color w:val="000000"/>
                <w:kern w:val="0"/>
                <w:szCs w:val="21"/>
                <w:highlight w:val="none"/>
                <w:lang w:bidi="ar"/>
              </w:rPr>
              <w:t>1,855.00</w:t>
            </w:r>
          </w:p>
        </w:tc>
        <w:tc>
          <w:tcPr>
            <w:tcW w:w="3522" w:type="dxa"/>
            <w:shd w:val="clear" w:color="auto" w:fill="C7DAF1"/>
            <w:noWrap/>
            <w:vAlign w:val="center"/>
          </w:tcPr>
          <w:p>
            <w:pPr>
              <w:widowControl/>
              <w:jc w:val="right"/>
              <w:textAlignment w:val="center"/>
              <w:rPr>
                <w:rFonts w:ascii="宋体" w:hAnsi="宋体" w:eastAsia="宋体" w:cs="宋体"/>
                <w:b/>
                <w:bCs/>
                <w:color w:val="000000"/>
                <w:kern w:val="0"/>
                <w:szCs w:val="21"/>
                <w:highlight w:val="none"/>
                <w:lang w:bidi="ar"/>
              </w:rPr>
            </w:pPr>
          </w:p>
        </w:tc>
      </w:tr>
    </w:tbl>
    <w:p>
      <w:pPr>
        <w:pStyle w:val="2"/>
        <w:spacing w:line="560" w:lineRule="exact"/>
        <w:ind w:firstLine="640" w:firstLineChars="200"/>
        <w:rPr>
          <w:rFonts w:ascii="仿宋_GB2312" w:hAnsi="仿宋_GB2312" w:cs="仿宋_GB2312"/>
          <w:color w:val="0000FF"/>
          <w:highlight w:val="none"/>
        </w:rPr>
      </w:pPr>
      <w:r>
        <w:rPr>
          <w:rFonts w:hint="eastAsia" w:ascii="仿宋_GB2312" w:hAnsi="仿宋_GB2312" w:cs="仿宋_GB2312"/>
          <w:highlight w:val="none"/>
        </w:rPr>
        <w:t>省法院《关于2022年度第二批全省法院维修资金安排建议的报告》</w:t>
      </w:r>
      <w:r>
        <w:rPr>
          <w:rFonts w:hint="eastAsia" w:ascii="仿宋_GB2312" w:hAnsi="仿宋_GB2312" w:cs="仿宋_GB2312"/>
          <w:highlight w:val="none"/>
          <w:lang w:eastAsia="zh-CN"/>
        </w:rPr>
        <w:t>（</w:t>
      </w:r>
      <w:r>
        <w:rPr>
          <w:rFonts w:hint="eastAsia" w:ascii="仿宋_GB2312" w:hAnsi="仿宋_GB2312" w:cs="仿宋_GB2312"/>
          <w:highlight w:val="none"/>
        </w:rPr>
        <w:t>甘高法行装〔2022〕86号</w:t>
      </w:r>
      <w:r>
        <w:rPr>
          <w:rFonts w:hint="eastAsia" w:ascii="仿宋_GB2312" w:hAnsi="仿宋_GB2312" w:cs="仿宋_GB2312"/>
          <w:highlight w:val="none"/>
          <w:lang w:eastAsia="zh-CN"/>
        </w:rPr>
        <w:t>）</w:t>
      </w:r>
      <w:r>
        <w:rPr>
          <w:rFonts w:hint="eastAsia" w:ascii="仿宋_GB2312" w:hAnsi="仿宋_GB2312" w:cs="仿宋_GB2312"/>
          <w:highlight w:val="none"/>
        </w:rPr>
        <w:t>提出第二批全省法院维修资金3,145.00万元</w:t>
      </w:r>
      <w:r>
        <w:rPr>
          <w:rFonts w:hint="eastAsia" w:ascii="仿宋_GB2312" w:hAnsi="仿宋_GB2312" w:cs="仿宋_GB2312"/>
          <w:highlight w:val="none"/>
          <w:lang w:val="en-US" w:eastAsia="zh-CN"/>
        </w:rPr>
        <w:t>的</w:t>
      </w:r>
      <w:r>
        <w:rPr>
          <w:rFonts w:hint="eastAsia" w:ascii="仿宋_GB2312" w:hAnsi="仿宋_GB2312" w:cs="仿宋_GB2312"/>
          <w:highlight w:val="none"/>
        </w:rPr>
        <w:t>安排建议。2022年11月8日，甘肃省财政厅《关于下达2022年第二批全省法院人民法庭维修经费的通知》（甘财政法〔2022〕32号）下达了第二批全省法院人民法庭维修经费3,145.00万元，由18个中、基层法院使用。第二批全省法院人民法庭维修经费投入明细如</w:t>
      </w:r>
      <w:r>
        <w:rPr>
          <w:rFonts w:hint="eastAsia" w:ascii="仿宋_GB2312" w:hAnsi="仿宋_GB2312" w:cs="仿宋_GB2312"/>
          <w:color w:val="auto"/>
          <w:highlight w:val="none"/>
        </w:rPr>
        <w:t>下：</w:t>
      </w:r>
    </w:p>
    <w:tbl>
      <w:tblPr>
        <w:tblStyle w:val="15"/>
        <w:tblW w:w="8256" w:type="dxa"/>
        <w:jc w:val="center"/>
        <w:tblBorders>
          <w:top w:val="single" w:color="auto" w:sz="4" w:space="0"/>
          <w:left w:val="none" w:color="auto" w:sz="0" w:space="0"/>
          <w:bottom w:val="single" w:color="auto" w:sz="4"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654"/>
        <w:gridCol w:w="2148"/>
        <w:gridCol w:w="1248"/>
        <w:gridCol w:w="4206"/>
      </w:tblGrid>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jc w:val="center"/>
        </w:trPr>
        <w:tc>
          <w:tcPr>
            <w:tcW w:w="654" w:type="dxa"/>
            <w:shd w:val="clear" w:color="auto" w:fill="B8CCE4"/>
            <w:vAlign w:val="center"/>
          </w:tcPr>
          <w:p>
            <w:pPr>
              <w:widowControl/>
              <w:jc w:val="center"/>
              <w:textAlignment w:val="center"/>
              <w:rPr>
                <w:rFonts w:ascii="宋体" w:hAnsi="宋体" w:cs="宋体"/>
                <w:b/>
                <w:bCs/>
                <w:color w:val="auto"/>
                <w:kern w:val="0"/>
                <w:szCs w:val="21"/>
                <w:highlight w:val="none"/>
                <w:lang w:bidi="ar"/>
              </w:rPr>
            </w:pPr>
            <w:r>
              <w:rPr>
                <w:rFonts w:hint="eastAsia" w:ascii="宋体" w:hAnsi="宋体" w:cs="宋体"/>
                <w:b/>
                <w:bCs/>
                <w:color w:val="auto"/>
                <w:kern w:val="0"/>
                <w:szCs w:val="21"/>
                <w:highlight w:val="none"/>
                <w:lang w:bidi="ar"/>
              </w:rPr>
              <w:t>序号</w:t>
            </w:r>
          </w:p>
        </w:tc>
        <w:tc>
          <w:tcPr>
            <w:tcW w:w="2148" w:type="dxa"/>
            <w:shd w:val="clear" w:color="auto" w:fill="B8CCE4"/>
            <w:vAlign w:val="center"/>
          </w:tcPr>
          <w:p>
            <w:pPr>
              <w:widowControl/>
              <w:jc w:val="center"/>
              <w:textAlignment w:val="center"/>
              <w:rPr>
                <w:rFonts w:ascii="宋体" w:hAnsi="宋体" w:eastAsia="宋体" w:cs="宋体"/>
                <w:b/>
                <w:bCs/>
                <w:color w:val="auto"/>
                <w:kern w:val="0"/>
                <w:szCs w:val="21"/>
                <w:highlight w:val="none"/>
                <w:lang w:bidi="ar"/>
              </w:rPr>
            </w:pPr>
            <w:r>
              <w:rPr>
                <w:rFonts w:hint="eastAsia" w:ascii="宋体" w:hAnsi="宋体" w:cs="宋体"/>
                <w:b/>
                <w:bCs/>
                <w:color w:val="auto"/>
                <w:kern w:val="0"/>
                <w:szCs w:val="21"/>
                <w:highlight w:val="none"/>
                <w:lang w:bidi="ar"/>
              </w:rPr>
              <w:t>实施单位</w:t>
            </w:r>
          </w:p>
        </w:tc>
        <w:tc>
          <w:tcPr>
            <w:tcW w:w="1248" w:type="dxa"/>
            <w:shd w:val="clear" w:color="auto" w:fill="B8CCE4"/>
            <w:vAlign w:val="center"/>
          </w:tcPr>
          <w:p>
            <w:pPr>
              <w:widowControl/>
              <w:jc w:val="center"/>
              <w:textAlignment w:val="center"/>
              <w:rPr>
                <w:rFonts w:ascii="宋体" w:hAnsi="宋体" w:cs="宋体"/>
                <w:b/>
                <w:bCs/>
                <w:color w:val="auto"/>
                <w:kern w:val="0"/>
                <w:szCs w:val="21"/>
                <w:highlight w:val="none"/>
                <w:lang w:bidi="ar"/>
              </w:rPr>
            </w:pPr>
            <w:r>
              <w:rPr>
                <w:rFonts w:hint="eastAsia" w:ascii="宋体" w:hAnsi="宋体" w:cs="宋体"/>
                <w:b/>
                <w:bCs/>
                <w:color w:val="auto"/>
                <w:kern w:val="0"/>
                <w:szCs w:val="21"/>
                <w:highlight w:val="none"/>
                <w:lang w:bidi="ar"/>
              </w:rPr>
              <w:t>预算金额</w:t>
            </w:r>
          </w:p>
        </w:tc>
        <w:tc>
          <w:tcPr>
            <w:tcW w:w="4206" w:type="dxa"/>
            <w:shd w:val="clear" w:color="auto" w:fill="B8CCE4"/>
            <w:vAlign w:val="center"/>
          </w:tcPr>
          <w:p>
            <w:pPr>
              <w:widowControl/>
              <w:jc w:val="center"/>
              <w:textAlignment w:val="center"/>
              <w:rPr>
                <w:rFonts w:ascii="宋体" w:hAnsi="宋体" w:cs="宋体"/>
                <w:b/>
                <w:bCs/>
                <w:color w:val="auto"/>
                <w:kern w:val="0"/>
                <w:szCs w:val="21"/>
                <w:highlight w:val="none"/>
                <w:lang w:bidi="ar"/>
              </w:rPr>
            </w:pPr>
            <w:r>
              <w:rPr>
                <w:rFonts w:hint="eastAsia" w:ascii="宋体" w:hAnsi="宋体" w:cs="宋体"/>
                <w:b/>
                <w:bCs/>
                <w:color w:val="auto"/>
                <w:kern w:val="0"/>
                <w:szCs w:val="21"/>
                <w:highlight w:val="none"/>
                <w:lang w:bidi="ar"/>
              </w:rPr>
              <w:t>项目名称</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54" w:hRule="atLeast"/>
          <w:jc w:val="center"/>
        </w:trPr>
        <w:tc>
          <w:tcPr>
            <w:tcW w:w="654" w:type="dxa"/>
            <w:noWrap/>
            <w:vAlign w:val="center"/>
          </w:tcPr>
          <w:p>
            <w:pPr>
              <w:widowControl/>
              <w:jc w:val="center"/>
              <w:textAlignment w:val="center"/>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1</w:t>
            </w:r>
          </w:p>
        </w:tc>
        <w:tc>
          <w:tcPr>
            <w:tcW w:w="2148" w:type="dxa"/>
            <w:vAlign w:val="center"/>
          </w:tcPr>
          <w:p>
            <w:pPr>
              <w:widowControl/>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白银市中级人民法院</w:t>
            </w:r>
          </w:p>
        </w:tc>
        <w:tc>
          <w:tcPr>
            <w:tcW w:w="1248" w:type="dxa"/>
            <w:vAlign w:val="center"/>
          </w:tcPr>
          <w:p>
            <w:pPr>
              <w:widowControl/>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60.00 </w:t>
            </w:r>
          </w:p>
        </w:tc>
        <w:tc>
          <w:tcPr>
            <w:tcW w:w="4206" w:type="dxa"/>
            <w:noWrap/>
            <w:vAlign w:val="center"/>
          </w:tcPr>
          <w:p>
            <w:pPr>
              <w:widowControl/>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审判综合楼卫生间维修改造项目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54" w:type="dxa"/>
            <w:vMerge w:val="restart"/>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cs="宋体"/>
                <w:color w:val="auto"/>
                <w:kern w:val="0"/>
                <w:szCs w:val="21"/>
                <w:highlight w:val="none"/>
                <w:lang w:bidi="ar"/>
              </w:rPr>
              <w:t>2</w:t>
            </w:r>
          </w:p>
        </w:tc>
        <w:tc>
          <w:tcPr>
            <w:tcW w:w="2148" w:type="dxa"/>
            <w:vMerge w:val="restart"/>
            <w:vAlign w:val="center"/>
          </w:tcPr>
          <w:p>
            <w:pPr>
              <w:widowControl/>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靖远县人民法院</w:t>
            </w:r>
          </w:p>
        </w:tc>
        <w:tc>
          <w:tcPr>
            <w:tcW w:w="1248" w:type="dxa"/>
            <w:vAlign w:val="center"/>
          </w:tcPr>
          <w:p>
            <w:pPr>
              <w:widowControl/>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55.00 </w:t>
            </w:r>
          </w:p>
        </w:tc>
        <w:tc>
          <w:tcPr>
            <w:tcW w:w="4206" w:type="dxa"/>
            <w:noWrap/>
            <w:vAlign w:val="center"/>
          </w:tcPr>
          <w:p>
            <w:pPr>
              <w:widowControl/>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靖远县法院审判综合楼维修改造项目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54" w:type="dxa"/>
            <w:vMerge w:val="continue"/>
            <w:noWrap/>
            <w:vAlign w:val="center"/>
          </w:tcPr>
          <w:p>
            <w:pPr>
              <w:widowControl/>
              <w:jc w:val="center"/>
              <w:textAlignment w:val="center"/>
              <w:rPr>
                <w:rFonts w:ascii="宋体" w:hAnsi="宋体" w:cs="宋体"/>
                <w:color w:val="auto"/>
                <w:kern w:val="0"/>
                <w:szCs w:val="21"/>
                <w:highlight w:val="none"/>
                <w:lang w:bidi="ar"/>
              </w:rPr>
            </w:pPr>
          </w:p>
        </w:tc>
        <w:tc>
          <w:tcPr>
            <w:tcW w:w="2148" w:type="dxa"/>
            <w:vMerge w:val="continue"/>
            <w:vAlign w:val="center"/>
          </w:tcPr>
          <w:p>
            <w:pPr>
              <w:widowControl/>
              <w:jc w:val="left"/>
              <w:textAlignment w:val="center"/>
              <w:rPr>
                <w:rFonts w:ascii="宋体" w:hAnsi="宋体" w:eastAsia="宋体" w:cs="宋体"/>
                <w:color w:val="auto"/>
                <w:kern w:val="0"/>
                <w:szCs w:val="21"/>
                <w:highlight w:val="none"/>
                <w:lang w:bidi="ar"/>
              </w:rPr>
            </w:pPr>
          </w:p>
        </w:tc>
        <w:tc>
          <w:tcPr>
            <w:tcW w:w="1248" w:type="dxa"/>
            <w:vAlign w:val="center"/>
          </w:tcPr>
          <w:p>
            <w:pPr>
              <w:widowControl/>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60.00</w:t>
            </w:r>
          </w:p>
        </w:tc>
        <w:tc>
          <w:tcPr>
            <w:tcW w:w="4206" w:type="dxa"/>
            <w:noWrap/>
            <w:vAlign w:val="center"/>
          </w:tcPr>
          <w:p>
            <w:pPr>
              <w:widowControl/>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五合人民法庭维修改造项目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54"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cs="宋体"/>
                <w:color w:val="auto"/>
                <w:kern w:val="0"/>
                <w:szCs w:val="21"/>
                <w:highlight w:val="none"/>
                <w:lang w:bidi="ar"/>
              </w:rPr>
              <w:t>3</w:t>
            </w:r>
          </w:p>
        </w:tc>
        <w:tc>
          <w:tcPr>
            <w:tcW w:w="2148" w:type="dxa"/>
            <w:vAlign w:val="center"/>
          </w:tcPr>
          <w:p>
            <w:pPr>
              <w:widowControl/>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白银区人民法院</w:t>
            </w:r>
          </w:p>
        </w:tc>
        <w:tc>
          <w:tcPr>
            <w:tcW w:w="1248" w:type="dxa"/>
            <w:vAlign w:val="center"/>
          </w:tcPr>
          <w:p>
            <w:pPr>
              <w:widowControl/>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35.00 </w:t>
            </w:r>
          </w:p>
        </w:tc>
        <w:tc>
          <w:tcPr>
            <w:tcW w:w="4206" w:type="dxa"/>
            <w:noWrap/>
            <w:vAlign w:val="center"/>
          </w:tcPr>
          <w:p>
            <w:pPr>
              <w:widowControl/>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白银区法院审判综合楼内墙维修改造项目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54"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cs="宋体"/>
                <w:color w:val="auto"/>
                <w:kern w:val="0"/>
                <w:szCs w:val="21"/>
                <w:highlight w:val="none"/>
                <w:lang w:bidi="ar"/>
              </w:rPr>
              <w:t>4</w:t>
            </w:r>
          </w:p>
        </w:tc>
        <w:tc>
          <w:tcPr>
            <w:tcW w:w="2148" w:type="dxa"/>
            <w:vAlign w:val="center"/>
          </w:tcPr>
          <w:p>
            <w:pPr>
              <w:widowControl/>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灵台县人民法院</w:t>
            </w:r>
          </w:p>
        </w:tc>
        <w:tc>
          <w:tcPr>
            <w:tcW w:w="1248" w:type="dxa"/>
            <w:vAlign w:val="center"/>
          </w:tcPr>
          <w:p>
            <w:pPr>
              <w:widowControl/>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33.00 </w:t>
            </w:r>
          </w:p>
        </w:tc>
        <w:tc>
          <w:tcPr>
            <w:tcW w:w="4206" w:type="dxa"/>
            <w:noWrap/>
            <w:vAlign w:val="center"/>
          </w:tcPr>
          <w:p>
            <w:pPr>
              <w:widowControl/>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灵台县法院审判法庭维修改造项目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54" w:type="dxa"/>
            <w:vMerge w:val="restart"/>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5</w:t>
            </w:r>
          </w:p>
        </w:tc>
        <w:tc>
          <w:tcPr>
            <w:tcW w:w="2148" w:type="dxa"/>
            <w:vMerge w:val="restart"/>
            <w:vAlign w:val="center"/>
          </w:tcPr>
          <w:p>
            <w:pPr>
              <w:widowControl/>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静宁县人民法院</w:t>
            </w:r>
          </w:p>
        </w:tc>
        <w:tc>
          <w:tcPr>
            <w:tcW w:w="1248" w:type="dxa"/>
            <w:vAlign w:val="center"/>
          </w:tcPr>
          <w:p>
            <w:pPr>
              <w:widowControl/>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25.00 </w:t>
            </w:r>
          </w:p>
        </w:tc>
        <w:tc>
          <w:tcPr>
            <w:tcW w:w="4206" w:type="dxa"/>
            <w:noWrap/>
            <w:vAlign w:val="center"/>
          </w:tcPr>
          <w:p>
            <w:pPr>
              <w:widowControl/>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机关审判楼暖气管道维修改造项目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54" w:type="dxa"/>
            <w:vMerge w:val="continue"/>
            <w:noWrap/>
            <w:vAlign w:val="center"/>
          </w:tcPr>
          <w:p>
            <w:pPr>
              <w:widowControl/>
              <w:jc w:val="center"/>
              <w:textAlignment w:val="center"/>
              <w:rPr>
                <w:rFonts w:ascii="宋体" w:hAnsi="宋体" w:eastAsia="宋体" w:cs="宋体"/>
                <w:color w:val="auto"/>
                <w:kern w:val="0"/>
                <w:szCs w:val="21"/>
                <w:highlight w:val="none"/>
                <w:lang w:bidi="ar"/>
              </w:rPr>
            </w:pPr>
          </w:p>
        </w:tc>
        <w:tc>
          <w:tcPr>
            <w:tcW w:w="2148" w:type="dxa"/>
            <w:vMerge w:val="continue"/>
            <w:vAlign w:val="center"/>
          </w:tcPr>
          <w:p>
            <w:pPr>
              <w:widowControl/>
              <w:jc w:val="left"/>
              <w:textAlignment w:val="center"/>
              <w:rPr>
                <w:rFonts w:ascii="宋体" w:hAnsi="宋体" w:eastAsia="宋体" w:cs="宋体"/>
                <w:color w:val="auto"/>
                <w:kern w:val="0"/>
                <w:szCs w:val="21"/>
                <w:highlight w:val="none"/>
                <w:lang w:bidi="ar"/>
              </w:rPr>
            </w:pPr>
          </w:p>
        </w:tc>
        <w:tc>
          <w:tcPr>
            <w:tcW w:w="1248" w:type="dxa"/>
            <w:vAlign w:val="center"/>
          </w:tcPr>
          <w:p>
            <w:pPr>
              <w:widowControl/>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30.00</w:t>
            </w:r>
          </w:p>
        </w:tc>
        <w:tc>
          <w:tcPr>
            <w:tcW w:w="4206" w:type="dxa"/>
            <w:noWrap/>
            <w:vAlign w:val="center"/>
          </w:tcPr>
          <w:p>
            <w:pPr>
              <w:widowControl/>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雷大人民法庭院坪及自来水维修改造项目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54"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6</w:t>
            </w:r>
          </w:p>
        </w:tc>
        <w:tc>
          <w:tcPr>
            <w:tcW w:w="2148" w:type="dxa"/>
            <w:vAlign w:val="center"/>
          </w:tcPr>
          <w:p>
            <w:pPr>
              <w:widowControl/>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天水市中级人民法院</w:t>
            </w:r>
          </w:p>
        </w:tc>
        <w:tc>
          <w:tcPr>
            <w:tcW w:w="1248" w:type="dxa"/>
            <w:vAlign w:val="center"/>
          </w:tcPr>
          <w:p>
            <w:pPr>
              <w:widowControl/>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400.00 </w:t>
            </w:r>
          </w:p>
        </w:tc>
        <w:tc>
          <w:tcPr>
            <w:tcW w:w="4206" w:type="dxa"/>
            <w:noWrap/>
            <w:vAlign w:val="center"/>
          </w:tcPr>
          <w:p>
            <w:pPr>
              <w:widowControl/>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天水中院审判法庭业务用房维修改造项目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54"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7</w:t>
            </w:r>
          </w:p>
        </w:tc>
        <w:tc>
          <w:tcPr>
            <w:tcW w:w="2148" w:type="dxa"/>
            <w:vAlign w:val="center"/>
          </w:tcPr>
          <w:p>
            <w:pPr>
              <w:widowControl/>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甘谷县人民法院</w:t>
            </w:r>
          </w:p>
        </w:tc>
        <w:tc>
          <w:tcPr>
            <w:tcW w:w="1248" w:type="dxa"/>
            <w:vAlign w:val="center"/>
          </w:tcPr>
          <w:p>
            <w:pPr>
              <w:widowControl/>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570.00 </w:t>
            </w:r>
          </w:p>
        </w:tc>
        <w:tc>
          <w:tcPr>
            <w:tcW w:w="4206" w:type="dxa"/>
            <w:noWrap/>
            <w:vAlign w:val="center"/>
          </w:tcPr>
          <w:p>
            <w:pPr>
              <w:widowControl/>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甘谷县法院审判大楼维修改造项目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2" w:hRule="atLeast"/>
          <w:jc w:val="center"/>
        </w:trPr>
        <w:tc>
          <w:tcPr>
            <w:tcW w:w="654"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8</w:t>
            </w:r>
          </w:p>
        </w:tc>
        <w:tc>
          <w:tcPr>
            <w:tcW w:w="2148" w:type="dxa"/>
            <w:vAlign w:val="center"/>
          </w:tcPr>
          <w:p>
            <w:pPr>
              <w:widowControl/>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麦积区人民法院</w:t>
            </w:r>
          </w:p>
        </w:tc>
        <w:tc>
          <w:tcPr>
            <w:tcW w:w="1248" w:type="dxa"/>
            <w:vAlign w:val="center"/>
          </w:tcPr>
          <w:p>
            <w:pPr>
              <w:widowControl/>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60.00 </w:t>
            </w:r>
          </w:p>
        </w:tc>
        <w:tc>
          <w:tcPr>
            <w:tcW w:w="4206" w:type="dxa"/>
            <w:noWrap/>
            <w:vAlign w:val="center"/>
          </w:tcPr>
          <w:p>
            <w:pPr>
              <w:widowControl/>
              <w:jc w:val="left"/>
              <w:textAlignment w:val="center"/>
              <w:rPr>
                <w:rFonts w:ascii="宋体" w:hAnsi="宋体" w:eastAsia="宋体" w:cs="宋体"/>
                <w:color w:val="auto"/>
                <w:kern w:val="0"/>
                <w:szCs w:val="21"/>
                <w:highlight w:val="none"/>
                <w:lang w:bidi="ar"/>
              </w:rPr>
            </w:pPr>
            <w:r>
              <w:rPr>
                <w:rFonts w:hint="eastAsia"/>
                <w:color w:val="auto"/>
                <w:highlight w:val="none"/>
              </w:rPr>
              <w:t>麦积区法院审判法庭维修改造项目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54"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9</w:t>
            </w:r>
          </w:p>
        </w:tc>
        <w:tc>
          <w:tcPr>
            <w:tcW w:w="2148" w:type="dxa"/>
            <w:vAlign w:val="center"/>
          </w:tcPr>
          <w:p>
            <w:pPr>
              <w:widowControl/>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永登县人民法院</w:t>
            </w:r>
          </w:p>
        </w:tc>
        <w:tc>
          <w:tcPr>
            <w:tcW w:w="1248" w:type="dxa"/>
            <w:vAlign w:val="center"/>
          </w:tcPr>
          <w:p>
            <w:pPr>
              <w:widowControl/>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755.00 </w:t>
            </w:r>
          </w:p>
        </w:tc>
        <w:tc>
          <w:tcPr>
            <w:tcW w:w="4206" w:type="dxa"/>
            <w:noWrap/>
            <w:vAlign w:val="center"/>
          </w:tcPr>
          <w:p>
            <w:pPr>
              <w:widowControl/>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永登县法院审判法庭综合楼“老旧幕墙”改造及一层诉讼服务中心等局部维修改造项目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54"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10</w:t>
            </w:r>
          </w:p>
        </w:tc>
        <w:tc>
          <w:tcPr>
            <w:tcW w:w="2148" w:type="dxa"/>
            <w:vAlign w:val="center"/>
          </w:tcPr>
          <w:p>
            <w:pPr>
              <w:widowControl/>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皋兰县人民法院</w:t>
            </w:r>
          </w:p>
        </w:tc>
        <w:tc>
          <w:tcPr>
            <w:tcW w:w="1248" w:type="dxa"/>
            <w:vAlign w:val="center"/>
          </w:tcPr>
          <w:p>
            <w:pPr>
              <w:widowControl/>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40.00 </w:t>
            </w:r>
          </w:p>
        </w:tc>
        <w:tc>
          <w:tcPr>
            <w:tcW w:w="4206" w:type="dxa"/>
            <w:noWrap/>
            <w:vAlign w:val="center"/>
          </w:tcPr>
          <w:p>
            <w:pPr>
              <w:widowControl/>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皋兰县法院审判法庭室内地砖维修改造项目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54"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11</w:t>
            </w:r>
          </w:p>
        </w:tc>
        <w:tc>
          <w:tcPr>
            <w:tcW w:w="2148" w:type="dxa"/>
            <w:vAlign w:val="center"/>
          </w:tcPr>
          <w:p>
            <w:pPr>
              <w:widowControl/>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临夏县人民法院</w:t>
            </w:r>
          </w:p>
        </w:tc>
        <w:tc>
          <w:tcPr>
            <w:tcW w:w="1248" w:type="dxa"/>
            <w:vAlign w:val="center"/>
          </w:tcPr>
          <w:p>
            <w:pPr>
              <w:widowControl/>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83.00 </w:t>
            </w:r>
          </w:p>
        </w:tc>
        <w:tc>
          <w:tcPr>
            <w:tcW w:w="4206" w:type="dxa"/>
            <w:noWrap/>
            <w:vAlign w:val="center"/>
          </w:tcPr>
          <w:p>
            <w:pPr>
              <w:widowControl/>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临夏县法院刑事大审判庭维修改造项目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54" w:type="dxa"/>
            <w:vMerge w:val="restart"/>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12</w:t>
            </w:r>
          </w:p>
        </w:tc>
        <w:tc>
          <w:tcPr>
            <w:tcW w:w="2148" w:type="dxa"/>
            <w:vMerge w:val="restart"/>
            <w:vAlign w:val="center"/>
          </w:tcPr>
          <w:p>
            <w:pPr>
              <w:widowControl/>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康县人民法院</w:t>
            </w:r>
          </w:p>
        </w:tc>
        <w:tc>
          <w:tcPr>
            <w:tcW w:w="1248" w:type="dxa"/>
            <w:vAlign w:val="center"/>
          </w:tcPr>
          <w:p>
            <w:pPr>
              <w:widowControl/>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170.00 </w:t>
            </w:r>
          </w:p>
        </w:tc>
        <w:tc>
          <w:tcPr>
            <w:tcW w:w="4206" w:type="dxa"/>
            <w:noWrap/>
            <w:vAlign w:val="center"/>
          </w:tcPr>
          <w:p>
            <w:pPr>
              <w:widowControl/>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审判综合楼维修改造项目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54" w:type="dxa"/>
            <w:vMerge w:val="continue"/>
            <w:noWrap/>
            <w:vAlign w:val="center"/>
          </w:tcPr>
          <w:p>
            <w:pPr>
              <w:widowControl/>
              <w:jc w:val="center"/>
              <w:textAlignment w:val="center"/>
              <w:rPr>
                <w:rFonts w:ascii="宋体" w:hAnsi="宋体" w:eastAsia="宋体" w:cs="宋体"/>
                <w:color w:val="auto"/>
                <w:kern w:val="0"/>
                <w:szCs w:val="21"/>
                <w:highlight w:val="none"/>
                <w:lang w:bidi="ar"/>
              </w:rPr>
            </w:pPr>
          </w:p>
        </w:tc>
        <w:tc>
          <w:tcPr>
            <w:tcW w:w="2148" w:type="dxa"/>
            <w:vMerge w:val="continue"/>
            <w:vAlign w:val="center"/>
          </w:tcPr>
          <w:p>
            <w:pPr>
              <w:widowControl/>
              <w:jc w:val="left"/>
              <w:textAlignment w:val="center"/>
              <w:rPr>
                <w:rFonts w:ascii="宋体" w:hAnsi="宋体" w:eastAsia="宋体" w:cs="宋体"/>
                <w:color w:val="auto"/>
                <w:kern w:val="0"/>
                <w:szCs w:val="21"/>
                <w:highlight w:val="none"/>
                <w:lang w:bidi="ar"/>
              </w:rPr>
            </w:pPr>
          </w:p>
        </w:tc>
        <w:tc>
          <w:tcPr>
            <w:tcW w:w="1248" w:type="dxa"/>
            <w:vAlign w:val="center"/>
          </w:tcPr>
          <w:p>
            <w:pPr>
              <w:widowControl/>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50.00</w:t>
            </w:r>
          </w:p>
        </w:tc>
        <w:tc>
          <w:tcPr>
            <w:tcW w:w="4206" w:type="dxa"/>
            <w:noWrap/>
            <w:vAlign w:val="center"/>
          </w:tcPr>
          <w:p>
            <w:pPr>
              <w:widowControl/>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阳坝法庭维修改造项目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54"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w:t>
            </w:r>
          </w:p>
        </w:tc>
        <w:tc>
          <w:tcPr>
            <w:tcW w:w="2148" w:type="dxa"/>
            <w:vAlign w:val="center"/>
          </w:tcPr>
          <w:p>
            <w:pPr>
              <w:widowControl/>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卓尼县人民法院</w:t>
            </w:r>
          </w:p>
        </w:tc>
        <w:tc>
          <w:tcPr>
            <w:tcW w:w="1248" w:type="dxa"/>
            <w:vAlign w:val="center"/>
          </w:tcPr>
          <w:p>
            <w:pPr>
              <w:widowControl/>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200.00 </w:t>
            </w:r>
          </w:p>
        </w:tc>
        <w:tc>
          <w:tcPr>
            <w:tcW w:w="4206" w:type="dxa"/>
            <w:noWrap/>
            <w:vAlign w:val="center"/>
          </w:tcPr>
          <w:p>
            <w:pPr>
              <w:widowControl/>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审判法庭室外附属工程维修改造项目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54"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14</w:t>
            </w:r>
          </w:p>
        </w:tc>
        <w:tc>
          <w:tcPr>
            <w:tcW w:w="2148" w:type="dxa"/>
            <w:vAlign w:val="center"/>
          </w:tcPr>
          <w:p>
            <w:pPr>
              <w:widowControl/>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甘南州中级人民法院</w:t>
            </w:r>
          </w:p>
        </w:tc>
        <w:tc>
          <w:tcPr>
            <w:tcW w:w="1248" w:type="dxa"/>
            <w:vAlign w:val="center"/>
          </w:tcPr>
          <w:p>
            <w:pPr>
              <w:widowControl/>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178.00 </w:t>
            </w:r>
          </w:p>
        </w:tc>
        <w:tc>
          <w:tcPr>
            <w:tcW w:w="4206" w:type="dxa"/>
            <w:noWrap/>
            <w:vAlign w:val="center"/>
          </w:tcPr>
          <w:p>
            <w:pPr>
              <w:widowControl/>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甘南中院审判大楼内外设施维修改造项目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54"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15</w:t>
            </w:r>
          </w:p>
        </w:tc>
        <w:tc>
          <w:tcPr>
            <w:tcW w:w="2148" w:type="dxa"/>
            <w:vAlign w:val="center"/>
          </w:tcPr>
          <w:p>
            <w:pPr>
              <w:widowControl/>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镇原县人民法院</w:t>
            </w:r>
          </w:p>
        </w:tc>
        <w:tc>
          <w:tcPr>
            <w:tcW w:w="1248" w:type="dxa"/>
            <w:vAlign w:val="center"/>
          </w:tcPr>
          <w:p>
            <w:pPr>
              <w:widowControl/>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31.00 </w:t>
            </w:r>
          </w:p>
        </w:tc>
        <w:tc>
          <w:tcPr>
            <w:tcW w:w="4206" w:type="dxa"/>
            <w:noWrap/>
            <w:vAlign w:val="center"/>
          </w:tcPr>
          <w:p>
            <w:pPr>
              <w:widowControl/>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平泉人民法庭维修改造项目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54"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16</w:t>
            </w:r>
          </w:p>
        </w:tc>
        <w:tc>
          <w:tcPr>
            <w:tcW w:w="2148" w:type="dxa"/>
            <w:vAlign w:val="center"/>
          </w:tcPr>
          <w:p>
            <w:pPr>
              <w:widowControl/>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定西市中级人民法院</w:t>
            </w:r>
          </w:p>
        </w:tc>
        <w:tc>
          <w:tcPr>
            <w:tcW w:w="1248" w:type="dxa"/>
            <w:vAlign w:val="center"/>
          </w:tcPr>
          <w:p>
            <w:pPr>
              <w:widowControl/>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70.00 </w:t>
            </w:r>
          </w:p>
        </w:tc>
        <w:tc>
          <w:tcPr>
            <w:tcW w:w="4206" w:type="dxa"/>
            <w:noWrap/>
            <w:vAlign w:val="center"/>
          </w:tcPr>
          <w:p>
            <w:pPr>
              <w:widowControl/>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定西中院第三、五科技法庭维修改造</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54"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w:t>
            </w:r>
          </w:p>
        </w:tc>
        <w:tc>
          <w:tcPr>
            <w:tcW w:w="2148" w:type="dxa"/>
            <w:vAlign w:val="center"/>
          </w:tcPr>
          <w:p>
            <w:pPr>
              <w:widowControl/>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安定区人民法院</w:t>
            </w:r>
          </w:p>
        </w:tc>
        <w:tc>
          <w:tcPr>
            <w:tcW w:w="1248" w:type="dxa"/>
            <w:vAlign w:val="center"/>
          </w:tcPr>
          <w:p>
            <w:pPr>
              <w:widowControl/>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70.00 </w:t>
            </w:r>
          </w:p>
        </w:tc>
        <w:tc>
          <w:tcPr>
            <w:tcW w:w="4206" w:type="dxa"/>
            <w:noWrap/>
            <w:vAlign w:val="center"/>
          </w:tcPr>
          <w:p>
            <w:pPr>
              <w:widowControl/>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审判法庭综合楼维修改造项目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54"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18</w:t>
            </w:r>
          </w:p>
        </w:tc>
        <w:tc>
          <w:tcPr>
            <w:tcW w:w="2148" w:type="dxa"/>
            <w:vAlign w:val="center"/>
          </w:tcPr>
          <w:p>
            <w:pPr>
              <w:widowControl/>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甘肃矿区人民法院</w:t>
            </w:r>
          </w:p>
        </w:tc>
        <w:tc>
          <w:tcPr>
            <w:tcW w:w="1248" w:type="dxa"/>
            <w:vAlign w:val="center"/>
          </w:tcPr>
          <w:p>
            <w:pPr>
              <w:widowControl/>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170.00 </w:t>
            </w:r>
          </w:p>
        </w:tc>
        <w:tc>
          <w:tcPr>
            <w:tcW w:w="4206" w:type="dxa"/>
            <w:noWrap/>
            <w:vAlign w:val="center"/>
          </w:tcPr>
          <w:p>
            <w:pPr>
              <w:widowControl/>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审判业务用房维修改造项目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54" w:type="dxa"/>
            <w:shd w:val="clear" w:color="auto" w:fill="C7DAF1"/>
            <w:noWrap/>
            <w:vAlign w:val="center"/>
          </w:tcPr>
          <w:p>
            <w:pPr>
              <w:widowControl/>
              <w:jc w:val="center"/>
              <w:textAlignment w:val="center"/>
              <w:rPr>
                <w:rFonts w:ascii="宋体" w:hAnsi="宋体" w:cs="宋体"/>
                <w:b/>
                <w:bCs/>
                <w:color w:val="auto"/>
                <w:kern w:val="0"/>
                <w:szCs w:val="21"/>
                <w:highlight w:val="none"/>
                <w:lang w:bidi="ar"/>
              </w:rPr>
            </w:pPr>
          </w:p>
        </w:tc>
        <w:tc>
          <w:tcPr>
            <w:tcW w:w="2148" w:type="dxa"/>
            <w:shd w:val="clear" w:color="auto" w:fill="C7DAF1"/>
            <w:vAlign w:val="center"/>
          </w:tcPr>
          <w:p>
            <w:pPr>
              <w:widowControl/>
              <w:jc w:val="center"/>
              <w:textAlignment w:val="center"/>
              <w:rPr>
                <w:rFonts w:ascii="宋体" w:hAnsi="宋体" w:cs="宋体"/>
                <w:b/>
                <w:bCs/>
                <w:color w:val="auto"/>
                <w:kern w:val="0"/>
                <w:szCs w:val="21"/>
                <w:highlight w:val="none"/>
                <w:lang w:bidi="ar"/>
              </w:rPr>
            </w:pPr>
            <w:r>
              <w:rPr>
                <w:rFonts w:hint="eastAsia" w:ascii="宋体" w:hAnsi="宋体" w:cs="宋体"/>
                <w:b/>
                <w:bCs/>
                <w:color w:val="auto"/>
                <w:kern w:val="0"/>
                <w:szCs w:val="21"/>
                <w:highlight w:val="none"/>
                <w:lang w:bidi="ar"/>
              </w:rPr>
              <w:t>合计</w:t>
            </w:r>
          </w:p>
        </w:tc>
        <w:tc>
          <w:tcPr>
            <w:tcW w:w="1248" w:type="dxa"/>
            <w:shd w:val="clear" w:color="auto" w:fill="C7DAF1"/>
          </w:tcPr>
          <w:p>
            <w:pPr>
              <w:widowControl/>
              <w:jc w:val="right"/>
              <w:textAlignment w:val="center"/>
              <w:rPr>
                <w:rFonts w:ascii="宋体" w:hAnsi="宋体" w:eastAsia="宋体" w:cs="宋体"/>
                <w:b/>
                <w:bCs/>
                <w:color w:val="auto"/>
                <w:kern w:val="0"/>
                <w:szCs w:val="21"/>
                <w:highlight w:val="none"/>
                <w:lang w:bidi="ar"/>
              </w:rPr>
            </w:pPr>
            <w:r>
              <w:rPr>
                <w:rFonts w:hint="eastAsia" w:ascii="宋体" w:hAnsi="宋体" w:cs="宋体"/>
                <w:b/>
                <w:bCs/>
                <w:color w:val="auto"/>
                <w:kern w:val="0"/>
                <w:szCs w:val="21"/>
                <w:highlight w:val="none"/>
                <w:lang w:bidi="ar"/>
              </w:rPr>
              <w:t>3,145.00</w:t>
            </w:r>
          </w:p>
        </w:tc>
        <w:tc>
          <w:tcPr>
            <w:tcW w:w="4206" w:type="dxa"/>
            <w:shd w:val="clear" w:color="auto" w:fill="C7DAF1"/>
            <w:noWrap/>
            <w:vAlign w:val="center"/>
          </w:tcPr>
          <w:p>
            <w:pPr>
              <w:widowControl/>
              <w:jc w:val="right"/>
              <w:textAlignment w:val="center"/>
              <w:rPr>
                <w:rFonts w:ascii="宋体" w:hAnsi="宋体" w:eastAsia="宋体" w:cs="宋体"/>
                <w:b/>
                <w:bCs/>
                <w:color w:val="auto"/>
                <w:kern w:val="0"/>
                <w:szCs w:val="21"/>
                <w:highlight w:val="none"/>
                <w:lang w:bidi="ar"/>
              </w:rPr>
            </w:pPr>
          </w:p>
        </w:tc>
      </w:tr>
    </w:tbl>
    <w:p>
      <w:pPr>
        <w:pStyle w:val="2"/>
        <w:spacing w:line="560" w:lineRule="exact"/>
        <w:ind w:firstLine="643" w:firstLineChars="200"/>
        <w:outlineLvl w:val="2"/>
        <w:rPr>
          <w:rFonts w:ascii="仿宋_GB2312" w:hAnsi="仿宋_GB2312" w:cs="仿宋_GB2312"/>
          <w:b/>
          <w:bCs/>
          <w:color w:val="000000" w:themeColor="text1"/>
          <w:highlight w:val="none"/>
          <w14:textFill>
            <w14:solidFill>
              <w14:schemeClr w14:val="tx1"/>
            </w14:solidFill>
          </w14:textFill>
        </w:rPr>
      </w:pPr>
      <w:r>
        <w:rPr>
          <w:rFonts w:hint="eastAsia" w:ascii="仿宋_GB2312" w:hAnsi="仿宋_GB2312" w:cs="仿宋_GB2312"/>
          <w:b/>
          <w:bCs/>
          <w:color w:val="000000" w:themeColor="text1"/>
          <w:highlight w:val="none"/>
          <w14:textFill>
            <w14:solidFill>
              <w14:schemeClr w14:val="tx1"/>
            </w14:solidFill>
          </w14:textFill>
        </w:rPr>
        <w:t>2.资金使用情况</w:t>
      </w:r>
    </w:p>
    <w:p>
      <w:pPr>
        <w:pStyle w:val="2"/>
        <w:spacing w:line="560" w:lineRule="exact"/>
        <w:ind w:firstLine="640" w:firstLineChars="200"/>
        <w:rPr>
          <w:rFonts w:hint="eastAsia" w:ascii="仿宋_GB2312" w:hAnsi="仿宋_GB2312" w:cs="仿宋_GB2312"/>
          <w:highlight w:val="none"/>
        </w:rPr>
      </w:pPr>
      <w:r>
        <w:rPr>
          <w:rFonts w:hint="eastAsia" w:ascii="仿宋_GB2312" w:hAnsi="仿宋_GB2312" w:cs="仿宋_GB2312"/>
          <w:highlight w:val="none"/>
        </w:rPr>
        <w:t>全省法院人民法庭维修经费</w:t>
      </w:r>
      <w:r>
        <w:rPr>
          <w:rFonts w:hint="eastAsia" w:ascii="仿宋_GB2312" w:hAnsi="仿宋_GB2312" w:cs="仿宋_GB2312"/>
          <w:highlight w:val="none"/>
          <w:lang w:val="en-US" w:eastAsia="zh-CN"/>
        </w:rPr>
        <w:t>全年预算数5,273.74万元，其中当年财政拨款5,000.00万元，上年结转资金273.74万元，</w:t>
      </w:r>
      <w:r>
        <w:rPr>
          <w:rFonts w:hint="eastAsia" w:ascii="仿宋_GB2312" w:hAnsi="仿宋_GB2312" w:cs="仿宋_GB2312"/>
          <w:highlight w:val="none"/>
        </w:rPr>
        <w:t>截止2022年12月31日，实际支出2,46</w:t>
      </w:r>
      <w:r>
        <w:rPr>
          <w:rFonts w:hint="eastAsia" w:ascii="仿宋_GB2312" w:hAnsi="仿宋_GB2312" w:cs="仿宋_GB2312"/>
          <w:highlight w:val="none"/>
          <w:lang w:val="en-US" w:eastAsia="zh-CN"/>
        </w:rPr>
        <w:t>9</w:t>
      </w:r>
      <w:r>
        <w:rPr>
          <w:rFonts w:hint="eastAsia" w:ascii="仿宋_GB2312" w:hAnsi="仿宋_GB2312" w:cs="仿宋_GB2312"/>
          <w:highlight w:val="none"/>
        </w:rPr>
        <w:t>.45万元，预算执行率46.</w:t>
      </w:r>
      <w:r>
        <w:rPr>
          <w:rFonts w:hint="eastAsia" w:ascii="仿宋_GB2312" w:hAnsi="仿宋_GB2312" w:cs="仿宋_GB2312"/>
          <w:highlight w:val="none"/>
          <w:lang w:val="en-US" w:eastAsia="zh-CN"/>
        </w:rPr>
        <w:t>83</w:t>
      </w:r>
      <w:r>
        <w:rPr>
          <w:rFonts w:hint="eastAsia" w:ascii="仿宋_GB2312" w:hAnsi="仿宋_GB2312" w:cs="仿宋_GB2312"/>
          <w:highlight w:val="none"/>
        </w:rPr>
        <w:t>%。各法院项目资金使用情况明细如下：</w:t>
      </w:r>
    </w:p>
    <w:tbl>
      <w:tblPr>
        <w:tblStyle w:val="15"/>
        <w:tblW w:w="8253" w:type="dxa"/>
        <w:jc w:val="center"/>
        <w:tblBorders>
          <w:top w:val="single" w:color="auto" w:sz="4" w:space="0"/>
          <w:left w:val="none" w:color="auto" w:sz="0" w:space="0"/>
          <w:bottom w:val="single" w:color="auto" w:sz="4"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581"/>
        <w:gridCol w:w="2460"/>
        <w:gridCol w:w="1066"/>
        <w:gridCol w:w="932"/>
        <w:gridCol w:w="1114"/>
        <w:gridCol w:w="1108"/>
        <w:gridCol w:w="992"/>
      </w:tblGrid>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jc w:val="center"/>
        </w:trPr>
        <w:tc>
          <w:tcPr>
            <w:tcW w:w="581" w:type="dxa"/>
            <w:vMerge w:val="restart"/>
            <w:shd w:val="clear" w:color="auto" w:fill="B8CCE4"/>
            <w:vAlign w:val="center"/>
          </w:tcPr>
          <w:p>
            <w:pPr>
              <w:widowControl/>
              <w:jc w:val="center"/>
              <w:textAlignment w:val="center"/>
              <w:rPr>
                <w:rFonts w:ascii="宋体" w:hAnsi="宋体" w:cs="宋体"/>
                <w:b/>
                <w:bCs/>
                <w:color w:val="auto"/>
                <w:kern w:val="0"/>
                <w:szCs w:val="21"/>
                <w:highlight w:val="none"/>
                <w:lang w:bidi="ar"/>
              </w:rPr>
            </w:pPr>
            <w:r>
              <w:rPr>
                <w:rFonts w:hint="eastAsia" w:ascii="宋体" w:hAnsi="宋体" w:cs="宋体"/>
                <w:b/>
                <w:bCs/>
                <w:color w:val="auto"/>
                <w:kern w:val="0"/>
                <w:szCs w:val="21"/>
                <w:highlight w:val="none"/>
                <w:lang w:bidi="ar"/>
              </w:rPr>
              <w:t>序号</w:t>
            </w:r>
          </w:p>
        </w:tc>
        <w:tc>
          <w:tcPr>
            <w:tcW w:w="2460" w:type="dxa"/>
            <w:vMerge w:val="restart"/>
            <w:shd w:val="clear" w:color="auto" w:fill="B8CCE4"/>
            <w:vAlign w:val="center"/>
          </w:tcPr>
          <w:p>
            <w:pPr>
              <w:widowControl/>
              <w:jc w:val="center"/>
              <w:textAlignment w:val="center"/>
              <w:rPr>
                <w:rFonts w:ascii="宋体" w:hAnsi="宋体" w:eastAsia="宋体" w:cs="宋体"/>
                <w:b/>
                <w:bCs/>
                <w:color w:val="auto"/>
                <w:kern w:val="0"/>
                <w:szCs w:val="21"/>
                <w:highlight w:val="none"/>
                <w:lang w:bidi="ar"/>
              </w:rPr>
            </w:pPr>
            <w:r>
              <w:rPr>
                <w:rFonts w:hint="eastAsia" w:ascii="宋体" w:hAnsi="宋体" w:cs="宋体"/>
                <w:b/>
                <w:bCs/>
                <w:color w:val="auto"/>
                <w:kern w:val="0"/>
                <w:szCs w:val="21"/>
                <w:highlight w:val="none"/>
                <w:lang w:bidi="ar"/>
              </w:rPr>
              <w:t>实施单位</w:t>
            </w:r>
          </w:p>
        </w:tc>
        <w:tc>
          <w:tcPr>
            <w:tcW w:w="3112" w:type="dxa"/>
            <w:gridSpan w:val="3"/>
            <w:shd w:val="clear" w:color="auto" w:fill="B8CCE4"/>
            <w:vAlign w:val="center"/>
          </w:tcPr>
          <w:p>
            <w:pPr>
              <w:widowControl/>
              <w:jc w:val="center"/>
              <w:textAlignment w:val="center"/>
              <w:rPr>
                <w:rFonts w:ascii="宋体" w:hAnsi="宋体" w:cs="宋体"/>
                <w:b/>
                <w:bCs/>
                <w:color w:val="auto"/>
                <w:kern w:val="0"/>
                <w:szCs w:val="21"/>
                <w:highlight w:val="none"/>
                <w:lang w:bidi="ar"/>
              </w:rPr>
            </w:pPr>
            <w:r>
              <w:rPr>
                <w:rFonts w:hint="eastAsia" w:ascii="宋体" w:hAnsi="宋体" w:cs="宋体"/>
                <w:b/>
                <w:bCs/>
                <w:color w:val="auto"/>
                <w:kern w:val="0"/>
                <w:szCs w:val="21"/>
                <w:highlight w:val="none"/>
                <w:lang w:bidi="ar"/>
              </w:rPr>
              <w:t>全年预算数</w:t>
            </w:r>
          </w:p>
        </w:tc>
        <w:tc>
          <w:tcPr>
            <w:tcW w:w="1108" w:type="dxa"/>
            <w:vMerge w:val="restart"/>
            <w:shd w:val="clear" w:color="auto" w:fill="B8CCE4"/>
            <w:vAlign w:val="center"/>
          </w:tcPr>
          <w:p>
            <w:pPr>
              <w:widowControl/>
              <w:jc w:val="center"/>
              <w:textAlignment w:val="center"/>
              <w:rPr>
                <w:rFonts w:hint="eastAsia" w:ascii="宋体" w:hAnsi="宋体" w:cs="宋体"/>
                <w:b/>
                <w:bCs/>
                <w:color w:val="auto"/>
                <w:kern w:val="0"/>
                <w:szCs w:val="21"/>
                <w:highlight w:val="none"/>
                <w:lang w:bidi="ar"/>
              </w:rPr>
            </w:pPr>
            <w:r>
              <w:rPr>
                <w:rFonts w:hint="eastAsia" w:ascii="宋体" w:hAnsi="宋体" w:cs="宋体"/>
                <w:b/>
                <w:bCs/>
                <w:color w:val="auto"/>
                <w:kern w:val="0"/>
                <w:szCs w:val="21"/>
                <w:highlight w:val="none"/>
                <w:lang w:bidi="ar"/>
              </w:rPr>
              <w:t>全年</w:t>
            </w:r>
          </w:p>
          <w:p>
            <w:pPr>
              <w:widowControl/>
              <w:jc w:val="center"/>
              <w:textAlignment w:val="center"/>
              <w:rPr>
                <w:rFonts w:ascii="宋体" w:hAnsi="宋体" w:cs="宋体"/>
                <w:b/>
                <w:bCs/>
                <w:color w:val="auto"/>
                <w:kern w:val="0"/>
                <w:szCs w:val="21"/>
                <w:highlight w:val="none"/>
                <w:lang w:bidi="ar"/>
              </w:rPr>
            </w:pPr>
            <w:r>
              <w:rPr>
                <w:rFonts w:hint="eastAsia" w:ascii="宋体" w:hAnsi="宋体" w:cs="宋体"/>
                <w:b/>
                <w:bCs/>
                <w:color w:val="auto"/>
                <w:kern w:val="0"/>
                <w:szCs w:val="21"/>
                <w:highlight w:val="none"/>
                <w:lang w:bidi="ar"/>
              </w:rPr>
              <w:t>执行数</w:t>
            </w:r>
          </w:p>
        </w:tc>
        <w:tc>
          <w:tcPr>
            <w:tcW w:w="992" w:type="dxa"/>
            <w:vMerge w:val="restart"/>
            <w:shd w:val="clear" w:color="auto" w:fill="B8CCE4"/>
            <w:vAlign w:val="center"/>
          </w:tcPr>
          <w:p>
            <w:pPr>
              <w:widowControl/>
              <w:jc w:val="center"/>
              <w:textAlignment w:val="center"/>
              <w:rPr>
                <w:rFonts w:hint="eastAsia" w:ascii="宋体" w:hAnsi="宋体" w:cs="宋体"/>
                <w:b/>
                <w:bCs/>
                <w:color w:val="auto"/>
                <w:kern w:val="0"/>
                <w:szCs w:val="21"/>
                <w:highlight w:val="none"/>
                <w:lang w:bidi="ar"/>
              </w:rPr>
            </w:pPr>
            <w:r>
              <w:rPr>
                <w:rFonts w:hint="eastAsia" w:ascii="宋体" w:hAnsi="宋体" w:cs="宋体"/>
                <w:b/>
                <w:bCs/>
                <w:color w:val="auto"/>
                <w:kern w:val="0"/>
                <w:szCs w:val="21"/>
                <w:highlight w:val="none"/>
                <w:lang w:bidi="ar"/>
              </w:rPr>
              <w:t>预算</w:t>
            </w:r>
          </w:p>
          <w:p>
            <w:pPr>
              <w:widowControl/>
              <w:jc w:val="center"/>
              <w:textAlignment w:val="center"/>
              <w:rPr>
                <w:rFonts w:ascii="宋体" w:hAnsi="宋体" w:cs="宋体"/>
                <w:b/>
                <w:bCs/>
                <w:color w:val="auto"/>
                <w:kern w:val="0"/>
                <w:szCs w:val="21"/>
                <w:highlight w:val="none"/>
                <w:lang w:bidi="ar"/>
              </w:rPr>
            </w:pPr>
            <w:r>
              <w:rPr>
                <w:rFonts w:hint="eastAsia" w:ascii="宋体" w:hAnsi="宋体" w:cs="宋体"/>
                <w:b/>
                <w:bCs/>
                <w:color w:val="auto"/>
                <w:kern w:val="0"/>
                <w:szCs w:val="21"/>
                <w:highlight w:val="none"/>
                <w:lang w:bidi="ar"/>
              </w:rPr>
              <w:t>执行率</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jc w:val="center"/>
        </w:trPr>
        <w:tc>
          <w:tcPr>
            <w:tcW w:w="581" w:type="dxa"/>
            <w:vMerge w:val="continue"/>
            <w:shd w:val="clear" w:color="auto" w:fill="B8CCE4"/>
            <w:vAlign w:val="center"/>
          </w:tcPr>
          <w:p>
            <w:pPr>
              <w:widowControl/>
              <w:jc w:val="center"/>
              <w:textAlignment w:val="center"/>
              <w:rPr>
                <w:rFonts w:ascii="宋体" w:hAnsi="宋体" w:cs="宋体"/>
                <w:b/>
                <w:bCs/>
                <w:color w:val="auto"/>
                <w:kern w:val="0"/>
                <w:szCs w:val="21"/>
                <w:highlight w:val="none"/>
                <w:lang w:bidi="ar"/>
              </w:rPr>
            </w:pPr>
          </w:p>
        </w:tc>
        <w:tc>
          <w:tcPr>
            <w:tcW w:w="2460" w:type="dxa"/>
            <w:vMerge w:val="continue"/>
            <w:shd w:val="clear" w:color="auto" w:fill="B8CCE4"/>
            <w:vAlign w:val="center"/>
          </w:tcPr>
          <w:p>
            <w:pPr>
              <w:widowControl/>
              <w:jc w:val="center"/>
              <w:textAlignment w:val="center"/>
              <w:rPr>
                <w:rFonts w:ascii="宋体" w:hAnsi="宋体" w:cs="宋体"/>
                <w:b/>
                <w:bCs/>
                <w:color w:val="auto"/>
                <w:kern w:val="0"/>
                <w:szCs w:val="21"/>
                <w:highlight w:val="none"/>
                <w:lang w:bidi="ar"/>
              </w:rPr>
            </w:pPr>
          </w:p>
        </w:tc>
        <w:tc>
          <w:tcPr>
            <w:tcW w:w="1066" w:type="dxa"/>
            <w:shd w:val="clear" w:color="auto" w:fill="B8CCE4"/>
            <w:vAlign w:val="center"/>
          </w:tcPr>
          <w:p>
            <w:pPr>
              <w:widowControl/>
              <w:jc w:val="center"/>
              <w:textAlignment w:val="center"/>
              <w:rPr>
                <w:rFonts w:ascii="宋体" w:hAnsi="宋体" w:cs="宋体"/>
                <w:b/>
                <w:bCs/>
                <w:color w:val="auto"/>
                <w:kern w:val="0"/>
                <w:szCs w:val="21"/>
                <w:highlight w:val="none"/>
                <w:lang w:bidi="ar"/>
              </w:rPr>
            </w:pPr>
            <w:r>
              <w:rPr>
                <w:rFonts w:hint="eastAsia" w:ascii="宋体" w:hAnsi="宋体" w:cs="宋体"/>
                <w:b/>
                <w:bCs/>
                <w:color w:val="auto"/>
                <w:kern w:val="0"/>
                <w:szCs w:val="21"/>
                <w:highlight w:val="none"/>
                <w:lang w:bidi="ar"/>
              </w:rPr>
              <w:t>当年财政拨款</w:t>
            </w:r>
          </w:p>
        </w:tc>
        <w:tc>
          <w:tcPr>
            <w:tcW w:w="932" w:type="dxa"/>
            <w:shd w:val="clear" w:color="auto" w:fill="B8CCE4"/>
            <w:vAlign w:val="center"/>
          </w:tcPr>
          <w:p>
            <w:pPr>
              <w:widowControl/>
              <w:jc w:val="center"/>
              <w:textAlignment w:val="center"/>
              <w:rPr>
                <w:rFonts w:ascii="宋体" w:hAnsi="宋体" w:cs="宋体"/>
                <w:b/>
                <w:bCs/>
                <w:color w:val="auto"/>
                <w:kern w:val="0"/>
                <w:szCs w:val="21"/>
                <w:highlight w:val="none"/>
                <w:lang w:bidi="ar"/>
              </w:rPr>
            </w:pPr>
            <w:r>
              <w:rPr>
                <w:rFonts w:hint="eastAsia" w:ascii="宋体" w:hAnsi="宋体" w:cs="宋体"/>
                <w:b/>
                <w:bCs/>
                <w:color w:val="auto"/>
                <w:kern w:val="0"/>
                <w:szCs w:val="21"/>
                <w:highlight w:val="none"/>
                <w:lang w:bidi="ar"/>
              </w:rPr>
              <w:t>上年结转资金</w:t>
            </w:r>
          </w:p>
        </w:tc>
        <w:tc>
          <w:tcPr>
            <w:tcW w:w="1114" w:type="dxa"/>
            <w:shd w:val="clear" w:color="auto" w:fill="B8CCE4"/>
            <w:vAlign w:val="center"/>
          </w:tcPr>
          <w:p>
            <w:pPr>
              <w:widowControl/>
              <w:jc w:val="center"/>
              <w:textAlignment w:val="center"/>
              <w:rPr>
                <w:rFonts w:ascii="宋体" w:hAnsi="宋体" w:cs="宋体"/>
                <w:b/>
                <w:bCs/>
                <w:color w:val="auto"/>
                <w:kern w:val="0"/>
                <w:szCs w:val="21"/>
                <w:highlight w:val="none"/>
                <w:lang w:bidi="ar"/>
              </w:rPr>
            </w:pPr>
            <w:r>
              <w:rPr>
                <w:rFonts w:hint="eastAsia" w:ascii="宋体" w:hAnsi="宋体" w:cs="宋体"/>
                <w:b/>
                <w:bCs/>
                <w:color w:val="auto"/>
                <w:kern w:val="0"/>
                <w:szCs w:val="21"/>
                <w:highlight w:val="none"/>
                <w:lang w:bidi="ar"/>
              </w:rPr>
              <w:t>合计</w:t>
            </w:r>
          </w:p>
        </w:tc>
        <w:tc>
          <w:tcPr>
            <w:tcW w:w="1108" w:type="dxa"/>
            <w:vMerge w:val="continue"/>
            <w:shd w:val="clear" w:color="auto" w:fill="B8CCE4"/>
            <w:vAlign w:val="center"/>
          </w:tcPr>
          <w:p>
            <w:pPr>
              <w:widowControl/>
              <w:jc w:val="center"/>
              <w:textAlignment w:val="center"/>
              <w:rPr>
                <w:rFonts w:ascii="宋体" w:hAnsi="宋体" w:cs="宋体"/>
                <w:b/>
                <w:bCs/>
                <w:color w:val="auto"/>
                <w:kern w:val="0"/>
                <w:szCs w:val="21"/>
                <w:highlight w:val="none"/>
                <w:lang w:bidi="ar"/>
              </w:rPr>
            </w:pPr>
          </w:p>
        </w:tc>
        <w:tc>
          <w:tcPr>
            <w:tcW w:w="992" w:type="dxa"/>
            <w:vMerge w:val="continue"/>
            <w:shd w:val="clear" w:color="auto" w:fill="B8CCE4"/>
            <w:vAlign w:val="center"/>
          </w:tcPr>
          <w:p>
            <w:pPr>
              <w:widowControl/>
              <w:jc w:val="center"/>
              <w:textAlignment w:val="center"/>
              <w:rPr>
                <w:rFonts w:ascii="宋体" w:hAnsi="宋体" w:cs="宋体"/>
                <w:b/>
                <w:bCs/>
                <w:color w:val="auto"/>
                <w:kern w:val="0"/>
                <w:szCs w:val="21"/>
                <w:highlight w:val="none"/>
                <w:lang w:bidi="ar"/>
              </w:rPr>
            </w:pP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81"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w:t>
            </w:r>
          </w:p>
        </w:tc>
        <w:tc>
          <w:tcPr>
            <w:tcW w:w="2460" w:type="dxa"/>
            <w:vAlign w:val="center"/>
          </w:tcPr>
          <w:p>
            <w:pPr>
              <w:keepNext w:val="0"/>
              <w:keepLines w:val="0"/>
              <w:widowControl/>
              <w:suppressLineNumbers w:val="0"/>
              <w:jc w:val="left"/>
              <w:textAlignment w:val="center"/>
              <w:rPr>
                <w:rFonts w:ascii="宋体" w:hAnsi="宋体" w:eastAsia="宋体" w:cs="宋体"/>
                <w:color w:val="auto"/>
                <w:kern w:val="0"/>
                <w:szCs w:val="21"/>
                <w:highlight w:val="none"/>
                <w:lang w:bidi="ar"/>
              </w:rPr>
            </w:pPr>
            <w:r>
              <w:rPr>
                <w:rStyle w:val="28"/>
                <w:color w:val="auto"/>
                <w:lang w:val="en-US" w:eastAsia="zh-CN" w:bidi="ar"/>
              </w:rPr>
              <w:t>甘肃矿区人民法院</w:t>
            </w:r>
          </w:p>
        </w:tc>
        <w:tc>
          <w:tcPr>
            <w:tcW w:w="1066" w:type="dxa"/>
            <w:vAlign w:val="center"/>
          </w:tcPr>
          <w:p>
            <w:pPr>
              <w:keepNext w:val="0"/>
              <w:keepLines w:val="0"/>
              <w:widowControl/>
              <w:suppressLineNumbers w:val="0"/>
              <w:jc w:val="right"/>
              <w:textAlignment w:val="center"/>
              <w:rPr>
                <w:rFonts w:hint="default" w:ascii="宋体" w:hAnsi="宋体" w:eastAsia="宋体" w:cs="宋体"/>
                <w:color w:val="auto"/>
                <w:kern w:val="0"/>
                <w:szCs w:val="21"/>
                <w:highlight w:val="none"/>
                <w:lang w:val="en-US" w:bidi="ar"/>
              </w:rPr>
            </w:pPr>
            <w:r>
              <w:rPr>
                <w:rFonts w:hint="eastAsia" w:ascii="宋体" w:hAnsi="宋体" w:eastAsia="宋体" w:cs="宋体"/>
                <w:i w:val="0"/>
                <w:iCs w:val="0"/>
                <w:color w:val="auto"/>
                <w:kern w:val="0"/>
                <w:sz w:val="21"/>
                <w:szCs w:val="21"/>
                <w:u w:val="none"/>
                <w:lang w:val="en-US" w:eastAsia="zh-CN" w:bidi="ar"/>
              </w:rPr>
              <w:t>170.00</w:t>
            </w:r>
          </w:p>
        </w:tc>
        <w:tc>
          <w:tcPr>
            <w:tcW w:w="932" w:type="dxa"/>
            <w:noWrap/>
            <w:vAlign w:val="center"/>
          </w:tcPr>
          <w:p>
            <w:pPr>
              <w:jc w:val="both"/>
              <w:rPr>
                <w:rFonts w:ascii="宋体" w:hAnsi="宋体" w:eastAsia="宋体" w:cs="宋体"/>
                <w:color w:val="auto"/>
                <w:kern w:val="0"/>
                <w:szCs w:val="21"/>
                <w:highlight w:val="none"/>
                <w:lang w:bidi="ar"/>
              </w:rPr>
            </w:pPr>
          </w:p>
        </w:tc>
        <w:tc>
          <w:tcPr>
            <w:tcW w:w="1114" w:type="dxa"/>
            <w:noWrap/>
            <w:vAlign w:val="center"/>
          </w:tcPr>
          <w:p>
            <w:pPr>
              <w:keepNext w:val="0"/>
              <w:keepLines w:val="0"/>
              <w:widowControl/>
              <w:suppressLineNumbers w:val="0"/>
              <w:jc w:val="right"/>
              <w:textAlignment w:val="center"/>
              <w:rPr>
                <w:rFonts w:ascii="宋体" w:hAnsi="宋体" w:eastAsia="宋体" w:cs="宋体"/>
                <w:color w:val="auto"/>
                <w:szCs w:val="21"/>
                <w:highlight w:val="none"/>
              </w:rPr>
            </w:pPr>
            <w:r>
              <w:rPr>
                <w:rFonts w:hint="eastAsia" w:ascii="宋体" w:hAnsi="宋体" w:eastAsia="宋体" w:cs="宋体"/>
                <w:i w:val="0"/>
                <w:iCs w:val="0"/>
                <w:color w:val="auto"/>
                <w:kern w:val="0"/>
                <w:sz w:val="21"/>
                <w:szCs w:val="21"/>
                <w:u w:val="none"/>
                <w:lang w:val="en-US" w:eastAsia="zh-CN" w:bidi="ar"/>
              </w:rPr>
              <w:t>170.00</w:t>
            </w:r>
          </w:p>
        </w:tc>
        <w:tc>
          <w:tcPr>
            <w:tcW w:w="1108"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0.00</w:t>
            </w:r>
          </w:p>
        </w:tc>
        <w:tc>
          <w:tcPr>
            <w:tcW w:w="99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81"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w:t>
            </w:r>
          </w:p>
        </w:tc>
        <w:tc>
          <w:tcPr>
            <w:tcW w:w="2460" w:type="dxa"/>
            <w:vAlign w:val="center"/>
          </w:tcPr>
          <w:p>
            <w:pPr>
              <w:keepNext w:val="0"/>
              <w:keepLines w:val="0"/>
              <w:widowControl/>
              <w:suppressLineNumbers w:val="0"/>
              <w:jc w:val="left"/>
              <w:textAlignment w:val="center"/>
              <w:rPr>
                <w:rFonts w:ascii="宋体" w:hAnsi="宋体" w:eastAsia="宋体" w:cs="宋体"/>
                <w:color w:val="auto"/>
                <w:kern w:val="0"/>
                <w:szCs w:val="21"/>
                <w:highlight w:val="none"/>
                <w:lang w:bidi="ar"/>
              </w:rPr>
            </w:pPr>
            <w:r>
              <w:rPr>
                <w:rStyle w:val="28"/>
                <w:color w:val="auto"/>
                <w:lang w:val="en-US" w:eastAsia="zh-CN" w:bidi="ar"/>
              </w:rPr>
              <w:t>红古区人民法院</w:t>
            </w:r>
          </w:p>
        </w:tc>
        <w:tc>
          <w:tcPr>
            <w:tcW w:w="1066" w:type="dxa"/>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75.00</w:t>
            </w:r>
          </w:p>
        </w:tc>
        <w:tc>
          <w:tcPr>
            <w:tcW w:w="932" w:type="dxa"/>
            <w:noWrap/>
            <w:vAlign w:val="center"/>
          </w:tcPr>
          <w:p>
            <w:pPr>
              <w:jc w:val="both"/>
              <w:rPr>
                <w:rFonts w:ascii="宋体" w:hAnsi="宋体" w:eastAsia="宋体" w:cs="宋体"/>
                <w:color w:val="auto"/>
                <w:kern w:val="0"/>
                <w:szCs w:val="21"/>
                <w:highlight w:val="none"/>
                <w:lang w:bidi="ar"/>
              </w:rPr>
            </w:pPr>
          </w:p>
        </w:tc>
        <w:tc>
          <w:tcPr>
            <w:tcW w:w="1114"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75.00</w:t>
            </w:r>
          </w:p>
        </w:tc>
        <w:tc>
          <w:tcPr>
            <w:tcW w:w="1108"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68.21</w:t>
            </w:r>
          </w:p>
        </w:tc>
        <w:tc>
          <w:tcPr>
            <w:tcW w:w="99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90.95%</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81"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3</w:t>
            </w:r>
          </w:p>
        </w:tc>
        <w:tc>
          <w:tcPr>
            <w:tcW w:w="2460" w:type="dxa"/>
            <w:vAlign w:val="center"/>
          </w:tcPr>
          <w:p>
            <w:pPr>
              <w:keepNext w:val="0"/>
              <w:keepLines w:val="0"/>
              <w:widowControl/>
              <w:suppressLineNumbers w:val="0"/>
              <w:jc w:val="left"/>
              <w:textAlignment w:val="center"/>
              <w:rPr>
                <w:rFonts w:ascii="宋体" w:hAnsi="宋体" w:eastAsia="宋体" w:cs="宋体"/>
                <w:color w:val="auto"/>
                <w:kern w:val="0"/>
                <w:szCs w:val="21"/>
                <w:highlight w:val="none"/>
                <w:lang w:bidi="ar"/>
              </w:rPr>
            </w:pPr>
            <w:r>
              <w:rPr>
                <w:rStyle w:val="28"/>
                <w:color w:val="auto"/>
                <w:lang w:val="en-US" w:eastAsia="zh-CN" w:bidi="ar"/>
              </w:rPr>
              <w:t>永登县人民法院</w:t>
            </w:r>
          </w:p>
        </w:tc>
        <w:tc>
          <w:tcPr>
            <w:tcW w:w="1066" w:type="dxa"/>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755.00</w:t>
            </w:r>
          </w:p>
        </w:tc>
        <w:tc>
          <w:tcPr>
            <w:tcW w:w="932" w:type="dxa"/>
            <w:noWrap/>
            <w:vAlign w:val="center"/>
          </w:tcPr>
          <w:p>
            <w:pPr>
              <w:jc w:val="both"/>
              <w:rPr>
                <w:rFonts w:ascii="宋体" w:hAnsi="宋体" w:eastAsia="宋体" w:cs="宋体"/>
                <w:color w:val="auto"/>
                <w:kern w:val="0"/>
                <w:szCs w:val="21"/>
                <w:highlight w:val="none"/>
                <w:lang w:bidi="ar"/>
              </w:rPr>
            </w:pPr>
          </w:p>
        </w:tc>
        <w:tc>
          <w:tcPr>
            <w:tcW w:w="1114"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755.00</w:t>
            </w:r>
          </w:p>
        </w:tc>
        <w:tc>
          <w:tcPr>
            <w:tcW w:w="1108"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3.00</w:t>
            </w:r>
          </w:p>
        </w:tc>
        <w:tc>
          <w:tcPr>
            <w:tcW w:w="99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0.40%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81"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w:t>
            </w:r>
          </w:p>
        </w:tc>
        <w:tc>
          <w:tcPr>
            <w:tcW w:w="2460" w:type="dxa"/>
            <w:vAlign w:val="center"/>
          </w:tcPr>
          <w:p>
            <w:pPr>
              <w:keepNext w:val="0"/>
              <w:keepLines w:val="0"/>
              <w:widowControl/>
              <w:suppressLineNumbers w:val="0"/>
              <w:jc w:val="left"/>
              <w:textAlignment w:val="center"/>
              <w:rPr>
                <w:rFonts w:ascii="宋体" w:hAnsi="宋体" w:eastAsia="宋体" w:cs="宋体"/>
                <w:color w:val="auto"/>
                <w:kern w:val="0"/>
                <w:szCs w:val="21"/>
                <w:highlight w:val="none"/>
                <w:lang w:bidi="ar"/>
              </w:rPr>
            </w:pPr>
            <w:r>
              <w:rPr>
                <w:rStyle w:val="28"/>
                <w:color w:val="auto"/>
                <w:lang w:val="en-US" w:eastAsia="zh-CN" w:bidi="ar"/>
              </w:rPr>
              <w:t>皋兰县人民法院</w:t>
            </w:r>
          </w:p>
        </w:tc>
        <w:tc>
          <w:tcPr>
            <w:tcW w:w="1066" w:type="dxa"/>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40.00</w:t>
            </w:r>
          </w:p>
        </w:tc>
        <w:tc>
          <w:tcPr>
            <w:tcW w:w="932" w:type="dxa"/>
            <w:noWrap/>
            <w:vAlign w:val="center"/>
          </w:tcPr>
          <w:p>
            <w:pPr>
              <w:jc w:val="both"/>
              <w:rPr>
                <w:rFonts w:ascii="宋体" w:hAnsi="宋体" w:eastAsia="宋体" w:cs="宋体"/>
                <w:color w:val="auto"/>
                <w:kern w:val="0"/>
                <w:szCs w:val="21"/>
                <w:highlight w:val="none"/>
                <w:lang w:bidi="ar"/>
              </w:rPr>
            </w:pPr>
          </w:p>
        </w:tc>
        <w:tc>
          <w:tcPr>
            <w:tcW w:w="1114"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40.00</w:t>
            </w:r>
          </w:p>
        </w:tc>
        <w:tc>
          <w:tcPr>
            <w:tcW w:w="1108"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40.00</w:t>
            </w:r>
          </w:p>
        </w:tc>
        <w:tc>
          <w:tcPr>
            <w:tcW w:w="99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81"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5</w:t>
            </w:r>
          </w:p>
        </w:tc>
        <w:tc>
          <w:tcPr>
            <w:tcW w:w="2460" w:type="dxa"/>
            <w:vAlign w:val="center"/>
          </w:tcPr>
          <w:p>
            <w:pPr>
              <w:keepNext w:val="0"/>
              <w:keepLines w:val="0"/>
              <w:widowControl/>
              <w:suppressLineNumbers w:val="0"/>
              <w:jc w:val="left"/>
              <w:textAlignment w:val="center"/>
              <w:rPr>
                <w:rFonts w:ascii="宋体" w:hAnsi="宋体" w:eastAsia="宋体" w:cs="宋体"/>
                <w:color w:val="auto"/>
                <w:kern w:val="0"/>
                <w:szCs w:val="21"/>
                <w:highlight w:val="none"/>
                <w:lang w:bidi="ar"/>
              </w:rPr>
            </w:pPr>
            <w:r>
              <w:rPr>
                <w:rStyle w:val="28"/>
                <w:color w:val="auto"/>
                <w:lang w:val="en-US" w:eastAsia="zh-CN" w:bidi="ar"/>
              </w:rPr>
              <w:t>白银市中级人民法院</w:t>
            </w:r>
          </w:p>
        </w:tc>
        <w:tc>
          <w:tcPr>
            <w:tcW w:w="1066" w:type="dxa"/>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60.00</w:t>
            </w:r>
          </w:p>
        </w:tc>
        <w:tc>
          <w:tcPr>
            <w:tcW w:w="932" w:type="dxa"/>
            <w:noWrap/>
            <w:vAlign w:val="center"/>
          </w:tcPr>
          <w:p>
            <w:pPr>
              <w:jc w:val="both"/>
              <w:rPr>
                <w:rFonts w:ascii="宋体" w:hAnsi="宋体" w:eastAsia="宋体" w:cs="宋体"/>
                <w:color w:val="auto"/>
                <w:kern w:val="0"/>
                <w:szCs w:val="21"/>
                <w:highlight w:val="none"/>
                <w:lang w:bidi="ar"/>
              </w:rPr>
            </w:pPr>
          </w:p>
        </w:tc>
        <w:tc>
          <w:tcPr>
            <w:tcW w:w="1114"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60.00</w:t>
            </w:r>
          </w:p>
        </w:tc>
        <w:tc>
          <w:tcPr>
            <w:tcW w:w="1108"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0.00</w:t>
            </w:r>
          </w:p>
        </w:tc>
        <w:tc>
          <w:tcPr>
            <w:tcW w:w="99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81"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6</w:t>
            </w:r>
          </w:p>
        </w:tc>
        <w:tc>
          <w:tcPr>
            <w:tcW w:w="2460" w:type="dxa"/>
            <w:vAlign w:val="center"/>
          </w:tcPr>
          <w:p>
            <w:pPr>
              <w:keepNext w:val="0"/>
              <w:keepLines w:val="0"/>
              <w:widowControl/>
              <w:suppressLineNumbers w:val="0"/>
              <w:jc w:val="left"/>
              <w:textAlignment w:val="center"/>
              <w:rPr>
                <w:rFonts w:ascii="宋体" w:hAnsi="宋体" w:eastAsia="宋体" w:cs="宋体"/>
                <w:color w:val="auto"/>
                <w:kern w:val="0"/>
                <w:szCs w:val="21"/>
                <w:highlight w:val="none"/>
                <w:lang w:bidi="ar"/>
              </w:rPr>
            </w:pPr>
            <w:r>
              <w:rPr>
                <w:rStyle w:val="28"/>
                <w:color w:val="auto"/>
                <w:lang w:val="en-US" w:eastAsia="zh-CN" w:bidi="ar"/>
              </w:rPr>
              <w:t>白银区人民法院</w:t>
            </w:r>
          </w:p>
        </w:tc>
        <w:tc>
          <w:tcPr>
            <w:tcW w:w="1066" w:type="dxa"/>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60.00</w:t>
            </w:r>
          </w:p>
        </w:tc>
        <w:tc>
          <w:tcPr>
            <w:tcW w:w="932" w:type="dxa"/>
            <w:noWrap/>
            <w:vAlign w:val="center"/>
          </w:tcPr>
          <w:p>
            <w:pPr>
              <w:jc w:val="both"/>
              <w:rPr>
                <w:rFonts w:ascii="宋体" w:hAnsi="宋体" w:eastAsia="宋体" w:cs="宋体"/>
                <w:color w:val="auto"/>
                <w:kern w:val="0"/>
                <w:szCs w:val="21"/>
                <w:highlight w:val="none"/>
                <w:lang w:bidi="ar"/>
              </w:rPr>
            </w:pPr>
          </w:p>
        </w:tc>
        <w:tc>
          <w:tcPr>
            <w:tcW w:w="1114"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60.00</w:t>
            </w:r>
          </w:p>
        </w:tc>
        <w:tc>
          <w:tcPr>
            <w:tcW w:w="1108"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11.94</w:t>
            </w:r>
          </w:p>
        </w:tc>
        <w:tc>
          <w:tcPr>
            <w:tcW w:w="99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19.90%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81"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7</w:t>
            </w:r>
          </w:p>
        </w:tc>
        <w:tc>
          <w:tcPr>
            <w:tcW w:w="2460" w:type="dxa"/>
            <w:vAlign w:val="center"/>
          </w:tcPr>
          <w:p>
            <w:pPr>
              <w:keepNext w:val="0"/>
              <w:keepLines w:val="0"/>
              <w:widowControl/>
              <w:suppressLineNumbers w:val="0"/>
              <w:jc w:val="left"/>
              <w:textAlignment w:val="center"/>
              <w:rPr>
                <w:rFonts w:ascii="宋体" w:hAnsi="宋体" w:eastAsia="宋体" w:cs="宋体"/>
                <w:color w:val="auto"/>
                <w:kern w:val="0"/>
                <w:szCs w:val="21"/>
                <w:highlight w:val="none"/>
                <w:lang w:bidi="ar"/>
              </w:rPr>
            </w:pPr>
            <w:r>
              <w:rPr>
                <w:rStyle w:val="28"/>
                <w:color w:val="auto"/>
                <w:lang w:val="en-US" w:eastAsia="zh-CN" w:bidi="ar"/>
              </w:rPr>
              <w:t>会宁县人民法院</w:t>
            </w:r>
          </w:p>
        </w:tc>
        <w:tc>
          <w:tcPr>
            <w:tcW w:w="1066" w:type="dxa"/>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125.00</w:t>
            </w:r>
          </w:p>
        </w:tc>
        <w:tc>
          <w:tcPr>
            <w:tcW w:w="932" w:type="dxa"/>
            <w:noWrap/>
            <w:vAlign w:val="center"/>
          </w:tcPr>
          <w:p>
            <w:pPr>
              <w:jc w:val="both"/>
              <w:rPr>
                <w:rFonts w:ascii="宋体" w:hAnsi="宋体" w:eastAsia="宋体" w:cs="宋体"/>
                <w:color w:val="auto"/>
                <w:kern w:val="0"/>
                <w:szCs w:val="21"/>
                <w:highlight w:val="none"/>
                <w:lang w:bidi="ar"/>
              </w:rPr>
            </w:pPr>
          </w:p>
        </w:tc>
        <w:tc>
          <w:tcPr>
            <w:tcW w:w="1114"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125.00</w:t>
            </w:r>
          </w:p>
        </w:tc>
        <w:tc>
          <w:tcPr>
            <w:tcW w:w="1108"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96.83</w:t>
            </w:r>
          </w:p>
        </w:tc>
        <w:tc>
          <w:tcPr>
            <w:tcW w:w="99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77.46%</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81"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8</w:t>
            </w:r>
          </w:p>
        </w:tc>
        <w:tc>
          <w:tcPr>
            <w:tcW w:w="2460" w:type="dxa"/>
            <w:vAlign w:val="center"/>
          </w:tcPr>
          <w:p>
            <w:pPr>
              <w:keepNext w:val="0"/>
              <w:keepLines w:val="0"/>
              <w:widowControl/>
              <w:suppressLineNumbers w:val="0"/>
              <w:jc w:val="left"/>
              <w:textAlignment w:val="center"/>
              <w:rPr>
                <w:rFonts w:ascii="宋体" w:hAnsi="宋体" w:eastAsia="宋体" w:cs="宋体"/>
                <w:color w:val="auto"/>
                <w:kern w:val="0"/>
                <w:szCs w:val="21"/>
                <w:highlight w:val="none"/>
                <w:lang w:bidi="ar"/>
              </w:rPr>
            </w:pPr>
            <w:r>
              <w:rPr>
                <w:rStyle w:val="28"/>
                <w:color w:val="auto"/>
                <w:lang w:val="en-US" w:eastAsia="zh-CN" w:bidi="ar"/>
              </w:rPr>
              <w:t>靖远县人民法院</w:t>
            </w:r>
          </w:p>
        </w:tc>
        <w:tc>
          <w:tcPr>
            <w:tcW w:w="1066" w:type="dxa"/>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115.00</w:t>
            </w:r>
          </w:p>
        </w:tc>
        <w:tc>
          <w:tcPr>
            <w:tcW w:w="932" w:type="dxa"/>
            <w:noWrap/>
            <w:vAlign w:val="center"/>
          </w:tcPr>
          <w:p>
            <w:pPr>
              <w:jc w:val="both"/>
              <w:rPr>
                <w:rFonts w:ascii="宋体" w:hAnsi="宋体" w:eastAsia="宋体" w:cs="宋体"/>
                <w:color w:val="auto"/>
                <w:kern w:val="0"/>
                <w:szCs w:val="21"/>
                <w:highlight w:val="none"/>
                <w:lang w:bidi="ar"/>
              </w:rPr>
            </w:pPr>
          </w:p>
        </w:tc>
        <w:tc>
          <w:tcPr>
            <w:tcW w:w="1114"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115.00</w:t>
            </w:r>
          </w:p>
        </w:tc>
        <w:tc>
          <w:tcPr>
            <w:tcW w:w="1108"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115.00</w:t>
            </w:r>
          </w:p>
        </w:tc>
        <w:tc>
          <w:tcPr>
            <w:tcW w:w="99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81"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9</w:t>
            </w:r>
          </w:p>
        </w:tc>
        <w:tc>
          <w:tcPr>
            <w:tcW w:w="2460" w:type="dxa"/>
            <w:vAlign w:val="center"/>
          </w:tcPr>
          <w:p>
            <w:pPr>
              <w:keepNext w:val="0"/>
              <w:keepLines w:val="0"/>
              <w:widowControl/>
              <w:suppressLineNumbers w:val="0"/>
              <w:jc w:val="left"/>
              <w:textAlignment w:val="center"/>
              <w:rPr>
                <w:rFonts w:ascii="宋体" w:hAnsi="宋体" w:eastAsia="宋体" w:cs="宋体"/>
                <w:color w:val="auto"/>
                <w:kern w:val="0"/>
                <w:szCs w:val="21"/>
                <w:highlight w:val="none"/>
                <w:lang w:bidi="ar"/>
              </w:rPr>
            </w:pPr>
            <w:r>
              <w:rPr>
                <w:rStyle w:val="28"/>
                <w:color w:val="auto"/>
                <w:lang w:val="en-US" w:eastAsia="zh-CN" w:bidi="ar"/>
              </w:rPr>
              <w:t>天水市中级人民法院</w:t>
            </w:r>
          </w:p>
        </w:tc>
        <w:tc>
          <w:tcPr>
            <w:tcW w:w="1066" w:type="dxa"/>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400.00</w:t>
            </w:r>
          </w:p>
        </w:tc>
        <w:tc>
          <w:tcPr>
            <w:tcW w:w="932" w:type="dxa"/>
            <w:noWrap/>
            <w:vAlign w:val="center"/>
          </w:tcPr>
          <w:p>
            <w:pPr>
              <w:jc w:val="both"/>
              <w:rPr>
                <w:rFonts w:ascii="宋体" w:hAnsi="宋体" w:eastAsia="宋体" w:cs="宋体"/>
                <w:color w:val="auto"/>
                <w:kern w:val="0"/>
                <w:szCs w:val="21"/>
                <w:highlight w:val="none"/>
                <w:lang w:bidi="ar"/>
              </w:rPr>
            </w:pPr>
          </w:p>
        </w:tc>
        <w:tc>
          <w:tcPr>
            <w:tcW w:w="1114"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400.00</w:t>
            </w:r>
          </w:p>
        </w:tc>
        <w:tc>
          <w:tcPr>
            <w:tcW w:w="1108"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110.00</w:t>
            </w:r>
          </w:p>
        </w:tc>
        <w:tc>
          <w:tcPr>
            <w:tcW w:w="99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27.50%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81"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10</w:t>
            </w:r>
          </w:p>
        </w:tc>
        <w:tc>
          <w:tcPr>
            <w:tcW w:w="2460" w:type="dxa"/>
            <w:vAlign w:val="center"/>
          </w:tcPr>
          <w:p>
            <w:pPr>
              <w:keepNext w:val="0"/>
              <w:keepLines w:val="0"/>
              <w:widowControl/>
              <w:suppressLineNumbers w:val="0"/>
              <w:jc w:val="left"/>
              <w:textAlignment w:val="center"/>
              <w:rPr>
                <w:rFonts w:ascii="宋体" w:hAnsi="宋体" w:eastAsia="宋体" w:cs="宋体"/>
                <w:color w:val="auto"/>
                <w:kern w:val="0"/>
                <w:szCs w:val="21"/>
                <w:highlight w:val="none"/>
                <w:lang w:bidi="ar"/>
              </w:rPr>
            </w:pPr>
            <w:r>
              <w:rPr>
                <w:rStyle w:val="28"/>
                <w:color w:val="auto"/>
                <w:lang w:val="en-US" w:eastAsia="zh-CN" w:bidi="ar"/>
              </w:rPr>
              <w:t>麦积区人民法院</w:t>
            </w:r>
          </w:p>
        </w:tc>
        <w:tc>
          <w:tcPr>
            <w:tcW w:w="1066" w:type="dxa"/>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60.00</w:t>
            </w:r>
          </w:p>
        </w:tc>
        <w:tc>
          <w:tcPr>
            <w:tcW w:w="932" w:type="dxa"/>
            <w:noWrap/>
            <w:vAlign w:val="center"/>
          </w:tcPr>
          <w:p>
            <w:pPr>
              <w:jc w:val="both"/>
              <w:rPr>
                <w:rFonts w:ascii="宋体" w:hAnsi="宋体" w:eastAsia="宋体" w:cs="宋体"/>
                <w:color w:val="auto"/>
                <w:kern w:val="0"/>
                <w:szCs w:val="21"/>
                <w:highlight w:val="none"/>
                <w:lang w:bidi="ar"/>
              </w:rPr>
            </w:pPr>
          </w:p>
        </w:tc>
        <w:tc>
          <w:tcPr>
            <w:tcW w:w="1114"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60.00</w:t>
            </w:r>
          </w:p>
        </w:tc>
        <w:tc>
          <w:tcPr>
            <w:tcW w:w="1108"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60.00</w:t>
            </w:r>
          </w:p>
        </w:tc>
        <w:tc>
          <w:tcPr>
            <w:tcW w:w="99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81"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11</w:t>
            </w:r>
          </w:p>
        </w:tc>
        <w:tc>
          <w:tcPr>
            <w:tcW w:w="2460" w:type="dxa"/>
            <w:vAlign w:val="center"/>
          </w:tcPr>
          <w:p>
            <w:pPr>
              <w:keepNext w:val="0"/>
              <w:keepLines w:val="0"/>
              <w:widowControl/>
              <w:suppressLineNumbers w:val="0"/>
              <w:jc w:val="left"/>
              <w:textAlignment w:val="center"/>
              <w:rPr>
                <w:rFonts w:ascii="宋体" w:hAnsi="宋体" w:eastAsia="宋体" w:cs="宋体"/>
                <w:color w:val="auto"/>
                <w:kern w:val="0"/>
                <w:szCs w:val="21"/>
                <w:highlight w:val="none"/>
                <w:lang w:bidi="ar"/>
              </w:rPr>
            </w:pPr>
            <w:r>
              <w:rPr>
                <w:rStyle w:val="28"/>
                <w:color w:val="auto"/>
                <w:lang w:val="en-US" w:eastAsia="zh-CN" w:bidi="ar"/>
              </w:rPr>
              <w:t>甘谷县人民法院</w:t>
            </w:r>
          </w:p>
        </w:tc>
        <w:tc>
          <w:tcPr>
            <w:tcW w:w="1066" w:type="dxa"/>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570.00</w:t>
            </w:r>
          </w:p>
        </w:tc>
        <w:tc>
          <w:tcPr>
            <w:tcW w:w="932" w:type="dxa"/>
            <w:noWrap/>
            <w:vAlign w:val="center"/>
          </w:tcPr>
          <w:p>
            <w:pPr>
              <w:jc w:val="both"/>
              <w:rPr>
                <w:rFonts w:ascii="宋体" w:hAnsi="宋体" w:eastAsia="宋体" w:cs="宋体"/>
                <w:color w:val="auto"/>
                <w:kern w:val="0"/>
                <w:szCs w:val="21"/>
                <w:highlight w:val="none"/>
                <w:lang w:bidi="ar"/>
              </w:rPr>
            </w:pPr>
          </w:p>
        </w:tc>
        <w:tc>
          <w:tcPr>
            <w:tcW w:w="1114"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570.00</w:t>
            </w:r>
          </w:p>
        </w:tc>
        <w:tc>
          <w:tcPr>
            <w:tcW w:w="1108"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0.00</w:t>
            </w:r>
          </w:p>
        </w:tc>
        <w:tc>
          <w:tcPr>
            <w:tcW w:w="99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62" w:hRule="atLeast"/>
          <w:jc w:val="center"/>
        </w:trPr>
        <w:tc>
          <w:tcPr>
            <w:tcW w:w="581"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12</w:t>
            </w:r>
          </w:p>
        </w:tc>
        <w:tc>
          <w:tcPr>
            <w:tcW w:w="2460" w:type="dxa"/>
            <w:vAlign w:val="center"/>
          </w:tcPr>
          <w:p>
            <w:pPr>
              <w:keepNext w:val="0"/>
              <w:keepLines w:val="0"/>
              <w:widowControl/>
              <w:suppressLineNumbers w:val="0"/>
              <w:jc w:val="left"/>
              <w:textAlignment w:val="center"/>
              <w:rPr>
                <w:rFonts w:ascii="宋体" w:hAnsi="宋体" w:eastAsia="宋体" w:cs="宋体"/>
                <w:color w:val="auto"/>
                <w:kern w:val="0"/>
                <w:szCs w:val="21"/>
                <w:highlight w:val="none"/>
                <w:lang w:bidi="ar"/>
              </w:rPr>
            </w:pPr>
            <w:r>
              <w:rPr>
                <w:rStyle w:val="28"/>
                <w:color w:val="auto"/>
                <w:sz w:val="18"/>
                <w:szCs w:val="18"/>
                <w:lang w:val="en-US" w:eastAsia="zh-CN" w:bidi="ar"/>
              </w:rPr>
              <w:t>肃北蒙古族自治县人民法院</w:t>
            </w:r>
          </w:p>
        </w:tc>
        <w:tc>
          <w:tcPr>
            <w:tcW w:w="1066" w:type="dxa"/>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25.00</w:t>
            </w:r>
          </w:p>
        </w:tc>
        <w:tc>
          <w:tcPr>
            <w:tcW w:w="932" w:type="dxa"/>
            <w:noWrap/>
            <w:vAlign w:val="center"/>
          </w:tcPr>
          <w:p>
            <w:pPr>
              <w:jc w:val="both"/>
              <w:rPr>
                <w:rFonts w:ascii="宋体" w:hAnsi="宋体" w:eastAsia="宋体" w:cs="宋体"/>
                <w:color w:val="auto"/>
                <w:kern w:val="0"/>
                <w:szCs w:val="21"/>
                <w:highlight w:val="none"/>
                <w:lang w:bidi="ar"/>
              </w:rPr>
            </w:pPr>
          </w:p>
        </w:tc>
        <w:tc>
          <w:tcPr>
            <w:tcW w:w="1114"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25.00</w:t>
            </w:r>
          </w:p>
        </w:tc>
        <w:tc>
          <w:tcPr>
            <w:tcW w:w="1108"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25.00</w:t>
            </w:r>
          </w:p>
        </w:tc>
        <w:tc>
          <w:tcPr>
            <w:tcW w:w="99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81"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w:t>
            </w:r>
          </w:p>
        </w:tc>
        <w:tc>
          <w:tcPr>
            <w:tcW w:w="2460" w:type="dxa"/>
            <w:vAlign w:val="center"/>
          </w:tcPr>
          <w:p>
            <w:pPr>
              <w:keepNext w:val="0"/>
              <w:keepLines w:val="0"/>
              <w:widowControl/>
              <w:suppressLineNumbers w:val="0"/>
              <w:jc w:val="left"/>
              <w:textAlignment w:val="center"/>
              <w:rPr>
                <w:rFonts w:ascii="宋体" w:hAnsi="宋体" w:eastAsia="宋体" w:cs="宋体"/>
                <w:color w:val="auto"/>
                <w:kern w:val="0"/>
                <w:szCs w:val="21"/>
                <w:highlight w:val="none"/>
                <w:lang w:bidi="ar"/>
              </w:rPr>
            </w:pPr>
            <w:r>
              <w:rPr>
                <w:rStyle w:val="28"/>
                <w:color w:val="auto"/>
                <w:lang w:val="en-US" w:eastAsia="zh-CN" w:bidi="ar"/>
              </w:rPr>
              <w:t>瓜州县人民法院</w:t>
            </w:r>
          </w:p>
        </w:tc>
        <w:tc>
          <w:tcPr>
            <w:tcW w:w="1066" w:type="dxa"/>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25.00</w:t>
            </w:r>
          </w:p>
        </w:tc>
        <w:tc>
          <w:tcPr>
            <w:tcW w:w="932" w:type="dxa"/>
            <w:noWrap/>
            <w:vAlign w:val="center"/>
          </w:tcPr>
          <w:p>
            <w:pPr>
              <w:jc w:val="both"/>
              <w:rPr>
                <w:rFonts w:ascii="宋体" w:hAnsi="宋体" w:eastAsia="宋体" w:cs="宋体"/>
                <w:color w:val="auto"/>
                <w:kern w:val="0"/>
                <w:szCs w:val="21"/>
                <w:highlight w:val="none"/>
                <w:lang w:bidi="ar"/>
              </w:rPr>
            </w:pPr>
          </w:p>
        </w:tc>
        <w:tc>
          <w:tcPr>
            <w:tcW w:w="1114"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25.00</w:t>
            </w:r>
          </w:p>
        </w:tc>
        <w:tc>
          <w:tcPr>
            <w:tcW w:w="1108"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25.00</w:t>
            </w:r>
          </w:p>
        </w:tc>
        <w:tc>
          <w:tcPr>
            <w:tcW w:w="99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81"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14</w:t>
            </w:r>
          </w:p>
        </w:tc>
        <w:tc>
          <w:tcPr>
            <w:tcW w:w="2460" w:type="dxa"/>
            <w:vAlign w:val="center"/>
          </w:tcPr>
          <w:p>
            <w:pPr>
              <w:keepNext w:val="0"/>
              <w:keepLines w:val="0"/>
              <w:widowControl/>
              <w:suppressLineNumbers w:val="0"/>
              <w:jc w:val="left"/>
              <w:textAlignment w:val="center"/>
              <w:rPr>
                <w:rFonts w:ascii="宋体" w:hAnsi="宋体" w:eastAsia="宋体" w:cs="宋体"/>
                <w:color w:val="auto"/>
                <w:kern w:val="0"/>
                <w:szCs w:val="21"/>
                <w:highlight w:val="none"/>
                <w:lang w:bidi="ar"/>
              </w:rPr>
            </w:pPr>
            <w:r>
              <w:rPr>
                <w:rStyle w:val="28"/>
                <w:color w:val="auto"/>
                <w:lang w:val="en-US" w:eastAsia="zh-CN" w:bidi="ar"/>
              </w:rPr>
              <w:t>定西市中级人民法院</w:t>
            </w:r>
          </w:p>
        </w:tc>
        <w:tc>
          <w:tcPr>
            <w:tcW w:w="1066" w:type="dxa"/>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70.00</w:t>
            </w:r>
          </w:p>
        </w:tc>
        <w:tc>
          <w:tcPr>
            <w:tcW w:w="932" w:type="dxa"/>
            <w:noWrap/>
            <w:vAlign w:val="center"/>
          </w:tcPr>
          <w:p>
            <w:pPr>
              <w:jc w:val="both"/>
              <w:rPr>
                <w:rFonts w:ascii="宋体" w:hAnsi="宋体" w:eastAsia="宋体" w:cs="宋体"/>
                <w:color w:val="auto"/>
                <w:kern w:val="0"/>
                <w:szCs w:val="21"/>
                <w:highlight w:val="none"/>
                <w:lang w:bidi="ar"/>
              </w:rPr>
            </w:pPr>
          </w:p>
        </w:tc>
        <w:tc>
          <w:tcPr>
            <w:tcW w:w="1114"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70.00</w:t>
            </w:r>
          </w:p>
        </w:tc>
        <w:tc>
          <w:tcPr>
            <w:tcW w:w="1108"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70.00</w:t>
            </w:r>
          </w:p>
        </w:tc>
        <w:tc>
          <w:tcPr>
            <w:tcW w:w="99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81"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15</w:t>
            </w:r>
          </w:p>
        </w:tc>
        <w:tc>
          <w:tcPr>
            <w:tcW w:w="2460" w:type="dxa"/>
            <w:vAlign w:val="center"/>
          </w:tcPr>
          <w:p>
            <w:pPr>
              <w:keepNext w:val="0"/>
              <w:keepLines w:val="0"/>
              <w:widowControl/>
              <w:suppressLineNumbers w:val="0"/>
              <w:jc w:val="left"/>
              <w:textAlignment w:val="center"/>
              <w:rPr>
                <w:rFonts w:ascii="宋体" w:hAnsi="宋体" w:eastAsia="宋体" w:cs="宋体"/>
                <w:color w:val="auto"/>
                <w:kern w:val="0"/>
                <w:szCs w:val="21"/>
                <w:highlight w:val="none"/>
                <w:lang w:bidi="ar"/>
              </w:rPr>
            </w:pPr>
            <w:r>
              <w:rPr>
                <w:rStyle w:val="28"/>
                <w:color w:val="auto"/>
                <w:lang w:val="en-US" w:eastAsia="zh-CN" w:bidi="ar"/>
              </w:rPr>
              <w:t>安定区人民法院</w:t>
            </w:r>
          </w:p>
        </w:tc>
        <w:tc>
          <w:tcPr>
            <w:tcW w:w="1066" w:type="dxa"/>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145.00</w:t>
            </w:r>
          </w:p>
        </w:tc>
        <w:tc>
          <w:tcPr>
            <w:tcW w:w="932" w:type="dxa"/>
            <w:noWrap/>
            <w:vAlign w:val="center"/>
          </w:tcPr>
          <w:p>
            <w:pPr>
              <w:jc w:val="both"/>
              <w:rPr>
                <w:rFonts w:ascii="宋体" w:hAnsi="宋体" w:eastAsia="宋体" w:cs="宋体"/>
                <w:color w:val="auto"/>
                <w:kern w:val="0"/>
                <w:szCs w:val="21"/>
                <w:highlight w:val="none"/>
                <w:lang w:bidi="ar"/>
              </w:rPr>
            </w:pPr>
          </w:p>
        </w:tc>
        <w:tc>
          <w:tcPr>
            <w:tcW w:w="1114"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145.00</w:t>
            </w:r>
          </w:p>
        </w:tc>
        <w:tc>
          <w:tcPr>
            <w:tcW w:w="1108"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145.00</w:t>
            </w:r>
          </w:p>
        </w:tc>
        <w:tc>
          <w:tcPr>
            <w:tcW w:w="99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81"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16</w:t>
            </w:r>
          </w:p>
        </w:tc>
        <w:tc>
          <w:tcPr>
            <w:tcW w:w="2460" w:type="dxa"/>
            <w:vAlign w:val="center"/>
          </w:tcPr>
          <w:p>
            <w:pPr>
              <w:keepNext w:val="0"/>
              <w:keepLines w:val="0"/>
              <w:widowControl/>
              <w:suppressLineNumbers w:val="0"/>
              <w:jc w:val="left"/>
              <w:textAlignment w:val="center"/>
              <w:rPr>
                <w:rFonts w:ascii="宋体" w:hAnsi="宋体" w:eastAsia="宋体" w:cs="宋体"/>
                <w:color w:val="auto"/>
                <w:kern w:val="0"/>
                <w:szCs w:val="21"/>
                <w:highlight w:val="none"/>
                <w:lang w:bidi="ar"/>
              </w:rPr>
            </w:pPr>
            <w:r>
              <w:rPr>
                <w:rStyle w:val="28"/>
                <w:color w:val="auto"/>
                <w:lang w:val="en-US" w:eastAsia="zh-CN" w:bidi="ar"/>
              </w:rPr>
              <w:t>通渭县人民法院</w:t>
            </w:r>
          </w:p>
        </w:tc>
        <w:tc>
          <w:tcPr>
            <w:tcW w:w="1066" w:type="dxa"/>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125.00</w:t>
            </w:r>
          </w:p>
        </w:tc>
        <w:tc>
          <w:tcPr>
            <w:tcW w:w="93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25.00</w:t>
            </w:r>
          </w:p>
        </w:tc>
        <w:tc>
          <w:tcPr>
            <w:tcW w:w="1114"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150.00</w:t>
            </w:r>
          </w:p>
        </w:tc>
        <w:tc>
          <w:tcPr>
            <w:tcW w:w="1108"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149.00</w:t>
            </w:r>
          </w:p>
        </w:tc>
        <w:tc>
          <w:tcPr>
            <w:tcW w:w="99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99.33%</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81"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w:t>
            </w:r>
          </w:p>
        </w:tc>
        <w:tc>
          <w:tcPr>
            <w:tcW w:w="2460" w:type="dxa"/>
            <w:vAlign w:val="center"/>
          </w:tcPr>
          <w:p>
            <w:pPr>
              <w:keepNext w:val="0"/>
              <w:keepLines w:val="0"/>
              <w:widowControl/>
              <w:suppressLineNumbers w:val="0"/>
              <w:jc w:val="left"/>
              <w:textAlignment w:val="center"/>
              <w:rPr>
                <w:rFonts w:ascii="宋体" w:hAnsi="宋体" w:eastAsia="宋体" w:cs="宋体"/>
                <w:color w:val="auto"/>
                <w:kern w:val="0"/>
                <w:szCs w:val="21"/>
                <w:highlight w:val="none"/>
                <w:lang w:bidi="ar"/>
              </w:rPr>
            </w:pPr>
            <w:r>
              <w:rPr>
                <w:rStyle w:val="28"/>
                <w:color w:val="auto"/>
                <w:lang w:val="en-US" w:eastAsia="zh-CN" w:bidi="ar"/>
              </w:rPr>
              <w:t>渭源县人民法院</w:t>
            </w:r>
          </w:p>
        </w:tc>
        <w:tc>
          <w:tcPr>
            <w:tcW w:w="1066" w:type="dxa"/>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75.00</w:t>
            </w:r>
          </w:p>
        </w:tc>
        <w:tc>
          <w:tcPr>
            <w:tcW w:w="932" w:type="dxa"/>
            <w:noWrap/>
            <w:vAlign w:val="center"/>
          </w:tcPr>
          <w:p>
            <w:pPr>
              <w:jc w:val="both"/>
              <w:rPr>
                <w:rFonts w:ascii="宋体" w:hAnsi="宋体" w:eastAsia="宋体" w:cs="宋体"/>
                <w:color w:val="auto"/>
                <w:kern w:val="0"/>
                <w:szCs w:val="21"/>
                <w:highlight w:val="none"/>
                <w:lang w:bidi="ar"/>
              </w:rPr>
            </w:pPr>
          </w:p>
        </w:tc>
        <w:tc>
          <w:tcPr>
            <w:tcW w:w="1114"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75.00</w:t>
            </w:r>
          </w:p>
        </w:tc>
        <w:tc>
          <w:tcPr>
            <w:tcW w:w="1108" w:type="dxa"/>
            <w:noWrap/>
            <w:vAlign w:val="center"/>
          </w:tcPr>
          <w:p>
            <w:pPr>
              <w:keepNext w:val="0"/>
              <w:keepLines w:val="0"/>
              <w:widowControl/>
              <w:suppressLineNumbers w:val="0"/>
              <w:jc w:val="right"/>
              <w:textAlignment w:val="center"/>
              <w:rPr>
                <w:rFonts w:hint="default" w:ascii="宋体" w:hAnsi="宋体" w:eastAsia="宋体" w:cs="宋体"/>
                <w:color w:val="auto"/>
                <w:kern w:val="0"/>
                <w:szCs w:val="21"/>
                <w:highlight w:val="none"/>
                <w:lang w:val="en-US" w:bidi="ar"/>
              </w:rPr>
            </w:pPr>
            <w:r>
              <w:rPr>
                <w:rFonts w:hint="eastAsia" w:ascii="宋体" w:hAnsi="宋体" w:eastAsia="宋体" w:cs="宋体"/>
                <w:i w:val="0"/>
                <w:iCs w:val="0"/>
                <w:color w:val="auto"/>
                <w:kern w:val="0"/>
                <w:sz w:val="21"/>
                <w:szCs w:val="21"/>
                <w:u w:val="none"/>
                <w:lang w:val="en-US" w:eastAsia="zh-CN" w:bidi="ar"/>
              </w:rPr>
              <w:t>70.50</w:t>
            </w:r>
          </w:p>
        </w:tc>
        <w:tc>
          <w:tcPr>
            <w:tcW w:w="99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94.00%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81"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18</w:t>
            </w:r>
          </w:p>
        </w:tc>
        <w:tc>
          <w:tcPr>
            <w:tcW w:w="2460" w:type="dxa"/>
            <w:vAlign w:val="center"/>
          </w:tcPr>
          <w:p>
            <w:pPr>
              <w:keepNext w:val="0"/>
              <w:keepLines w:val="0"/>
              <w:widowControl/>
              <w:suppressLineNumbers w:val="0"/>
              <w:jc w:val="left"/>
              <w:textAlignment w:val="center"/>
              <w:rPr>
                <w:rFonts w:ascii="宋体" w:hAnsi="宋体" w:eastAsia="宋体" w:cs="宋体"/>
                <w:color w:val="auto"/>
                <w:kern w:val="0"/>
                <w:szCs w:val="21"/>
                <w:highlight w:val="none"/>
                <w:lang w:bidi="ar"/>
              </w:rPr>
            </w:pPr>
            <w:r>
              <w:rPr>
                <w:rStyle w:val="28"/>
                <w:color w:val="auto"/>
                <w:lang w:val="en-US" w:eastAsia="zh-CN" w:bidi="ar"/>
              </w:rPr>
              <w:t>临洮县人民法院</w:t>
            </w:r>
          </w:p>
        </w:tc>
        <w:tc>
          <w:tcPr>
            <w:tcW w:w="1066" w:type="dxa"/>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175.00</w:t>
            </w:r>
          </w:p>
        </w:tc>
        <w:tc>
          <w:tcPr>
            <w:tcW w:w="932" w:type="dxa"/>
            <w:noWrap/>
            <w:vAlign w:val="center"/>
          </w:tcPr>
          <w:p>
            <w:pPr>
              <w:jc w:val="both"/>
              <w:rPr>
                <w:rFonts w:ascii="宋体" w:hAnsi="宋体" w:eastAsia="宋体" w:cs="宋体"/>
                <w:color w:val="auto"/>
                <w:kern w:val="0"/>
                <w:szCs w:val="21"/>
                <w:highlight w:val="none"/>
                <w:lang w:bidi="ar"/>
              </w:rPr>
            </w:pPr>
          </w:p>
        </w:tc>
        <w:tc>
          <w:tcPr>
            <w:tcW w:w="1114"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175.00</w:t>
            </w:r>
          </w:p>
        </w:tc>
        <w:tc>
          <w:tcPr>
            <w:tcW w:w="1108"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175.00</w:t>
            </w:r>
          </w:p>
        </w:tc>
        <w:tc>
          <w:tcPr>
            <w:tcW w:w="99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81"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19</w:t>
            </w:r>
          </w:p>
        </w:tc>
        <w:tc>
          <w:tcPr>
            <w:tcW w:w="2460" w:type="dxa"/>
            <w:vAlign w:val="center"/>
          </w:tcPr>
          <w:p>
            <w:pPr>
              <w:keepNext w:val="0"/>
              <w:keepLines w:val="0"/>
              <w:widowControl/>
              <w:suppressLineNumbers w:val="0"/>
              <w:jc w:val="left"/>
              <w:textAlignment w:val="center"/>
              <w:rPr>
                <w:rFonts w:ascii="宋体" w:hAnsi="宋体" w:eastAsia="宋体" w:cs="宋体"/>
                <w:color w:val="auto"/>
                <w:kern w:val="0"/>
                <w:szCs w:val="21"/>
                <w:highlight w:val="none"/>
                <w:lang w:bidi="ar"/>
              </w:rPr>
            </w:pPr>
            <w:r>
              <w:rPr>
                <w:rStyle w:val="28"/>
                <w:color w:val="auto"/>
                <w:lang w:val="en-US" w:eastAsia="zh-CN" w:bidi="ar"/>
              </w:rPr>
              <w:t>康县人民法院</w:t>
            </w:r>
          </w:p>
        </w:tc>
        <w:tc>
          <w:tcPr>
            <w:tcW w:w="1066" w:type="dxa"/>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220.00</w:t>
            </w:r>
          </w:p>
        </w:tc>
        <w:tc>
          <w:tcPr>
            <w:tcW w:w="93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50.00</w:t>
            </w:r>
          </w:p>
        </w:tc>
        <w:tc>
          <w:tcPr>
            <w:tcW w:w="1114"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270.00</w:t>
            </w:r>
          </w:p>
        </w:tc>
        <w:tc>
          <w:tcPr>
            <w:tcW w:w="1108" w:type="dxa"/>
            <w:noWrap/>
            <w:vAlign w:val="center"/>
          </w:tcPr>
          <w:p>
            <w:pPr>
              <w:keepNext w:val="0"/>
              <w:keepLines w:val="0"/>
              <w:widowControl/>
              <w:suppressLineNumbers w:val="0"/>
              <w:jc w:val="right"/>
              <w:textAlignment w:val="center"/>
              <w:rPr>
                <w:rFonts w:hint="default" w:ascii="宋体" w:hAnsi="宋体" w:eastAsia="宋体" w:cs="宋体"/>
                <w:color w:val="auto"/>
                <w:kern w:val="0"/>
                <w:szCs w:val="21"/>
                <w:highlight w:val="none"/>
                <w:lang w:val="en-US" w:bidi="ar"/>
              </w:rPr>
            </w:pPr>
            <w:r>
              <w:rPr>
                <w:rFonts w:hint="eastAsia" w:ascii="宋体" w:hAnsi="宋体" w:eastAsia="宋体" w:cs="宋体"/>
                <w:i w:val="0"/>
                <w:iCs w:val="0"/>
                <w:color w:val="auto"/>
                <w:kern w:val="0"/>
                <w:sz w:val="21"/>
                <w:szCs w:val="21"/>
                <w:u w:val="none"/>
                <w:lang w:val="en-US" w:eastAsia="zh-CN" w:bidi="ar"/>
              </w:rPr>
              <w:t>214.50</w:t>
            </w:r>
          </w:p>
        </w:tc>
        <w:tc>
          <w:tcPr>
            <w:tcW w:w="992" w:type="dxa"/>
            <w:noWrap/>
            <w:vAlign w:val="center"/>
          </w:tcPr>
          <w:p>
            <w:pPr>
              <w:keepNext w:val="0"/>
              <w:keepLines w:val="0"/>
              <w:widowControl/>
              <w:suppressLineNumbers w:val="0"/>
              <w:jc w:val="right"/>
              <w:textAlignment w:val="center"/>
              <w:rPr>
                <w:rFonts w:ascii="宋体" w:hAnsi="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79.44%</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81"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20</w:t>
            </w:r>
          </w:p>
        </w:tc>
        <w:tc>
          <w:tcPr>
            <w:tcW w:w="2460" w:type="dxa"/>
            <w:vAlign w:val="center"/>
          </w:tcPr>
          <w:p>
            <w:pPr>
              <w:keepNext w:val="0"/>
              <w:keepLines w:val="0"/>
              <w:widowControl/>
              <w:suppressLineNumbers w:val="0"/>
              <w:jc w:val="left"/>
              <w:textAlignment w:val="center"/>
              <w:rPr>
                <w:rFonts w:ascii="宋体" w:hAnsi="宋体" w:eastAsia="宋体" w:cs="宋体"/>
                <w:color w:val="auto"/>
                <w:kern w:val="0"/>
                <w:szCs w:val="21"/>
                <w:highlight w:val="none"/>
                <w:lang w:bidi="ar"/>
              </w:rPr>
            </w:pPr>
            <w:r>
              <w:rPr>
                <w:rStyle w:val="28"/>
                <w:color w:val="auto"/>
                <w:lang w:val="en-US" w:eastAsia="zh-CN" w:bidi="ar"/>
              </w:rPr>
              <w:t>西和县人民法院</w:t>
            </w:r>
          </w:p>
        </w:tc>
        <w:tc>
          <w:tcPr>
            <w:tcW w:w="1066" w:type="dxa"/>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125.00</w:t>
            </w:r>
          </w:p>
        </w:tc>
        <w:tc>
          <w:tcPr>
            <w:tcW w:w="932" w:type="dxa"/>
            <w:noWrap/>
            <w:vAlign w:val="center"/>
          </w:tcPr>
          <w:p>
            <w:pPr>
              <w:jc w:val="both"/>
              <w:rPr>
                <w:rFonts w:ascii="宋体" w:hAnsi="宋体" w:eastAsia="宋体" w:cs="宋体"/>
                <w:color w:val="auto"/>
                <w:kern w:val="0"/>
                <w:szCs w:val="21"/>
                <w:highlight w:val="none"/>
                <w:lang w:bidi="ar"/>
              </w:rPr>
            </w:pPr>
          </w:p>
        </w:tc>
        <w:tc>
          <w:tcPr>
            <w:tcW w:w="1114"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125.00</w:t>
            </w:r>
          </w:p>
        </w:tc>
        <w:tc>
          <w:tcPr>
            <w:tcW w:w="1108"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0.00</w:t>
            </w:r>
          </w:p>
        </w:tc>
        <w:tc>
          <w:tcPr>
            <w:tcW w:w="99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81"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21</w:t>
            </w:r>
          </w:p>
        </w:tc>
        <w:tc>
          <w:tcPr>
            <w:tcW w:w="2460" w:type="dxa"/>
            <w:vAlign w:val="center"/>
          </w:tcPr>
          <w:p>
            <w:pPr>
              <w:keepNext w:val="0"/>
              <w:keepLines w:val="0"/>
              <w:widowControl/>
              <w:suppressLineNumbers w:val="0"/>
              <w:jc w:val="left"/>
              <w:textAlignment w:val="center"/>
              <w:rPr>
                <w:rFonts w:ascii="宋体" w:hAnsi="宋体" w:eastAsia="宋体" w:cs="宋体"/>
                <w:color w:val="auto"/>
                <w:kern w:val="0"/>
                <w:szCs w:val="21"/>
                <w:highlight w:val="none"/>
                <w:lang w:bidi="ar"/>
              </w:rPr>
            </w:pPr>
            <w:r>
              <w:rPr>
                <w:rStyle w:val="28"/>
                <w:color w:val="auto"/>
                <w:lang w:val="en-US" w:eastAsia="zh-CN" w:bidi="ar"/>
              </w:rPr>
              <w:t>庄浪县人民法院</w:t>
            </w:r>
          </w:p>
        </w:tc>
        <w:tc>
          <w:tcPr>
            <w:tcW w:w="1066" w:type="dxa"/>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25.00</w:t>
            </w:r>
          </w:p>
        </w:tc>
        <w:tc>
          <w:tcPr>
            <w:tcW w:w="932" w:type="dxa"/>
            <w:noWrap/>
            <w:vAlign w:val="center"/>
          </w:tcPr>
          <w:p>
            <w:pPr>
              <w:jc w:val="both"/>
              <w:rPr>
                <w:rFonts w:ascii="宋体" w:hAnsi="宋体" w:eastAsia="宋体" w:cs="宋体"/>
                <w:color w:val="auto"/>
                <w:kern w:val="0"/>
                <w:szCs w:val="21"/>
                <w:highlight w:val="none"/>
                <w:lang w:bidi="ar"/>
              </w:rPr>
            </w:pPr>
          </w:p>
        </w:tc>
        <w:tc>
          <w:tcPr>
            <w:tcW w:w="1114"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25.00</w:t>
            </w:r>
          </w:p>
        </w:tc>
        <w:tc>
          <w:tcPr>
            <w:tcW w:w="1108"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25.00</w:t>
            </w:r>
          </w:p>
        </w:tc>
        <w:tc>
          <w:tcPr>
            <w:tcW w:w="99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81"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22</w:t>
            </w:r>
          </w:p>
        </w:tc>
        <w:tc>
          <w:tcPr>
            <w:tcW w:w="2460" w:type="dxa"/>
            <w:vAlign w:val="center"/>
          </w:tcPr>
          <w:p>
            <w:pPr>
              <w:keepNext w:val="0"/>
              <w:keepLines w:val="0"/>
              <w:widowControl/>
              <w:suppressLineNumbers w:val="0"/>
              <w:jc w:val="left"/>
              <w:textAlignment w:val="center"/>
              <w:rPr>
                <w:rFonts w:ascii="宋体" w:hAnsi="宋体" w:eastAsia="宋体" w:cs="宋体"/>
                <w:color w:val="auto"/>
                <w:kern w:val="0"/>
                <w:szCs w:val="21"/>
                <w:highlight w:val="none"/>
                <w:lang w:bidi="ar"/>
              </w:rPr>
            </w:pPr>
            <w:r>
              <w:rPr>
                <w:rStyle w:val="28"/>
                <w:color w:val="auto"/>
                <w:lang w:val="en-US" w:eastAsia="zh-CN" w:bidi="ar"/>
              </w:rPr>
              <w:t>灵台县人民法院</w:t>
            </w:r>
          </w:p>
        </w:tc>
        <w:tc>
          <w:tcPr>
            <w:tcW w:w="1066" w:type="dxa"/>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33.00</w:t>
            </w:r>
          </w:p>
        </w:tc>
        <w:tc>
          <w:tcPr>
            <w:tcW w:w="932" w:type="dxa"/>
            <w:noWrap/>
            <w:vAlign w:val="center"/>
          </w:tcPr>
          <w:p>
            <w:pPr>
              <w:jc w:val="both"/>
              <w:rPr>
                <w:rFonts w:ascii="宋体" w:hAnsi="宋体" w:eastAsia="宋体" w:cs="宋体"/>
                <w:color w:val="auto"/>
                <w:kern w:val="0"/>
                <w:szCs w:val="21"/>
                <w:highlight w:val="none"/>
                <w:lang w:bidi="ar"/>
              </w:rPr>
            </w:pPr>
          </w:p>
        </w:tc>
        <w:tc>
          <w:tcPr>
            <w:tcW w:w="1114"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33.00</w:t>
            </w:r>
          </w:p>
        </w:tc>
        <w:tc>
          <w:tcPr>
            <w:tcW w:w="1108"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33.00</w:t>
            </w:r>
          </w:p>
        </w:tc>
        <w:tc>
          <w:tcPr>
            <w:tcW w:w="99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81"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23</w:t>
            </w:r>
          </w:p>
        </w:tc>
        <w:tc>
          <w:tcPr>
            <w:tcW w:w="2460" w:type="dxa"/>
            <w:vAlign w:val="center"/>
          </w:tcPr>
          <w:p>
            <w:pPr>
              <w:keepNext w:val="0"/>
              <w:keepLines w:val="0"/>
              <w:widowControl/>
              <w:suppressLineNumbers w:val="0"/>
              <w:jc w:val="both"/>
              <w:textAlignment w:val="center"/>
              <w:rPr>
                <w:rFonts w:ascii="宋体" w:hAnsi="宋体" w:eastAsia="宋体" w:cs="宋体"/>
                <w:color w:val="auto"/>
                <w:kern w:val="0"/>
                <w:szCs w:val="21"/>
                <w:highlight w:val="none"/>
                <w:lang w:bidi="ar"/>
              </w:rPr>
            </w:pPr>
            <w:r>
              <w:rPr>
                <w:rStyle w:val="28"/>
                <w:color w:val="auto"/>
                <w:lang w:val="en-US" w:eastAsia="zh-CN" w:bidi="ar"/>
              </w:rPr>
              <w:t>静宁县人民法院</w:t>
            </w:r>
          </w:p>
        </w:tc>
        <w:tc>
          <w:tcPr>
            <w:tcW w:w="1066" w:type="dxa"/>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130.00</w:t>
            </w:r>
          </w:p>
        </w:tc>
        <w:tc>
          <w:tcPr>
            <w:tcW w:w="932" w:type="dxa"/>
            <w:noWrap/>
            <w:vAlign w:val="center"/>
          </w:tcPr>
          <w:p>
            <w:pPr>
              <w:jc w:val="both"/>
              <w:rPr>
                <w:rFonts w:ascii="宋体" w:hAnsi="宋体" w:eastAsia="宋体" w:cs="宋体"/>
                <w:color w:val="auto"/>
                <w:kern w:val="0"/>
                <w:szCs w:val="21"/>
                <w:highlight w:val="none"/>
                <w:lang w:bidi="ar"/>
              </w:rPr>
            </w:pPr>
          </w:p>
        </w:tc>
        <w:tc>
          <w:tcPr>
            <w:tcW w:w="1114"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130.00</w:t>
            </w:r>
          </w:p>
        </w:tc>
        <w:tc>
          <w:tcPr>
            <w:tcW w:w="1108"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110.36</w:t>
            </w:r>
          </w:p>
        </w:tc>
        <w:tc>
          <w:tcPr>
            <w:tcW w:w="99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84.89%</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81"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24</w:t>
            </w:r>
          </w:p>
        </w:tc>
        <w:tc>
          <w:tcPr>
            <w:tcW w:w="2460" w:type="dxa"/>
            <w:vAlign w:val="center"/>
          </w:tcPr>
          <w:p>
            <w:pPr>
              <w:keepNext w:val="0"/>
              <w:keepLines w:val="0"/>
              <w:widowControl/>
              <w:suppressLineNumbers w:val="0"/>
              <w:jc w:val="left"/>
              <w:textAlignment w:val="center"/>
              <w:rPr>
                <w:rFonts w:ascii="宋体" w:hAnsi="宋体" w:eastAsia="宋体" w:cs="宋体"/>
                <w:color w:val="auto"/>
                <w:kern w:val="0"/>
                <w:szCs w:val="21"/>
                <w:highlight w:val="none"/>
                <w:lang w:bidi="ar"/>
              </w:rPr>
            </w:pPr>
            <w:r>
              <w:rPr>
                <w:rStyle w:val="28"/>
                <w:color w:val="auto"/>
                <w:lang w:val="en-US" w:eastAsia="zh-CN" w:bidi="ar"/>
              </w:rPr>
              <w:t>泾川县人民法院</w:t>
            </w:r>
          </w:p>
        </w:tc>
        <w:tc>
          <w:tcPr>
            <w:tcW w:w="1066" w:type="dxa"/>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75.00</w:t>
            </w:r>
          </w:p>
        </w:tc>
        <w:tc>
          <w:tcPr>
            <w:tcW w:w="932" w:type="dxa"/>
            <w:noWrap/>
            <w:vAlign w:val="center"/>
          </w:tcPr>
          <w:p>
            <w:pPr>
              <w:jc w:val="both"/>
              <w:rPr>
                <w:rFonts w:ascii="宋体" w:hAnsi="宋体" w:eastAsia="宋体" w:cs="宋体"/>
                <w:color w:val="auto"/>
                <w:kern w:val="0"/>
                <w:szCs w:val="21"/>
                <w:highlight w:val="none"/>
                <w:lang w:bidi="ar"/>
              </w:rPr>
            </w:pPr>
          </w:p>
        </w:tc>
        <w:tc>
          <w:tcPr>
            <w:tcW w:w="1114"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75.00</w:t>
            </w:r>
          </w:p>
        </w:tc>
        <w:tc>
          <w:tcPr>
            <w:tcW w:w="1108"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75.00</w:t>
            </w:r>
          </w:p>
        </w:tc>
        <w:tc>
          <w:tcPr>
            <w:tcW w:w="99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81"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25</w:t>
            </w:r>
          </w:p>
        </w:tc>
        <w:tc>
          <w:tcPr>
            <w:tcW w:w="2460" w:type="dxa"/>
            <w:vAlign w:val="center"/>
          </w:tcPr>
          <w:p>
            <w:pPr>
              <w:keepNext w:val="0"/>
              <w:keepLines w:val="0"/>
              <w:widowControl/>
              <w:suppressLineNumbers w:val="0"/>
              <w:jc w:val="left"/>
              <w:textAlignment w:val="center"/>
              <w:rPr>
                <w:rFonts w:ascii="宋体" w:hAnsi="宋体" w:eastAsia="宋体" w:cs="宋体"/>
                <w:color w:val="auto"/>
                <w:kern w:val="0"/>
                <w:szCs w:val="21"/>
                <w:highlight w:val="none"/>
                <w:lang w:bidi="ar"/>
              </w:rPr>
            </w:pPr>
            <w:r>
              <w:rPr>
                <w:rStyle w:val="28"/>
                <w:color w:val="auto"/>
                <w:lang w:val="en-US" w:eastAsia="zh-CN" w:bidi="ar"/>
              </w:rPr>
              <w:t>环县人民法院</w:t>
            </w:r>
          </w:p>
        </w:tc>
        <w:tc>
          <w:tcPr>
            <w:tcW w:w="1066" w:type="dxa"/>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75.00</w:t>
            </w:r>
          </w:p>
        </w:tc>
        <w:tc>
          <w:tcPr>
            <w:tcW w:w="932" w:type="dxa"/>
            <w:noWrap/>
            <w:vAlign w:val="center"/>
          </w:tcPr>
          <w:p>
            <w:pPr>
              <w:jc w:val="both"/>
              <w:rPr>
                <w:rFonts w:ascii="宋体" w:hAnsi="宋体" w:eastAsia="宋体" w:cs="宋体"/>
                <w:color w:val="auto"/>
                <w:kern w:val="0"/>
                <w:szCs w:val="21"/>
                <w:highlight w:val="none"/>
                <w:lang w:bidi="ar"/>
              </w:rPr>
            </w:pPr>
          </w:p>
        </w:tc>
        <w:tc>
          <w:tcPr>
            <w:tcW w:w="1114"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75.00</w:t>
            </w:r>
          </w:p>
        </w:tc>
        <w:tc>
          <w:tcPr>
            <w:tcW w:w="1108"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56.02</w:t>
            </w:r>
          </w:p>
        </w:tc>
        <w:tc>
          <w:tcPr>
            <w:tcW w:w="99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74.69%</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81"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26</w:t>
            </w:r>
          </w:p>
        </w:tc>
        <w:tc>
          <w:tcPr>
            <w:tcW w:w="2460" w:type="dxa"/>
            <w:vAlign w:val="center"/>
          </w:tcPr>
          <w:p>
            <w:pPr>
              <w:keepNext w:val="0"/>
              <w:keepLines w:val="0"/>
              <w:widowControl/>
              <w:suppressLineNumbers w:val="0"/>
              <w:jc w:val="left"/>
              <w:textAlignment w:val="center"/>
              <w:rPr>
                <w:rFonts w:ascii="宋体" w:hAnsi="宋体" w:eastAsia="宋体" w:cs="宋体"/>
                <w:color w:val="auto"/>
                <w:kern w:val="0"/>
                <w:szCs w:val="21"/>
                <w:highlight w:val="none"/>
                <w:lang w:bidi="ar"/>
              </w:rPr>
            </w:pPr>
            <w:r>
              <w:rPr>
                <w:rStyle w:val="28"/>
                <w:color w:val="auto"/>
                <w:lang w:val="en-US" w:eastAsia="zh-CN" w:bidi="ar"/>
              </w:rPr>
              <w:t>镇原县人民法院</w:t>
            </w:r>
          </w:p>
        </w:tc>
        <w:tc>
          <w:tcPr>
            <w:tcW w:w="1066" w:type="dxa"/>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56.00</w:t>
            </w:r>
          </w:p>
        </w:tc>
        <w:tc>
          <w:tcPr>
            <w:tcW w:w="932" w:type="dxa"/>
            <w:noWrap/>
            <w:vAlign w:val="center"/>
          </w:tcPr>
          <w:p>
            <w:pPr>
              <w:jc w:val="both"/>
              <w:rPr>
                <w:rFonts w:ascii="宋体" w:hAnsi="宋体" w:eastAsia="宋体" w:cs="宋体"/>
                <w:color w:val="auto"/>
                <w:kern w:val="0"/>
                <w:szCs w:val="21"/>
                <w:highlight w:val="none"/>
                <w:lang w:bidi="ar"/>
              </w:rPr>
            </w:pPr>
          </w:p>
        </w:tc>
        <w:tc>
          <w:tcPr>
            <w:tcW w:w="1114"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56.00</w:t>
            </w:r>
          </w:p>
        </w:tc>
        <w:tc>
          <w:tcPr>
            <w:tcW w:w="1108"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56.00</w:t>
            </w:r>
          </w:p>
        </w:tc>
        <w:tc>
          <w:tcPr>
            <w:tcW w:w="99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81"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27</w:t>
            </w:r>
          </w:p>
        </w:tc>
        <w:tc>
          <w:tcPr>
            <w:tcW w:w="2460" w:type="dxa"/>
            <w:vAlign w:val="center"/>
          </w:tcPr>
          <w:p>
            <w:pPr>
              <w:keepNext w:val="0"/>
              <w:keepLines w:val="0"/>
              <w:widowControl/>
              <w:suppressLineNumbers w:val="0"/>
              <w:jc w:val="left"/>
              <w:textAlignment w:val="center"/>
              <w:rPr>
                <w:rFonts w:ascii="宋体" w:hAnsi="宋体" w:eastAsia="宋体" w:cs="宋体"/>
                <w:color w:val="auto"/>
                <w:kern w:val="0"/>
                <w:szCs w:val="21"/>
                <w:highlight w:val="none"/>
                <w:lang w:bidi="ar"/>
              </w:rPr>
            </w:pPr>
            <w:r>
              <w:rPr>
                <w:rStyle w:val="28"/>
                <w:color w:val="auto"/>
                <w:sz w:val="18"/>
                <w:szCs w:val="18"/>
                <w:lang w:val="en-US" w:eastAsia="zh-CN" w:bidi="ar"/>
              </w:rPr>
              <w:t>东乡族自治县人民法院</w:t>
            </w:r>
          </w:p>
        </w:tc>
        <w:tc>
          <w:tcPr>
            <w:tcW w:w="1066" w:type="dxa"/>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505.00</w:t>
            </w:r>
          </w:p>
        </w:tc>
        <w:tc>
          <w:tcPr>
            <w:tcW w:w="932" w:type="dxa"/>
            <w:noWrap/>
            <w:vAlign w:val="center"/>
          </w:tcPr>
          <w:p>
            <w:pPr>
              <w:jc w:val="both"/>
              <w:rPr>
                <w:rFonts w:ascii="宋体" w:hAnsi="宋体" w:eastAsia="宋体" w:cs="宋体"/>
                <w:color w:val="auto"/>
                <w:kern w:val="0"/>
                <w:szCs w:val="21"/>
                <w:highlight w:val="none"/>
                <w:lang w:bidi="ar"/>
              </w:rPr>
            </w:pPr>
          </w:p>
        </w:tc>
        <w:tc>
          <w:tcPr>
            <w:tcW w:w="1114"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505.00</w:t>
            </w:r>
          </w:p>
        </w:tc>
        <w:tc>
          <w:tcPr>
            <w:tcW w:w="1108"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359.62</w:t>
            </w:r>
          </w:p>
        </w:tc>
        <w:tc>
          <w:tcPr>
            <w:tcW w:w="99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71.21%</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81"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28</w:t>
            </w:r>
          </w:p>
        </w:tc>
        <w:tc>
          <w:tcPr>
            <w:tcW w:w="2460" w:type="dxa"/>
            <w:vAlign w:val="center"/>
          </w:tcPr>
          <w:p>
            <w:pPr>
              <w:keepNext w:val="0"/>
              <w:keepLines w:val="0"/>
              <w:widowControl/>
              <w:suppressLineNumbers w:val="0"/>
              <w:jc w:val="left"/>
              <w:textAlignment w:val="center"/>
              <w:rPr>
                <w:rFonts w:ascii="宋体" w:hAnsi="宋体" w:eastAsia="宋体" w:cs="宋体"/>
                <w:color w:val="auto"/>
                <w:kern w:val="0"/>
                <w:szCs w:val="21"/>
                <w:highlight w:val="none"/>
                <w:lang w:bidi="ar"/>
              </w:rPr>
            </w:pPr>
            <w:r>
              <w:rPr>
                <w:rStyle w:val="28"/>
                <w:color w:val="auto"/>
                <w:lang w:val="en-US" w:eastAsia="zh-CN" w:bidi="ar"/>
              </w:rPr>
              <w:t>临夏县人民法院</w:t>
            </w:r>
          </w:p>
        </w:tc>
        <w:tc>
          <w:tcPr>
            <w:tcW w:w="1066" w:type="dxa"/>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83.00</w:t>
            </w:r>
          </w:p>
        </w:tc>
        <w:tc>
          <w:tcPr>
            <w:tcW w:w="93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10.38</w:t>
            </w:r>
          </w:p>
        </w:tc>
        <w:tc>
          <w:tcPr>
            <w:tcW w:w="1114"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93.38</w:t>
            </w:r>
          </w:p>
        </w:tc>
        <w:tc>
          <w:tcPr>
            <w:tcW w:w="1108"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10.38</w:t>
            </w:r>
          </w:p>
        </w:tc>
        <w:tc>
          <w:tcPr>
            <w:tcW w:w="99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11.12%</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81"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29</w:t>
            </w:r>
          </w:p>
        </w:tc>
        <w:tc>
          <w:tcPr>
            <w:tcW w:w="2460" w:type="dxa"/>
            <w:vAlign w:val="center"/>
          </w:tcPr>
          <w:p>
            <w:pPr>
              <w:keepNext w:val="0"/>
              <w:keepLines w:val="0"/>
              <w:widowControl/>
              <w:suppressLineNumbers w:val="0"/>
              <w:jc w:val="left"/>
              <w:textAlignment w:val="center"/>
              <w:rPr>
                <w:rFonts w:ascii="宋体" w:hAnsi="宋体" w:eastAsia="宋体" w:cs="宋体"/>
                <w:color w:val="auto"/>
                <w:kern w:val="0"/>
                <w:szCs w:val="21"/>
                <w:highlight w:val="none"/>
                <w:lang w:bidi="ar"/>
              </w:rPr>
            </w:pPr>
            <w:r>
              <w:rPr>
                <w:rStyle w:val="28"/>
                <w:color w:val="auto"/>
                <w:lang w:val="en-US" w:eastAsia="zh-CN" w:bidi="ar"/>
              </w:rPr>
              <w:t>积石山县人民法院</w:t>
            </w:r>
          </w:p>
        </w:tc>
        <w:tc>
          <w:tcPr>
            <w:tcW w:w="1066" w:type="dxa"/>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75.00</w:t>
            </w:r>
          </w:p>
        </w:tc>
        <w:tc>
          <w:tcPr>
            <w:tcW w:w="932" w:type="dxa"/>
            <w:noWrap/>
            <w:vAlign w:val="center"/>
          </w:tcPr>
          <w:p>
            <w:pPr>
              <w:jc w:val="both"/>
              <w:rPr>
                <w:rFonts w:ascii="宋体" w:hAnsi="宋体" w:eastAsia="宋体" w:cs="宋体"/>
                <w:color w:val="auto"/>
                <w:kern w:val="0"/>
                <w:szCs w:val="21"/>
                <w:highlight w:val="none"/>
                <w:lang w:bidi="ar"/>
              </w:rPr>
            </w:pPr>
          </w:p>
        </w:tc>
        <w:tc>
          <w:tcPr>
            <w:tcW w:w="1114"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75.00</w:t>
            </w:r>
          </w:p>
        </w:tc>
        <w:tc>
          <w:tcPr>
            <w:tcW w:w="1108"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72.76</w:t>
            </w:r>
          </w:p>
        </w:tc>
        <w:tc>
          <w:tcPr>
            <w:tcW w:w="99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97.01%</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81"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30</w:t>
            </w:r>
          </w:p>
        </w:tc>
        <w:tc>
          <w:tcPr>
            <w:tcW w:w="2460" w:type="dxa"/>
            <w:vAlign w:val="center"/>
          </w:tcPr>
          <w:p>
            <w:pPr>
              <w:keepNext w:val="0"/>
              <w:keepLines w:val="0"/>
              <w:widowControl/>
              <w:suppressLineNumbers w:val="0"/>
              <w:jc w:val="left"/>
              <w:textAlignment w:val="center"/>
              <w:rPr>
                <w:rFonts w:ascii="宋体" w:hAnsi="宋体" w:eastAsia="宋体" w:cs="宋体"/>
                <w:color w:val="auto"/>
                <w:kern w:val="0"/>
                <w:szCs w:val="21"/>
                <w:highlight w:val="none"/>
                <w:lang w:bidi="ar"/>
              </w:rPr>
            </w:pPr>
            <w:r>
              <w:rPr>
                <w:rStyle w:val="28"/>
                <w:color w:val="auto"/>
                <w:lang w:val="en-US" w:eastAsia="zh-CN" w:bidi="ar"/>
              </w:rPr>
              <w:t>甘南藏族自治州中级人民法院</w:t>
            </w:r>
          </w:p>
        </w:tc>
        <w:tc>
          <w:tcPr>
            <w:tcW w:w="1066" w:type="dxa"/>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178.00</w:t>
            </w:r>
          </w:p>
        </w:tc>
        <w:tc>
          <w:tcPr>
            <w:tcW w:w="932" w:type="dxa"/>
            <w:noWrap/>
            <w:vAlign w:val="center"/>
          </w:tcPr>
          <w:p>
            <w:pPr>
              <w:jc w:val="both"/>
              <w:rPr>
                <w:rFonts w:ascii="宋体" w:hAnsi="宋体" w:eastAsia="宋体" w:cs="宋体"/>
                <w:color w:val="auto"/>
                <w:kern w:val="0"/>
                <w:szCs w:val="21"/>
                <w:highlight w:val="none"/>
                <w:lang w:bidi="ar"/>
              </w:rPr>
            </w:pPr>
          </w:p>
        </w:tc>
        <w:tc>
          <w:tcPr>
            <w:tcW w:w="1114"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178.00</w:t>
            </w:r>
          </w:p>
        </w:tc>
        <w:tc>
          <w:tcPr>
            <w:tcW w:w="1108"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0.74</w:t>
            </w:r>
          </w:p>
        </w:tc>
        <w:tc>
          <w:tcPr>
            <w:tcW w:w="99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0.42%</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81"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31</w:t>
            </w:r>
          </w:p>
        </w:tc>
        <w:tc>
          <w:tcPr>
            <w:tcW w:w="2460" w:type="dxa"/>
            <w:vAlign w:val="center"/>
          </w:tcPr>
          <w:p>
            <w:pPr>
              <w:keepNext w:val="0"/>
              <w:keepLines w:val="0"/>
              <w:widowControl/>
              <w:suppressLineNumbers w:val="0"/>
              <w:jc w:val="left"/>
              <w:textAlignment w:val="center"/>
              <w:rPr>
                <w:rFonts w:ascii="宋体" w:hAnsi="宋体" w:eastAsia="宋体" w:cs="宋体"/>
                <w:color w:val="auto"/>
                <w:kern w:val="0"/>
                <w:szCs w:val="21"/>
                <w:highlight w:val="none"/>
                <w:lang w:bidi="ar"/>
              </w:rPr>
            </w:pPr>
            <w:r>
              <w:rPr>
                <w:rStyle w:val="28"/>
                <w:color w:val="auto"/>
                <w:lang w:val="en-US" w:eastAsia="zh-CN" w:bidi="ar"/>
              </w:rPr>
              <w:t>临潭县人民法院</w:t>
            </w:r>
          </w:p>
        </w:tc>
        <w:tc>
          <w:tcPr>
            <w:tcW w:w="1066" w:type="dxa"/>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50.00</w:t>
            </w:r>
          </w:p>
        </w:tc>
        <w:tc>
          <w:tcPr>
            <w:tcW w:w="932" w:type="dxa"/>
            <w:noWrap/>
            <w:vAlign w:val="center"/>
          </w:tcPr>
          <w:p>
            <w:pPr>
              <w:jc w:val="both"/>
              <w:rPr>
                <w:rFonts w:ascii="宋体" w:hAnsi="宋体" w:eastAsia="宋体" w:cs="宋体"/>
                <w:color w:val="auto"/>
                <w:kern w:val="0"/>
                <w:szCs w:val="21"/>
                <w:highlight w:val="none"/>
                <w:lang w:bidi="ar"/>
              </w:rPr>
            </w:pPr>
          </w:p>
        </w:tc>
        <w:tc>
          <w:tcPr>
            <w:tcW w:w="1114"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50.00</w:t>
            </w:r>
          </w:p>
        </w:tc>
        <w:tc>
          <w:tcPr>
            <w:tcW w:w="1108"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47.36</w:t>
            </w:r>
          </w:p>
        </w:tc>
        <w:tc>
          <w:tcPr>
            <w:tcW w:w="99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94.72%</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81"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32</w:t>
            </w:r>
          </w:p>
        </w:tc>
        <w:tc>
          <w:tcPr>
            <w:tcW w:w="2460" w:type="dxa"/>
            <w:vAlign w:val="center"/>
          </w:tcPr>
          <w:p>
            <w:pPr>
              <w:keepNext w:val="0"/>
              <w:keepLines w:val="0"/>
              <w:widowControl/>
              <w:suppressLineNumbers w:val="0"/>
              <w:jc w:val="left"/>
              <w:textAlignment w:val="center"/>
              <w:rPr>
                <w:rFonts w:ascii="宋体" w:hAnsi="宋体" w:eastAsia="宋体" w:cs="宋体"/>
                <w:color w:val="auto"/>
                <w:kern w:val="0"/>
                <w:szCs w:val="21"/>
                <w:highlight w:val="none"/>
                <w:lang w:bidi="ar"/>
              </w:rPr>
            </w:pPr>
            <w:r>
              <w:rPr>
                <w:rStyle w:val="28"/>
                <w:color w:val="auto"/>
                <w:lang w:val="en-US" w:eastAsia="zh-CN" w:bidi="ar"/>
              </w:rPr>
              <w:t>舟曲县人民法院</w:t>
            </w:r>
          </w:p>
        </w:tc>
        <w:tc>
          <w:tcPr>
            <w:tcW w:w="1066" w:type="dxa"/>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25.00</w:t>
            </w:r>
          </w:p>
        </w:tc>
        <w:tc>
          <w:tcPr>
            <w:tcW w:w="932" w:type="dxa"/>
            <w:noWrap/>
            <w:vAlign w:val="center"/>
          </w:tcPr>
          <w:p>
            <w:pPr>
              <w:jc w:val="both"/>
              <w:rPr>
                <w:rFonts w:ascii="宋体" w:hAnsi="宋体" w:eastAsia="宋体" w:cs="宋体"/>
                <w:color w:val="auto"/>
                <w:kern w:val="0"/>
                <w:szCs w:val="21"/>
                <w:highlight w:val="none"/>
                <w:lang w:bidi="ar"/>
              </w:rPr>
            </w:pPr>
          </w:p>
        </w:tc>
        <w:tc>
          <w:tcPr>
            <w:tcW w:w="1114"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25.00</w:t>
            </w:r>
          </w:p>
        </w:tc>
        <w:tc>
          <w:tcPr>
            <w:tcW w:w="1108"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25.00</w:t>
            </w:r>
          </w:p>
        </w:tc>
        <w:tc>
          <w:tcPr>
            <w:tcW w:w="99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81"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33</w:t>
            </w:r>
          </w:p>
        </w:tc>
        <w:tc>
          <w:tcPr>
            <w:tcW w:w="2460" w:type="dxa"/>
            <w:vAlign w:val="center"/>
          </w:tcPr>
          <w:p>
            <w:pPr>
              <w:keepNext w:val="0"/>
              <w:keepLines w:val="0"/>
              <w:widowControl/>
              <w:suppressLineNumbers w:val="0"/>
              <w:jc w:val="left"/>
              <w:textAlignment w:val="center"/>
              <w:rPr>
                <w:rFonts w:ascii="宋体" w:hAnsi="宋体" w:eastAsia="宋体" w:cs="宋体"/>
                <w:color w:val="auto"/>
                <w:kern w:val="0"/>
                <w:szCs w:val="21"/>
                <w:highlight w:val="none"/>
                <w:lang w:bidi="ar"/>
              </w:rPr>
            </w:pPr>
            <w:r>
              <w:rPr>
                <w:rStyle w:val="28"/>
                <w:color w:val="auto"/>
                <w:lang w:val="en-US" w:eastAsia="zh-CN" w:bidi="ar"/>
              </w:rPr>
              <w:t>卓尼县人民法院</w:t>
            </w:r>
          </w:p>
        </w:tc>
        <w:tc>
          <w:tcPr>
            <w:tcW w:w="1066" w:type="dxa"/>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275.00</w:t>
            </w:r>
          </w:p>
        </w:tc>
        <w:tc>
          <w:tcPr>
            <w:tcW w:w="932" w:type="dxa"/>
            <w:noWrap/>
            <w:vAlign w:val="center"/>
          </w:tcPr>
          <w:p>
            <w:pPr>
              <w:jc w:val="both"/>
              <w:rPr>
                <w:rFonts w:ascii="宋体" w:hAnsi="宋体" w:eastAsia="宋体" w:cs="宋体"/>
                <w:color w:val="auto"/>
                <w:kern w:val="0"/>
                <w:szCs w:val="21"/>
                <w:highlight w:val="none"/>
                <w:lang w:bidi="ar"/>
              </w:rPr>
            </w:pPr>
          </w:p>
        </w:tc>
        <w:tc>
          <w:tcPr>
            <w:tcW w:w="1114"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275.00</w:t>
            </w:r>
          </w:p>
        </w:tc>
        <w:tc>
          <w:tcPr>
            <w:tcW w:w="1108"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65.87</w:t>
            </w:r>
          </w:p>
        </w:tc>
        <w:tc>
          <w:tcPr>
            <w:tcW w:w="99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23.95%</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81"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34</w:t>
            </w:r>
          </w:p>
        </w:tc>
        <w:tc>
          <w:tcPr>
            <w:tcW w:w="2460" w:type="dxa"/>
            <w:vAlign w:val="center"/>
          </w:tcPr>
          <w:p>
            <w:pPr>
              <w:keepNext w:val="0"/>
              <w:keepLines w:val="0"/>
              <w:widowControl/>
              <w:suppressLineNumbers w:val="0"/>
              <w:jc w:val="left"/>
              <w:textAlignment w:val="center"/>
              <w:rPr>
                <w:rFonts w:ascii="宋体" w:hAnsi="宋体" w:eastAsia="宋体" w:cs="宋体"/>
                <w:color w:val="auto"/>
                <w:kern w:val="0"/>
                <w:szCs w:val="21"/>
                <w:highlight w:val="none"/>
                <w:lang w:bidi="ar"/>
              </w:rPr>
            </w:pPr>
            <w:r>
              <w:rPr>
                <w:rStyle w:val="28"/>
                <w:color w:val="auto"/>
                <w:lang w:val="en-US" w:eastAsia="zh-CN" w:bidi="ar"/>
              </w:rPr>
              <w:t>西固区人民法院</w:t>
            </w:r>
          </w:p>
        </w:tc>
        <w:tc>
          <w:tcPr>
            <w:tcW w:w="1066" w:type="dxa"/>
            <w:vAlign w:val="center"/>
          </w:tcPr>
          <w:p>
            <w:pPr>
              <w:jc w:val="both"/>
              <w:rPr>
                <w:rFonts w:ascii="宋体" w:hAnsi="宋体" w:eastAsia="宋体" w:cs="宋体"/>
                <w:color w:val="auto"/>
                <w:kern w:val="0"/>
                <w:szCs w:val="21"/>
                <w:highlight w:val="none"/>
                <w:lang w:bidi="ar"/>
              </w:rPr>
            </w:pPr>
          </w:p>
        </w:tc>
        <w:tc>
          <w:tcPr>
            <w:tcW w:w="93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35.00</w:t>
            </w:r>
          </w:p>
        </w:tc>
        <w:tc>
          <w:tcPr>
            <w:tcW w:w="1114"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35.00</w:t>
            </w:r>
          </w:p>
        </w:tc>
        <w:tc>
          <w:tcPr>
            <w:tcW w:w="1108"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0.00</w:t>
            </w:r>
          </w:p>
        </w:tc>
        <w:tc>
          <w:tcPr>
            <w:tcW w:w="99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81"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35</w:t>
            </w:r>
          </w:p>
        </w:tc>
        <w:tc>
          <w:tcPr>
            <w:tcW w:w="2460" w:type="dxa"/>
            <w:vAlign w:val="center"/>
          </w:tcPr>
          <w:p>
            <w:pPr>
              <w:keepNext w:val="0"/>
              <w:keepLines w:val="0"/>
              <w:widowControl/>
              <w:suppressLineNumbers w:val="0"/>
              <w:jc w:val="left"/>
              <w:textAlignment w:val="center"/>
              <w:rPr>
                <w:rFonts w:ascii="宋体" w:hAnsi="宋体" w:eastAsia="宋体" w:cs="宋体"/>
                <w:color w:val="auto"/>
                <w:kern w:val="0"/>
                <w:szCs w:val="21"/>
                <w:highlight w:val="none"/>
                <w:lang w:bidi="ar"/>
              </w:rPr>
            </w:pPr>
            <w:r>
              <w:rPr>
                <w:rStyle w:val="28"/>
                <w:color w:val="auto"/>
                <w:lang w:val="en-US" w:eastAsia="zh-CN" w:bidi="ar"/>
              </w:rPr>
              <w:t>徽县人民法院</w:t>
            </w:r>
          </w:p>
        </w:tc>
        <w:tc>
          <w:tcPr>
            <w:tcW w:w="1066" w:type="dxa"/>
            <w:vAlign w:val="center"/>
          </w:tcPr>
          <w:p>
            <w:pPr>
              <w:jc w:val="both"/>
              <w:rPr>
                <w:rFonts w:ascii="宋体" w:hAnsi="宋体" w:eastAsia="宋体" w:cs="宋体"/>
                <w:color w:val="auto"/>
                <w:kern w:val="0"/>
                <w:szCs w:val="21"/>
                <w:highlight w:val="none"/>
                <w:lang w:bidi="ar"/>
              </w:rPr>
            </w:pPr>
          </w:p>
        </w:tc>
        <w:tc>
          <w:tcPr>
            <w:tcW w:w="93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21.43</w:t>
            </w:r>
          </w:p>
        </w:tc>
        <w:tc>
          <w:tcPr>
            <w:tcW w:w="1114"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21.43</w:t>
            </w:r>
          </w:p>
        </w:tc>
        <w:tc>
          <w:tcPr>
            <w:tcW w:w="1108"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21.43</w:t>
            </w:r>
          </w:p>
        </w:tc>
        <w:tc>
          <w:tcPr>
            <w:tcW w:w="99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81"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36</w:t>
            </w:r>
          </w:p>
        </w:tc>
        <w:tc>
          <w:tcPr>
            <w:tcW w:w="2460" w:type="dxa"/>
            <w:vAlign w:val="center"/>
          </w:tcPr>
          <w:p>
            <w:pPr>
              <w:keepNext w:val="0"/>
              <w:keepLines w:val="0"/>
              <w:widowControl/>
              <w:suppressLineNumbers w:val="0"/>
              <w:jc w:val="left"/>
              <w:textAlignment w:val="center"/>
              <w:rPr>
                <w:rFonts w:ascii="宋体" w:hAnsi="宋体" w:eastAsia="宋体" w:cs="宋体"/>
                <w:color w:val="auto"/>
                <w:kern w:val="0"/>
                <w:szCs w:val="21"/>
                <w:highlight w:val="none"/>
                <w:lang w:bidi="ar"/>
              </w:rPr>
            </w:pPr>
            <w:r>
              <w:rPr>
                <w:rStyle w:val="28"/>
                <w:color w:val="auto"/>
                <w:lang w:val="en-US" w:eastAsia="zh-CN" w:bidi="ar"/>
              </w:rPr>
              <w:t>成县人民法院</w:t>
            </w:r>
          </w:p>
        </w:tc>
        <w:tc>
          <w:tcPr>
            <w:tcW w:w="1066" w:type="dxa"/>
            <w:vAlign w:val="center"/>
          </w:tcPr>
          <w:p>
            <w:pPr>
              <w:jc w:val="both"/>
              <w:rPr>
                <w:rFonts w:ascii="宋体" w:hAnsi="宋体" w:eastAsia="宋体" w:cs="宋体"/>
                <w:color w:val="auto"/>
                <w:kern w:val="0"/>
                <w:szCs w:val="21"/>
                <w:highlight w:val="none"/>
                <w:lang w:bidi="ar"/>
              </w:rPr>
            </w:pPr>
          </w:p>
        </w:tc>
        <w:tc>
          <w:tcPr>
            <w:tcW w:w="93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3.00</w:t>
            </w:r>
          </w:p>
        </w:tc>
        <w:tc>
          <w:tcPr>
            <w:tcW w:w="1114"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3.00</w:t>
            </w:r>
          </w:p>
        </w:tc>
        <w:tc>
          <w:tcPr>
            <w:tcW w:w="1108"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3.00</w:t>
            </w:r>
          </w:p>
        </w:tc>
        <w:tc>
          <w:tcPr>
            <w:tcW w:w="99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81"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37</w:t>
            </w:r>
          </w:p>
        </w:tc>
        <w:tc>
          <w:tcPr>
            <w:tcW w:w="2460" w:type="dxa"/>
            <w:vAlign w:val="center"/>
          </w:tcPr>
          <w:p>
            <w:pPr>
              <w:keepNext w:val="0"/>
              <w:keepLines w:val="0"/>
              <w:widowControl/>
              <w:suppressLineNumbers w:val="0"/>
              <w:jc w:val="left"/>
              <w:textAlignment w:val="center"/>
              <w:rPr>
                <w:rFonts w:ascii="宋体" w:hAnsi="宋体" w:eastAsia="宋体" w:cs="宋体"/>
                <w:color w:val="auto"/>
                <w:kern w:val="0"/>
                <w:szCs w:val="21"/>
                <w:highlight w:val="none"/>
                <w:lang w:bidi="ar"/>
              </w:rPr>
            </w:pPr>
            <w:r>
              <w:rPr>
                <w:rStyle w:val="28"/>
                <w:color w:val="auto"/>
                <w:lang w:val="en-US" w:eastAsia="zh-CN" w:bidi="ar"/>
              </w:rPr>
              <w:t>礼县人民法院</w:t>
            </w:r>
          </w:p>
        </w:tc>
        <w:tc>
          <w:tcPr>
            <w:tcW w:w="1066" w:type="dxa"/>
            <w:vAlign w:val="center"/>
          </w:tcPr>
          <w:p>
            <w:pPr>
              <w:jc w:val="both"/>
              <w:rPr>
                <w:rFonts w:ascii="宋体" w:hAnsi="宋体" w:eastAsia="宋体" w:cs="宋体"/>
                <w:color w:val="auto"/>
                <w:kern w:val="0"/>
                <w:szCs w:val="21"/>
                <w:highlight w:val="none"/>
                <w:lang w:bidi="ar"/>
              </w:rPr>
            </w:pPr>
          </w:p>
        </w:tc>
        <w:tc>
          <w:tcPr>
            <w:tcW w:w="93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25.00</w:t>
            </w:r>
          </w:p>
        </w:tc>
        <w:tc>
          <w:tcPr>
            <w:tcW w:w="1114"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25.00</w:t>
            </w:r>
          </w:p>
        </w:tc>
        <w:tc>
          <w:tcPr>
            <w:tcW w:w="1108"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25.00</w:t>
            </w:r>
          </w:p>
        </w:tc>
        <w:tc>
          <w:tcPr>
            <w:tcW w:w="99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81"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38</w:t>
            </w:r>
          </w:p>
        </w:tc>
        <w:tc>
          <w:tcPr>
            <w:tcW w:w="2460" w:type="dxa"/>
            <w:vAlign w:val="center"/>
          </w:tcPr>
          <w:p>
            <w:pPr>
              <w:keepNext w:val="0"/>
              <w:keepLines w:val="0"/>
              <w:widowControl/>
              <w:suppressLineNumbers w:val="0"/>
              <w:jc w:val="left"/>
              <w:textAlignment w:val="center"/>
              <w:rPr>
                <w:rFonts w:ascii="宋体" w:hAnsi="宋体" w:eastAsia="宋体" w:cs="宋体"/>
                <w:color w:val="auto"/>
                <w:kern w:val="0"/>
                <w:szCs w:val="21"/>
                <w:highlight w:val="none"/>
                <w:lang w:bidi="ar"/>
              </w:rPr>
            </w:pPr>
            <w:r>
              <w:rPr>
                <w:rStyle w:val="28"/>
                <w:color w:val="auto"/>
                <w:lang w:val="en-US" w:eastAsia="zh-CN" w:bidi="ar"/>
              </w:rPr>
              <w:t>宕昌县人民法院</w:t>
            </w:r>
          </w:p>
        </w:tc>
        <w:tc>
          <w:tcPr>
            <w:tcW w:w="1066" w:type="dxa"/>
            <w:vAlign w:val="center"/>
          </w:tcPr>
          <w:p>
            <w:pPr>
              <w:jc w:val="both"/>
              <w:rPr>
                <w:rFonts w:ascii="宋体" w:hAnsi="宋体" w:eastAsia="宋体" w:cs="宋体"/>
                <w:color w:val="auto"/>
                <w:kern w:val="0"/>
                <w:szCs w:val="21"/>
                <w:highlight w:val="none"/>
                <w:lang w:bidi="ar"/>
              </w:rPr>
            </w:pPr>
          </w:p>
        </w:tc>
        <w:tc>
          <w:tcPr>
            <w:tcW w:w="93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31.96</w:t>
            </w:r>
          </w:p>
        </w:tc>
        <w:tc>
          <w:tcPr>
            <w:tcW w:w="1114"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31.96</w:t>
            </w:r>
          </w:p>
        </w:tc>
        <w:tc>
          <w:tcPr>
            <w:tcW w:w="1108"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31.96</w:t>
            </w:r>
          </w:p>
        </w:tc>
        <w:tc>
          <w:tcPr>
            <w:tcW w:w="99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81"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39</w:t>
            </w:r>
          </w:p>
        </w:tc>
        <w:tc>
          <w:tcPr>
            <w:tcW w:w="2460" w:type="dxa"/>
            <w:vAlign w:val="center"/>
          </w:tcPr>
          <w:p>
            <w:pPr>
              <w:keepNext w:val="0"/>
              <w:keepLines w:val="0"/>
              <w:widowControl/>
              <w:suppressLineNumbers w:val="0"/>
              <w:jc w:val="left"/>
              <w:textAlignment w:val="center"/>
              <w:rPr>
                <w:rFonts w:ascii="宋体" w:hAnsi="宋体" w:eastAsia="宋体" w:cs="宋体"/>
                <w:color w:val="auto"/>
                <w:kern w:val="0"/>
                <w:szCs w:val="21"/>
                <w:highlight w:val="none"/>
                <w:lang w:bidi="ar"/>
              </w:rPr>
            </w:pPr>
            <w:r>
              <w:rPr>
                <w:rStyle w:val="28"/>
                <w:color w:val="auto"/>
                <w:lang w:val="en-US" w:eastAsia="zh-CN" w:bidi="ar"/>
              </w:rPr>
              <w:t>两当县人民法院</w:t>
            </w:r>
          </w:p>
        </w:tc>
        <w:tc>
          <w:tcPr>
            <w:tcW w:w="1066" w:type="dxa"/>
            <w:vAlign w:val="center"/>
          </w:tcPr>
          <w:p>
            <w:pPr>
              <w:jc w:val="both"/>
              <w:rPr>
                <w:rFonts w:ascii="宋体" w:hAnsi="宋体" w:eastAsia="宋体" w:cs="宋体"/>
                <w:color w:val="auto"/>
                <w:kern w:val="0"/>
                <w:szCs w:val="21"/>
                <w:highlight w:val="none"/>
                <w:lang w:bidi="ar"/>
              </w:rPr>
            </w:pPr>
          </w:p>
        </w:tc>
        <w:tc>
          <w:tcPr>
            <w:tcW w:w="93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30.42</w:t>
            </w:r>
          </w:p>
        </w:tc>
        <w:tc>
          <w:tcPr>
            <w:tcW w:w="1114"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30.42</w:t>
            </w:r>
          </w:p>
        </w:tc>
        <w:tc>
          <w:tcPr>
            <w:tcW w:w="1108"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30.42</w:t>
            </w:r>
          </w:p>
        </w:tc>
        <w:tc>
          <w:tcPr>
            <w:tcW w:w="99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81" w:type="dxa"/>
            <w:noWrap/>
            <w:vAlign w:val="center"/>
          </w:tcPr>
          <w:p>
            <w:pPr>
              <w:widowControl/>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40</w:t>
            </w:r>
          </w:p>
        </w:tc>
        <w:tc>
          <w:tcPr>
            <w:tcW w:w="2460" w:type="dxa"/>
            <w:vAlign w:val="center"/>
          </w:tcPr>
          <w:p>
            <w:pPr>
              <w:keepNext w:val="0"/>
              <w:keepLines w:val="0"/>
              <w:widowControl/>
              <w:suppressLineNumbers w:val="0"/>
              <w:jc w:val="left"/>
              <w:textAlignment w:val="center"/>
              <w:rPr>
                <w:rFonts w:ascii="宋体" w:hAnsi="宋体" w:eastAsia="宋体" w:cs="宋体"/>
                <w:color w:val="auto"/>
                <w:kern w:val="0"/>
                <w:szCs w:val="21"/>
                <w:highlight w:val="none"/>
                <w:lang w:bidi="ar"/>
              </w:rPr>
            </w:pPr>
            <w:r>
              <w:rPr>
                <w:rStyle w:val="28"/>
                <w:color w:val="auto"/>
                <w:lang w:val="en-US" w:eastAsia="zh-CN" w:bidi="ar"/>
              </w:rPr>
              <w:t>永靖县人民法院</w:t>
            </w:r>
          </w:p>
        </w:tc>
        <w:tc>
          <w:tcPr>
            <w:tcW w:w="1066" w:type="dxa"/>
            <w:vAlign w:val="center"/>
          </w:tcPr>
          <w:p>
            <w:pPr>
              <w:jc w:val="both"/>
              <w:rPr>
                <w:rFonts w:ascii="宋体" w:hAnsi="宋体" w:eastAsia="宋体" w:cs="宋体"/>
                <w:color w:val="auto"/>
                <w:kern w:val="0"/>
                <w:szCs w:val="21"/>
                <w:highlight w:val="none"/>
                <w:lang w:bidi="ar"/>
              </w:rPr>
            </w:pPr>
          </w:p>
        </w:tc>
        <w:tc>
          <w:tcPr>
            <w:tcW w:w="93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41.55</w:t>
            </w:r>
          </w:p>
        </w:tc>
        <w:tc>
          <w:tcPr>
            <w:tcW w:w="1114"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41.55</w:t>
            </w:r>
          </w:p>
        </w:tc>
        <w:tc>
          <w:tcPr>
            <w:tcW w:w="1108"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41.55</w:t>
            </w:r>
          </w:p>
        </w:tc>
        <w:tc>
          <w:tcPr>
            <w:tcW w:w="992" w:type="dxa"/>
            <w:noWrap/>
            <w:vAlign w:val="center"/>
          </w:tcPr>
          <w:p>
            <w:pPr>
              <w:keepNext w:val="0"/>
              <w:keepLines w:val="0"/>
              <w:widowControl/>
              <w:suppressLineNumbers w:val="0"/>
              <w:jc w:val="right"/>
              <w:textAlignment w:val="center"/>
              <w:rPr>
                <w:rFonts w:ascii="宋体" w:hAnsi="宋体" w:eastAsia="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81" w:type="dxa"/>
            <w:shd w:val="clear" w:color="auto" w:fill="C7DAF1"/>
            <w:noWrap/>
            <w:vAlign w:val="center"/>
          </w:tcPr>
          <w:p>
            <w:pPr>
              <w:widowControl/>
              <w:jc w:val="center"/>
              <w:textAlignment w:val="center"/>
              <w:rPr>
                <w:rFonts w:ascii="宋体" w:hAnsi="宋体" w:eastAsia="宋体" w:cs="宋体"/>
                <w:b/>
                <w:bCs/>
                <w:color w:val="auto"/>
                <w:kern w:val="0"/>
                <w:szCs w:val="21"/>
                <w:highlight w:val="none"/>
                <w:lang w:bidi="ar"/>
              </w:rPr>
            </w:pPr>
          </w:p>
        </w:tc>
        <w:tc>
          <w:tcPr>
            <w:tcW w:w="2460" w:type="dxa"/>
            <w:shd w:val="clear" w:color="auto" w:fill="C7DAF1"/>
            <w:vAlign w:val="center"/>
          </w:tcPr>
          <w:p>
            <w:pPr>
              <w:widowControl/>
              <w:jc w:val="center"/>
              <w:textAlignment w:val="center"/>
              <w:rPr>
                <w:rFonts w:ascii="宋体" w:hAnsi="宋体" w:eastAsia="宋体" w:cs="宋体"/>
                <w:b/>
                <w:bCs/>
                <w:color w:val="auto"/>
                <w:kern w:val="0"/>
                <w:szCs w:val="21"/>
                <w:highlight w:val="none"/>
                <w:lang w:bidi="ar"/>
              </w:rPr>
            </w:pPr>
            <w:r>
              <w:rPr>
                <w:rFonts w:hint="eastAsia" w:ascii="宋体" w:hAnsi="宋体" w:eastAsia="宋体" w:cs="宋体"/>
                <w:b/>
                <w:bCs/>
                <w:color w:val="auto"/>
                <w:kern w:val="0"/>
                <w:szCs w:val="21"/>
                <w:highlight w:val="none"/>
                <w:lang w:bidi="ar"/>
              </w:rPr>
              <w:t>合计</w:t>
            </w:r>
          </w:p>
        </w:tc>
        <w:tc>
          <w:tcPr>
            <w:tcW w:w="1066" w:type="dxa"/>
            <w:shd w:val="clear" w:color="auto" w:fill="C7DAF1"/>
            <w:vAlign w:val="center"/>
          </w:tcPr>
          <w:p>
            <w:pPr>
              <w:widowControl/>
              <w:jc w:val="right"/>
              <w:textAlignment w:val="center"/>
              <w:rPr>
                <w:rFonts w:ascii="宋体" w:hAnsi="宋体" w:eastAsia="宋体" w:cs="宋体"/>
                <w:b/>
                <w:bCs/>
                <w:color w:val="auto"/>
                <w:kern w:val="0"/>
                <w:szCs w:val="21"/>
                <w:highlight w:val="none"/>
                <w:lang w:bidi="ar"/>
              </w:rPr>
            </w:pPr>
            <w:r>
              <w:rPr>
                <w:rFonts w:hint="eastAsia" w:ascii="宋体" w:hAnsi="宋体" w:eastAsia="宋体" w:cs="宋体"/>
                <w:b/>
                <w:bCs/>
                <w:color w:val="auto"/>
                <w:kern w:val="0"/>
                <w:szCs w:val="21"/>
                <w:highlight w:val="none"/>
                <w:lang w:bidi="ar"/>
              </w:rPr>
              <w:t>5,000.00</w:t>
            </w:r>
          </w:p>
        </w:tc>
        <w:tc>
          <w:tcPr>
            <w:tcW w:w="932" w:type="dxa"/>
            <w:shd w:val="clear" w:color="auto" w:fill="C7DAF1"/>
            <w:noWrap/>
            <w:vAlign w:val="center"/>
          </w:tcPr>
          <w:p>
            <w:pPr>
              <w:widowControl/>
              <w:jc w:val="right"/>
              <w:textAlignment w:val="center"/>
              <w:rPr>
                <w:rFonts w:ascii="宋体" w:hAnsi="宋体" w:eastAsia="宋体" w:cs="宋体"/>
                <w:b/>
                <w:bCs/>
                <w:color w:val="auto"/>
                <w:kern w:val="0"/>
                <w:szCs w:val="21"/>
                <w:highlight w:val="none"/>
                <w:lang w:bidi="ar"/>
              </w:rPr>
            </w:pPr>
            <w:r>
              <w:rPr>
                <w:rFonts w:hint="eastAsia" w:ascii="宋体" w:hAnsi="宋体" w:eastAsia="宋体" w:cs="宋体"/>
                <w:b/>
                <w:bCs/>
                <w:color w:val="auto"/>
                <w:kern w:val="0"/>
                <w:szCs w:val="21"/>
                <w:highlight w:val="none"/>
                <w:lang w:bidi="ar"/>
              </w:rPr>
              <w:t>273.74</w:t>
            </w:r>
          </w:p>
        </w:tc>
        <w:tc>
          <w:tcPr>
            <w:tcW w:w="1114" w:type="dxa"/>
            <w:shd w:val="clear" w:color="auto" w:fill="C7DAF1"/>
            <w:noWrap/>
            <w:vAlign w:val="center"/>
          </w:tcPr>
          <w:p>
            <w:pPr>
              <w:widowControl/>
              <w:jc w:val="right"/>
              <w:textAlignment w:val="center"/>
              <w:rPr>
                <w:rFonts w:ascii="宋体" w:hAnsi="宋体" w:eastAsia="宋体" w:cs="宋体"/>
                <w:b/>
                <w:bCs/>
                <w:color w:val="auto"/>
                <w:kern w:val="0"/>
                <w:szCs w:val="21"/>
                <w:highlight w:val="none"/>
                <w:lang w:bidi="ar"/>
              </w:rPr>
            </w:pPr>
            <w:r>
              <w:rPr>
                <w:rFonts w:hint="eastAsia" w:ascii="宋体" w:hAnsi="宋体" w:eastAsia="宋体" w:cs="宋体"/>
                <w:b/>
                <w:bCs/>
                <w:color w:val="auto"/>
                <w:kern w:val="0"/>
                <w:szCs w:val="21"/>
                <w:highlight w:val="none"/>
                <w:lang w:bidi="ar"/>
              </w:rPr>
              <w:t>5,273.74</w:t>
            </w:r>
          </w:p>
        </w:tc>
        <w:tc>
          <w:tcPr>
            <w:tcW w:w="1108" w:type="dxa"/>
            <w:shd w:val="clear" w:color="auto" w:fill="C7DAF1"/>
            <w:noWrap/>
            <w:vAlign w:val="center"/>
          </w:tcPr>
          <w:p>
            <w:pPr>
              <w:widowControl/>
              <w:jc w:val="right"/>
              <w:textAlignment w:val="center"/>
              <w:rPr>
                <w:rFonts w:ascii="宋体" w:hAnsi="宋体" w:eastAsia="宋体" w:cs="宋体"/>
                <w:b/>
                <w:bCs/>
                <w:color w:val="auto"/>
                <w:kern w:val="0"/>
                <w:szCs w:val="21"/>
                <w:highlight w:val="none"/>
                <w:lang w:bidi="ar"/>
              </w:rPr>
            </w:pPr>
            <w:r>
              <w:rPr>
                <w:rFonts w:hint="eastAsia" w:ascii="宋体" w:hAnsi="宋体" w:eastAsia="宋体" w:cs="宋体"/>
                <w:b/>
                <w:bCs/>
                <w:color w:val="auto"/>
                <w:kern w:val="0"/>
                <w:szCs w:val="21"/>
                <w:highlight w:val="none"/>
                <w:lang w:bidi="ar"/>
              </w:rPr>
              <w:t>2,46</w:t>
            </w:r>
            <w:r>
              <w:rPr>
                <w:rFonts w:hint="eastAsia" w:ascii="宋体" w:hAnsi="宋体" w:eastAsia="宋体" w:cs="宋体"/>
                <w:b/>
                <w:bCs/>
                <w:color w:val="auto"/>
                <w:kern w:val="0"/>
                <w:szCs w:val="21"/>
                <w:highlight w:val="none"/>
                <w:lang w:val="en-US" w:eastAsia="zh-CN" w:bidi="ar"/>
              </w:rPr>
              <w:t>9</w:t>
            </w:r>
            <w:r>
              <w:rPr>
                <w:rFonts w:hint="eastAsia" w:ascii="宋体" w:hAnsi="宋体" w:eastAsia="宋体" w:cs="宋体"/>
                <w:b/>
                <w:bCs/>
                <w:color w:val="auto"/>
                <w:kern w:val="0"/>
                <w:szCs w:val="21"/>
                <w:highlight w:val="none"/>
                <w:lang w:bidi="ar"/>
              </w:rPr>
              <w:t>.45</w:t>
            </w:r>
          </w:p>
        </w:tc>
        <w:tc>
          <w:tcPr>
            <w:tcW w:w="992" w:type="dxa"/>
            <w:shd w:val="clear" w:color="auto" w:fill="C7DAF1"/>
            <w:noWrap/>
            <w:vAlign w:val="center"/>
          </w:tcPr>
          <w:p>
            <w:pPr>
              <w:widowControl/>
              <w:jc w:val="right"/>
              <w:textAlignment w:val="center"/>
              <w:rPr>
                <w:rFonts w:ascii="宋体" w:hAnsi="宋体" w:eastAsia="宋体" w:cs="宋体"/>
                <w:b/>
                <w:bCs/>
                <w:color w:val="auto"/>
                <w:kern w:val="0"/>
                <w:szCs w:val="21"/>
                <w:highlight w:val="none"/>
                <w:lang w:bidi="ar"/>
              </w:rPr>
            </w:pPr>
            <w:r>
              <w:rPr>
                <w:rFonts w:hint="eastAsia" w:ascii="宋体" w:hAnsi="宋体" w:eastAsia="宋体" w:cs="宋体"/>
                <w:b/>
                <w:bCs/>
                <w:color w:val="auto"/>
                <w:kern w:val="0"/>
                <w:szCs w:val="21"/>
                <w:highlight w:val="none"/>
                <w:lang w:bidi="ar"/>
              </w:rPr>
              <w:t>46.</w:t>
            </w:r>
            <w:r>
              <w:rPr>
                <w:rFonts w:hint="eastAsia" w:ascii="宋体" w:hAnsi="宋体" w:eastAsia="宋体" w:cs="宋体"/>
                <w:b/>
                <w:bCs/>
                <w:color w:val="auto"/>
                <w:kern w:val="0"/>
                <w:szCs w:val="21"/>
                <w:highlight w:val="none"/>
                <w:lang w:val="en-US" w:eastAsia="zh-CN" w:bidi="ar"/>
              </w:rPr>
              <w:t>83</w:t>
            </w:r>
            <w:r>
              <w:rPr>
                <w:rFonts w:hint="eastAsia" w:ascii="宋体" w:hAnsi="宋体" w:eastAsia="宋体" w:cs="宋体"/>
                <w:b/>
                <w:bCs/>
                <w:color w:val="auto"/>
                <w:kern w:val="0"/>
                <w:szCs w:val="21"/>
                <w:highlight w:val="none"/>
                <w:lang w:bidi="ar"/>
              </w:rPr>
              <w:t>%</w:t>
            </w:r>
          </w:p>
        </w:tc>
      </w:tr>
    </w:tbl>
    <w:p>
      <w:pPr>
        <w:pStyle w:val="2"/>
        <w:spacing w:line="560" w:lineRule="exact"/>
        <w:ind w:firstLine="643" w:firstLineChars="200"/>
        <w:outlineLvl w:val="1"/>
        <w:rPr>
          <w:rFonts w:ascii="楷体" w:hAnsi="楷体" w:eastAsia="楷体" w:cs="楷体"/>
          <w:b/>
          <w:bCs/>
          <w:highlight w:val="none"/>
        </w:rPr>
      </w:pPr>
      <w:bookmarkStart w:id="72" w:name="_Toc15106"/>
      <w:bookmarkStart w:id="73" w:name="_Toc3168"/>
      <w:bookmarkStart w:id="74" w:name="_Toc32586"/>
      <w:r>
        <w:rPr>
          <w:rFonts w:hint="eastAsia" w:ascii="楷体" w:hAnsi="楷体" w:eastAsia="楷体" w:cs="楷体"/>
          <w:b/>
          <w:bCs/>
          <w:highlight w:val="none"/>
        </w:rPr>
        <w:t>（三）项目计划内容及实施情况</w:t>
      </w:r>
      <w:bookmarkEnd w:id="72"/>
      <w:bookmarkEnd w:id="73"/>
      <w:bookmarkEnd w:id="74"/>
    </w:p>
    <w:p>
      <w:pPr>
        <w:pStyle w:val="2"/>
        <w:spacing w:line="560" w:lineRule="exact"/>
        <w:ind w:firstLine="643" w:firstLineChars="200"/>
        <w:outlineLvl w:val="2"/>
        <w:rPr>
          <w:rFonts w:ascii="仿宋_GB2312" w:hAnsi="仿宋_GB2312" w:cs="仿宋_GB2312"/>
          <w:b/>
          <w:bCs/>
          <w:color w:val="000000" w:themeColor="text1"/>
          <w:highlight w:val="none"/>
          <w14:textFill>
            <w14:solidFill>
              <w14:schemeClr w14:val="tx1"/>
            </w14:solidFill>
          </w14:textFill>
        </w:rPr>
      </w:pPr>
      <w:r>
        <w:rPr>
          <w:rFonts w:hint="eastAsia" w:ascii="仿宋_GB2312" w:hAnsi="仿宋_GB2312" w:cs="仿宋_GB2312"/>
          <w:b/>
          <w:bCs/>
          <w:color w:val="000000" w:themeColor="text1"/>
          <w:highlight w:val="none"/>
          <w14:textFill>
            <w14:solidFill>
              <w14:schemeClr w14:val="tx1"/>
            </w14:solidFill>
          </w14:textFill>
        </w:rPr>
        <w:t>1.项目计划内容</w:t>
      </w:r>
    </w:p>
    <w:p>
      <w:pPr>
        <w:pStyle w:val="2"/>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为保障全省法院综合审判法庭、人民法庭业务用房</w:t>
      </w:r>
      <w:r>
        <w:rPr>
          <w:rFonts w:hint="eastAsia" w:ascii="仿宋_GB2312" w:hAnsi="仿宋_GB2312" w:cs="仿宋_GB2312"/>
          <w:highlight w:val="none"/>
          <w:lang w:val="en-US" w:eastAsia="zh-CN"/>
        </w:rPr>
        <w:t>的</w:t>
      </w:r>
      <w:r>
        <w:rPr>
          <w:rFonts w:hint="eastAsia" w:ascii="仿宋_GB2312" w:hAnsi="仿宋_GB2312" w:cs="仿宋_GB2312"/>
          <w:highlight w:val="none"/>
        </w:rPr>
        <w:t>正常使用，2022年度拟对使用年限较长、设施设备老化、用房功能不全、存在安全隐患、无法满足工作基本需要的业务用房及基层人民法庭取暖设施设备进行维修改造。保障日常工作的正常开展，确保各级法院审判职能的有效发挥。</w:t>
      </w:r>
    </w:p>
    <w:p>
      <w:pPr>
        <w:pStyle w:val="2"/>
        <w:spacing w:line="560" w:lineRule="exact"/>
        <w:ind w:firstLine="643" w:firstLineChars="200"/>
        <w:outlineLvl w:val="2"/>
        <w:rPr>
          <w:rFonts w:ascii="仿宋_GB2312" w:hAnsi="仿宋_GB2312" w:cs="仿宋_GB2312"/>
          <w:b/>
          <w:bCs/>
          <w:color w:val="000000" w:themeColor="text1"/>
          <w:highlight w:val="none"/>
          <w14:textFill>
            <w14:solidFill>
              <w14:schemeClr w14:val="tx1"/>
            </w14:solidFill>
          </w14:textFill>
        </w:rPr>
      </w:pPr>
      <w:r>
        <w:rPr>
          <w:rFonts w:hint="eastAsia" w:ascii="仿宋_GB2312" w:hAnsi="仿宋_GB2312" w:cs="仿宋_GB2312"/>
          <w:b/>
          <w:bCs/>
          <w:color w:val="000000" w:themeColor="text1"/>
          <w:highlight w:val="none"/>
          <w14:textFill>
            <w14:solidFill>
              <w14:schemeClr w14:val="tx1"/>
            </w14:solidFill>
          </w14:textFill>
        </w:rPr>
        <w:t>2.项目实施情况</w:t>
      </w:r>
    </w:p>
    <w:p>
      <w:pPr>
        <w:pStyle w:val="2"/>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全省法院人民法庭维修经费下达后，各项目实施</w:t>
      </w:r>
      <w:r>
        <w:rPr>
          <w:rFonts w:hint="eastAsia" w:ascii="仿宋_GB2312" w:hAnsi="仿宋_GB2312" w:cs="仿宋_GB2312"/>
          <w:highlight w:val="none"/>
          <w:lang w:val="en-US" w:eastAsia="zh-CN"/>
        </w:rPr>
        <w:t>法院</w:t>
      </w:r>
      <w:r>
        <w:rPr>
          <w:rFonts w:hint="eastAsia" w:ascii="仿宋_GB2312" w:hAnsi="仿宋_GB2312" w:cs="仿宋_GB2312"/>
          <w:highlight w:val="none"/>
        </w:rPr>
        <w:t>及时开展人民法庭维修改造工作。本年度共批复实施全省法院人民法庭维修经费项目</w:t>
      </w:r>
      <w:r>
        <w:rPr>
          <w:rFonts w:hint="eastAsia" w:ascii="仿宋_GB2312" w:hAnsi="仿宋_GB2312" w:cs="仿宋_GB2312"/>
          <w:highlight w:val="none"/>
          <w:lang w:val="en-US" w:eastAsia="zh-CN"/>
        </w:rPr>
        <w:t>79</w:t>
      </w:r>
      <w:r>
        <w:rPr>
          <w:rFonts w:hint="eastAsia" w:ascii="仿宋_GB2312" w:hAnsi="仿宋_GB2312" w:cs="仿宋_GB2312"/>
          <w:highlight w:val="none"/>
        </w:rPr>
        <w:t>个，其中基层</w:t>
      </w:r>
      <w:r>
        <w:rPr>
          <w:rFonts w:hint="eastAsia" w:ascii="仿宋_GB2312" w:hAnsi="仿宋_GB2312" w:cs="仿宋_GB2312"/>
          <w:highlight w:val="none"/>
          <w:lang w:val="en-US" w:eastAsia="zh-CN"/>
        </w:rPr>
        <w:t>人民</w:t>
      </w:r>
      <w:r>
        <w:rPr>
          <w:rFonts w:hint="eastAsia" w:ascii="仿宋_GB2312" w:hAnsi="仿宋_GB2312" w:cs="仿宋_GB2312"/>
          <w:highlight w:val="none"/>
        </w:rPr>
        <w:t>法庭取暖项目5</w:t>
      </w:r>
      <w:r>
        <w:rPr>
          <w:rFonts w:hint="eastAsia" w:ascii="仿宋_GB2312" w:hAnsi="仿宋_GB2312" w:cs="仿宋_GB2312"/>
          <w:highlight w:val="none"/>
          <w:lang w:val="en-US" w:eastAsia="zh-CN"/>
        </w:rPr>
        <w:t>7</w:t>
      </w:r>
      <w:r>
        <w:rPr>
          <w:rFonts w:hint="eastAsia" w:ascii="仿宋_GB2312" w:hAnsi="仿宋_GB2312" w:cs="仿宋_GB2312"/>
          <w:highlight w:val="none"/>
        </w:rPr>
        <w:t>个，截止评价基准日，共36个法庭取暖项目已完工并通过验收，9个法庭取暖项目完工待验收，11个法庭取暖项目尚未完工，1个法庭未达到取暖条件未开工。全省法院人民法庭维修项目2</w:t>
      </w:r>
      <w:r>
        <w:rPr>
          <w:rFonts w:hint="eastAsia" w:ascii="仿宋_GB2312" w:hAnsi="仿宋_GB2312" w:cs="仿宋_GB2312"/>
          <w:highlight w:val="none"/>
          <w:lang w:val="en-US" w:eastAsia="zh-CN"/>
        </w:rPr>
        <w:t>2</w:t>
      </w:r>
      <w:r>
        <w:rPr>
          <w:rFonts w:hint="eastAsia" w:ascii="仿宋_GB2312" w:hAnsi="仿宋_GB2312" w:cs="仿宋_GB2312"/>
          <w:highlight w:val="none"/>
        </w:rPr>
        <w:t>个，共8个项目已完工并通过验收，2个项目完工待验收，10个项目尚未完工，2个项目年底未开工。</w:t>
      </w:r>
      <w:bookmarkStart w:id="75" w:name="_Toc4490"/>
      <w:bookmarkStart w:id="76" w:name="_Toc25356"/>
    </w:p>
    <w:p>
      <w:pPr>
        <w:pStyle w:val="2"/>
        <w:spacing w:line="560" w:lineRule="exact"/>
        <w:ind w:firstLine="643" w:firstLineChars="200"/>
        <w:rPr>
          <w:rFonts w:ascii="楷体" w:hAnsi="楷体" w:eastAsia="楷体" w:cs="楷体"/>
          <w:b/>
          <w:bCs/>
          <w:highlight w:val="none"/>
        </w:rPr>
      </w:pPr>
      <w:r>
        <w:rPr>
          <w:rFonts w:hint="eastAsia" w:ascii="楷体" w:hAnsi="楷体" w:eastAsia="楷体" w:cs="楷体"/>
          <w:b/>
          <w:bCs/>
          <w:highlight w:val="none"/>
        </w:rPr>
        <w:t>（四）项目组织管理</w:t>
      </w:r>
      <w:bookmarkEnd w:id="75"/>
      <w:bookmarkEnd w:id="76"/>
    </w:p>
    <w:p>
      <w:pPr>
        <w:pStyle w:val="2"/>
        <w:spacing w:line="560" w:lineRule="exact"/>
        <w:ind w:firstLine="643" w:firstLineChars="200"/>
        <w:outlineLvl w:val="2"/>
        <w:rPr>
          <w:rFonts w:ascii="仿宋_GB2312" w:hAnsi="仿宋_GB2312" w:cs="仿宋_GB2312"/>
          <w:b/>
          <w:bCs/>
          <w:color w:val="000000" w:themeColor="text1"/>
          <w:highlight w:val="none"/>
          <w14:textFill>
            <w14:solidFill>
              <w14:schemeClr w14:val="tx1"/>
            </w14:solidFill>
          </w14:textFill>
        </w:rPr>
      </w:pPr>
      <w:r>
        <w:rPr>
          <w:rFonts w:hint="eastAsia" w:ascii="仿宋_GB2312" w:hAnsi="仿宋_GB2312" w:cs="仿宋_GB2312"/>
          <w:b/>
          <w:bCs/>
          <w:color w:val="000000" w:themeColor="text1"/>
          <w:highlight w:val="none"/>
          <w14:textFill>
            <w14:solidFill>
              <w14:schemeClr w14:val="tx1"/>
            </w14:solidFill>
          </w14:textFill>
        </w:rPr>
        <w:t>1.项目组织情况</w:t>
      </w:r>
    </w:p>
    <w:p>
      <w:pPr>
        <w:pStyle w:val="2"/>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预算资金拨付单位：甘肃省财政厅是项目预算资金的拨付单位，负责项目预算的审核</w:t>
      </w:r>
      <w:r>
        <w:rPr>
          <w:rFonts w:hint="eastAsia" w:ascii="仿宋_GB2312" w:hAnsi="仿宋_GB2312" w:cs="仿宋_GB2312"/>
          <w:highlight w:val="none"/>
          <w:lang w:eastAsia="zh-CN"/>
        </w:rPr>
        <w:t>、</w:t>
      </w:r>
      <w:r>
        <w:rPr>
          <w:rFonts w:hint="eastAsia" w:ascii="仿宋_GB2312" w:hAnsi="仿宋_GB2312" w:cs="仿宋_GB2312"/>
          <w:highlight w:val="none"/>
        </w:rPr>
        <w:t>批复，保证全省法院人民法庭维修经费及时、足额拨付到位。</w:t>
      </w:r>
    </w:p>
    <w:p>
      <w:pPr>
        <w:pStyle w:val="2"/>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项目主管部门：省法院是项目的主管部门，负责开展监督管理和绩效考评等工作，并对资金分配和使用的全过程进行监督、检查、评估、考核及奖惩，保证资金有效使用等。</w:t>
      </w:r>
    </w:p>
    <w:p>
      <w:pPr>
        <w:pStyle w:val="2"/>
        <w:spacing w:line="560" w:lineRule="exact"/>
        <w:ind w:firstLine="640" w:firstLineChars="200"/>
        <w:rPr>
          <w:rFonts w:ascii="仿宋_GB2312" w:hAnsi="仿宋_GB2312" w:cs="仿宋_GB2312"/>
          <w:highlight w:val="none"/>
        </w:rPr>
      </w:pPr>
      <w:r>
        <w:rPr>
          <w:rFonts w:hint="eastAsia" w:ascii="仿宋_GB2312" w:hAnsi="仿宋_GB2312" w:cs="仿宋_GB2312"/>
          <w:color w:val="000000" w:themeColor="text1"/>
          <w:highlight w:val="none"/>
          <w14:textFill>
            <w14:solidFill>
              <w14:schemeClr w14:val="tx1"/>
            </w14:solidFill>
          </w14:textFill>
        </w:rPr>
        <w:t>项目组</w:t>
      </w:r>
      <w:r>
        <w:rPr>
          <w:rFonts w:hint="eastAsia" w:ascii="仿宋_GB2312" w:hAnsi="仿宋_GB2312" w:cs="仿宋_GB2312"/>
          <w:highlight w:val="none"/>
        </w:rPr>
        <w:t>织实施部门</w:t>
      </w:r>
      <w:r>
        <w:rPr>
          <w:rFonts w:hint="eastAsia" w:ascii="仿宋_GB2312" w:hAnsi="仿宋_GB2312" w:cs="仿宋_GB2312"/>
          <w:highlight w:val="none"/>
          <w:lang w:eastAsia="zh-CN"/>
        </w:rPr>
        <w:t>：</w:t>
      </w:r>
      <w:r>
        <w:rPr>
          <w:rFonts w:hint="eastAsia" w:ascii="仿宋_GB2312" w:hAnsi="仿宋_GB2312" w:cs="仿宋_GB2312"/>
          <w:highlight w:val="none"/>
          <w:lang w:val="en-US" w:eastAsia="zh-CN"/>
        </w:rPr>
        <w:t>各项目实施法院为</w:t>
      </w:r>
      <w:r>
        <w:rPr>
          <w:rFonts w:hint="eastAsia" w:ascii="仿宋_GB2312" w:hAnsi="仿宋_GB2312" w:cs="仿宋_GB2312"/>
          <w:color w:val="000000" w:themeColor="text1"/>
          <w:highlight w:val="none"/>
          <w14:textFill>
            <w14:solidFill>
              <w14:schemeClr w14:val="tx1"/>
            </w14:solidFill>
          </w14:textFill>
        </w:rPr>
        <w:t>项目组</w:t>
      </w:r>
      <w:r>
        <w:rPr>
          <w:rFonts w:hint="eastAsia" w:ascii="仿宋_GB2312" w:hAnsi="仿宋_GB2312" w:cs="仿宋_GB2312"/>
          <w:highlight w:val="none"/>
        </w:rPr>
        <w:t>织实施部门</w:t>
      </w:r>
      <w:r>
        <w:rPr>
          <w:rFonts w:hint="eastAsia" w:ascii="仿宋_GB2312" w:hAnsi="仿宋_GB2312" w:cs="仿宋_GB2312"/>
          <w:highlight w:val="none"/>
          <w:lang w:eastAsia="zh-CN"/>
        </w:rPr>
        <w:t>，</w:t>
      </w:r>
      <w:r>
        <w:rPr>
          <w:rFonts w:hint="eastAsia" w:ascii="仿宋_GB2312" w:hAnsi="仿宋_GB2312" w:cs="仿宋_GB2312"/>
          <w:highlight w:val="none"/>
        </w:rPr>
        <w:t>负责本项目的经费申报、预算执行及管理、组织实施以及相应的项目经费支出等工作。</w:t>
      </w:r>
    </w:p>
    <w:p>
      <w:pPr>
        <w:pStyle w:val="2"/>
        <w:spacing w:line="560" w:lineRule="exact"/>
        <w:ind w:firstLine="643" w:firstLineChars="200"/>
        <w:outlineLvl w:val="2"/>
        <w:rPr>
          <w:rFonts w:ascii="仿宋_GB2312" w:hAnsi="仿宋_GB2312" w:cs="仿宋_GB2312"/>
          <w:b/>
          <w:bCs/>
          <w:color w:val="000000" w:themeColor="text1"/>
          <w:highlight w:val="none"/>
          <w14:textFill>
            <w14:solidFill>
              <w14:schemeClr w14:val="tx1"/>
            </w14:solidFill>
          </w14:textFill>
        </w:rPr>
      </w:pPr>
      <w:r>
        <w:rPr>
          <w:rFonts w:hint="eastAsia" w:ascii="仿宋_GB2312" w:hAnsi="仿宋_GB2312" w:cs="仿宋_GB2312"/>
          <w:b/>
          <w:bCs/>
          <w:color w:val="000000" w:themeColor="text1"/>
          <w:highlight w:val="none"/>
          <w14:textFill>
            <w14:solidFill>
              <w14:schemeClr w14:val="tx1"/>
            </w14:solidFill>
          </w14:textFill>
        </w:rPr>
        <w:t>2.项目管理情况</w:t>
      </w:r>
    </w:p>
    <w:p>
      <w:pPr>
        <w:pStyle w:val="2"/>
        <w:spacing w:line="560" w:lineRule="exact"/>
        <w:ind w:firstLine="640" w:firstLineChars="200"/>
        <w:rPr>
          <w:rFonts w:ascii="仿宋_GB2312" w:hAnsi="仿宋_GB2312" w:cs="仿宋_GB2312"/>
          <w:highlight w:val="none"/>
        </w:rPr>
      </w:pPr>
      <w:r>
        <w:rPr>
          <w:rFonts w:ascii="仿宋_GB2312" w:hAnsi="仿宋_GB2312" w:cs="仿宋_GB2312"/>
          <w:color w:val="auto"/>
          <w:highlight w:val="none"/>
        </w:rPr>
        <w:t>全省法院</w:t>
      </w:r>
      <w:r>
        <w:rPr>
          <w:rFonts w:ascii="仿宋_GB2312" w:hAnsi="仿宋_GB2312" w:cs="仿宋_GB2312"/>
          <w:highlight w:val="none"/>
        </w:rPr>
        <w:t>人民法庭维修经费项目的实施大体分为制定年度工作计划、项目执行和资金支付三个阶段。</w:t>
      </w:r>
    </w:p>
    <w:p>
      <w:pPr>
        <w:pStyle w:val="2"/>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（1）</w:t>
      </w:r>
      <w:r>
        <w:rPr>
          <w:rFonts w:ascii="仿宋_GB2312" w:hAnsi="仿宋_GB2312" w:cs="仿宋_GB2312"/>
          <w:highlight w:val="none"/>
        </w:rPr>
        <w:t>制定年度工作计划。</w:t>
      </w:r>
      <w:r>
        <w:rPr>
          <w:rFonts w:hint="eastAsia" w:ascii="仿宋_GB2312" w:hAnsi="仿宋_GB2312" w:cs="仿宋_GB2312"/>
          <w:highlight w:val="none"/>
        </w:rPr>
        <w:t>省法院</w:t>
      </w:r>
      <w:r>
        <w:rPr>
          <w:rFonts w:ascii="仿宋_GB2312" w:hAnsi="仿宋_GB2312" w:cs="仿宋_GB2312"/>
          <w:highlight w:val="none"/>
        </w:rPr>
        <w:t>制定年度工作计划，编制项目预算和绩效目标。在编制下一年度项目预算之前，</w:t>
      </w:r>
      <w:r>
        <w:rPr>
          <w:rFonts w:hint="eastAsia" w:ascii="仿宋_GB2312" w:hAnsi="仿宋_GB2312" w:cs="仿宋_GB2312"/>
          <w:highlight w:val="none"/>
        </w:rPr>
        <w:t>项目实施法院</w:t>
      </w:r>
      <w:r>
        <w:rPr>
          <w:rFonts w:ascii="仿宋_GB2312" w:hAnsi="仿宋_GB2312" w:cs="仿宋_GB2312"/>
          <w:highlight w:val="none"/>
        </w:rPr>
        <w:t>首先制定下一年度的</w:t>
      </w:r>
      <w:r>
        <w:rPr>
          <w:rFonts w:hint="eastAsia" w:ascii="仿宋_GB2312" w:hAnsi="仿宋_GB2312" w:cs="仿宋_GB2312"/>
          <w:highlight w:val="none"/>
        </w:rPr>
        <w:t>人民法庭维修</w:t>
      </w:r>
      <w:r>
        <w:rPr>
          <w:rFonts w:ascii="仿宋_GB2312" w:hAnsi="仿宋_GB2312" w:cs="仿宋_GB2312"/>
          <w:highlight w:val="none"/>
        </w:rPr>
        <w:t>相关工作及相应的资金使用计划，在初步明确下一年度工作计划和资金使用计划的基础上，依据工作计划和资金使用计划、上级有关年度预算编制要求以及往年项目预算和经费支出情况合理测算和编制项目经费预算和绩效目标，上报</w:t>
      </w:r>
      <w:r>
        <w:rPr>
          <w:rFonts w:hint="eastAsia" w:ascii="仿宋_GB2312" w:hAnsi="仿宋_GB2312" w:cs="仿宋_GB2312"/>
          <w:highlight w:val="none"/>
        </w:rPr>
        <w:t>省法院</w:t>
      </w:r>
      <w:r>
        <w:rPr>
          <w:rFonts w:ascii="仿宋_GB2312" w:hAnsi="仿宋_GB2312" w:cs="仿宋_GB2312"/>
          <w:highlight w:val="none"/>
        </w:rPr>
        <w:t>，经审核通过后报省财政厅审批，省财政厅按规定程序批复下达项目预算</w:t>
      </w:r>
      <w:r>
        <w:rPr>
          <w:rFonts w:hint="eastAsia" w:ascii="仿宋_GB2312" w:hAnsi="仿宋_GB2312" w:cs="仿宋_GB2312"/>
          <w:highlight w:val="none"/>
        </w:rPr>
        <w:t>。</w:t>
      </w:r>
    </w:p>
    <w:p>
      <w:pPr>
        <w:pStyle w:val="2"/>
        <w:spacing w:line="560" w:lineRule="exact"/>
        <w:ind w:firstLine="640" w:firstLineChars="200"/>
        <w:rPr>
          <w:rFonts w:hint="eastAsia" w:ascii="仿宋_GB2312" w:hAnsi="仿宋_GB2312" w:eastAsia="仿宋_GB2312" w:cs="仿宋_GB2312"/>
          <w:highlight w:val="none"/>
          <w:lang w:eastAsia="zh-CN"/>
        </w:rPr>
      </w:pPr>
      <w:r>
        <w:rPr>
          <w:rFonts w:hint="eastAsia" w:ascii="仿宋_GB2312" w:hAnsi="仿宋_GB2312" w:cs="仿宋_GB2312"/>
          <w:highlight w:val="none"/>
        </w:rPr>
        <w:t>（2）</w:t>
      </w:r>
      <w:r>
        <w:rPr>
          <w:rFonts w:ascii="仿宋_GB2312" w:hAnsi="仿宋_GB2312" w:cs="仿宋_GB2312"/>
          <w:highlight w:val="none"/>
        </w:rPr>
        <w:t>项目执行。项目预算和绩效目标批复下达以后，</w:t>
      </w:r>
      <w:r>
        <w:rPr>
          <w:rFonts w:hint="eastAsia" w:ascii="仿宋_GB2312" w:hAnsi="仿宋_GB2312" w:cs="仿宋_GB2312"/>
          <w:highlight w:val="none"/>
        </w:rPr>
        <w:t>项目实施</w:t>
      </w:r>
      <w:r>
        <w:rPr>
          <w:rFonts w:hint="eastAsia" w:ascii="仿宋_GB2312" w:hAnsi="仿宋_GB2312" w:cs="仿宋_GB2312"/>
          <w:highlight w:val="none"/>
          <w:lang w:val="en-US" w:eastAsia="zh-CN"/>
        </w:rPr>
        <w:t>法院</w:t>
      </w:r>
      <w:r>
        <w:rPr>
          <w:rFonts w:ascii="仿宋_GB2312" w:hAnsi="仿宋_GB2312" w:cs="仿宋_GB2312"/>
          <w:highlight w:val="none"/>
        </w:rPr>
        <w:t>按照工作计划、项目预算以及绩效目标组织开展</w:t>
      </w:r>
      <w:r>
        <w:rPr>
          <w:rFonts w:hint="eastAsia" w:ascii="仿宋_GB2312" w:hAnsi="仿宋_GB2312" w:cs="仿宋_GB2312"/>
          <w:highlight w:val="none"/>
        </w:rPr>
        <w:t>人民法庭维修工作</w:t>
      </w:r>
      <w:r>
        <w:rPr>
          <w:rFonts w:ascii="仿宋_GB2312" w:hAnsi="仿宋_GB2312" w:cs="仿宋_GB2312"/>
          <w:highlight w:val="none"/>
        </w:rPr>
        <w:t>，完成年初制定的工作计划</w:t>
      </w:r>
      <w:r>
        <w:rPr>
          <w:rFonts w:hint="eastAsia" w:ascii="仿宋_GB2312" w:hAnsi="仿宋_GB2312" w:cs="仿宋_GB2312"/>
          <w:highlight w:val="none"/>
          <w:lang w:eastAsia="zh-CN"/>
        </w:rPr>
        <w:t>。</w:t>
      </w:r>
    </w:p>
    <w:p>
      <w:pPr>
        <w:pStyle w:val="2"/>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（3）</w:t>
      </w:r>
      <w:r>
        <w:rPr>
          <w:rFonts w:ascii="仿宋_GB2312" w:hAnsi="仿宋_GB2312" w:cs="仿宋_GB2312"/>
          <w:highlight w:val="none"/>
        </w:rPr>
        <w:t>资金支付。在组织正常开展</w:t>
      </w:r>
      <w:r>
        <w:rPr>
          <w:rFonts w:hint="eastAsia" w:ascii="仿宋_GB2312" w:hAnsi="仿宋_GB2312" w:cs="仿宋_GB2312"/>
          <w:highlight w:val="none"/>
        </w:rPr>
        <w:t>项目</w:t>
      </w:r>
      <w:r>
        <w:rPr>
          <w:rFonts w:ascii="仿宋_GB2312" w:hAnsi="仿宋_GB2312" w:cs="仿宋_GB2312"/>
          <w:highlight w:val="none"/>
        </w:rPr>
        <w:t>实施工作的基础上，严格按照项目预算、内部管理制度流程以及项目进度要求完成项目经费支付以及相应的会计核算工作</w:t>
      </w:r>
      <w:r>
        <w:rPr>
          <w:rFonts w:hint="eastAsia" w:ascii="仿宋_GB2312" w:hAnsi="仿宋_GB2312" w:cs="仿宋_GB2312"/>
          <w:highlight w:val="none"/>
        </w:rPr>
        <w:t>。</w:t>
      </w:r>
    </w:p>
    <w:p>
      <w:pPr>
        <w:pStyle w:val="2"/>
        <w:spacing w:line="560" w:lineRule="exact"/>
        <w:ind w:firstLine="643" w:firstLineChars="200"/>
        <w:outlineLvl w:val="2"/>
        <w:rPr>
          <w:rFonts w:ascii="仿宋_GB2312" w:hAnsi="仿宋_GB2312" w:cs="仿宋_GB2312"/>
          <w:b/>
          <w:bCs/>
          <w:color w:val="000000" w:themeColor="text1"/>
          <w:highlight w:val="none"/>
          <w14:textFill>
            <w14:solidFill>
              <w14:schemeClr w14:val="tx1"/>
            </w14:solidFill>
          </w14:textFill>
        </w:rPr>
      </w:pPr>
      <w:r>
        <w:rPr>
          <w:rFonts w:hint="eastAsia" w:ascii="仿宋_GB2312" w:hAnsi="仿宋_GB2312" w:cs="仿宋_GB2312"/>
          <w:b/>
          <w:bCs/>
          <w:color w:val="000000" w:themeColor="text1"/>
          <w:highlight w:val="none"/>
          <w14:textFill>
            <w14:solidFill>
              <w14:schemeClr w14:val="tx1"/>
            </w14:solidFill>
          </w14:textFill>
        </w:rPr>
        <w:t>3.财务管理情况</w:t>
      </w:r>
    </w:p>
    <w:p>
      <w:pPr>
        <w:pStyle w:val="2"/>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《甘肃省法院系统财务统管制度汇编》明确了资金的使用方向、方式和监督管理，从制度上确保专项资金的安全、高效、精准使用，基本原则是执行国家有关法律、法规和财务规章制度遵守</w:t>
      </w:r>
      <w:r>
        <w:rPr>
          <w:rFonts w:hint="eastAsia" w:ascii="仿宋_GB2312" w:hAnsi="仿宋_GB2312" w:cs="仿宋_GB2312"/>
          <w:highlight w:val="none"/>
          <w:lang w:val="en-US" w:eastAsia="zh-CN"/>
        </w:rPr>
        <w:t>政府</w:t>
      </w:r>
      <w:r>
        <w:rPr>
          <w:rFonts w:hint="eastAsia" w:ascii="仿宋_GB2312" w:hAnsi="仿宋_GB2312" w:cs="仿宋_GB2312"/>
          <w:highlight w:val="none"/>
        </w:rPr>
        <w:t>会计准则，厉行节约</w:t>
      </w:r>
      <w:r>
        <w:rPr>
          <w:rFonts w:hint="eastAsia" w:ascii="仿宋_GB2312" w:hAnsi="仿宋_GB2312" w:cs="仿宋_GB2312"/>
          <w:highlight w:val="none"/>
          <w:lang w:eastAsia="zh-CN"/>
        </w:rPr>
        <w:t>，</w:t>
      </w:r>
      <w:r>
        <w:rPr>
          <w:rFonts w:hint="eastAsia" w:ascii="仿宋_GB2312" w:hAnsi="仿宋_GB2312" w:cs="仿宋_GB2312"/>
          <w:highlight w:val="none"/>
        </w:rPr>
        <w:t>量入为出</w:t>
      </w:r>
      <w:r>
        <w:rPr>
          <w:rFonts w:hint="eastAsia" w:ascii="仿宋_GB2312" w:hAnsi="仿宋_GB2312" w:cs="仿宋_GB2312"/>
          <w:highlight w:val="none"/>
          <w:lang w:eastAsia="zh-CN"/>
        </w:rPr>
        <w:t>，</w:t>
      </w:r>
      <w:r>
        <w:rPr>
          <w:rFonts w:hint="eastAsia" w:ascii="仿宋_GB2312" w:hAnsi="仿宋_GB2312" w:cs="仿宋_GB2312"/>
          <w:highlight w:val="none"/>
        </w:rPr>
        <w:t>保证重点</w:t>
      </w:r>
      <w:r>
        <w:rPr>
          <w:rFonts w:hint="eastAsia" w:ascii="仿宋_GB2312" w:hAnsi="仿宋_GB2312" w:cs="仿宋_GB2312"/>
          <w:highlight w:val="none"/>
          <w:lang w:eastAsia="zh-CN"/>
        </w:rPr>
        <w:t>，</w:t>
      </w:r>
      <w:r>
        <w:rPr>
          <w:rFonts w:hint="eastAsia" w:ascii="仿宋_GB2312" w:hAnsi="仿宋_GB2312" w:cs="仿宋_GB2312"/>
          <w:highlight w:val="none"/>
        </w:rPr>
        <w:t>兼顾一般为中心，充分发挥资金的使用效益。资金拨付流程如图所示</w:t>
      </w:r>
      <w:r>
        <w:rPr>
          <w:rFonts w:hint="eastAsia" w:ascii="仿宋_GB2312" w:hAnsi="仿宋_GB2312" w:cs="仿宋_GB2312"/>
          <w:highlight w:val="none"/>
          <w:lang w:eastAsia="zh-CN"/>
        </w:rPr>
        <w:t>：</w:t>
      </w:r>
    </w:p>
    <w:p>
      <w:pPr>
        <w:pStyle w:val="2"/>
        <w:spacing w:line="560" w:lineRule="exact"/>
        <w:ind w:firstLine="640" w:firstLineChars="200"/>
        <w:outlineLvl w:val="0"/>
        <w:rPr>
          <w:rFonts w:ascii="黑体" w:eastAsia="黑体"/>
          <w:highlight w:val="none"/>
        </w:rPr>
      </w:pPr>
      <w:bookmarkStart w:id="77" w:name="_Toc30175"/>
      <w:bookmarkStart w:id="78" w:name="_Toc319"/>
      <w:bookmarkStart w:id="79" w:name="_Toc29508"/>
      <w:r>
        <w:rPr>
          <w:rFonts w:hint="eastAsia" w:ascii="黑体" w:eastAsia="黑体"/>
          <w:highlight w:val="none"/>
          <w:lang w:eastAsia="zh-CN"/>
        </w:rPr>
        <w:drawing>
          <wp:anchor distT="0" distB="0" distL="114300" distR="114300" simplePos="0" relativeHeight="251666432" behindDoc="0" locked="0" layoutInCell="1" allowOverlap="1">
            <wp:simplePos x="0" y="0"/>
            <wp:positionH relativeFrom="column">
              <wp:posOffset>182880</wp:posOffset>
            </wp:positionH>
            <wp:positionV relativeFrom="paragraph">
              <wp:posOffset>184785</wp:posOffset>
            </wp:positionV>
            <wp:extent cx="5109845" cy="2800985"/>
            <wp:effectExtent l="0" t="0" r="10795" b="3175"/>
            <wp:wrapTopAndBottom/>
            <wp:docPr id="12" name="图片 12" descr="04c1571821a6ed6c8984c2439128f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04c1571821a6ed6c8984c2439128f2b"/>
                    <pic:cNvPicPr>
                      <a:picLocks noChangeAspect="1"/>
                    </pic:cNvPicPr>
                  </pic:nvPicPr>
                  <pic:blipFill>
                    <a:blip r:embed="rId8"/>
                    <a:stretch>
                      <a:fillRect/>
                    </a:stretch>
                  </pic:blipFill>
                  <pic:spPr>
                    <a:xfrm>
                      <a:off x="0" y="0"/>
                      <a:ext cx="5109845" cy="2800985"/>
                    </a:xfrm>
                    <a:prstGeom prst="rect">
                      <a:avLst/>
                    </a:prstGeom>
                  </pic:spPr>
                </pic:pic>
              </a:graphicData>
            </a:graphic>
          </wp:anchor>
        </w:drawing>
      </w:r>
      <w:r>
        <w:rPr>
          <w:rFonts w:hint="eastAsia" w:ascii="黑体" w:eastAsia="黑体"/>
          <w:highlight w:val="none"/>
        </w:rPr>
        <w:t>二、项目绩效目标</w:t>
      </w:r>
      <w:bookmarkEnd w:id="77"/>
      <w:bookmarkEnd w:id="78"/>
      <w:bookmarkEnd w:id="79"/>
    </w:p>
    <w:p>
      <w:pPr>
        <w:pStyle w:val="2"/>
        <w:spacing w:line="560" w:lineRule="exact"/>
        <w:ind w:firstLine="643" w:firstLineChars="200"/>
        <w:outlineLvl w:val="1"/>
        <w:rPr>
          <w:rFonts w:ascii="楷体" w:hAnsi="楷体" w:eastAsia="楷体" w:cs="楷体"/>
          <w:b/>
          <w:bCs/>
          <w:highlight w:val="none"/>
        </w:rPr>
      </w:pPr>
      <w:bookmarkStart w:id="80" w:name="_Toc28960"/>
      <w:bookmarkStart w:id="81" w:name="_Toc28577"/>
      <w:bookmarkStart w:id="82" w:name="_Toc21140"/>
      <w:r>
        <w:rPr>
          <w:rFonts w:hint="eastAsia" w:ascii="楷体" w:hAnsi="楷体" w:eastAsia="楷体" w:cs="楷体"/>
          <w:b/>
          <w:bCs/>
          <w:highlight w:val="none"/>
        </w:rPr>
        <w:t>（一）总体目标</w:t>
      </w:r>
      <w:bookmarkEnd w:id="80"/>
      <w:bookmarkEnd w:id="81"/>
      <w:bookmarkEnd w:id="82"/>
    </w:p>
    <w:p>
      <w:pPr>
        <w:pStyle w:val="2"/>
        <w:spacing w:line="560" w:lineRule="exact"/>
        <w:ind w:firstLine="640" w:firstLineChars="200"/>
        <w:rPr>
          <w:rFonts w:hint="eastAsia" w:ascii="仿宋_GB2312" w:hAnsi="仿宋_GB2312" w:eastAsia="仿宋_GB2312" w:cs="仿宋_GB2312"/>
          <w:highlight w:val="yellow"/>
          <w:lang w:eastAsia="zh-CN"/>
        </w:rPr>
      </w:pPr>
      <w:r>
        <w:rPr>
          <w:rFonts w:hint="eastAsia" w:ascii="仿宋_GB2312" w:hAnsi="仿宋_GB2312" w:cs="仿宋_GB2312"/>
          <w:highlight w:val="none"/>
        </w:rPr>
        <w:t>全省法院综合审判法庭、人民法庭业务用房因使用年限较长、设施设备老化、用房功能不全、存在安全隐患、无法满足工作基本需要的进行维修改造，确保基层人民法庭审判、执行工作的正常运转，充分发挥人民法庭的职能作用，保证基层人民法庭审判工作人员的正常工作，为人民群众到基层人民法庭解决诉讼争议，创造良好的环境。为解决基层人民法庭取暖困难问题，实施基层人民法庭取暖工程</w:t>
      </w:r>
      <w:r>
        <w:rPr>
          <w:rFonts w:hint="eastAsia" w:ascii="仿宋_GB2312" w:hAnsi="仿宋_GB2312" w:cs="仿宋_GB2312"/>
          <w:highlight w:val="none"/>
          <w:lang w:eastAsia="zh-CN"/>
        </w:rPr>
        <w:t>。</w:t>
      </w:r>
    </w:p>
    <w:p>
      <w:pPr>
        <w:pStyle w:val="2"/>
        <w:spacing w:line="560" w:lineRule="exact"/>
        <w:ind w:firstLine="643" w:firstLineChars="200"/>
        <w:outlineLvl w:val="1"/>
        <w:rPr>
          <w:rFonts w:ascii="楷体" w:hAnsi="楷体" w:eastAsia="楷体" w:cs="楷体"/>
          <w:b/>
          <w:bCs/>
          <w:highlight w:val="none"/>
        </w:rPr>
      </w:pPr>
      <w:bookmarkStart w:id="83" w:name="_Toc32085"/>
      <w:bookmarkStart w:id="84" w:name="_Toc28559"/>
      <w:bookmarkStart w:id="85" w:name="_Toc26047"/>
      <w:r>
        <w:rPr>
          <w:rFonts w:hint="eastAsia" w:ascii="楷体" w:hAnsi="楷体" w:eastAsia="楷体" w:cs="楷体"/>
          <w:b/>
          <w:bCs/>
          <w:highlight w:val="none"/>
        </w:rPr>
        <w:t>（二）年度目标</w:t>
      </w:r>
      <w:bookmarkEnd w:id="83"/>
      <w:bookmarkEnd w:id="84"/>
      <w:bookmarkEnd w:id="85"/>
    </w:p>
    <w:p>
      <w:pPr>
        <w:pStyle w:val="2"/>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为保障全省法院综合审判法庭、人民法庭业务用房能正常使用，2022年度拟对使用年限较长、设施设备老化、用房功能不全、存在安全隐患、无法满足工作基本需要的业务用房及基层人民法庭取暖设施设备进行维修改造。保障日常工作的正常开展，确保各级法院审判职能的有效发挥。</w:t>
      </w:r>
    </w:p>
    <w:p>
      <w:pPr>
        <w:pStyle w:val="2"/>
        <w:spacing w:line="560" w:lineRule="exact"/>
        <w:ind w:firstLine="640" w:firstLineChars="200"/>
        <w:outlineLvl w:val="0"/>
        <w:rPr>
          <w:rFonts w:ascii="黑体" w:eastAsia="黑体"/>
          <w:highlight w:val="none"/>
        </w:rPr>
      </w:pPr>
      <w:bookmarkStart w:id="86" w:name="_Toc7514"/>
      <w:bookmarkStart w:id="87" w:name="_Toc11016"/>
      <w:bookmarkStart w:id="88" w:name="_Toc24688"/>
      <w:r>
        <w:rPr>
          <w:rFonts w:hint="eastAsia" w:ascii="黑体" w:eastAsia="黑体"/>
          <w:highlight w:val="none"/>
        </w:rPr>
        <w:t>三、评价基本情况</w:t>
      </w:r>
      <w:bookmarkEnd w:id="86"/>
      <w:bookmarkEnd w:id="87"/>
      <w:bookmarkEnd w:id="88"/>
    </w:p>
    <w:p>
      <w:pPr>
        <w:pStyle w:val="2"/>
        <w:spacing w:line="560" w:lineRule="exact"/>
        <w:ind w:firstLine="643" w:firstLineChars="200"/>
        <w:outlineLvl w:val="1"/>
        <w:rPr>
          <w:rFonts w:ascii="楷体" w:hAnsi="楷体" w:eastAsia="楷体" w:cs="楷体"/>
          <w:b/>
          <w:bCs/>
          <w:highlight w:val="none"/>
        </w:rPr>
      </w:pPr>
      <w:bookmarkStart w:id="89" w:name="_Toc27554"/>
      <w:bookmarkStart w:id="90" w:name="_Toc5301"/>
      <w:r>
        <w:rPr>
          <w:rFonts w:hint="eastAsia" w:ascii="楷体" w:hAnsi="楷体" w:eastAsia="楷体" w:cs="楷体"/>
          <w:b/>
          <w:bCs/>
          <w:highlight w:val="none"/>
        </w:rPr>
        <w:t>（一）评价目的</w:t>
      </w:r>
      <w:bookmarkEnd w:id="89"/>
      <w:bookmarkEnd w:id="90"/>
    </w:p>
    <w:p>
      <w:pPr>
        <w:pStyle w:val="2"/>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本次绩效评价工作，通过运用规范的绩效评价指标体系和科学的绩效评价方法，全面</w:t>
      </w:r>
      <w:r>
        <w:rPr>
          <w:rFonts w:hint="eastAsia" w:ascii="仿宋_GB2312" w:hAnsi="仿宋_GB2312" w:cs="仿宋_GB2312"/>
          <w:highlight w:val="none"/>
          <w:lang w:eastAsia="zh-CN"/>
        </w:rPr>
        <w:t>客观地评价</w:t>
      </w:r>
      <w:r>
        <w:rPr>
          <w:rFonts w:hint="eastAsia" w:ascii="仿宋_GB2312" w:hAnsi="仿宋_GB2312" w:cs="仿宋_GB2312"/>
          <w:highlight w:val="none"/>
        </w:rPr>
        <w:t>全省法院法庭维修经费项目资金的执行情况、资金使用情况，对项目的绩效情况进行综合分析，与预期绩效目标进行对比，总结全省法院人民法庭维修经费项目实施的成果与经验，揭示存在的问题与不足，在此基础上进一步优化资金使用、完善项目管理，为下一步的预算安排提供参考，不断提高资金的使用效益。</w:t>
      </w:r>
    </w:p>
    <w:p>
      <w:pPr>
        <w:pStyle w:val="2"/>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本次绩效评价的侧重点和切入点：</w:t>
      </w:r>
    </w:p>
    <w:p>
      <w:pPr>
        <w:pStyle w:val="2"/>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1.重点关注项目资金使用管理以及保障项目预期绩效目标实现的相关措施</w:t>
      </w:r>
      <w:r>
        <w:rPr>
          <w:rFonts w:hint="eastAsia" w:ascii="仿宋_GB2312" w:hAnsi="仿宋_GB2312" w:cs="仿宋_GB2312"/>
          <w:highlight w:val="none"/>
          <w:lang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ascii="仿宋_GB2312" w:hAnsi="仿宋_GB2312" w:cs="仿宋_GB2312"/>
          <w:highlight w:val="none"/>
        </w:rPr>
      </w:pPr>
      <w:r>
        <w:rPr>
          <w:rFonts w:hint="eastAsia" w:ascii="仿宋_GB2312" w:hAnsi="仿宋_GB2312" w:cs="仿宋_GB2312"/>
          <w:highlight w:val="none"/>
          <w:lang w:val="en-US" w:eastAsia="zh-CN"/>
        </w:rPr>
        <w:t>2.</w:t>
      </w:r>
      <w:r>
        <w:rPr>
          <w:rFonts w:hint="eastAsia" w:ascii="仿宋_GB2312" w:hAnsi="仿宋_GB2312" w:eastAsia="仿宋_GB2312" w:cs="仿宋_GB2312"/>
          <w:highlight w:val="none"/>
        </w:rPr>
        <w:t>重点关注采购流程规范性、资金使用合规性、</w:t>
      </w:r>
      <w:r>
        <w:rPr>
          <w:rFonts w:hint="eastAsia" w:ascii="仿宋_GB2312" w:hAnsi="仿宋_GB2312" w:cs="仿宋_GB2312"/>
          <w:highlight w:val="none"/>
          <w:lang w:val="en-US" w:eastAsia="zh-CN"/>
        </w:rPr>
        <w:t>制度实施</w:t>
      </w:r>
      <w:r>
        <w:rPr>
          <w:rFonts w:hint="eastAsia" w:ascii="仿宋_GB2312" w:hAnsi="仿宋_GB2312" w:eastAsia="仿宋_GB2312" w:cs="仿宋_GB2312"/>
          <w:highlight w:val="none"/>
        </w:rPr>
        <w:t>的有效性以及通过项目的实施为法院带来的产出与效益。</w:t>
      </w:r>
    </w:p>
    <w:p>
      <w:pPr>
        <w:pStyle w:val="2"/>
        <w:spacing w:line="560" w:lineRule="exact"/>
        <w:ind w:firstLine="643" w:firstLineChars="200"/>
        <w:outlineLvl w:val="1"/>
        <w:rPr>
          <w:rFonts w:ascii="楷体" w:hAnsi="楷体" w:eastAsia="楷体" w:cs="楷体"/>
          <w:b/>
          <w:bCs/>
          <w:highlight w:val="none"/>
        </w:rPr>
      </w:pPr>
      <w:bookmarkStart w:id="91" w:name="_Toc2071"/>
      <w:bookmarkStart w:id="92" w:name="_Toc16643"/>
      <w:r>
        <w:rPr>
          <w:rFonts w:hint="eastAsia" w:ascii="楷体" w:hAnsi="楷体" w:eastAsia="楷体" w:cs="楷体"/>
          <w:b/>
          <w:bCs/>
          <w:highlight w:val="none"/>
        </w:rPr>
        <w:t>（二）评价对象与范围</w:t>
      </w:r>
      <w:bookmarkEnd w:id="91"/>
      <w:bookmarkEnd w:id="92"/>
    </w:p>
    <w:p>
      <w:pPr>
        <w:pStyle w:val="2"/>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本次评价对象为2022年省财政安排的“全省法院人民法庭维修经费”项目。</w:t>
      </w:r>
    </w:p>
    <w:p>
      <w:pPr>
        <w:pStyle w:val="2"/>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评价范围为2022年省法院“全省法院人民法庭维修经费”</w:t>
      </w:r>
      <w:r>
        <w:rPr>
          <w:rFonts w:hint="eastAsia" w:ascii="仿宋_GB2312" w:hAnsi="仿宋_GB2312" w:cs="仿宋_GB2312"/>
          <w:highlight w:val="none"/>
          <w:lang w:val="en-US" w:eastAsia="zh-CN"/>
        </w:rPr>
        <w:t>项目</w:t>
      </w:r>
      <w:r>
        <w:rPr>
          <w:rFonts w:hint="eastAsia" w:ascii="仿宋_GB2312" w:hAnsi="仿宋_GB2312" w:cs="仿宋_GB2312"/>
          <w:highlight w:val="none"/>
        </w:rPr>
        <w:t>全年预算资金5,273.74万元</w:t>
      </w:r>
      <w:r>
        <w:rPr>
          <w:rFonts w:hint="eastAsia" w:ascii="仿宋_GB2312" w:hAnsi="仿宋_GB2312" w:cs="仿宋_GB2312"/>
          <w:highlight w:val="none"/>
          <w:lang w:val="en-US" w:eastAsia="zh-CN"/>
        </w:rPr>
        <w:t>的</w:t>
      </w:r>
      <w:r>
        <w:rPr>
          <w:rFonts w:hint="eastAsia" w:ascii="仿宋_GB2312" w:hAnsi="仿宋_GB2312" w:cs="仿宋_GB2312"/>
          <w:highlight w:val="none"/>
        </w:rPr>
        <w:t>项目资金使用和项目实施效益情况，评价基准日为2022年12月31日。</w:t>
      </w:r>
    </w:p>
    <w:p>
      <w:pPr>
        <w:pStyle w:val="2"/>
        <w:spacing w:line="560" w:lineRule="exact"/>
        <w:ind w:firstLine="643" w:firstLineChars="200"/>
        <w:outlineLvl w:val="1"/>
        <w:rPr>
          <w:rFonts w:ascii="楷体" w:hAnsi="楷体" w:eastAsia="楷体" w:cs="楷体"/>
          <w:b/>
          <w:bCs/>
          <w:highlight w:val="none"/>
        </w:rPr>
      </w:pPr>
      <w:bookmarkStart w:id="93" w:name="_Toc17041"/>
      <w:bookmarkStart w:id="94" w:name="_Toc27304"/>
      <w:r>
        <w:rPr>
          <w:rFonts w:hint="eastAsia" w:ascii="楷体" w:hAnsi="楷体" w:eastAsia="楷体" w:cs="楷体"/>
          <w:b/>
          <w:bCs/>
          <w:highlight w:val="none"/>
        </w:rPr>
        <w:t>（三）评价依据</w:t>
      </w:r>
      <w:bookmarkEnd w:id="93"/>
      <w:bookmarkEnd w:id="94"/>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bookmarkStart w:id="95" w:name="_Toc17840"/>
      <w:bookmarkStart w:id="96" w:name="_Toc28943"/>
      <w:r>
        <w:rPr>
          <w:rFonts w:hint="eastAsia" w:ascii="仿宋_GB2312" w:hAnsi="仿宋_GB2312" w:eastAsia="仿宋_GB2312" w:cs="仿宋_GB2312"/>
          <w:highlight w:val="none"/>
          <w:lang w:val="en-US" w:eastAsia="zh-CN"/>
        </w:rPr>
        <w:t>1.</w:t>
      </w:r>
      <w:r>
        <w:rPr>
          <w:rFonts w:hint="eastAsia" w:ascii="仿宋_GB2312" w:hAnsi="仿宋_GB2312" w:eastAsia="仿宋_GB2312" w:cs="仿宋_GB2312"/>
          <w:highlight w:val="none"/>
        </w:rPr>
        <w:t>《中华人民共和国预算法》；</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2.《中华人民共和国预算法实施条例》；</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3.《中共中央 国务院关于全面实施预算绩效管理的意见》（中发〔2018〕34号）</w:t>
      </w:r>
      <w:r>
        <w:rPr>
          <w:rFonts w:hint="eastAsia" w:ascii="仿宋_GB2312" w:hAnsi="仿宋_GB2312" w:cs="仿宋_GB2312"/>
          <w:highlight w:val="none"/>
          <w:lang w:val="en-US"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lang w:val="en-US" w:eastAsia="zh-CN"/>
        </w:rPr>
        <w:t>4.</w:t>
      </w:r>
      <w:r>
        <w:rPr>
          <w:rFonts w:hint="eastAsia" w:ascii="仿宋_GB2312" w:hAnsi="仿宋_GB2312" w:eastAsia="仿宋_GB2312" w:cs="仿宋_GB2312"/>
          <w:highlight w:val="none"/>
        </w:rPr>
        <w:t>《财政部关于印发〈项目支出绩效评价管理办法〉的通知》（财预〔2021〕10号）；</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5.财政部《关于委托第三方机构参与预算绩效管理的指导意见》（财预〔2021〕6号）；</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6.财政部关于印发《第三方机构预算绩效评价业务监督管理暂行办法》的通知（财监〔2021〕4号）</w:t>
      </w:r>
      <w:r>
        <w:rPr>
          <w:rFonts w:hint="eastAsia" w:ascii="仿宋_GB2312" w:hAnsi="仿宋_GB2312" w:cs="仿宋_GB2312"/>
          <w:highlight w:val="none"/>
          <w:lang w:val="en-US"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lang w:val="en-US" w:eastAsia="zh-CN"/>
        </w:rPr>
        <w:t>7.</w:t>
      </w:r>
      <w:r>
        <w:rPr>
          <w:rFonts w:hint="eastAsia" w:ascii="仿宋_GB2312" w:hAnsi="仿宋_GB2312" w:eastAsia="仿宋_GB2312" w:cs="仿宋_GB2312"/>
          <w:highlight w:val="none"/>
        </w:rPr>
        <w:t>《中共甘肃省委 甘肃省人民政府关于全面实施预算绩效管理的实施意见》（甘发〔2018〕32号）；</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lang w:val="en-US" w:eastAsia="zh-CN"/>
        </w:rPr>
        <w:t>8.</w:t>
      </w:r>
      <w:r>
        <w:rPr>
          <w:rFonts w:hint="eastAsia" w:ascii="仿宋_GB2312" w:hAnsi="仿宋_GB2312" w:eastAsia="仿宋_GB2312" w:cs="仿宋_GB2312"/>
          <w:highlight w:val="none"/>
        </w:rPr>
        <w:t>甘肃省财政厅关于印发《甘肃省省级预算绩效管理办法》等6个办法和规程的通知（甘财绩〔2020〕5号）；</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9</w:t>
      </w:r>
      <w:r>
        <w:rPr>
          <w:rFonts w:hint="eastAsia" w:ascii="仿宋_GB2312" w:hAnsi="仿宋_GB2312" w:eastAsia="仿宋_GB2312" w:cs="仿宋_GB2312"/>
          <w:highlight w:val="none"/>
          <w:lang w:val="en-US" w:eastAsia="zh-CN"/>
        </w:rPr>
        <w:t>.</w:t>
      </w:r>
      <w:r>
        <w:rPr>
          <w:rFonts w:hint="eastAsia" w:ascii="仿宋_GB2312" w:hAnsi="仿宋_GB2312" w:eastAsia="仿宋_GB2312" w:cs="仿宋_GB2312"/>
          <w:highlight w:val="none"/>
        </w:rPr>
        <w:t>《甘肃省省级项目支出绩效部门评价和财政评价工作规程》（甘财绩〔2021〕5号）；</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10</w:t>
      </w:r>
      <w:r>
        <w:rPr>
          <w:rFonts w:hint="eastAsia" w:ascii="仿宋_GB2312" w:hAnsi="仿宋_GB2312" w:eastAsia="仿宋_GB2312" w:cs="仿宋_GB2312"/>
          <w:highlight w:val="none"/>
          <w:lang w:val="en-US" w:eastAsia="zh-CN"/>
        </w:rPr>
        <w:t>.</w:t>
      </w:r>
      <w:r>
        <w:rPr>
          <w:rFonts w:hint="eastAsia" w:ascii="仿宋_GB2312" w:hAnsi="仿宋_GB2312" w:eastAsia="仿宋_GB2312" w:cs="仿宋_GB2312"/>
          <w:highlight w:val="none"/>
        </w:rPr>
        <w:t>《甘肃省财政厅关于开展2022年度省级预算执行情况部门和财政重点绩效评价工作的通知》（甘财绩〔2023〕3号）；</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11</w:t>
      </w:r>
      <w:r>
        <w:rPr>
          <w:rFonts w:hint="eastAsia" w:ascii="仿宋_GB2312" w:hAnsi="仿宋_GB2312" w:eastAsia="仿宋_GB2312" w:cs="仿宋_GB2312"/>
          <w:highlight w:val="none"/>
          <w:lang w:val="en-US" w:eastAsia="zh-CN"/>
        </w:rPr>
        <w:t>.</w:t>
      </w:r>
      <w:r>
        <w:rPr>
          <w:rFonts w:hint="eastAsia" w:ascii="仿宋_GB2312" w:hAnsi="仿宋_GB2312" w:cs="仿宋_GB2312"/>
          <w:highlight w:val="none"/>
          <w:lang w:val="en-US" w:eastAsia="zh-CN"/>
        </w:rPr>
        <w:t>各项目实施法院</w:t>
      </w:r>
      <w:r>
        <w:rPr>
          <w:rFonts w:hint="eastAsia" w:ascii="仿宋_GB2312" w:hAnsi="仿宋_GB2312" w:eastAsia="仿宋_GB2312" w:cs="仿宋_GB2312"/>
          <w:highlight w:val="none"/>
        </w:rPr>
        <w:t>职责相关规定；</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12</w:t>
      </w:r>
      <w:r>
        <w:rPr>
          <w:rFonts w:hint="eastAsia" w:ascii="仿宋_GB2312" w:hAnsi="仿宋_GB2312" w:eastAsia="仿宋_GB2312" w:cs="仿宋_GB2312"/>
          <w:highlight w:val="none"/>
          <w:lang w:val="en-US" w:eastAsia="zh-CN"/>
        </w:rPr>
        <w:t>.</w:t>
      </w:r>
      <w:r>
        <w:rPr>
          <w:rFonts w:hint="eastAsia" w:ascii="仿宋_GB2312" w:hAnsi="仿宋_GB2312" w:eastAsia="仿宋_GB2312" w:cs="仿宋_GB2312"/>
          <w:highlight w:val="none"/>
        </w:rPr>
        <w:t>行业相关政策、行业标准及专业技术规范；</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13</w:t>
      </w:r>
      <w:r>
        <w:rPr>
          <w:rFonts w:hint="eastAsia" w:ascii="仿宋_GB2312" w:hAnsi="仿宋_GB2312" w:eastAsia="仿宋_GB2312" w:cs="仿宋_GB2312"/>
          <w:highlight w:val="none"/>
          <w:lang w:val="en-US" w:eastAsia="zh-CN"/>
        </w:rPr>
        <w:t>.</w:t>
      </w:r>
      <w:r>
        <w:rPr>
          <w:rFonts w:hint="eastAsia" w:ascii="仿宋_GB2312" w:hAnsi="仿宋_GB2312" w:cs="仿宋_GB2312"/>
          <w:highlight w:val="none"/>
          <w:lang w:eastAsia="zh-CN"/>
        </w:rPr>
        <w:t>被评价单位提供的立项背景、实施方案、预算批复相关文件、绩效目标、自评价相关资料、财政资金拨付凭证、工程全过程资料和项目实施效果等资料</w:t>
      </w:r>
      <w:r>
        <w:rPr>
          <w:rFonts w:hint="eastAsia" w:ascii="仿宋_GB2312" w:hAnsi="仿宋_GB2312" w:eastAsia="仿宋_GB2312" w:cs="仿宋_GB2312"/>
          <w:highlight w:val="none"/>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14</w:t>
      </w:r>
      <w:r>
        <w:rPr>
          <w:rFonts w:hint="eastAsia" w:ascii="仿宋_GB2312" w:hAnsi="仿宋_GB2312" w:eastAsia="仿宋_GB2312" w:cs="仿宋_GB2312"/>
          <w:highlight w:val="none"/>
          <w:lang w:val="en-US" w:eastAsia="zh-CN"/>
        </w:rPr>
        <w:t>.</w:t>
      </w:r>
      <w:r>
        <w:rPr>
          <w:rFonts w:hint="eastAsia" w:ascii="仿宋_GB2312" w:hAnsi="仿宋_GB2312" w:eastAsia="仿宋_GB2312" w:cs="仿宋_GB2312"/>
          <w:highlight w:val="none"/>
        </w:rPr>
        <w:t>本级人大审查结果报告、审计报告及决定，财政监督稽核报告等；</w:t>
      </w:r>
    </w:p>
    <w:p>
      <w:pPr>
        <w:pStyle w:val="2"/>
        <w:spacing w:line="560" w:lineRule="exact"/>
        <w:ind w:firstLine="640" w:firstLineChars="200"/>
        <w:outlineLvl w:val="1"/>
        <w:rPr>
          <w:rFonts w:hint="eastAsia" w:ascii="仿宋_GB2312" w:hAnsi="仿宋_GB2312" w:eastAsia="仿宋_GB2312" w:cs="仿宋_GB2312"/>
          <w:highlight w:val="none"/>
        </w:rPr>
      </w:pPr>
      <w:r>
        <w:rPr>
          <w:rFonts w:hint="eastAsia" w:ascii="仿宋_GB2312" w:hAnsi="仿宋_GB2312" w:eastAsia="仿宋_GB2312" w:cs="仿宋_GB2312"/>
          <w:highlight w:val="none"/>
          <w:lang w:val="en-US" w:eastAsia="zh-CN"/>
        </w:rPr>
        <w:t>1</w:t>
      </w:r>
      <w:r>
        <w:rPr>
          <w:rFonts w:hint="eastAsia" w:ascii="仿宋_GB2312" w:hAnsi="仿宋_GB2312" w:cs="仿宋_GB2312"/>
          <w:highlight w:val="none"/>
          <w:lang w:val="en-US" w:eastAsia="zh-CN"/>
        </w:rPr>
        <w:t>5</w:t>
      </w:r>
      <w:r>
        <w:rPr>
          <w:rFonts w:hint="eastAsia" w:ascii="仿宋_GB2312" w:hAnsi="仿宋_GB2312" w:eastAsia="仿宋_GB2312" w:cs="仿宋_GB2312"/>
          <w:highlight w:val="none"/>
          <w:lang w:val="en-US" w:eastAsia="zh-CN"/>
        </w:rPr>
        <w:t>.</w:t>
      </w:r>
      <w:r>
        <w:rPr>
          <w:rFonts w:hint="eastAsia" w:ascii="仿宋_GB2312" w:hAnsi="仿宋_GB2312" w:eastAsia="仿宋_GB2312" w:cs="仿宋_GB2312"/>
          <w:highlight w:val="none"/>
        </w:rPr>
        <w:t>评价组收集、调研、访谈、问卷调查获取的</w:t>
      </w:r>
      <w:r>
        <w:rPr>
          <w:rFonts w:hint="eastAsia" w:ascii="仿宋_GB2312" w:hAnsi="仿宋_GB2312" w:cs="仿宋_GB2312"/>
          <w:highlight w:val="none"/>
          <w:lang w:val="en-US" w:eastAsia="zh-CN"/>
        </w:rPr>
        <w:t>其他</w:t>
      </w:r>
      <w:r>
        <w:rPr>
          <w:rFonts w:hint="eastAsia" w:ascii="仿宋_GB2312" w:hAnsi="仿宋_GB2312" w:eastAsia="仿宋_GB2312" w:cs="仿宋_GB2312"/>
          <w:highlight w:val="none"/>
        </w:rPr>
        <w:t>相关资料。</w:t>
      </w:r>
    </w:p>
    <w:p>
      <w:pPr>
        <w:pStyle w:val="2"/>
        <w:spacing w:line="560" w:lineRule="exact"/>
        <w:ind w:firstLine="643" w:firstLineChars="200"/>
        <w:outlineLvl w:val="1"/>
        <w:rPr>
          <w:rFonts w:ascii="楷体" w:hAnsi="楷体" w:eastAsia="楷体" w:cs="楷体"/>
          <w:b/>
          <w:bCs/>
          <w:highlight w:val="none"/>
        </w:rPr>
      </w:pPr>
      <w:r>
        <w:rPr>
          <w:rFonts w:hint="eastAsia" w:ascii="楷体" w:hAnsi="楷体" w:eastAsia="楷体" w:cs="楷体"/>
          <w:b/>
          <w:bCs/>
          <w:highlight w:val="none"/>
        </w:rPr>
        <w:t>（四）评价原则、评价方法</w:t>
      </w:r>
      <w:bookmarkEnd w:id="95"/>
      <w:bookmarkEnd w:id="96"/>
    </w:p>
    <w:p>
      <w:pPr>
        <w:spacing w:line="560" w:lineRule="exact"/>
        <w:ind w:firstLine="643" w:firstLineChars="200"/>
        <w:outlineLvl w:val="2"/>
        <w:rPr>
          <w:rFonts w:ascii="仿宋_GB2312" w:hAnsi="仿宋_GB2312" w:eastAsia="仿宋_GB2312" w:cs="仿宋_GB2312"/>
          <w:b/>
          <w:sz w:val="32"/>
          <w:szCs w:val="32"/>
          <w:highlight w:val="none"/>
        </w:rPr>
      </w:pPr>
      <w:bookmarkStart w:id="97" w:name="_Toc25746"/>
      <w:bookmarkStart w:id="98" w:name="_Toc4548"/>
      <w:bookmarkStart w:id="99" w:name="_Toc32216"/>
      <w:bookmarkStart w:id="100" w:name="_Toc135595306"/>
      <w:bookmarkStart w:id="101" w:name="_Toc2871"/>
      <w:r>
        <w:rPr>
          <w:rStyle w:val="26"/>
          <w:rFonts w:hint="eastAsia" w:ascii="仿宋_GB2312" w:hAnsi="仿宋_GB2312" w:eastAsia="仿宋_GB2312" w:cs="仿宋_GB2312"/>
          <w:szCs w:val="32"/>
          <w:highlight w:val="none"/>
        </w:rPr>
        <w:t>1.评价原则</w:t>
      </w:r>
      <w:bookmarkEnd w:id="97"/>
      <w:bookmarkEnd w:id="98"/>
      <w:bookmarkEnd w:id="99"/>
      <w:bookmarkEnd w:id="100"/>
      <w:bookmarkEnd w:id="101"/>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科学规范。严格执行规定的流程步骤，做到指标合理、标准科学、方法适当、结果可信，严格执行规定程序和工作流程，科学设定评价标准和指标体系，坚持定量与定性分析相结合，客观准确地反映财政资金绩效情况，提高全过程预算绩效管理质量。</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绩效相关。评价结果应当清晰反映绩效目标的实现情况以及预算支出和绩效之间的对应关系。以绩效为核心导向，将事前绩效评估、绩效目标管理、绩效运行监控、绩效评价、评价结果反馈及应用深度融入预算管理的全过程，实现财政资金使用效益最大化。</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公开透明。评价结果应当符合真实、客观、公正的要求，依法依规公开并接受监督。预算绩效管理主体应按照政府信息公开有关规定，主动向同级人大报告、向社会公开相关绩效信息和评价结果，自觉接受各方监督，不断提高财政资金使用的透明度。</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激励约束。评价结果与项目的设立、保留、整合、调整和退出相挂钩，作为完善政策、改进管理、安排预算的重要依据。建立健全预算绩效管理激励约束机制，体现奖优罚劣和激励相容导向，切实做到花钱必问效、无效必问责。</w:t>
      </w:r>
    </w:p>
    <w:p>
      <w:pPr>
        <w:spacing w:line="560" w:lineRule="exact"/>
        <w:ind w:firstLine="643" w:firstLineChars="200"/>
        <w:outlineLvl w:val="2"/>
        <w:rPr>
          <w:rStyle w:val="26"/>
          <w:rFonts w:ascii="仿宋_GB2312" w:hAnsi="仿宋_GB2312" w:eastAsia="仿宋_GB2312" w:cs="仿宋_GB2312"/>
          <w:szCs w:val="32"/>
          <w:highlight w:val="none"/>
        </w:rPr>
      </w:pPr>
      <w:bookmarkStart w:id="102" w:name="_Toc135595307"/>
      <w:bookmarkStart w:id="103" w:name="_Toc15034"/>
      <w:bookmarkStart w:id="104" w:name="_Toc1742"/>
      <w:bookmarkStart w:id="105" w:name="_Toc6674"/>
      <w:r>
        <w:rPr>
          <w:rStyle w:val="26"/>
          <w:rFonts w:hint="eastAsia" w:ascii="仿宋_GB2312" w:hAnsi="仿宋_GB2312" w:eastAsia="仿宋_GB2312" w:cs="仿宋_GB2312"/>
          <w:szCs w:val="32"/>
          <w:highlight w:val="none"/>
        </w:rPr>
        <w:t>2.评价方法</w:t>
      </w:r>
      <w:bookmarkEnd w:id="102"/>
      <w:bookmarkEnd w:id="103"/>
    </w:p>
    <w:bookmarkEnd w:id="104"/>
    <w:bookmarkEnd w:id="105"/>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次绩效评价按照规范、科学、合理的要求，采用定量和定性分析相结合，第三方评价机构现场核实、资料评审相结合，综合运用比较法、因素分析法和公众评判法等方法进行评价，对2022年度全省法院人民法庭维修经费预算执行情况的经济性、效率性、效益性进行客观</w:t>
      </w:r>
      <w:r>
        <w:rPr>
          <w:rFonts w:hint="eastAsia" w:ascii="仿宋_GB2312" w:hAnsi="仿宋_GB2312" w:eastAsia="仿宋_GB2312" w:cs="仿宋_GB2312"/>
          <w:sz w:val="32"/>
          <w:szCs w:val="32"/>
          <w:highlight w:val="none"/>
          <w:lang w:eastAsia="zh-CN"/>
        </w:rPr>
        <w:t>公正地分析</w:t>
      </w:r>
      <w:r>
        <w:rPr>
          <w:rFonts w:hint="eastAsia" w:ascii="仿宋_GB2312" w:hAnsi="仿宋_GB2312" w:eastAsia="仿宋_GB2312" w:cs="仿宋_GB2312"/>
          <w:sz w:val="32"/>
          <w:szCs w:val="32"/>
          <w:highlight w:val="none"/>
        </w:rPr>
        <w:t>评价，确保评价结论公正客观，评价意见有效可用。</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（1）比较法。是指通过对绩效目标与实际实施效果的对比，综合分析绩效目标实现程度。</w:t>
      </w:r>
      <w:r>
        <w:rPr>
          <w:rFonts w:hint="eastAsia" w:ascii="仿宋_GB2312" w:hAnsi="仿宋_GB2312" w:eastAsia="仿宋_GB2312" w:cs="仿宋_GB2312"/>
          <w:sz w:val="32"/>
          <w:szCs w:val="32"/>
          <w:highlight w:val="none"/>
          <w:lang w:val="en-US" w:eastAsia="zh-CN"/>
        </w:rPr>
        <w:t>评价</w:t>
      </w:r>
      <w:r>
        <w:rPr>
          <w:rFonts w:hint="eastAsia" w:ascii="仿宋_GB2312" w:hAnsi="仿宋_GB2312" w:eastAsia="仿宋_GB2312" w:cs="仿宋_GB2312"/>
          <w:sz w:val="32"/>
          <w:szCs w:val="32"/>
          <w:highlight w:val="none"/>
        </w:rPr>
        <w:t>小组根据收集的资料和现场核查，了解</w:t>
      </w:r>
      <w:r>
        <w:rPr>
          <w:rFonts w:hint="eastAsia" w:ascii="仿宋_GB2312" w:hAnsi="仿宋_GB2312" w:eastAsia="仿宋_GB2312" w:cs="仿宋_GB2312"/>
          <w:sz w:val="32"/>
          <w:szCs w:val="32"/>
          <w:highlight w:val="none"/>
          <w:lang w:val="en-US" w:eastAsia="zh-CN"/>
        </w:rPr>
        <w:t>项目</w:t>
      </w:r>
      <w:r>
        <w:rPr>
          <w:rFonts w:hint="eastAsia" w:ascii="仿宋_GB2312" w:hAnsi="仿宋_GB2312" w:eastAsia="仿宋_GB2312" w:cs="仿宋_GB2312"/>
          <w:sz w:val="32"/>
          <w:szCs w:val="32"/>
          <w:highlight w:val="none"/>
        </w:rPr>
        <w:t>实际情况，与</w:t>
      </w:r>
      <w:r>
        <w:rPr>
          <w:rFonts w:hint="eastAsia" w:ascii="仿宋_GB2312" w:hAnsi="仿宋_GB2312" w:eastAsia="仿宋_GB2312" w:cs="仿宋_GB2312"/>
          <w:sz w:val="32"/>
          <w:szCs w:val="32"/>
          <w:highlight w:val="none"/>
          <w:lang w:val="en-US" w:eastAsia="zh-CN"/>
        </w:rPr>
        <w:t>项目</w:t>
      </w:r>
      <w:r>
        <w:rPr>
          <w:rFonts w:hint="eastAsia" w:ascii="仿宋_GB2312" w:hAnsi="仿宋_GB2312" w:eastAsia="仿宋_GB2312" w:cs="仿宋_GB2312"/>
          <w:sz w:val="32"/>
          <w:szCs w:val="32"/>
          <w:highlight w:val="none"/>
        </w:rPr>
        <w:t>申报时确定的绩效目标进行对比，评价绩效目标的实现程度。</w:t>
      </w:r>
    </w:p>
    <w:p>
      <w:pPr>
        <w:pStyle w:val="10"/>
        <w:spacing w:after="0" w:line="560" w:lineRule="exact"/>
        <w:ind w:left="0" w:leftChars="0"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（2）因素分析法。将影响投入和产出各项因素罗列出来进行分析，通过不同因素的权重评比，进行综合评分，最终确定项目的效率性和效益性。</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kern w:val="0"/>
          <w:sz w:val="32"/>
          <w:szCs w:val="32"/>
          <w:highlight w:val="none"/>
          <w:lang w:bidi="ar"/>
        </w:rPr>
        <w:t>公众评判</w:t>
      </w:r>
      <w:r>
        <w:rPr>
          <w:rFonts w:hint="eastAsia" w:ascii="仿宋_GB2312" w:hAnsi="仿宋_GB2312" w:eastAsia="仿宋_GB2312" w:cs="仿宋_GB2312"/>
          <w:sz w:val="32"/>
          <w:szCs w:val="32"/>
          <w:highlight w:val="none"/>
        </w:rPr>
        <w:t>法。是指通过专家评估、公众问卷对财政支出效果进行评判，评价绩效目标实现程度。评价小组对服务对象进行问卷调查，收集整体及项目具体完成情况和效果的相关证据，为绩效分析结论提供有力支撑。</w:t>
      </w:r>
    </w:p>
    <w:p>
      <w:pPr>
        <w:widowControl/>
        <w:spacing w:line="560" w:lineRule="exact"/>
        <w:ind w:firstLine="640" w:firstLineChars="200"/>
        <w:rPr>
          <w:rFonts w:ascii="仿宋_GB2312" w:hAnsi="仿宋_GB2312" w:eastAsia="仿宋_GB2312" w:cs="仿宋_GB2312"/>
          <w:kern w:val="0"/>
          <w:sz w:val="32"/>
          <w:szCs w:val="32"/>
          <w:highlight w:val="none"/>
          <w:lang w:bidi="ar"/>
        </w:rPr>
      </w:pPr>
      <w:r>
        <w:rPr>
          <w:rFonts w:hint="eastAsia" w:ascii="仿宋_GB2312" w:hAnsi="仿宋_GB2312" w:eastAsia="仿宋_GB2312" w:cs="仿宋_GB2312"/>
          <w:kern w:val="0"/>
          <w:sz w:val="32"/>
          <w:szCs w:val="32"/>
          <w:highlight w:val="none"/>
          <w:lang w:bidi="ar"/>
        </w:rPr>
        <w:t>（4）成本效益分析法。是将投入与产出、效益进行关联性分析的方法。</w:t>
      </w:r>
    </w:p>
    <w:p>
      <w:pPr>
        <w:widowControl/>
        <w:spacing w:line="560" w:lineRule="exact"/>
        <w:ind w:firstLine="640" w:firstLineChars="200"/>
        <w:rPr>
          <w:rFonts w:ascii="仿宋_GB2312" w:hAnsi="仿宋_GB2312" w:eastAsia="仿宋_GB2312" w:cs="仿宋_GB2312"/>
          <w:kern w:val="0"/>
          <w:sz w:val="32"/>
          <w:szCs w:val="32"/>
          <w:highlight w:val="none"/>
          <w:lang w:bidi="ar"/>
        </w:rPr>
      </w:pPr>
      <w:r>
        <w:rPr>
          <w:rFonts w:hint="eastAsia" w:ascii="仿宋_GB2312" w:hAnsi="仿宋_GB2312" w:eastAsia="仿宋_GB2312" w:cs="仿宋_GB2312"/>
          <w:kern w:val="0"/>
          <w:sz w:val="32"/>
          <w:szCs w:val="32"/>
          <w:highlight w:val="none"/>
          <w:lang w:bidi="ar"/>
        </w:rPr>
        <w:t>（5）访谈法。评价小组现场访谈</w:t>
      </w:r>
      <w:r>
        <w:rPr>
          <w:rFonts w:hint="eastAsia" w:ascii="仿宋_GB2312" w:hAnsi="仿宋_GB2312" w:eastAsia="仿宋_GB2312" w:cs="仿宋_GB2312"/>
          <w:kern w:val="0"/>
          <w:sz w:val="32"/>
          <w:szCs w:val="32"/>
          <w:highlight w:val="none"/>
          <w:lang w:val="en-US" w:eastAsia="zh-CN" w:bidi="ar"/>
        </w:rPr>
        <w:t>项目相关工作</w:t>
      </w:r>
      <w:r>
        <w:rPr>
          <w:rFonts w:hint="eastAsia" w:ascii="仿宋_GB2312" w:hAnsi="仿宋_GB2312" w:eastAsia="仿宋_GB2312" w:cs="仿宋_GB2312"/>
          <w:kern w:val="0"/>
          <w:sz w:val="32"/>
          <w:szCs w:val="32"/>
          <w:highlight w:val="none"/>
          <w:lang w:bidi="ar"/>
        </w:rPr>
        <w:t>人员，根据被询问者的答复收集客观的、不带偏见的事实材料。</w:t>
      </w:r>
    </w:p>
    <w:p>
      <w:pPr>
        <w:pStyle w:val="2"/>
        <w:spacing w:line="560" w:lineRule="exact"/>
        <w:ind w:firstLine="643" w:firstLineChars="200"/>
        <w:outlineLvl w:val="1"/>
        <w:rPr>
          <w:rFonts w:ascii="楷体" w:hAnsi="楷体" w:eastAsia="楷体" w:cs="楷体"/>
          <w:b/>
          <w:bCs/>
          <w:highlight w:val="none"/>
        </w:rPr>
      </w:pPr>
      <w:bookmarkStart w:id="106" w:name="_Toc28500"/>
      <w:bookmarkStart w:id="107" w:name="_Toc4958"/>
      <w:r>
        <w:rPr>
          <w:rFonts w:hint="eastAsia" w:ascii="楷体" w:hAnsi="楷体" w:eastAsia="楷体" w:cs="楷体"/>
          <w:b/>
          <w:bCs/>
          <w:highlight w:val="none"/>
        </w:rPr>
        <w:t>（五）绩效评价指标体系</w:t>
      </w:r>
      <w:bookmarkEnd w:id="106"/>
      <w:bookmarkEnd w:id="107"/>
    </w:p>
    <w:p>
      <w:pPr>
        <w:pStyle w:val="2"/>
        <w:tabs>
          <w:tab w:val="left" w:pos="510"/>
          <w:tab w:val="left" w:pos="675"/>
        </w:tabs>
        <w:spacing w:line="560" w:lineRule="exact"/>
        <w:ind w:firstLine="643" w:firstLineChars="200"/>
        <w:rPr>
          <w:rFonts w:ascii="仿宋_GB2312" w:hAnsi="仿宋_GB2312" w:cs="仿宋_GB2312"/>
          <w:b/>
          <w:bCs/>
          <w:szCs w:val="28"/>
          <w:highlight w:val="none"/>
        </w:rPr>
      </w:pPr>
      <w:r>
        <w:rPr>
          <w:rFonts w:hint="eastAsia" w:ascii="仿宋_GB2312" w:hAnsi="仿宋_GB2312" w:cs="仿宋_GB2312"/>
          <w:b/>
          <w:bCs/>
          <w:szCs w:val="28"/>
          <w:highlight w:val="none"/>
        </w:rPr>
        <w:t>1.绩效评价指标体系</w:t>
      </w:r>
    </w:p>
    <w:p>
      <w:pPr>
        <w:pStyle w:val="2"/>
        <w:tabs>
          <w:tab w:val="left" w:pos="510"/>
          <w:tab w:val="left" w:pos="675"/>
        </w:tabs>
        <w:spacing w:line="560" w:lineRule="exact"/>
        <w:ind w:firstLine="640" w:firstLineChars="200"/>
        <w:rPr>
          <w:rFonts w:ascii="仿宋_GB2312" w:hAnsi="仿宋_GB2312" w:cs="仿宋_GB2312"/>
          <w:szCs w:val="28"/>
          <w:highlight w:val="none"/>
        </w:rPr>
      </w:pPr>
      <w:r>
        <w:rPr>
          <w:rFonts w:hint="eastAsia" w:ascii="仿宋_GB2312" w:hAnsi="仿宋_GB2312" w:cs="仿宋_GB2312"/>
          <w:szCs w:val="28"/>
          <w:highlight w:val="none"/>
        </w:rPr>
        <w:t>根据《财政部关于印发</w:t>
      </w:r>
      <w:r>
        <w:rPr>
          <w:rFonts w:hint="eastAsia" w:ascii="仿宋_GB2312" w:hAnsi="仿宋_GB2312" w:cs="仿宋_GB2312"/>
          <w:szCs w:val="28"/>
          <w:highlight w:val="none"/>
          <w:lang w:eastAsia="zh-CN"/>
        </w:rPr>
        <w:t>〈</w:t>
      </w:r>
      <w:r>
        <w:rPr>
          <w:rFonts w:hint="eastAsia" w:ascii="仿宋_GB2312" w:hAnsi="仿宋_GB2312" w:cs="仿宋_GB2312"/>
          <w:szCs w:val="28"/>
          <w:highlight w:val="none"/>
        </w:rPr>
        <w:t>项目支出绩效评价管理办法</w:t>
      </w:r>
      <w:r>
        <w:rPr>
          <w:rFonts w:hint="eastAsia" w:ascii="仿宋_GB2312" w:hAnsi="仿宋_GB2312" w:cs="仿宋_GB2312"/>
          <w:szCs w:val="28"/>
          <w:highlight w:val="none"/>
          <w:lang w:eastAsia="zh-CN"/>
        </w:rPr>
        <w:t>〉</w:t>
      </w:r>
      <w:r>
        <w:rPr>
          <w:rFonts w:hint="eastAsia" w:ascii="仿宋_GB2312" w:hAnsi="仿宋_GB2312" w:cs="仿宋_GB2312"/>
          <w:szCs w:val="28"/>
          <w:highlight w:val="none"/>
        </w:rPr>
        <w:t>的通知》（财预〔2020〕10号）、</w:t>
      </w:r>
      <w:r>
        <w:rPr>
          <w:rFonts w:hint="eastAsia" w:ascii="仿宋_GB2312" w:hAnsi="仿宋_GB2312" w:eastAsia="仿宋_GB2312" w:cs="仿宋_GB2312"/>
          <w:sz w:val="32"/>
          <w:szCs w:val="32"/>
          <w:highlight w:val="none"/>
        </w:rPr>
        <w:t>《甘肃省财政厅关于开展2022年度省级预算执行情况部门和财政重点绩效评价工作的通知》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甘财绩〔2023〕3号</w:t>
      </w:r>
      <w:r>
        <w:rPr>
          <w:rFonts w:hint="eastAsia" w:ascii="仿宋_GB2312" w:hAnsi="仿宋_GB2312" w:eastAsia="仿宋_GB2312" w:cs="仿宋_GB2312"/>
          <w:sz w:val="32"/>
          <w:szCs w:val="32"/>
          <w:highlight w:val="none"/>
          <w:lang w:eastAsia="zh-CN"/>
        </w:rPr>
        <w:t>）</w:t>
      </w:r>
      <w:r>
        <w:rPr>
          <w:rFonts w:hint="eastAsia" w:ascii="仿宋_GB2312" w:hAnsi="仿宋_GB2312" w:cs="仿宋_GB2312"/>
          <w:szCs w:val="28"/>
          <w:highlight w:val="none"/>
        </w:rPr>
        <w:t>要求，本次绩效评价内容包括：项目决策情况、资金管理和使用情况、相关管理制度的健全性和执行情况，项目实现的产出情况，取得的效益情况和其他相关内容，重点评价项目的产出和效益。</w:t>
      </w:r>
    </w:p>
    <w:p>
      <w:pPr>
        <w:pStyle w:val="2"/>
        <w:tabs>
          <w:tab w:val="left" w:pos="510"/>
          <w:tab w:val="left" w:pos="675"/>
        </w:tabs>
        <w:spacing w:line="560" w:lineRule="exact"/>
        <w:ind w:firstLine="640" w:firstLineChars="200"/>
        <w:rPr>
          <w:rFonts w:ascii="仿宋_GB2312" w:hAnsi="仿宋_GB2312" w:cs="仿宋_GB2312"/>
          <w:szCs w:val="28"/>
          <w:highlight w:val="none"/>
        </w:rPr>
      </w:pPr>
      <w:r>
        <w:rPr>
          <w:rFonts w:hint="eastAsia" w:ascii="仿宋_GB2312" w:hAnsi="仿宋_GB2312" w:cs="仿宋_GB2312"/>
          <w:szCs w:val="28"/>
          <w:highlight w:val="none"/>
        </w:rPr>
        <w:t>项目评价指标划分为三级，综合评价一级指标包括项目决策指标、过程指标、产出指标、效益指标、满意度指标。二、三级评价指标根据项目实际情况制定了可量化、可操作的细化绩效目标，指标分值根据项目指标重要程度、项目实施阶段等因素综合确定（项目评价指标体系详见附表1）。</w:t>
      </w:r>
    </w:p>
    <w:p>
      <w:pPr>
        <w:pStyle w:val="2"/>
        <w:tabs>
          <w:tab w:val="left" w:pos="510"/>
          <w:tab w:val="left" w:pos="675"/>
        </w:tabs>
        <w:spacing w:line="560" w:lineRule="exact"/>
        <w:ind w:firstLine="640" w:firstLineChars="200"/>
        <w:rPr>
          <w:rFonts w:ascii="仿宋_GB2312" w:hAnsi="仿宋_GB2312" w:cs="仿宋_GB2312"/>
          <w:szCs w:val="28"/>
          <w:highlight w:val="none"/>
        </w:rPr>
      </w:pPr>
      <w:r>
        <w:rPr>
          <w:rFonts w:hint="eastAsia" w:ascii="仿宋_GB2312" w:hAnsi="仿宋_GB2312" w:cs="仿宋_GB2312"/>
          <w:szCs w:val="28"/>
          <w:highlight w:val="none"/>
        </w:rPr>
        <w:t>（1）项目决策指标为一级指标，权重16分。从项目的立项、绩效目标和资金投入分析项目前期管理情况，主要包括立项依据充分性、立项程序规范性等三级指标。</w:t>
      </w:r>
    </w:p>
    <w:p>
      <w:pPr>
        <w:pStyle w:val="2"/>
        <w:tabs>
          <w:tab w:val="left" w:pos="510"/>
          <w:tab w:val="left" w:pos="675"/>
        </w:tabs>
        <w:spacing w:line="560" w:lineRule="exact"/>
        <w:ind w:firstLine="640" w:firstLineChars="200"/>
        <w:rPr>
          <w:rFonts w:ascii="仿宋_GB2312" w:hAnsi="仿宋_GB2312" w:cs="仿宋_GB2312"/>
          <w:szCs w:val="28"/>
          <w:highlight w:val="none"/>
        </w:rPr>
      </w:pPr>
      <w:r>
        <w:rPr>
          <w:rFonts w:hint="eastAsia" w:ascii="仿宋_GB2312" w:hAnsi="仿宋_GB2312" w:cs="仿宋_GB2312"/>
          <w:szCs w:val="28"/>
          <w:highlight w:val="none"/>
        </w:rPr>
        <w:t>（2）项目过程指标为一级指标，权重14分。从项目的资金管理、组织实施两个方面分析项目资金使用、实施过程的管理情况，主要包括资金到位率、预算执行率、资金使用合规性、管理制度健全性、制度执行有效性等三级指标。</w:t>
      </w:r>
    </w:p>
    <w:p>
      <w:pPr>
        <w:pStyle w:val="2"/>
        <w:tabs>
          <w:tab w:val="left" w:pos="510"/>
          <w:tab w:val="left" w:pos="675"/>
        </w:tabs>
        <w:spacing w:line="560" w:lineRule="exact"/>
        <w:ind w:firstLine="640" w:firstLineChars="200"/>
        <w:rPr>
          <w:rFonts w:ascii="仿宋_GB2312" w:hAnsi="仿宋_GB2312" w:cs="仿宋_GB2312"/>
          <w:szCs w:val="28"/>
          <w:highlight w:val="none"/>
        </w:rPr>
      </w:pPr>
      <w:r>
        <w:rPr>
          <w:rFonts w:hint="eastAsia" w:ascii="仿宋_GB2312" w:hAnsi="仿宋_GB2312" w:cs="仿宋_GB2312"/>
          <w:szCs w:val="28"/>
          <w:highlight w:val="none"/>
        </w:rPr>
        <w:t>（3）项目产出指标为一级指标，权重40分。从数量、质量、时效、成本四个方面分析项目的产出情况，主要包括保障基层法庭取暖数量、全省法院人民法庭维修数量等三级指标。</w:t>
      </w:r>
    </w:p>
    <w:p>
      <w:pPr>
        <w:pStyle w:val="2"/>
        <w:tabs>
          <w:tab w:val="left" w:pos="510"/>
          <w:tab w:val="left" w:pos="675"/>
        </w:tabs>
        <w:spacing w:line="560" w:lineRule="exact"/>
        <w:ind w:firstLine="640" w:firstLineChars="200"/>
        <w:rPr>
          <w:rFonts w:ascii="仿宋_GB2312" w:hAnsi="仿宋_GB2312" w:cs="仿宋_GB2312"/>
          <w:szCs w:val="28"/>
          <w:highlight w:val="none"/>
        </w:rPr>
      </w:pPr>
      <w:r>
        <w:rPr>
          <w:rFonts w:hint="eastAsia" w:ascii="仿宋_GB2312" w:hAnsi="仿宋_GB2312" w:cs="仿宋_GB2312"/>
          <w:szCs w:val="28"/>
          <w:highlight w:val="none"/>
        </w:rPr>
        <w:t>（4）项目效益指标为一级指标，权重20分。从社会效益、可持续影响两个方面分析项目实施产生的效益，主要包括改善基层法庭办案条件、长效管理机制健全、设备管护机制健全性等三级指标。</w:t>
      </w:r>
    </w:p>
    <w:p>
      <w:pPr>
        <w:pStyle w:val="2"/>
        <w:tabs>
          <w:tab w:val="left" w:pos="510"/>
          <w:tab w:val="left" w:pos="675"/>
        </w:tabs>
        <w:spacing w:line="560" w:lineRule="exact"/>
        <w:ind w:firstLine="640" w:firstLineChars="200"/>
        <w:rPr>
          <w:rFonts w:ascii="仿宋_GB2312" w:hAnsi="仿宋_GB2312" w:cs="仿宋_GB2312"/>
          <w:szCs w:val="28"/>
          <w:highlight w:val="none"/>
        </w:rPr>
      </w:pPr>
      <w:r>
        <w:rPr>
          <w:rFonts w:hint="eastAsia" w:ascii="仿宋_GB2312" w:hAnsi="仿宋_GB2312" w:cs="仿宋_GB2312"/>
          <w:szCs w:val="28"/>
          <w:highlight w:val="none"/>
        </w:rPr>
        <w:t>（5）项目满意度指标为一级指标，权重10分。分析法院工作人员对项目实施效果的满意情况。</w:t>
      </w:r>
    </w:p>
    <w:p>
      <w:pPr>
        <w:pStyle w:val="2"/>
        <w:tabs>
          <w:tab w:val="left" w:pos="510"/>
          <w:tab w:val="left" w:pos="675"/>
        </w:tabs>
        <w:spacing w:line="560" w:lineRule="exact"/>
        <w:ind w:firstLine="643" w:firstLineChars="200"/>
        <w:rPr>
          <w:rFonts w:ascii="仿宋_GB2312" w:hAnsi="仿宋_GB2312" w:cs="仿宋_GB2312"/>
          <w:b/>
          <w:bCs/>
          <w:szCs w:val="28"/>
          <w:highlight w:val="none"/>
        </w:rPr>
      </w:pPr>
      <w:r>
        <w:rPr>
          <w:rFonts w:hint="eastAsia" w:ascii="仿宋_GB2312" w:hAnsi="仿宋_GB2312" w:cs="仿宋_GB2312"/>
          <w:b/>
          <w:bCs/>
          <w:szCs w:val="28"/>
          <w:highlight w:val="none"/>
        </w:rPr>
        <w:t>2.数据来源及证据收集方式</w:t>
      </w:r>
    </w:p>
    <w:p>
      <w:pPr>
        <w:pStyle w:val="2"/>
        <w:tabs>
          <w:tab w:val="left" w:pos="510"/>
          <w:tab w:val="left" w:pos="675"/>
        </w:tabs>
        <w:spacing w:line="560" w:lineRule="exact"/>
        <w:ind w:firstLine="640" w:firstLineChars="200"/>
        <w:rPr>
          <w:rFonts w:ascii="仿宋_GB2312" w:hAnsi="仿宋_GB2312" w:cs="仿宋_GB2312"/>
          <w:szCs w:val="28"/>
          <w:highlight w:val="none"/>
        </w:rPr>
      </w:pPr>
      <w:r>
        <w:rPr>
          <w:rFonts w:hint="eastAsia" w:ascii="仿宋_GB2312" w:hAnsi="仿宋_GB2312" w:cs="仿宋_GB2312"/>
          <w:szCs w:val="28"/>
          <w:highlight w:val="none"/>
        </w:rPr>
        <w:t>评价组在前期调研的基础上，按照资料清单，收集法规文件、会议记录、财务凭证等资料，并通过发放调查问卷等方式收集佐证材料证据，全面考察项目执行情况。</w:t>
      </w:r>
    </w:p>
    <w:p>
      <w:pPr>
        <w:pStyle w:val="2"/>
        <w:tabs>
          <w:tab w:val="left" w:pos="510"/>
          <w:tab w:val="left" w:pos="675"/>
        </w:tabs>
        <w:spacing w:line="560" w:lineRule="exact"/>
        <w:ind w:firstLine="640" w:firstLineChars="200"/>
        <w:rPr>
          <w:rFonts w:ascii="仿宋_GB2312" w:hAnsi="仿宋_GB2312" w:cs="仿宋_GB2312"/>
          <w:szCs w:val="28"/>
          <w:highlight w:val="none"/>
        </w:rPr>
      </w:pPr>
      <w:r>
        <w:rPr>
          <w:rFonts w:hint="eastAsia" w:ascii="仿宋_GB2312" w:hAnsi="仿宋_GB2312" w:cs="仿宋_GB2312"/>
          <w:szCs w:val="28"/>
          <w:highlight w:val="none"/>
        </w:rPr>
        <w:t>本次绩效评价的证据收集途径主要有</w:t>
      </w:r>
      <w:r>
        <w:rPr>
          <w:rFonts w:hint="eastAsia" w:ascii="仿宋_GB2312" w:hAnsi="仿宋_GB2312" w:cs="仿宋_GB2312"/>
          <w:szCs w:val="28"/>
          <w:highlight w:val="none"/>
          <w:lang w:eastAsia="zh-CN"/>
        </w:rPr>
        <w:t>：</w:t>
      </w:r>
    </w:p>
    <w:p>
      <w:pPr>
        <w:pStyle w:val="2"/>
        <w:tabs>
          <w:tab w:val="left" w:pos="510"/>
          <w:tab w:val="left" w:pos="675"/>
        </w:tabs>
        <w:spacing w:line="560" w:lineRule="exact"/>
        <w:ind w:firstLine="640" w:firstLineChars="200"/>
        <w:rPr>
          <w:rFonts w:ascii="仿宋_GB2312" w:hAnsi="仿宋_GB2312" w:cs="仿宋_GB2312"/>
          <w:szCs w:val="28"/>
          <w:highlight w:val="none"/>
        </w:rPr>
      </w:pPr>
      <w:r>
        <w:rPr>
          <w:rFonts w:hint="eastAsia" w:ascii="仿宋_GB2312" w:hAnsi="仿宋_GB2312" w:cs="仿宋_GB2312"/>
          <w:szCs w:val="28"/>
          <w:highlight w:val="none"/>
        </w:rPr>
        <w:t>（1）由各项目实施法院提供基础数据资料</w:t>
      </w:r>
      <w:r>
        <w:rPr>
          <w:rFonts w:hint="eastAsia" w:ascii="仿宋_GB2312" w:hAnsi="仿宋_GB2312" w:cs="仿宋_GB2312"/>
          <w:szCs w:val="28"/>
          <w:highlight w:val="none"/>
          <w:lang w:eastAsia="zh-CN"/>
        </w:rPr>
        <w:t>；</w:t>
      </w:r>
    </w:p>
    <w:p>
      <w:pPr>
        <w:pStyle w:val="2"/>
        <w:tabs>
          <w:tab w:val="left" w:pos="510"/>
          <w:tab w:val="left" w:pos="675"/>
        </w:tabs>
        <w:spacing w:line="560" w:lineRule="exact"/>
        <w:ind w:firstLine="640" w:firstLineChars="200"/>
        <w:rPr>
          <w:rFonts w:ascii="仿宋_GB2312" w:hAnsi="仿宋_GB2312" w:cs="仿宋_GB2312"/>
          <w:szCs w:val="28"/>
          <w:highlight w:val="none"/>
        </w:rPr>
      </w:pPr>
      <w:r>
        <w:rPr>
          <w:rFonts w:hint="eastAsia" w:ascii="仿宋_GB2312" w:hAnsi="仿宋_GB2312" w:cs="仿宋_GB2312"/>
          <w:szCs w:val="28"/>
          <w:highlight w:val="none"/>
        </w:rPr>
        <w:t>（2）现场评价时通过与项目实施</w:t>
      </w:r>
      <w:r>
        <w:rPr>
          <w:rFonts w:hint="eastAsia" w:ascii="仿宋_GB2312" w:hAnsi="仿宋_GB2312" w:cs="仿宋_GB2312"/>
          <w:szCs w:val="28"/>
          <w:highlight w:val="none"/>
          <w:lang w:val="en-US" w:eastAsia="zh-CN"/>
        </w:rPr>
        <w:t>法院相关工作人员</w:t>
      </w:r>
      <w:r>
        <w:rPr>
          <w:rFonts w:hint="eastAsia" w:ascii="仿宋_GB2312" w:hAnsi="仿宋_GB2312" w:cs="仿宋_GB2312"/>
          <w:szCs w:val="28"/>
          <w:highlight w:val="none"/>
        </w:rPr>
        <w:t>交流，获取信息，了解项目的成效</w:t>
      </w:r>
      <w:r>
        <w:rPr>
          <w:rFonts w:hint="eastAsia" w:ascii="仿宋_GB2312" w:hAnsi="仿宋_GB2312" w:cs="仿宋_GB2312"/>
          <w:szCs w:val="28"/>
          <w:highlight w:val="none"/>
          <w:lang w:eastAsia="zh-CN"/>
        </w:rPr>
        <w:t>；</w:t>
      </w:r>
    </w:p>
    <w:p>
      <w:pPr>
        <w:pStyle w:val="2"/>
        <w:tabs>
          <w:tab w:val="left" w:pos="510"/>
          <w:tab w:val="left" w:pos="675"/>
        </w:tabs>
        <w:spacing w:line="560" w:lineRule="exact"/>
        <w:ind w:firstLine="640" w:firstLineChars="200"/>
        <w:rPr>
          <w:rFonts w:ascii="仿宋_GB2312" w:hAnsi="仿宋_GB2312" w:cs="仿宋_GB2312"/>
          <w:szCs w:val="28"/>
          <w:highlight w:val="none"/>
        </w:rPr>
      </w:pPr>
      <w:r>
        <w:rPr>
          <w:rFonts w:hint="eastAsia" w:ascii="仿宋_GB2312" w:hAnsi="仿宋_GB2312" w:cs="仿宋_GB2312"/>
          <w:szCs w:val="28"/>
          <w:highlight w:val="none"/>
          <w:lang w:eastAsia="zh-CN"/>
        </w:rPr>
        <w:t>（</w:t>
      </w:r>
      <w:r>
        <w:rPr>
          <w:rFonts w:hint="eastAsia" w:ascii="仿宋_GB2312" w:hAnsi="仿宋_GB2312" w:cs="仿宋_GB2312"/>
          <w:szCs w:val="28"/>
          <w:highlight w:val="none"/>
          <w:lang w:val="en-US" w:eastAsia="zh-CN"/>
        </w:rPr>
        <w:t>3</w:t>
      </w:r>
      <w:r>
        <w:rPr>
          <w:rFonts w:hint="eastAsia" w:ascii="仿宋_GB2312" w:hAnsi="仿宋_GB2312" w:cs="仿宋_GB2312"/>
          <w:szCs w:val="28"/>
          <w:highlight w:val="none"/>
          <w:lang w:eastAsia="zh-CN"/>
        </w:rPr>
        <w:t>）</w:t>
      </w:r>
      <w:r>
        <w:rPr>
          <w:rFonts w:hint="eastAsia" w:ascii="仿宋_GB2312" w:hAnsi="仿宋_GB2312" w:eastAsia="仿宋_GB2312" w:cs="仿宋_GB2312"/>
          <w:szCs w:val="28"/>
          <w:highlight w:val="none"/>
        </w:rPr>
        <w:t>对</w:t>
      </w:r>
      <w:r>
        <w:rPr>
          <w:rFonts w:hint="eastAsia" w:ascii="仿宋_GB2312" w:hAnsi="仿宋_GB2312" w:cs="仿宋_GB2312"/>
          <w:szCs w:val="28"/>
          <w:highlight w:val="none"/>
          <w:lang w:val="en-US" w:eastAsia="zh-CN"/>
        </w:rPr>
        <w:t>项目服务对象</w:t>
      </w:r>
      <w:r>
        <w:rPr>
          <w:rFonts w:hint="eastAsia" w:ascii="仿宋_GB2312" w:hAnsi="仿宋_GB2312" w:eastAsia="仿宋_GB2312" w:cs="仿宋_GB2312"/>
          <w:szCs w:val="28"/>
          <w:highlight w:val="none"/>
        </w:rPr>
        <w:t>进行问卷调查，获取满意度数据</w:t>
      </w:r>
      <w:r>
        <w:rPr>
          <w:rFonts w:hint="eastAsia" w:ascii="仿宋_GB2312" w:hAnsi="仿宋_GB2312" w:cs="仿宋_GB2312"/>
          <w:szCs w:val="28"/>
          <w:highlight w:val="none"/>
          <w:lang w:eastAsia="zh-CN"/>
        </w:rPr>
        <w:t>。</w:t>
      </w:r>
    </w:p>
    <w:p>
      <w:pPr>
        <w:pStyle w:val="2"/>
        <w:spacing w:line="560" w:lineRule="exact"/>
        <w:ind w:firstLine="643" w:firstLineChars="200"/>
        <w:outlineLvl w:val="1"/>
        <w:rPr>
          <w:rFonts w:ascii="楷体" w:hAnsi="楷体" w:eastAsia="楷体" w:cs="楷体"/>
          <w:b/>
          <w:bCs/>
          <w:highlight w:val="none"/>
        </w:rPr>
      </w:pPr>
      <w:bookmarkStart w:id="108" w:name="_Toc6432"/>
      <w:bookmarkStart w:id="109" w:name="_Toc23743"/>
      <w:r>
        <w:rPr>
          <w:rFonts w:hint="eastAsia" w:ascii="楷体" w:hAnsi="楷体" w:eastAsia="楷体" w:cs="楷体"/>
          <w:b/>
          <w:bCs/>
          <w:highlight w:val="none"/>
        </w:rPr>
        <w:t>（六）评价人员组成</w:t>
      </w:r>
      <w:bookmarkEnd w:id="108"/>
      <w:bookmarkEnd w:id="109"/>
    </w:p>
    <w:p>
      <w:pPr>
        <w:pStyle w:val="2"/>
        <w:tabs>
          <w:tab w:val="left" w:pos="510"/>
          <w:tab w:val="left" w:pos="675"/>
        </w:tabs>
        <w:spacing w:line="560" w:lineRule="exact"/>
        <w:ind w:firstLine="640" w:firstLineChars="200"/>
        <w:rPr>
          <w:rFonts w:ascii="仿宋_GB2312" w:hAnsi="仿宋_GB2312" w:cs="仿宋_GB2312"/>
          <w:szCs w:val="28"/>
          <w:highlight w:val="none"/>
        </w:rPr>
      </w:pPr>
      <w:bookmarkStart w:id="110" w:name="_Toc8104"/>
      <w:r>
        <w:rPr>
          <w:rFonts w:hint="eastAsia" w:ascii="仿宋_GB2312" w:hAnsi="仿宋_GB2312" w:cs="仿宋_GB2312"/>
          <w:szCs w:val="28"/>
          <w:highlight w:val="none"/>
        </w:rPr>
        <w:t>按照绩效评价工作要求，为了较好地完成本次绩效评价工作，评价工作组人员名单及职责分工情况见下表：</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9"/>
        <w:gridCol w:w="1161"/>
        <w:gridCol w:w="1470"/>
        <w:gridCol w:w="2175"/>
        <w:gridCol w:w="2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949"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b/>
                <w:bCs/>
                <w:color w:val="auto"/>
                <w:kern w:val="2"/>
                <w:sz w:val="24"/>
                <w:szCs w:val="24"/>
                <w:highlight w:val="none"/>
                <w:shd w:val="clear" w:color="auto" w:fill="FFFFFF"/>
                <w:vertAlign w:val="baseline"/>
                <w:lang w:val="en-US" w:eastAsia="zh-CN" w:bidi="ar-SA"/>
              </w:rPr>
            </w:pPr>
            <w:r>
              <w:rPr>
                <w:rFonts w:hint="eastAsia" w:ascii="宋体" w:hAnsi="宋体" w:eastAsia="宋体" w:cs="Times New Roman"/>
                <w:b/>
                <w:bCs/>
                <w:color w:val="auto"/>
                <w:kern w:val="2"/>
                <w:sz w:val="24"/>
                <w:szCs w:val="24"/>
                <w:highlight w:val="none"/>
                <w:shd w:val="clear" w:color="auto" w:fill="FFFFFF"/>
                <w:vertAlign w:val="baseline"/>
                <w:lang w:val="en-US" w:eastAsia="zh-CN" w:bidi="ar-SA"/>
              </w:rPr>
              <w:t>序号</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b/>
                <w:bCs/>
                <w:color w:val="auto"/>
                <w:kern w:val="2"/>
                <w:sz w:val="24"/>
                <w:szCs w:val="24"/>
                <w:highlight w:val="none"/>
                <w:shd w:val="clear" w:color="auto" w:fill="FFFFFF"/>
                <w:vertAlign w:val="baseline"/>
                <w:lang w:val="en-US" w:eastAsia="zh-CN" w:bidi="ar-SA"/>
              </w:rPr>
            </w:pPr>
            <w:r>
              <w:rPr>
                <w:rFonts w:hint="eastAsia" w:ascii="宋体" w:hAnsi="宋体" w:eastAsia="宋体" w:cs="Times New Roman"/>
                <w:b/>
                <w:bCs/>
                <w:color w:val="auto"/>
                <w:kern w:val="2"/>
                <w:sz w:val="24"/>
                <w:szCs w:val="24"/>
                <w:highlight w:val="none"/>
                <w:shd w:val="clear" w:color="auto" w:fill="FFFFFF"/>
                <w:vertAlign w:val="baseline"/>
                <w:lang w:val="en-US" w:eastAsia="zh-CN" w:bidi="ar-SA"/>
              </w:rPr>
              <w:t>姓名</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b/>
                <w:bCs/>
                <w:color w:val="auto"/>
                <w:kern w:val="2"/>
                <w:sz w:val="24"/>
                <w:szCs w:val="24"/>
                <w:highlight w:val="none"/>
                <w:shd w:val="clear" w:color="auto" w:fill="FFFFFF"/>
                <w:vertAlign w:val="baseline"/>
                <w:lang w:val="en-US" w:eastAsia="zh-CN" w:bidi="ar-SA"/>
              </w:rPr>
            </w:pPr>
            <w:r>
              <w:rPr>
                <w:rFonts w:hint="eastAsia" w:ascii="宋体" w:hAnsi="宋体" w:eastAsia="宋体" w:cs="Times New Roman"/>
                <w:b/>
                <w:bCs/>
                <w:color w:val="auto"/>
                <w:kern w:val="2"/>
                <w:sz w:val="24"/>
                <w:szCs w:val="24"/>
                <w:highlight w:val="none"/>
                <w:shd w:val="clear" w:color="auto" w:fill="FFFFFF"/>
                <w:vertAlign w:val="baseline"/>
                <w:lang w:val="en-US" w:eastAsia="zh-CN" w:bidi="ar-SA"/>
              </w:rPr>
              <w:t>职务</w:t>
            </w:r>
          </w:p>
        </w:tc>
        <w:tc>
          <w:tcPr>
            <w:tcW w:w="2175"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b/>
                <w:bCs/>
                <w:color w:val="auto"/>
                <w:kern w:val="2"/>
                <w:sz w:val="24"/>
                <w:szCs w:val="24"/>
                <w:highlight w:val="none"/>
                <w:shd w:val="clear" w:color="auto" w:fill="FFFFFF"/>
                <w:vertAlign w:val="baseline"/>
                <w:lang w:val="en-US" w:eastAsia="zh-CN" w:bidi="ar-SA"/>
              </w:rPr>
            </w:pPr>
            <w:r>
              <w:rPr>
                <w:rFonts w:hint="eastAsia" w:ascii="宋体" w:hAnsi="宋体" w:eastAsia="宋体" w:cs="Times New Roman"/>
                <w:b/>
                <w:bCs/>
                <w:color w:val="auto"/>
                <w:kern w:val="2"/>
                <w:sz w:val="24"/>
                <w:szCs w:val="24"/>
                <w:highlight w:val="none"/>
                <w:shd w:val="clear" w:color="auto" w:fill="FFFFFF"/>
                <w:vertAlign w:val="baseline"/>
                <w:lang w:val="en-US" w:eastAsia="zh-CN" w:bidi="ar-SA"/>
              </w:rPr>
              <w:t>职称和职业资格</w:t>
            </w:r>
          </w:p>
        </w:tc>
        <w:tc>
          <w:tcPr>
            <w:tcW w:w="2767" w:type="dxa"/>
            <w:noWrap w:val="0"/>
            <w:vAlign w:val="top"/>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b/>
                <w:bCs/>
                <w:color w:val="auto"/>
                <w:kern w:val="2"/>
                <w:sz w:val="24"/>
                <w:szCs w:val="24"/>
                <w:highlight w:val="none"/>
                <w:shd w:val="clear" w:color="auto" w:fill="FFFFFF"/>
                <w:vertAlign w:val="baseline"/>
                <w:lang w:val="en-US" w:eastAsia="zh-CN" w:bidi="ar-SA"/>
              </w:rPr>
            </w:pPr>
            <w:r>
              <w:rPr>
                <w:rFonts w:hint="eastAsia" w:ascii="宋体" w:hAnsi="宋体" w:eastAsia="宋体" w:cs="Times New Roman"/>
                <w:b/>
                <w:bCs/>
                <w:color w:val="auto"/>
                <w:kern w:val="2"/>
                <w:sz w:val="24"/>
                <w:szCs w:val="24"/>
                <w:highlight w:val="none"/>
                <w:shd w:val="clear" w:color="auto" w:fill="FFFFFF"/>
                <w:vertAlign w:val="baseline"/>
                <w:lang w:val="en-US" w:eastAsia="zh-CN" w:bidi="ar-SA"/>
              </w:rPr>
              <w:t>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1</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郑生伟</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复核人</w:t>
            </w:r>
          </w:p>
        </w:tc>
        <w:tc>
          <w:tcPr>
            <w:tcW w:w="2175"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绩效评价师</w:t>
            </w:r>
          </w:p>
        </w:tc>
        <w:tc>
          <w:tcPr>
            <w:tcW w:w="2767" w:type="dxa"/>
            <w:noWrap w:val="0"/>
            <w:vAlign w:val="top"/>
          </w:tcPr>
          <w:p>
            <w:pPr>
              <w:pStyle w:val="2"/>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绩效评价指导、复核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2</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刘燕</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主评人</w:t>
            </w:r>
          </w:p>
        </w:tc>
        <w:tc>
          <w:tcPr>
            <w:tcW w:w="2175"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绩效评价师</w:t>
            </w:r>
          </w:p>
        </w:tc>
        <w:tc>
          <w:tcPr>
            <w:tcW w:w="2767" w:type="dxa"/>
            <w:vMerge w:val="restart"/>
            <w:noWrap w:val="0"/>
            <w:vAlign w:val="top"/>
          </w:tcPr>
          <w:p>
            <w:pPr>
              <w:pStyle w:val="2"/>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制定评价方案、评价报告撰写、现场及非现场评价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3</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eastAsia="宋体" w:cs="Times New Roman"/>
                <w:color w:val="auto"/>
                <w:kern w:val="2"/>
                <w:sz w:val="24"/>
                <w:szCs w:val="24"/>
                <w:highlight w:val="none"/>
                <w:shd w:val="clear" w:color="auto" w:fill="FFFFFF"/>
                <w:vertAlign w:val="baseline"/>
                <w:lang w:val="en-US" w:eastAsia="zh-CN" w:bidi="ar-SA"/>
              </w:rPr>
              <w:t>刘淑萍</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主评人</w:t>
            </w:r>
          </w:p>
        </w:tc>
        <w:tc>
          <w:tcPr>
            <w:tcW w:w="2175"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高级会计师</w:t>
            </w:r>
          </w:p>
        </w:tc>
        <w:tc>
          <w:tcPr>
            <w:tcW w:w="2767" w:type="dxa"/>
            <w:vMerge w:val="continue"/>
            <w:noWrap w:val="0"/>
            <w:vAlign w:val="top"/>
          </w:tcPr>
          <w:p>
            <w:pPr>
              <w:pStyle w:val="2"/>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4</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向文霞</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组长</w:t>
            </w:r>
          </w:p>
        </w:tc>
        <w:tc>
          <w:tcPr>
            <w:tcW w:w="2175" w:type="dxa"/>
            <w:noWrap w:val="0"/>
            <w:vAlign w:val="center"/>
          </w:tcPr>
          <w:p>
            <w:pPr>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会计师</w:t>
            </w:r>
          </w:p>
        </w:tc>
        <w:tc>
          <w:tcPr>
            <w:tcW w:w="2767" w:type="dxa"/>
            <w:vMerge w:val="restart"/>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资料收集、审核、整理分析、现场及非现场评价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5</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吕晓芳</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组长</w:t>
            </w:r>
          </w:p>
        </w:tc>
        <w:tc>
          <w:tcPr>
            <w:tcW w:w="2175" w:type="dxa"/>
            <w:noWrap w:val="0"/>
            <w:vAlign w:val="center"/>
          </w:tcPr>
          <w:p>
            <w:pPr>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会计师</w:t>
            </w:r>
          </w:p>
        </w:tc>
        <w:tc>
          <w:tcPr>
            <w:tcW w:w="2767" w:type="dxa"/>
            <w:vMerge w:val="continue"/>
            <w:noWrap w:val="0"/>
            <w:vAlign w:val="top"/>
          </w:tcPr>
          <w:p>
            <w:pPr>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6</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肖涵</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组长</w:t>
            </w:r>
          </w:p>
        </w:tc>
        <w:tc>
          <w:tcPr>
            <w:tcW w:w="2175"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会计师</w:t>
            </w:r>
          </w:p>
        </w:tc>
        <w:tc>
          <w:tcPr>
            <w:tcW w:w="2767" w:type="dxa"/>
            <w:vMerge w:val="continue"/>
            <w:noWrap w:val="0"/>
            <w:vAlign w:val="top"/>
          </w:tcPr>
          <w:p>
            <w:pPr>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7</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张振勇</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组员</w:t>
            </w:r>
          </w:p>
        </w:tc>
        <w:tc>
          <w:tcPr>
            <w:tcW w:w="2175" w:type="dxa"/>
            <w:noWrap w:val="0"/>
            <w:vAlign w:val="center"/>
          </w:tcPr>
          <w:p>
            <w:pPr>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助理会计师</w:t>
            </w:r>
          </w:p>
        </w:tc>
        <w:tc>
          <w:tcPr>
            <w:tcW w:w="2767" w:type="dxa"/>
            <w:vMerge w:val="continue"/>
            <w:noWrap w:val="0"/>
            <w:vAlign w:val="top"/>
          </w:tcPr>
          <w:p>
            <w:pPr>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8</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赵悦江</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组员</w:t>
            </w:r>
          </w:p>
        </w:tc>
        <w:tc>
          <w:tcPr>
            <w:tcW w:w="2175" w:type="dxa"/>
            <w:noWrap w:val="0"/>
            <w:vAlign w:val="center"/>
          </w:tcPr>
          <w:p>
            <w:pPr>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助理会计师</w:t>
            </w:r>
          </w:p>
        </w:tc>
        <w:tc>
          <w:tcPr>
            <w:tcW w:w="2767" w:type="dxa"/>
            <w:vMerge w:val="continue"/>
            <w:noWrap w:val="0"/>
            <w:vAlign w:val="top"/>
          </w:tcPr>
          <w:p>
            <w:pPr>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9</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李乐乐</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组员</w:t>
            </w:r>
          </w:p>
        </w:tc>
        <w:tc>
          <w:tcPr>
            <w:tcW w:w="2175" w:type="dxa"/>
            <w:noWrap w:val="0"/>
            <w:vAlign w:val="center"/>
          </w:tcPr>
          <w:p>
            <w:pPr>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助理会计师</w:t>
            </w:r>
          </w:p>
        </w:tc>
        <w:tc>
          <w:tcPr>
            <w:tcW w:w="2767" w:type="dxa"/>
            <w:vMerge w:val="continue"/>
            <w:noWrap w:val="0"/>
            <w:vAlign w:val="top"/>
          </w:tcPr>
          <w:p>
            <w:pPr>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p>
        </w:tc>
      </w:tr>
    </w:tbl>
    <w:p>
      <w:pPr>
        <w:pStyle w:val="2"/>
        <w:spacing w:line="560" w:lineRule="exact"/>
        <w:ind w:firstLine="643" w:firstLineChars="200"/>
        <w:outlineLvl w:val="1"/>
        <w:rPr>
          <w:rFonts w:ascii="楷体" w:hAnsi="楷体" w:eastAsia="楷体" w:cs="楷体"/>
          <w:b/>
          <w:bCs/>
          <w:highlight w:val="none"/>
        </w:rPr>
      </w:pPr>
      <w:bookmarkStart w:id="111" w:name="_Toc26074"/>
      <w:r>
        <w:rPr>
          <w:rFonts w:hint="eastAsia" w:ascii="楷体" w:hAnsi="楷体" w:eastAsia="楷体" w:cs="楷体"/>
          <w:b/>
          <w:bCs/>
          <w:highlight w:val="none"/>
        </w:rPr>
        <w:t>（七）绩效评价工作过程</w:t>
      </w:r>
      <w:bookmarkEnd w:id="110"/>
      <w:bookmarkEnd w:id="111"/>
    </w:p>
    <w:p>
      <w:pPr>
        <w:pStyle w:val="2"/>
        <w:spacing w:line="560" w:lineRule="exact"/>
        <w:ind w:firstLine="640" w:firstLineChars="200"/>
        <w:rPr>
          <w:rFonts w:ascii="仿宋_GB2312" w:hAnsi="仿宋_GB2312" w:cs="仿宋_GB2312"/>
          <w:highlight w:val="none"/>
        </w:rPr>
      </w:pPr>
      <w:bookmarkStart w:id="112" w:name="_Toc27041"/>
      <w:bookmarkStart w:id="113" w:name="_Toc1946"/>
      <w:bookmarkStart w:id="114" w:name="_Toc31135"/>
      <w:bookmarkStart w:id="115" w:name="_Toc10150"/>
      <w:r>
        <w:rPr>
          <w:rFonts w:hint="eastAsia" w:ascii="仿宋_GB2312" w:hAnsi="仿宋_GB2312" w:cs="仿宋_GB2312"/>
          <w:highlight w:val="none"/>
        </w:rPr>
        <w:t>绩效评价工作过程主要包括准备阶段、实施阶段、撰写报告阶段三个阶段。</w:t>
      </w:r>
      <w:bookmarkEnd w:id="112"/>
      <w:bookmarkEnd w:id="113"/>
      <w:bookmarkEnd w:id="114"/>
      <w:bookmarkEnd w:id="115"/>
    </w:p>
    <w:p>
      <w:pPr>
        <w:pStyle w:val="6"/>
        <w:keepNext w:val="0"/>
        <w:keepLines w:val="0"/>
        <w:spacing w:before="0" w:after="0" w:line="560" w:lineRule="exact"/>
        <w:ind w:firstLine="643" w:firstLineChars="200"/>
        <w:rPr>
          <w:rFonts w:ascii="仿宋_GB2312" w:hAnsi="仿宋_GB2312" w:eastAsia="仿宋_GB2312" w:cs="仿宋_GB2312"/>
          <w:color w:val="000000" w:themeColor="text1"/>
          <w:szCs w:val="32"/>
          <w:highlight w:val="none"/>
          <w14:textFill>
            <w14:solidFill>
              <w14:schemeClr w14:val="tx1"/>
            </w14:solidFill>
          </w14:textFill>
        </w:rPr>
      </w:pPr>
      <w:r>
        <w:rPr>
          <w:rFonts w:hint="eastAsia" w:ascii="仿宋_GB2312" w:hAnsi="仿宋_GB2312" w:eastAsia="仿宋_GB2312" w:cs="仿宋_GB2312"/>
          <w:color w:val="000000" w:themeColor="text1"/>
          <w:szCs w:val="32"/>
          <w:highlight w:val="none"/>
          <w14:textFill>
            <w14:solidFill>
              <w14:schemeClr w14:val="tx1"/>
            </w14:solidFill>
          </w14:textFill>
        </w:rPr>
        <w:t>1.准备阶段</w:t>
      </w:r>
    </w:p>
    <w:p>
      <w:pPr>
        <w:pStyle w:val="2"/>
        <w:tabs>
          <w:tab w:val="left" w:pos="510"/>
          <w:tab w:val="left" w:pos="675"/>
        </w:tabs>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（1）确定绩效评价组</w:t>
      </w:r>
    </w:p>
    <w:p>
      <w:pPr>
        <w:pStyle w:val="2"/>
        <w:tabs>
          <w:tab w:val="left" w:pos="510"/>
          <w:tab w:val="left" w:pos="675"/>
        </w:tabs>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省法院组织召开了绩效评价专题工作会议，安排部署本次绩效评价工作。绩效评价小组根据评价目的和评价内容，明确了工作范围和职责，组织评价组人员进行</w:t>
      </w:r>
      <w:r>
        <w:rPr>
          <w:rFonts w:hint="eastAsia" w:ascii="仿宋_GB2312" w:hAnsi="仿宋_GB2312" w:cs="仿宋_GB2312"/>
          <w:highlight w:val="none"/>
          <w:lang w:eastAsia="zh-CN"/>
        </w:rPr>
        <w:t>了</w:t>
      </w:r>
      <w:r>
        <w:rPr>
          <w:rFonts w:hint="eastAsia" w:ascii="仿宋_GB2312" w:hAnsi="仿宋_GB2312" w:cs="仿宋_GB2312"/>
          <w:highlight w:val="none"/>
        </w:rPr>
        <w:t>业务培训，认真学习了相关政策法规制度、评价指标体系和评价方案，明确评价工作程序及要求，解析评价指标体系，使各参评人员对绩效评价情况</w:t>
      </w:r>
      <w:r>
        <w:rPr>
          <w:rFonts w:hint="eastAsia" w:ascii="仿宋_GB2312" w:hAnsi="仿宋_GB2312" w:cs="仿宋_GB2312"/>
          <w:highlight w:val="none"/>
          <w:lang w:eastAsia="zh-CN"/>
        </w:rPr>
        <w:t>作</w:t>
      </w:r>
      <w:r>
        <w:rPr>
          <w:rFonts w:hint="eastAsia" w:ascii="仿宋_GB2312" w:hAnsi="仿宋_GB2312" w:cs="仿宋_GB2312"/>
          <w:highlight w:val="none"/>
        </w:rPr>
        <w:t>进一步了解。</w:t>
      </w:r>
    </w:p>
    <w:p>
      <w:pPr>
        <w:pStyle w:val="2"/>
        <w:tabs>
          <w:tab w:val="left" w:pos="510"/>
          <w:tab w:val="left" w:pos="675"/>
        </w:tabs>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（2）评价时间安排</w:t>
      </w:r>
    </w:p>
    <w:p>
      <w:pPr>
        <w:pStyle w:val="2"/>
        <w:tabs>
          <w:tab w:val="left" w:pos="510"/>
          <w:tab w:val="left" w:pos="675"/>
        </w:tabs>
        <w:spacing w:line="560" w:lineRule="exact"/>
        <w:ind w:firstLine="640" w:firstLineChars="200"/>
        <w:rPr>
          <w:rFonts w:hint="eastAsia" w:ascii="仿宋_GB2312" w:hAnsi="仿宋_GB2312" w:eastAsia="仿宋_GB2312" w:cs="仿宋_GB2312"/>
          <w:highlight w:val="none"/>
          <w:lang w:eastAsia="zh-CN"/>
        </w:rPr>
      </w:pPr>
      <w:r>
        <w:rPr>
          <w:rFonts w:hint="eastAsia" w:ascii="仿宋_GB2312" w:hAnsi="仿宋_GB2312" w:cs="仿宋_GB2312"/>
          <w:highlight w:val="none"/>
        </w:rPr>
        <w:t>根据《甘肃省财政厅关于开展2022年度省级预算执行情况部门和财政重点绩效评价工作的通知》（甘财绩〔2023〕3号）文件要求，以及和委托方省法院的沟通协调，确定评价时间</w:t>
      </w:r>
      <w:r>
        <w:rPr>
          <w:rFonts w:hint="eastAsia" w:ascii="仿宋_GB2312" w:hAnsi="仿宋_GB2312" w:cs="仿宋_GB2312"/>
          <w:highlight w:val="none"/>
          <w:lang w:val="en-US" w:eastAsia="zh-CN"/>
        </w:rPr>
        <w:t>为</w:t>
      </w:r>
      <w:r>
        <w:rPr>
          <w:rFonts w:hint="eastAsia" w:ascii="仿宋_GB2312" w:hAnsi="仿宋_GB2312" w:cs="仿宋_GB2312"/>
          <w:highlight w:val="none"/>
        </w:rPr>
        <w:t>2023年4月1日—2023年5月31日</w:t>
      </w:r>
      <w:r>
        <w:rPr>
          <w:rFonts w:hint="eastAsia" w:ascii="仿宋_GB2312" w:hAnsi="仿宋_GB2312" w:cs="仿宋_GB2312"/>
          <w:highlight w:val="none"/>
          <w:lang w:eastAsia="zh-CN"/>
        </w:rPr>
        <w:t>。</w:t>
      </w:r>
    </w:p>
    <w:p>
      <w:pPr>
        <w:pStyle w:val="2"/>
        <w:tabs>
          <w:tab w:val="left" w:pos="510"/>
          <w:tab w:val="left" w:pos="675"/>
        </w:tabs>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（3）评价方式确定</w:t>
      </w:r>
    </w:p>
    <w:p>
      <w:pPr>
        <w:pStyle w:val="2"/>
        <w:tabs>
          <w:tab w:val="left" w:pos="510"/>
          <w:tab w:val="left" w:pos="675"/>
        </w:tabs>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本次绩效评价的对象为</w:t>
      </w:r>
      <w:r>
        <w:rPr>
          <w:rFonts w:hint="eastAsia" w:ascii="仿宋_GB2312" w:hAnsi="仿宋_GB2312" w:cs="仿宋_GB2312"/>
          <w:highlight w:val="none"/>
          <w:lang w:eastAsia="zh-CN"/>
        </w:rPr>
        <w:t>“</w:t>
      </w:r>
      <w:r>
        <w:rPr>
          <w:rFonts w:hint="eastAsia" w:ascii="仿宋_GB2312" w:hAnsi="仿宋_GB2312" w:cs="仿宋_GB2312"/>
          <w:highlight w:val="none"/>
        </w:rPr>
        <w:t>全省法院人民法庭维修经费</w:t>
      </w:r>
      <w:r>
        <w:rPr>
          <w:rFonts w:hint="eastAsia" w:ascii="仿宋_GB2312" w:hAnsi="仿宋_GB2312" w:cs="仿宋_GB2312"/>
          <w:highlight w:val="none"/>
          <w:lang w:eastAsia="zh-CN"/>
        </w:rPr>
        <w:t>”</w:t>
      </w:r>
      <w:r>
        <w:rPr>
          <w:rFonts w:hint="eastAsia" w:ascii="仿宋_GB2312" w:hAnsi="仿宋_GB2312" w:cs="仿宋_GB2312"/>
          <w:highlight w:val="none"/>
        </w:rPr>
        <w:t>项目，经与省法院沟通决定采取现场评价与非现场评价相结合的方式进行本次评价。</w:t>
      </w:r>
    </w:p>
    <w:p>
      <w:pPr>
        <w:pStyle w:val="6"/>
        <w:keepNext w:val="0"/>
        <w:keepLines w:val="0"/>
        <w:spacing w:before="0" w:after="0" w:line="560" w:lineRule="exact"/>
        <w:ind w:firstLine="643" w:firstLineChars="200"/>
        <w:rPr>
          <w:rFonts w:ascii="仿宋_GB2312" w:hAnsi="仿宋_GB2312" w:eastAsia="仿宋_GB2312" w:cs="仿宋_GB2312"/>
          <w:color w:val="000000" w:themeColor="text1"/>
          <w:szCs w:val="32"/>
          <w:highlight w:val="none"/>
          <w14:textFill>
            <w14:solidFill>
              <w14:schemeClr w14:val="tx1"/>
            </w14:solidFill>
          </w14:textFill>
        </w:rPr>
      </w:pPr>
      <w:r>
        <w:rPr>
          <w:rFonts w:hint="eastAsia" w:ascii="仿宋_GB2312" w:hAnsi="仿宋_GB2312" w:eastAsia="仿宋_GB2312" w:cs="仿宋_GB2312"/>
          <w:color w:val="000000" w:themeColor="text1"/>
          <w:szCs w:val="32"/>
          <w:highlight w:val="none"/>
          <w14:textFill>
            <w14:solidFill>
              <w14:schemeClr w14:val="tx1"/>
            </w14:solidFill>
          </w14:textFill>
        </w:rPr>
        <w:t>2.实施阶段</w:t>
      </w:r>
    </w:p>
    <w:p>
      <w:pPr>
        <w:pStyle w:val="2"/>
        <w:tabs>
          <w:tab w:val="left" w:pos="510"/>
          <w:tab w:val="left" w:pos="675"/>
        </w:tabs>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（1）下</w:t>
      </w:r>
      <w:r>
        <w:rPr>
          <w:rFonts w:hint="eastAsia" w:ascii="仿宋_GB2312" w:hAnsi="仿宋_GB2312" w:cs="仿宋_GB2312"/>
          <w:highlight w:val="none"/>
          <w:lang w:val="en-US" w:eastAsia="zh-CN"/>
        </w:rPr>
        <w:t>发</w:t>
      </w:r>
      <w:r>
        <w:rPr>
          <w:rFonts w:hint="eastAsia" w:ascii="仿宋_GB2312" w:hAnsi="仿宋_GB2312" w:cs="仿宋_GB2312"/>
          <w:highlight w:val="none"/>
        </w:rPr>
        <w:t>评价通知</w:t>
      </w:r>
    </w:p>
    <w:p>
      <w:pPr>
        <w:pStyle w:val="2"/>
        <w:tabs>
          <w:tab w:val="left" w:pos="510"/>
          <w:tab w:val="left" w:pos="675"/>
        </w:tabs>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省法院给各</w:t>
      </w:r>
      <w:r>
        <w:rPr>
          <w:rFonts w:hint="eastAsia" w:ascii="仿宋_GB2312" w:hAnsi="仿宋_GB2312" w:cs="仿宋_GB2312"/>
          <w:highlight w:val="none"/>
          <w:lang w:val="en-US" w:eastAsia="zh-CN"/>
        </w:rPr>
        <w:t>项目实施</w:t>
      </w:r>
      <w:r>
        <w:rPr>
          <w:rFonts w:hint="eastAsia" w:ascii="仿宋_GB2312" w:hAnsi="仿宋_GB2312" w:cs="仿宋_GB2312"/>
          <w:highlight w:val="none"/>
        </w:rPr>
        <w:t>法院下发评价通知，绩效评价组在拟开展现场评价的5个工作日前向各</w:t>
      </w:r>
      <w:r>
        <w:rPr>
          <w:rFonts w:hint="eastAsia" w:ascii="仿宋_GB2312" w:hAnsi="仿宋_GB2312" w:cs="仿宋_GB2312"/>
          <w:highlight w:val="none"/>
          <w:lang w:val="en-US" w:eastAsia="zh-CN"/>
        </w:rPr>
        <w:t>项目实施</w:t>
      </w:r>
      <w:r>
        <w:rPr>
          <w:rFonts w:hint="eastAsia" w:ascii="仿宋_GB2312" w:hAnsi="仿宋_GB2312" w:cs="仿宋_GB2312"/>
          <w:highlight w:val="none"/>
        </w:rPr>
        <w:t>法院发送资料清单，提前准备评价资料。</w:t>
      </w:r>
    </w:p>
    <w:p>
      <w:pPr>
        <w:pStyle w:val="2"/>
        <w:tabs>
          <w:tab w:val="left" w:pos="510"/>
          <w:tab w:val="left" w:pos="675"/>
        </w:tabs>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（2）进驻评价单位</w:t>
      </w:r>
    </w:p>
    <w:p>
      <w:pPr>
        <w:pStyle w:val="2"/>
        <w:tabs>
          <w:tab w:val="left" w:pos="510"/>
          <w:tab w:val="left" w:pos="675"/>
        </w:tabs>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现场评价阶段，评价组按省法院安排的时间进驻单位，采取访谈</w:t>
      </w:r>
      <w:r>
        <w:rPr>
          <w:rFonts w:hint="eastAsia" w:ascii="仿宋_GB2312" w:hAnsi="仿宋_GB2312" w:cs="仿宋_GB2312"/>
          <w:highlight w:val="none"/>
          <w:lang w:val="en-US" w:eastAsia="zh-CN"/>
        </w:rPr>
        <w:t>的</w:t>
      </w:r>
      <w:r>
        <w:rPr>
          <w:rFonts w:hint="eastAsia" w:ascii="仿宋_GB2312" w:hAnsi="仿宋_GB2312" w:cs="仿宋_GB2312"/>
          <w:highlight w:val="none"/>
        </w:rPr>
        <w:t>方式了解项目基本情况以及重点工作任务完成情况，听取</w:t>
      </w:r>
      <w:r>
        <w:rPr>
          <w:rFonts w:hint="eastAsia" w:ascii="仿宋_GB2312" w:hAnsi="仿宋_GB2312" w:cs="仿宋_GB2312"/>
          <w:highlight w:val="none"/>
          <w:lang w:val="en-US" w:eastAsia="zh-CN"/>
        </w:rPr>
        <w:t>项目相关</w:t>
      </w:r>
      <w:r>
        <w:rPr>
          <w:rFonts w:hint="eastAsia" w:ascii="仿宋_GB2312" w:hAnsi="仿宋_GB2312" w:cs="仿宋_GB2312"/>
          <w:highlight w:val="none"/>
        </w:rPr>
        <w:t>工作人员对项目的目标设定及完成程度、组织管理制度建立健全及落实情况、预算支出执行情况、财务管理状况、资产管理情况和</w:t>
      </w:r>
      <w:r>
        <w:rPr>
          <w:rFonts w:hint="eastAsia" w:ascii="仿宋_GB2312" w:hAnsi="仿宋_GB2312" w:cs="仿宋_GB2312"/>
          <w:highlight w:val="none"/>
          <w:lang w:val="en-US" w:eastAsia="zh-CN"/>
        </w:rPr>
        <w:t>项目实施</w:t>
      </w:r>
      <w:r>
        <w:rPr>
          <w:rFonts w:hint="eastAsia" w:ascii="仿宋_GB2312" w:hAnsi="仿宋_GB2312" w:cs="仿宋_GB2312"/>
          <w:highlight w:val="none"/>
        </w:rPr>
        <w:t>产生的效益效果等情况介绍。</w:t>
      </w:r>
    </w:p>
    <w:p>
      <w:pPr>
        <w:pStyle w:val="2"/>
        <w:tabs>
          <w:tab w:val="left" w:pos="510"/>
          <w:tab w:val="left" w:pos="675"/>
        </w:tabs>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（3）资料分析及复核</w:t>
      </w:r>
    </w:p>
    <w:p>
      <w:pPr>
        <w:pStyle w:val="2"/>
        <w:tabs>
          <w:tab w:val="left" w:pos="510"/>
          <w:tab w:val="left" w:pos="675"/>
        </w:tabs>
        <w:spacing w:line="560" w:lineRule="exact"/>
        <w:ind w:firstLine="640" w:firstLineChars="200"/>
        <w:rPr>
          <w:rFonts w:ascii="仿宋_GB2312" w:hAnsi="仿宋_GB2312" w:cs="仿宋_GB2312"/>
          <w:highlight w:val="none"/>
        </w:rPr>
      </w:pPr>
      <w:r>
        <w:rPr>
          <w:rFonts w:hint="eastAsia" w:ascii="仿宋_GB2312" w:hAnsi="仿宋_GB2312" w:eastAsia="仿宋_GB2312" w:cs="仿宋_GB2312"/>
          <w:sz w:val="32"/>
          <w:szCs w:val="32"/>
          <w:highlight w:val="none"/>
        </w:rPr>
        <w:t>根据访谈了解情况对项目实施</w:t>
      </w:r>
      <w:r>
        <w:rPr>
          <w:rFonts w:hint="eastAsia" w:ascii="仿宋_GB2312" w:hAnsi="仿宋_GB2312" w:eastAsia="仿宋_GB2312" w:cs="仿宋_GB2312"/>
          <w:sz w:val="32"/>
          <w:szCs w:val="32"/>
          <w:highlight w:val="none"/>
          <w:lang w:val="en-US" w:eastAsia="zh-CN"/>
        </w:rPr>
        <w:t>法院</w:t>
      </w:r>
      <w:r>
        <w:rPr>
          <w:rFonts w:hint="eastAsia" w:ascii="仿宋_GB2312" w:hAnsi="仿宋_GB2312" w:eastAsia="仿宋_GB2312" w:cs="仿宋_GB2312"/>
          <w:sz w:val="32"/>
          <w:szCs w:val="32"/>
          <w:highlight w:val="none"/>
        </w:rPr>
        <w:t>提供的资料进行核对，核实其真实性。结合资料进行现场查看，核实各项重点工作任务完成情况的真实性和规范性。</w:t>
      </w:r>
    </w:p>
    <w:p>
      <w:pPr>
        <w:pStyle w:val="2"/>
        <w:tabs>
          <w:tab w:val="left" w:pos="510"/>
          <w:tab w:val="left" w:pos="675"/>
        </w:tabs>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（4）发放调查问卷</w:t>
      </w:r>
    </w:p>
    <w:p>
      <w:pPr>
        <w:pStyle w:val="2"/>
        <w:tabs>
          <w:tab w:val="left" w:pos="510"/>
          <w:tab w:val="left" w:pos="675"/>
        </w:tabs>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lang w:val="en-US" w:eastAsia="zh-CN"/>
        </w:rPr>
        <w:t>采用调查问卷方式</w:t>
      </w:r>
      <w:r>
        <w:rPr>
          <w:rFonts w:hint="eastAsia" w:ascii="仿宋_GB2312" w:hAnsi="仿宋_GB2312" w:cs="仿宋_GB2312"/>
          <w:highlight w:val="none"/>
        </w:rPr>
        <w:t>对项目服务对象“法院工作人员满意度”进行调查，根据需要收集的满意度数据设置调查问卷并认真做好调查表的发放与回收工作。</w:t>
      </w:r>
    </w:p>
    <w:p>
      <w:pPr>
        <w:pStyle w:val="2"/>
        <w:tabs>
          <w:tab w:val="left" w:pos="510"/>
          <w:tab w:val="left" w:pos="675"/>
        </w:tabs>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（5）进行现场评分</w:t>
      </w:r>
    </w:p>
    <w:p>
      <w:pPr>
        <w:pStyle w:val="2"/>
        <w:tabs>
          <w:tab w:val="left" w:pos="510"/>
          <w:tab w:val="left" w:pos="675"/>
        </w:tabs>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针对评价中发现的</w:t>
      </w:r>
      <w:r>
        <w:rPr>
          <w:rFonts w:hint="eastAsia" w:ascii="仿宋_GB2312" w:hAnsi="仿宋_GB2312" w:cs="仿宋_GB2312"/>
          <w:highlight w:val="none"/>
          <w:lang w:val="en-US" w:eastAsia="zh-CN"/>
        </w:rPr>
        <w:t>问题</w:t>
      </w:r>
      <w:r>
        <w:rPr>
          <w:rFonts w:hint="eastAsia" w:ascii="仿宋_GB2312" w:hAnsi="仿宋_GB2312" w:cs="仿宋_GB2312"/>
          <w:highlight w:val="none"/>
        </w:rPr>
        <w:t>与</w:t>
      </w:r>
      <w:r>
        <w:rPr>
          <w:rFonts w:hint="eastAsia" w:ascii="仿宋_GB2312" w:hAnsi="仿宋_GB2312" w:eastAsia="仿宋_GB2312" w:cs="仿宋_GB2312"/>
          <w:sz w:val="32"/>
          <w:szCs w:val="32"/>
          <w:highlight w:val="none"/>
          <w:lang w:val="en-US" w:eastAsia="zh-CN"/>
        </w:rPr>
        <w:t>项目实施法院</w:t>
      </w:r>
      <w:r>
        <w:rPr>
          <w:rFonts w:hint="eastAsia" w:ascii="仿宋_GB2312" w:hAnsi="仿宋_GB2312" w:cs="仿宋_GB2312"/>
          <w:highlight w:val="none"/>
        </w:rPr>
        <w:t>及时沟通，对各项评价指标进行分析讨论，经反复分析、研究，按预先设计的评价指标体系进行现场评价打分。</w:t>
      </w:r>
    </w:p>
    <w:p>
      <w:pPr>
        <w:pStyle w:val="6"/>
        <w:keepNext w:val="0"/>
        <w:keepLines w:val="0"/>
        <w:spacing w:before="0" w:after="0" w:line="560" w:lineRule="exact"/>
        <w:ind w:firstLine="643" w:firstLineChars="200"/>
        <w:rPr>
          <w:rFonts w:ascii="仿宋_GB2312" w:hAnsi="仿宋_GB2312" w:eastAsia="仿宋_GB2312" w:cs="仿宋_GB2312"/>
          <w:color w:val="000000" w:themeColor="text1"/>
          <w:szCs w:val="32"/>
          <w:highlight w:val="none"/>
          <w14:textFill>
            <w14:solidFill>
              <w14:schemeClr w14:val="tx1"/>
            </w14:solidFill>
          </w14:textFill>
        </w:rPr>
      </w:pPr>
      <w:r>
        <w:rPr>
          <w:rFonts w:hint="eastAsia" w:ascii="仿宋_GB2312" w:hAnsi="仿宋_GB2312" w:eastAsia="仿宋_GB2312" w:cs="仿宋_GB2312"/>
          <w:color w:val="000000" w:themeColor="text1"/>
          <w:szCs w:val="32"/>
          <w:highlight w:val="none"/>
          <w14:textFill>
            <w14:solidFill>
              <w14:schemeClr w14:val="tx1"/>
            </w14:solidFill>
          </w14:textFill>
        </w:rPr>
        <w:t>3.撰写报告阶段</w:t>
      </w:r>
    </w:p>
    <w:p>
      <w:pPr>
        <w:pStyle w:val="2"/>
        <w:tabs>
          <w:tab w:val="left" w:pos="510"/>
          <w:tab w:val="left" w:pos="675"/>
        </w:tabs>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（1）撰写绩效评价报告</w:t>
      </w:r>
    </w:p>
    <w:p>
      <w:pPr>
        <w:pStyle w:val="2"/>
        <w:tabs>
          <w:tab w:val="left" w:pos="510"/>
          <w:tab w:val="left" w:pos="675"/>
        </w:tabs>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评价小组根据现场评价收集的资料</w:t>
      </w:r>
      <w:r>
        <w:rPr>
          <w:rFonts w:hint="eastAsia" w:ascii="仿宋_GB2312" w:hAnsi="仿宋_GB2312" w:cs="仿宋_GB2312"/>
          <w:highlight w:val="none"/>
          <w:lang w:eastAsia="zh-CN"/>
        </w:rPr>
        <w:t>，</w:t>
      </w:r>
      <w:r>
        <w:rPr>
          <w:rFonts w:hint="eastAsia" w:ascii="仿宋_GB2312" w:hAnsi="仿宋_GB2312" w:cs="仿宋_GB2312"/>
          <w:highlight w:val="none"/>
        </w:rPr>
        <w:t>运用科学、合理的绩效评价指标、评价标准和评价方法，对项目支出的经济性、效率性和效益性进行客观、公正的评价，按照财政厅下发的重点项目绩效评价报告模板撰写绩效评价报告</w:t>
      </w:r>
      <w:r>
        <w:rPr>
          <w:rFonts w:hint="eastAsia" w:ascii="仿宋_GB2312" w:hAnsi="仿宋_GB2312" w:cs="仿宋_GB2312"/>
          <w:highlight w:val="none"/>
          <w:lang w:eastAsia="zh-CN"/>
        </w:rPr>
        <w:t>，</w:t>
      </w:r>
      <w:r>
        <w:rPr>
          <w:rFonts w:hint="eastAsia" w:ascii="仿宋_GB2312" w:hAnsi="仿宋_GB2312" w:cs="仿宋_GB2312"/>
          <w:highlight w:val="none"/>
        </w:rPr>
        <w:t>并做到依据充分、数据真实、内容完整、客观公正、结论明确、建议可行。</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2</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绩效评价报告征求意见</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绩效评价报告初稿完成后，征</w:t>
      </w:r>
      <w:r>
        <w:rPr>
          <w:rFonts w:hint="eastAsia" w:ascii="仿宋_GB2312" w:hAnsi="仿宋_GB2312" w:eastAsia="仿宋_GB2312" w:cs="仿宋_GB2312"/>
          <w:sz w:val="32"/>
          <w:szCs w:val="32"/>
          <w:highlight w:val="none"/>
          <w:lang w:val="en-US" w:eastAsia="zh-CN"/>
        </w:rPr>
        <w:t>求省法院</w:t>
      </w:r>
      <w:r>
        <w:rPr>
          <w:rFonts w:hint="eastAsia" w:ascii="仿宋_GB2312" w:hAnsi="仿宋_GB2312" w:eastAsia="仿宋_GB2312" w:cs="仿宋_GB2312"/>
          <w:sz w:val="32"/>
          <w:szCs w:val="32"/>
          <w:highlight w:val="none"/>
        </w:rPr>
        <w:t>的意见</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根据反馈的有效意见对评价报告进行修改。</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3</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提交绩效评价报告</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绩效评价报告经绩效评价负责人和</w:t>
      </w:r>
      <w:r>
        <w:rPr>
          <w:rFonts w:hint="eastAsia" w:ascii="仿宋_GB2312" w:hAnsi="仿宋_GB2312" w:eastAsia="仿宋_GB2312" w:cs="仿宋_GB2312"/>
          <w:sz w:val="32"/>
          <w:szCs w:val="32"/>
          <w:highlight w:val="none"/>
          <w:lang w:val="en-US" w:eastAsia="zh-CN"/>
        </w:rPr>
        <w:t>省法院</w:t>
      </w:r>
      <w:r>
        <w:rPr>
          <w:rFonts w:hint="eastAsia" w:ascii="仿宋_GB2312" w:hAnsi="仿宋_GB2312" w:eastAsia="仿宋_GB2312" w:cs="仿宋_GB2312"/>
          <w:sz w:val="32"/>
          <w:szCs w:val="32"/>
          <w:highlight w:val="none"/>
        </w:rPr>
        <w:t>确定，在规定时间内按照规定的格式、要求，提交</w:t>
      </w:r>
      <w:r>
        <w:rPr>
          <w:rFonts w:hint="eastAsia" w:ascii="仿宋_GB2312" w:hAnsi="仿宋_GB2312" w:eastAsia="仿宋_GB2312" w:cs="仿宋_GB2312"/>
          <w:sz w:val="32"/>
          <w:szCs w:val="32"/>
          <w:highlight w:val="none"/>
          <w:lang w:val="en-US" w:eastAsia="zh-CN"/>
        </w:rPr>
        <w:t>省法院</w:t>
      </w:r>
      <w:r>
        <w:rPr>
          <w:rFonts w:hint="eastAsia" w:ascii="仿宋_GB2312" w:hAnsi="仿宋_GB2312" w:eastAsia="仿宋_GB2312" w:cs="仿宋_GB2312"/>
          <w:sz w:val="32"/>
          <w:szCs w:val="32"/>
          <w:highlight w:val="none"/>
        </w:rPr>
        <w:t>及财政部门</w:t>
      </w:r>
      <w:r>
        <w:rPr>
          <w:rFonts w:hint="eastAsia" w:ascii="仿宋_GB2312" w:hAnsi="仿宋_GB2312" w:eastAsia="仿宋_GB2312" w:cs="仿宋_GB2312"/>
          <w:sz w:val="32"/>
          <w:szCs w:val="32"/>
          <w:highlight w:val="none"/>
          <w:lang w:eastAsia="zh-CN"/>
        </w:rPr>
        <w:t>。</w:t>
      </w:r>
    </w:p>
    <w:p>
      <w:pPr>
        <w:pStyle w:val="2"/>
        <w:spacing w:line="560" w:lineRule="exact"/>
        <w:ind w:firstLine="640" w:firstLineChars="200"/>
        <w:outlineLvl w:val="0"/>
        <w:rPr>
          <w:rFonts w:ascii="黑体" w:eastAsia="黑体"/>
          <w:highlight w:val="none"/>
        </w:rPr>
      </w:pPr>
      <w:bookmarkStart w:id="116" w:name="_Toc22550"/>
      <w:bookmarkStart w:id="117" w:name="_Toc19365"/>
      <w:bookmarkStart w:id="118" w:name="_Toc6529"/>
      <w:r>
        <w:rPr>
          <w:rFonts w:hint="eastAsia" w:ascii="黑体" w:eastAsia="黑体"/>
          <w:highlight w:val="none"/>
        </w:rPr>
        <w:t>四、评价结论及分析</w:t>
      </w:r>
      <w:bookmarkEnd w:id="116"/>
      <w:bookmarkEnd w:id="117"/>
      <w:bookmarkEnd w:id="118"/>
    </w:p>
    <w:p>
      <w:pPr>
        <w:pStyle w:val="2"/>
        <w:spacing w:line="560" w:lineRule="exact"/>
        <w:ind w:firstLine="643" w:firstLineChars="200"/>
        <w:outlineLvl w:val="1"/>
        <w:rPr>
          <w:rFonts w:ascii="楷体" w:hAnsi="楷体" w:eastAsia="楷体" w:cs="楷体"/>
          <w:b/>
          <w:bCs/>
          <w:highlight w:val="none"/>
        </w:rPr>
      </w:pPr>
      <w:bookmarkStart w:id="119" w:name="_Toc30557"/>
      <w:bookmarkStart w:id="120" w:name="_Toc20588"/>
      <w:bookmarkStart w:id="121" w:name="_Toc8446"/>
      <w:r>
        <w:rPr>
          <w:rFonts w:hint="eastAsia" w:ascii="楷体" w:hAnsi="楷体" w:eastAsia="楷体" w:cs="楷体"/>
          <w:b/>
          <w:bCs/>
          <w:highlight w:val="none"/>
        </w:rPr>
        <w:t>（一）综合评价情况及评价结论</w:t>
      </w:r>
      <w:bookmarkEnd w:id="119"/>
      <w:bookmarkEnd w:id="120"/>
      <w:bookmarkEnd w:id="121"/>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依据项目支出绩效评价指标体系和评分标准，总分设置为100分，分值和对应等级划分为四档：90分（含）-100分为“优”、80分（含）-90分为“良”、60分（含）-80分为“中”、60分以下为“差”。综合评定2022年度</w:t>
      </w:r>
      <w:r>
        <w:rPr>
          <w:rFonts w:hint="eastAsia" w:ascii="仿宋_GB2312" w:hAnsi="仿宋" w:eastAsia="仿宋_GB2312" w:cs="仿宋"/>
          <w:sz w:val="32"/>
          <w:szCs w:val="32"/>
          <w:highlight w:val="none"/>
        </w:rPr>
        <w:t>全省法院人民法庭维修经费项目</w:t>
      </w:r>
      <w:r>
        <w:rPr>
          <w:rFonts w:hint="eastAsia" w:ascii="仿宋_GB2312" w:hAnsi="仿宋_GB2312" w:eastAsia="仿宋_GB2312" w:cs="仿宋_GB2312"/>
          <w:sz w:val="32"/>
          <w:szCs w:val="32"/>
          <w:highlight w:val="none"/>
        </w:rPr>
        <w:t>绩效评分为84.</w:t>
      </w:r>
      <w:r>
        <w:rPr>
          <w:rFonts w:hint="eastAsia" w:ascii="仿宋_GB2312" w:hAnsi="仿宋_GB2312" w:eastAsia="仿宋_GB2312" w:cs="仿宋_GB2312"/>
          <w:sz w:val="32"/>
          <w:szCs w:val="32"/>
          <w:highlight w:val="none"/>
          <w:lang w:val="en-US" w:eastAsia="zh-CN"/>
        </w:rPr>
        <w:t>79</w:t>
      </w:r>
      <w:r>
        <w:rPr>
          <w:rFonts w:hint="eastAsia" w:ascii="仿宋_GB2312" w:hAnsi="仿宋_GB2312" w:eastAsia="仿宋_GB2312" w:cs="仿宋_GB2312"/>
          <w:sz w:val="32"/>
          <w:szCs w:val="32"/>
          <w:highlight w:val="none"/>
        </w:rPr>
        <w:t>分，绩效等级为“良”。</w:t>
      </w:r>
    </w:p>
    <w:p>
      <w:pPr>
        <w:spacing w:line="560" w:lineRule="exact"/>
        <w:ind w:firstLine="640" w:firstLineChars="200"/>
        <w:rPr>
          <w:rFonts w:ascii="仿宋_GB2312" w:hAnsi="仿宋_GB2312" w:eastAsia="仿宋_GB2312" w:cs="仿宋_GB2312"/>
          <w:sz w:val="32"/>
          <w:szCs w:val="32"/>
          <w:highlight w:val="yellow"/>
        </w:rPr>
      </w:pPr>
      <w:bookmarkStart w:id="122" w:name="_Toc12668"/>
      <w:bookmarkStart w:id="123" w:name="_Toc16795"/>
      <w:r>
        <w:rPr>
          <w:rFonts w:hint="eastAsia" w:ascii="仿宋_GB2312" w:hAnsi="仿宋_GB2312" w:eastAsia="仿宋_GB2312" w:cs="仿宋_GB2312"/>
          <w:sz w:val="32"/>
          <w:szCs w:val="32"/>
          <w:highlight w:val="none"/>
        </w:rPr>
        <w:t>评价认为，2022年全省法院人民法庭维修经费项目立项依据充分，立项程序规范，预算编制科学，资金及时到位，管理制度健全，资金分配合理，项目的实施为人民群众到基层人民法庭解决诉讼争议创造良好的环境，实施效益显著，服务对象满意度较好。但该项目仍存在绩效目标编制有待规范，预算执行率有待进一步提高，资金使用有待规范，受疫情影响部分法院项目进度滞后的问题。</w:t>
      </w:r>
    </w:p>
    <w:bookmarkEnd w:id="122"/>
    <w:bookmarkEnd w:id="123"/>
    <w:p>
      <w:pPr>
        <w:widowControl/>
        <w:spacing w:line="560" w:lineRule="exact"/>
        <w:ind w:firstLine="643" w:firstLineChars="200"/>
        <w:jc w:val="left"/>
        <w:outlineLvl w:val="1"/>
        <w:rPr>
          <w:sz w:val="32"/>
          <w:szCs w:val="32"/>
          <w:highlight w:val="none"/>
        </w:rPr>
      </w:pPr>
      <w:bookmarkStart w:id="124" w:name="_Toc31645"/>
      <w:r>
        <w:rPr>
          <w:rFonts w:ascii="楷体" w:hAnsi="楷体" w:eastAsia="楷体" w:cs="楷体"/>
          <w:b/>
          <w:bCs/>
          <w:color w:val="000000"/>
          <w:kern w:val="0"/>
          <w:sz w:val="32"/>
          <w:szCs w:val="32"/>
          <w:highlight w:val="none"/>
          <w:lang w:bidi="ar"/>
        </w:rPr>
        <w:t>（二）非现场评价情况分析</w:t>
      </w:r>
      <w:bookmarkEnd w:id="124"/>
      <w:r>
        <w:rPr>
          <w:rFonts w:ascii="楷体" w:hAnsi="楷体" w:eastAsia="楷体" w:cs="楷体"/>
          <w:b/>
          <w:bCs/>
          <w:color w:val="000000"/>
          <w:kern w:val="0"/>
          <w:sz w:val="32"/>
          <w:szCs w:val="32"/>
          <w:highlight w:val="none"/>
          <w:lang w:bidi="ar"/>
        </w:rPr>
        <w:t xml:space="preserve"> </w:t>
      </w:r>
    </w:p>
    <w:p>
      <w:pPr>
        <w:widowControl/>
        <w:spacing w:line="560" w:lineRule="exact"/>
        <w:ind w:firstLine="643" w:firstLineChars="200"/>
        <w:rPr>
          <w:b/>
          <w:bCs/>
          <w:sz w:val="32"/>
          <w:szCs w:val="32"/>
          <w:highlight w:val="none"/>
        </w:rPr>
      </w:pPr>
      <w:r>
        <w:rPr>
          <w:rFonts w:ascii="仿宋_GB2312" w:hAnsi="宋体" w:eastAsia="仿宋_GB2312" w:cs="仿宋_GB2312"/>
          <w:b/>
          <w:bCs/>
          <w:color w:val="000000"/>
          <w:kern w:val="0"/>
          <w:sz w:val="32"/>
          <w:szCs w:val="32"/>
          <w:highlight w:val="none"/>
          <w:lang w:bidi="ar"/>
        </w:rPr>
        <w:t>1</w:t>
      </w:r>
      <w:r>
        <w:rPr>
          <w:rFonts w:hint="eastAsia" w:ascii="仿宋_GB2312" w:hAnsi="宋体" w:eastAsia="仿宋_GB2312" w:cs="仿宋_GB2312"/>
          <w:b/>
          <w:bCs/>
          <w:color w:val="000000"/>
          <w:kern w:val="0"/>
          <w:sz w:val="32"/>
          <w:szCs w:val="32"/>
          <w:highlight w:val="none"/>
          <w:lang w:bidi="ar"/>
        </w:rPr>
        <w:t>.</w:t>
      </w:r>
      <w:r>
        <w:rPr>
          <w:rFonts w:ascii="仿宋_GB2312" w:hAnsi="宋体" w:eastAsia="仿宋_GB2312" w:cs="仿宋_GB2312"/>
          <w:b/>
          <w:bCs/>
          <w:color w:val="000000"/>
          <w:kern w:val="0"/>
          <w:sz w:val="32"/>
          <w:szCs w:val="32"/>
          <w:highlight w:val="none"/>
          <w:lang w:bidi="ar"/>
        </w:rPr>
        <w:t xml:space="preserve">前期资料研读 </w:t>
      </w:r>
    </w:p>
    <w:p>
      <w:pPr>
        <w:widowControl/>
        <w:spacing w:line="560" w:lineRule="exact"/>
        <w:ind w:firstLine="640" w:firstLineChars="200"/>
        <w:rPr>
          <w:sz w:val="32"/>
          <w:szCs w:val="32"/>
          <w:highlight w:val="none"/>
        </w:rPr>
      </w:pPr>
      <w:r>
        <w:rPr>
          <w:rFonts w:hint="eastAsia" w:ascii="仿宋_GB2312" w:hAnsi="宋体" w:eastAsia="仿宋_GB2312" w:cs="仿宋_GB2312"/>
          <w:color w:val="000000"/>
          <w:kern w:val="0"/>
          <w:sz w:val="32"/>
          <w:szCs w:val="32"/>
          <w:highlight w:val="none"/>
          <w:lang w:bidi="ar"/>
        </w:rPr>
        <w:t>评价组根据调研结果梳理并向项目实施</w:t>
      </w:r>
      <w:r>
        <w:rPr>
          <w:rFonts w:hint="eastAsia" w:ascii="仿宋_GB2312" w:hAnsi="宋体" w:eastAsia="仿宋_GB2312" w:cs="仿宋_GB2312"/>
          <w:color w:val="000000"/>
          <w:kern w:val="0"/>
          <w:sz w:val="32"/>
          <w:szCs w:val="32"/>
          <w:highlight w:val="none"/>
          <w:lang w:val="en-US" w:eastAsia="zh-CN" w:bidi="ar"/>
        </w:rPr>
        <w:t>法院</w:t>
      </w:r>
      <w:r>
        <w:rPr>
          <w:rFonts w:hint="eastAsia" w:ascii="仿宋_GB2312" w:hAnsi="宋体" w:eastAsia="仿宋_GB2312" w:cs="仿宋_GB2312"/>
          <w:color w:val="000000"/>
          <w:kern w:val="0"/>
          <w:sz w:val="32"/>
          <w:szCs w:val="32"/>
          <w:highlight w:val="none"/>
          <w:lang w:bidi="ar"/>
        </w:rPr>
        <w:t>发送《资料收集清单》收集业务资料和财务资</w:t>
      </w:r>
      <w:r>
        <w:rPr>
          <w:rFonts w:hint="eastAsia" w:ascii="仿宋_GB2312" w:hAnsi="宋体" w:eastAsia="仿宋_GB2312" w:cs="仿宋_GB2312"/>
          <w:color w:val="auto"/>
          <w:kern w:val="0"/>
          <w:sz w:val="32"/>
          <w:szCs w:val="32"/>
          <w:highlight w:val="none"/>
          <w:lang w:bidi="ar"/>
        </w:rPr>
        <w:t>料，其中包括：部门预算批复文件</w:t>
      </w:r>
      <w:r>
        <w:rPr>
          <w:rFonts w:hint="eastAsia" w:ascii="仿宋_GB2312" w:hAnsi="宋体" w:eastAsia="仿宋_GB2312" w:cs="仿宋_GB2312"/>
          <w:color w:val="auto"/>
          <w:kern w:val="0"/>
          <w:sz w:val="32"/>
          <w:szCs w:val="32"/>
          <w:highlight w:val="none"/>
          <w:lang w:eastAsia="zh-CN" w:bidi="ar"/>
        </w:rPr>
        <w:t>、</w:t>
      </w:r>
      <w:r>
        <w:rPr>
          <w:rFonts w:hint="eastAsia" w:ascii="仿宋_GB2312" w:hAnsi="宋体" w:eastAsia="仿宋_GB2312" w:cs="仿宋_GB2312"/>
          <w:color w:val="auto"/>
          <w:kern w:val="0"/>
          <w:sz w:val="32"/>
          <w:szCs w:val="32"/>
          <w:highlight w:val="none"/>
          <w:lang w:bidi="ar"/>
        </w:rPr>
        <w:t>资金分配表、项目预算编制明细表、决算表、单位内部管理制度、项目绩效目标申报表、自评表及自评报告等资料。并在资料收集过程中通过网上收集、文献查阅等方式，获取与本项目有关的政策资料，全面</w:t>
      </w:r>
      <w:r>
        <w:rPr>
          <w:rFonts w:hint="eastAsia" w:ascii="仿宋_GB2312" w:hAnsi="宋体" w:eastAsia="仿宋_GB2312" w:cs="仿宋_GB2312"/>
          <w:color w:val="auto"/>
          <w:kern w:val="0"/>
          <w:sz w:val="32"/>
          <w:szCs w:val="32"/>
          <w:highlight w:val="none"/>
          <w:lang w:eastAsia="zh-CN" w:bidi="ar"/>
        </w:rPr>
        <w:t>了解</w:t>
      </w:r>
      <w:r>
        <w:rPr>
          <w:rFonts w:ascii="仿宋_GB2312" w:hAnsi="宋体" w:eastAsia="仿宋_GB2312" w:cs="仿宋_GB2312"/>
          <w:color w:val="auto"/>
          <w:kern w:val="0"/>
          <w:sz w:val="32"/>
          <w:szCs w:val="32"/>
          <w:highlight w:val="none"/>
          <w:lang w:bidi="ar"/>
        </w:rPr>
        <w:t>项目内容，把握评价的重点，明确评价方式、方法，为制</w:t>
      </w:r>
      <w:r>
        <w:rPr>
          <w:rFonts w:hint="eastAsia" w:ascii="仿宋_GB2312" w:hAnsi="宋体" w:eastAsia="仿宋_GB2312" w:cs="仿宋_GB2312"/>
          <w:color w:val="auto"/>
          <w:kern w:val="0"/>
          <w:sz w:val="32"/>
          <w:szCs w:val="32"/>
          <w:highlight w:val="none"/>
          <w:lang w:bidi="ar"/>
        </w:rPr>
        <w:t>定实施方案、绩效评价指标体系奠定基础。</w:t>
      </w:r>
    </w:p>
    <w:p>
      <w:pPr>
        <w:spacing w:line="560" w:lineRule="exact"/>
        <w:ind w:firstLine="643" w:firstLineChars="200"/>
        <w:jc w:val="left"/>
        <w:rPr>
          <w:b/>
          <w:bCs/>
          <w:sz w:val="32"/>
          <w:szCs w:val="32"/>
          <w:highlight w:val="none"/>
        </w:rPr>
      </w:pPr>
      <w:r>
        <w:rPr>
          <w:rFonts w:hint="eastAsia" w:ascii="仿宋_GB2312" w:hAnsi="宋体" w:eastAsia="仿宋_GB2312" w:cs="仿宋_GB2312"/>
          <w:b/>
          <w:bCs/>
          <w:color w:val="000000"/>
          <w:kern w:val="0"/>
          <w:sz w:val="32"/>
          <w:szCs w:val="32"/>
          <w:highlight w:val="none"/>
          <w:lang w:bidi="ar"/>
        </w:rPr>
        <w:t xml:space="preserve">2.资料整理分析 </w:t>
      </w:r>
    </w:p>
    <w:p>
      <w:pPr>
        <w:spacing w:line="560" w:lineRule="exact"/>
        <w:ind w:firstLine="640" w:firstLineChars="200"/>
        <w:rPr>
          <w:sz w:val="32"/>
          <w:szCs w:val="32"/>
          <w:highlight w:val="none"/>
        </w:rPr>
      </w:pPr>
      <w:r>
        <w:rPr>
          <w:rFonts w:hint="eastAsia" w:ascii="仿宋_GB2312" w:hAnsi="宋体" w:eastAsia="仿宋_GB2312" w:cs="仿宋_GB2312"/>
          <w:color w:val="000000"/>
          <w:kern w:val="0"/>
          <w:sz w:val="32"/>
          <w:szCs w:val="32"/>
          <w:highlight w:val="none"/>
          <w:lang w:bidi="ar"/>
        </w:rPr>
        <w:t>评价组对</w:t>
      </w:r>
      <w:r>
        <w:rPr>
          <w:rFonts w:hint="eastAsia" w:ascii="仿宋_GB2312" w:hAnsi="宋体" w:eastAsia="仿宋_GB2312" w:cs="仿宋_GB2312"/>
          <w:color w:val="000000"/>
          <w:kern w:val="0"/>
          <w:sz w:val="32"/>
          <w:szCs w:val="32"/>
          <w:highlight w:val="none"/>
          <w:lang w:val="en-US" w:eastAsia="zh-CN" w:bidi="ar"/>
        </w:rPr>
        <w:t>项目实施法院</w:t>
      </w:r>
      <w:r>
        <w:rPr>
          <w:rFonts w:hint="eastAsia" w:ascii="仿宋_GB2312" w:hAnsi="宋体" w:eastAsia="仿宋_GB2312" w:cs="仿宋_GB2312"/>
          <w:color w:val="000000"/>
          <w:kern w:val="0"/>
          <w:sz w:val="32"/>
          <w:szCs w:val="32"/>
          <w:highlight w:val="none"/>
          <w:lang w:bidi="ar"/>
        </w:rPr>
        <w:t>提供的资料进行深入研读，将前期资料研读过程中通过各网站收集的资料与</w:t>
      </w:r>
      <w:r>
        <w:rPr>
          <w:rFonts w:hint="eastAsia" w:ascii="仿宋_GB2312" w:hAnsi="宋体" w:eastAsia="仿宋_GB2312" w:cs="仿宋_GB2312"/>
          <w:color w:val="000000"/>
          <w:kern w:val="0"/>
          <w:sz w:val="32"/>
          <w:szCs w:val="32"/>
          <w:highlight w:val="none"/>
          <w:lang w:val="en-US" w:eastAsia="zh-CN" w:bidi="ar"/>
        </w:rPr>
        <w:t>项目实施法院</w:t>
      </w:r>
      <w:r>
        <w:rPr>
          <w:rFonts w:hint="eastAsia" w:ascii="仿宋_GB2312" w:hAnsi="宋体" w:eastAsia="仿宋_GB2312" w:cs="仿宋_GB2312"/>
          <w:color w:val="000000"/>
          <w:kern w:val="0"/>
          <w:sz w:val="32"/>
          <w:szCs w:val="32"/>
          <w:highlight w:val="none"/>
          <w:lang w:bidi="ar"/>
        </w:rPr>
        <w:t>提供的资料进行了汇总整合研究，并设立评价指标体系。对于结果明确的指标直接进行打分，对于结果不明确的指标，评价组在此过程中继续整理缺失的数据，并形成二次数据收集清单，通过线上沟通再次向</w:t>
      </w:r>
      <w:r>
        <w:rPr>
          <w:rFonts w:hint="eastAsia" w:ascii="仿宋_GB2312" w:hAnsi="宋体" w:eastAsia="仿宋_GB2312" w:cs="仿宋_GB2312"/>
          <w:color w:val="000000"/>
          <w:kern w:val="0"/>
          <w:sz w:val="32"/>
          <w:szCs w:val="32"/>
          <w:highlight w:val="none"/>
          <w:lang w:val="en-US" w:eastAsia="zh-CN" w:bidi="ar"/>
        </w:rPr>
        <w:t>项目实施法院</w:t>
      </w:r>
      <w:r>
        <w:rPr>
          <w:rFonts w:hint="eastAsia" w:ascii="仿宋_GB2312" w:hAnsi="宋体" w:eastAsia="仿宋_GB2312" w:cs="仿宋_GB2312"/>
          <w:color w:val="000000"/>
          <w:kern w:val="0"/>
          <w:sz w:val="32"/>
          <w:szCs w:val="32"/>
          <w:highlight w:val="none"/>
          <w:lang w:bidi="ar"/>
        </w:rPr>
        <w:t>收集部分评价指标佐证材料，补充完善评价结果，以便全面、真实、客观的形成评价结果。</w:t>
      </w:r>
    </w:p>
    <w:p>
      <w:pPr>
        <w:widowControl/>
        <w:spacing w:line="560" w:lineRule="exact"/>
        <w:ind w:firstLine="643" w:firstLineChars="200"/>
        <w:jc w:val="left"/>
        <w:outlineLvl w:val="1"/>
        <w:rPr>
          <w:sz w:val="32"/>
          <w:szCs w:val="32"/>
          <w:highlight w:val="none"/>
        </w:rPr>
      </w:pPr>
      <w:bookmarkStart w:id="125" w:name="_Toc15507"/>
      <w:r>
        <w:rPr>
          <w:rFonts w:hint="eastAsia" w:ascii="楷体" w:hAnsi="楷体" w:eastAsia="楷体" w:cs="楷体"/>
          <w:b/>
          <w:bCs/>
          <w:color w:val="000000"/>
          <w:kern w:val="0"/>
          <w:sz w:val="32"/>
          <w:szCs w:val="32"/>
          <w:highlight w:val="none"/>
          <w:lang w:bidi="ar"/>
        </w:rPr>
        <w:t>（三）</w:t>
      </w:r>
      <w:r>
        <w:rPr>
          <w:rFonts w:ascii="楷体" w:hAnsi="楷体" w:eastAsia="楷体" w:cs="楷体"/>
          <w:b/>
          <w:bCs/>
          <w:color w:val="000000"/>
          <w:kern w:val="0"/>
          <w:sz w:val="32"/>
          <w:szCs w:val="32"/>
          <w:highlight w:val="none"/>
          <w:lang w:bidi="ar"/>
        </w:rPr>
        <w:t>现场评价情况分析</w:t>
      </w:r>
      <w:bookmarkEnd w:id="125"/>
    </w:p>
    <w:p>
      <w:pPr>
        <w:widowControl/>
        <w:spacing w:line="560" w:lineRule="exact"/>
        <w:ind w:firstLine="640" w:firstLineChars="200"/>
        <w:rPr>
          <w:sz w:val="32"/>
          <w:szCs w:val="32"/>
          <w:highlight w:val="none"/>
        </w:rPr>
      </w:pPr>
      <w:r>
        <w:rPr>
          <w:rFonts w:ascii="仿宋_GB2312" w:hAnsi="宋体" w:eastAsia="仿宋_GB2312" w:cs="仿宋_GB2312"/>
          <w:color w:val="000000"/>
          <w:kern w:val="0"/>
          <w:sz w:val="32"/>
          <w:szCs w:val="32"/>
          <w:highlight w:val="none"/>
          <w:lang w:bidi="ar"/>
        </w:rPr>
        <w:t>1</w:t>
      </w:r>
      <w:r>
        <w:rPr>
          <w:rFonts w:hint="eastAsia" w:ascii="仿宋_GB2312" w:hAnsi="宋体" w:eastAsia="仿宋_GB2312" w:cs="仿宋_GB2312"/>
          <w:color w:val="000000"/>
          <w:kern w:val="0"/>
          <w:sz w:val="32"/>
          <w:szCs w:val="32"/>
          <w:highlight w:val="none"/>
          <w:lang w:bidi="ar"/>
        </w:rPr>
        <w:t>.</w:t>
      </w:r>
      <w:r>
        <w:rPr>
          <w:rFonts w:ascii="仿宋_GB2312" w:hAnsi="宋体" w:eastAsia="仿宋_GB2312" w:cs="仿宋_GB2312"/>
          <w:color w:val="000000"/>
          <w:kern w:val="0"/>
          <w:sz w:val="32"/>
          <w:szCs w:val="32"/>
          <w:highlight w:val="none"/>
          <w:lang w:bidi="ar"/>
        </w:rPr>
        <w:t>前期调研</w:t>
      </w:r>
    </w:p>
    <w:p>
      <w:pPr>
        <w:widowControl/>
        <w:spacing w:line="560" w:lineRule="exact"/>
        <w:ind w:firstLine="640" w:firstLineChars="200"/>
        <w:rPr>
          <w:sz w:val="32"/>
          <w:szCs w:val="32"/>
          <w:highlight w:val="none"/>
        </w:rPr>
      </w:pPr>
      <w:r>
        <w:rPr>
          <w:rFonts w:hint="eastAsia" w:ascii="仿宋_GB2312" w:hAnsi="宋体" w:eastAsia="仿宋_GB2312" w:cs="仿宋_GB2312"/>
          <w:color w:val="000000"/>
          <w:kern w:val="0"/>
          <w:sz w:val="32"/>
          <w:szCs w:val="32"/>
          <w:highlight w:val="none"/>
          <w:lang w:bidi="ar"/>
        </w:rPr>
        <w:t>评价组通过查阅相关文献资料以及在</w:t>
      </w:r>
      <w:r>
        <w:rPr>
          <w:rFonts w:hint="eastAsia" w:ascii="仿宋_GB2312" w:hAnsi="宋体" w:eastAsia="仿宋_GB2312" w:cs="仿宋_GB2312"/>
          <w:color w:val="000000"/>
          <w:kern w:val="0"/>
          <w:sz w:val="32"/>
          <w:szCs w:val="32"/>
          <w:highlight w:val="none"/>
          <w:lang w:val="en-US" w:eastAsia="zh-CN" w:bidi="ar"/>
        </w:rPr>
        <w:t>项目实施</w:t>
      </w:r>
      <w:r>
        <w:rPr>
          <w:rFonts w:hint="eastAsia" w:ascii="仿宋_GB2312" w:hAnsi="宋体" w:eastAsia="仿宋_GB2312" w:cs="仿宋_GB2312"/>
          <w:color w:val="000000"/>
          <w:kern w:val="0"/>
          <w:sz w:val="32"/>
          <w:szCs w:val="32"/>
          <w:highlight w:val="none"/>
          <w:lang w:bidi="ar"/>
        </w:rPr>
        <w:t>法院官网了解到被评价项目及相关单位业务情况，自行收集了预决算公开资料，全面了解项目立项、绩效目标设置、预算安排、实施内容、组织管理等情况，为编制指标体系奠定基础。</w:t>
      </w:r>
    </w:p>
    <w:p>
      <w:pPr>
        <w:widowControl/>
        <w:spacing w:line="560" w:lineRule="exact"/>
        <w:ind w:firstLine="640" w:firstLineChars="200"/>
        <w:jc w:val="left"/>
        <w:rPr>
          <w:color w:val="auto"/>
          <w:sz w:val="32"/>
          <w:szCs w:val="32"/>
          <w:highlight w:val="none"/>
        </w:rPr>
      </w:pPr>
      <w:r>
        <w:rPr>
          <w:rFonts w:hint="eastAsia" w:ascii="仿宋_GB2312" w:hAnsi="宋体" w:eastAsia="仿宋_GB2312" w:cs="仿宋_GB2312"/>
          <w:color w:val="auto"/>
          <w:kern w:val="0"/>
          <w:sz w:val="32"/>
          <w:szCs w:val="32"/>
          <w:highlight w:val="none"/>
          <w:lang w:bidi="ar"/>
        </w:rPr>
        <w:t xml:space="preserve">2.现场核查 </w:t>
      </w:r>
    </w:p>
    <w:p>
      <w:pPr>
        <w:widowControl/>
        <w:spacing w:line="560" w:lineRule="exact"/>
        <w:ind w:firstLine="640" w:firstLineChars="200"/>
        <w:jc w:val="left"/>
        <w:rPr>
          <w:rFonts w:hint="default" w:ascii="仿宋_GB2312" w:hAnsi="宋体" w:eastAsia="仿宋_GB2312" w:cs="仿宋_GB2312"/>
          <w:color w:val="FF0000"/>
          <w:kern w:val="0"/>
          <w:sz w:val="32"/>
          <w:szCs w:val="32"/>
          <w:highlight w:val="none"/>
          <w:lang w:val="en-US" w:eastAsia="zh-CN" w:bidi="ar"/>
        </w:rPr>
      </w:pPr>
      <w:r>
        <w:rPr>
          <w:rFonts w:hint="eastAsia" w:ascii="仿宋_GB2312" w:hAnsi="宋体" w:eastAsia="仿宋_GB2312" w:cs="仿宋_GB2312"/>
          <w:color w:val="auto"/>
          <w:kern w:val="0"/>
          <w:sz w:val="32"/>
          <w:szCs w:val="32"/>
          <w:highlight w:val="none"/>
          <w:lang w:bidi="ar"/>
        </w:rPr>
        <w:t>评价组根据项目实际情况，抽取部分法院重点项目进行现场抽评，本次现场评价天水市中级人民法院、天水市麦积区人民法院、永登县人民法院、甘肃矿区人民法院</w:t>
      </w:r>
      <w:r>
        <w:rPr>
          <w:rFonts w:hint="eastAsia" w:ascii="仿宋_GB2312" w:hAnsi="宋体" w:eastAsia="仿宋_GB2312" w:cs="仿宋_GB2312"/>
          <w:color w:val="auto"/>
          <w:kern w:val="0"/>
          <w:sz w:val="32"/>
          <w:szCs w:val="32"/>
          <w:highlight w:val="none"/>
          <w:lang w:val="en-US" w:eastAsia="zh-CN" w:bidi="ar"/>
        </w:rPr>
        <w:t>和会宁县人民法院5</w:t>
      </w:r>
      <w:r>
        <w:rPr>
          <w:rFonts w:hint="eastAsia" w:ascii="仿宋_GB2312" w:hAnsi="宋体" w:eastAsia="仿宋_GB2312" w:cs="仿宋_GB2312"/>
          <w:color w:val="auto"/>
          <w:kern w:val="0"/>
          <w:sz w:val="32"/>
          <w:szCs w:val="32"/>
          <w:highlight w:val="none"/>
          <w:lang w:bidi="ar"/>
        </w:rPr>
        <w:t>个法院，涉及专项资金1.</w:t>
      </w:r>
      <w:r>
        <w:rPr>
          <w:rFonts w:hint="eastAsia" w:ascii="仿宋_GB2312" w:hAnsi="宋体" w:eastAsia="仿宋_GB2312" w:cs="仿宋_GB2312"/>
          <w:color w:val="auto"/>
          <w:kern w:val="0"/>
          <w:sz w:val="32"/>
          <w:szCs w:val="32"/>
          <w:highlight w:val="none"/>
          <w:lang w:val="en-US" w:eastAsia="zh-CN" w:bidi="ar"/>
        </w:rPr>
        <w:t>510</w:t>
      </w:r>
      <w:r>
        <w:rPr>
          <w:rFonts w:hint="eastAsia" w:ascii="仿宋_GB2312" w:hAnsi="宋体" w:eastAsia="仿宋_GB2312" w:cs="仿宋_GB2312"/>
          <w:color w:val="auto"/>
          <w:kern w:val="0"/>
          <w:sz w:val="32"/>
          <w:szCs w:val="32"/>
          <w:highlight w:val="none"/>
          <w:lang w:bidi="ar"/>
        </w:rPr>
        <w:t>.00万元，</w:t>
      </w:r>
      <w:r>
        <w:rPr>
          <w:rFonts w:hint="eastAsia" w:ascii="仿宋_GB2312" w:hAnsi="宋体" w:eastAsia="仿宋_GB2312" w:cs="仿宋_GB2312"/>
          <w:color w:val="000000"/>
          <w:kern w:val="0"/>
          <w:sz w:val="32"/>
          <w:szCs w:val="32"/>
          <w:highlight w:val="none"/>
          <w:lang w:val="en-US" w:eastAsia="zh-CN" w:bidi="ar"/>
        </w:rPr>
        <w:t>从项目数量和资金额度上均符合“项目和资金占比均达到30%”的规定。</w:t>
      </w:r>
    </w:p>
    <w:p>
      <w:pPr>
        <w:pStyle w:val="2"/>
        <w:spacing w:line="560" w:lineRule="exact"/>
        <w:ind w:firstLine="640" w:firstLineChars="200"/>
        <w:outlineLvl w:val="0"/>
        <w:rPr>
          <w:rFonts w:ascii="黑体" w:eastAsia="黑体"/>
          <w:highlight w:val="none"/>
        </w:rPr>
      </w:pPr>
      <w:bookmarkStart w:id="126" w:name="_Toc9404"/>
      <w:bookmarkStart w:id="127" w:name="_Toc25412"/>
      <w:bookmarkStart w:id="128" w:name="_Toc30293"/>
      <w:r>
        <w:rPr>
          <w:rFonts w:hint="eastAsia" w:ascii="黑体" w:eastAsia="黑体"/>
          <w:highlight w:val="none"/>
        </w:rPr>
        <w:t>五、绩效评价指标分析</w:t>
      </w:r>
      <w:bookmarkEnd w:id="126"/>
      <w:bookmarkEnd w:id="127"/>
      <w:bookmarkEnd w:id="128"/>
    </w:p>
    <w:p>
      <w:pPr>
        <w:spacing w:line="560" w:lineRule="exact"/>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全省法院人民法庭维修经费项目绩效评价分级设计项目决策、过程、产出、效益、满意度五个一级指标，一级指标评分显示，一级指标具体得分情况</w:t>
      </w:r>
      <w:r>
        <w:rPr>
          <w:rFonts w:hint="eastAsia" w:ascii="仿宋_GB2312" w:hAnsi="仿宋_GB2312" w:eastAsia="仿宋_GB2312" w:cs="仿宋_GB2312"/>
          <w:sz w:val="32"/>
          <w:szCs w:val="32"/>
          <w:highlight w:val="none"/>
          <w:lang w:val="en-US" w:eastAsia="zh-CN"/>
        </w:rPr>
        <w:t>如下</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楷体" w:hAnsi="楷体" w:eastAsia="楷体" w:cs="楷体"/>
          <w:b/>
          <w:bCs/>
          <w:sz w:val="32"/>
          <w:szCs w:val="32"/>
          <w:highlight w:val="none"/>
        </w:rPr>
      </w:pPr>
      <w:r>
        <w:rPr>
          <w:rFonts w:hint="eastAsia" w:asciiTheme="minorEastAsia" w:hAnsiTheme="minorEastAsia" w:cstheme="minorEastAsia"/>
          <w:kern w:val="0"/>
          <w:sz w:val="32"/>
          <w:szCs w:val="32"/>
          <w:highlight w:val="none"/>
        </w:rPr>
        <w:drawing>
          <wp:anchor distT="0" distB="0" distL="114300" distR="114300" simplePos="0" relativeHeight="251667456" behindDoc="0" locked="0" layoutInCell="1" allowOverlap="1">
            <wp:simplePos x="0" y="0"/>
            <wp:positionH relativeFrom="column">
              <wp:posOffset>42545</wp:posOffset>
            </wp:positionH>
            <wp:positionV relativeFrom="paragraph">
              <wp:posOffset>80010</wp:posOffset>
            </wp:positionV>
            <wp:extent cx="5159375" cy="3069590"/>
            <wp:effectExtent l="4445" t="4445" r="17780" b="19685"/>
            <wp:wrapTopAndBottom/>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bookmarkStart w:id="129" w:name="_Toc28306"/>
      <w:bookmarkStart w:id="130" w:name="_Toc23689"/>
      <w:bookmarkStart w:id="131" w:name="_Toc30072"/>
      <w:r>
        <w:rPr>
          <w:rFonts w:hint="eastAsia" w:ascii="楷体" w:hAnsi="楷体" w:eastAsia="楷体" w:cs="楷体"/>
          <w:b/>
          <w:bCs/>
          <w:sz w:val="32"/>
          <w:szCs w:val="32"/>
          <w:highlight w:val="none"/>
        </w:rPr>
        <w:t>（一）项目决策情况</w:t>
      </w:r>
      <w:bookmarkEnd w:id="129"/>
      <w:bookmarkEnd w:id="130"/>
      <w:bookmarkEnd w:id="131"/>
    </w:p>
    <w:p>
      <w:pPr>
        <w:pStyle w:val="21"/>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项目决策指标包括项目立项、绩效目标、资金投入三个二级指标，项目立项指标包括立项依据充分性、立项程序规范性两个三级指标，绩效目标指标</w:t>
      </w:r>
      <w:r>
        <w:rPr>
          <w:rFonts w:hint="eastAsia" w:ascii="仿宋_GB2312" w:hAnsi="仿宋_GB2312" w:eastAsia="仿宋_GB2312" w:cs="仿宋_GB2312"/>
          <w:sz w:val="32"/>
          <w:szCs w:val="32"/>
          <w:highlight w:val="none"/>
          <w:lang w:val="en-US" w:eastAsia="zh-CN"/>
        </w:rPr>
        <w:t>包括</w:t>
      </w:r>
      <w:r>
        <w:rPr>
          <w:rFonts w:hint="eastAsia" w:ascii="仿宋_GB2312" w:hAnsi="仿宋_GB2312" w:eastAsia="仿宋_GB2312" w:cs="仿宋_GB2312"/>
          <w:sz w:val="32"/>
          <w:szCs w:val="32"/>
          <w:highlight w:val="none"/>
        </w:rPr>
        <w:t>绩效目标合理性、绩效指标明确性两个三级指标，资金投入指标包括预算编制科学性、资金分配合理性两个三级指标。指标分值16分，评价得分14分，得分率87.5%。</w:t>
      </w:r>
    </w:p>
    <w:p>
      <w:pPr>
        <w:pStyle w:val="21"/>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cs="仿宋" w:asciiTheme="minorEastAsia" w:hAnsiTheme="minorEastAsia"/>
          <w:sz w:val="32"/>
          <w:szCs w:val="32"/>
          <w:highlight w:val="none"/>
        </w:rPr>
      </w:pPr>
      <w:r>
        <w:rPr>
          <w:rFonts w:hint="eastAsia" w:cs="黑体" w:asciiTheme="minorEastAsia" w:hAnsiTheme="minorEastAsia"/>
          <w:bCs/>
          <w:sz w:val="28"/>
          <w:szCs w:val="24"/>
          <w:highlight w:val="none"/>
        </w:rPr>
        <w:t>决策指标二级指标得分情况表</w:t>
      </w:r>
    </w:p>
    <w:tbl>
      <w:tblPr>
        <w:tblStyle w:val="15"/>
        <w:tblW w:w="4998" w:type="pct"/>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2840"/>
        <w:gridCol w:w="1805"/>
        <w:gridCol w:w="1602"/>
        <w:gridCol w:w="2272"/>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blHeader/>
        </w:trPr>
        <w:tc>
          <w:tcPr>
            <w:tcW w:w="1666" w:type="pct"/>
            <w:shd w:val="clear" w:color="auto" w:fill="BDD6EE" w:themeFill="accent1" w:themeFillTint="66"/>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二级指标</w:t>
            </w:r>
          </w:p>
        </w:tc>
        <w:tc>
          <w:tcPr>
            <w:tcW w:w="1059" w:type="pct"/>
            <w:shd w:val="clear" w:color="auto" w:fill="BDD6EE" w:themeFill="accent1" w:themeFillTint="66"/>
            <w:noWrap/>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分值</w:t>
            </w:r>
          </w:p>
        </w:tc>
        <w:tc>
          <w:tcPr>
            <w:tcW w:w="940" w:type="pct"/>
            <w:shd w:val="clear" w:color="auto" w:fill="BDD6EE" w:themeFill="accent1" w:themeFillTint="66"/>
            <w:noWrap/>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w:t>
            </w:r>
          </w:p>
        </w:tc>
        <w:tc>
          <w:tcPr>
            <w:tcW w:w="1333" w:type="pct"/>
            <w:shd w:val="clear" w:color="auto" w:fill="BDD6EE" w:themeFill="accent1" w:themeFillTint="66"/>
            <w:noWrap/>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widowControl/>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项目立项</w:t>
            </w:r>
          </w:p>
        </w:tc>
        <w:tc>
          <w:tcPr>
            <w:tcW w:w="1059" w:type="pct"/>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6</w:t>
            </w:r>
          </w:p>
        </w:tc>
        <w:tc>
          <w:tcPr>
            <w:tcW w:w="940" w:type="pct"/>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6</w:t>
            </w:r>
          </w:p>
        </w:tc>
        <w:tc>
          <w:tcPr>
            <w:tcW w:w="1333" w:type="pct"/>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widowControl/>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绩效目标</w:t>
            </w:r>
          </w:p>
        </w:tc>
        <w:tc>
          <w:tcPr>
            <w:tcW w:w="1059" w:type="pct"/>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4</w:t>
            </w:r>
          </w:p>
        </w:tc>
        <w:tc>
          <w:tcPr>
            <w:tcW w:w="940" w:type="pct"/>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2</w:t>
            </w:r>
          </w:p>
        </w:tc>
        <w:tc>
          <w:tcPr>
            <w:tcW w:w="1333" w:type="pct"/>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50%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widowControl/>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资金投入</w:t>
            </w:r>
          </w:p>
        </w:tc>
        <w:tc>
          <w:tcPr>
            <w:tcW w:w="1059" w:type="pct"/>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6</w:t>
            </w:r>
          </w:p>
        </w:tc>
        <w:tc>
          <w:tcPr>
            <w:tcW w:w="940" w:type="pct"/>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6</w:t>
            </w:r>
          </w:p>
        </w:tc>
        <w:tc>
          <w:tcPr>
            <w:tcW w:w="1333" w:type="pct"/>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BDD6EE" w:themeFill="accent1" w:themeFillTint="66"/>
            <w:vAlign w:val="center"/>
          </w:tcPr>
          <w:p>
            <w:pPr>
              <w:widowControl/>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合计</w:t>
            </w:r>
          </w:p>
        </w:tc>
        <w:tc>
          <w:tcPr>
            <w:tcW w:w="1059" w:type="pct"/>
            <w:shd w:val="clear" w:color="auto" w:fill="BDD6EE" w:themeFill="accent1" w:themeFillTint="66"/>
            <w:vAlign w:val="center"/>
          </w:tcPr>
          <w:p>
            <w:pPr>
              <w:widowControl/>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16</w:t>
            </w:r>
          </w:p>
        </w:tc>
        <w:tc>
          <w:tcPr>
            <w:tcW w:w="940" w:type="pct"/>
            <w:shd w:val="clear" w:color="auto" w:fill="BDD6EE" w:themeFill="accent1" w:themeFillTint="66"/>
            <w:vAlign w:val="center"/>
          </w:tcPr>
          <w:p>
            <w:pPr>
              <w:widowControl/>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14</w:t>
            </w:r>
          </w:p>
        </w:tc>
        <w:tc>
          <w:tcPr>
            <w:tcW w:w="1333" w:type="pct"/>
            <w:shd w:val="clear" w:color="auto" w:fill="BDD6EE" w:themeFill="accent1" w:themeFillTint="66"/>
            <w:vAlign w:val="center"/>
          </w:tcPr>
          <w:p>
            <w:pPr>
              <w:widowControl/>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87.5%</w:t>
            </w:r>
          </w:p>
        </w:tc>
      </w:tr>
    </w:tbl>
    <w:p>
      <w:pPr>
        <w:pStyle w:val="21"/>
        <w:spacing w:line="560" w:lineRule="exact"/>
        <w:ind w:firstLine="643"/>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1.项目立项</w:t>
      </w:r>
    </w:p>
    <w:p>
      <w:pPr>
        <w:pStyle w:val="21"/>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全省法院人民法庭维修经费项目严格按照预算绩效制度管理流程履行了项目立项手续，项目立项依据充分、立项程序规范，立项工作达到预期目标。</w:t>
      </w:r>
    </w:p>
    <w:p>
      <w:pPr>
        <w:pStyle w:val="21"/>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（1）立项依据充分性</w:t>
      </w:r>
    </w:p>
    <w:p>
      <w:pPr>
        <w:pStyle w:val="21"/>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立项依据充分性指标分值3分，评价得分为3分。该项目根据《关于进一步加强新形势下人民法院基层基础建设的若干意见》（法发〔2011〕4号）等政策依据设立，项目立项依据充分，立项符合法规政策、属于专项资金支持范围。</w:t>
      </w:r>
    </w:p>
    <w:p>
      <w:pPr>
        <w:pStyle w:val="21"/>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（2）立项程序规范性</w:t>
      </w:r>
    </w:p>
    <w:p>
      <w:pPr>
        <w:pStyle w:val="21"/>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立项程序规范性指标分值3分，评价得分3分。</w:t>
      </w:r>
      <w:r>
        <w:rPr>
          <w:rFonts w:hint="eastAsia" w:ascii="仿宋_GB2312" w:hAnsi="仿宋_GB2312" w:eastAsia="仿宋_GB2312" w:cs="仿宋_GB2312"/>
          <w:sz w:val="32"/>
          <w:szCs w:val="32"/>
          <w:highlight w:val="none"/>
          <w:lang w:val="en-US" w:eastAsia="zh-CN"/>
        </w:rPr>
        <w:t>该项目根据《全省法院系统项目预算资金申报使用管理规程（试行）》（甘高法〔2018〕269号）申报并通过省财政厅、省法院批复设立</w:t>
      </w:r>
      <w:r>
        <w:rPr>
          <w:rFonts w:hint="eastAsia" w:ascii="仿宋_GB2312" w:hAnsi="仿宋_GB2312" w:eastAsia="仿宋_GB2312" w:cs="仿宋_GB2312"/>
          <w:sz w:val="32"/>
          <w:szCs w:val="32"/>
          <w:highlight w:val="none"/>
        </w:rPr>
        <w:t>，项目事前已经过必要的集体决策并按照规定的程序申请设立，审批文件、材料符合相关要求。</w:t>
      </w:r>
      <w:r>
        <w:rPr>
          <w:rFonts w:hint="eastAsia" w:ascii="仿宋_GB2312" w:hAnsi="仿宋_GB2312" w:eastAsia="仿宋_GB2312" w:cs="仿宋_GB2312"/>
          <w:sz w:val="32"/>
          <w:szCs w:val="32"/>
          <w:highlight w:val="none"/>
          <w:lang w:val="en-US" w:eastAsia="zh-CN"/>
        </w:rPr>
        <w:t>评价认为，</w:t>
      </w:r>
      <w:r>
        <w:rPr>
          <w:rFonts w:hint="eastAsia" w:ascii="仿宋_GB2312" w:hAnsi="仿宋_GB2312" w:eastAsia="仿宋_GB2312" w:cs="仿宋_GB2312"/>
          <w:sz w:val="32"/>
          <w:szCs w:val="32"/>
          <w:highlight w:val="none"/>
        </w:rPr>
        <w:t>项目立项程序规范，预算、审批材料齐全。</w:t>
      </w:r>
    </w:p>
    <w:p>
      <w:pPr>
        <w:pStyle w:val="21"/>
        <w:spacing w:line="560" w:lineRule="exact"/>
        <w:ind w:firstLine="643"/>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2.绩效目标</w:t>
      </w:r>
    </w:p>
    <w:p>
      <w:pPr>
        <w:pStyle w:val="21"/>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（1）绩效目标合理性</w:t>
      </w:r>
    </w:p>
    <w:p>
      <w:pPr>
        <w:pStyle w:val="21"/>
        <w:spacing w:line="560" w:lineRule="exact"/>
        <w:ind w:firstLine="64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绩效目标合理性指标分值2分，评价得分1分。经查阅分析省法院及各实施单位项目申报及《2022年度全省法院人民法庭维修经费绩效目标表》</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数量指标“保障基层法庭个数”指标目标值338个，与预算确定的项目投资额或资金量</w:t>
      </w:r>
      <w:r>
        <w:rPr>
          <w:rFonts w:hint="eastAsia" w:ascii="仿宋_GB2312" w:hAnsi="仿宋_GB2312" w:eastAsia="仿宋_GB2312" w:cs="仿宋_GB2312"/>
          <w:sz w:val="32"/>
          <w:szCs w:val="32"/>
          <w:highlight w:val="none"/>
          <w:lang w:val="en-US" w:eastAsia="zh-CN"/>
        </w:rPr>
        <w:t>不</w:t>
      </w:r>
      <w:r>
        <w:rPr>
          <w:rFonts w:hint="eastAsia" w:ascii="仿宋_GB2312" w:hAnsi="仿宋_GB2312" w:eastAsia="仿宋_GB2312" w:cs="仿宋_GB2312"/>
          <w:sz w:val="32"/>
          <w:szCs w:val="32"/>
          <w:highlight w:val="none"/>
        </w:rPr>
        <w:t>匹配，该项目资金主要为全省法院综合审判法庭、人民法庭业务用房因使用年限较长、设施设备老化、用房功能不全、存在安全隐患、无法满足工作基本需要等原因进行维修改造提供资金保障，</w:t>
      </w:r>
      <w:r>
        <w:rPr>
          <w:rFonts w:hint="eastAsia" w:ascii="仿宋_GB2312" w:hAnsi="仿宋_GB2312" w:eastAsia="仿宋_GB2312" w:cs="仿宋_GB2312"/>
          <w:sz w:val="32"/>
          <w:szCs w:val="32"/>
          <w:highlight w:val="none"/>
          <w:lang w:val="en-US" w:eastAsia="zh-CN"/>
        </w:rPr>
        <w:t>目标值设置存在偏差。</w:t>
      </w:r>
    </w:p>
    <w:p>
      <w:pPr>
        <w:pStyle w:val="21"/>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（2）绩效指标明确性</w:t>
      </w:r>
    </w:p>
    <w:p>
      <w:pPr>
        <w:pStyle w:val="21"/>
        <w:spacing w:line="560" w:lineRule="exact"/>
        <w:ind w:firstLine="640"/>
        <w:rPr>
          <w:rFonts w:hint="eastAsia" w:ascii="仿宋_GB2312" w:hAnsi="仿宋_GB2312" w:eastAsia="仿宋_GB2312" w:cs="仿宋_GB2312"/>
          <w:sz w:val="32"/>
          <w:szCs w:val="32"/>
          <w:highlight w:val="yellow"/>
        </w:rPr>
      </w:pPr>
      <w:r>
        <w:rPr>
          <w:rFonts w:hint="eastAsia" w:ascii="仿宋_GB2312" w:hAnsi="仿宋_GB2312" w:eastAsia="仿宋_GB2312" w:cs="仿宋_GB2312"/>
          <w:sz w:val="32"/>
          <w:szCs w:val="32"/>
          <w:highlight w:val="none"/>
        </w:rPr>
        <w:t>绩效指标明确性指标分值2分，评价得分1分。</w:t>
      </w:r>
      <w:r>
        <w:rPr>
          <w:rFonts w:ascii="仿宋_GB2312" w:hAnsi="仿宋_GB2312" w:eastAsia="仿宋_GB2312" w:cs="仿宋_GB2312"/>
          <w:sz w:val="32"/>
          <w:szCs w:val="32"/>
          <w:highlight w:val="none"/>
        </w:rPr>
        <w:t>经</w:t>
      </w:r>
      <w:r>
        <w:rPr>
          <w:rFonts w:hint="eastAsia" w:ascii="仿宋_GB2312" w:hAnsi="仿宋_GB2312" w:eastAsia="仿宋_GB2312" w:cs="仿宋_GB2312"/>
          <w:sz w:val="32"/>
          <w:szCs w:val="32"/>
          <w:highlight w:val="none"/>
          <w:lang w:val="en-US" w:eastAsia="zh-CN"/>
        </w:rPr>
        <w:t>核查</w:t>
      </w:r>
      <w:r>
        <w:rPr>
          <w:rFonts w:hint="eastAsia" w:ascii="仿宋_GB2312" w:hAnsi="仿宋_GB2312" w:eastAsia="仿宋_GB2312" w:cs="仿宋_GB2312"/>
          <w:sz w:val="32"/>
          <w:szCs w:val="32"/>
          <w:highlight w:val="none"/>
        </w:rPr>
        <w:t>省法院</w:t>
      </w:r>
      <w:r>
        <w:rPr>
          <w:rFonts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rPr>
        <w:t>2</w:t>
      </w:r>
      <w:r>
        <w:rPr>
          <w:rFonts w:ascii="仿宋_GB2312" w:hAnsi="仿宋_GB2312" w:eastAsia="仿宋_GB2312" w:cs="仿宋_GB2312"/>
          <w:sz w:val="32"/>
          <w:szCs w:val="32"/>
          <w:highlight w:val="none"/>
        </w:rPr>
        <w:t>年度</w:t>
      </w:r>
      <w:r>
        <w:rPr>
          <w:rFonts w:hint="eastAsia" w:ascii="仿宋_GB2312" w:hAnsi="仿宋_GB2312" w:eastAsia="仿宋_GB2312" w:cs="仿宋_GB2312"/>
          <w:sz w:val="32"/>
          <w:szCs w:val="32"/>
          <w:highlight w:val="none"/>
        </w:rPr>
        <w:t>全省法院人民法庭维修经费</w:t>
      </w:r>
      <w:r>
        <w:rPr>
          <w:rFonts w:ascii="仿宋_GB2312" w:hAnsi="仿宋_GB2312" w:eastAsia="仿宋_GB2312" w:cs="仿宋_GB2312"/>
          <w:sz w:val="32"/>
          <w:szCs w:val="32"/>
          <w:highlight w:val="none"/>
        </w:rPr>
        <w:t>项目支出绩效目标表》，</w:t>
      </w:r>
      <w:r>
        <w:rPr>
          <w:rFonts w:hint="eastAsia" w:ascii="仿宋_GB2312" w:hAnsi="仿宋_GB2312" w:eastAsia="仿宋_GB2312" w:cs="仿宋_GB2312"/>
          <w:sz w:val="32"/>
          <w:szCs w:val="32"/>
          <w:highlight w:val="none"/>
        </w:rPr>
        <w:t>设置的绩效指标能够将项目绩效目标细化分解为具体的绩效指标，指标目标值清晰、可衡量；与项目年度计划相对应；与预算确定的项目投资额或资金量相匹配。</w:t>
      </w:r>
      <w:r>
        <w:rPr>
          <w:rFonts w:hint="eastAsia" w:ascii="仿宋_GB2312" w:hAnsi="仿宋_GB2312" w:eastAsia="仿宋_GB2312" w:cs="仿宋_GB2312"/>
          <w:color w:val="auto"/>
          <w:sz w:val="32"/>
          <w:szCs w:val="32"/>
          <w:highlight w:val="none"/>
          <w:lang w:val="en-US" w:eastAsia="zh-CN"/>
        </w:rPr>
        <w:t>由于年初预算并未下达至各单位，故年初只由省法院在绩效管理系统中填报了目标表，其他中、基层法院未在“甘肃</w:t>
      </w:r>
      <w:r>
        <w:rPr>
          <w:rFonts w:hint="default" w:ascii="仿宋_GB2312" w:hAnsi="仿宋_GB2312" w:eastAsia="仿宋_GB2312" w:cs="仿宋_GB2312"/>
          <w:color w:val="auto"/>
          <w:sz w:val="32"/>
          <w:szCs w:val="32"/>
          <w:highlight w:val="none"/>
          <w:lang w:val="en-US" w:eastAsia="zh-CN"/>
        </w:rPr>
        <w:t>省级预算绩效管理信息系统</w:t>
      </w:r>
      <w:r>
        <w:rPr>
          <w:rFonts w:hint="eastAsia" w:ascii="仿宋_GB2312" w:hAnsi="仿宋_GB2312" w:eastAsia="仿宋_GB2312" w:cs="仿宋_GB2312"/>
          <w:color w:val="auto"/>
          <w:sz w:val="32"/>
          <w:szCs w:val="32"/>
          <w:highlight w:val="none"/>
          <w:lang w:val="en-US" w:eastAsia="zh-CN"/>
        </w:rPr>
        <w:t>”申报绩效目标表，仅在资金下达时在“预算管理一体化系统”填报预算项目绩效</w:t>
      </w:r>
      <w:r>
        <w:rPr>
          <w:rFonts w:hint="eastAsia" w:ascii="仿宋_GB2312" w:hAnsi="仿宋_GB2312" w:eastAsia="仿宋_GB2312" w:cs="仿宋_GB2312"/>
          <w:sz w:val="32"/>
          <w:szCs w:val="32"/>
          <w:highlight w:val="none"/>
          <w:lang w:val="en-US" w:eastAsia="zh-CN"/>
        </w:rPr>
        <w:t>表，导致项目无法进行有效监控，且部分法院绩效目标存在设置简略、表述笼统、未能涵盖项目实施主要内容及预期效益等问题</w:t>
      </w:r>
      <w:r>
        <w:rPr>
          <w:rFonts w:hint="eastAsia" w:ascii="仿宋_GB2312" w:hAnsi="仿宋_GB2312" w:eastAsia="仿宋_GB2312" w:cs="仿宋_GB2312"/>
          <w:sz w:val="32"/>
          <w:szCs w:val="32"/>
          <w:highlight w:val="none"/>
        </w:rPr>
        <w:t>。</w:t>
      </w:r>
    </w:p>
    <w:p>
      <w:pPr>
        <w:pStyle w:val="21"/>
        <w:spacing w:line="560" w:lineRule="exact"/>
        <w:ind w:firstLine="643"/>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3.资金投入</w:t>
      </w:r>
    </w:p>
    <w:p>
      <w:pPr>
        <w:pStyle w:val="21"/>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项目资金投入方向符合政策规定，按照年度预算合理分配。</w:t>
      </w:r>
    </w:p>
    <w:p>
      <w:pPr>
        <w:pStyle w:val="21"/>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（1）预算编制科学性</w:t>
      </w:r>
    </w:p>
    <w:p>
      <w:pPr>
        <w:pStyle w:val="21"/>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预算编制科学性指标分值3分，评价得分3分。2022年全省法院人民法庭维修经费项目</w:t>
      </w:r>
      <w:r>
        <w:rPr>
          <w:rFonts w:hint="eastAsia" w:ascii="仿宋_GB2312" w:hAnsi="仿宋_GB2312" w:eastAsia="仿宋_GB2312" w:cs="仿宋_GB2312"/>
          <w:sz w:val="32"/>
          <w:szCs w:val="32"/>
          <w:highlight w:val="none"/>
          <w:lang w:val="en-US" w:eastAsia="zh-CN"/>
        </w:rPr>
        <w:t>全年预算数5,273.74万元，其中当年财政拨款5,000.00万元，上年结转资金273.74万元。</w:t>
      </w:r>
      <w:r>
        <w:rPr>
          <w:rFonts w:hint="eastAsia" w:ascii="仿宋_GB2312" w:hAnsi="仿宋_GB2312" w:eastAsia="仿宋_GB2312" w:cs="仿宋_GB2312"/>
          <w:sz w:val="32"/>
          <w:szCs w:val="32"/>
          <w:highlight w:val="none"/>
        </w:rPr>
        <w:t>项目实施前</w:t>
      </w:r>
      <w:r>
        <w:rPr>
          <w:rFonts w:hint="eastAsia" w:ascii="仿宋_GB2312" w:hAnsi="仿宋_GB2312" w:eastAsia="仿宋_GB2312" w:cs="仿宋_GB2312"/>
          <w:sz w:val="32"/>
          <w:szCs w:val="32"/>
          <w:highlight w:val="none"/>
          <w:lang w:val="en-US" w:eastAsia="zh-CN"/>
        </w:rPr>
        <w:t>由</w:t>
      </w:r>
      <w:r>
        <w:rPr>
          <w:rFonts w:hint="eastAsia" w:ascii="仿宋_GB2312" w:hAnsi="仿宋_GB2312" w:eastAsia="仿宋_GB2312" w:cs="仿宋_GB2312"/>
          <w:sz w:val="32"/>
          <w:szCs w:val="32"/>
          <w:highlight w:val="none"/>
        </w:rPr>
        <w:t>各预算资金使用法院上报分项预算申报表，省法院严格按照预算管理制度汇总整合、分析研究并制定资金分配计划，由财务</w:t>
      </w:r>
      <w:r>
        <w:rPr>
          <w:rFonts w:hint="eastAsia" w:ascii="仿宋_GB2312" w:hAnsi="仿宋_GB2312" w:eastAsia="仿宋_GB2312" w:cs="仿宋_GB2312"/>
          <w:sz w:val="32"/>
          <w:szCs w:val="32"/>
          <w:highlight w:val="none"/>
          <w:lang w:val="en-US" w:eastAsia="zh-CN"/>
        </w:rPr>
        <w:t>主管</w:t>
      </w:r>
      <w:r>
        <w:rPr>
          <w:rFonts w:hint="eastAsia" w:ascii="仿宋_GB2312" w:hAnsi="仿宋_GB2312" w:eastAsia="仿宋_GB2312" w:cs="仿宋_GB2312"/>
          <w:sz w:val="32"/>
          <w:szCs w:val="32"/>
          <w:highlight w:val="none"/>
        </w:rPr>
        <w:t>、分管领导进行审核，最终上会审核通过</w:t>
      </w:r>
      <w:r>
        <w:rPr>
          <w:rFonts w:hint="eastAsia" w:ascii="仿宋_GB2312" w:hAnsi="仿宋_GB2312" w:eastAsia="仿宋_GB2312" w:cs="仿宋_GB2312"/>
          <w:sz w:val="32"/>
          <w:szCs w:val="32"/>
          <w:highlight w:val="none"/>
          <w:lang w:val="en-US" w:eastAsia="zh-CN"/>
        </w:rPr>
        <w:t>后</w:t>
      </w:r>
      <w:r>
        <w:rPr>
          <w:rFonts w:hint="eastAsia" w:ascii="仿宋_GB2312" w:hAnsi="仿宋_GB2312" w:eastAsia="仿宋_GB2312" w:cs="仿宋_GB2312"/>
          <w:sz w:val="32"/>
          <w:szCs w:val="32"/>
          <w:highlight w:val="none"/>
        </w:rPr>
        <w:t>上报至省财政厅，项目实施中专项资金严格按照预算执行。</w:t>
      </w:r>
      <w:r>
        <w:rPr>
          <w:rFonts w:hint="eastAsia" w:ascii="仿宋_GB2312" w:hAnsi="仿宋_GB2312" w:eastAsia="仿宋_GB2312" w:cs="仿宋_GB2312"/>
          <w:sz w:val="32"/>
          <w:szCs w:val="32"/>
          <w:highlight w:val="none"/>
          <w:lang w:val="en-US" w:eastAsia="zh-CN"/>
        </w:rPr>
        <w:t>依据《关于2022年度第一批全省法院维修资金安排建议的报告》（甘高法行装〔2022〕23号）、《关于2022年度第二批全省法院维修资金安排建议的报告》（甘高法行装〔2022〕86号），</w:t>
      </w:r>
      <w:r>
        <w:rPr>
          <w:rFonts w:hint="eastAsia" w:ascii="仿宋_GB2312" w:hAnsi="仿宋_GB2312" w:eastAsia="仿宋_GB2312" w:cs="仿宋_GB2312"/>
          <w:sz w:val="32"/>
          <w:szCs w:val="32"/>
          <w:highlight w:val="none"/>
        </w:rPr>
        <w:t>评价认为，预算编制程序合规、要求严格、论证科学，预算内容与项目内容匹配，确定的项目资金量与工作任务相匹配，预算额度测算依据充分</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按照标准编制。</w:t>
      </w:r>
    </w:p>
    <w:p>
      <w:pPr>
        <w:pStyle w:val="21"/>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（2）资金分配合理性</w:t>
      </w:r>
    </w:p>
    <w:p>
      <w:pPr>
        <w:pStyle w:val="21"/>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资金分配合理性指标分值3分，评价得分3分。2022年省财政厅共下达全省法院人民法庭维修经费5,000.00万元，其中下达20家法院人民法庭取暖项目经费合计1,425.00万元，19家法院人民法庭维修改造项目经费合计3,575.00万元。资金由省法院根据各中、基层法院上报的分项预算明细、实际情况以及本年需求进行汇总并提出拟安排建议上报省财政厅，由省财政厅进行统一安排下达资金</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依据《关于下达2022年第一批全省法院人民法庭维修经费的通知》（甘财政法〔2022〕11号）、《关于下达2022年第二批全省法院人民法庭维修经费的通知》（甘财政法〔2022〕32号），</w:t>
      </w:r>
      <w:r>
        <w:rPr>
          <w:rFonts w:hint="eastAsia" w:ascii="仿宋_GB2312" w:hAnsi="仿宋_GB2312" w:eastAsia="仿宋_GB2312" w:cs="仿宋_GB2312"/>
          <w:sz w:val="32"/>
          <w:szCs w:val="32"/>
          <w:highlight w:val="none"/>
        </w:rPr>
        <w:t>我们核对了各分项预算明细</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评价认为，</w:t>
      </w:r>
      <w:r>
        <w:rPr>
          <w:rFonts w:ascii="仿宋_GB2312" w:hAnsi="宋体" w:eastAsia="仿宋_GB2312" w:cs="仿宋_GB2312"/>
          <w:color w:val="000000"/>
          <w:kern w:val="0"/>
          <w:sz w:val="31"/>
          <w:szCs w:val="31"/>
          <w:highlight w:val="none"/>
          <w:lang w:bidi="ar"/>
        </w:rPr>
        <w:t>预算资金分配</w:t>
      </w:r>
      <w:r>
        <w:rPr>
          <w:rFonts w:hint="eastAsia" w:ascii="仿宋_GB2312" w:hAnsi="宋体" w:eastAsia="仿宋_GB2312" w:cs="仿宋_GB2312"/>
          <w:color w:val="000000"/>
          <w:kern w:val="0"/>
          <w:sz w:val="31"/>
          <w:szCs w:val="31"/>
          <w:highlight w:val="none"/>
          <w:lang w:bidi="ar"/>
        </w:rPr>
        <w:t>依据充分，资金分配额度合理，与各法院实际情况相适应。</w:t>
      </w:r>
    </w:p>
    <w:p>
      <w:pPr>
        <w:pStyle w:val="2"/>
        <w:spacing w:line="560" w:lineRule="exact"/>
        <w:ind w:firstLine="643" w:firstLineChars="200"/>
        <w:outlineLvl w:val="1"/>
        <w:rPr>
          <w:rFonts w:ascii="楷体" w:hAnsi="楷体" w:eastAsia="楷体" w:cs="楷体"/>
          <w:b/>
          <w:bCs/>
          <w:highlight w:val="none"/>
        </w:rPr>
      </w:pPr>
      <w:bookmarkStart w:id="132" w:name="_Toc16331"/>
      <w:bookmarkStart w:id="133" w:name="_Toc5353"/>
      <w:bookmarkStart w:id="134" w:name="_Toc22593"/>
      <w:r>
        <w:rPr>
          <w:rFonts w:hint="eastAsia" w:ascii="楷体" w:hAnsi="楷体" w:eastAsia="楷体" w:cs="楷体"/>
          <w:b/>
          <w:bCs/>
          <w:highlight w:val="none"/>
        </w:rPr>
        <w:t>（二）项目过程情况</w:t>
      </w:r>
      <w:bookmarkEnd w:id="132"/>
      <w:bookmarkEnd w:id="133"/>
      <w:bookmarkEnd w:id="134"/>
    </w:p>
    <w:p>
      <w:pPr>
        <w:pStyle w:val="2"/>
        <w:tabs>
          <w:tab w:val="left" w:pos="0"/>
        </w:tabs>
        <w:spacing w:line="560" w:lineRule="exact"/>
        <w:ind w:firstLine="640" w:firstLineChars="200"/>
        <w:rPr>
          <w:rFonts w:hint="eastAsia" w:cs="黑体" w:asciiTheme="minorEastAsia" w:hAnsiTheme="minorEastAsia"/>
          <w:bCs/>
          <w:sz w:val="28"/>
          <w:szCs w:val="24"/>
          <w:highlight w:val="none"/>
        </w:rPr>
      </w:pPr>
      <w:r>
        <w:rPr>
          <w:rFonts w:hint="eastAsia" w:ascii="仿宋_GB2312" w:hAnsi="仿宋_GB2312" w:cs="仿宋_GB2312"/>
          <w:highlight w:val="none"/>
        </w:rPr>
        <w:t>项目过程指标包括资金管理、组织实施两个二级指标。资金管理指标包括资金到位率、预算执行率、资金使用合规性三个三级指标，组织实施指标包括管理制度健全性、制度执行有效性两个三级指标。指标分值14分，评价得分11.66分，得分率83.29%。</w:t>
      </w:r>
    </w:p>
    <w:p>
      <w:pPr>
        <w:pStyle w:val="2"/>
        <w:keepNext w:val="0"/>
        <w:keepLines w:val="0"/>
        <w:pageBreakBefore w:val="0"/>
        <w:widowControl w:val="0"/>
        <w:tabs>
          <w:tab w:val="left" w:pos="0"/>
        </w:tabs>
        <w:kinsoku/>
        <w:wordWrap/>
        <w:overflowPunct/>
        <w:topLinePunct w:val="0"/>
        <w:autoSpaceDE/>
        <w:autoSpaceDN/>
        <w:bidi w:val="0"/>
        <w:adjustRightInd/>
        <w:snapToGrid/>
        <w:spacing w:line="560" w:lineRule="exact"/>
        <w:jc w:val="center"/>
        <w:textAlignment w:val="auto"/>
        <w:rPr>
          <w:rFonts w:cs="仿宋" w:asciiTheme="minorEastAsia" w:hAnsiTheme="minorEastAsia"/>
          <w:highlight w:val="none"/>
        </w:rPr>
      </w:pPr>
      <w:r>
        <w:rPr>
          <w:rFonts w:hint="eastAsia" w:cs="黑体" w:asciiTheme="minorEastAsia" w:hAnsiTheme="minorEastAsia"/>
          <w:bCs/>
          <w:sz w:val="28"/>
          <w:szCs w:val="24"/>
          <w:highlight w:val="none"/>
        </w:rPr>
        <w:t>过程指标二级指标得分情况表</w:t>
      </w:r>
    </w:p>
    <w:tbl>
      <w:tblPr>
        <w:tblStyle w:val="15"/>
        <w:tblW w:w="4998" w:type="pct"/>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2840"/>
        <w:gridCol w:w="1805"/>
        <w:gridCol w:w="1602"/>
        <w:gridCol w:w="2272"/>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blHeader/>
        </w:trPr>
        <w:tc>
          <w:tcPr>
            <w:tcW w:w="1666" w:type="pct"/>
            <w:shd w:val="clear" w:color="auto" w:fill="BDD6EE" w:themeFill="accent1" w:themeFillTint="66"/>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二级指标</w:t>
            </w:r>
          </w:p>
        </w:tc>
        <w:tc>
          <w:tcPr>
            <w:tcW w:w="1059" w:type="pct"/>
            <w:shd w:val="clear" w:color="auto" w:fill="BDD6EE" w:themeFill="accent1" w:themeFillTint="66"/>
            <w:noWrap/>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分值</w:t>
            </w:r>
          </w:p>
        </w:tc>
        <w:tc>
          <w:tcPr>
            <w:tcW w:w="940" w:type="pct"/>
            <w:shd w:val="clear" w:color="auto" w:fill="BDD6EE" w:themeFill="accent1" w:themeFillTint="66"/>
            <w:noWrap/>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w:t>
            </w:r>
          </w:p>
        </w:tc>
        <w:tc>
          <w:tcPr>
            <w:tcW w:w="1333" w:type="pct"/>
            <w:shd w:val="clear" w:color="auto" w:fill="BDD6EE" w:themeFill="accent1" w:themeFillTint="66"/>
            <w:noWrap/>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widowControl/>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资金管理</w:t>
            </w:r>
          </w:p>
        </w:tc>
        <w:tc>
          <w:tcPr>
            <w:tcW w:w="1059" w:type="pct"/>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w:t>
            </w:r>
          </w:p>
        </w:tc>
        <w:tc>
          <w:tcPr>
            <w:tcW w:w="940" w:type="pct"/>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7.66</w:t>
            </w:r>
          </w:p>
        </w:tc>
        <w:tc>
          <w:tcPr>
            <w:tcW w:w="1333" w:type="pct"/>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76.60%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widowControl/>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组织实施</w:t>
            </w:r>
          </w:p>
        </w:tc>
        <w:tc>
          <w:tcPr>
            <w:tcW w:w="1059" w:type="pct"/>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4</w:t>
            </w:r>
          </w:p>
        </w:tc>
        <w:tc>
          <w:tcPr>
            <w:tcW w:w="940" w:type="pct"/>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4</w:t>
            </w:r>
          </w:p>
        </w:tc>
        <w:tc>
          <w:tcPr>
            <w:tcW w:w="1333" w:type="pct"/>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BDD6EE" w:themeFill="accent1" w:themeFillTint="66"/>
            <w:vAlign w:val="center"/>
          </w:tcPr>
          <w:p>
            <w:pPr>
              <w:widowControl/>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合计</w:t>
            </w:r>
          </w:p>
        </w:tc>
        <w:tc>
          <w:tcPr>
            <w:tcW w:w="1059" w:type="pct"/>
            <w:shd w:val="clear" w:color="auto" w:fill="BDD6EE" w:themeFill="accent1" w:themeFillTint="66"/>
            <w:vAlign w:val="center"/>
          </w:tcPr>
          <w:p>
            <w:pPr>
              <w:widowControl/>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14</w:t>
            </w:r>
          </w:p>
        </w:tc>
        <w:tc>
          <w:tcPr>
            <w:tcW w:w="940" w:type="pct"/>
            <w:shd w:val="clear" w:color="auto" w:fill="BDD6EE" w:themeFill="accent1" w:themeFillTint="66"/>
            <w:vAlign w:val="center"/>
          </w:tcPr>
          <w:p>
            <w:pPr>
              <w:widowControl/>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11.66</w:t>
            </w:r>
          </w:p>
        </w:tc>
        <w:tc>
          <w:tcPr>
            <w:tcW w:w="1333" w:type="pct"/>
            <w:shd w:val="clear" w:color="auto" w:fill="BDD6EE" w:themeFill="accent1" w:themeFillTint="66"/>
            <w:vAlign w:val="center"/>
          </w:tcPr>
          <w:p>
            <w:pPr>
              <w:widowControl/>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83.29%</w:t>
            </w:r>
          </w:p>
        </w:tc>
      </w:tr>
    </w:tbl>
    <w:p>
      <w:pPr>
        <w:pStyle w:val="2"/>
        <w:tabs>
          <w:tab w:val="left" w:pos="0"/>
        </w:tabs>
        <w:spacing w:line="560" w:lineRule="exact"/>
        <w:ind w:firstLine="643" w:firstLineChars="200"/>
        <w:outlineLvl w:val="2"/>
        <w:rPr>
          <w:rFonts w:ascii="仿宋_GB2312" w:hAnsi="仿宋_GB2312" w:cs="仿宋_GB2312"/>
          <w:b/>
          <w:bCs/>
          <w:highlight w:val="none"/>
        </w:rPr>
      </w:pPr>
      <w:r>
        <w:rPr>
          <w:rFonts w:hint="eastAsia" w:ascii="仿宋_GB2312" w:hAnsi="仿宋_GB2312" w:cs="仿宋_GB2312"/>
          <w:b/>
          <w:bCs/>
          <w:highlight w:val="none"/>
        </w:rPr>
        <w:t>1.资金管理</w:t>
      </w:r>
    </w:p>
    <w:p>
      <w:pPr>
        <w:pStyle w:val="21"/>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（1）资金到位率</w:t>
      </w:r>
    </w:p>
    <w:p>
      <w:pPr>
        <w:pStyle w:val="21"/>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资金到位率指标分值3分，评价得分3分。全省法院人民法庭维修经费年初随部门预算一同下达至省法院，年中省法院将专项资金分两批及时、足额拨付至各项目实施</w:t>
      </w:r>
      <w:r>
        <w:rPr>
          <w:rFonts w:hint="eastAsia" w:ascii="仿宋_GB2312" w:hAnsi="仿宋_GB2312" w:eastAsia="仿宋_GB2312" w:cs="仿宋_GB2312"/>
          <w:sz w:val="32"/>
          <w:szCs w:val="32"/>
          <w:highlight w:val="none"/>
          <w:lang w:val="en-US" w:eastAsia="zh-CN"/>
        </w:rPr>
        <w:t>法院</w:t>
      </w:r>
      <w:r>
        <w:rPr>
          <w:rFonts w:hint="eastAsia" w:ascii="仿宋_GB2312" w:hAnsi="仿宋_GB2312" w:eastAsia="仿宋_GB2312" w:cs="仿宋_GB2312"/>
          <w:sz w:val="32"/>
          <w:szCs w:val="32"/>
          <w:highlight w:val="none"/>
        </w:rPr>
        <w:t>，资金到位及时，到位率达到100%。</w:t>
      </w:r>
    </w:p>
    <w:p>
      <w:pPr>
        <w:pStyle w:val="21"/>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（2）预算执行率</w:t>
      </w:r>
    </w:p>
    <w:p>
      <w:pPr>
        <w:pStyle w:val="21"/>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预算执行率指标分值4分，评价得分1.87分。全省法院人民法庭维修经费全年预算数为5,273.74万元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其中当年财政拨款</w:t>
      </w:r>
      <w:r>
        <w:rPr>
          <w:rFonts w:hint="eastAsia" w:ascii="仿宋_GB2312" w:hAnsi="仿宋_GB2312" w:eastAsia="仿宋_GB2312" w:cs="仿宋_GB2312"/>
          <w:sz w:val="32"/>
          <w:szCs w:val="32"/>
          <w:highlight w:val="none"/>
        </w:rPr>
        <w:t>5,000.00万元，上年结转资金273.74万元，截止评价基准日，全年执行数2,46</w:t>
      </w:r>
      <w:r>
        <w:rPr>
          <w:rFonts w:hint="eastAsia" w:ascii="仿宋_GB2312" w:hAnsi="仿宋_GB2312" w:eastAsia="仿宋_GB2312" w:cs="仿宋_GB2312"/>
          <w:sz w:val="32"/>
          <w:szCs w:val="32"/>
          <w:highlight w:val="none"/>
          <w:lang w:val="en-US" w:eastAsia="zh-CN"/>
        </w:rPr>
        <w:t>9</w:t>
      </w:r>
      <w:r>
        <w:rPr>
          <w:rFonts w:hint="eastAsia" w:ascii="仿宋_GB2312" w:hAnsi="仿宋_GB2312" w:eastAsia="仿宋_GB2312" w:cs="仿宋_GB2312"/>
          <w:sz w:val="32"/>
          <w:szCs w:val="32"/>
          <w:highlight w:val="none"/>
        </w:rPr>
        <w:t>.45万元，预算执行率46.</w:t>
      </w:r>
      <w:r>
        <w:rPr>
          <w:rFonts w:hint="eastAsia" w:ascii="仿宋_GB2312" w:hAnsi="仿宋_GB2312" w:eastAsia="仿宋_GB2312" w:cs="仿宋_GB2312"/>
          <w:sz w:val="32"/>
          <w:szCs w:val="32"/>
          <w:highlight w:val="none"/>
          <w:lang w:val="en-US" w:eastAsia="zh-CN"/>
        </w:rPr>
        <w:t>83</w:t>
      </w:r>
      <w:r>
        <w:rPr>
          <w:rFonts w:hint="eastAsia" w:ascii="仿宋_GB2312" w:hAnsi="仿宋_GB2312" w:eastAsia="仿宋_GB2312" w:cs="仿宋_GB2312"/>
          <w:sz w:val="32"/>
          <w:szCs w:val="32"/>
          <w:highlight w:val="none"/>
        </w:rPr>
        <w:t>%。</w:t>
      </w:r>
    </w:p>
    <w:p>
      <w:pPr>
        <w:pStyle w:val="21"/>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（3）资金使用合规性</w:t>
      </w:r>
    </w:p>
    <w:p>
      <w:pPr>
        <w:pStyle w:val="21"/>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资金使用合规性指标分值3分，评价得分2.79分。评价认为专项资金的使用符合国家财经法规和财务管理制度要求，资金支出的审批程序完整，符合会计制度的规定，财务信息真实、完整，资金支出、会计核算方面基本规范，年度例行审计未发现违规支付及超标准开支的情况。符合项目预算批复或项目规定的用途，不存在虚列支出情况。但核查相关资料发现，会宁县人民法院法庭取暖项目、天水市麦积区人民法院审判法庭维修改造项目、安定区人民法院审判法庭综合楼维修改造项目3个项目未按合同约定付款进度执行付款。</w:t>
      </w:r>
    </w:p>
    <w:p>
      <w:pPr>
        <w:pStyle w:val="2"/>
        <w:tabs>
          <w:tab w:val="left" w:pos="0"/>
        </w:tabs>
        <w:spacing w:line="560" w:lineRule="exact"/>
        <w:ind w:firstLine="643" w:firstLineChars="200"/>
        <w:outlineLvl w:val="2"/>
        <w:rPr>
          <w:rFonts w:ascii="仿宋_GB2312" w:hAnsi="仿宋_GB2312" w:cs="仿宋_GB2312"/>
          <w:b/>
          <w:bCs/>
          <w:highlight w:val="none"/>
        </w:rPr>
      </w:pPr>
      <w:r>
        <w:rPr>
          <w:rFonts w:hint="eastAsia" w:ascii="仿宋_GB2312" w:hAnsi="仿宋_GB2312" w:cs="仿宋_GB2312"/>
          <w:b/>
          <w:bCs/>
          <w:highlight w:val="none"/>
        </w:rPr>
        <w:t>2.组织实施</w:t>
      </w:r>
    </w:p>
    <w:p>
      <w:pPr>
        <w:pStyle w:val="21"/>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（1）管理制度健全性</w:t>
      </w:r>
    </w:p>
    <w:p>
      <w:pPr>
        <w:pStyle w:val="21"/>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管理制度健全性指标分值2分，评价得分2分。为加强和规范省级预算项目经费管理，提高项目工作质量和资金效益，《甘肃省法院系统财物统管制度汇编》</w:t>
      </w:r>
      <w:r>
        <w:rPr>
          <w:rFonts w:hint="eastAsia" w:ascii="仿宋_GB2312" w:hAnsi="仿宋_GB2312" w:eastAsia="仿宋_GB2312" w:cs="仿宋_GB2312"/>
          <w:sz w:val="32"/>
          <w:szCs w:val="32"/>
          <w:highlight w:val="none"/>
          <w:lang w:val="en-US" w:eastAsia="zh-CN"/>
        </w:rPr>
        <w:t>为</w:t>
      </w:r>
      <w:r>
        <w:rPr>
          <w:rFonts w:hint="eastAsia" w:ascii="仿宋_GB2312" w:hAnsi="仿宋_GB2312" w:eastAsia="仿宋_GB2312" w:cs="仿宋_GB2312"/>
          <w:sz w:val="32"/>
          <w:szCs w:val="32"/>
          <w:highlight w:val="none"/>
        </w:rPr>
        <w:t>法院系统内各项工作的实施提供了强有力的政策制度支撑</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部分法院也制定了适用本单位的项目管理制度，如兰州市红古区人民法院制定了《兰州市红古区人民法院建设工程项目管理试行办法》、甘肃省定西市中级人民法院制定了《定西市中级人民法院建设项目管理制度》《定西市中级人民法院财务管理制度》、临洮县人民法院制定了《临洮县人民法院建设项目管理制度》。评价认为，省法院制定了适用于</w:t>
      </w:r>
      <w:r>
        <w:rPr>
          <w:rFonts w:hint="eastAsia" w:ascii="仿宋_GB2312" w:hAnsi="仿宋_GB2312" w:eastAsia="仿宋_GB2312" w:cs="仿宋_GB2312"/>
          <w:sz w:val="32"/>
          <w:szCs w:val="32"/>
          <w:highlight w:val="none"/>
          <w:lang w:val="en-US" w:eastAsia="zh-CN"/>
        </w:rPr>
        <w:t>该</w:t>
      </w:r>
      <w:r>
        <w:rPr>
          <w:rFonts w:hint="eastAsia" w:ascii="仿宋_GB2312" w:hAnsi="仿宋_GB2312" w:eastAsia="仿宋_GB2312" w:cs="仿宋_GB2312"/>
          <w:sz w:val="32"/>
          <w:szCs w:val="32"/>
          <w:highlight w:val="none"/>
        </w:rPr>
        <w:t>项目的财务管理制度及业务管理制度，且符合相关财务及业务制度的规定，制度健全。</w:t>
      </w:r>
    </w:p>
    <w:p>
      <w:pPr>
        <w:pStyle w:val="21"/>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（2）制度执行有效性</w:t>
      </w:r>
    </w:p>
    <w:p>
      <w:pPr>
        <w:pStyle w:val="21"/>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制度执行有效性指标分值2分，评价得分2分。项目实施过程中，能够严格按照制度管理进行资金申请和下达、使用、监督，评价认为，制度执行总体有效。</w:t>
      </w:r>
    </w:p>
    <w:p>
      <w:pPr>
        <w:pStyle w:val="2"/>
        <w:spacing w:line="560" w:lineRule="exact"/>
        <w:ind w:firstLine="643" w:firstLineChars="200"/>
        <w:outlineLvl w:val="1"/>
        <w:rPr>
          <w:rFonts w:ascii="仿宋_GB2312" w:hAnsi="仿宋_GB2312" w:cs="仿宋_GB2312"/>
          <w:b/>
          <w:bCs/>
          <w:highlight w:val="none"/>
        </w:rPr>
      </w:pPr>
      <w:bookmarkStart w:id="135" w:name="_Toc24288"/>
      <w:bookmarkStart w:id="136" w:name="_Toc20113"/>
      <w:bookmarkStart w:id="137" w:name="_Toc3677"/>
      <w:r>
        <w:rPr>
          <w:rFonts w:hint="eastAsia" w:ascii="仿宋_GB2312" w:hAnsi="仿宋_GB2312" w:cs="仿宋_GB2312"/>
          <w:b/>
          <w:bCs/>
          <w:highlight w:val="none"/>
        </w:rPr>
        <w:t>（三）项目产出情况</w:t>
      </w:r>
      <w:bookmarkEnd w:id="135"/>
      <w:bookmarkEnd w:id="136"/>
      <w:bookmarkEnd w:id="137"/>
    </w:p>
    <w:p>
      <w:pPr>
        <w:pStyle w:val="21"/>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项目产出指标包括产出数量、产出质量、产出时效、产出成本四个二级指标，指标分值40分，评价得分2</w:t>
      </w:r>
      <w:r>
        <w:rPr>
          <w:rFonts w:hint="eastAsia" w:ascii="仿宋_GB2312" w:hAnsi="仿宋_GB2312" w:eastAsia="仿宋_GB2312" w:cs="仿宋_GB2312"/>
          <w:sz w:val="32"/>
          <w:szCs w:val="32"/>
          <w:highlight w:val="none"/>
          <w:lang w:val="en-US" w:eastAsia="zh-CN"/>
        </w:rPr>
        <w:t>9.13</w:t>
      </w:r>
      <w:r>
        <w:rPr>
          <w:rFonts w:hint="eastAsia" w:ascii="仿宋_GB2312" w:hAnsi="仿宋_GB2312" w:eastAsia="仿宋_GB2312" w:cs="仿宋_GB2312"/>
          <w:sz w:val="32"/>
          <w:szCs w:val="32"/>
          <w:highlight w:val="none"/>
        </w:rPr>
        <w:t>分，得分率7</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83</w:t>
      </w:r>
      <w:r>
        <w:rPr>
          <w:rFonts w:hint="eastAsia" w:ascii="仿宋_GB2312" w:hAnsi="仿宋_GB2312" w:eastAsia="仿宋_GB2312" w:cs="仿宋_GB2312"/>
          <w:sz w:val="32"/>
          <w:szCs w:val="32"/>
          <w:highlight w:val="none"/>
        </w:rPr>
        <w:t>%。</w:t>
      </w:r>
    </w:p>
    <w:p>
      <w:pPr>
        <w:pStyle w:val="21"/>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cs="仿宋" w:asciiTheme="minorEastAsia" w:hAnsiTheme="minorEastAsia"/>
          <w:sz w:val="32"/>
          <w:szCs w:val="32"/>
          <w:highlight w:val="none"/>
        </w:rPr>
      </w:pPr>
      <w:r>
        <w:rPr>
          <w:rFonts w:hint="eastAsia" w:cs="黑体" w:asciiTheme="minorEastAsia" w:hAnsiTheme="minorEastAsia"/>
          <w:bCs/>
          <w:sz w:val="28"/>
          <w:szCs w:val="24"/>
          <w:highlight w:val="none"/>
        </w:rPr>
        <w:t>产出指标二级指标得分情况表</w:t>
      </w:r>
    </w:p>
    <w:tbl>
      <w:tblPr>
        <w:tblStyle w:val="15"/>
        <w:tblW w:w="4998" w:type="pct"/>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2840"/>
        <w:gridCol w:w="1805"/>
        <w:gridCol w:w="1602"/>
        <w:gridCol w:w="2272"/>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BDD6EE" w:themeFill="accent1" w:themeFillTint="66"/>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二级指标</w:t>
            </w:r>
          </w:p>
        </w:tc>
        <w:tc>
          <w:tcPr>
            <w:tcW w:w="1059" w:type="pct"/>
            <w:shd w:val="clear" w:color="auto" w:fill="BDD6EE" w:themeFill="accent1" w:themeFillTint="66"/>
            <w:noWrap/>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分值</w:t>
            </w:r>
          </w:p>
        </w:tc>
        <w:tc>
          <w:tcPr>
            <w:tcW w:w="940" w:type="pct"/>
            <w:shd w:val="clear" w:color="auto" w:fill="BDD6EE" w:themeFill="accent1" w:themeFillTint="66"/>
            <w:noWrap/>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w:t>
            </w:r>
          </w:p>
        </w:tc>
        <w:tc>
          <w:tcPr>
            <w:tcW w:w="1333" w:type="pct"/>
            <w:shd w:val="clear" w:color="auto" w:fill="BDD6EE" w:themeFill="accent1" w:themeFillTint="66"/>
            <w:noWrap/>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widowControl/>
              <w:jc w:val="left"/>
              <w:textAlignment w:val="center"/>
              <w:rPr>
                <w:highlight w:val="none"/>
              </w:rPr>
            </w:pPr>
            <w:r>
              <w:rPr>
                <w:rFonts w:hint="eastAsia" w:ascii="宋体" w:hAnsi="宋体" w:eastAsia="宋体" w:cs="宋体"/>
                <w:bCs/>
                <w:color w:val="000000"/>
                <w:kern w:val="0"/>
                <w:sz w:val="22"/>
                <w:highlight w:val="none"/>
                <w:lang w:bidi="ar"/>
              </w:rPr>
              <w:t>数量指标</w:t>
            </w:r>
          </w:p>
        </w:tc>
        <w:tc>
          <w:tcPr>
            <w:tcW w:w="1059" w:type="pct"/>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11</w:t>
            </w:r>
          </w:p>
        </w:tc>
        <w:tc>
          <w:tcPr>
            <w:tcW w:w="940" w:type="pct"/>
            <w:shd w:val="clear" w:color="auto" w:fill="auto"/>
            <w:noWrap/>
            <w:vAlign w:val="center"/>
          </w:tcPr>
          <w:p>
            <w:pPr>
              <w:widowControl/>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6.08</w:t>
            </w:r>
          </w:p>
        </w:tc>
        <w:tc>
          <w:tcPr>
            <w:tcW w:w="1333" w:type="pct"/>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5</w:t>
            </w:r>
            <w:r>
              <w:rPr>
                <w:rFonts w:hint="eastAsia" w:ascii="宋体" w:hAnsi="宋体" w:eastAsia="宋体" w:cs="宋体"/>
                <w:bCs/>
                <w:color w:val="000000"/>
                <w:kern w:val="0"/>
                <w:sz w:val="22"/>
                <w:highlight w:val="none"/>
                <w:lang w:val="en-US" w:eastAsia="zh-CN" w:bidi="ar"/>
              </w:rPr>
              <w:t>5.27</w:t>
            </w:r>
            <w:r>
              <w:rPr>
                <w:rFonts w:hint="eastAsia" w:ascii="宋体" w:hAnsi="宋体" w:eastAsia="宋体" w:cs="宋体"/>
                <w:bCs/>
                <w:color w:val="000000"/>
                <w:kern w:val="0"/>
                <w:sz w:val="22"/>
                <w:highlight w:val="none"/>
                <w:lang w:bidi="ar"/>
              </w:rPr>
              <w:t>%</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widowControl/>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质量指标</w:t>
            </w:r>
          </w:p>
        </w:tc>
        <w:tc>
          <w:tcPr>
            <w:tcW w:w="1059" w:type="pct"/>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11</w:t>
            </w:r>
          </w:p>
        </w:tc>
        <w:tc>
          <w:tcPr>
            <w:tcW w:w="940" w:type="pct"/>
            <w:shd w:val="clear" w:color="auto" w:fill="auto"/>
            <w:noWrap/>
            <w:vAlign w:val="center"/>
          </w:tcPr>
          <w:p>
            <w:pPr>
              <w:widowControl/>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bidi="ar"/>
              </w:rPr>
              <w:t>5.</w:t>
            </w:r>
            <w:r>
              <w:rPr>
                <w:rFonts w:hint="eastAsia" w:ascii="宋体" w:hAnsi="宋体" w:eastAsia="宋体" w:cs="宋体"/>
                <w:bCs/>
                <w:color w:val="000000"/>
                <w:kern w:val="0"/>
                <w:sz w:val="22"/>
                <w:highlight w:val="none"/>
                <w:lang w:val="en-US" w:eastAsia="zh-CN" w:bidi="ar"/>
              </w:rPr>
              <w:t>47</w:t>
            </w:r>
          </w:p>
        </w:tc>
        <w:tc>
          <w:tcPr>
            <w:tcW w:w="1333" w:type="pct"/>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4</w:t>
            </w:r>
            <w:r>
              <w:rPr>
                <w:rFonts w:hint="eastAsia" w:ascii="宋体" w:hAnsi="宋体" w:eastAsia="宋体" w:cs="宋体"/>
                <w:bCs/>
                <w:color w:val="000000"/>
                <w:kern w:val="0"/>
                <w:sz w:val="22"/>
                <w:highlight w:val="none"/>
                <w:lang w:val="en-US" w:eastAsia="zh-CN" w:bidi="ar"/>
              </w:rPr>
              <w:t>9</w:t>
            </w:r>
            <w:r>
              <w:rPr>
                <w:rFonts w:hint="eastAsia" w:ascii="宋体" w:hAnsi="宋体" w:eastAsia="宋体" w:cs="宋体"/>
                <w:bCs/>
                <w:color w:val="000000"/>
                <w:kern w:val="0"/>
                <w:sz w:val="22"/>
                <w:highlight w:val="none"/>
                <w:lang w:bidi="ar"/>
              </w:rPr>
              <w:t>.</w:t>
            </w:r>
            <w:r>
              <w:rPr>
                <w:rFonts w:hint="eastAsia" w:ascii="宋体" w:hAnsi="宋体" w:eastAsia="宋体" w:cs="宋体"/>
                <w:bCs/>
                <w:color w:val="000000"/>
                <w:kern w:val="0"/>
                <w:sz w:val="22"/>
                <w:highlight w:val="none"/>
                <w:lang w:val="en-US" w:eastAsia="zh-CN" w:bidi="ar"/>
              </w:rPr>
              <w:t>73</w:t>
            </w:r>
            <w:r>
              <w:rPr>
                <w:rFonts w:hint="eastAsia" w:ascii="宋体" w:hAnsi="宋体" w:eastAsia="宋体" w:cs="宋体"/>
                <w:bCs/>
                <w:color w:val="000000"/>
                <w:kern w:val="0"/>
                <w:sz w:val="22"/>
                <w:highlight w:val="none"/>
                <w:lang w:bidi="ar"/>
              </w:rPr>
              <w:t>%</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widowControl/>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时效指标</w:t>
            </w:r>
          </w:p>
        </w:tc>
        <w:tc>
          <w:tcPr>
            <w:tcW w:w="1059" w:type="pct"/>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11</w:t>
            </w:r>
          </w:p>
        </w:tc>
        <w:tc>
          <w:tcPr>
            <w:tcW w:w="940" w:type="pct"/>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10.58</w:t>
            </w:r>
          </w:p>
        </w:tc>
        <w:tc>
          <w:tcPr>
            <w:tcW w:w="1333" w:type="pct"/>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96.18%</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widowControl/>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成本指标</w:t>
            </w:r>
          </w:p>
        </w:tc>
        <w:tc>
          <w:tcPr>
            <w:tcW w:w="1059" w:type="pct"/>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7</w:t>
            </w:r>
          </w:p>
        </w:tc>
        <w:tc>
          <w:tcPr>
            <w:tcW w:w="940" w:type="pct"/>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7</w:t>
            </w:r>
          </w:p>
        </w:tc>
        <w:tc>
          <w:tcPr>
            <w:tcW w:w="1333" w:type="pct"/>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BDD6EE" w:themeFill="accent1" w:themeFillTint="66"/>
            <w:vAlign w:val="center"/>
          </w:tcPr>
          <w:p>
            <w:pPr>
              <w:widowControl/>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合计</w:t>
            </w:r>
          </w:p>
        </w:tc>
        <w:tc>
          <w:tcPr>
            <w:tcW w:w="1059" w:type="pct"/>
            <w:shd w:val="clear" w:color="auto" w:fill="BDD6EE" w:themeFill="accent1" w:themeFillTint="66"/>
            <w:vAlign w:val="center"/>
          </w:tcPr>
          <w:p>
            <w:pPr>
              <w:widowControl/>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40</w:t>
            </w:r>
          </w:p>
        </w:tc>
        <w:tc>
          <w:tcPr>
            <w:tcW w:w="940" w:type="pct"/>
            <w:shd w:val="clear" w:color="auto" w:fill="BDD6EE" w:themeFill="accent1" w:themeFillTint="66"/>
            <w:vAlign w:val="center"/>
          </w:tcPr>
          <w:p>
            <w:pPr>
              <w:widowControl/>
              <w:jc w:val="center"/>
              <w:textAlignment w:val="center"/>
              <w:rPr>
                <w:rFonts w:hint="default" w:ascii="宋体" w:hAnsi="宋体" w:eastAsia="宋体" w:cs="宋体"/>
                <w:b/>
                <w:bCs/>
                <w:color w:val="000000"/>
                <w:kern w:val="0"/>
                <w:sz w:val="22"/>
                <w:highlight w:val="none"/>
                <w:lang w:val="en-US" w:eastAsia="zh-CN" w:bidi="ar"/>
              </w:rPr>
            </w:pPr>
            <w:r>
              <w:rPr>
                <w:rFonts w:hint="eastAsia" w:ascii="宋体" w:hAnsi="宋体" w:eastAsia="宋体" w:cs="宋体"/>
                <w:b/>
                <w:bCs/>
                <w:color w:val="000000"/>
                <w:kern w:val="0"/>
                <w:sz w:val="22"/>
                <w:highlight w:val="none"/>
                <w:lang w:bidi="ar"/>
              </w:rPr>
              <w:t>2</w:t>
            </w:r>
            <w:r>
              <w:rPr>
                <w:rFonts w:hint="eastAsia" w:ascii="宋体" w:hAnsi="宋体" w:eastAsia="宋体" w:cs="宋体"/>
                <w:b/>
                <w:bCs/>
                <w:color w:val="000000"/>
                <w:kern w:val="0"/>
                <w:sz w:val="22"/>
                <w:highlight w:val="none"/>
                <w:lang w:val="en-US" w:eastAsia="zh-CN" w:bidi="ar"/>
              </w:rPr>
              <w:t>9.13</w:t>
            </w:r>
          </w:p>
        </w:tc>
        <w:tc>
          <w:tcPr>
            <w:tcW w:w="1333" w:type="pct"/>
            <w:shd w:val="clear" w:color="auto" w:fill="BDD6EE" w:themeFill="accent1" w:themeFillTint="66"/>
            <w:vAlign w:val="center"/>
          </w:tcPr>
          <w:p>
            <w:pPr>
              <w:widowControl/>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7</w:t>
            </w:r>
            <w:r>
              <w:rPr>
                <w:rFonts w:hint="eastAsia" w:ascii="宋体" w:hAnsi="宋体" w:eastAsia="宋体" w:cs="宋体"/>
                <w:b/>
                <w:bCs/>
                <w:color w:val="000000"/>
                <w:kern w:val="0"/>
                <w:sz w:val="22"/>
                <w:highlight w:val="none"/>
                <w:lang w:val="en-US" w:eastAsia="zh-CN" w:bidi="ar"/>
              </w:rPr>
              <w:t>2.83</w:t>
            </w:r>
            <w:r>
              <w:rPr>
                <w:rFonts w:hint="eastAsia" w:ascii="宋体" w:hAnsi="宋体" w:eastAsia="宋体" w:cs="宋体"/>
                <w:b/>
                <w:bCs/>
                <w:color w:val="000000"/>
                <w:kern w:val="0"/>
                <w:sz w:val="22"/>
                <w:highlight w:val="none"/>
                <w:lang w:bidi="ar"/>
              </w:rPr>
              <w:t>%</w:t>
            </w:r>
          </w:p>
        </w:tc>
      </w:tr>
    </w:tbl>
    <w:p>
      <w:pPr>
        <w:pStyle w:val="21"/>
        <w:spacing w:line="560" w:lineRule="exact"/>
        <w:ind w:firstLine="643"/>
        <w:outlineLvl w:val="2"/>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1.数量指标</w:t>
      </w:r>
    </w:p>
    <w:p>
      <w:pPr>
        <w:pStyle w:val="21"/>
        <w:spacing w:line="560" w:lineRule="exact"/>
        <w:ind w:firstLine="64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保障基层法庭个数指标分值5.5分，评价得分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1.24</w:t>
      </w:r>
      <w:r>
        <w:rPr>
          <w:rFonts w:hint="eastAsia" w:ascii="仿宋_GB2312" w:hAnsi="仿宋_GB2312" w:eastAsia="仿宋_GB2312" w:cs="仿宋_GB2312"/>
          <w:color w:val="000000" w:themeColor="text1"/>
          <w:sz w:val="32"/>
          <w:szCs w:val="32"/>
          <w:highlight w:val="none"/>
          <w14:textFill>
            <w14:solidFill>
              <w14:schemeClr w14:val="tx1"/>
            </w14:solidFill>
          </w14:textFill>
        </w:rPr>
        <w:t>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本年度共对76个法院提供了资金保障，</w:t>
      </w:r>
      <w:r>
        <w:rPr>
          <w:rFonts w:hint="eastAsia" w:ascii="仿宋_GB2312" w:hAnsi="仿宋_GB2312" w:eastAsia="仿宋_GB2312" w:cs="仿宋_GB2312"/>
          <w:color w:val="000000" w:themeColor="text1"/>
          <w:sz w:val="32"/>
          <w:szCs w:val="32"/>
          <w:highlight w:val="none"/>
          <w14:textFill>
            <w14:solidFill>
              <w14:schemeClr w14:val="tx1"/>
            </w14:solidFill>
          </w14:textFill>
        </w:rPr>
        <w:t>对确有困难、确有必要的57个人民法庭取暖问题安排了第一批维修经费，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对19个中、基层法院维修改造项目提供资金保障。因年度目标值“338个”设置存在偏差，故该指标未达到年度目标。</w:t>
      </w:r>
    </w:p>
    <w:p>
      <w:pPr>
        <w:pStyle w:val="21"/>
        <w:spacing w:line="560" w:lineRule="exact"/>
        <w:ind w:firstLine="64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全省法院人民法庭维修数量指标分值5.5分，评价得分</w:t>
      </w:r>
      <w:r>
        <w:rPr>
          <w:rFonts w:hint="eastAsia" w:ascii="仿宋_GB2312" w:hAnsi="仿宋_GB2312" w:eastAsia="仿宋_GB2312" w:cs="仿宋_GB2312"/>
          <w:color w:val="auto"/>
          <w:sz w:val="32"/>
          <w:szCs w:val="32"/>
          <w:highlight w:val="none"/>
          <w:lang w:val="en-US" w:eastAsia="zh-CN"/>
        </w:rPr>
        <w:t>4.84</w:t>
      </w:r>
      <w:r>
        <w:rPr>
          <w:rFonts w:hint="eastAsia" w:ascii="仿宋_GB2312" w:hAnsi="仿宋_GB2312" w:eastAsia="仿宋_GB2312" w:cs="仿宋_GB2312"/>
          <w:color w:val="auto"/>
          <w:sz w:val="32"/>
          <w:szCs w:val="32"/>
          <w:highlight w:val="none"/>
        </w:rPr>
        <w:t>分。该项目资金主要为全省法院业务用房因使用年限较长、设施设备老化、用房功能不全、存在安全隐患、无法满足工作基本需要等原因进行维修改造提供资金保障，本年批复下达19个法院共</w:t>
      </w:r>
      <w:r>
        <w:rPr>
          <w:rFonts w:hint="eastAsia" w:ascii="仿宋_GB2312" w:hAnsi="仿宋_GB2312" w:eastAsia="仿宋_GB2312" w:cs="仿宋_GB2312"/>
          <w:color w:val="auto"/>
          <w:sz w:val="32"/>
          <w:szCs w:val="32"/>
          <w:highlight w:val="none"/>
          <w:lang w:val="en-US" w:eastAsia="zh-CN"/>
        </w:rPr>
        <w:t>22</w:t>
      </w:r>
      <w:r>
        <w:rPr>
          <w:rFonts w:hint="eastAsia" w:ascii="仿宋_GB2312" w:hAnsi="仿宋_GB2312" w:eastAsia="仿宋_GB2312" w:cs="仿宋_GB2312"/>
          <w:color w:val="auto"/>
          <w:sz w:val="32"/>
          <w:szCs w:val="32"/>
          <w:highlight w:val="none"/>
        </w:rPr>
        <w:t>个项目</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未达到年度目标25个，</w:t>
      </w:r>
      <w:r>
        <w:rPr>
          <w:rFonts w:hint="eastAsia" w:ascii="仿宋_GB2312" w:hAnsi="仿宋_GB2312" w:eastAsia="仿宋_GB2312" w:cs="仿宋_GB2312"/>
          <w:color w:val="auto"/>
          <w:sz w:val="32"/>
          <w:szCs w:val="32"/>
          <w:highlight w:val="none"/>
        </w:rPr>
        <w:t>项目</w:t>
      </w:r>
      <w:r>
        <w:rPr>
          <w:rFonts w:hint="eastAsia" w:ascii="仿宋_GB2312" w:hAnsi="仿宋_GB2312" w:eastAsia="仿宋_GB2312" w:cs="仿宋_GB2312"/>
          <w:color w:val="auto"/>
          <w:sz w:val="32"/>
          <w:szCs w:val="32"/>
          <w:highlight w:val="none"/>
          <w:lang w:val="en-US" w:eastAsia="zh-CN"/>
        </w:rPr>
        <w:t>明细如下：</w:t>
      </w:r>
    </w:p>
    <w:tbl>
      <w:tblPr>
        <w:tblStyle w:val="15"/>
        <w:tblW w:w="8286" w:type="dxa"/>
        <w:jc w:val="center"/>
        <w:tblBorders>
          <w:top w:val="single" w:color="auto" w:sz="4" w:space="0"/>
          <w:left w:val="none" w:color="auto" w:sz="0" w:space="0"/>
          <w:bottom w:val="single" w:color="auto" w:sz="4"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761"/>
        <w:gridCol w:w="2795"/>
        <w:gridCol w:w="4730"/>
      </w:tblGrid>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282" w:hRule="atLeast"/>
          <w:tblHeader/>
          <w:jc w:val="center"/>
        </w:trPr>
        <w:tc>
          <w:tcPr>
            <w:tcW w:w="761" w:type="dxa"/>
            <w:shd w:val="clear" w:color="auto" w:fill="B8CCE4"/>
            <w:vAlign w:val="center"/>
          </w:tcPr>
          <w:p>
            <w:pPr>
              <w:widowControl/>
              <w:jc w:val="center"/>
              <w:textAlignment w:val="center"/>
              <w:rPr>
                <w:rFonts w:ascii="宋体" w:hAnsi="宋体" w:cs="宋体"/>
                <w:b/>
                <w:bCs/>
                <w:color w:val="000000"/>
                <w:kern w:val="0"/>
                <w:szCs w:val="21"/>
                <w:highlight w:val="none"/>
                <w:lang w:bidi="ar"/>
              </w:rPr>
            </w:pPr>
            <w:r>
              <w:rPr>
                <w:rFonts w:hint="eastAsia" w:ascii="宋体" w:hAnsi="宋体" w:cs="宋体"/>
                <w:b/>
                <w:bCs/>
                <w:color w:val="000000"/>
                <w:kern w:val="0"/>
                <w:szCs w:val="21"/>
                <w:highlight w:val="none"/>
                <w:lang w:bidi="ar"/>
              </w:rPr>
              <w:t>序号</w:t>
            </w:r>
          </w:p>
        </w:tc>
        <w:tc>
          <w:tcPr>
            <w:tcW w:w="2795" w:type="dxa"/>
            <w:shd w:val="clear" w:color="auto" w:fill="B8CCE4"/>
            <w:vAlign w:val="center"/>
          </w:tcPr>
          <w:p>
            <w:pPr>
              <w:widowControl/>
              <w:jc w:val="center"/>
              <w:textAlignment w:val="center"/>
              <w:rPr>
                <w:rFonts w:ascii="宋体" w:hAnsi="宋体" w:eastAsia="宋体" w:cs="宋体"/>
                <w:b/>
                <w:bCs/>
                <w:color w:val="000000"/>
                <w:kern w:val="0"/>
                <w:szCs w:val="21"/>
                <w:highlight w:val="none"/>
                <w:lang w:bidi="ar"/>
              </w:rPr>
            </w:pPr>
            <w:r>
              <w:rPr>
                <w:rFonts w:hint="eastAsia" w:ascii="宋体" w:hAnsi="宋体" w:cs="宋体"/>
                <w:b/>
                <w:bCs/>
                <w:color w:val="000000"/>
                <w:kern w:val="0"/>
                <w:szCs w:val="21"/>
                <w:highlight w:val="none"/>
                <w:lang w:bidi="ar"/>
              </w:rPr>
              <w:t>实施单位</w:t>
            </w:r>
          </w:p>
        </w:tc>
        <w:tc>
          <w:tcPr>
            <w:tcW w:w="4730" w:type="dxa"/>
            <w:shd w:val="clear" w:color="auto" w:fill="B8CCE4"/>
            <w:vAlign w:val="center"/>
          </w:tcPr>
          <w:p>
            <w:pPr>
              <w:widowControl/>
              <w:jc w:val="center"/>
              <w:textAlignment w:val="center"/>
              <w:rPr>
                <w:rFonts w:ascii="宋体" w:hAnsi="宋体" w:cs="宋体"/>
                <w:b/>
                <w:bCs/>
                <w:color w:val="000000"/>
                <w:kern w:val="0"/>
                <w:szCs w:val="21"/>
                <w:highlight w:val="none"/>
                <w:lang w:bidi="ar"/>
              </w:rPr>
            </w:pPr>
            <w:r>
              <w:rPr>
                <w:rFonts w:hint="eastAsia" w:ascii="宋体" w:hAnsi="宋体" w:cs="宋体"/>
                <w:b/>
                <w:bCs/>
                <w:color w:val="000000"/>
                <w:kern w:val="0"/>
                <w:szCs w:val="21"/>
                <w:highlight w:val="none"/>
                <w:lang w:bidi="ar"/>
              </w:rPr>
              <w:t>项目名称</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shd w:val="clear" w:color="auto" w:fill="auto"/>
            <w:vAlign w:val="center"/>
          </w:tcPr>
          <w:p>
            <w:pPr>
              <w:widowControl/>
              <w:jc w:val="center"/>
              <w:textAlignment w:val="center"/>
              <w:rPr>
                <w:rFonts w:ascii="宋体" w:hAnsi="宋体" w:cs="宋体"/>
                <w:color w:val="000000"/>
                <w:kern w:val="0"/>
                <w:szCs w:val="21"/>
                <w:highlight w:val="none"/>
                <w:lang w:bidi="ar"/>
              </w:rPr>
            </w:pPr>
            <w:r>
              <w:rPr>
                <w:rFonts w:hint="eastAsia" w:ascii="宋体" w:hAnsi="宋体" w:cs="宋体"/>
                <w:color w:val="000000"/>
                <w:kern w:val="0"/>
                <w:szCs w:val="21"/>
                <w:highlight w:val="none"/>
                <w:lang w:bidi="ar"/>
              </w:rPr>
              <w:t>1</w:t>
            </w:r>
          </w:p>
        </w:tc>
        <w:tc>
          <w:tcPr>
            <w:tcW w:w="2795" w:type="dxa"/>
            <w:shd w:val="clear" w:color="auto" w:fill="auto"/>
            <w:vAlign w:val="center"/>
          </w:tcPr>
          <w:p>
            <w:pPr>
              <w:widowControl/>
              <w:jc w:val="left"/>
              <w:textAlignment w:val="center"/>
              <w:rPr>
                <w:rFonts w:ascii="宋体" w:hAnsi="宋体" w:cs="宋体"/>
                <w:color w:val="000000"/>
                <w:kern w:val="0"/>
                <w:szCs w:val="21"/>
                <w:highlight w:val="none"/>
                <w:lang w:bidi="ar"/>
              </w:rPr>
            </w:pPr>
            <w:r>
              <w:rPr>
                <w:rFonts w:hint="eastAsia" w:ascii="宋体" w:hAnsi="宋体" w:eastAsia="宋体" w:cs="宋体"/>
                <w:color w:val="000000"/>
                <w:kern w:val="0"/>
                <w:szCs w:val="21"/>
                <w:highlight w:val="none"/>
                <w:lang w:bidi="ar"/>
              </w:rPr>
              <w:t>东乡族自治县人民法院</w:t>
            </w:r>
          </w:p>
        </w:tc>
        <w:tc>
          <w:tcPr>
            <w:tcW w:w="4730" w:type="dxa"/>
            <w:shd w:val="clear" w:color="auto" w:fill="auto"/>
            <w:vAlign w:val="center"/>
          </w:tcPr>
          <w:p>
            <w:pPr>
              <w:widowControl/>
              <w:jc w:val="left"/>
              <w:textAlignment w:val="center"/>
              <w:rPr>
                <w:rFonts w:ascii="宋体" w:hAnsi="宋体" w:cs="宋体"/>
                <w:color w:val="000000"/>
                <w:kern w:val="0"/>
                <w:szCs w:val="21"/>
                <w:highlight w:val="none"/>
                <w:lang w:bidi="ar"/>
              </w:rPr>
            </w:pPr>
            <w:r>
              <w:rPr>
                <w:rFonts w:hint="eastAsia" w:ascii="宋体" w:hAnsi="宋体" w:cs="宋体"/>
                <w:color w:val="000000"/>
                <w:kern w:val="0"/>
                <w:szCs w:val="21"/>
                <w:highlight w:val="none"/>
                <w:lang w:bidi="ar"/>
              </w:rPr>
              <w:t>东乡县法院审判法庭维修改造项目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54" w:hRule="atLeast"/>
          <w:jc w:val="center"/>
        </w:trPr>
        <w:tc>
          <w:tcPr>
            <w:tcW w:w="761" w:type="dxa"/>
            <w:noWrap/>
            <w:vAlign w:val="center"/>
          </w:tcPr>
          <w:p>
            <w:pPr>
              <w:widowControl/>
              <w:jc w:val="center"/>
              <w:textAlignment w:val="center"/>
              <w:rPr>
                <w:rFonts w:ascii="宋体" w:hAnsi="宋体" w:cs="宋体"/>
                <w:color w:val="000000"/>
                <w:kern w:val="0"/>
                <w:szCs w:val="21"/>
                <w:highlight w:val="none"/>
                <w:lang w:bidi="ar"/>
              </w:rPr>
            </w:pPr>
            <w:r>
              <w:rPr>
                <w:rFonts w:hint="eastAsia" w:ascii="宋体" w:hAnsi="宋体" w:cs="宋体"/>
                <w:color w:val="000000"/>
                <w:kern w:val="0"/>
                <w:szCs w:val="21"/>
                <w:highlight w:val="none"/>
                <w:lang w:bidi="ar"/>
              </w:rPr>
              <w:t>2</w:t>
            </w:r>
          </w:p>
        </w:tc>
        <w:tc>
          <w:tcPr>
            <w:tcW w:w="2795"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白银市中级人民法院</w:t>
            </w:r>
          </w:p>
        </w:tc>
        <w:tc>
          <w:tcPr>
            <w:tcW w:w="4730"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审判综合楼卫生间维修改造项目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vMerge w:val="restart"/>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cs="宋体"/>
                <w:color w:val="000000"/>
                <w:kern w:val="0"/>
                <w:szCs w:val="21"/>
                <w:highlight w:val="none"/>
                <w:lang w:bidi="ar"/>
              </w:rPr>
              <w:t>3</w:t>
            </w:r>
          </w:p>
        </w:tc>
        <w:tc>
          <w:tcPr>
            <w:tcW w:w="2795" w:type="dxa"/>
            <w:vMerge w:val="restart"/>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靖远县人民法院</w:t>
            </w:r>
          </w:p>
        </w:tc>
        <w:tc>
          <w:tcPr>
            <w:tcW w:w="4730"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靖远县法院审判综合楼维修改造项目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vMerge w:val="continue"/>
            <w:noWrap/>
            <w:vAlign w:val="center"/>
          </w:tcPr>
          <w:p>
            <w:pPr>
              <w:widowControl/>
              <w:jc w:val="center"/>
              <w:textAlignment w:val="center"/>
              <w:rPr>
                <w:rFonts w:ascii="宋体" w:hAnsi="宋体" w:cs="宋体"/>
                <w:color w:val="000000"/>
                <w:kern w:val="0"/>
                <w:szCs w:val="21"/>
                <w:highlight w:val="none"/>
                <w:lang w:bidi="ar"/>
              </w:rPr>
            </w:pPr>
          </w:p>
        </w:tc>
        <w:tc>
          <w:tcPr>
            <w:tcW w:w="2795" w:type="dxa"/>
            <w:vMerge w:val="continue"/>
            <w:vAlign w:val="center"/>
          </w:tcPr>
          <w:p>
            <w:pPr>
              <w:widowControl/>
              <w:jc w:val="left"/>
              <w:textAlignment w:val="center"/>
              <w:rPr>
                <w:rFonts w:ascii="宋体" w:hAnsi="宋体" w:eastAsia="宋体" w:cs="宋体"/>
                <w:color w:val="000000"/>
                <w:kern w:val="0"/>
                <w:szCs w:val="21"/>
                <w:highlight w:val="none"/>
                <w:lang w:bidi="ar"/>
              </w:rPr>
            </w:pPr>
          </w:p>
        </w:tc>
        <w:tc>
          <w:tcPr>
            <w:tcW w:w="4730"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五合人民法庭维修改造项目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cs="宋体"/>
                <w:color w:val="000000"/>
                <w:kern w:val="0"/>
                <w:szCs w:val="21"/>
                <w:highlight w:val="none"/>
                <w:lang w:bidi="ar"/>
              </w:rPr>
              <w:t>4</w:t>
            </w:r>
          </w:p>
        </w:tc>
        <w:tc>
          <w:tcPr>
            <w:tcW w:w="2795"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白银区人民法院</w:t>
            </w:r>
          </w:p>
        </w:tc>
        <w:tc>
          <w:tcPr>
            <w:tcW w:w="4730"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白银市白银区法院审判综合楼内墙维修改造项目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cs="宋体"/>
                <w:color w:val="000000"/>
                <w:kern w:val="0"/>
                <w:szCs w:val="21"/>
                <w:highlight w:val="none"/>
                <w:lang w:bidi="ar"/>
              </w:rPr>
              <w:t>5</w:t>
            </w:r>
          </w:p>
        </w:tc>
        <w:tc>
          <w:tcPr>
            <w:tcW w:w="2795"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灵台县人民法院</w:t>
            </w:r>
          </w:p>
        </w:tc>
        <w:tc>
          <w:tcPr>
            <w:tcW w:w="4730"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灵台县法院审判法庭维修改造项目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vMerge w:val="restart"/>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6</w:t>
            </w:r>
          </w:p>
        </w:tc>
        <w:tc>
          <w:tcPr>
            <w:tcW w:w="2795" w:type="dxa"/>
            <w:vMerge w:val="restart"/>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静宁县人民法院</w:t>
            </w:r>
          </w:p>
        </w:tc>
        <w:tc>
          <w:tcPr>
            <w:tcW w:w="4730"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机关审判楼暖气管道维修改造项目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vMerge w:val="continue"/>
            <w:noWrap/>
            <w:vAlign w:val="center"/>
          </w:tcPr>
          <w:p>
            <w:pPr>
              <w:widowControl/>
              <w:jc w:val="center"/>
              <w:textAlignment w:val="center"/>
              <w:rPr>
                <w:rFonts w:ascii="宋体" w:hAnsi="宋体" w:eastAsia="宋体" w:cs="宋体"/>
                <w:color w:val="000000"/>
                <w:kern w:val="0"/>
                <w:szCs w:val="21"/>
                <w:highlight w:val="none"/>
                <w:lang w:bidi="ar"/>
              </w:rPr>
            </w:pPr>
          </w:p>
        </w:tc>
        <w:tc>
          <w:tcPr>
            <w:tcW w:w="2795" w:type="dxa"/>
            <w:vMerge w:val="continue"/>
            <w:vAlign w:val="center"/>
          </w:tcPr>
          <w:p>
            <w:pPr>
              <w:widowControl/>
              <w:jc w:val="left"/>
              <w:textAlignment w:val="center"/>
              <w:rPr>
                <w:rFonts w:ascii="宋体" w:hAnsi="宋体" w:eastAsia="宋体" w:cs="宋体"/>
                <w:color w:val="000000"/>
                <w:kern w:val="0"/>
                <w:szCs w:val="21"/>
                <w:highlight w:val="none"/>
                <w:lang w:bidi="ar"/>
              </w:rPr>
            </w:pPr>
          </w:p>
        </w:tc>
        <w:tc>
          <w:tcPr>
            <w:tcW w:w="4730"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雷大人民法庭院坪及自来水维修改造项目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7</w:t>
            </w:r>
          </w:p>
        </w:tc>
        <w:tc>
          <w:tcPr>
            <w:tcW w:w="2795"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天水市中级人民法院</w:t>
            </w:r>
          </w:p>
        </w:tc>
        <w:tc>
          <w:tcPr>
            <w:tcW w:w="4730"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天水中院审判法庭业务用房维修改造项目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8</w:t>
            </w:r>
          </w:p>
        </w:tc>
        <w:tc>
          <w:tcPr>
            <w:tcW w:w="2795"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甘谷县人民法院</w:t>
            </w:r>
          </w:p>
        </w:tc>
        <w:tc>
          <w:tcPr>
            <w:tcW w:w="4730"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甘谷县法院审判大楼维修改造项目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2" w:hRule="atLeast"/>
          <w:jc w:val="center"/>
        </w:trPr>
        <w:tc>
          <w:tcPr>
            <w:tcW w:w="76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9</w:t>
            </w:r>
          </w:p>
        </w:tc>
        <w:tc>
          <w:tcPr>
            <w:tcW w:w="2795"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麦积区人民法院</w:t>
            </w:r>
          </w:p>
        </w:tc>
        <w:tc>
          <w:tcPr>
            <w:tcW w:w="4730"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highlight w:val="none"/>
              </w:rPr>
              <w:t>麦积区法院审判法庭维修改造项目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10</w:t>
            </w:r>
          </w:p>
        </w:tc>
        <w:tc>
          <w:tcPr>
            <w:tcW w:w="2795"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永登县人民法院</w:t>
            </w:r>
          </w:p>
        </w:tc>
        <w:tc>
          <w:tcPr>
            <w:tcW w:w="4730"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永登县法院审判法庭综合楼“老旧幕墙”改造及一层诉讼服务中心等局部维修改造项目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11</w:t>
            </w:r>
          </w:p>
        </w:tc>
        <w:tc>
          <w:tcPr>
            <w:tcW w:w="2795"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皋兰县人民法院</w:t>
            </w:r>
          </w:p>
        </w:tc>
        <w:tc>
          <w:tcPr>
            <w:tcW w:w="4730"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皋兰县法院审判法庭室内地砖维修改造项目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12</w:t>
            </w:r>
          </w:p>
        </w:tc>
        <w:tc>
          <w:tcPr>
            <w:tcW w:w="2795"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临夏县人民法院</w:t>
            </w:r>
          </w:p>
        </w:tc>
        <w:tc>
          <w:tcPr>
            <w:tcW w:w="4730"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临夏县法院刑事大审判庭维修改造项目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vMerge w:val="restart"/>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13</w:t>
            </w:r>
          </w:p>
        </w:tc>
        <w:tc>
          <w:tcPr>
            <w:tcW w:w="2795" w:type="dxa"/>
            <w:vMerge w:val="restart"/>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康县人民法院</w:t>
            </w:r>
          </w:p>
        </w:tc>
        <w:tc>
          <w:tcPr>
            <w:tcW w:w="4730"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审判综合楼维修改造项目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vMerge w:val="continue"/>
            <w:noWrap/>
            <w:vAlign w:val="center"/>
          </w:tcPr>
          <w:p>
            <w:pPr>
              <w:widowControl/>
              <w:jc w:val="center"/>
              <w:textAlignment w:val="center"/>
              <w:rPr>
                <w:rFonts w:ascii="宋体" w:hAnsi="宋体" w:eastAsia="宋体" w:cs="宋体"/>
                <w:color w:val="000000"/>
                <w:kern w:val="0"/>
                <w:szCs w:val="21"/>
                <w:highlight w:val="none"/>
                <w:lang w:bidi="ar"/>
              </w:rPr>
            </w:pPr>
          </w:p>
        </w:tc>
        <w:tc>
          <w:tcPr>
            <w:tcW w:w="2795" w:type="dxa"/>
            <w:vMerge w:val="continue"/>
            <w:vAlign w:val="center"/>
          </w:tcPr>
          <w:p>
            <w:pPr>
              <w:widowControl/>
              <w:jc w:val="left"/>
              <w:textAlignment w:val="center"/>
              <w:rPr>
                <w:rFonts w:ascii="宋体" w:hAnsi="宋体" w:eastAsia="宋体" w:cs="宋体"/>
                <w:color w:val="000000"/>
                <w:kern w:val="0"/>
                <w:szCs w:val="21"/>
                <w:highlight w:val="none"/>
                <w:lang w:bidi="ar"/>
              </w:rPr>
            </w:pPr>
          </w:p>
        </w:tc>
        <w:tc>
          <w:tcPr>
            <w:tcW w:w="4730"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阳坝法庭维修改造项目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14</w:t>
            </w:r>
          </w:p>
        </w:tc>
        <w:tc>
          <w:tcPr>
            <w:tcW w:w="2795"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卓尼县人民法院</w:t>
            </w:r>
          </w:p>
        </w:tc>
        <w:tc>
          <w:tcPr>
            <w:tcW w:w="4730"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审判法庭室外附属工程维修改造项目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15</w:t>
            </w:r>
          </w:p>
        </w:tc>
        <w:tc>
          <w:tcPr>
            <w:tcW w:w="2795"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甘南州中级人民法院</w:t>
            </w:r>
          </w:p>
        </w:tc>
        <w:tc>
          <w:tcPr>
            <w:tcW w:w="4730"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甘南中院审判大楼内外设施维修改造项目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16</w:t>
            </w:r>
          </w:p>
        </w:tc>
        <w:tc>
          <w:tcPr>
            <w:tcW w:w="2795"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镇原县人民法院</w:t>
            </w:r>
          </w:p>
        </w:tc>
        <w:tc>
          <w:tcPr>
            <w:tcW w:w="4730"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平泉人民法庭维修改造项目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17</w:t>
            </w:r>
          </w:p>
        </w:tc>
        <w:tc>
          <w:tcPr>
            <w:tcW w:w="2795"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定西市中级人民法院</w:t>
            </w:r>
          </w:p>
        </w:tc>
        <w:tc>
          <w:tcPr>
            <w:tcW w:w="4730"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定西市中级人民法院第三、五科技法庭维修改造</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18</w:t>
            </w:r>
          </w:p>
        </w:tc>
        <w:tc>
          <w:tcPr>
            <w:tcW w:w="2795"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安定区人民法院</w:t>
            </w:r>
          </w:p>
        </w:tc>
        <w:tc>
          <w:tcPr>
            <w:tcW w:w="4730"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审判法庭综合楼维修改造项目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19</w:t>
            </w:r>
          </w:p>
        </w:tc>
        <w:tc>
          <w:tcPr>
            <w:tcW w:w="2795"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甘肃矿区人民法院</w:t>
            </w:r>
          </w:p>
        </w:tc>
        <w:tc>
          <w:tcPr>
            <w:tcW w:w="4730"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审判业务用房维修改造项目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04" w:hRule="atLeast"/>
          <w:jc w:val="center"/>
        </w:trPr>
        <w:tc>
          <w:tcPr>
            <w:tcW w:w="761" w:type="dxa"/>
            <w:shd w:val="clear" w:color="auto" w:fill="C7DAF1"/>
            <w:noWrap/>
            <w:vAlign w:val="center"/>
          </w:tcPr>
          <w:p>
            <w:pPr>
              <w:widowControl/>
              <w:jc w:val="center"/>
              <w:textAlignment w:val="center"/>
              <w:rPr>
                <w:rFonts w:ascii="宋体" w:hAnsi="宋体" w:cs="宋体"/>
                <w:b/>
                <w:bCs/>
                <w:color w:val="000000"/>
                <w:kern w:val="0"/>
                <w:szCs w:val="21"/>
                <w:highlight w:val="none"/>
                <w:lang w:bidi="ar"/>
              </w:rPr>
            </w:pPr>
          </w:p>
        </w:tc>
        <w:tc>
          <w:tcPr>
            <w:tcW w:w="2795" w:type="dxa"/>
            <w:shd w:val="clear" w:color="auto" w:fill="C7DAF1"/>
            <w:vAlign w:val="center"/>
          </w:tcPr>
          <w:p>
            <w:pPr>
              <w:widowControl/>
              <w:jc w:val="center"/>
              <w:textAlignment w:val="center"/>
              <w:rPr>
                <w:rFonts w:ascii="宋体" w:hAnsi="宋体" w:cs="宋体"/>
                <w:b/>
                <w:bCs/>
                <w:color w:val="000000"/>
                <w:kern w:val="0"/>
                <w:szCs w:val="21"/>
                <w:highlight w:val="none"/>
                <w:lang w:bidi="ar"/>
              </w:rPr>
            </w:pPr>
            <w:r>
              <w:rPr>
                <w:rFonts w:hint="eastAsia" w:ascii="宋体" w:hAnsi="宋体" w:cs="宋体"/>
                <w:b/>
                <w:bCs/>
                <w:color w:val="000000"/>
                <w:kern w:val="0"/>
                <w:szCs w:val="21"/>
                <w:highlight w:val="none"/>
                <w:lang w:bidi="ar"/>
              </w:rPr>
              <w:t>合计</w:t>
            </w:r>
          </w:p>
        </w:tc>
        <w:tc>
          <w:tcPr>
            <w:tcW w:w="4730" w:type="dxa"/>
            <w:shd w:val="clear" w:color="auto" w:fill="C7DAF1"/>
            <w:noWrap/>
            <w:vAlign w:val="center"/>
          </w:tcPr>
          <w:p>
            <w:pPr>
              <w:widowControl/>
              <w:jc w:val="center"/>
              <w:textAlignment w:val="center"/>
              <w:rPr>
                <w:rFonts w:hint="default" w:ascii="宋体" w:hAnsi="宋体" w:eastAsia="宋体" w:cs="宋体"/>
                <w:b/>
                <w:bCs/>
                <w:color w:val="000000"/>
                <w:kern w:val="0"/>
                <w:szCs w:val="21"/>
                <w:highlight w:val="none"/>
                <w:lang w:val="en-US" w:eastAsia="zh-CN" w:bidi="ar"/>
              </w:rPr>
            </w:pPr>
            <w:r>
              <w:rPr>
                <w:rFonts w:hint="eastAsia" w:ascii="宋体" w:hAnsi="宋体" w:eastAsia="宋体" w:cs="宋体"/>
                <w:b/>
                <w:bCs/>
                <w:color w:val="000000"/>
                <w:kern w:val="0"/>
                <w:szCs w:val="21"/>
                <w:highlight w:val="none"/>
                <w:lang w:val="en-US" w:eastAsia="zh-CN" w:bidi="ar"/>
              </w:rPr>
              <w:t>22</w:t>
            </w:r>
          </w:p>
        </w:tc>
      </w:tr>
    </w:tbl>
    <w:p>
      <w:pPr>
        <w:pStyle w:val="21"/>
        <w:spacing w:line="560" w:lineRule="exact"/>
        <w:ind w:firstLine="643"/>
        <w:outlineLvl w:val="2"/>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2.质量指标</w:t>
      </w:r>
    </w:p>
    <w:p>
      <w:pPr>
        <w:spacing w:line="560" w:lineRule="exact"/>
        <w:ind w:firstLine="640" w:firstLineChars="200"/>
        <w:rPr>
          <w:rFonts w:ascii="仿宋_GB2312" w:hAnsi="仿宋_GB2312" w:eastAsia="仿宋_GB2312" w:cs="仿宋_GB2312"/>
          <w:color w:val="000000" w:themeColor="text1"/>
          <w:sz w:val="32"/>
          <w:szCs w:val="32"/>
          <w:highlight w:val="none"/>
          <w14:textFill>
            <w14:solidFill>
              <w14:schemeClr w14:val="tx1"/>
            </w14:solidFill>
          </w14:textFill>
        </w:rPr>
      </w:pPr>
      <w:bookmarkStart w:id="138" w:name="_Toc7509"/>
      <w:bookmarkStart w:id="139" w:name="_Toc27458"/>
      <w:r>
        <w:rPr>
          <w:rFonts w:hint="eastAsia" w:ascii="仿宋_GB2312" w:hAnsi="仿宋_GB2312" w:eastAsia="仿宋_GB2312" w:cs="仿宋_GB2312"/>
          <w:color w:val="000000" w:themeColor="text1"/>
          <w:sz w:val="32"/>
          <w:szCs w:val="32"/>
          <w:highlight w:val="none"/>
          <w14:textFill>
            <w14:solidFill>
              <w14:schemeClr w14:val="tx1"/>
            </w14:solidFill>
          </w14:textFill>
        </w:rPr>
        <w:t>维修维护验收通过率指标分值5.5分，评价得分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highlight w:val="none"/>
          <w14:textFill>
            <w14:solidFill>
              <w14:schemeClr w14:val="tx1"/>
            </w14:solidFill>
          </w14:textFill>
        </w:rPr>
        <w:t>分。截止评价基准日，</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维修维护项目共批复22项，其中</w:t>
      </w:r>
      <w:r>
        <w:rPr>
          <w:rFonts w:hint="eastAsia" w:ascii="仿宋_GB2312" w:hAnsi="仿宋_GB2312" w:eastAsia="仿宋_GB2312" w:cs="仿宋_GB2312"/>
          <w:color w:val="000000" w:themeColor="text1"/>
          <w:sz w:val="32"/>
          <w:szCs w:val="32"/>
          <w:highlight w:val="none"/>
          <w14:textFill>
            <w14:solidFill>
              <w14:schemeClr w14:val="tx1"/>
            </w14:solidFill>
          </w14:textFill>
        </w:rPr>
        <w:t>8个项目已完工并通过验收，2个项目完工待验收，10个项目尚未完工，2个项目年底未开工，维修维护验收通过率3</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6.36</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p>
    <w:tbl>
      <w:tblPr>
        <w:tblStyle w:val="15"/>
        <w:tblW w:w="8321" w:type="dxa"/>
        <w:jc w:val="center"/>
        <w:tblBorders>
          <w:top w:val="single" w:color="auto" w:sz="4" w:space="0"/>
          <w:left w:val="none" w:color="auto" w:sz="0" w:space="0"/>
          <w:bottom w:val="single" w:color="auto" w:sz="4"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687"/>
        <w:gridCol w:w="2136"/>
        <w:gridCol w:w="4212"/>
        <w:gridCol w:w="1286"/>
      </w:tblGrid>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jc w:val="center"/>
        </w:trPr>
        <w:tc>
          <w:tcPr>
            <w:tcW w:w="687" w:type="dxa"/>
            <w:shd w:val="clear" w:color="auto" w:fill="B8CCE4"/>
            <w:vAlign w:val="center"/>
          </w:tcPr>
          <w:p>
            <w:pPr>
              <w:widowControl/>
              <w:jc w:val="center"/>
              <w:textAlignment w:val="center"/>
              <w:rPr>
                <w:rFonts w:ascii="宋体" w:hAnsi="宋体" w:cs="宋体"/>
                <w:b/>
                <w:bCs/>
                <w:color w:val="000000"/>
                <w:kern w:val="0"/>
                <w:szCs w:val="21"/>
                <w:highlight w:val="none"/>
                <w:lang w:bidi="ar"/>
              </w:rPr>
            </w:pPr>
            <w:r>
              <w:rPr>
                <w:rFonts w:hint="eastAsia" w:ascii="宋体" w:hAnsi="宋体" w:cs="宋体"/>
                <w:b/>
                <w:bCs/>
                <w:color w:val="000000"/>
                <w:kern w:val="0"/>
                <w:szCs w:val="21"/>
                <w:highlight w:val="none"/>
                <w:lang w:bidi="ar"/>
              </w:rPr>
              <w:t>序号</w:t>
            </w:r>
          </w:p>
        </w:tc>
        <w:tc>
          <w:tcPr>
            <w:tcW w:w="2136" w:type="dxa"/>
            <w:shd w:val="clear" w:color="auto" w:fill="B8CCE4"/>
            <w:vAlign w:val="center"/>
          </w:tcPr>
          <w:p>
            <w:pPr>
              <w:widowControl/>
              <w:jc w:val="center"/>
              <w:textAlignment w:val="center"/>
              <w:rPr>
                <w:rFonts w:ascii="宋体" w:hAnsi="宋体" w:eastAsia="宋体" w:cs="宋体"/>
                <w:b/>
                <w:bCs/>
                <w:color w:val="000000"/>
                <w:kern w:val="0"/>
                <w:szCs w:val="21"/>
                <w:highlight w:val="none"/>
                <w:lang w:bidi="ar"/>
              </w:rPr>
            </w:pPr>
            <w:r>
              <w:rPr>
                <w:rFonts w:hint="eastAsia" w:ascii="宋体" w:hAnsi="宋体" w:cs="宋体"/>
                <w:b/>
                <w:bCs/>
                <w:color w:val="000000"/>
                <w:kern w:val="0"/>
                <w:szCs w:val="21"/>
                <w:highlight w:val="none"/>
                <w:lang w:bidi="ar"/>
              </w:rPr>
              <w:t>实施单位</w:t>
            </w:r>
          </w:p>
        </w:tc>
        <w:tc>
          <w:tcPr>
            <w:tcW w:w="4212" w:type="dxa"/>
            <w:shd w:val="clear" w:color="auto" w:fill="B8CCE4"/>
            <w:vAlign w:val="center"/>
          </w:tcPr>
          <w:p>
            <w:pPr>
              <w:widowControl/>
              <w:jc w:val="center"/>
              <w:textAlignment w:val="center"/>
              <w:rPr>
                <w:rFonts w:ascii="宋体" w:hAnsi="宋体" w:cs="宋体"/>
                <w:b/>
                <w:bCs/>
                <w:color w:val="000000"/>
                <w:kern w:val="0"/>
                <w:szCs w:val="21"/>
                <w:highlight w:val="none"/>
                <w:lang w:bidi="ar"/>
              </w:rPr>
            </w:pPr>
            <w:r>
              <w:rPr>
                <w:rFonts w:hint="eastAsia" w:ascii="宋体" w:hAnsi="宋体" w:cs="宋体"/>
                <w:b/>
                <w:bCs/>
                <w:color w:val="000000"/>
                <w:kern w:val="0"/>
                <w:szCs w:val="21"/>
                <w:highlight w:val="none"/>
                <w:lang w:bidi="ar"/>
              </w:rPr>
              <w:t>项目名称</w:t>
            </w:r>
          </w:p>
        </w:tc>
        <w:tc>
          <w:tcPr>
            <w:tcW w:w="1286" w:type="dxa"/>
            <w:shd w:val="clear" w:color="auto" w:fill="B8CCE4"/>
            <w:vAlign w:val="center"/>
          </w:tcPr>
          <w:p>
            <w:pPr>
              <w:widowControl/>
              <w:jc w:val="center"/>
              <w:textAlignment w:val="center"/>
              <w:rPr>
                <w:rFonts w:ascii="宋体" w:hAnsi="宋体" w:cs="宋体"/>
                <w:b/>
                <w:bCs/>
                <w:color w:val="000000"/>
                <w:kern w:val="0"/>
                <w:szCs w:val="21"/>
                <w:highlight w:val="none"/>
                <w:lang w:bidi="ar"/>
              </w:rPr>
            </w:pPr>
            <w:r>
              <w:rPr>
                <w:rFonts w:hint="eastAsia" w:ascii="宋体" w:hAnsi="宋体" w:cs="宋体"/>
                <w:b/>
                <w:bCs/>
                <w:color w:val="000000"/>
                <w:kern w:val="0"/>
                <w:szCs w:val="21"/>
                <w:highlight w:val="none"/>
                <w:lang w:bidi="ar"/>
              </w:rPr>
              <w:t>实施进度</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87" w:type="dxa"/>
            <w:shd w:val="clear" w:color="auto" w:fill="auto"/>
            <w:vAlign w:val="center"/>
          </w:tcPr>
          <w:p>
            <w:pPr>
              <w:widowControl/>
              <w:jc w:val="center"/>
              <w:textAlignment w:val="center"/>
              <w:rPr>
                <w:rFonts w:ascii="宋体" w:hAnsi="宋体" w:cs="宋体"/>
                <w:color w:val="000000"/>
                <w:kern w:val="0"/>
                <w:szCs w:val="21"/>
                <w:highlight w:val="none"/>
                <w:lang w:bidi="ar"/>
              </w:rPr>
            </w:pPr>
            <w:r>
              <w:rPr>
                <w:rFonts w:hint="eastAsia" w:ascii="宋体" w:hAnsi="宋体" w:cs="宋体"/>
                <w:color w:val="000000"/>
                <w:kern w:val="0"/>
                <w:szCs w:val="21"/>
                <w:highlight w:val="none"/>
                <w:lang w:bidi="ar"/>
              </w:rPr>
              <w:t>1</w:t>
            </w:r>
          </w:p>
        </w:tc>
        <w:tc>
          <w:tcPr>
            <w:tcW w:w="2136" w:type="dxa"/>
            <w:shd w:val="clear" w:color="auto" w:fill="auto"/>
            <w:vAlign w:val="center"/>
          </w:tcPr>
          <w:p>
            <w:pPr>
              <w:widowControl/>
              <w:jc w:val="left"/>
              <w:textAlignment w:val="center"/>
              <w:rPr>
                <w:rFonts w:ascii="宋体" w:hAnsi="宋体" w:cs="宋体"/>
                <w:color w:val="000000"/>
                <w:kern w:val="0"/>
                <w:szCs w:val="21"/>
                <w:highlight w:val="none"/>
                <w:lang w:bidi="ar"/>
              </w:rPr>
            </w:pPr>
            <w:r>
              <w:rPr>
                <w:rFonts w:hint="eastAsia" w:ascii="宋体" w:hAnsi="宋体" w:eastAsia="宋体" w:cs="宋体"/>
                <w:color w:val="000000"/>
                <w:kern w:val="0"/>
                <w:szCs w:val="21"/>
                <w:highlight w:val="none"/>
                <w:lang w:bidi="ar"/>
              </w:rPr>
              <w:t>东乡族自治县人民法院</w:t>
            </w:r>
          </w:p>
        </w:tc>
        <w:tc>
          <w:tcPr>
            <w:tcW w:w="4212" w:type="dxa"/>
            <w:shd w:val="clear" w:color="auto" w:fill="auto"/>
            <w:vAlign w:val="center"/>
          </w:tcPr>
          <w:p>
            <w:pPr>
              <w:widowControl/>
              <w:jc w:val="left"/>
              <w:textAlignment w:val="center"/>
              <w:rPr>
                <w:rFonts w:ascii="宋体" w:hAnsi="宋体" w:cs="宋体"/>
                <w:color w:val="000000"/>
                <w:kern w:val="0"/>
                <w:szCs w:val="21"/>
                <w:highlight w:val="none"/>
                <w:lang w:bidi="ar"/>
              </w:rPr>
            </w:pPr>
            <w:r>
              <w:rPr>
                <w:rFonts w:hint="eastAsia" w:ascii="宋体" w:hAnsi="宋体" w:cs="宋体"/>
                <w:color w:val="000000"/>
                <w:kern w:val="0"/>
                <w:szCs w:val="21"/>
                <w:highlight w:val="none"/>
                <w:lang w:bidi="ar"/>
              </w:rPr>
              <w:t>东乡县法院审判法庭维修改造项目</w:t>
            </w:r>
          </w:p>
        </w:tc>
        <w:tc>
          <w:tcPr>
            <w:tcW w:w="1286" w:type="dxa"/>
            <w:shd w:val="clear" w:color="auto" w:fill="auto"/>
            <w:vAlign w:val="center"/>
          </w:tcPr>
          <w:p>
            <w:pPr>
              <w:widowControl/>
              <w:jc w:val="left"/>
              <w:textAlignment w:val="center"/>
              <w:rPr>
                <w:rFonts w:ascii="宋体" w:hAnsi="宋体" w:cs="宋体"/>
                <w:color w:val="000000"/>
                <w:kern w:val="0"/>
                <w:szCs w:val="21"/>
                <w:highlight w:val="none"/>
                <w:lang w:bidi="ar"/>
              </w:rPr>
            </w:pPr>
            <w:r>
              <w:rPr>
                <w:rFonts w:hint="eastAsia" w:ascii="宋体" w:hAnsi="宋体" w:cs="宋体"/>
                <w:color w:val="000000"/>
                <w:kern w:val="0"/>
                <w:szCs w:val="21"/>
                <w:highlight w:val="none"/>
                <w:lang w:bidi="ar"/>
              </w:rPr>
              <w:t>未完工</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54" w:hRule="atLeast"/>
          <w:jc w:val="center"/>
        </w:trPr>
        <w:tc>
          <w:tcPr>
            <w:tcW w:w="687" w:type="dxa"/>
            <w:noWrap/>
            <w:vAlign w:val="center"/>
          </w:tcPr>
          <w:p>
            <w:pPr>
              <w:widowControl/>
              <w:jc w:val="center"/>
              <w:textAlignment w:val="center"/>
              <w:rPr>
                <w:rFonts w:ascii="宋体" w:hAnsi="宋体" w:cs="宋体"/>
                <w:color w:val="000000"/>
                <w:kern w:val="0"/>
                <w:szCs w:val="21"/>
                <w:highlight w:val="none"/>
                <w:lang w:bidi="ar"/>
              </w:rPr>
            </w:pPr>
            <w:r>
              <w:rPr>
                <w:rFonts w:hint="eastAsia" w:ascii="宋体" w:hAnsi="宋体" w:cs="宋体"/>
                <w:color w:val="000000"/>
                <w:kern w:val="0"/>
                <w:szCs w:val="21"/>
                <w:highlight w:val="none"/>
                <w:lang w:bidi="ar"/>
              </w:rPr>
              <w:t>2</w:t>
            </w:r>
          </w:p>
        </w:tc>
        <w:tc>
          <w:tcPr>
            <w:tcW w:w="2136"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白银市中级人民法院</w:t>
            </w:r>
          </w:p>
        </w:tc>
        <w:tc>
          <w:tcPr>
            <w:tcW w:w="4212"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审判综合楼卫生间维修改造项目</w:t>
            </w:r>
          </w:p>
        </w:tc>
        <w:tc>
          <w:tcPr>
            <w:tcW w:w="1286"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cs="宋体"/>
                <w:color w:val="000000"/>
                <w:kern w:val="0"/>
                <w:szCs w:val="21"/>
                <w:highlight w:val="none"/>
                <w:lang w:bidi="ar"/>
              </w:rPr>
              <w:t>未完工</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87" w:type="dxa"/>
            <w:vMerge w:val="restart"/>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cs="宋体"/>
                <w:color w:val="000000"/>
                <w:kern w:val="0"/>
                <w:szCs w:val="21"/>
                <w:highlight w:val="none"/>
                <w:lang w:bidi="ar"/>
              </w:rPr>
              <w:t>3</w:t>
            </w:r>
          </w:p>
        </w:tc>
        <w:tc>
          <w:tcPr>
            <w:tcW w:w="2136" w:type="dxa"/>
            <w:vMerge w:val="restart"/>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靖远县人民法院</w:t>
            </w:r>
          </w:p>
        </w:tc>
        <w:tc>
          <w:tcPr>
            <w:tcW w:w="4212"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靖远县法院审判综合楼维修改造项目</w:t>
            </w:r>
          </w:p>
        </w:tc>
        <w:tc>
          <w:tcPr>
            <w:tcW w:w="1286"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通过验收</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87" w:type="dxa"/>
            <w:vMerge w:val="continue"/>
            <w:noWrap/>
            <w:vAlign w:val="center"/>
          </w:tcPr>
          <w:p>
            <w:pPr>
              <w:widowControl/>
              <w:jc w:val="center"/>
              <w:textAlignment w:val="center"/>
              <w:rPr>
                <w:rFonts w:ascii="宋体" w:hAnsi="宋体" w:cs="宋体"/>
                <w:color w:val="000000"/>
                <w:kern w:val="0"/>
                <w:szCs w:val="21"/>
                <w:highlight w:val="none"/>
                <w:lang w:bidi="ar"/>
              </w:rPr>
            </w:pPr>
          </w:p>
        </w:tc>
        <w:tc>
          <w:tcPr>
            <w:tcW w:w="2136" w:type="dxa"/>
            <w:vMerge w:val="continue"/>
            <w:vAlign w:val="center"/>
          </w:tcPr>
          <w:p>
            <w:pPr>
              <w:widowControl/>
              <w:jc w:val="left"/>
              <w:textAlignment w:val="center"/>
              <w:rPr>
                <w:rFonts w:ascii="宋体" w:hAnsi="宋体" w:eastAsia="宋体" w:cs="宋体"/>
                <w:color w:val="000000"/>
                <w:kern w:val="0"/>
                <w:szCs w:val="21"/>
                <w:highlight w:val="none"/>
                <w:lang w:bidi="ar"/>
              </w:rPr>
            </w:pPr>
          </w:p>
        </w:tc>
        <w:tc>
          <w:tcPr>
            <w:tcW w:w="4212"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五合人民法庭维修改造项目</w:t>
            </w:r>
          </w:p>
        </w:tc>
        <w:tc>
          <w:tcPr>
            <w:tcW w:w="1286"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通过验收</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87"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cs="宋体"/>
                <w:color w:val="000000"/>
                <w:kern w:val="0"/>
                <w:szCs w:val="21"/>
                <w:highlight w:val="none"/>
                <w:lang w:bidi="ar"/>
              </w:rPr>
              <w:t>4</w:t>
            </w:r>
          </w:p>
        </w:tc>
        <w:tc>
          <w:tcPr>
            <w:tcW w:w="2136"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白银区人民法院</w:t>
            </w:r>
          </w:p>
        </w:tc>
        <w:tc>
          <w:tcPr>
            <w:tcW w:w="4212"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白银区法院审判综合楼内墙维修改造项目</w:t>
            </w:r>
          </w:p>
        </w:tc>
        <w:tc>
          <w:tcPr>
            <w:tcW w:w="1286"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cs="宋体"/>
                <w:color w:val="000000"/>
                <w:kern w:val="0"/>
                <w:szCs w:val="21"/>
                <w:highlight w:val="none"/>
                <w:lang w:bidi="ar"/>
              </w:rPr>
              <w:t>未完工</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87"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cs="宋体"/>
                <w:color w:val="000000"/>
                <w:kern w:val="0"/>
                <w:szCs w:val="21"/>
                <w:highlight w:val="none"/>
                <w:lang w:bidi="ar"/>
              </w:rPr>
              <w:t>5</w:t>
            </w:r>
          </w:p>
        </w:tc>
        <w:tc>
          <w:tcPr>
            <w:tcW w:w="2136"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灵台县人民法院</w:t>
            </w:r>
          </w:p>
        </w:tc>
        <w:tc>
          <w:tcPr>
            <w:tcW w:w="4212"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灵台县法院审判法庭维修改造项目</w:t>
            </w:r>
          </w:p>
        </w:tc>
        <w:tc>
          <w:tcPr>
            <w:tcW w:w="1286"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通过验收</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87" w:type="dxa"/>
            <w:vMerge w:val="restart"/>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6</w:t>
            </w:r>
          </w:p>
        </w:tc>
        <w:tc>
          <w:tcPr>
            <w:tcW w:w="2136" w:type="dxa"/>
            <w:vMerge w:val="restart"/>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静宁县人民法院</w:t>
            </w:r>
          </w:p>
        </w:tc>
        <w:tc>
          <w:tcPr>
            <w:tcW w:w="4212"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机关审判楼暖气管道维修改造项目</w:t>
            </w:r>
          </w:p>
        </w:tc>
        <w:tc>
          <w:tcPr>
            <w:tcW w:w="1286"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通过验收</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87" w:type="dxa"/>
            <w:vMerge w:val="continue"/>
            <w:noWrap/>
            <w:vAlign w:val="center"/>
          </w:tcPr>
          <w:p>
            <w:pPr>
              <w:widowControl/>
              <w:jc w:val="center"/>
              <w:textAlignment w:val="center"/>
              <w:rPr>
                <w:rFonts w:ascii="宋体" w:hAnsi="宋体" w:eastAsia="宋体" w:cs="宋体"/>
                <w:color w:val="000000"/>
                <w:kern w:val="0"/>
                <w:szCs w:val="21"/>
                <w:highlight w:val="none"/>
                <w:lang w:bidi="ar"/>
              </w:rPr>
            </w:pPr>
          </w:p>
        </w:tc>
        <w:tc>
          <w:tcPr>
            <w:tcW w:w="2136" w:type="dxa"/>
            <w:vMerge w:val="continue"/>
            <w:vAlign w:val="center"/>
          </w:tcPr>
          <w:p>
            <w:pPr>
              <w:widowControl/>
              <w:jc w:val="left"/>
              <w:textAlignment w:val="center"/>
              <w:rPr>
                <w:rFonts w:ascii="宋体" w:hAnsi="宋体" w:eastAsia="宋体" w:cs="宋体"/>
                <w:color w:val="000000"/>
                <w:kern w:val="0"/>
                <w:szCs w:val="21"/>
                <w:highlight w:val="none"/>
                <w:lang w:bidi="ar"/>
              </w:rPr>
            </w:pPr>
          </w:p>
        </w:tc>
        <w:tc>
          <w:tcPr>
            <w:tcW w:w="4212"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雷大人民法庭院坪及自来水维修改造项目</w:t>
            </w:r>
          </w:p>
        </w:tc>
        <w:tc>
          <w:tcPr>
            <w:tcW w:w="1286"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通过验收</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87"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7</w:t>
            </w:r>
          </w:p>
        </w:tc>
        <w:tc>
          <w:tcPr>
            <w:tcW w:w="2136"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天水市中级人民法院</w:t>
            </w:r>
          </w:p>
        </w:tc>
        <w:tc>
          <w:tcPr>
            <w:tcW w:w="4212"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天水中院审判法庭业务用房维修改造项目</w:t>
            </w:r>
          </w:p>
        </w:tc>
        <w:tc>
          <w:tcPr>
            <w:tcW w:w="1286"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cs="宋体"/>
                <w:color w:val="000000"/>
                <w:kern w:val="0"/>
                <w:szCs w:val="21"/>
                <w:highlight w:val="none"/>
                <w:lang w:bidi="ar"/>
              </w:rPr>
              <w:t>未完工</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87"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8</w:t>
            </w:r>
          </w:p>
        </w:tc>
        <w:tc>
          <w:tcPr>
            <w:tcW w:w="2136"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甘谷县人民法院</w:t>
            </w:r>
          </w:p>
        </w:tc>
        <w:tc>
          <w:tcPr>
            <w:tcW w:w="4212"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甘谷县法院审判大楼维修改造项目</w:t>
            </w:r>
          </w:p>
        </w:tc>
        <w:tc>
          <w:tcPr>
            <w:tcW w:w="1286"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项目未开工</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2" w:hRule="atLeast"/>
          <w:jc w:val="center"/>
        </w:trPr>
        <w:tc>
          <w:tcPr>
            <w:tcW w:w="687"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9</w:t>
            </w:r>
          </w:p>
        </w:tc>
        <w:tc>
          <w:tcPr>
            <w:tcW w:w="2136"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麦积区人民法院</w:t>
            </w:r>
          </w:p>
        </w:tc>
        <w:tc>
          <w:tcPr>
            <w:tcW w:w="4212"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highlight w:val="none"/>
              </w:rPr>
              <w:t>麦积区法院审判法庭维修改造项目</w:t>
            </w:r>
          </w:p>
        </w:tc>
        <w:tc>
          <w:tcPr>
            <w:tcW w:w="1286" w:type="dxa"/>
            <w:noWrap/>
            <w:vAlign w:val="center"/>
          </w:tcPr>
          <w:p>
            <w:pPr>
              <w:widowControl/>
              <w:jc w:val="left"/>
              <w:textAlignment w:val="center"/>
              <w:rPr>
                <w:highlight w:val="none"/>
              </w:rPr>
            </w:pPr>
            <w:r>
              <w:rPr>
                <w:rFonts w:hint="eastAsia" w:ascii="宋体" w:hAnsi="宋体" w:cs="宋体"/>
                <w:color w:val="000000"/>
                <w:kern w:val="0"/>
                <w:szCs w:val="21"/>
                <w:highlight w:val="none"/>
                <w:lang w:bidi="ar"/>
              </w:rPr>
              <w:t>未完工</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87"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10</w:t>
            </w:r>
          </w:p>
        </w:tc>
        <w:tc>
          <w:tcPr>
            <w:tcW w:w="2136"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永登县人民法院</w:t>
            </w:r>
          </w:p>
        </w:tc>
        <w:tc>
          <w:tcPr>
            <w:tcW w:w="4212"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永登县法院审判法庭综合楼“老旧幕墙”改造及一层诉讼服务中心等局部维修改造项目</w:t>
            </w:r>
          </w:p>
        </w:tc>
        <w:tc>
          <w:tcPr>
            <w:tcW w:w="1286"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cs="宋体"/>
                <w:color w:val="000000"/>
                <w:kern w:val="0"/>
                <w:szCs w:val="21"/>
                <w:highlight w:val="none"/>
                <w:lang w:bidi="ar"/>
              </w:rPr>
              <w:t>未完工</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87"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11</w:t>
            </w:r>
          </w:p>
        </w:tc>
        <w:tc>
          <w:tcPr>
            <w:tcW w:w="2136"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皋兰县人民法院</w:t>
            </w:r>
          </w:p>
        </w:tc>
        <w:tc>
          <w:tcPr>
            <w:tcW w:w="4212"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皋兰县法院审判法庭室内地砖维修改造项目</w:t>
            </w:r>
          </w:p>
        </w:tc>
        <w:tc>
          <w:tcPr>
            <w:tcW w:w="1286"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完工待验</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87"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12</w:t>
            </w:r>
          </w:p>
        </w:tc>
        <w:tc>
          <w:tcPr>
            <w:tcW w:w="2136"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临夏县人民法院</w:t>
            </w:r>
          </w:p>
        </w:tc>
        <w:tc>
          <w:tcPr>
            <w:tcW w:w="4212"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临夏县法院刑事大审判庭维修改造项目</w:t>
            </w:r>
          </w:p>
        </w:tc>
        <w:tc>
          <w:tcPr>
            <w:tcW w:w="1286"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cs="宋体"/>
                <w:color w:val="000000"/>
                <w:kern w:val="0"/>
                <w:szCs w:val="21"/>
                <w:highlight w:val="none"/>
                <w:lang w:bidi="ar"/>
              </w:rPr>
              <w:t>未完工</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87" w:type="dxa"/>
            <w:vMerge w:val="restart"/>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13</w:t>
            </w:r>
          </w:p>
        </w:tc>
        <w:tc>
          <w:tcPr>
            <w:tcW w:w="2136" w:type="dxa"/>
            <w:vMerge w:val="restart"/>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康县人民法院</w:t>
            </w:r>
          </w:p>
        </w:tc>
        <w:tc>
          <w:tcPr>
            <w:tcW w:w="4212"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审判综合楼维修改造项目</w:t>
            </w:r>
          </w:p>
        </w:tc>
        <w:tc>
          <w:tcPr>
            <w:tcW w:w="1286"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cs="宋体"/>
                <w:color w:val="000000"/>
                <w:kern w:val="0"/>
                <w:szCs w:val="21"/>
                <w:highlight w:val="none"/>
                <w:lang w:bidi="ar"/>
              </w:rPr>
              <w:t>未完工</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87" w:type="dxa"/>
            <w:vMerge w:val="continue"/>
            <w:noWrap/>
            <w:vAlign w:val="center"/>
          </w:tcPr>
          <w:p>
            <w:pPr>
              <w:widowControl/>
              <w:jc w:val="center"/>
              <w:textAlignment w:val="center"/>
              <w:rPr>
                <w:rFonts w:ascii="宋体" w:hAnsi="宋体" w:eastAsia="宋体" w:cs="宋体"/>
                <w:color w:val="000000"/>
                <w:kern w:val="0"/>
                <w:szCs w:val="21"/>
                <w:highlight w:val="none"/>
                <w:lang w:bidi="ar"/>
              </w:rPr>
            </w:pPr>
          </w:p>
        </w:tc>
        <w:tc>
          <w:tcPr>
            <w:tcW w:w="2136" w:type="dxa"/>
            <w:vMerge w:val="continue"/>
            <w:vAlign w:val="center"/>
          </w:tcPr>
          <w:p>
            <w:pPr>
              <w:widowControl/>
              <w:jc w:val="left"/>
              <w:textAlignment w:val="center"/>
              <w:rPr>
                <w:rFonts w:ascii="宋体" w:hAnsi="宋体" w:eastAsia="宋体" w:cs="宋体"/>
                <w:color w:val="000000"/>
                <w:kern w:val="0"/>
                <w:szCs w:val="21"/>
                <w:highlight w:val="none"/>
                <w:lang w:bidi="ar"/>
              </w:rPr>
            </w:pPr>
          </w:p>
        </w:tc>
        <w:tc>
          <w:tcPr>
            <w:tcW w:w="4212"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阳坝法庭维修改造项目</w:t>
            </w:r>
          </w:p>
        </w:tc>
        <w:tc>
          <w:tcPr>
            <w:tcW w:w="1286"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通过验收</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87"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14</w:t>
            </w:r>
          </w:p>
        </w:tc>
        <w:tc>
          <w:tcPr>
            <w:tcW w:w="2136"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卓尼县人民法院</w:t>
            </w:r>
          </w:p>
        </w:tc>
        <w:tc>
          <w:tcPr>
            <w:tcW w:w="4212"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审判法庭室外附属工程维修改造项目</w:t>
            </w:r>
          </w:p>
        </w:tc>
        <w:tc>
          <w:tcPr>
            <w:tcW w:w="1286"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cs="宋体"/>
                <w:color w:val="000000"/>
                <w:kern w:val="0"/>
                <w:szCs w:val="21"/>
                <w:highlight w:val="none"/>
                <w:lang w:bidi="ar"/>
              </w:rPr>
              <w:t>未完工</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87"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15</w:t>
            </w:r>
          </w:p>
        </w:tc>
        <w:tc>
          <w:tcPr>
            <w:tcW w:w="2136"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甘南州中级人民法院</w:t>
            </w:r>
          </w:p>
        </w:tc>
        <w:tc>
          <w:tcPr>
            <w:tcW w:w="4212"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甘南中院审判大楼内外设施维修改造项目</w:t>
            </w:r>
          </w:p>
        </w:tc>
        <w:tc>
          <w:tcPr>
            <w:tcW w:w="1286"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cs="宋体"/>
                <w:color w:val="000000"/>
                <w:kern w:val="0"/>
                <w:szCs w:val="21"/>
                <w:highlight w:val="none"/>
                <w:lang w:bidi="ar"/>
              </w:rPr>
              <w:t>未完工</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87"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16</w:t>
            </w:r>
          </w:p>
        </w:tc>
        <w:tc>
          <w:tcPr>
            <w:tcW w:w="2136"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镇原县人民法院</w:t>
            </w:r>
          </w:p>
        </w:tc>
        <w:tc>
          <w:tcPr>
            <w:tcW w:w="4212"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平泉人民法庭维修改造项目</w:t>
            </w:r>
          </w:p>
        </w:tc>
        <w:tc>
          <w:tcPr>
            <w:tcW w:w="1286"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通过验收</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87"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17</w:t>
            </w:r>
          </w:p>
        </w:tc>
        <w:tc>
          <w:tcPr>
            <w:tcW w:w="2136"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定西市中级人民法院</w:t>
            </w:r>
          </w:p>
        </w:tc>
        <w:tc>
          <w:tcPr>
            <w:tcW w:w="4212"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定西中院第三、五科技法庭维修改造</w:t>
            </w:r>
          </w:p>
        </w:tc>
        <w:tc>
          <w:tcPr>
            <w:tcW w:w="1286"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通过验收</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87"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18</w:t>
            </w:r>
          </w:p>
        </w:tc>
        <w:tc>
          <w:tcPr>
            <w:tcW w:w="2136"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安定区人民法院</w:t>
            </w:r>
          </w:p>
        </w:tc>
        <w:tc>
          <w:tcPr>
            <w:tcW w:w="4212"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审判法庭综合楼维修改造项目</w:t>
            </w:r>
          </w:p>
        </w:tc>
        <w:tc>
          <w:tcPr>
            <w:tcW w:w="1286"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完工待验</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87"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19</w:t>
            </w:r>
          </w:p>
        </w:tc>
        <w:tc>
          <w:tcPr>
            <w:tcW w:w="2136"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甘肃矿区人民法院</w:t>
            </w:r>
          </w:p>
        </w:tc>
        <w:tc>
          <w:tcPr>
            <w:tcW w:w="4212"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审判业务用房维修改造项目</w:t>
            </w:r>
          </w:p>
        </w:tc>
        <w:tc>
          <w:tcPr>
            <w:tcW w:w="1286" w:type="dxa"/>
            <w:noWrap/>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项目未开工</w:t>
            </w:r>
          </w:p>
        </w:tc>
      </w:tr>
    </w:tbl>
    <w:p>
      <w:pPr>
        <w:pStyle w:val="10"/>
        <w:spacing w:after="0" w:line="560" w:lineRule="exact"/>
        <w:ind w:left="0" w:leftChars="0" w:firstLine="640" w:firstLineChars="20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基层法庭取暖工程验收通过率指标分值5.5分，评价得分3.47分。截止评价基准日，</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基层法庭取暖工程共批复57项，其中</w:t>
      </w:r>
      <w:r>
        <w:rPr>
          <w:rFonts w:hint="eastAsia" w:ascii="仿宋_GB2312" w:hAnsi="仿宋_GB2312" w:eastAsia="仿宋_GB2312" w:cs="仿宋_GB2312"/>
          <w:color w:val="000000" w:themeColor="text1"/>
          <w:sz w:val="32"/>
          <w:szCs w:val="32"/>
          <w:highlight w:val="none"/>
          <w14:textFill>
            <w14:solidFill>
              <w14:schemeClr w14:val="tx1"/>
            </w14:solidFill>
          </w14:textFill>
        </w:rPr>
        <w:t>36个法庭取暖项目已完工并通过验收，9个法庭取暖项目完工待验收，11个法庭取暖项目尚未完工，1个法庭未达到取暖条件年底未开工，基层法庭取暖工程通过率63.16%。</w:t>
      </w:r>
    </w:p>
    <w:tbl>
      <w:tblPr>
        <w:tblStyle w:val="15"/>
        <w:tblW w:w="8297" w:type="dxa"/>
        <w:jc w:val="center"/>
        <w:tblBorders>
          <w:top w:val="single" w:color="auto" w:sz="4" w:space="0"/>
          <w:left w:val="none" w:color="auto" w:sz="0" w:space="0"/>
          <w:bottom w:val="single" w:color="auto" w:sz="4"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651"/>
        <w:gridCol w:w="2088"/>
        <w:gridCol w:w="4212"/>
        <w:gridCol w:w="1346"/>
      </w:tblGrid>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2" w:hRule="atLeast"/>
          <w:tblHeader/>
          <w:jc w:val="center"/>
        </w:trPr>
        <w:tc>
          <w:tcPr>
            <w:tcW w:w="651" w:type="dxa"/>
            <w:shd w:val="clear" w:color="auto" w:fill="B8CCE4"/>
            <w:vAlign w:val="center"/>
          </w:tcPr>
          <w:p>
            <w:pPr>
              <w:widowControl/>
              <w:jc w:val="center"/>
              <w:textAlignment w:val="center"/>
              <w:rPr>
                <w:rFonts w:ascii="宋体" w:hAnsi="宋体" w:cs="宋体"/>
                <w:b/>
                <w:bCs/>
                <w:color w:val="000000"/>
                <w:kern w:val="0"/>
                <w:szCs w:val="21"/>
                <w:highlight w:val="none"/>
                <w:lang w:bidi="ar"/>
              </w:rPr>
            </w:pPr>
            <w:r>
              <w:rPr>
                <w:rFonts w:hint="eastAsia" w:ascii="宋体" w:hAnsi="宋体" w:cs="宋体"/>
                <w:b/>
                <w:bCs/>
                <w:color w:val="000000"/>
                <w:kern w:val="0"/>
                <w:szCs w:val="21"/>
                <w:highlight w:val="none"/>
                <w:lang w:bidi="ar"/>
              </w:rPr>
              <w:t>序号</w:t>
            </w:r>
          </w:p>
        </w:tc>
        <w:tc>
          <w:tcPr>
            <w:tcW w:w="2088" w:type="dxa"/>
            <w:shd w:val="clear" w:color="auto" w:fill="B8CCE4"/>
            <w:vAlign w:val="center"/>
          </w:tcPr>
          <w:p>
            <w:pPr>
              <w:widowControl/>
              <w:jc w:val="center"/>
              <w:textAlignment w:val="center"/>
              <w:rPr>
                <w:rFonts w:ascii="宋体" w:hAnsi="宋体" w:eastAsia="宋体" w:cs="宋体"/>
                <w:b/>
                <w:bCs/>
                <w:color w:val="000000"/>
                <w:kern w:val="0"/>
                <w:szCs w:val="21"/>
                <w:highlight w:val="none"/>
                <w:lang w:bidi="ar"/>
              </w:rPr>
            </w:pPr>
            <w:r>
              <w:rPr>
                <w:rFonts w:hint="eastAsia" w:ascii="宋体" w:hAnsi="宋体" w:cs="宋体"/>
                <w:b/>
                <w:bCs/>
                <w:color w:val="000000"/>
                <w:kern w:val="0"/>
                <w:szCs w:val="21"/>
                <w:highlight w:val="none"/>
                <w:lang w:bidi="ar"/>
              </w:rPr>
              <w:t>实施单位</w:t>
            </w:r>
          </w:p>
        </w:tc>
        <w:tc>
          <w:tcPr>
            <w:tcW w:w="4212" w:type="dxa"/>
            <w:shd w:val="clear" w:color="auto" w:fill="B8CCE4"/>
            <w:vAlign w:val="center"/>
          </w:tcPr>
          <w:p>
            <w:pPr>
              <w:widowControl/>
              <w:jc w:val="center"/>
              <w:textAlignment w:val="center"/>
              <w:rPr>
                <w:rFonts w:ascii="宋体" w:hAnsi="宋体" w:eastAsia="宋体" w:cs="宋体"/>
                <w:b/>
                <w:bCs/>
                <w:color w:val="000000"/>
                <w:kern w:val="0"/>
                <w:szCs w:val="21"/>
                <w:highlight w:val="none"/>
                <w:lang w:bidi="ar"/>
              </w:rPr>
            </w:pPr>
            <w:r>
              <w:rPr>
                <w:rFonts w:hint="eastAsia" w:ascii="宋体" w:hAnsi="宋体" w:cs="宋体"/>
                <w:b/>
                <w:bCs/>
                <w:color w:val="000000"/>
                <w:kern w:val="0"/>
                <w:szCs w:val="21"/>
                <w:highlight w:val="none"/>
                <w:lang w:bidi="ar"/>
              </w:rPr>
              <w:t>保障法庭</w:t>
            </w:r>
          </w:p>
        </w:tc>
        <w:tc>
          <w:tcPr>
            <w:tcW w:w="1346" w:type="dxa"/>
            <w:shd w:val="clear" w:color="auto" w:fill="B8CCE4"/>
            <w:vAlign w:val="center"/>
          </w:tcPr>
          <w:p>
            <w:pPr>
              <w:widowControl/>
              <w:jc w:val="center"/>
              <w:textAlignment w:val="center"/>
              <w:rPr>
                <w:rFonts w:ascii="宋体" w:hAnsi="宋体" w:cs="宋体"/>
                <w:b/>
                <w:bCs/>
                <w:color w:val="000000"/>
                <w:kern w:val="0"/>
                <w:szCs w:val="21"/>
                <w:highlight w:val="none"/>
                <w:lang w:bidi="ar"/>
              </w:rPr>
            </w:pPr>
            <w:r>
              <w:rPr>
                <w:rFonts w:hint="eastAsia" w:ascii="宋体" w:hAnsi="宋体" w:cs="宋体"/>
                <w:b/>
                <w:bCs/>
                <w:color w:val="000000"/>
                <w:kern w:val="0"/>
                <w:szCs w:val="21"/>
                <w:highlight w:val="none"/>
                <w:lang w:bidi="ar"/>
              </w:rPr>
              <w:t>实施进度</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54" w:hRule="atLeast"/>
          <w:jc w:val="center"/>
        </w:trPr>
        <w:tc>
          <w:tcPr>
            <w:tcW w:w="651" w:type="dxa"/>
            <w:noWrap/>
            <w:vAlign w:val="center"/>
          </w:tcPr>
          <w:p>
            <w:pPr>
              <w:widowControl/>
              <w:jc w:val="center"/>
              <w:textAlignment w:val="center"/>
              <w:rPr>
                <w:rFonts w:ascii="宋体" w:hAnsi="宋体" w:cs="宋体"/>
                <w:color w:val="000000"/>
                <w:kern w:val="0"/>
                <w:szCs w:val="21"/>
                <w:highlight w:val="none"/>
                <w:lang w:bidi="ar"/>
              </w:rPr>
            </w:pPr>
            <w:r>
              <w:rPr>
                <w:rFonts w:hint="eastAsia" w:ascii="宋体" w:hAnsi="宋体" w:cs="宋体"/>
                <w:color w:val="000000"/>
                <w:kern w:val="0"/>
                <w:szCs w:val="21"/>
                <w:highlight w:val="none"/>
                <w:lang w:bidi="ar"/>
              </w:rPr>
              <w:t>1</w:t>
            </w:r>
          </w:p>
        </w:tc>
        <w:tc>
          <w:tcPr>
            <w:tcW w:w="2088"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白银区人民法院</w:t>
            </w:r>
          </w:p>
        </w:tc>
        <w:tc>
          <w:tcPr>
            <w:tcW w:w="4212" w:type="dxa"/>
            <w:vAlign w:val="center"/>
          </w:tcPr>
          <w:p>
            <w:pPr>
              <w:widowControl/>
              <w:jc w:val="left"/>
              <w:textAlignment w:val="center"/>
              <w:rPr>
                <w:rFonts w:ascii="宋体" w:hAnsi="宋体" w:eastAsia="宋体" w:cs="宋体"/>
                <w:color w:val="000000"/>
                <w:kern w:val="0"/>
                <w:szCs w:val="21"/>
                <w:highlight w:val="none"/>
                <w:lang w:bidi="ar"/>
              </w:rPr>
            </w:pPr>
            <w:r>
              <w:rPr>
                <w:rFonts w:ascii="宋体" w:hAnsi="宋体" w:eastAsia="宋体" w:cs="宋体"/>
                <w:color w:val="000000"/>
                <w:kern w:val="0"/>
                <w:szCs w:val="21"/>
                <w:highlight w:val="none"/>
                <w:lang w:bidi="ar"/>
              </w:rPr>
              <w:t>水川人民法庭</w:t>
            </w:r>
          </w:p>
        </w:tc>
        <w:tc>
          <w:tcPr>
            <w:tcW w:w="1346"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完工待验</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5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cs="宋体"/>
                <w:color w:val="000000"/>
                <w:kern w:val="0"/>
                <w:szCs w:val="21"/>
                <w:highlight w:val="none"/>
                <w:lang w:bidi="ar"/>
              </w:rPr>
              <w:t>2</w:t>
            </w:r>
          </w:p>
        </w:tc>
        <w:tc>
          <w:tcPr>
            <w:tcW w:w="2088"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会宁县人民法院</w:t>
            </w:r>
          </w:p>
        </w:tc>
        <w:tc>
          <w:tcPr>
            <w:tcW w:w="4212" w:type="dxa"/>
            <w:vAlign w:val="center"/>
          </w:tcPr>
          <w:p>
            <w:pPr>
              <w:widowControl/>
              <w:jc w:val="left"/>
              <w:textAlignment w:val="center"/>
              <w:rPr>
                <w:rFonts w:ascii="宋体" w:hAnsi="宋体" w:eastAsia="宋体" w:cs="宋体"/>
                <w:color w:val="000000"/>
                <w:kern w:val="0"/>
                <w:szCs w:val="21"/>
                <w:highlight w:val="none"/>
                <w:lang w:bidi="ar"/>
              </w:rPr>
            </w:pPr>
            <w:r>
              <w:rPr>
                <w:rFonts w:ascii="宋体" w:hAnsi="宋体" w:eastAsia="宋体" w:cs="宋体"/>
                <w:color w:val="000000"/>
                <w:kern w:val="0"/>
                <w:szCs w:val="21"/>
                <w:highlight w:val="none"/>
                <w:lang w:bidi="ar"/>
              </w:rPr>
              <w:t>太平法庭、党岘法庭、大沟法庭、甘沟法庭、刘寨法庭</w:t>
            </w:r>
          </w:p>
        </w:tc>
        <w:tc>
          <w:tcPr>
            <w:tcW w:w="1346" w:type="dxa"/>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 w:val="18"/>
                <w:szCs w:val="18"/>
                <w:highlight w:val="none"/>
                <w:lang w:bidi="ar"/>
              </w:rPr>
              <w:t>太平法庭未开展，剩余法庭已通过验收</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5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cs="宋体"/>
                <w:color w:val="000000"/>
                <w:kern w:val="0"/>
                <w:szCs w:val="21"/>
                <w:highlight w:val="none"/>
                <w:lang w:bidi="ar"/>
              </w:rPr>
              <w:t>3</w:t>
            </w:r>
          </w:p>
        </w:tc>
        <w:tc>
          <w:tcPr>
            <w:tcW w:w="2088"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安定区人民法院</w:t>
            </w:r>
          </w:p>
        </w:tc>
        <w:tc>
          <w:tcPr>
            <w:tcW w:w="4212"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 w:val="19"/>
                <w:szCs w:val="19"/>
                <w:highlight w:val="none"/>
                <w:lang w:bidi="ar"/>
              </w:rPr>
              <w:t>内官营人民法庭、巉口人民法庭、宁远人民法庭</w:t>
            </w:r>
          </w:p>
        </w:tc>
        <w:tc>
          <w:tcPr>
            <w:tcW w:w="1346"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完工待验</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5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cs="宋体"/>
                <w:color w:val="000000"/>
                <w:kern w:val="0"/>
                <w:szCs w:val="21"/>
                <w:highlight w:val="none"/>
                <w:lang w:bidi="ar"/>
              </w:rPr>
              <w:t>4</w:t>
            </w:r>
          </w:p>
        </w:tc>
        <w:tc>
          <w:tcPr>
            <w:tcW w:w="2088"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通渭县人民法院</w:t>
            </w:r>
          </w:p>
        </w:tc>
        <w:tc>
          <w:tcPr>
            <w:tcW w:w="4212" w:type="dxa"/>
            <w:vAlign w:val="center"/>
          </w:tcPr>
          <w:p>
            <w:pPr>
              <w:widowControl/>
              <w:jc w:val="left"/>
              <w:textAlignment w:val="center"/>
              <w:rPr>
                <w:rFonts w:ascii="宋体" w:hAnsi="宋体" w:eastAsia="宋体" w:cs="宋体"/>
                <w:color w:val="000000"/>
                <w:kern w:val="0"/>
                <w:szCs w:val="21"/>
                <w:highlight w:val="none"/>
                <w:lang w:bidi="ar"/>
              </w:rPr>
            </w:pPr>
            <w:r>
              <w:rPr>
                <w:rFonts w:ascii="宋体" w:hAnsi="宋体" w:eastAsia="宋体" w:cs="宋体"/>
                <w:color w:val="000000"/>
                <w:kern w:val="0"/>
                <w:szCs w:val="21"/>
                <w:highlight w:val="none"/>
                <w:lang w:bidi="ar"/>
              </w:rPr>
              <w:t>马营人民法庭、榜罗人民法院、义岗人民法庭、鸡川人民法庭、陇山人民法庭</w:t>
            </w:r>
          </w:p>
        </w:tc>
        <w:tc>
          <w:tcPr>
            <w:tcW w:w="1346"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通过验收</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5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5</w:t>
            </w:r>
          </w:p>
        </w:tc>
        <w:tc>
          <w:tcPr>
            <w:tcW w:w="2088"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渭源县人民法院</w:t>
            </w:r>
          </w:p>
        </w:tc>
        <w:tc>
          <w:tcPr>
            <w:tcW w:w="4212" w:type="dxa"/>
            <w:vAlign w:val="center"/>
          </w:tcPr>
          <w:p>
            <w:pPr>
              <w:widowControl/>
              <w:jc w:val="left"/>
              <w:textAlignment w:val="center"/>
              <w:rPr>
                <w:rFonts w:ascii="宋体" w:hAnsi="宋体" w:eastAsia="宋体" w:cs="宋体"/>
                <w:color w:val="000000"/>
                <w:kern w:val="0"/>
                <w:szCs w:val="21"/>
                <w:highlight w:val="none"/>
                <w:lang w:bidi="ar"/>
              </w:rPr>
            </w:pPr>
            <w:r>
              <w:rPr>
                <w:rFonts w:ascii="宋体" w:hAnsi="宋体" w:eastAsia="宋体" w:cs="宋体"/>
                <w:color w:val="000000"/>
                <w:kern w:val="0"/>
                <w:szCs w:val="21"/>
                <w:highlight w:val="none"/>
                <w:lang w:bidi="ar"/>
              </w:rPr>
              <w:t>北寨法庭、莲峰法庭、庆坪法庭</w:t>
            </w:r>
          </w:p>
        </w:tc>
        <w:tc>
          <w:tcPr>
            <w:tcW w:w="1346"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通过验收</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5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6</w:t>
            </w:r>
          </w:p>
        </w:tc>
        <w:tc>
          <w:tcPr>
            <w:tcW w:w="2088"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临洮县人民法院</w:t>
            </w:r>
          </w:p>
        </w:tc>
        <w:tc>
          <w:tcPr>
            <w:tcW w:w="4212" w:type="dxa"/>
            <w:vAlign w:val="center"/>
          </w:tcPr>
          <w:p>
            <w:pPr>
              <w:widowControl/>
              <w:jc w:val="left"/>
              <w:textAlignment w:val="center"/>
              <w:rPr>
                <w:rFonts w:ascii="宋体" w:hAnsi="宋体" w:eastAsia="宋体" w:cs="宋体"/>
                <w:color w:val="000000"/>
                <w:kern w:val="0"/>
                <w:szCs w:val="21"/>
                <w:highlight w:val="none"/>
                <w:lang w:bidi="ar"/>
              </w:rPr>
            </w:pPr>
            <w:r>
              <w:rPr>
                <w:rFonts w:ascii="宋体" w:hAnsi="宋体" w:eastAsia="宋体" w:cs="宋体"/>
                <w:color w:val="000000"/>
                <w:kern w:val="0"/>
                <w:szCs w:val="21"/>
                <w:highlight w:val="none"/>
                <w:lang w:bidi="ar"/>
              </w:rPr>
              <w:t>衙下人民法庭、玉井人民法庭、窑店人民法庭、站滩人民法庭、新添人民法庭、辛店人民法庭、中铺人民法庭</w:t>
            </w:r>
          </w:p>
        </w:tc>
        <w:tc>
          <w:tcPr>
            <w:tcW w:w="1346"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通过验收</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5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7</w:t>
            </w:r>
          </w:p>
        </w:tc>
        <w:tc>
          <w:tcPr>
            <w:tcW w:w="2088"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卓尼县人民法院</w:t>
            </w:r>
          </w:p>
        </w:tc>
        <w:tc>
          <w:tcPr>
            <w:tcW w:w="4212" w:type="dxa"/>
            <w:vAlign w:val="center"/>
          </w:tcPr>
          <w:p>
            <w:pPr>
              <w:widowControl/>
              <w:jc w:val="left"/>
              <w:textAlignment w:val="center"/>
              <w:rPr>
                <w:rFonts w:ascii="宋体" w:hAnsi="宋体" w:eastAsia="宋体" w:cs="宋体"/>
                <w:color w:val="000000"/>
                <w:kern w:val="0"/>
                <w:szCs w:val="21"/>
                <w:highlight w:val="none"/>
                <w:lang w:bidi="ar"/>
              </w:rPr>
            </w:pPr>
            <w:r>
              <w:rPr>
                <w:rFonts w:ascii="宋体" w:hAnsi="宋体" w:eastAsia="宋体" w:cs="宋体"/>
                <w:color w:val="000000"/>
                <w:kern w:val="0"/>
                <w:sz w:val="20"/>
                <w:szCs w:val="20"/>
                <w:highlight w:val="none"/>
                <w:lang w:bidi="ar"/>
              </w:rPr>
              <w:t>多坝人民法庭、新堡人民法庭、麻路人民法庭</w:t>
            </w:r>
          </w:p>
        </w:tc>
        <w:tc>
          <w:tcPr>
            <w:tcW w:w="1346"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完工待验</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2" w:hRule="atLeast"/>
          <w:jc w:val="center"/>
        </w:trPr>
        <w:tc>
          <w:tcPr>
            <w:tcW w:w="65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8</w:t>
            </w:r>
          </w:p>
        </w:tc>
        <w:tc>
          <w:tcPr>
            <w:tcW w:w="2088"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舟曲县人民法院</w:t>
            </w:r>
          </w:p>
        </w:tc>
        <w:tc>
          <w:tcPr>
            <w:tcW w:w="4212" w:type="dxa"/>
            <w:vAlign w:val="center"/>
          </w:tcPr>
          <w:p>
            <w:pPr>
              <w:widowControl/>
              <w:jc w:val="left"/>
              <w:textAlignment w:val="center"/>
              <w:rPr>
                <w:rFonts w:ascii="宋体" w:hAnsi="宋体" w:eastAsia="宋体" w:cs="宋体"/>
                <w:color w:val="000000"/>
                <w:kern w:val="0"/>
                <w:szCs w:val="21"/>
                <w:highlight w:val="none"/>
                <w:lang w:bidi="ar"/>
              </w:rPr>
            </w:pPr>
            <w:r>
              <w:rPr>
                <w:rFonts w:ascii="宋体" w:hAnsi="宋体" w:eastAsia="宋体" w:cs="宋体"/>
                <w:color w:val="000000"/>
                <w:kern w:val="0"/>
                <w:szCs w:val="21"/>
                <w:highlight w:val="none"/>
                <w:lang w:bidi="ar"/>
              </w:rPr>
              <w:t>曲告纳人民法庭</w:t>
            </w:r>
          </w:p>
        </w:tc>
        <w:tc>
          <w:tcPr>
            <w:tcW w:w="1346"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通过验收</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5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9</w:t>
            </w:r>
          </w:p>
        </w:tc>
        <w:tc>
          <w:tcPr>
            <w:tcW w:w="2088"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临潭县人民法院</w:t>
            </w:r>
          </w:p>
        </w:tc>
        <w:tc>
          <w:tcPr>
            <w:tcW w:w="4212" w:type="dxa"/>
            <w:vAlign w:val="center"/>
          </w:tcPr>
          <w:p>
            <w:pPr>
              <w:widowControl/>
              <w:jc w:val="left"/>
              <w:textAlignment w:val="center"/>
              <w:rPr>
                <w:rFonts w:ascii="宋体" w:hAnsi="宋体" w:eastAsia="宋体" w:cs="宋体"/>
                <w:color w:val="000000"/>
                <w:kern w:val="0"/>
                <w:szCs w:val="21"/>
                <w:highlight w:val="none"/>
                <w:lang w:bidi="ar"/>
              </w:rPr>
            </w:pPr>
            <w:r>
              <w:rPr>
                <w:rFonts w:ascii="宋体" w:hAnsi="宋体" w:eastAsia="宋体" w:cs="宋体"/>
                <w:color w:val="000000"/>
                <w:kern w:val="0"/>
                <w:szCs w:val="21"/>
                <w:highlight w:val="none"/>
                <w:lang w:bidi="ar"/>
              </w:rPr>
              <w:t>店子人民法庭、王旗人民法庭</w:t>
            </w:r>
          </w:p>
        </w:tc>
        <w:tc>
          <w:tcPr>
            <w:tcW w:w="1346"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完工待验</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5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10</w:t>
            </w:r>
          </w:p>
        </w:tc>
        <w:tc>
          <w:tcPr>
            <w:tcW w:w="2088"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瓜州县人民法院</w:t>
            </w:r>
          </w:p>
        </w:tc>
        <w:tc>
          <w:tcPr>
            <w:tcW w:w="4212" w:type="dxa"/>
            <w:vAlign w:val="center"/>
          </w:tcPr>
          <w:p>
            <w:pPr>
              <w:widowControl/>
              <w:jc w:val="left"/>
              <w:textAlignment w:val="center"/>
              <w:rPr>
                <w:rFonts w:ascii="宋体" w:hAnsi="宋体" w:eastAsia="宋体" w:cs="宋体"/>
                <w:color w:val="000000"/>
                <w:kern w:val="0"/>
                <w:szCs w:val="21"/>
                <w:highlight w:val="none"/>
                <w:lang w:bidi="ar"/>
              </w:rPr>
            </w:pPr>
            <w:r>
              <w:rPr>
                <w:rFonts w:ascii="宋体" w:hAnsi="宋体" w:eastAsia="宋体" w:cs="宋体"/>
                <w:color w:val="000000"/>
                <w:kern w:val="0"/>
                <w:szCs w:val="21"/>
                <w:highlight w:val="none"/>
                <w:lang w:bidi="ar"/>
              </w:rPr>
              <w:t>锁阳城人民法庭</w:t>
            </w:r>
          </w:p>
        </w:tc>
        <w:tc>
          <w:tcPr>
            <w:tcW w:w="1346"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通过验收</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5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11</w:t>
            </w:r>
          </w:p>
        </w:tc>
        <w:tc>
          <w:tcPr>
            <w:tcW w:w="2088"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 w:val="18"/>
                <w:szCs w:val="18"/>
                <w:highlight w:val="none"/>
                <w:lang w:bidi="ar"/>
              </w:rPr>
              <w:t>肃北蒙古族自治县人民法院</w:t>
            </w:r>
          </w:p>
        </w:tc>
        <w:tc>
          <w:tcPr>
            <w:tcW w:w="4212" w:type="dxa"/>
            <w:vAlign w:val="center"/>
          </w:tcPr>
          <w:p>
            <w:pPr>
              <w:widowControl/>
              <w:jc w:val="left"/>
              <w:textAlignment w:val="center"/>
              <w:rPr>
                <w:rFonts w:ascii="宋体" w:hAnsi="宋体" w:eastAsia="宋体" w:cs="宋体"/>
                <w:color w:val="000000"/>
                <w:kern w:val="0"/>
                <w:szCs w:val="21"/>
                <w:highlight w:val="none"/>
                <w:lang w:bidi="ar"/>
              </w:rPr>
            </w:pPr>
            <w:r>
              <w:rPr>
                <w:rFonts w:ascii="宋体" w:hAnsi="宋体" w:eastAsia="宋体" w:cs="宋体"/>
                <w:color w:val="000000"/>
                <w:kern w:val="0"/>
                <w:szCs w:val="21"/>
                <w:highlight w:val="none"/>
                <w:lang w:bidi="ar"/>
              </w:rPr>
              <w:t>马鬃山人民法庭</w:t>
            </w:r>
          </w:p>
        </w:tc>
        <w:tc>
          <w:tcPr>
            <w:tcW w:w="1346"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通过验收</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5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12</w:t>
            </w:r>
          </w:p>
        </w:tc>
        <w:tc>
          <w:tcPr>
            <w:tcW w:w="2088"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 w:val="18"/>
                <w:szCs w:val="18"/>
                <w:highlight w:val="none"/>
                <w:lang w:bidi="ar"/>
              </w:rPr>
              <w:t>东乡族自治县人民法院</w:t>
            </w:r>
          </w:p>
        </w:tc>
        <w:tc>
          <w:tcPr>
            <w:tcW w:w="4212" w:type="dxa"/>
            <w:vAlign w:val="center"/>
          </w:tcPr>
          <w:p>
            <w:pPr>
              <w:widowControl/>
              <w:jc w:val="left"/>
              <w:textAlignment w:val="center"/>
              <w:rPr>
                <w:rFonts w:ascii="宋体" w:hAnsi="宋体" w:eastAsia="宋体" w:cs="宋体"/>
                <w:color w:val="000000"/>
                <w:kern w:val="0"/>
                <w:szCs w:val="21"/>
                <w:highlight w:val="none"/>
                <w:lang w:bidi="ar"/>
              </w:rPr>
            </w:pPr>
            <w:r>
              <w:rPr>
                <w:rFonts w:ascii="宋体" w:hAnsi="宋体" w:eastAsia="宋体" w:cs="宋体"/>
                <w:color w:val="000000"/>
                <w:kern w:val="0"/>
                <w:sz w:val="19"/>
                <w:szCs w:val="19"/>
                <w:highlight w:val="none"/>
                <w:lang w:bidi="ar"/>
              </w:rPr>
              <w:t>达板人民法庭、龙泉人民法庭、那勒寺人民法庭</w:t>
            </w:r>
          </w:p>
        </w:tc>
        <w:tc>
          <w:tcPr>
            <w:tcW w:w="1346"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通过验收</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5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13</w:t>
            </w:r>
          </w:p>
        </w:tc>
        <w:tc>
          <w:tcPr>
            <w:tcW w:w="2088"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积石山县人民法院</w:t>
            </w:r>
          </w:p>
        </w:tc>
        <w:tc>
          <w:tcPr>
            <w:tcW w:w="4212" w:type="dxa"/>
            <w:vAlign w:val="center"/>
          </w:tcPr>
          <w:p>
            <w:pPr>
              <w:widowControl/>
              <w:jc w:val="left"/>
              <w:textAlignment w:val="center"/>
              <w:rPr>
                <w:rFonts w:ascii="宋体" w:hAnsi="宋体" w:eastAsia="宋体" w:cs="宋体"/>
                <w:color w:val="000000"/>
                <w:kern w:val="0"/>
                <w:szCs w:val="21"/>
                <w:highlight w:val="none"/>
                <w:lang w:bidi="ar"/>
              </w:rPr>
            </w:pPr>
            <w:r>
              <w:rPr>
                <w:rFonts w:ascii="宋体" w:hAnsi="宋体" w:eastAsia="宋体" w:cs="宋体"/>
                <w:color w:val="000000"/>
                <w:kern w:val="0"/>
                <w:sz w:val="19"/>
                <w:szCs w:val="19"/>
                <w:highlight w:val="none"/>
                <w:lang w:bidi="ar"/>
              </w:rPr>
              <w:t>大河家人民法庭、居集人民法庭、别藏人民法庭</w:t>
            </w:r>
          </w:p>
        </w:tc>
        <w:tc>
          <w:tcPr>
            <w:tcW w:w="1346"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未完工</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5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14</w:t>
            </w:r>
          </w:p>
        </w:tc>
        <w:tc>
          <w:tcPr>
            <w:tcW w:w="2088"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西和县人民法院</w:t>
            </w:r>
          </w:p>
        </w:tc>
        <w:tc>
          <w:tcPr>
            <w:tcW w:w="4212" w:type="dxa"/>
            <w:vAlign w:val="center"/>
          </w:tcPr>
          <w:p>
            <w:pPr>
              <w:widowControl/>
              <w:jc w:val="left"/>
              <w:textAlignment w:val="center"/>
              <w:rPr>
                <w:rFonts w:ascii="宋体" w:hAnsi="宋体" w:eastAsia="宋体" w:cs="宋体"/>
                <w:color w:val="000000"/>
                <w:kern w:val="0"/>
                <w:szCs w:val="21"/>
                <w:highlight w:val="none"/>
                <w:lang w:bidi="ar"/>
              </w:rPr>
            </w:pPr>
            <w:r>
              <w:rPr>
                <w:rFonts w:ascii="宋体" w:hAnsi="宋体" w:eastAsia="宋体" w:cs="宋体"/>
                <w:color w:val="000000"/>
                <w:kern w:val="0"/>
                <w:szCs w:val="21"/>
                <w:highlight w:val="none"/>
                <w:lang w:bidi="ar"/>
              </w:rPr>
              <w:t>兴隆人民法庭、仇池人民法庭、石峡人民法庭、洛峪人民法庭、长道人民法庭</w:t>
            </w:r>
          </w:p>
        </w:tc>
        <w:tc>
          <w:tcPr>
            <w:tcW w:w="1346"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未完工</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5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15</w:t>
            </w:r>
          </w:p>
        </w:tc>
        <w:tc>
          <w:tcPr>
            <w:tcW w:w="2088"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庄浪县人民法院</w:t>
            </w:r>
          </w:p>
        </w:tc>
        <w:tc>
          <w:tcPr>
            <w:tcW w:w="4212" w:type="dxa"/>
            <w:vAlign w:val="center"/>
          </w:tcPr>
          <w:p>
            <w:pPr>
              <w:widowControl/>
              <w:jc w:val="left"/>
              <w:textAlignment w:val="center"/>
              <w:rPr>
                <w:rFonts w:ascii="宋体" w:hAnsi="宋体" w:eastAsia="宋体" w:cs="宋体"/>
                <w:color w:val="000000"/>
                <w:kern w:val="0"/>
                <w:szCs w:val="21"/>
                <w:highlight w:val="none"/>
                <w:lang w:bidi="ar"/>
              </w:rPr>
            </w:pPr>
            <w:r>
              <w:rPr>
                <w:rFonts w:ascii="宋体" w:hAnsi="宋体" w:eastAsia="宋体" w:cs="宋体"/>
                <w:color w:val="000000"/>
                <w:kern w:val="0"/>
                <w:szCs w:val="21"/>
                <w:highlight w:val="none"/>
                <w:lang w:bidi="ar"/>
              </w:rPr>
              <w:t>南湖人民法庭</w:t>
            </w:r>
          </w:p>
        </w:tc>
        <w:tc>
          <w:tcPr>
            <w:tcW w:w="1346"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通过验收</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5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16</w:t>
            </w:r>
          </w:p>
        </w:tc>
        <w:tc>
          <w:tcPr>
            <w:tcW w:w="2088"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泾川县人民法院</w:t>
            </w:r>
          </w:p>
        </w:tc>
        <w:tc>
          <w:tcPr>
            <w:tcW w:w="4212" w:type="dxa"/>
            <w:vAlign w:val="center"/>
          </w:tcPr>
          <w:p>
            <w:pPr>
              <w:widowControl/>
              <w:jc w:val="left"/>
              <w:textAlignment w:val="center"/>
              <w:rPr>
                <w:rFonts w:ascii="宋体" w:hAnsi="宋体" w:eastAsia="宋体" w:cs="宋体"/>
                <w:color w:val="000000"/>
                <w:kern w:val="0"/>
                <w:szCs w:val="21"/>
                <w:highlight w:val="none"/>
                <w:lang w:bidi="ar"/>
              </w:rPr>
            </w:pPr>
            <w:r>
              <w:rPr>
                <w:rFonts w:ascii="宋体" w:hAnsi="宋体" w:eastAsia="宋体" w:cs="宋体"/>
                <w:color w:val="000000"/>
                <w:kern w:val="0"/>
                <w:sz w:val="20"/>
                <w:szCs w:val="20"/>
                <w:highlight w:val="none"/>
                <w:lang w:bidi="ar"/>
              </w:rPr>
              <w:t>高平人民法庭、玉都人民法庭、荔堡人民法庭</w:t>
            </w:r>
          </w:p>
        </w:tc>
        <w:tc>
          <w:tcPr>
            <w:tcW w:w="1346"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通过验收</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5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17</w:t>
            </w:r>
          </w:p>
        </w:tc>
        <w:tc>
          <w:tcPr>
            <w:tcW w:w="2088"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静宁县人民法院</w:t>
            </w:r>
          </w:p>
        </w:tc>
        <w:tc>
          <w:tcPr>
            <w:tcW w:w="4212" w:type="dxa"/>
            <w:vAlign w:val="center"/>
          </w:tcPr>
          <w:p>
            <w:pPr>
              <w:widowControl/>
              <w:jc w:val="left"/>
              <w:textAlignment w:val="center"/>
              <w:rPr>
                <w:rFonts w:ascii="宋体" w:hAnsi="宋体" w:eastAsia="宋体" w:cs="宋体"/>
                <w:color w:val="000000"/>
                <w:kern w:val="0"/>
                <w:szCs w:val="21"/>
                <w:highlight w:val="none"/>
                <w:lang w:bidi="ar"/>
              </w:rPr>
            </w:pPr>
            <w:r>
              <w:rPr>
                <w:rFonts w:ascii="宋体" w:hAnsi="宋体" w:eastAsia="宋体" w:cs="宋体"/>
                <w:color w:val="000000"/>
                <w:kern w:val="0"/>
                <w:sz w:val="20"/>
                <w:szCs w:val="20"/>
                <w:highlight w:val="none"/>
                <w:lang w:bidi="ar"/>
              </w:rPr>
              <w:t>甘沟人民法庭、威戎人民法庭、雷大人民法庭</w:t>
            </w:r>
          </w:p>
        </w:tc>
        <w:tc>
          <w:tcPr>
            <w:tcW w:w="1346"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通过验收</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5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18</w:t>
            </w:r>
          </w:p>
        </w:tc>
        <w:tc>
          <w:tcPr>
            <w:tcW w:w="2088"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环县人民法院</w:t>
            </w:r>
          </w:p>
        </w:tc>
        <w:tc>
          <w:tcPr>
            <w:tcW w:w="4212" w:type="dxa"/>
            <w:vAlign w:val="center"/>
          </w:tcPr>
          <w:p>
            <w:pPr>
              <w:widowControl/>
              <w:jc w:val="left"/>
              <w:textAlignment w:val="center"/>
              <w:rPr>
                <w:rFonts w:ascii="宋体" w:hAnsi="宋体" w:eastAsia="宋体" w:cs="宋体"/>
                <w:color w:val="000000"/>
                <w:kern w:val="0"/>
                <w:szCs w:val="21"/>
                <w:highlight w:val="none"/>
                <w:lang w:bidi="ar"/>
              </w:rPr>
            </w:pPr>
            <w:r>
              <w:rPr>
                <w:rFonts w:ascii="宋体" w:hAnsi="宋体" w:eastAsia="宋体" w:cs="宋体"/>
                <w:color w:val="000000"/>
                <w:kern w:val="0"/>
                <w:sz w:val="20"/>
                <w:szCs w:val="20"/>
                <w:highlight w:val="none"/>
                <w:lang w:bidi="ar"/>
              </w:rPr>
              <w:t>合道人民法庭、虎洞人民法庭、洪德人民法庭</w:t>
            </w:r>
          </w:p>
        </w:tc>
        <w:tc>
          <w:tcPr>
            <w:tcW w:w="1346"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未完工</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5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19</w:t>
            </w:r>
          </w:p>
        </w:tc>
        <w:tc>
          <w:tcPr>
            <w:tcW w:w="2088"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镇原县人民法院</w:t>
            </w:r>
          </w:p>
        </w:tc>
        <w:tc>
          <w:tcPr>
            <w:tcW w:w="4212" w:type="dxa"/>
            <w:vAlign w:val="center"/>
          </w:tcPr>
          <w:p>
            <w:pPr>
              <w:widowControl/>
              <w:jc w:val="left"/>
              <w:textAlignment w:val="center"/>
              <w:rPr>
                <w:rFonts w:ascii="宋体" w:hAnsi="宋体" w:eastAsia="宋体" w:cs="宋体"/>
                <w:color w:val="000000"/>
                <w:kern w:val="0"/>
                <w:szCs w:val="21"/>
                <w:highlight w:val="none"/>
                <w:lang w:bidi="ar"/>
              </w:rPr>
            </w:pPr>
            <w:r>
              <w:rPr>
                <w:rFonts w:ascii="宋体" w:hAnsi="宋体" w:eastAsia="宋体" w:cs="宋体"/>
                <w:color w:val="000000"/>
                <w:kern w:val="0"/>
                <w:szCs w:val="21"/>
                <w:highlight w:val="none"/>
                <w:lang w:bidi="ar"/>
              </w:rPr>
              <w:t>平泉人民法庭</w:t>
            </w:r>
          </w:p>
        </w:tc>
        <w:tc>
          <w:tcPr>
            <w:tcW w:w="1346"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通过验收</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51" w:type="dxa"/>
            <w:noWrap/>
            <w:vAlign w:val="center"/>
          </w:tcPr>
          <w:p>
            <w:pPr>
              <w:widowControl/>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20</w:t>
            </w:r>
          </w:p>
        </w:tc>
        <w:tc>
          <w:tcPr>
            <w:tcW w:w="2088"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红古区人民法院</w:t>
            </w:r>
          </w:p>
        </w:tc>
        <w:tc>
          <w:tcPr>
            <w:tcW w:w="4212" w:type="dxa"/>
            <w:vAlign w:val="center"/>
          </w:tcPr>
          <w:p>
            <w:pPr>
              <w:widowControl/>
              <w:jc w:val="left"/>
              <w:textAlignment w:val="center"/>
              <w:rPr>
                <w:rFonts w:ascii="宋体" w:hAnsi="宋体" w:eastAsia="宋体" w:cs="宋体"/>
                <w:color w:val="000000"/>
                <w:kern w:val="0"/>
                <w:szCs w:val="21"/>
                <w:highlight w:val="none"/>
                <w:lang w:bidi="ar"/>
              </w:rPr>
            </w:pPr>
            <w:r>
              <w:rPr>
                <w:rFonts w:ascii="宋体" w:hAnsi="宋体" w:eastAsia="宋体" w:cs="宋体"/>
                <w:color w:val="000000"/>
                <w:kern w:val="0"/>
                <w:szCs w:val="21"/>
                <w:highlight w:val="none"/>
                <w:lang w:bidi="ar"/>
              </w:rPr>
              <w:t>窑街法庭、花庄法庭、红古法庭</w:t>
            </w:r>
          </w:p>
        </w:tc>
        <w:tc>
          <w:tcPr>
            <w:tcW w:w="1346" w:type="dxa"/>
            <w:vAlign w:val="center"/>
          </w:tcPr>
          <w:p>
            <w:pPr>
              <w:widowControl/>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通过验收</w:t>
            </w:r>
          </w:p>
        </w:tc>
      </w:tr>
      <w:bookmarkEnd w:id="138"/>
      <w:bookmarkEnd w:id="139"/>
    </w:tbl>
    <w:p>
      <w:pPr>
        <w:pStyle w:val="21"/>
        <w:spacing w:line="560" w:lineRule="exact"/>
        <w:ind w:firstLine="643"/>
        <w:outlineLvl w:val="2"/>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3.时效指标</w:t>
      </w:r>
    </w:p>
    <w:p>
      <w:pPr>
        <w:pStyle w:val="21"/>
        <w:spacing w:line="560" w:lineRule="exact"/>
        <w:ind w:firstLine="64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维修维护及时性指标分值5.5分，评价得分5.08分。为保障各法院审批工作正常开展，省法院及时对使用年限较长、设施设备老化、用房功能不全、存在安全隐患的法庭</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安排</w:t>
      </w:r>
      <w:r>
        <w:rPr>
          <w:rFonts w:hint="eastAsia" w:ascii="仿宋_GB2312" w:hAnsi="仿宋_GB2312" w:eastAsia="仿宋_GB2312" w:cs="仿宋_GB2312"/>
          <w:color w:val="000000" w:themeColor="text1"/>
          <w:sz w:val="32"/>
          <w:szCs w:val="32"/>
          <w:highlight w:val="none"/>
          <w14:textFill>
            <w14:solidFill>
              <w14:schemeClr w14:val="tx1"/>
            </w14:solidFill>
          </w14:textFill>
        </w:rPr>
        <w:t>资金，各</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项目实施</w:t>
      </w:r>
      <w:r>
        <w:rPr>
          <w:rFonts w:hint="eastAsia" w:ascii="仿宋_GB2312" w:hAnsi="仿宋_GB2312" w:eastAsia="仿宋_GB2312" w:cs="仿宋_GB2312"/>
          <w:color w:val="000000" w:themeColor="text1"/>
          <w:sz w:val="32"/>
          <w:szCs w:val="32"/>
          <w:highlight w:val="none"/>
          <w14:textFill>
            <w14:solidFill>
              <w14:schemeClr w14:val="tx1"/>
            </w14:solidFill>
          </w14:textFill>
        </w:rPr>
        <w:t>法院及时进行了维修改造工作。截止2022年底，甘谷县人民法院和甘肃矿区人民法院项目未启动，其他法院均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及时开工</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p>
    <w:p>
      <w:pPr>
        <w:pStyle w:val="21"/>
        <w:spacing w:line="560" w:lineRule="exact"/>
        <w:ind w:firstLine="64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解决基层法庭取暖困难问题及时性指标分值5.5分，评价得分5.5分。为解决确有困难、确有必要的人民法庭取暖问题，省法院及时拨付专项资金，</w:t>
      </w:r>
      <w:r>
        <w:rPr>
          <w:rFonts w:hint="eastAsia" w:ascii="仿宋_GB2312" w:eastAsia="仿宋_GB2312"/>
          <w:sz w:val="32"/>
          <w:szCs w:val="32"/>
          <w:highlight w:val="none"/>
        </w:rPr>
        <w:t>有效解决了人民法庭取暖困难问题，受到基层干警的充分肯定和普遍欢迎。</w:t>
      </w:r>
    </w:p>
    <w:p>
      <w:pPr>
        <w:pStyle w:val="21"/>
        <w:spacing w:line="560" w:lineRule="exact"/>
        <w:ind w:firstLine="643"/>
        <w:outlineLvl w:val="2"/>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4.成本指标</w:t>
      </w:r>
    </w:p>
    <w:p>
      <w:pPr>
        <w:pStyle w:val="21"/>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成本控制情况分值7分，评价得分7分。省法院及各</w:t>
      </w:r>
      <w:r>
        <w:rPr>
          <w:rFonts w:hint="eastAsia" w:ascii="仿宋_GB2312" w:hAnsi="仿宋_GB2312" w:eastAsia="仿宋_GB2312" w:cs="仿宋_GB2312"/>
          <w:sz w:val="32"/>
          <w:szCs w:val="32"/>
          <w:highlight w:val="none"/>
          <w:lang w:val="en-US" w:eastAsia="zh-CN"/>
        </w:rPr>
        <w:t>项目实施法院</w:t>
      </w:r>
      <w:r>
        <w:rPr>
          <w:rFonts w:hint="eastAsia" w:ascii="仿宋_GB2312" w:hAnsi="仿宋_GB2312" w:eastAsia="仿宋_GB2312" w:cs="仿宋_GB2312"/>
          <w:sz w:val="32"/>
          <w:szCs w:val="32"/>
          <w:highlight w:val="none"/>
        </w:rPr>
        <w:t>积极响应国家相关政策，坚持节约资金的原则，严格控制项目预算金额，在提高服务质量水平的同时，降低成本开支，避免财政资金、国有资产浪费，确保把钱花在“刀刃上”，该项目开支未超出预算。</w:t>
      </w:r>
    </w:p>
    <w:p>
      <w:pPr>
        <w:pStyle w:val="2"/>
        <w:spacing w:line="560" w:lineRule="exact"/>
        <w:ind w:firstLine="643" w:firstLineChars="200"/>
        <w:outlineLvl w:val="1"/>
        <w:rPr>
          <w:rFonts w:ascii="楷体" w:hAnsi="楷体" w:eastAsia="楷体" w:cs="楷体"/>
          <w:b/>
          <w:bCs/>
          <w:highlight w:val="none"/>
        </w:rPr>
      </w:pPr>
      <w:bookmarkStart w:id="140" w:name="_Toc4582"/>
      <w:bookmarkStart w:id="141" w:name="_Toc11412"/>
      <w:bookmarkStart w:id="142" w:name="_Toc19675"/>
      <w:r>
        <w:rPr>
          <w:rFonts w:hint="eastAsia" w:ascii="楷体" w:hAnsi="楷体" w:eastAsia="楷体" w:cs="楷体"/>
          <w:b/>
          <w:bCs/>
          <w:highlight w:val="none"/>
        </w:rPr>
        <w:t>（四）项目效益情况</w:t>
      </w:r>
      <w:bookmarkEnd w:id="140"/>
      <w:bookmarkEnd w:id="141"/>
      <w:bookmarkEnd w:id="142"/>
    </w:p>
    <w:p>
      <w:pPr>
        <w:pStyle w:val="2"/>
        <w:tabs>
          <w:tab w:val="left" w:pos="0"/>
        </w:tabs>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项目效益指标包括社会效益指标、可持续影响指标两个二级指标，下设</w:t>
      </w:r>
      <w:r>
        <w:rPr>
          <w:rFonts w:hint="eastAsia" w:ascii="仿宋_GB2312" w:hAnsi="仿宋_GB2312" w:cs="仿宋_GB2312"/>
          <w:highlight w:val="none"/>
          <w:lang w:val="en-US" w:eastAsia="zh-CN"/>
        </w:rPr>
        <w:t>三</w:t>
      </w:r>
      <w:r>
        <w:rPr>
          <w:rFonts w:hint="eastAsia" w:ascii="仿宋_GB2312" w:hAnsi="仿宋_GB2312" w:cs="仿宋_GB2312"/>
          <w:highlight w:val="none"/>
        </w:rPr>
        <w:t>个三级指标，指标分值20分，评价得分20分，得分率100%。</w:t>
      </w:r>
    </w:p>
    <w:p>
      <w:pPr>
        <w:pStyle w:val="21"/>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cs="仿宋" w:asciiTheme="minorEastAsia" w:hAnsiTheme="minorEastAsia"/>
          <w:sz w:val="32"/>
          <w:szCs w:val="32"/>
          <w:highlight w:val="none"/>
        </w:rPr>
      </w:pPr>
      <w:r>
        <w:rPr>
          <w:rFonts w:hint="eastAsia" w:cs="黑体" w:asciiTheme="minorEastAsia" w:hAnsiTheme="minorEastAsia"/>
          <w:bCs/>
          <w:sz w:val="28"/>
          <w:szCs w:val="24"/>
          <w:highlight w:val="none"/>
        </w:rPr>
        <w:t>效益指标二级指标得分情况表</w:t>
      </w:r>
    </w:p>
    <w:tbl>
      <w:tblPr>
        <w:tblStyle w:val="15"/>
        <w:tblW w:w="4998" w:type="pct"/>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2840"/>
        <w:gridCol w:w="1805"/>
        <w:gridCol w:w="1602"/>
        <w:gridCol w:w="2272"/>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84" w:hRule="atLeast"/>
        </w:trPr>
        <w:tc>
          <w:tcPr>
            <w:tcW w:w="1666" w:type="pct"/>
            <w:shd w:val="clear" w:color="auto" w:fill="BDD6EE" w:themeFill="accent1" w:themeFillTint="66"/>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二级指标</w:t>
            </w:r>
          </w:p>
        </w:tc>
        <w:tc>
          <w:tcPr>
            <w:tcW w:w="1059" w:type="pct"/>
            <w:shd w:val="clear" w:color="auto" w:fill="BDD6EE" w:themeFill="accent1" w:themeFillTint="66"/>
            <w:noWrap/>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分值</w:t>
            </w:r>
          </w:p>
        </w:tc>
        <w:tc>
          <w:tcPr>
            <w:tcW w:w="940" w:type="pct"/>
            <w:shd w:val="clear" w:color="auto" w:fill="BDD6EE" w:themeFill="accent1" w:themeFillTint="66"/>
            <w:noWrap/>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w:t>
            </w:r>
          </w:p>
        </w:tc>
        <w:tc>
          <w:tcPr>
            <w:tcW w:w="1333" w:type="pct"/>
            <w:shd w:val="clear" w:color="auto" w:fill="BDD6EE" w:themeFill="accent1" w:themeFillTint="66"/>
            <w:noWrap/>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widowControl/>
              <w:jc w:val="left"/>
              <w:textAlignment w:val="center"/>
              <w:rPr>
                <w:highlight w:val="none"/>
              </w:rPr>
            </w:pPr>
            <w:r>
              <w:rPr>
                <w:rFonts w:hint="eastAsia" w:ascii="宋体" w:hAnsi="宋体" w:eastAsia="宋体" w:cs="宋体"/>
                <w:bCs/>
                <w:color w:val="000000"/>
                <w:kern w:val="0"/>
                <w:sz w:val="22"/>
                <w:highlight w:val="none"/>
                <w:lang w:bidi="ar"/>
              </w:rPr>
              <w:t>社会效益指标</w:t>
            </w:r>
          </w:p>
        </w:tc>
        <w:tc>
          <w:tcPr>
            <w:tcW w:w="1059" w:type="pct"/>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7</w:t>
            </w:r>
          </w:p>
        </w:tc>
        <w:tc>
          <w:tcPr>
            <w:tcW w:w="940" w:type="pct"/>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7</w:t>
            </w:r>
          </w:p>
        </w:tc>
        <w:tc>
          <w:tcPr>
            <w:tcW w:w="1333" w:type="pct"/>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widowControl/>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可持续影响指标</w:t>
            </w:r>
          </w:p>
        </w:tc>
        <w:tc>
          <w:tcPr>
            <w:tcW w:w="1059" w:type="pct"/>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13</w:t>
            </w:r>
          </w:p>
        </w:tc>
        <w:tc>
          <w:tcPr>
            <w:tcW w:w="940" w:type="pct"/>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13</w:t>
            </w:r>
          </w:p>
        </w:tc>
        <w:tc>
          <w:tcPr>
            <w:tcW w:w="1333" w:type="pct"/>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BDD6EE" w:themeFill="accent1" w:themeFillTint="66"/>
            <w:vAlign w:val="center"/>
          </w:tcPr>
          <w:p>
            <w:pPr>
              <w:widowControl/>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合计</w:t>
            </w:r>
          </w:p>
        </w:tc>
        <w:tc>
          <w:tcPr>
            <w:tcW w:w="1059" w:type="pct"/>
            <w:shd w:val="clear" w:color="auto" w:fill="BDD6EE" w:themeFill="accent1" w:themeFillTint="66"/>
            <w:vAlign w:val="center"/>
          </w:tcPr>
          <w:p>
            <w:pPr>
              <w:widowControl/>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20</w:t>
            </w:r>
          </w:p>
        </w:tc>
        <w:tc>
          <w:tcPr>
            <w:tcW w:w="940" w:type="pct"/>
            <w:shd w:val="clear" w:color="auto" w:fill="BDD6EE" w:themeFill="accent1" w:themeFillTint="66"/>
            <w:vAlign w:val="center"/>
          </w:tcPr>
          <w:p>
            <w:pPr>
              <w:widowControl/>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20</w:t>
            </w:r>
          </w:p>
        </w:tc>
        <w:tc>
          <w:tcPr>
            <w:tcW w:w="1333" w:type="pct"/>
            <w:shd w:val="clear" w:color="auto" w:fill="BDD6EE" w:themeFill="accent1" w:themeFillTint="66"/>
            <w:vAlign w:val="center"/>
          </w:tcPr>
          <w:p>
            <w:pPr>
              <w:widowControl/>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100%</w:t>
            </w:r>
          </w:p>
        </w:tc>
      </w:tr>
    </w:tbl>
    <w:p>
      <w:pPr>
        <w:pStyle w:val="2"/>
        <w:tabs>
          <w:tab w:val="left" w:pos="0"/>
        </w:tabs>
        <w:spacing w:line="560" w:lineRule="exact"/>
        <w:ind w:firstLine="643" w:firstLineChars="200"/>
        <w:outlineLvl w:val="2"/>
        <w:rPr>
          <w:rFonts w:ascii="仿宋_GB2312" w:hAnsi="仿宋_GB2312" w:cs="仿宋_GB2312"/>
          <w:b/>
          <w:bCs/>
          <w:highlight w:val="none"/>
        </w:rPr>
      </w:pPr>
      <w:r>
        <w:rPr>
          <w:rFonts w:hint="eastAsia" w:ascii="仿宋_GB2312" w:hAnsi="仿宋_GB2312" w:cs="仿宋_GB2312"/>
          <w:b/>
          <w:bCs/>
          <w:highlight w:val="none"/>
        </w:rPr>
        <w:t>1.社会效益指标</w:t>
      </w:r>
    </w:p>
    <w:p>
      <w:pPr>
        <w:pStyle w:val="2"/>
        <w:tabs>
          <w:tab w:val="left" w:pos="0"/>
        </w:tabs>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改善基层法庭办案条件指标分值7分，评价得分7分。做好人民法庭取暖项目工作，对确有困难、确有必要的仍在使用煤炉、小型</w:t>
      </w:r>
      <w:r>
        <w:rPr>
          <w:rFonts w:hint="eastAsia" w:ascii="仿宋_GB2312" w:hAnsi="仿宋_GB2312" w:cs="仿宋_GB2312"/>
          <w:highlight w:val="none"/>
          <w:lang w:eastAsia="zh-CN"/>
        </w:rPr>
        <w:t>电暖器</w:t>
      </w:r>
      <w:r>
        <w:rPr>
          <w:rFonts w:hint="eastAsia" w:ascii="仿宋_GB2312" w:hAnsi="仿宋_GB2312" w:cs="仿宋_GB2312"/>
          <w:highlight w:val="none"/>
        </w:rPr>
        <w:t>取暖的人民法庭给予补助，下达人民法庭取暖改造专项资金，各资金使用单位对取暖设施进行维修改造，有效解决取暖困难。通过对使用年限较长、设施设备老化、用房功能不全、存在安全隐患、无法满足工作基本需要的业务用房及实施基层人民法庭取暖工程的法院进行维修改造，切实改善了执法办案基础设施条件，确保各级法院能有效发挥审判职能，各项工作正常开展。</w:t>
      </w:r>
    </w:p>
    <w:p>
      <w:pPr>
        <w:pStyle w:val="2"/>
        <w:tabs>
          <w:tab w:val="left" w:pos="0"/>
        </w:tabs>
        <w:spacing w:line="560" w:lineRule="exact"/>
        <w:ind w:firstLine="643" w:firstLineChars="200"/>
        <w:outlineLvl w:val="2"/>
        <w:rPr>
          <w:rFonts w:ascii="仿宋_GB2312" w:hAnsi="仿宋_GB2312" w:cs="仿宋_GB2312"/>
          <w:b/>
          <w:bCs/>
          <w:highlight w:val="none"/>
        </w:rPr>
      </w:pPr>
      <w:r>
        <w:rPr>
          <w:rFonts w:hint="eastAsia" w:ascii="仿宋_GB2312" w:hAnsi="仿宋_GB2312" w:cs="仿宋_GB2312"/>
          <w:b/>
          <w:bCs/>
          <w:highlight w:val="none"/>
        </w:rPr>
        <w:t>2.可持续影响指标</w:t>
      </w:r>
    </w:p>
    <w:p>
      <w:pPr>
        <w:spacing w:line="560" w:lineRule="exact"/>
        <w:ind w:firstLine="640" w:firstLineChars="200"/>
        <w:rPr>
          <w:rFonts w:ascii="仿宋_GB2312" w:hAnsi="仿宋_GB2312" w:eastAsia="仿宋_GB2312" w:cs="仿宋_GB2312"/>
          <w:sz w:val="32"/>
          <w:szCs w:val="32"/>
          <w:highlight w:val="none"/>
        </w:rPr>
      </w:pPr>
      <w:bookmarkStart w:id="143" w:name="_Toc7892"/>
      <w:bookmarkStart w:id="144" w:name="_Toc31732"/>
      <w:r>
        <w:rPr>
          <w:rFonts w:hint="eastAsia" w:ascii="仿宋_GB2312" w:hAnsi="仿宋_GB2312" w:eastAsia="仿宋_GB2312" w:cs="仿宋_GB2312"/>
          <w:sz w:val="32"/>
          <w:szCs w:val="32"/>
          <w:highlight w:val="none"/>
        </w:rPr>
        <w:t>长效管理机制健全性指标分值6.5分，评价得分6.5分。</w:t>
      </w:r>
      <w:r>
        <w:rPr>
          <w:rFonts w:hint="eastAsia" w:ascii="仿宋_GB2312" w:hAnsi="仿宋_GB2312" w:eastAsia="仿宋_GB2312" w:cs="仿宋_GB2312"/>
          <w:kern w:val="2"/>
          <w:sz w:val="32"/>
          <w:szCs w:val="32"/>
          <w:highlight w:val="none"/>
          <w:lang w:val="en-US" w:eastAsia="zh-CN" w:bidi="ar-SA"/>
        </w:rPr>
        <w:t>为加强和规范省级预算项目经费管理，提高项目工作质量和资金效益，《关于进一步做好全省法院检察院系统项目建设管理工作的通知》（甘发改投资〔2018〕1035号）、《关于做好全省法院系统项目建设管理工作的补充通知》（甘高法〔2019〕19号）等制度从项目申报、审批、资金保障及监管等流程进行了制度性规范，对于各法院工作的实施提供了强有力的政策制度支撑，长效管理机制逐步健全。</w:t>
      </w:r>
    </w:p>
    <w:p>
      <w:pPr>
        <w:pStyle w:val="2"/>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设备管护机制健全性指标分值6.5分，评价得分6.5分。《省法院装备资产配备管理规程》（甘高法〔2017〕353号）</w:t>
      </w:r>
      <w:r>
        <w:rPr>
          <w:rFonts w:hint="eastAsia" w:ascii="仿宋_GB2312" w:hAnsi="仿宋_GB2312" w:cs="仿宋_GB2312"/>
          <w:highlight w:val="none"/>
          <w:lang w:val="en-US" w:eastAsia="zh-CN"/>
        </w:rPr>
        <w:t>对</w:t>
      </w:r>
      <w:r>
        <w:rPr>
          <w:rFonts w:hint="eastAsia" w:ascii="仿宋_GB2312" w:hAnsi="仿宋_GB2312" w:cs="仿宋_GB2312"/>
          <w:highlight w:val="none"/>
        </w:rPr>
        <w:t>设备资产的配备、管理维修维护等工作有了制度支撑，各中、基层法院在本项目中购置设备和维修项目后期的管养维护严格按照制度汇编中有关固定资产的管理规定执行，且在购置合同中约定了相关的售后服务，以此保障装备的正常使用。</w:t>
      </w:r>
    </w:p>
    <w:bookmarkEnd w:id="143"/>
    <w:bookmarkEnd w:id="144"/>
    <w:p>
      <w:pPr>
        <w:pStyle w:val="2"/>
        <w:spacing w:line="560" w:lineRule="exact"/>
        <w:ind w:firstLine="643" w:firstLineChars="200"/>
        <w:outlineLvl w:val="1"/>
        <w:rPr>
          <w:rFonts w:ascii="楷体" w:hAnsi="楷体" w:eastAsia="楷体" w:cs="楷体"/>
          <w:b/>
          <w:bCs/>
          <w:highlight w:val="none"/>
        </w:rPr>
      </w:pPr>
      <w:bookmarkStart w:id="145" w:name="_Toc22800"/>
      <w:r>
        <w:rPr>
          <w:rFonts w:hint="eastAsia" w:ascii="楷体" w:hAnsi="楷体" w:eastAsia="楷体" w:cs="楷体"/>
          <w:b/>
          <w:bCs/>
          <w:highlight w:val="none"/>
        </w:rPr>
        <w:t>（五）满意度情况</w:t>
      </w:r>
      <w:bookmarkEnd w:id="145"/>
    </w:p>
    <w:p>
      <w:pPr>
        <w:spacing w:line="560" w:lineRule="exact"/>
        <w:ind w:firstLine="640" w:firstLineChars="200"/>
        <w:rPr>
          <w:rFonts w:hint="eastAsia" w:ascii="仿宋_GB2312" w:hAnsi="仿宋_GB2312" w:eastAsia="仿宋_GB2312" w:cs="仿宋_GB2312"/>
          <w:color w:val="000000" w:themeColor="text1"/>
          <w:sz w:val="32"/>
          <w:szCs w:val="32"/>
          <w:highlight w:val="none"/>
          <w14:textFill>
            <w14:solidFill>
              <w14:schemeClr w14:val="tx1"/>
            </w14:solidFill>
          </w14:textFill>
        </w:rPr>
      </w:pPr>
      <w:bookmarkStart w:id="146" w:name="_Toc65235686"/>
      <w:bookmarkStart w:id="147" w:name="_Toc64731198"/>
      <w:bookmarkStart w:id="148" w:name="_Toc4285"/>
      <w:bookmarkStart w:id="149" w:name="_Toc2918"/>
      <w:bookmarkStart w:id="150" w:name="_Toc63435075"/>
      <w:bookmarkStart w:id="151" w:name="_Toc23326"/>
      <w:bookmarkStart w:id="152" w:name="_Toc5674"/>
      <w:r>
        <w:rPr>
          <w:rFonts w:hint="eastAsia" w:ascii="仿宋_GB2312" w:hAnsi="仿宋_GB2312" w:eastAsia="仿宋_GB2312" w:cs="仿宋_GB2312"/>
          <w:color w:val="000000" w:themeColor="text1"/>
          <w:sz w:val="32"/>
          <w:szCs w:val="32"/>
          <w:highlight w:val="none"/>
          <w14:textFill>
            <w14:solidFill>
              <w14:schemeClr w14:val="tx1"/>
            </w14:solidFill>
          </w14:textFill>
        </w:rPr>
        <w:t>项目服务对象满意度指标主要为法院工作人员满意度，指标分值10分，评价得分10分，得分率100%。</w:t>
      </w:r>
      <w:bookmarkEnd w:id="146"/>
      <w:bookmarkEnd w:id="147"/>
      <w:bookmarkEnd w:id="148"/>
      <w:bookmarkEnd w:id="149"/>
      <w:bookmarkEnd w:id="150"/>
      <w:bookmarkEnd w:id="151"/>
      <w:bookmarkEnd w:id="152"/>
    </w:p>
    <w:p>
      <w:pPr>
        <w:spacing w:line="560" w:lineRule="exact"/>
        <w:jc w:val="center"/>
        <w:rPr>
          <w:rFonts w:cs="仿宋" w:asciiTheme="minorEastAsia" w:hAnsiTheme="minorEastAsia"/>
          <w:sz w:val="32"/>
          <w:szCs w:val="32"/>
          <w:highlight w:val="none"/>
        </w:rPr>
      </w:pPr>
      <w:r>
        <w:rPr>
          <w:rFonts w:hint="eastAsia" w:cs="黑体" w:asciiTheme="minorEastAsia" w:hAnsiTheme="minorEastAsia"/>
          <w:bCs/>
          <w:sz w:val="28"/>
          <w:szCs w:val="24"/>
          <w:highlight w:val="none"/>
        </w:rPr>
        <w:t>满意度指标二级指标得分情况表</w:t>
      </w:r>
    </w:p>
    <w:tbl>
      <w:tblPr>
        <w:tblStyle w:val="15"/>
        <w:tblW w:w="4998" w:type="pct"/>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2840"/>
        <w:gridCol w:w="1805"/>
        <w:gridCol w:w="1602"/>
        <w:gridCol w:w="2272"/>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BDD6EE" w:themeFill="accent1" w:themeFillTint="66"/>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二级指标</w:t>
            </w:r>
          </w:p>
        </w:tc>
        <w:tc>
          <w:tcPr>
            <w:tcW w:w="1059" w:type="pct"/>
            <w:shd w:val="clear" w:color="auto" w:fill="BDD6EE" w:themeFill="accent1" w:themeFillTint="66"/>
            <w:noWrap/>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分值</w:t>
            </w:r>
          </w:p>
        </w:tc>
        <w:tc>
          <w:tcPr>
            <w:tcW w:w="940" w:type="pct"/>
            <w:shd w:val="clear" w:color="auto" w:fill="BDD6EE" w:themeFill="accent1" w:themeFillTint="66"/>
            <w:noWrap/>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w:t>
            </w:r>
          </w:p>
        </w:tc>
        <w:tc>
          <w:tcPr>
            <w:tcW w:w="1333" w:type="pct"/>
            <w:shd w:val="clear" w:color="auto" w:fill="BDD6EE" w:themeFill="accent1" w:themeFillTint="66"/>
            <w:noWrap/>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widowControl/>
              <w:jc w:val="left"/>
              <w:textAlignment w:val="center"/>
              <w:rPr>
                <w:highlight w:val="none"/>
              </w:rPr>
            </w:pPr>
            <w:r>
              <w:rPr>
                <w:rFonts w:hint="eastAsia" w:ascii="宋体" w:hAnsi="宋体" w:eastAsia="宋体" w:cs="宋体"/>
                <w:bCs/>
                <w:color w:val="000000"/>
                <w:kern w:val="0"/>
                <w:sz w:val="22"/>
                <w:highlight w:val="none"/>
                <w:lang w:bidi="ar"/>
              </w:rPr>
              <w:t>服务对象满意度指标</w:t>
            </w:r>
          </w:p>
        </w:tc>
        <w:tc>
          <w:tcPr>
            <w:tcW w:w="1059" w:type="pct"/>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w:t>
            </w:r>
          </w:p>
        </w:tc>
        <w:tc>
          <w:tcPr>
            <w:tcW w:w="940" w:type="pct"/>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w:t>
            </w:r>
          </w:p>
        </w:tc>
        <w:tc>
          <w:tcPr>
            <w:tcW w:w="1333" w:type="pct"/>
            <w:shd w:val="clear" w:color="auto" w:fill="auto"/>
            <w:noWrap/>
            <w:vAlign w:val="center"/>
          </w:tcPr>
          <w:p>
            <w:pPr>
              <w:widowControl/>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BDD6EE" w:themeFill="accent1" w:themeFillTint="66"/>
            <w:vAlign w:val="center"/>
          </w:tcPr>
          <w:p>
            <w:pPr>
              <w:widowControl/>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合计</w:t>
            </w:r>
          </w:p>
        </w:tc>
        <w:tc>
          <w:tcPr>
            <w:tcW w:w="1059" w:type="pct"/>
            <w:shd w:val="clear" w:color="auto" w:fill="BDD6EE" w:themeFill="accent1" w:themeFillTint="66"/>
            <w:vAlign w:val="center"/>
          </w:tcPr>
          <w:p>
            <w:pPr>
              <w:widowControl/>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10</w:t>
            </w:r>
          </w:p>
        </w:tc>
        <w:tc>
          <w:tcPr>
            <w:tcW w:w="940" w:type="pct"/>
            <w:shd w:val="clear" w:color="auto" w:fill="BDD6EE" w:themeFill="accent1" w:themeFillTint="66"/>
            <w:vAlign w:val="center"/>
          </w:tcPr>
          <w:p>
            <w:pPr>
              <w:widowControl/>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10</w:t>
            </w:r>
          </w:p>
        </w:tc>
        <w:tc>
          <w:tcPr>
            <w:tcW w:w="1333" w:type="pct"/>
            <w:shd w:val="clear" w:color="auto" w:fill="BDD6EE" w:themeFill="accent1" w:themeFillTint="66"/>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100%</w:t>
            </w:r>
          </w:p>
        </w:tc>
      </w:tr>
    </w:tbl>
    <w:p>
      <w:pPr>
        <w:pStyle w:val="2"/>
        <w:tabs>
          <w:tab w:val="left" w:pos="510"/>
          <w:tab w:val="left" w:pos="675"/>
        </w:tabs>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评价组针对全省法院人民法庭维修经费项目服务对象“法院工作人员满意度”制作调查问卷，对供暖项目发放调查问卷样本105份，回收调查问卷105份。此调查问卷共设置了3个满意度问题，主要了解法院工作人员对供暖项目实施效果的满意度。满意度调查结果如下：</w:t>
      </w:r>
    </w:p>
    <w:p>
      <w:pPr>
        <w:pStyle w:val="2"/>
        <w:tabs>
          <w:tab w:val="left" w:pos="510"/>
          <w:tab w:val="left" w:pos="675"/>
        </w:tabs>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问题1：您对本单位供暖效果是否满意？</w:t>
      </w:r>
    </w:p>
    <w:p>
      <w:pPr>
        <w:pStyle w:val="2"/>
        <w:tabs>
          <w:tab w:val="left" w:pos="510"/>
          <w:tab w:val="left" w:pos="675"/>
        </w:tabs>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此问题没有无效问卷，非常的75人，比较满意的25人，基本满意的5人，很不满意的1人。通过数据处理分析，工作人员对单位供暖效果比较满意，为90.95%。</w:t>
      </w:r>
    </w:p>
    <w:p>
      <w:pPr>
        <w:pStyle w:val="2"/>
        <w:tabs>
          <w:tab w:val="left" w:pos="510"/>
          <w:tab w:val="left" w:pos="675"/>
        </w:tabs>
        <w:spacing w:line="560" w:lineRule="exact"/>
        <w:ind w:firstLine="640" w:firstLineChars="200"/>
        <w:rPr>
          <w:rFonts w:ascii="仿宋_GB2312" w:hAnsi="仿宋_GB2312" w:cs="仿宋_GB2312"/>
          <w:b/>
          <w:bCs/>
          <w:highlight w:val="none"/>
        </w:rPr>
      </w:pPr>
      <w:r>
        <w:rPr>
          <w:rFonts w:ascii="仿宋" w:hAnsi="仿宋" w:eastAsia="仿宋" w:cs="仿宋"/>
          <w:highlight w:val="none"/>
        </w:rPr>
        <w:drawing>
          <wp:anchor distT="0" distB="0" distL="114300" distR="114300" simplePos="0" relativeHeight="251660288" behindDoc="0" locked="0" layoutInCell="1" allowOverlap="1">
            <wp:simplePos x="0" y="0"/>
            <wp:positionH relativeFrom="column">
              <wp:posOffset>535305</wp:posOffset>
            </wp:positionH>
            <wp:positionV relativeFrom="paragraph">
              <wp:posOffset>438785</wp:posOffset>
            </wp:positionV>
            <wp:extent cx="4135120" cy="2005330"/>
            <wp:effectExtent l="4445" t="4445" r="5715" b="17145"/>
            <wp:wrapTopAndBottom/>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Pr>
          <w:rFonts w:hint="eastAsia" w:ascii="仿宋_GB2312" w:hAnsi="仿宋_GB2312" w:cs="仿宋_GB2312"/>
          <w:highlight w:val="none"/>
        </w:rPr>
        <w:t>问题1满意度具体数据如图所示：</w:t>
      </w:r>
    </w:p>
    <w:p>
      <w:pPr>
        <w:pStyle w:val="2"/>
        <w:keepNext w:val="0"/>
        <w:keepLines w:val="0"/>
        <w:pageBreakBefore w:val="0"/>
        <w:widowControl w:val="0"/>
        <w:tabs>
          <w:tab w:val="left" w:pos="510"/>
          <w:tab w:val="left" w:pos="675"/>
        </w:tabs>
        <w:kinsoku/>
        <w:wordWrap/>
        <w:overflowPunct/>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问题2：您认为本单位供暖设备配套能否满足供暖需求？</w:t>
      </w:r>
    </w:p>
    <w:p>
      <w:pPr>
        <w:pStyle w:val="2"/>
        <w:tabs>
          <w:tab w:val="left" w:pos="510"/>
          <w:tab w:val="left" w:pos="675"/>
        </w:tabs>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此问题没有无效问卷，认为满足的84人，认为比较满足的15人，认为基本满足的2人，认为不满足的4人。通过数据处理分析，工作人员认为本单位供暖设备配套能够满足供暖需求，为92.63%。问题2满意度具体数据如图所示：</w:t>
      </w:r>
    </w:p>
    <w:p>
      <w:pPr>
        <w:pStyle w:val="2"/>
        <w:tabs>
          <w:tab w:val="left" w:pos="510"/>
          <w:tab w:val="left" w:pos="675"/>
        </w:tabs>
        <w:spacing w:line="560" w:lineRule="exact"/>
        <w:ind w:firstLine="640" w:firstLineChars="200"/>
        <w:rPr>
          <w:rFonts w:ascii="仿宋_GB2312" w:hAnsi="仿宋_GB2312" w:cs="仿宋_GB2312"/>
          <w:highlight w:val="none"/>
        </w:rPr>
      </w:pPr>
      <w:r>
        <w:rPr>
          <w:rFonts w:ascii="仿宋" w:hAnsi="仿宋" w:eastAsia="仿宋" w:cs="仿宋"/>
          <w:highlight w:val="none"/>
        </w:rPr>
        <w:drawing>
          <wp:anchor distT="0" distB="0" distL="114300" distR="114300" simplePos="0" relativeHeight="251661312" behindDoc="0" locked="0" layoutInCell="1" allowOverlap="1">
            <wp:simplePos x="0" y="0"/>
            <wp:positionH relativeFrom="column">
              <wp:posOffset>588010</wp:posOffset>
            </wp:positionH>
            <wp:positionV relativeFrom="paragraph">
              <wp:posOffset>47625</wp:posOffset>
            </wp:positionV>
            <wp:extent cx="4127500" cy="2359025"/>
            <wp:effectExtent l="4445" t="5080" r="13335" b="13335"/>
            <wp:wrapTopAndBottom/>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Pr>
          <w:rFonts w:hint="eastAsia" w:ascii="仿宋_GB2312" w:hAnsi="仿宋_GB2312" w:cs="仿宋_GB2312"/>
          <w:highlight w:val="none"/>
        </w:rPr>
        <w:t>问题3：您认为本单位冬季供暖是否及时？</w:t>
      </w:r>
    </w:p>
    <w:p>
      <w:pPr>
        <w:pStyle w:val="2"/>
        <w:tabs>
          <w:tab w:val="left" w:pos="510"/>
          <w:tab w:val="left" w:pos="675"/>
        </w:tabs>
        <w:spacing w:line="560" w:lineRule="exact"/>
        <w:ind w:firstLine="640" w:firstLineChars="200"/>
        <w:rPr>
          <w:rFonts w:ascii="仿宋_GB2312" w:hAnsi="仿宋_GB2312" w:cs="仿宋_GB2312"/>
          <w:b/>
          <w:bCs/>
          <w:highlight w:val="none"/>
        </w:rPr>
      </w:pPr>
      <w:r>
        <w:rPr>
          <w:rFonts w:ascii="仿宋" w:hAnsi="仿宋" w:eastAsia="仿宋" w:cs="仿宋"/>
          <w:highlight w:val="none"/>
        </w:rPr>
        <w:drawing>
          <wp:anchor distT="0" distB="0" distL="114300" distR="114300" simplePos="0" relativeHeight="251662336" behindDoc="0" locked="0" layoutInCell="1" allowOverlap="1">
            <wp:simplePos x="0" y="0"/>
            <wp:positionH relativeFrom="column">
              <wp:posOffset>648970</wp:posOffset>
            </wp:positionH>
            <wp:positionV relativeFrom="paragraph">
              <wp:posOffset>1460500</wp:posOffset>
            </wp:positionV>
            <wp:extent cx="4097020" cy="2201545"/>
            <wp:effectExtent l="4445" t="4445" r="13335" b="19050"/>
            <wp:wrapTopAndBottom/>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Pr>
          <w:rFonts w:hint="eastAsia" w:ascii="仿宋_GB2312" w:hAnsi="仿宋_GB2312" w:cs="仿宋_GB2312"/>
          <w:highlight w:val="none"/>
        </w:rPr>
        <w:t>此问题没有无效问卷，认为非常及时的81人，认为比较及时的20人，认为一般的3人，认为不及时的1人。通过数据处理分析，工作人员认为本单位冬季供暖比较及时，为93.09%。问题4满意度具体数据如图所示：</w:t>
      </w:r>
    </w:p>
    <w:p>
      <w:pPr>
        <w:pStyle w:val="2"/>
        <w:tabs>
          <w:tab w:val="left" w:pos="510"/>
          <w:tab w:val="left" w:pos="675"/>
        </w:tabs>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对维修改造项目发放调查问卷样本70份，回收调查问卷70份。此调查问卷共设置了3个满意度问题，主要了解法院工作人员对维修改造项目实施效果的满意度。满意度调查结果如下：</w:t>
      </w:r>
    </w:p>
    <w:p>
      <w:pPr>
        <w:pStyle w:val="2"/>
        <w:tabs>
          <w:tab w:val="left" w:pos="510"/>
          <w:tab w:val="left" w:pos="675"/>
        </w:tabs>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问题1：您认为本年度单位维修改造工程是否改善了办案条件？</w:t>
      </w:r>
    </w:p>
    <w:p>
      <w:pPr>
        <w:pStyle w:val="2"/>
        <w:tabs>
          <w:tab w:val="left" w:pos="510"/>
          <w:tab w:val="left" w:pos="675"/>
        </w:tabs>
        <w:spacing w:line="560" w:lineRule="exact"/>
        <w:ind w:firstLine="640" w:firstLineChars="200"/>
        <w:rPr>
          <w:rFonts w:ascii="仿宋_GB2312" w:hAnsi="仿宋_GB2312" w:cs="仿宋_GB2312"/>
          <w:b/>
          <w:bCs/>
          <w:highlight w:val="none"/>
        </w:rPr>
      </w:pPr>
      <w:r>
        <w:rPr>
          <w:rFonts w:hint="eastAsia" w:ascii="仿宋_GB2312" w:hAnsi="仿宋_GB2312" w:cs="仿宋_GB2312"/>
          <w:highlight w:val="none"/>
        </w:rPr>
        <w:t>此问题没有无效问卷，认为可以改善的49人，认为基本改善的19人，认为一般的2人，认为不能改善的0人。通过数据处理分析，工作人员认为单位本年度单位维修改造工程改善了办案条件，为91.78%。问题1满意度具体数据如图所示：</w:t>
      </w:r>
    </w:p>
    <w:p>
      <w:pPr>
        <w:pStyle w:val="2"/>
        <w:tabs>
          <w:tab w:val="left" w:pos="510"/>
          <w:tab w:val="left" w:pos="675"/>
        </w:tabs>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drawing>
          <wp:anchor distT="0" distB="0" distL="114300" distR="114300" simplePos="0" relativeHeight="251663360" behindDoc="0" locked="0" layoutInCell="1" allowOverlap="1">
            <wp:simplePos x="0" y="0"/>
            <wp:positionH relativeFrom="column">
              <wp:posOffset>506095</wp:posOffset>
            </wp:positionH>
            <wp:positionV relativeFrom="paragraph">
              <wp:posOffset>62865</wp:posOffset>
            </wp:positionV>
            <wp:extent cx="4150995" cy="2321560"/>
            <wp:effectExtent l="4445" t="5080" r="5080" b="5080"/>
            <wp:wrapTopAndBottom/>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r>
        <w:rPr>
          <w:rFonts w:hint="eastAsia" w:ascii="仿宋_GB2312" w:hAnsi="仿宋_GB2312" w:cs="仿宋_GB2312"/>
          <w:highlight w:val="none"/>
        </w:rPr>
        <w:t>问题2：您认为本年度单位业务用房维修改造工作开展是否及时？</w:t>
      </w:r>
    </w:p>
    <w:p>
      <w:pPr>
        <w:pStyle w:val="2"/>
        <w:tabs>
          <w:tab w:val="left" w:pos="510"/>
          <w:tab w:val="left" w:pos="675"/>
        </w:tabs>
        <w:spacing w:line="560" w:lineRule="exact"/>
        <w:ind w:firstLine="640" w:firstLineChars="200"/>
        <w:rPr>
          <w:rFonts w:ascii="仿宋_GB2312" w:hAnsi="仿宋_GB2312" w:cs="仿宋_GB2312"/>
          <w:b/>
          <w:bCs/>
          <w:highlight w:val="none"/>
        </w:rPr>
      </w:pPr>
      <w:r>
        <w:rPr>
          <w:rFonts w:hint="eastAsia" w:ascii="仿宋_GB2312" w:hAnsi="仿宋_GB2312" w:cs="仿宋_GB2312"/>
          <w:highlight w:val="none"/>
        </w:rPr>
        <w:t>此问题没有无效问卷，认为非常及时的42人，认为比较及时的24人，认为一般的3人，认为不及时的1人。通过数据处理分析，工作人员认为本年度单位业务用房维修改造工作开展比较及时，为88.21%。问题2满意度具体数据如图所示：</w:t>
      </w:r>
    </w:p>
    <w:p>
      <w:pPr>
        <w:pStyle w:val="2"/>
        <w:tabs>
          <w:tab w:val="left" w:pos="510"/>
          <w:tab w:val="left" w:pos="675"/>
        </w:tabs>
        <w:spacing w:line="560" w:lineRule="exact"/>
        <w:ind w:firstLine="640" w:firstLineChars="200"/>
        <w:jc w:val="both"/>
        <w:rPr>
          <w:rFonts w:ascii="仿宋_GB2312" w:hAnsi="仿宋_GB2312" w:cs="仿宋_GB2312"/>
          <w:highlight w:val="none"/>
        </w:rPr>
      </w:pPr>
      <w:r>
        <w:rPr>
          <w:rFonts w:hint="eastAsia" w:ascii="仿宋_GB2312" w:hAnsi="仿宋_GB2312" w:cs="仿宋_GB2312"/>
          <w:highlight w:val="none"/>
        </w:rPr>
        <w:drawing>
          <wp:anchor distT="0" distB="0" distL="114300" distR="114300" simplePos="0" relativeHeight="251664384" behindDoc="0" locked="0" layoutInCell="1" allowOverlap="1">
            <wp:simplePos x="0" y="0"/>
            <wp:positionH relativeFrom="column">
              <wp:posOffset>614045</wp:posOffset>
            </wp:positionH>
            <wp:positionV relativeFrom="paragraph">
              <wp:posOffset>55245</wp:posOffset>
            </wp:positionV>
            <wp:extent cx="4119880" cy="2428240"/>
            <wp:effectExtent l="4445" t="5080" r="5715" b="5080"/>
            <wp:wrapTopAndBottom/>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r>
        <w:rPr>
          <w:rFonts w:hint="eastAsia" w:ascii="仿宋_GB2312" w:hAnsi="仿宋_GB2312" w:cs="仿宋_GB2312"/>
          <w:highlight w:val="none"/>
        </w:rPr>
        <w:t>问题3：您认为本年度单位维修改造工程整体是否满意？</w:t>
      </w:r>
    </w:p>
    <w:p>
      <w:pPr>
        <w:pStyle w:val="2"/>
        <w:tabs>
          <w:tab w:val="left" w:pos="510"/>
          <w:tab w:val="left" w:pos="675"/>
        </w:tabs>
        <w:spacing w:line="560" w:lineRule="exact"/>
        <w:ind w:firstLine="640" w:firstLineChars="200"/>
        <w:rPr>
          <w:rFonts w:ascii="仿宋_GB2312" w:hAnsi="仿宋_GB2312" w:cs="仿宋_GB2312"/>
          <w:b/>
          <w:bCs/>
          <w:highlight w:val="none"/>
        </w:rPr>
      </w:pPr>
      <w:r>
        <w:rPr>
          <w:rFonts w:hint="eastAsia" w:ascii="仿宋_GB2312" w:hAnsi="仿宋_GB2312" w:cs="仿宋_GB2312"/>
          <w:highlight w:val="none"/>
        </w:rPr>
        <w:t>此问题没有无效问卷，认为非常满意的46人，认为比较满意的18人，认为基本满意的6人，认为很不满意的0人。通过数据处理分析，工作人员对本年度单位维修改造工程整体比较满意，为89.28%。问题3满意度具体数据如图所示：</w:t>
      </w:r>
    </w:p>
    <w:p>
      <w:pPr>
        <w:pStyle w:val="2"/>
        <w:tabs>
          <w:tab w:val="left" w:pos="510"/>
          <w:tab w:val="left" w:pos="675"/>
        </w:tabs>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drawing>
          <wp:anchor distT="0" distB="0" distL="114300" distR="114300" simplePos="0" relativeHeight="251665408" behindDoc="0" locked="0" layoutInCell="1" allowOverlap="1">
            <wp:simplePos x="0" y="0"/>
            <wp:positionH relativeFrom="column">
              <wp:posOffset>610235</wp:posOffset>
            </wp:positionH>
            <wp:positionV relativeFrom="paragraph">
              <wp:posOffset>10795</wp:posOffset>
            </wp:positionV>
            <wp:extent cx="4128135" cy="2383790"/>
            <wp:effectExtent l="4445" t="4445" r="12700" b="19685"/>
            <wp:wrapTopAndBottom/>
            <wp:docPr id="9"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r>
        <w:rPr>
          <w:rFonts w:hint="eastAsia" w:ascii="仿宋_GB2312" w:hAnsi="仿宋_GB2312" w:cs="仿宋_GB2312"/>
          <w:highlight w:val="none"/>
        </w:rPr>
        <w:t>经过数据汇总处理，法院工作人员对全省法院人民法庭维修经费项目2022年度工作总体的满意度为90.99%，总体满意度较高。据评分标准，本指标分值10分，评价得分10分。</w:t>
      </w:r>
    </w:p>
    <w:p>
      <w:pPr>
        <w:pStyle w:val="2"/>
        <w:spacing w:line="560" w:lineRule="exact"/>
        <w:ind w:firstLine="640" w:firstLineChars="200"/>
        <w:outlineLvl w:val="0"/>
        <w:rPr>
          <w:rFonts w:ascii="黑体" w:hAnsi="黑体" w:eastAsia="黑体" w:cs="仿宋"/>
          <w:b w:val="0"/>
          <w:bCs w:val="0"/>
          <w:highlight w:val="none"/>
        </w:rPr>
      </w:pPr>
      <w:bookmarkStart w:id="153" w:name="_Toc3973"/>
      <w:bookmarkStart w:id="154" w:name="_Toc27911"/>
      <w:bookmarkStart w:id="155" w:name="_Toc14909"/>
      <w:r>
        <w:rPr>
          <w:rFonts w:hint="eastAsia" w:ascii="黑体" w:hAnsi="黑体" w:eastAsia="黑体" w:cs="仿宋"/>
          <w:b w:val="0"/>
          <w:bCs w:val="0"/>
          <w:highlight w:val="none"/>
        </w:rPr>
        <w:t>六、项目主要经验及做法</w:t>
      </w:r>
      <w:bookmarkEnd w:id="153"/>
      <w:bookmarkEnd w:id="154"/>
      <w:bookmarkEnd w:id="155"/>
    </w:p>
    <w:p>
      <w:pPr>
        <w:pStyle w:val="2"/>
        <w:tabs>
          <w:tab w:val="left" w:pos="510"/>
          <w:tab w:val="left" w:pos="675"/>
        </w:tabs>
        <w:spacing w:line="560" w:lineRule="exact"/>
        <w:ind w:firstLine="643" w:firstLineChars="200"/>
        <w:outlineLvl w:val="1"/>
        <w:rPr>
          <w:rFonts w:ascii="楷体" w:hAnsi="楷体" w:eastAsia="楷体" w:cs="楷体"/>
          <w:b/>
          <w:bCs/>
          <w:highlight w:val="none"/>
        </w:rPr>
      </w:pPr>
      <w:bookmarkStart w:id="156" w:name="_Toc31693"/>
      <w:bookmarkStart w:id="157" w:name="_Toc135595322"/>
      <w:bookmarkStart w:id="158" w:name="_Toc600"/>
      <w:r>
        <w:rPr>
          <w:rFonts w:hint="eastAsia" w:ascii="楷体" w:hAnsi="楷体" w:eastAsia="楷体" w:cs="楷体"/>
          <w:b/>
          <w:bCs/>
          <w:highlight w:val="none"/>
        </w:rPr>
        <w:t>（一）</w:t>
      </w:r>
      <w:bookmarkEnd w:id="156"/>
      <w:bookmarkEnd w:id="157"/>
      <w:bookmarkEnd w:id="158"/>
      <w:r>
        <w:rPr>
          <w:rFonts w:hint="eastAsia" w:ascii="楷体" w:hAnsi="楷体" w:eastAsia="楷体" w:cs="楷体"/>
          <w:b/>
          <w:bCs/>
          <w:highlight w:val="none"/>
        </w:rPr>
        <w:t>项目管理级次和职责明确，保障了项目顺利运行</w:t>
      </w:r>
    </w:p>
    <w:p>
      <w:pPr>
        <w:pStyle w:val="2"/>
        <w:tabs>
          <w:tab w:val="left" w:pos="510"/>
          <w:tab w:val="left" w:pos="675"/>
        </w:tabs>
        <w:spacing w:line="560" w:lineRule="exact"/>
        <w:ind w:firstLine="640" w:firstLineChars="200"/>
        <w:rPr>
          <w:rFonts w:hint="eastAsia" w:ascii="仿宋_GB2312" w:hAnsi="仿宋_GB2312" w:cs="仿宋_GB2312"/>
          <w:highlight w:val="none"/>
        </w:rPr>
      </w:pPr>
      <w:r>
        <w:rPr>
          <w:rFonts w:hint="eastAsia" w:ascii="仿宋_GB2312" w:hAnsi="仿宋_GB2312" w:cs="仿宋_GB2312"/>
          <w:highlight w:val="none"/>
        </w:rPr>
        <w:t>甘肃省高级人民法院、甘肃省发展和改革委员会印发了《关于进一步做好全省法院检察院系统项目建设管理工作的通知》（甘发改投资〔2018〕1035号），省法院印发了《关于做好全省法院系统项目建设管理工作的补充通知》（甘高法〔2019〕19号），以制度明确了各级单位的职责，以完善的项目组织机制、科学的项目管理制度保障了项目顺利运行。</w:t>
      </w:r>
    </w:p>
    <w:p>
      <w:pPr>
        <w:pStyle w:val="2"/>
        <w:tabs>
          <w:tab w:val="left" w:pos="510"/>
          <w:tab w:val="left" w:pos="675"/>
        </w:tabs>
        <w:spacing w:line="560" w:lineRule="exact"/>
        <w:ind w:firstLine="640" w:firstLineChars="200"/>
        <w:rPr>
          <w:rFonts w:hint="eastAsia" w:ascii="仿宋_GB2312" w:hAnsi="仿宋_GB2312" w:cs="仿宋_GB2312"/>
          <w:highlight w:val="none"/>
        </w:rPr>
      </w:pPr>
      <w:r>
        <w:rPr>
          <w:rFonts w:hint="eastAsia" w:ascii="仿宋_GB2312" w:hAnsi="仿宋_GB2312" w:cs="仿宋_GB2312"/>
          <w:highlight w:val="none"/>
        </w:rPr>
        <w:t>各级法院是项目建设的责任主体，对项目建设的组织、管理承担全面责任。严格落实投资计划执行和项目监管的主体责任，积极组织开展项目前期工作，严格按批复组织项目建设，及时准确上报进度数据和信息，如期保质保量完工投用。</w:t>
      </w:r>
    </w:p>
    <w:p>
      <w:pPr>
        <w:pStyle w:val="2"/>
        <w:tabs>
          <w:tab w:val="left" w:pos="510"/>
          <w:tab w:val="left" w:pos="675"/>
        </w:tabs>
        <w:spacing w:line="560" w:lineRule="exact"/>
        <w:ind w:firstLine="640" w:firstLineChars="200"/>
        <w:rPr>
          <w:rFonts w:hint="eastAsia" w:ascii="仿宋_GB2312" w:hAnsi="仿宋_GB2312" w:cs="仿宋_GB2312"/>
          <w:highlight w:val="none"/>
        </w:rPr>
      </w:pPr>
      <w:r>
        <w:rPr>
          <w:rFonts w:hint="eastAsia" w:ascii="仿宋_GB2312" w:hAnsi="仿宋_GB2312" w:cs="仿宋_GB2312"/>
          <w:highlight w:val="none"/>
        </w:rPr>
        <w:t>省法院是项目建设的主管部门，严格落实投资计划执行和项目实施的日常监管，压实监管责任，规范监管行为，加强计划实施综合监管，全程跟踪化解控制各类矛盾隐患，及时协调解决突出问题，确保建设项目平稳落地、顺利实施。</w:t>
      </w:r>
    </w:p>
    <w:p>
      <w:pPr>
        <w:pStyle w:val="2"/>
        <w:tabs>
          <w:tab w:val="left" w:pos="510"/>
          <w:tab w:val="left" w:pos="675"/>
        </w:tabs>
        <w:spacing w:line="560" w:lineRule="exact"/>
        <w:ind w:firstLine="640" w:firstLineChars="200"/>
        <w:rPr>
          <w:rFonts w:hint="eastAsia" w:ascii="仿宋_GB2312" w:hAnsi="仿宋_GB2312" w:cs="仿宋_GB2312"/>
          <w:highlight w:val="none"/>
        </w:rPr>
      </w:pPr>
      <w:r>
        <w:rPr>
          <w:rFonts w:hint="eastAsia" w:ascii="仿宋_GB2312" w:hAnsi="仿宋_GB2312" w:cs="仿宋_GB2312"/>
          <w:highlight w:val="none"/>
        </w:rPr>
        <w:t>项目全过程责任基本落实到位，确保项目依法依规有序开展，提高了项目进度和工作效率。</w:t>
      </w:r>
    </w:p>
    <w:p>
      <w:pPr>
        <w:pStyle w:val="2"/>
        <w:tabs>
          <w:tab w:val="left" w:pos="510"/>
          <w:tab w:val="left" w:pos="675"/>
        </w:tabs>
        <w:spacing w:line="560" w:lineRule="exact"/>
        <w:ind w:firstLine="643" w:firstLineChars="200"/>
        <w:outlineLvl w:val="1"/>
        <w:rPr>
          <w:rFonts w:ascii="楷体" w:hAnsi="楷体" w:eastAsia="楷体" w:cs="楷体"/>
          <w:b/>
          <w:bCs/>
          <w:highlight w:val="none"/>
        </w:rPr>
      </w:pPr>
      <w:bookmarkStart w:id="159" w:name="_Toc16172"/>
      <w:bookmarkStart w:id="160" w:name="_Toc135595323"/>
      <w:bookmarkStart w:id="161" w:name="_Toc18808"/>
      <w:r>
        <w:rPr>
          <w:rFonts w:hint="eastAsia" w:ascii="楷体" w:hAnsi="楷体" w:eastAsia="楷体" w:cs="楷体"/>
          <w:b/>
          <w:bCs/>
          <w:highlight w:val="none"/>
        </w:rPr>
        <w:t>（二）</w:t>
      </w:r>
      <w:bookmarkEnd w:id="159"/>
      <w:r>
        <w:rPr>
          <w:rFonts w:hint="eastAsia" w:ascii="楷体" w:hAnsi="楷体" w:eastAsia="楷体" w:cs="楷体"/>
          <w:b/>
          <w:bCs/>
          <w:highlight w:val="none"/>
        </w:rPr>
        <w:t>科学合理分配资金，有效解决人民法庭取暖问题</w:t>
      </w:r>
      <w:bookmarkEnd w:id="160"/>
      <w:bookmarkEnd w:id="161"/>
    </w:p>
    <w:p>
      <w:pPr>
        <w:pStyle w:val="2"/>
        <w:spacing w:line="560" w:lineRule="exact"/>
        <w:ind w:firstLine="640" w:firstLineChars="200"/>
        <w:rPr>
          <w:rFonts w:ascii="仿宋_GB2312" w:hAnsi="仿宋_GB2312" w:cs="仿宋_GB2312"/>
          <w:highlight w:val="none"/>
        </w:rPr>
      </w:pPr>
      <w:bookmarkStart w:id="162" w:name="_Toc15152"/>
      <w:bookmarkStart w:id="163" w:name="_Toc25717"/>
      <w:r>
        <w:rPr>
          <w:rFonts w:hint="eastAsia" w:ascii="仿宋_GB2312" w:hAnsi="仿宋_GB2312" w:cs="仿宋_GB2312"/>
          <w:highlight w:val="none"/>
        </w:rPr>
        <w:t>人民法庭取暖项目自2019年启动实施以来，已经连续实施四年时间，按照每个人民法庭25万元的标准，</w:t>
      </w:r>
      <w:r>
        <w:rPr>
          <w:rFonts w:hint="eastAsia" w:ascii="仿宋_GB2312" w:hAnsi="仿宋_GB2312" w:cs="仿宋_GB2312"/>
          <w:color w:val="auto"/>
          <w:highlight w:val="none"/>
          <w:lang w:eastAsia="zh-CN"/>
        </w:rPr>
        <w:t>对人民法庭取暖工程进行了改造。</w:t>
      </w:r>
      <w:r>
        <w:rPr>
          <w:rFonts w:hint="eastAsia" w:ascii="仿宋_GB2312" w:hAnsi="仿宋_GB2312" w:cs="仿宋_GB2312"/>
          <w:color w:val="auto"/>
          <w:highlight w:val="none"/>
        </w:rPr>
        <w:t>有效解决了确有困难、确</w:t>
      </w:r>
      <w:r>
        <w:rPr>
          <w:rFonts w:hint="eastAsia" w:ascii="仿宋_GB2312" w:hAnsi="仿宋_GB2312" w:cs="仿宋_GB2312"/>
          <w:highlight w:val="none"/>
        </w:rPr>
        <w:t>有必要的人民法庭取暖困难，经满意度调查，人民法庭取暖项目受到基层干警的充分肯定和普遍欢迎。</w:t>
      </w:r>
    </w:p>
    <w:p>
      <w:pPr>
        <w:pStyle w:val="2"/>
        <w:spacing w:line="560" w:lineRule="exact"/>
        <w:ind w:firstLine="640" w:firstLineChars="200"/>
        <w:outlineLvl w:val="0"/>
        <w:rPr>
          <w:rFonts w:ascii="黑体" w:hAnsi="黑体" w:eastAsia="黑体" w:cs="仿宋"/>
          <w:b w:val="0"/>
          <w:bCs w:val="0"/>
          <w:highlight w:val="none"/>
        </w:rPr>
      </w:pPr>
      <w:bookmarkStart w:id="164" w:name="_Toc11968"/>
      <w:r>
        <w:rPr>
          <w:rFonts w:hint="eastAsia" w:ascii="黑体" w:hAnsi="黑体" w:eastAsia="黑体" w:cs="仿宋"/>
          <w:b w:val="0"/>
          <w:bCs w:val="0"/>
          <w:highlight w:val="none"/>
        </w:rPr>
        <w:t>七、存在的问题及原因分析</w:t>
      </w:r>
      <w:bookmarkEnd w:id="162"/>
      <w:bookmarkEnd w:id="163"/>
      <w:bookmarkEnd w:id="164"/>
    </w:p>
    <w:p>
      <w:pPr>
        <w:spacing w:line="560" w:lineRule="exact"/>
        <w:ind w:firstLine="643" w:firstLineChars="200"/>
        <w:outlineLvl w:val="1"/>
        <w:rPr>
          <w:rStyle w:val="26"/>
          <w:rFonts w:hint="default" w:ascii="楷体" w:hAnsi="楷体" w:eastAsia="楷体" w:cs="楷体"/>
          <w:szCs w:val="32"/>
          <w:highlight w:val="none"/>
          <w:lang w:val="en-US" w:eastAsia="zh-CN"/>
        </w:rPr>
      </w:pPr>
      <w:bookmarkStart w:id="165" w:name="_Toc27415"/>
      <w:bookmarkStart w:id="166" w:name="_Toc10454"/>
      <w:bookmarkStart w:id="167" w:name="_Toc17053"/>
      <w:bookmarkStart w:id="168" w:name="_Toc135595325"/>
      <w:bookmarkStart w:id="169" w:name="_Toc2874"/>
      <w:bookmarkStart w:id="170" w:name="_Toc19507"/>
      <w:bookmarkStart w:id="171" w:name="_Toc14622"/>
      <w:r>
        <w:rPr>
          <w:rStyle w:val="26"/>
          <w:rFonts w:hint="eastAsia" w:ascii="楷体" w:hAnsi="楷体" w:eastAsia="楷体" w:cs="楷体"/>
          <w:szCs w:val="32"/>
          <w:highlight w:val="none"/>
        </w:rPr>
        <w:t>（一）项目支出预算执行率</w:t>
      </w:r>
      <w:bookmarkEnd w:id="165"/>
      <w:bookmarkEnd w:id="166"/>
      <w:bookmarkEnd w:id="167"/>
      <w:bookmarkEnd w:id="168"/>
      <w:r>
        <w:rPr>
          <w:rStyle w:val="26"/>
          <w:rFonts w:hint="eastAsia" w:ascii="楷体" w:hAnsi="楷体" w:eastAsia="楷体" w:cs="楷体"/>
          <w:szCs w:val="32"/>
          <w:highlight w:val="none"/>
          <w:lang w:val="en-US" w:eastAsia="zh-CN"/>
        </w:rPr>
        <w:t>有待提高</w:t>
      </w:r>
    </w:p>
    <w:p>
      <w:pPr>
        <w:pStyle w:val="2"/>
        <w:tabs>
          <w:tab w:val="left" w:pos="510"/>
          <w:tab w:val="left" w:pos="675"/>
        </w:tabs>
        <w:spacing w:line="560" w:lineRule="exact"/>
        <w:ind w:firstLine="640" w:firstLineChars="200"/>
        <w:rPr>
          <w:rFonts w:ascii="仿宋_GB2312" w:hAnsi="仿宋_GB2312" w:cs="仿宋_GB2312"/>
          <w:highlight w:val="none"/>
        </w:rPr>
      </w:pPr>
      <w:bookmarkStart w:id="172" w:name="_Toc3633"/>
      <w:bookmarkStart w:id="173" w:name="_Toc3824"/>
      <w:bookmarkStart w:id="174" w:name="_Toc32093"/>
      <w:r>
        <w:rPr>
          <w:rFonts w:hint="eastAsia" w:ascii="仿宋_GB2312" w:hAnsi="仿宋_GB2312" w:cs="仿宋_GB2312"/>
          <w:highlight w:val="none"/>
        </w:rPr>
        <w:t>全省法院人民法庭维修经费项目专项资金全年预算数为5,273.74万元，其中当年财政拨款5,000.00万元，上年结转资金273.74万元，截止2022年12月31日，全年支出2,46</w:t>
      </w:r>
      <w:r>
        <w:rPr>
          <w:rFonts w:hint="eastAsia" w:ascii="仿宋_GB2312" w:hAnsi="仿宋_GB2312" w:cs="仿宋_GB2312"/>
          <w:highlight w:val="none"/>
          <w:lang w:val="en-US" w:eastAsia="zh-CN"/>
        </w:rPr>
        <w:t>9</w:t>
      </w:r>
      <w:r>
        <w:rPr>
          <w:rFonts w:hint="eastAsia" w:ascii="仿宋_GB2312" w:hAnsi="仿宋_GB2312" w:cs="仿宋_GB2312"/>
          <w:highlight w:val="none"/>
        </w:rPr>
        <w:t>.45万元，预算执行率46.</w:t>
      </w:r>
      <w:r>
        <w:rPr>
          <w:rFonts w:hint="eastAsia" w:ascii="仿宋_GB2312" w:hAnsi="仿宋_GB2312" w:cs="仿宋_GB2312"/>
          <w:highlight w:val="none"/>
          <w:lang w:val="en-US" w:eastAsia="zh-CN"/>
        </w:rPr>
        <w:t>83</w:t>
      </w:r>
      <w:r>
        <w:rPr>
          <w:rFonts w:hint="eastAsia" w:ascii="仿宋_GB2312" w:hAnsi="仿宋_GB2312" w:cs="仿宋_GB2312"/>
          <w:highlight w:val="none"/>
        </w:rPr>
        <w:t>%。</w:t>
      </w:r>
      <w:bookmarkEnd w:id="169"/>
      <w:bookmarkEnd w:id="172"/>
      <w:bookmarkEnd w:id="173"/>
      <w:r>
        <w:rPr>
          <w:rFonts w:hint="eastAsia" w:ascii="仿宋_GB2312" w:hAnsi="仿宋_GB2312" w:cs="仿宋_GB2312"/>
          <w:highlight w:val="none"/>
        </w:rPr>
        <w:t>主要原因为2022年度受疫情影响，各项工作无法正常开展，导致项目进度滞后，加之第二批全省法院人民法庭维修经费下达较晚，导致资金执行进度较低。</w:t>
      </w:r>
      <w:r>
        <w:rPr>
          <w:rFonts w:hint="eastAsia" w:ascii="仿宋_GB2312" w:hAnsi="仿宋_GB2312" w:cs="仿宋_GB2312"/>
          <w:sz w:val="32"/>
          <w:szCs w:val="32"/>
          <w:highlight w:val="none"/>
          <w:lang w:val="en-US" w:eastAsia="zh-CN"/>
        </w:rPr>
        <w:t>项目支出预算执行率低于全年预算90%的法院如下</w:t>
      </w:r>
      <w:r>
        <w:rPr>
          <w:rFonts w:hint="eastAsia" w:ascii="仿宋_GB2312" w:hAnsi="仿宋_GB2312" w:cs="仿宋_GB2312"/>
          <w:highlight w:val="none"/>
        </w:rPr>
        <w:t>：</w:t>
      </w:r>
    </w:p>
    <w:tbl>
      <w:tblPr>
        <w:tblStyle w:val="15"/>
        <w:tblpPr w:leftFromText="180" w:rightFromText="180" w:vertAnchor="text" w:horzAnchor="page" w:tblpX="1857" w:tblpY="229"/>
        <w:tblOverlap w:val="never"/>
        <w:tblW w:w="8325"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689"/>
        <w:gridCol w:w="2250"/>
        <w:gridCol w:w="924"/>
        <w:gridCol w:w="720"/>
        <w:gridCol w:w="2856"/>
        <w:gridCol w:w="886"/>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659" w:hRule="atLeast"/>
          <w:tblHeader/>
        </w:trPr>
        <w:tc>
          <w:tcPr>
            <w:tcW w:w="689" w:type="dxa"/>
            <w:shd w:val="clear" w:color="auto" w:fill="BDD6EE" w:themeFill="accent1" w:themeFillTint="66"/>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序号</w:t>
            </w:r>
          </w:p>
        </w:tc>
        <w:tc>
          <w:tcPr>
            <w:tcW w:w="2250" w:type="dxa"/>
            <w:shd w:val="clear" w:color="auto" w:fill="BDD6EE" w:themeFill="accent1" w:themeFillTint="66"/>
            <w:noWrap/>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单位名称</w:t>
            </w:r>
          </w:p>
        </w:tc>
        <w:tc>
          <w:tcPr>
            <w:tcW w:w="924" w:type="dxa"/>
            <w:shd w:val="clear" w:color="auto" w:fill="BDD6EE" w:themeFill="accent1" w:themeFillTint="66"/>
            <w:noWrap/>
            <w:vAlign w:val="center"/>
          </w:tcPr>
          <w:p>
            <w:pPr>
              <w:widowControl/>
              <w:jc w:val="center"/>
              <w:textAlignment w:val="center"/>
              <w:rPr>
                <w:rFonts w:hint="eastAsia"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预算</w:t>
            </w:r>
          </w:p>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执行率</w:t>
            </w:r>
          </w:p>
        </w:tc>
        <w:tc>
          <w:tcPr>
            <w:tcW w:w="720" w:type="dxa"/>
            <w:shd w:val="clear" w:color="auto" w:fill="BDD6EE" w:themeFill="accent1" w:themeFillTint="66"/>
            <w:noWrap/>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序号</w:t>
            </w:r>
          </w:p>
        </w:tc>
        <w:tc>
          <w:tcPr>
            <w:tcW w:w="2856" w:type="dxa"/>
            <w:shd w:val="clear" w:color="auto" w:fill="BDD6EE" w:themeFill="accent1" w:themeFillTint="66"/>
            <w:noWrap/>
            <w:vAlign w:val="center"/>
          </w:tcPr>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单位名称</w:t>
            </w:r>
          </w:p>
        </w:tc>
        <w:tc>
          <w:tcPr>
            <w:tcW w:w="886" w:type="dxa"/>
            <w:shd w:val="clear" w:color="auto" w:fill="BDD6EE" w:themeFill="accent1" w:themeFillTint="66"/>
            <w:noWrap/>
            <w:vAlign w:val="center"/>
          </w:tcPr>
          <w:p>
            <w:pPr>
              <w:widowControl/>
              <w:jc w:val="center"/>
              <w:textAlignment w:val="center"/>
              <w:rPr>
                <w:rFonts w:hint="eastAsia"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预算</w:t>
            </w:r>
          </w:p>
          <w:p>
            <w:pPr>
              <w:widowControl/>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执行率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10" w:hRule="atLeast"/>
        </w:trPr>
        <w:tc>
          <w:tcPr>
            <w:tcW w:w="689" w:type="dxa"/>
            <w:shd w:val="clear" w:color="auto" w:fill="auto"/>
            <w:vAlign w:val="center"/>
          </w:tcPr>
          <w:p>
            <w:pPr>
              <w:widowControl/>
              <w:jc w:val="center"/>
              <w:textAlignment w:val="center"/>
              <w:rPr>
                <w:rFonts w:hint="eastAsia" w:ascii="宋体" w:hAnsi="宋体" w:eastAsia="宋体" w:cs="宋体"/>
                <w:sz w:val="20"/>
                <w:szCs w:val="20"/>
                <w:highlight w:val="none"/>
              </w:rPr>
            </w:pPr>
            <w:r>
              <w:rPr>
                <w:rFonts w:hint="eastAsia" w:ascii="宋体" w:hAnsi="宋体" w:eastAsia="宋体" w:cs="宋体"/>
                <w:sz w:val="20"/>
                <w:szCs w:val="20"/>
                <w:highlight w:val="none"/>
              </w:rPr>
              <w:t>1</w:t>
            </w:r>
          </w:p>
        </w:tc>
        <w:tc>
          <w:tcPr>
            <w:tcW w:w="2250" w:type="dxa"/>
            <w:shd w:val="clear" w:color="auto" w:fill="auto"/>
            <w:noWrap/>
            <w:vAlign w:val="center"/>
          </w:tcPr>
          <w:p>
            <w:pPr>
              <w:widowControl/>
              <w:jc w:val="left"/>
              <w:textAlignment w:val="center"/>
              <w:rPr>
                <w:rFonts w:hint="eastAsia" w:ascii="宋体" w:hAnsi="宋体" w:eastAsia="宋体" w:cs="宋体"/>
                <w:bCs/>
                <w:color w:val="000000"/>
                <w:kern w:val="0"/>
                <w:sz w:val="20"/>
                <w:szCs w:val="20"/>
                <w:highlight w:val="none"/>
                <w:lang w:bidi="ar"/>
              </w:rPr>
            </w:pPr>
            <w:r>
              <w:rPr>
                <w:rFonts w:hint="eastAsia" w:ascii="宋体" w:hAnsi="宋体" w:eastAsia="宋体" w:cs="宋体"/>
                <w:bCs/>
                <w:color w:val="000000"/>
                <w:kern w:val="0"/>
                <w:sz w:val="20"/>
                <w:szCs w:val="20"/>
                <w:highlight w:val="none"/>
                <w:lang w:bidi="ar"/>
              </w:rPr>
              <w:t>甘肃矿区人民法院</w:t>
            </w:r>
          </w:p>
        </w:tc>
        <w:tc>
          <w:tcPr>
            <w:tcW w:w="924" w:type="dxa"/>
            <w:shd w:val="clear" w:color="auto" w:fill="auto"/>
            <w:noWrap/>
            <w:vAlign w:val="center"/>
          </w:tcPr>
          <w:p>
            <w:pPr>
              <w:widowControl/>
              <w:jc w:val="right"/>
              <w:textAlignment w:val="center"/>
              <w:rPr>
                <w:rFonts w:hint="eastAsia"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0.00%</w:t>
            </w:r>
          </w:p>
        </w:tc>
        <w:tc>
          <w:tcPr>
            <w:tcW w:w="720" w:type="dxa"/>
            <w:shd w:val="clear" w:color="auto" w:fill="auto"/>
            <w:noWrap/>
            <w:vAlign w:val="center"/>
          </w:tcPr>
          <w:p>
            <w:pPr>
              <w:widowControl/>
              <w:jc w:val="center"/>
              <w:textAlignment w:val="center"/>
              <w:rPr>
                <w:rFonts w:hint="eastAsia" w:ascii="宋体" w:hAnsi="宋体" w:eastAsia="宋体" w:cs="宋体"/>
                <w:bCs/>
                <w:color w:val="000000"/>
                <w:kern w:val="0"/>
                <w:sz w:val="20"/>
                <w:szCs w:val="20"/>
                <w:highlight w:val="none"/>
                <w:lang w:bidi="ar"/>
              </w:rPr>
            </w:pPr>
            <w:r>
              <w:rPr>
                <w:rFonts w:hint="eastAsia" w:ascii="宋体" w:hAnsi="宋体" w:eastAsia="宋体" w:cs="宋体"/>
                <w:bCs/>
                <w:color w:val="000000"/>
                <w:kern w:val="0"/>
                <w:sz w:val="20"/>
                <w:szCs w:val="20"/>
                <w:highlight w:val="none"/>
                <w:lang w:bidi="ar"/>
              </w:rPr>
              <w:t>9</w:t>
            </w:r>
          </w:p>
        </w:tc>
        <w:tc>
          <w:tcPr>
            <w:tcW w:w="2856" w:type="dxa"/>
            <w:shd w:val="clear" w:color="auto" w:fill="auto"/>
            <w:noWrap/>
            <w:vAlign w:val="center"/>
          </w:tcPr>
          <w:p>
            <w:pPr>
              <w:widowControl/>
              <w:jc w:val="left"/>
              <w:textAlignment w:val="center"/>
              <w:rPr>
                <w:rFonts w:hint="eastAsia" w:ascii="宋体" w:hAnsi="宋体" w:eastAsia="宋体" w:cs="宋体"/>
                <w:bCs/>
                <w:color w:val="000000"/>
                <w:kern w:val="0"/>
                <w:sz w:val="20"/>
                <w:szCs w:val="20"/>
                <w:highlight w:val="none"/>
                <w:lang w:bidi="ar"/>
              </w:rPr>
            </w:pPr>
            <w:r>
              <w:rPr>
                <w:rFonts w:hint="eastAsia" w:ascii="宋体" w:hAnsi="宋体" w:eastAsia="宋体" w:cs="宋体"/>
                <w:bCs/>
                <w:color w:val="000000"/>
                <w:kern w:val="0"/>
                <w:sz w:val="20"/>
                <w:szCs w:val="20"/>
                <w:highlight w:val="none"/>
                <w:lang w:bidi="ar"/>
              </w:rPr>
              <w:t>康县人民法院</w:t>
            </w:r>
          </w:p>
        </w:tc>
        <w:tc>
          <w:tcPr>
            <w:tcW w:w="886" w:type="dxa"/>
            <w:shd w:val="clear" w:color="auto" w:fill="auto"/>
            <w:noWrap/>
            <w:vAlign w:val="center"/>
          </w:tcPr>
          <w:p>
            <w:pPr>
              <w:widowControl/>
              <w:jc w:val="right"/>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79.44%</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10" w:hRule="atLeast"/>
        </w:trPr>
        <w:tc>
          <w:tcPr>
            <w:tcW w:w="689" w:type="dxa"/>
            <w:shd w:val="clear" w:color="auto" w:fill="auto"/>
            <w:vAlign w:val="center"/>
          </w:tcPr>
          <w:p>
            <w:pPr>
              <w:widowControl/>
              <w:jc w:val="center"/>
              <w:textAlignment w:val="center"/>
              <w:rPr>
                <w:rFonts w:hint="eastAsia" w:ascii="宋体" w:hAnsi="宋体" w:eastAsia="宋体" w:cs="宋体"/>
                <w:bCs/>
                <w:color w:val="000000"/>
                <w:kern w:val="0"/>
                <w:sz w:val="20"/>
                <w:szCs w:val="20"/>
                <w:highlight w:val="none"/>
                <w:lang w:bidi="ar"/>
              </w:rPr>
            </w:pPr>
            <w:r>
              <w:rPr>
                <w:rFonts w:hint="eastAsia" w:ascii="宋体" w:hAnsi="宋体" w:eastAsia="宋体" w:cs="宋体"/>
                <w:bCs/>
                <w:color w:val="000000"/>
                <w:kern w:val="0"/>
                <w:sz w:val="20"/>
                <w:szCs w:val="20"/>
                <w:highlight w:val="none"/>
                <w:lang w:bidi="ar"/>
              </w:rPr>
              <w:t>2</w:t>
            </w:r>
          </w:p>
        </w:tc>
        <w:tc>
          <w:tcPr>
            <w:tcW w:w="2250" w:type="dxa"/>
            <w:shd w:val="clear" w:color="auto" w:fill="auto"/>
            <w:noWrap/>
            <w:vAlign w:val="center"/>
          </w:tcPr>
          <w:p>
            <w:pPr>
              <w:widowControl/>
              <w:jc w:val="left"/>
              <w:textAlignment w:val="center"/>
              <w:rPr>
                <w:rFonts w:hint="eastAsia" w:ascii="宋体" w:hAnsi="宋体" w:eastAsia="宋体" w:cs="宋体"/>
                <w:bCs/>
                <w:color w:val="000000"/>
                <w:kern w:val="0"/>
                <w:sz w:val="20"/>
                <w:szCs w:val="20"/>
                <w:highlight w:val="none"/>
                <w:lang w:bidi="ar"/>
              </w:rPr>
            </w:pPr>
            <w:r>
              <w:rPr>
                <w:rFonts w:hint="eastAsia" w:ascii="宋体" w:hAnsi="宋体" w:eastAsia="宋体" w:cs="宋体"/>
                <w:bCs/>
                <w:color w:val="000000"/>
                <w:kern w:val="0"/>
                <w:sz w:val="20"/>
                <w:szCs w:val="20"/>
                <w:highlight w:val="none"/>
                <w:lang w:bidi="ar"/>
              </w:rPr>
              <w:t>永登县人民法院</w:t>
            </w:r>
          </w:p>
        </w:tc>
        <w:tc>
          <w:tcPr>
            <w:tcW w:w="924" w:type="dxa"/>
            <w:shd w:val="clear" w:color="auto" w:fill="auto"/>
            <w:noWrap/>
            <w:vAlign w:val="center"/>
          </w:tcPr>
          <w:p>
            <w:pPr>
              <w:widowControl/>
              <w:jc w:val="right"/>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0.</w:t>
            </w:r>
            <w:r>
              <w:rPr>
                <w:rFonts w:hint="eastAsia" w:ascii="宋体" w:hAnsi="宋体" w:eastAsia="宋体" w:cs="宋体"/>
                <w:color w:val="000000"/>
                <w:kern w:val="0"/>
                <w:sz w:val="20"/>
                <w:szCs w:val="20"/>
                <w:highlight w:val="none"/>
                <w:lang w:val="en-US" w:eastAsia="zh-CN" w:bidi="ar"/>
              </w:rPr>
              <w:t>4</w:t>
            </w:r>
            <w:r>
              <w:rPr>
                <w:rFonts w:hint="eastAsia" w:ascii="宋体" w:hAnsi="宋体" w:eastAsia="宋体" w:cs="宋体"/>
                <w:color w:val="000000"/>
                <w:kern w:val="0"/>
                <w:sz w:val="20"/>
                <w:szCs w:val="20"/>
                <w:highlight w:val="none"/>
                <w:lang w:bidi="ar"/>
              </w:rPr>
              <w:t>0%</w:t>
            </w:r>
          </w:p>
        </w:tc>
        <w:tc>
          <w:tcPr>
            <w:tcW w:w="720" w:type="dxa"/>
            <w:shd w:val="clear" w:color="auto" w:fill="auto"/>
            <w:noWrap/>
            <w:vAlign w:val="center"/>
          </w:tcPr>
          <w:p>
            <w:pPr>
              <w:widowControl/>
              <w:jc w:val="center"/>
              <w:textAlignment w:val="center"/>
              <w:rPr>
                <w:rFonts w:hint="eastAsia" w:ascii="宋体" w:hAnsi="宋体" w:eastAsia="宋体" w:cs="宋体"/>
                <w:bCs/>
                <w:color w:val="000000"/>
                <w:kern w:val="0"/>
                <w:sz w:val="20"/>
                <w:szCs w:val="20"/>
                <w:highlight w:val="none"/>
                <w:lang w:bidi="ar"/>
              </w:rPr>
            </w:pPr>
            <w:r>
              <w:rPr>
                <w:rFonts w:hint="eastAsia" w:ascii="宋体" w:hAnsi="宋体" w:eastAsia="宋体" w:cs="宋体"/>
                <w:bCs/>
                <w:color w:val="000000"/>
                <w:kern w:val="0"/>
                <w:sz w:val="20"/>
                <w:szCs w:val="20"/>
                <w:highlight w:val="none"/>
                <w:lang w:bidi="ar"/>
              </w:rPr>
              <w:t>10</w:t>
            </w:r>
          </w:p>
        </w:tc>
        <w:tc>
          <w:tcPr>
            <w:tcW w:w="2856" w:type="dxa"/>
            <w:shd w:val="clear" w:color="auto" w:fill="auto"/>
            <w:noWrap/>
            <w:vAlign w:val="center"/>
          </w:tcPr>
          <w:p>
            <w:pPr>
              <w:widowControl/>
              <w:jc w:val="left"/>
              <w:textAlignment w:val="center"/>
              <w:rPr>
                <w:rFonts w:hint="eastAsia" w:ascii="宋体" w:hAnsi="宋体" w:eastAsia="宋体" w:cs="宋体"/>
                <w:bCs/>
                <w:color w:val="000000"/>
                <w:kern w:val="0"/>
                <w:sz w:val="20"/>
                <w:szCs w:val="20"/>
                <w:highlight w:val="none"/>
                <w:lang w:bidi="ar"/>
              </w:rPr>
            </w:pPr>
            <w:r>
              <w:rPr>
                <w:rFonts w:hint="eastAsia" w:ascii="宋体" w:hAnsi="宋体" w:eastAsia="宋体" w:cs="宋体"/>
                <w:bCs/>
                <w:color w:val="000000"/>
                <w:kern w:val="0"/>
                <w:sz w:val="20"/>
                <w:szCs w:val="20"/>
                <w:highlight w:val="none"/>
                <w:lang w:bidi="ar"/>
              </w:rPr>
              <w:t>西和县人民法院</w:t>
            </w:r>
          </w:p>
        </w:tc>
        <w:tc>
          <w:tcPr>
            <w:tcW w:w="886" w:type="dxa"/>
            <w:shd w:val="clear" w:color="auto" w:fill="auto"/>
            <w:noWrap/>
            <w:vAlign w:val="center"/>
          </w:tcPr>
          <w:p>
            <w:pPr>
              <w:widowControl/>
              <w:jc w:val="right"/>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0.00%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10" w:hRule="atLeast"/>
        </w:trPr>
        <w:tc>
          <w:tcPr>
            <w:tcW w:w="689" w:type="dxa"/>
            <w:shd w:val="clear" w:color="auto" w:fill="auto"/>
            <w:vAlign w:val="center"/>
          </w:tcPr>
          <w:p>
            <w:pPr>
              <w:widowControl/>
              <w:jc w:val="center"/>
              <w:textAlignment w:val="center"/>
              <w:rPr>
                <w:rFonts w:hint="eastAsia" w:ascii="宋体" w:hAnsi="宋体" w:eastAsia="宋体" w:cs="宋体"/>
                <w:bCs/>
                <w:color w:val="000000"/>
                <w:kern w:val="0"/>
                <w:sz w:val="20"/>
                <w:szCs w:val="20"/>
                <w:highlight w:val="none"/>
                <w:lang w:bidi="ar"/>
              </w:rPr>
            </w:pPr>
            <w:r>
              <w:rPr>
                <w:rFonts w:hint="eastAsia" w:ascii="宋体" w:hAnsi="宋体" w:eastAsia="宋体" w:cs="宋体"/>
                <w:bCs/>
                <w:color w:val="000000"/>
                <w:kern w:val="0"/>
                <w:sz w:val="20"/>
                <w:szCs w:val="20"/>
                <w:highlight w:val="none"/>
                <w:lang w:bidi="ar"/>
              </w:rPr>
              <w:t>3</w:t>
            </w:r>
          </w:p>
        </w:tc>
        <w:tc>
          <w:tcPr>
            <w:tcW w:w="2250" w:type="dxa"/>
            <w:shd w:val="clear" w:color="auto" w:fill="auto"/>
            <w:noWrap/>
            <w:vAlign w:val="center"/>
          </w:tcPr>
          <w:p>
            <w:pPr>
              <w:widowControl/>
              <w:jc w:val="left"/>
              <w:textAlignment w:val="center"/>
              <w:rPr>
                <w:rFonts w:hint="eastAsia" w:ascii="宋体" w:hAnsi="宋体" w:eastAsia="宋体" w:cs="宋体"/>
                <w:bCs/>
                <w:color w:val="000000"/>
                <w:kern w:val="0"/>
                <w:sz w:val="20"/>
                <w:szCs w:val="20"/>
                <w:highlight w:val="none"/>
                <w:lang w:bidi="ar"/>
              </w:rPr>
            </w:pPr>
            <w:r>
              <w:rPr>
                <w:rFonts w:hint="eastAsia" w:ascii="宋体" w:hAnsi="宋体" w:eastAsia="宋体" w:cs="宋体"/>
                <w:bCs/>
                <w:color w:val="000000"/>
                <w:kern w:val="0"/>
                <w:sz w:val="20"/>
                <w:szCs w:val="20"/>
                <w:highlight w:val="none"/>
                <w:lang w:bidi="ar"/>
              </w:rPr>
              <w:t>白银市中级人民法院</w:t>
            </w:r>
          </w:p>
        </w:tc>
        <w:tc>
          <w:tcPr>
            <w:tcW w:w="924" w:type="dxa"/>
            <w:shd w:val="clear" w:color="auto" w:fill="auto"/>
            <w:noWrap/>
            <w:vAlign w:val="center"/>
          </w:tcPr>
          <w:p>
            <w:pPr>
              <w:widowControl/>
              <w:jc w:val="right"/>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0.00%</w:t>
            </w:r>
          </w:p>
        </w:tc>
        <w:tc>
          <w:tcPr>
            <w:tcW w:w="720" w:type="dxa"/>
            <w:shd w:val="clear" w:color="auto" w:fill="auto"/>
            <w:noWrap/>
            <w:vAlign w:val="center"/>
          </w:tcPr>
          <w:p>
            <w:pPr>
              <w:widowControl/>
              <w:jc w:val="center"/>
              <w:textAlignment w:val="center"/>
              <w:rPr>
                <w:rFonts w:hint="eastAsia" w:ascii="宋体" w:hAnsi="宋体" w:eastAsia="宋体" w:cs="宋体"/>
                <w:bCs/>
                <w:color w:val="000000"/>
                <w:kern w:val="0"/>
                <w:sz w:val="20"/>
                <w:szCs w:val="20"/>
                <w:highlight w:val="none"/>
                <w:lang w:bidi="ar"/>
              </w:rPr>
            </w:pPr>
            <w:r>
              <w:rPr>
                <w:rFonts w:hint="eastAsia" w:ascii="宋体" w:hAnsi="宋体" w:eastAsia="宋体" w:cs="宋体"/>
                <w:bCs/>
                <w:color w:val="000000"/>
                <w:kern w:val="0"/>
                <w:sz w:val="20"/>
                <w:szCs w:val="20"/>
                <w:highlight w:val="none"/>
                <w:lang w:bidi="ar"/>
              </w:rPr>
              <w:t>11</w:t>
            </w:r>
          </w:p>
        </w:tc>
        <w:tc>
          <w:tcPr>
            <w:tcW w:w="2856" w:type="dxa"/>
            <w:shd w:val="clear" w:color="auto" w:fill="auto"/>
            <w:noWrap/>
            <w:vAlign w:val="center"/>
          </w:tcPr>
          <w:p>
            <w:pPr>
              <w:widowControl/>
              <w:jc w:val="left"/>
              <w:textAlignment w:val="center"/>
              <w:rPr>
                <w:rFonts w:hint="eastAsia" w:ascii="宋体" w:hAnsi="宋体" w:eastAsia="宋体" w:cs="宋体"/>
                <w:bCs/>
                <w:color w:val="000000"/>
                <w:kern w:val="0"/>
                <w:sz w:val="20"/>
                <w:szCs w:val="20"/>
                <w:highlight w:val="none"/>
                <w:lang w:bidi="ar"/>
              </w:rPr>
            </w:pPr>
            <w:r>
              <w:rPr>
                <w:rFonts w:hint="eastAsia" w:ascii="宋体" w:hAnsi="宋体" w:eastAsia="宋体" w:cs="宋体"/>
                <w:bCs/>
                <w:color w:val="000000"/>
                <w:kern w:val="0"/>
                <w:sz w:val="20"/>
                <w:szCs w:val="20"/>
                <w:highlight w:val="none"/>
                <w:lang w:bidi="ar"/>
              </w:rPr>
              <w:t>甘南藏族自治州中级人民法院</w:t>
            </w:r>
          </w:p>
        </w:tc>
        <w:tc>
          <w:tcPr>
            <w:tcW w:w="886" w:type="dxa"/>
            <w:shd w:val="clear" w:color="auto" w:fill="auto"/>
            <w:noWrap/>
            <w:vAlign w:val="center"/>
          </w:tcPr>
          <w:p>
            <w:pPr>
              <w:widowControl/>
              <w:jc w:val="right"/>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0.42%</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10" w:hRule="atLeast"/>
        </w:trPr>
        <w:tc>
          <w:tcPr>
            <w:tcW w:w="689" w:type="dxa"/>
            <w:shd w:val="clear" w:color="auto" w:fill="auto"/>
            <w:vAlign w:val="center"/>
          </w:tcPr>
          <w:p>
            <w:pPr>
              <w:widowControl/>
              <w:jc w:val="center"/>
              <w:textAlignment w:val="center"/>
              <w:rPr>
                <w:rFonts w:hint="eastAsia" w:ascii="宋体" w:hAnsi="宋体" w:eastAsia="宋体" w:cs="宋体"/>
                <w:bCs/>
                <w:color w:val="000000"/>
                <w:kern w:val="0"/>
                <w:sz w:val="20"/>
                <w:szCs w:val="20"/>
                <w:highlight w:val="none"/>
                <w:lang w:bidi="ar"/>
              </w:rPr>
            </w:pPr>
            <w:r>
              <w:rPr>
                <w:rFonts w:hint="eastAsia" w:ascii="宋体" w:hAnsi="宋体" w:eastAsia="宋体" w:cs="宋体"/>
                <w:bCs/>
                <w:color w:val="000000"/>
                <w:kern w:val="0"/>
                <w:sz w:val="20"/>
                <w:szCs w:val="20"/>
                <w:highlight w:val="none"/>
                <w:lang w:bidi="ar"/>
              </w:rPr>
              <w:t>4</w:t>
            </w:r>
          </w:p>
        </w:tc>
        <w:tc>
          <w:tcPr>
            <w:tcW w:w="2250" w:type="dxa"/>
            <w:shd w:val="clear" w:color="auto" w:fill="auto"/>
            <w:noWrap/>
            <w:vAlign w:val="center"/>
          </w:tcPr>
          <w:p>
            <w:pPr>
              <w:widowControl/>
              <w:jc w:val="left"/>
              <w:textAlignment w:val="center"/>
              <w:rPr>
                <w:rFonts w:hint="eastAsia" w:ascii="宋体" w:hAnsi="宋体" w:eastAsia="宋体" w:cs="宋体"/>
                <w:bCs/>
                <w:color w:val="000000"/>
                <w:kern w:val="0"/>
                <w:sz w:val="20"/>
                <w:szCs w:val="20"/>
                <w:highlight w:val="none"/>
                <w:lang w:bidi="ar"/>
              </w:rPr>
            </w:pPr>
            <w:r>
              <w:rPr>
                <w:rFonts w:hint="eastAsia" w:ascii="宋体" w:hAnsi="宋体" w:eastAsia="宋体" w:cs="宋体"/>
                <w:bCs/>
                <w:color w:val="000000"/>
                <w:kern w:val="0"/>
                <w:sz w:val="20"/>
                <w:szCs w:val="20"/>
                <w:highlight w:val="none"/>
                <w:lang w:bidi="ar"/>
              </w:rPr>
              <w:t>白银市白银区人民法院</w:t>
            </w:r>
          </w:p>
        </w:tc>
        <w:tc>
          <w:tcPr>
            <w:tcW w:w="924" w:type="dxa"/>
            <w:shd w:val="clear" w:color="auto" w:fill="auto"/>
            <w:noWrap/>
            <w:vAlign w:val="center"/>
          </w:tcPr>
          <w:p>
            <w:pPr>
              <w:widowControl/>
              <w:jc w:val="right"/>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19.90%</w:t>
            </w:r>
          </w:p>
        </w:tc>
        <w:tc>
          <w:tcPr>
            <w:tcW w:w="720" w:type="dxa"/>
            <w:shd w:val="clear" w:color="auto" w:fill="auto"/>
            <w:noWrap/>
            <w:vAlign w:val="center"/>
          </w:tcPr>
          <w:p>
            <w:pPr>
              <w:widowControl/>
              <w:jc w:val="center"/>
              <w:textAlignment w:val="center"/>
              <w:rPr>
                <w:rFonts w:hint="eastAsia" w:ascii="宋体" w:hAnsi="宋体" w:eastAsia="宋体" w:cs="宋体"/>
                <w:bCs/>
                <w:color w:val="000000"/>
                <w:kern w:val="0"/>
                <w:sz w:val="20"/>
                <w:szCs w:val="20"/>
                <w:highlight w:val="none"/>
                <w:lang w:bidi="ar"/>
              </w:rPr>
            </w:pPr>
            <w:r>
              <w:rPr>
                <w:rFonts w:hint="eastAsia" w:ascii="宋体" w:hAnsi="宋体" w:eastAsia="宋体" w:cs="宋体"/>
                <w:bCs/>
                <w:color w:val="000000"/>
                <w:kern w:val="0"/>
                <w:sz w:val="20"/>
                <w:szCs w:val="20"/>
                <w:highlight w:val="none"/>
                <w:lang w:bidi="ar"/>
              </w:rPr>
              <w:t>12</w:t>
            </w:r>
          </w:p>
        </w:tc>
        <w:tc>
          <w:tcPr>
            <w:tcW w:w="2856" w:type="dxa"/>
            <w:shd w:val="clear" w:color="auto" w:fill="auto"/>
            <w:noWrap/>
            <w:vAlign w:val="center"/>
          </w:tcPr>
          <w:p>
            <w:pPr>
              <w:widowControl/>
              <w:jc w:val="left"/>
              <w:textAlignment w:val="center"/>
              <w:rPr>
                <w:rFonts w:hint="eastAsia" w:ascii="宋体" w:hAnsi="宋体" w:eastAsia="宋体" w:cs="宋体"/>
                <w:bCs/>
                <w:color w:val="000000"/>
                <w:kern w:val="0"/>
                <w:sz w:val="20"/>
                <w:szCs w:val="20"/>
                <w:highlight w:val="none"/>
                <w:lang w:bidi="ar"/>
              </w:rPr>
            </w:pPr>
            <w:r>
              <w:rPr>
                <w:rFonts w:hint="eastAsia" w:ascii="宋体" w:hAnsi="宋体" w:eastAsia="宋体" w:cs="宋体"/>
                <w:bCs/>
                <w:color w:val="000000"/>
                <w:kern w:val="0"/>
                <w:sz w:val="20"/>
                <w:szCs w:val="20"/>
                <w:highlight w:val="none"/>
                <w:lang w:bidi="ar"/>
              </w:rPr>
              <w:t>环县人民法院</w:t>
            </w:r>
          </w:p>
        </w:tc>
        <w:tc>
          <w:tcPr>
            <w:tcW w:w="886" w:type="dxa"/>
            <w:shd w:val="clear" w:color="auto" w:fill="auto"/>
            <w:noWrap/>
            <w:vAlign w:val="center"/>
          </w:tcPr>
          <w:p>
            <w:pPr>
              <w:widowControl/>
              <w:jc w:val="right"/>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74.69%</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10" w:hRule="atLeast"/>
        </w:trPr>
        <w:tc>
          <w:tcPr>
            <w:tcW w:w="689" w:type="dxa"/>
            <w:shd w:val="clear" w:color="auto" w:fill="auto"/>
            <w:vAlign w:val="center"/>
          </w:tcPr>
          <w:p>
            <w:pPr>
              <w:widowControl/>
              <w:jc w:val="center"/>
              <w:textAlignment w:val="center"/>
              <w:rPr>
                <w:rFonts w:hint="eastAsia" w:ascii="宋体" w:hAnsi="宋体" w:eastAsia="宋体" w:cs="宋体"/>
                <w:bCs/>
                <w:color w:val="000000"/>
                <w:kern w:val="0"/>
                <w:sz w:val="20"/>
                <w:szCs w:val="20"/>
                <w:highlight w:val="none"/>
                <w:lang w:bidi="ar"/>
              </w:rPr>
            </w:pPr>
            <w:r>
              <w:rPr>
                <w:rFonts w:hint="eastAsia" w:ascii="宋体" w:hAnsi="宋体" w:eastAsia="宋体" w:cs="宋体"/>
                <w:bCs/>
                <w:color w:val="000000"/>
                <w:kern w:val="0"/>
                <w:sz w:val="20"/>
                <w:szCs w:val="20"/>
                <w:highlight w:val="none"/>
                <w:lang w:bidi="ar"/>
              </w:rPr>
              <w:t>5</w:t>
            </w:r>
          </w:p>
        </w:tc>
        <w:tc>
          <w:tcPr>
            <w:tcW w:w="2250" w:type="dxa"/>
            <w:shd w:val="clear" w:color="auto" w:fill="auto"/>
            <w:noWrap/>
            <w:vAlign w:val="center"/>
          </w:tcPr>
          <w:p>
            <w:pPr>
              <w:widowControl/>
              <w:jc w:val="left"/>
              <w:textAlignment w:val="center"/>
              <w:rPr>
                <w:rFonts w:hint="eastAsia" w:ascii="宋体" w:hAnsi="宋体" w:eastAsia="宋体" w:cs="宋体"/>
                <w:bCs/>
                <w:color w:val="000000"/>
                <w:kern w:val="0"/>
                <w:sz w:val="20"/>
                <w:szCs w:val="20"/>
                <w:highlight w:val="none"/>
                <w:lang w:bidi="ar"/>
              </w:rPr>
            </w:pPr>
            <w:r>
              <w:rPr>
                <w:rFonts w:hint="eastAsia" w:ascii="宋体" w:hAnsi="宋体" w:eastAsia="宋体" w:cs="宋体"/>
                <w:bCs/>
                <w:color w:val="000000"/>
                <w:kern w:val="0"/>
                <w:sz w:val="20"/>
                <w:szCs w:val="20"/>
                <w:highlight w:val="none"/>
                <w:lang w:bidi="ar"/>
              </w:rPr>
              <w:t>会宁县人民法院</w:t>
            </w:r>
          </w:p>
        </w:tc>
        <w:tc>
          <w:tcPr>
            <w:tcW w:w="924" w:type="dxa"/>
            <w:shd w:val="clear" w:color="auto" w:fill="auto"/>
            <w:noWrap/>
            <w:vAlign w:val="center"/>
          </w:tcPr>
          <w:p>
            <w:pPr>
              <w:widowControl/>
              <w:jc w:val="right"/>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77.46%</w:t>
            </w:r>
          </w:p>
        </w:tc>
        <w:tc>
          <w:tcPr>
            <w:tcW w:w="720" w:type="dxa"/>
            <w:shd w:val="clear" w:color="auto" w:fill="auto"/>
            <w:noWrap/>
            <w:vAlign w:val="center"/>
          </w:tcPr>
          <w:p>
            <w:pPr>
              <w:widowControl/>
              <w:jc w:val="center"/>
              <w:textAlignment w:val="center"/>
              <w:rPr>
                <w:rFonts w:hint="eastAsia" w:ascii="宋体" w:hAnsi="宋体" w:eastAsia="宋体" w:cs="宋体"/>
                <w:bCs/>
                <w:color w:val="000000"/>
                <w:kern w:val="0"/>
                <w:sz w:val="20"/>
                <w:szCs w:val="20"/>
                <w:highlight w:val="none"/>
                <w:lang w:bidi="ar"/>
              </w:rPr>
            </w:pPr>
            <w:r>
              <w:rPr>
                <w:rFonts w:hint="eastAsia" w:ascii="宋体" w:hAnsi="宋体" w:eastAsia="宋体" w:cs="宋体"/>
                <w:bCs/>
                <w:color w:val="000000"/>
                <w:kern w:val="0"/>
                <w:sz w:val="20"/>
                <w:szCs w:val="20"/>
                <w:highlight w:val="none"/>
                <w:lang w:bidi="ar"/>
              </w:rPr>
              <w:t>13</w:t>
            </w:r>
          </w:p>
        </w:tc>
        <w:tc>
          <w:tcPr>
            <w:tcW w:w="2856" w:type="dxa"/>
            <w:shd w:val="clear" w:color="auto" w:fill="auto"/>
            <w:noWrap/>
            <w:vAlign w:val="center"/>
          </w:tcPr>
          <w:p>
            <w:pPr>
              <w:widowControl/>
              <w:jc w:val="left"/>
              <w:textAlignment w:val="center"/>
              <w:rPr>
                <w:rFonts w:hint="eastAsia" w:ascii="宋体" w:hAnsi="宋体" w:eastAsia="宋体" w:cs="宋体"/>
                <w:bCs/>
                <w:color w:val="000000"/>
                <w:kern w:val="0"/>
                <w:sz w:val="20"/>
                <w:szCs w:val="20"/>
                <w:highlight w:val="none"/>
                <w:lang w:bidi="ar"/>
              </w:rPr>
            </w:pPr>
            <w:r>
              <w:rPr>
                <w:rFonts w:hint="eastAsia" w:ascii="宋体" w:hAnsi="宋体" w:eastAsia="宋体" w:cs="宋体"/>
                <w:bCs/>
                <w:color w:val="000000"/>
                <w:kern w:val="0"/>
                <w:sz w:val="20"/>
                <w:szCs w:val="20"/>
                <w:highlight w:val="none"/>
                <w:lang w:bidi="ar"/>
              </w:rPr>
              <w:t>东乡族自治县人民法院</w:t>
            </w:r>
          </w:p>
        </w:tc>
        <w:tc>
          <w:tcPr>
            <w:tcW w:w="886" w:type="dxa"/>
            <w:shd w:val="clear" w:color="auto" w:fill="auto"/>
            <w:noWrap/>
            <w:vAlign w:val="center"/>
          </w:tcPr>
          <w:p>
            <w:pPr>
              <w:widowControl/>
              <w:jc w:val="right"/>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71.21%</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10" w:hRule="atLeast"/>
        </w:trPr>
        <w:tc>
          <w:tcPr>
            <w:tcW w:w="689" w:type="dxa"/>
            <w:shd w:val="clear" w:color="auto" w:fill="auto"/>
            <w:vAlign w:val="center"/>
          </w:tcPr>
          <w:p>
            <w:pPr>
              <w:widowControl/>
              <w:jc w:val="center"/>
              <w:textAlignment w:val="center"/>
              <w:rPr>
                <w:rFonts w:hint="eastAsia" w:ascii="宋体" w:hAnsi="宋体" w:eastAsia="宋体" w:cs="宋体"/>
                <w:bCs/>
                <w:color w:val="000000"/>
                <w:kern w:val="0"/>
                <w:sz w:val="20"/>
                <w:szCs w:val="20"/>
                <w:highlight w:val="none"/>
                <w:lang w:bidi="ar"/>
              </w:rPr>
            </w:pPr>
            <w:r>
              <w:rPr>
                <w:rFonts w:hint="eastAsia" w:ascii="宋体" w:hAnsi="宋体" w:eastAsia="宋体" w:cs="宋体"/>
                <w:bCs/>
                <w:color w:val="000000"/>
                <w:kern w:val="0"/>
                <w:sz w:val="20"/>
                <w:szCs w:val="20"/>
                <w:highlight w:val="none"/>
                <w:lang w:bidi="ar"/>
              </w:rPr>
              <w:t>6</w:t>
            </w:r>
          </w:p>
        </w:tc>
        <w:tc>
          <w:tcPr>
            <w:tcW w:w="2250" w:type="dxa"/>
            <w:shd w:val="clear" w:color="auto" w:fill="auto"/>
            <w:noWrap/>
            <w:vAlign w:val="center"/>
          </w:tcPr>
          <w:p>
            <w:pPr>
              <w:widowControl/>
              <w:jc w:val="left"/>
              <w:textAlignment w:val="center"/>
              <w:rPr>
                <w:rFonts w:hint="eastAsia" w:ascii="宋体" w:hAnsi="宋体" w:eastAsia="宋体" w:cs="宋体"/>
                <w:bCs/>
                <w:color w:val="000000"/>
                <w:kern w:val="0"/>
                <w:sz w:val="20"/>
                <w:szCs w:val="20"/>
                <w:highlight w:val="none"/>
                <w:lang w:bidi="ar"/>
              </w:rPr>
            </w:pPr>
            <w:r>
              <w:rPr>
                <w:rFonts w:hint="eastAsia" w:ascii="宋体" w:hAnsi="宋体" w:eastAsia="宋体" w:cs="宋体"/>
                <w:bCs/>
                <w:color w:val="000000"/>
                <w:kern w:val="0"/>
                <w:sz w:val="20"/>
                <w:szCs w:val="20"/>
                <w:highlight w:val="none"/>
                <w:lang w:bidi="ar"/>
              </w:rPr>
              <w:t>天水市中级人民法院</w:t>
            </w:r>
          </w:p>
        </w:tc>
        <w:tc>
          <w:tcPr>
            <w:tcW w:w="924" w:type="dxa"/>
            <w:shd w:val="clear" w:color="auto" w:fill="auto"/>
            <w:noWrap/>
            <w:vAlign w:val="center"/>
          </w:tcPr>
          <w:p>
            <w:pPr>
              <w:widowControl/>
              <w:jc w:val="right"/>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27.50%</w:t>
            </w:r>
          </w:p>
        </w:tc>
        <w:tc>
          <w:tcPr>
            <w:tcW w:w="720" w:type="dxa"/>
            <w:shd w:val="clear" w:color="auto" w:fill="auto"/>
            <w:noWrap/>
            <w:vAlign w:val="center"/>
          </w:tcPr>
          <w:p>
            <w:pPr>
              <w:widowControl/>
              <w:jc w:val="center"/>
              <w:textAlignment w:val="center"/>
              <w:rPr>
                <w:rFonts w:hint="eastAsia" w:ascii="宋体" w:hAnsi="宋体" w:eastAsia="宋体" w:cs="宋体"/>
                <w:bCs/>
                <w:color w:val="000000"/>
                <w:kern w:val="0"/>
                <w:sz w:val="20"/>
                <w:szCs w:val="20"/>
                <w:highlight w:val="none"/>
                <w:lang w:bidi="ar"/>
              </w:rPr>
            </w:pPr>
            <w:r>
              <w:rPr>
                <w:rFonts w:hint="eastAsia" w:ascii="宋体" w:hAnsi="宋体" w:eastAsia="宋体" w:cs="宋体"/>
                <w:bCs/>
                <w:color w:val="000000"/>
                <w:kern w:val="0"/>
                <w:sz w:val="20"/>
                <w:szCs w:val="20"/>
                <w:highlight w:val="none"/>
                <w:lang w:bidi="ar"/>
              </w:rPr>
              <w:t>14</w:t>
            </w:r>
          </w:p>
        </w:tc>
        <w:tc>
          <w:tcPr>
            <w:tcW w:w="2856" w:type="dxa"/>
            <w:shd w:val="clear" w:color="auto" w:fill="auto"/>
            <w:noWrap/>
            <w:vAlign w:val="center"/>
          </w:tcPr>
          <w:p>
            <w:pPr>
              <w:widowControl/>
              <w:jc w:val="left"/>
              <w:textAlignment w:val="center"/>
              <w:rPr>
                <w:rFonts w:hint="eastAsia" w:ascii="宋体" w:hAnsi="宋体" w:eastAsia="宋体" w:cs="宋体"/>
                <w:bCs/>
                <w:color w:val="000000"/>
                <w:kern w:val="0"/>
                <w:sz w:val="20"/>
                <w:szCs w:val="20"/>
                <w:highlight w:val="none"/>
                <w:lang w:bidi="ar"/>
              </w:rPr>
            </w:pPr>
            <w:r>
              <w:rPr>
                <w:rFonts w:hint="eastAsia" w:ascii="宋体" w:hAnsi="宋体" w:eastAsia="宋体" w:cs="宋体"/>
                <w:bCs/>
                <w:color w:val="000000"/>
                <w:kern w:val="0"/>
                <w:sz w:val="20"/>
                <w:szCs w:val="20"/>
                <w:highlight w:val="none"/>
                <w:lang w:bidi="ar"/>
              </w:rPr>
              <w:t>静宁县人民法院</w:t>
            </w:r>
          </w:p>
        </w:tc>
        <w:tc>
          <w:tcPr>
            <w:tcW w:w="886" w:type="dxa"/>
            <w:shd w:val="clear" w:color="auto" w:fill="auto"/>
            <w:noWrap/>
            <w:vAlign w:val="center"/>
          </w:tcPr>
          <w:p>
            <w:pPr>
              <w:widowControl/>
              <w:jc w:val="right"/>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84.89%</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10" w:hRule="atLeast"/>
        </w:trPr>
        <w:tc>
          <w:tcPr>
            <w:tcW w:w="689" w:type="dxa"/>
            <w:shd w:val="clear" w:color="auto" w:fill="auto"/>
            <w:vAlign w:val="center"/>
          </w:tcPr>
          <w:p>
            <w:pPr>
              <w:widowControl/>
              <w:jc w:val="center"/>
              <w:textAlignment w:val="center"/>
              <w:rPr>
                <w:rFonts w:hint="eastAsia" w:ascii="宋体" w:hAnsi="宋体" w:eastAsia="宋体" w:cs="宋体"/>
                <w:bCs/>
                <w:color w:val="000000"/>
                <w:kern w:val="0"/>
                <w:sz w:val="20"/>
                <w:szCs w:val="20"/>
                <w:highlight w:val="none"/>
                <w:lang w:bidi="ar"/>
              </w:rPr>
            </w:pPr>
            <w:r>
              <w:rPr>
                <w:rFonts w:hint="eastAsia" w:ascii="宋体" w:hAnsi="宋体" w:eastAsia="宋体" w:cs="宋体"/>
                <w:bCs/>
                <w:color w:val="000000"/>
                <w:kern w:val="0"/>
                <w:sz w:val="20"/>
                <w:szCs w:val="20"/>
                <w:highlight w:val="none"/>
                <w:lang w:bidi="ar"/>
              </w:rPr>
              <w:t>7</w:t>
            </w:r>
          </w:p>
        </w:tc>
        <w:tc>
          <w:tcPr>
            <w:tcW w:w="2250" w:type="dxa"/>
            <w:shd w:val="clear" w:color="auto" w:fill="auto"/>
            <w:noWrap/>
            <w:vAlign w:val="center"/>
          </w:tcPr>
          <w:p>
            <w:pPr>
              <w:widowControl/>
              <w:jc w:val="left"/>
              <w:textAlignment w:val="center"/>
              <w:rPr>
                <w:rFonts w:hint="eastAsia" w:ascii="宋体" w:hAnsi="宋体" w:eastAsia="宋体" w:cs="宋体"/>
                <w:bCs/>
                <w:color w:val="000000"/>
                <w:kern w:val="0"/>
                <w:sz w:val="20"/>
                <w:szCs w:val="20"/>
                <w:highlight w:val="none"/>
                <w:lang w:bidi="ar"/>
              </w:rPr>
            </w:pPr>
            <w:r>
              <w:rPr>
                <w:rFonts w:hint="eastAsia" w:ascii="宋体" w:hAnsi="宋体" w:eastAsia="宋体" w:cs="宋体"/>
                <w:bCs/>
                <w:color w:val="000000"/>
                <w:kern w:val="0"/>
                <w:sz w:val="20"/>
                <w:szCs w:val="20"/>
                <w:highlight w:val="none"/>
                <w:lang w:bidi="ar"/>
              </w:rPr>
              <w:t>甘谷县人民法院</w:t>
            </w:r>
          </w:p>
        </w:tc>
        <w:tc>
          <w:tcPr>
            <w:tcW w:w="924" w:type="dxa"/>
            <w:shd w:val="clear" w:color="auto" w:fill="auto"/>
            <w:noWrap/>
            <w:vAlign w:val="center"/>
          </w:tcPr>
          <w:p>
            <w:pPr>
              <w:widowControl/>
              <w:jc w:val="right"/>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0.00%</w:t>
            </w:r>
          </w:p>
        </w:tc>
        <w:tc>
          <w:tcPr>
            <w:tcW w:w="720" w:type="dxa"/>
            <w:shd w:val="clear" w:color="auto" w:fill="auto"/>
            <w:noWrap/>
            <w:vAlign w:val="center"/>
          </w:tcPr>
          <w:p>
            <w:pPr>
              <w:widowControl/>
              <w:jc w:val="center"/>
              <w:textAlignment w:val="center"/>
              <w:rPr>
                <w:rFonts w:hint="eastAsia" w:ascii="宋体" w:hAnsi="宋体" w:eastAsia="宋体" w:cs="宋体"/>
                <w:bCs/>
                <w:color w:val="000000"/>
                <w:kern w:val="0"/>
                <w:sz w:val="20"/>
                <w:szCs w:val="20"/>
                <w:highlight w:val="none"/>
                <w:lang w:eastAsia="zh-CN" w:bidi="ar"/>
              </w:rPr>
            </w:pPr>
            <w:r>
              <w:rPr>
                <w:rFonts w:hint="eastAsia" w:ascii="宋体" w:hAnsi="宋体" w:eastAsia="宋体" w:cs="宋体"/>
                <w:bCs/>
                <w:color w:val="000000"/>
                <w:kern w:val="0"/>
                <w:sz w:val="20"/>
                <w:szCs w:val="20"/>
                <w:highlight w:val="none"/>
                <w:lang w:bidi="ar"/>
              </w:rPr>
              <w:t>1</w:t>
            </w:r>
            <w:r>
              <w:rPr>
                <w:rFonts w:hint="eastAsia" w:ascii="宋体" w:hAnsi="宋体" w:eastAsia="宋体" w:cs="宋体"/>
                <w:bCs/>
                <w:color w:val="000000"/>
                <w:kern w:val="0"/>
                <w:sz w:val="20"/>
                <w:szCs w:val="20"/>
                <w:highlight w:val="none"/>
                <w:lang w:val="en-US" w:eastAsia="zh-CN" w:bidi="ar"/>
              </w:rPr>
              <w:t>5</w:t>
            </w:r>
          </w:p>
        </w:tc>
        <w:tc>
          <w:tcPr>
            <w:tcW w:w="2856" w:type="dxa"/>
            <w:shd w:val="clear" w:color="auto" w:fill="auto"/>
            <w:noWrap/>
            <w:vAlign w:val="center"/>
          </w:tcPr>
          <w:p>
            <w:pPr>
              <w:widowControl/>
              <w:jc w:val="left"/>
              <w:textAlignment w:val="center"/>
              <w:rPr>
                <w:rFonts w:hint="eastAsia" w:ascii="宋体" w:hAnsi="宋体" w:eastAsia="宋体" w:cs="宋体"/>
                <w:bCs/>
                <w:color w:val="000000"/>
                <w:kern w:val="0"/>
                <w:sz w:val="20"/>
                <w:szCs w:val="20"/>
                <w:highlight w:val="none"/>
                <w:lang w:bidi="ar"/>
              </w:rPr>
            </w:pPr>
            <w:r>
              <w:rPr>
                <w:rFonts w:hint="eastAsia" w:ascii="宋体" w:hAnsi="宋体" w:eastAsia="宋体" w:cs="宋体"/>
                <w:bCs/>
                <w:color w:val="000000"/>
                <w:kern w:val="0"/>
                <w:sz w:val="20"/>
                <w:szCs w:val="20"/>
                <w:highlight w:val="none"/>
                <w:lang w:bidi="ar"/>
              </w:rPr>
              <w:t>卓尼县人民法院</w:t>
            </w:r>
          </w:p>
        </w:tc>
        <w:tc>
          <w:tcPr>
            <w:tcW w:w="886" w:type="dxa"/>
            <w:shd w:val="clear" w:color="auto" w:fill="auto"/>
            <w:noWrap/>
            <w:vAlign w:val="center"/>
          </w:tcPr>
          <w:p>
            <w:pPr>
              <w:widowControl/>
              <w:jc w:val="right"/>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23.95%</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10" w:hRule="atLeast"/>
        </w:trPr>
        <w:tc>
          <w:tcPr>
            <w:tcW w:w="689" w:type="dxa"/>
            <w:shd w:val="clear" w:color="auto" w:fill="auto"/>
            <w:vAlign w:val="center"/>
          </w:tcPr>
          <w:p>
            <w:pPr>
              <w:widowControl/>
              <w:jc w:val="center"/>
              <w:textAlignment w:val="center"/>
              <w:rPr>
                <w:rFonts w:hint="eastAsia" w:ascii="宋体" w:hAnsi="宋体" w:eastAsia="宋体" w:cs="宋体"/>
                <w:bCs/>
                <w:color w:val="000000"/>
                <w:kern w:val="0"/>
                <w:sz w:val="20"/>
                <w:szCs w:val="20"/>
                <w:highlight w:val="none"/>
                <w:lang w:val="en-US" w:eastAsia="zh-CN" w:bidi="ar"/>
              </w:rPr>
            </w:pPr>
            <w:bookmarkStart w:id="175" w:name="_Toc8095"/>
            <w:bookmarkStart w:id="176" w:name="_Toc10778"/>
            <w:bookmarkStart w:id="177" w:name="_Toc8410"/>
            <w:bookmarkStart w:id="178" w:name="_Toc135595326"/>
            <w:r>
              <w:rPr>
                <w:rFonts w:hint="eastAsia" w:ascii="宋体" w:hAnsi="宋体" w:eastAsia="宋体" w:cs="宋体"/>
                <w:bCs/>
                <w:color w:val="000000"/>
                <w:kern w:val="0"/>
                <w:sz w:val="20"/>
                <w:szCs w:val="20"/>
                <w:highlight w:val="none"/>
                <w:lang w:val="en-US" w:eastAsia="zh-CN" w:bidi="ar"/>
              </w:rPr>
              <w:t>8</w:t>
            </w:r>
          </w:p>
        </w:tc>
        <w:tc>
          <w:tcPr>
            <w:tcW w:w="2250" w:type="dxa"/>
            <w:shd w:val="clear" w:color="auto" w:fill="auto"/>
            <w:noWrap/>
            <w:vAlign w:val="center"/>
          </w:tcPr>
          <w:p>
            <w:pPr>
              <w:widowControl/>
              <w:jc w:val="left"/>
              <w:textAlignment w:val="center"/>
              <w:rPr>
                <w:rFonts w:hint="eastAsia" w:ascii="宋体" w:hAnsi="宋体" w:eastAsia="宋体" w:cs="宋体"/>
                <w:bCs/>
                <w:color w:val="000000"/>
                <w:kern w:val="0"/>
                <w:sz w:val="20"/>
                <w:szCs w:val="20"/>
                <w:highlight w:val="none"/>
                <w:lang w:bidi="ar"/>
              </w:rPr>
            </w:pPr>
            <w:r>
              <w:rPr>
                <w:rFonts w:hint="eastAsia" w:ascii="宋体" w:hAnsi="宋体" w:eastAsia="宋体" w:cs="宋体"/>
                <w:bCs/>
                <w:color w:val="000000"/>
                <w:kern w:val="0"/>
                <w:sz w:val="20"/>
                <w:szCs w:val="20"/>
                <w:highlight w:val="none"/>
                <w:lang w:bidi="ar"/>
              </w:rPr>
              <w:t>临夏县人民法院</w:t>
            </w:r>
          </w:p>
        </w:tc>
        <w:tc>
          <w:tcPr>
            <w:tcW w:w="924" w:type="dxa"/>
            <w:shd w:val="clear" w:color="auto" w:fill="auto"/>
            <w:noWrap/>
            <w:vAlign w:val="center"/>
          </w:tcPr>
          <w:p>
            <w:pPr>
              <w:widowControl/>
              <w:jc w:val="right"/>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11.12%</w:t>
            </w:r>
          </w:p>
        </w:tc>
        <w:tc>
          <w:tcPr>
            <w:tcW w:w="720" w:type="dxa"/>
            <w:shd w:val="clear" w:color="auto" w:fill="auto"/>
            <w:noWrap/>
            <w:vAlign w:val="center"/>
          </w:tcPr>
          <w:p>
            <w:pPr>
              <w:widowControl/>
              <w:jc w:val="center"/>
              <w:textAlignment w:val="center"/>
              <w:rPr>
                <w:rFonts w:hint="default" w:ascii="宋体" w:hAnsi="宋体" w:eastAsia="宋体" w:cs="宋体"/>
                <w:bCs/>
                <w:color w:val="000000"/>
                <w:kern w:val="0"/>
                <w:sz w:val="20"/>
                <w:szCs w:val="20"/>
                <w:highlight w:val="none"/>
                <w:lang w:val="en-US" w:eastAsia="zh-CN" w:bidi="ar"/>
              </w:rPr>
            </w:pPr>
            <w:r>
              <w:rPr>
                <w:rFonts w:hint="eastAsia" w:ascii="宋体" w:hAnsi="宋体" w:eastAsia="宋体" w:cs="宋体"/>
                <w:bCs/>
                <w:color w:val="000000"/>
                <w:kern w:val="0"/>
                <w:sz w:val="20"/>
                <w:szCs w:val="20"/>
                <w:highlight w:val="none"/>
                <w:lang w:val="en-US" w:eastAsia="zh-CN" w:bidi="ar"/>
              </w:rPr>
              <w:t>16</w:t>
            </w:r>
          </w:p>
        </w:tc>
        <w:tc>
          <w:tcPr>
            <w:tcW w:w="2856" w:type="dxa"/>
            <w:shd w:val="clear" w:color="auto" w:fill="auto"/>
            <w:noWrap/>
            <w:vAlign w:val="center"/>
          </w:tcPr>
          <w:p>
            <w:pPr>
              <w:widowControl/>
              <w:jc w:val="left"/>
              <w:textAlignment w:val="center"/>
              <w:rPr>
                <w:rFonts w:hint="eastAsia" w:ascii="宋体" w:hAnsi="宋体" w:eastAsia="宋体" w:cs="宋体"/>
                <w:bCs/>
                <w:color w:val="000000"/>
                <w:kern w:val="0"/>
                <w:sz w:val="20"/>
                <w:szCs w:val="20"/>
                <w:highlight w:val="none"/>
                <w:lang w:bidi="ar"/>
              </w:rPr>
            </w:pPr>
            <w:r>
              <w:rPr>
                <w:rFonts w:hint="eastAsia" w:ascii="宋体" w:hAnsi="宋体" w:eastAsia="宋体" w:cs="宋体"/>
                <w:bCs/>
                <w:color w:val="000000"/>
                <w:kern w:val="0"/>
                <w:sz w:val="20"/>
                <w:szCs w:val="20"/>
                <w:highlight w:val="none"/>
                <w:lang w:bidi="ar"/>
              </w:rPr>
              <w:t>西固区人民法院</w:t>
            </w:r>
          </w:p>
        </w:tc>
        <w:tc>
          <w:tcPr>
            <w:tcW w:w="886" w:type="dxa"/>
            <w:shd w:val="clear" w:color="auto" w:fill="auto"/>
            <w:noWrap/>
            <w:vAlign w:val="center"/>
          </w:tcPr>
          <w:p>
            <w:pPr>
              <w:widowControl/>
              <w:jc w:val="right"/>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0</w:t>
            </w:r>
            <w:r>
              <w:rPr>
                <w:rFonts w:hint="eastAsia" w:ascii="宋体" w:hAnsi="宋体" w:eastAsia="宋体" w:cs="宋体"/>
                <w:color w:val="000000"/>
                <w:kern w:val="0"/>
                <w:sz w:val="20"/>
                <w:szCs w:val="20"/>
                <w:highlight w:val="none"/>
                <w:lang w:val="en-US" w:eastAsia="zh-CN" w:bidi="ar"/>
              </w:rPr>
              <w:t>.00</w:t>
            </w:r>
            <w:r>
              <w:rPr>
                <w:rFonts w:hint="eastAsia" w:ascii="宋体" w:hAnsi="宋体" w:eastAsia="宋体" w:cs="宋体"/>
                <w:color w:val="000000"/>
                <w:kern w:val="0"/>
                <w:sz w:val="20"/>
                <w:szCs w:val="20"/>
                <w:highlight w:val="none"/>
                <w:lang w:bidi="ar"/>
              </w:rPr>
              <w:t>%</w:t>
            </w:r>
          </w:p>
        </w:tc>
      </w:tr>
      <w:bookmarkEnd w:id="174"/>
    </w:tbl>
    <w:p>
      <w:pPr>
        <w:spacing w:line="560" w:lineRule="exact"/>
        <w:ind w:firstLine="643" w:firstLineChars="200"/>
        <w:outlineLvl w:val="1"/>
        <w:rPr>
          <w:rStyle w:val="26"/>
          <w:rFonts w:ascii="楷体" w:hAnsi="楷体" w:eastAsia="楷体" w:cs="楷体"/>
          <w:szCs w:val="32"/>
          <w:highlight w:val="none"/>
        </w:rPr>
      </w:pPr>
      <w:r>
        <w:rPr>
          <w:rStyle w:val="26"/>
          <w:rFonts w:hint="eastAsia" w:ascii="楷体" w:hAnsi="楷体" w:eastAsia="楷体" w:cs="楷体"/>
          <w:szCs w:val="32"/>
          <w:highlight w:val="none"/>
        </w:rPr>
        <w:t>（二）</w:t>
      </w:r>
      <w:bookmarkEnd w:id="175"/>
      <w:bookmarkEnd w:id="176"/>
      <w:r>
        <w:rPr>
          <w:rStyle w:val="26"/>
          <w:rFonts w:hint="eastAsia" w:ascii="楷体" w:hAnsi="楷体" w:eastAsia="楷体" w:cs="楷体"/>
          <w:szCs w:val="32"/>
          <w:highlight w:val="none"/>
        </w:rPr>
        <w:t>绩效目标编制的合理性、明确性有待进一步提高</w:t>
      </w:r>
      <w:bookmarkEnd w:id="177"/>
      <w:bookmarkEnd w:id="178"/>
    </w:p>
    <w:p>
      <w:pPr>
        <w:spacing w:line="560" w:lineRule="exact"/>
        <w:ind w:firstLine="640" w:firstLineChars="200"/>
        <w:rPr>
          <w:rFonts w:ascii="仿宋_GB2312" w:hAnsi="仿宋_GB2312" w:eastAsia="仿宋_GB2312" w:cs="仿宋_GB2312"/>
          <w:sz w:val="32"/>
          <w:szCs w:val="32"/>
          <w:highlight w:val="none"/>
        </w:rPr>
      </w:pPr>
      <w:bookmarkStart w:id="179" w:name="_Toc17195"/>
      <w:bookmarkStart w:id="180" w:name="_Toc12328"/>
      <w:bookmarkStart w:id="181" w:name="_Toc15618"/>
      <w:r>
        <w:rPr>
          <w:rFonts w:hint="eastAsia" w:ascii="仿宋_GB2312" w:hAnsi="仿宋_GB2312" w:eastAsia="仿宋_GB2312" w:cs="仿宋_GB2312"/>
          <w:sz w:val="32"/>
          <w:szCs w:val="32"/>
          <w:highlight w:val="none"/>
        </w:rPr>
        <w:t>绩效指标是绩效目标的具体化，在项目实施的各个阶段发挥引导、考核、监督的作用。该项目绩效目标表主要存在以下问题：一是</w:t>
      </w:r>
      <w:r>
        <w:rPr>
          <w:rFonts w:hint="eastAsia" w:ascii="仿宋_GB2312" w:hAnsi="仿宋_GB2312" w:eastAsia="仿宋_GB2312" w:cs="仿宋_GB2312"/>
          <w:color w:val="auto"/>
          <w:kern w:val="2"/>
          <w:sz w:val="32"/>
          <w:szCs w:val="32"/>
          <w:highlight w:val="none"/>
          <w:lang w:val="en-US" w:eastAsia="zh-CN" w:bidi="ar-SA"/>
        </w:rPr>
        <w:t>该项目资金年初预算下达至省法院，年中下达资金至各项目单位时中、基层法院未在“甘肃省级预算绩效管理信息系统”及时申报</w:t>
      </w:r>
      <w:r>
        <w:rPr>
          <w:rFonts w:hint="eastAsia" w:ascii="仿宋_GB2312" w:hAnsi="仿宋_GB2312" w:eastAsia="仿宋_GB2312" w:cs="仿宋_GB2312"/>
          <w:kern w:val="2"/>
          <w:sz w:val="32"/>
          <w:szCs w:val="32"/>
          <w:highlight w:val="none"/>
          <w:lang w:val="en-US" w:eastAsia="zh-CN" w:bidi="ar-SA"/>
        </w:rPr>
        <w:t>绩效目标表，仅</w:t>
      </w:r>
      <w:r>
        <w:rPr>
          <w:rFonts w:hint="eastAsia" w:ascii="仿宋_GB2312" w:hAnsi="仿宋_GB2312" w:eastAsia="仿宋_GB2312" w:cs="仿宋_GB2312"/>
          <w:color w:val="auto"/>
          <w:sz w:val="32"/>
          <w:szCs w:val="32"/>
          <w:highlight w:val="none"/>
          <w:lang w:val="en-US" w:eastAsia="zh-CN"/>
        </w:rPr>
        <w:t>在资金下达时</w:t>
      </w:r>
      <w:r>
        <w:rPr>
          <w:rFonts w:hint="eastAsia" w:ascii="仿宋_GB2312" w:hAnsi="仿宋_GB2312" w:eastAsia="仿宋_GB2312" w:cs="仿宋_GB2312"/>
          <w:kern w:val="2"/>
          <w:sz w:val="32"/>
          <w:szCs w:val="32"/>
          <w:highlight w:val="none"/>
          <w:lang w:val="en-US" w:eastAsia="zh-CN" w:bidi="ar-SA"/>
        </w:rPr>
        <w:t>在“预算管理一体化系统”填报预算项目绩效表</w:t>
      </w:r>
      <w:r>
        <w:rPr>
          <w:rFonts w:hint="eastAsia" w:ascii="仿宋_GB2312" w:hAnsi="仿宋_GB2312" w:eastAsia="仿宋_GB2312" w:cs="仿宋_GB2312"/>
          <w:sz w:val="32"/>
          <w:szCs w:val="32"/>
          <w:highlight w:val="none"/>
        </w:rPr>
        <w:t>，导致项目无法进行有效监控，且部分法院绩效目标存在设置简略、表述笼统、未能涵盖项目实施主要内容及预期效益等问题，不便于考核。二是该二级项目绩效目标表个别指标绩效目标值设置</w:t>
      </w:r>
      <w:r>
        <w:rPr>
          <w:rFonts w:hint="eastAsia" w:ascii="仿宋_GB2312" w:hAnsi="仿宋_GB2312" w:eastAsia="仿宋_GB2312" w:cs="仿宋_GB2312"/>
          <w:sz w:val="32"/>
          <w:szCs w:val="32"/>
          <w:highlight w:val="none"/>
          <w:lang w:eastAsia="zh-CN"/>
        </w:rPr>
        <w:t>与</w:t>
      </w:r>
      <w:r>
        <w:rPr>
          <w:rFonts w:hint="eastAsia" w:ascii="仿宋_GB2312" w:hAnsi="仿宋_GB2312" w:eastAsia="仿宋_GB2312" w:cs="仿宋_GB2312"/>
          <w:sz w:val="32"/>
          <w:szCs w:val="32"/>
          <w:highlight w:val="none"/>
        </w:rPr>
        <w:t>预算确定的项目投资额或资金量</w:t>
      </w:r>
      <w:r>
        <w:rPr>
          <w:rFonts w:hint="eastAsia" w:ascii="仿宋_GB2312" w:hAnsi="仿宋_GB2312" w:eastAsia="仿宋_GB2312" w:cs="仿宋_GB2312"/>
          <w:sz w:val="32"/>
          <w:szCs w:val="32"/>
          <w:highlight w:val="none"/>
          <w:lang w:val="en-US" w:eastAsia="zh-CN"/>
        </w:rPr>
        <w:t>不</w:t>
      </w:r>
      <w:r>
        <w:rPr>
          <w:rFonts w:hint="eastAsia" w:ascii="仿宋_GB2312" w:hAnsi="仿宋_GB2312" w:eastAsia="仿宋_GB2312" w:cs="仿宋_GB2312"/>
          <w:sz w:val="32"/>
          <w:szCs w:val="32"/>
          <w:highlight w:val="none"/>
        </w:rPr>
        <w:t>匹配，绩效考核较难衡量、不易实现。</w:t>
      </w:r>
    </w:p>
    <w:p>
      <w:pPr>
        <w:spacing w:line="560" w:lineRule="exact"/>
        <w:ind w:firstLine="643" w:firstLineChars="200"/>
        <w:outlineLvl w:val="1"/>
        <w:rPr>
          <w:rStyle w:val="26"/>
          <w:rFonts w:ascii="楷体" w:hAnsi="楷体" w:eastAsia="楷体" w:cs="楷体"/>
          <w:szCs w:val="32"/>
          <w:highlight w:val="none"/>
        </w:rPr>
      </w:pPr>
      <w:bookmarkStart w:id="182" w:name="_Toc18906"/>
      <w:bookmarkStart w:id="183" w:name="_Toc135595327"/>
      <w:r>
        <w:rPr>
          <w:rStyle w:val="26"/>
          <w:rFonts w:hint="eastAsia" w:ascii="楷体" w:hAnsi="楷体" w:eastAsia="楷体" w:cs="楷体"/>
          <w:szCs w:val="32"/>
          <w:highlight w:val="none"/>
        </w:rPr>
        <w:t>（三）财务制度未严格执行，个别项目资金使用</w:t>
      </w:r>
      <w:r>
        <w:rPr>
          <w:rStyle w:val="26"/>
          <w:rFonts w:hint="eastAsia" w:ascii="楷体" w:hAnsi="楷体" w:eastAsia="楷体" w:cs="楷体"/>
          <w:szCs w:val="32"/>
          <w:highlight w:val="none"/>
          <w:lang w:val="en-US" w:eastAsia="zh-CN"/>
        </w:rPr>
        <w:t>有待</w:t>
      </w:r>
      <w:r>
        <w:rPr>
          <w:rStyle w:val="26"/>
          <w:rFonts w:hint="eastAsia" w:ascii="楷体" w:hAnsi="楷体" w:eastAsia="楷体" w:cs="楷体"/>
          <w:szCs w:val="32"/>
          <w:highlight w:val="none"/>
        </w:rPr>
        <w:t>规范</w:t>
      </w:r>
      <w:bookmarkEnd w:id="182"/>
      <w:bookmarkEnd w:id="183"/>
    </w:p>
    <w:p>
      <w:pPr>
        <w:pStyle w:val="2"/>
        <w:ind w:firstLine="640" w:firstLineChars="200"/>
        <w:rPr>
          <w:highlight w:val="none"/>
        </w:rPr>
      </w:pPr>
      <w:r>
        <w:rPr>
          <w:rFonts w:hint="eastAsia"/>
          <w:highlight w:val="none"/>
        </w:rPr>
        <w:t>经查看各项目实施</w:t>
      </w:r>
      <w:r>
        <w:rPr>
          <w:rFonts w:hint="eastAsia"/>
          <w:highlight w:val="none"/>
          <w:lang w:val="en-US" w:eastAsia="zh-CN"/>
        </w:rPr>
        <w:t>法院</w:t>
      </w:r>
      <w:r>
        <w:rPr>
          <w:rFonts w:hint="eastAsia"/>
          <w:highlight w:val="none"/>
        </w:rPr>
        <w:t>提供的财务</w:t>
      </w:r>
      <w:r>
        <w:rPr>
          <w:rFonts w:hint="eastAsia"/>
          <w:highlight w:val="none"/>
          <w:lang w:val="en-US" w:eastAsia="zh-CN"/>
        </w:rPr>
        <w:t>资料</w:t>
      </w:r>
      <w:r>
        <w:rPr>
          <w:rFonts w:hint="eastAsia"/>
          <w:highlight w:val="none"/>
        </w:rPr>
        <w:t>发现，会宁县人民法院法庭取暖项目、天水市麦积区人民法院麦积区法院审判法庭维修改造项目、安定区人民法院审判法庭综合楼维修改造项目</w:t>
      </w:r>
      <w:r>
        <w:rPr>
          <w:rFonts w:hint="eastAsia" w:ascii="仿宋_GB2312" w:hAnsi="仿宋_GB2312" w:cs="仿宋_GB2312"/>
          <w:highlight w:val="none"/>
        </w:rPr>
        <w:t>3</w:t>
      </w:r>
      <w:r>
        <w:rPr>
          <w:rFonts w:hint="eastAsia"/>
          <w:highlight w:val="none"/>
        </w:rPr>
        <w:t>个项目未按合同约定付款方式执行付款</w:t>
      </w:r>
      <w:r>
        <w:rPr>
          <w:rFonts w:hint="eastAsia"/>
          <w:highlight w:val="none"/>
          <w:lang w:eastAsia="zh-CN"/>
        </w:rPr>
        <w:t>，</w:t>
      </w:r>
      <w:r>
        <w:rPr>
          <w:rFonts w:hint="eastAsia" w:ascii="仿宋_GB2312" w:hAnsi="仿宋_GB2312" w:eastAsia="仿宋_GB2312" w:cs="仿宋_GB2312"/>
          <w:kern w:val="2"/>
          <w:sz w:val="32"/>
          <w:szCs w:val="32"/>
          <w:highlight w:val="none"/>
          <w:lang w:val="en-US" w:eastAsia="zh-CN" w:bidi="ar-SA"/>
        </w:rPr>
        <w:t>合同约定分批次付款，实际均在合同签订后欠付第一笔款项，项目完工后一次性支付全部合同款</w:t>
      </w:r>
      <w:r>
        <w:rPr>
          <w:rFonts w:hint="eastAsia"/>
          <w:highlight w:val="none"/>
        </w:rPr>
        <w:t>。</w:t>
      </w:r>
    </w:p>
    <w:p>
      <w:pPr>
        <w:spacing w:line="560" w:lineRule="exact"/>
        <w:ind w:firstLine="643" w:firstLineChars="200"/>
        <w:outlineLvl w:val="1"/>
        <w:rPr>
          <w:rStyle w:val="26"/>
          <w:rFonts w:ascii="楷体" w:hAnsi="楷体" w:eastAsia="楷体" w:cs="楷体"/>
          <w:szCs w:val="32"/>
          <w:highlight w:val="none"/>
        </w:rPr>
      </w:pPr>
      <w:bookmarkStart w:id="184" w:name="_Toc4129"/>
      <w:bookmarkStart w:id="185" w:name="_Toc135595328"/>
      <w:r>
        <w:rPr>
          <w:rStyle w:val="26"/>
          <w:rFonts w:hint="eastAsia" w:ascii="楷体" w:hAnsi="楷体" w:eastAsia="楷体" w:cs="楷体"/>
          <w:szCs w:val="32"/>
          <w:highlight w:val="none"/>
        </w:rPr>
        <w:t>（四）</w:t>
      </w:r>
      <w:bookmarkEnd w:id="179"/>
      <w:bookmarkEnd w:id="180"/>
      <w:r>
        <w:rPr>
          <w:rStyle w:val="26"/>
          <w:rFonts w:hint="eastAsia" w:ascii="楷体" w:hAnsi="楷体" w:eastAsia="楷体" w:cs="楷体"/>
          <w:szCs w:val="32"/>
          <w:highlight w:val="none"/>
        </w:rPr>
        <w:t>受疫情影响，部分法院项目进度滞后</w:t>
      </w:r>
      <w:bookmarkEnd w:id="184"/>
      <w:bookmarkEnd w:id="185"/>
    </w:p>
    <w:p>
      <w:pPr>
        <w:spacing w:line="560" w:lineRule="exact"/>
        <w:ind w:firstLine="640" w:firstLineChars="200"/>
        <w:rPr>
          <w:rFonts w:ascii="仿宋_GB2312" w:hAnsi="仿宋_GB2312" w:eastAsia="仿宋_GB2312" w:cs="仿宋_GB2312"/>
          <w:color w:val="000000" w:themeColor="text1"/>
          <w:sz w:val="32"/>
          <w:szCs w:val="32"/>
          <w:highlight w:val="none"/>
          <w14:textFill>
            <w14:solidFill>
              <w14:schemeClr w14:val="tx1"/>
            </w14:solidFill>
          </w14:textFill>
        </w:rPr>
      </w:pPr>
      <w:bookmarkStart w:id="186" w:name="_Toc15596"/>
      <w:bookmarkStart w:id="187" w:name="_Toc28102"/>
      <w:bookmarkStart w:id="188" w:name="_Toc13907"/>
      <w:r>
        <w:rPr>
          <w:rFonts w:hint="eastAsia" w:ascii="仿宋_GB2312" w:hAnsi="仿宋_GB2312" w:eastAsia="仿宋_GB2312" w:cs="仿宋_GB2312"/>
          <w:color w:val="000000" w:themeColor="text1"/>
          <w:sz w:val="32"/>
          <w:szCs w:val="32"/>
          <w:highlight w:val="none"/>
          <w14:textFill>
            <w14:solidFill>
              <w14:schemeClr w14:val="tx1"/>
            </w14:solidFill>
          </w14:textFill>
        </w:rPr>
        <w:t>2022年度受疫情影响，项目进度滞后。本年度共拨付全省法院人民法庭维修经费项目</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79</w:t>
      </w:r>
      <w:r>
        <w:rPr>
          <w:rFonts w:hint="eastAsia" w:ascii="仿宋_GB2312" w:hAnsi="仿宋_GB2312" w:eastAsia="仿宋_GB2312" w:cs="仿宋_GB2312"/>
          <w:color w:val="000000" w:themeColor="text1"/>
          <w:sz w:val="32"/>
          <w:szCs w:val="32"/>
          <w:highlight w:val="none"/>
          <w14:textFill>
            <w14:solidFill>
              <w14:schemeClr w14:val="tx1"/>
            </w14:solidFill>
          </w14:textFill>
        </w:rPr>
        <w:t>个，其中基层法庭取暖项目5</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7</w:t>
      </w:r>
      <w:r>
        <w:rPr>
          <w:rFonts w:hint="eastAsia" w:ascii="仿宋_GB2312" w:hAnsi="仿宋_GB2312" w:eastAsia="仿宋_GB2312" w:cs="仿宋_GB2312"/>
          <w:color w:val="000000" w:themeColor="text1"/>
          <w:sz w:val="32"/>
          <w:szCs w:val="32"/>
          <w:highlight w:val="none"/>
          <w14:textFill>
            <w14:solidFill>
              <w14:schemeClr w14:val="tx1"/>
            </w14:solidFill>
          </w14:textFill>
        </w:rPr>
        <w:t>个，截止评价基准日，共36个法庭取暖项目已完工并通过验收，9个法庭取暖项目完工待验收，11个法庭取暖项目尚未完工，1个法庭未达到取暖条件年底未开工</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全省法院人民法庭维修项目2</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highlight w:val="none"/>
          <w14:textFill>
            <w14:solidFill>
              <w14:schemeClr w14:val="tx1"/>
            </w14:solidFill>
          </w14:textFill>
        </w:rPr>
        <w:t>个，共8个项目已完工并通过验收，2个项目完工待验收，10个项目尚未完工，2个项目年底未开工。</w:t>
      </w:r>
      <w:bookmarkEnd w:id="170"/>
      <w:bookmarkEnd w:id="171"/>
      <w:bookmarkEnd w:id="181"/>
      <w:bookmarkEnd w:id="186"/>
      <w:bookmarkEnd w:id="187"/>
      <w:bookmarkEnd w:id="188"/>
    </w:p>
    <w:p>
      <w:pPr>
        <w:pStyle w:val="2"/>
        <w:spacing w:line="560" w:lineRule="exact"/>
        <w:ind w:firstLine="640" w:firstLineChars="200"/>
        <w:outlineLvl w:val="0"/>
        <w:rPr>
          <w:rFonts w:hint="eastAsia" w:ascii="黑体" w:hAnsi="黑体" w:eastAsia="黑体" w:cs="仿宋"/>
          <w:b w:val="0"/>
          <w:bCs w:val="0"/>
          <w:highlight w:val="none"/>
        </w:rPr>
      </w:pPr>
      <w:bookmarkStart w:id="189" w:name="_Toc5159"/>
      <w:bookmarkStart w:id="190" w:name="_Toc15149"/>
      <w:bookmarkStart w:id="191" w:name="_Toc20992"/>
      <w:r>
        <w:rPr>
          <w:rFonts w:hint="eastAsia" w:ascii="黑体" w:hAnsi="黑体" w:eastAsia="黑体" w:cs="仿宋"/>
          <w:b w:val="0"/>
          <w:bCs w:val="0"/>
          <w:highlight w:val="none"/>
        </w:rPr>
        <w:t>八、有关建议</w:t>
      </w:r>
      <w:bookmarkEnd w:id="189"/>
      <w:bookmarkEnd w:id="190"/>
      <w:bookmarkEnd w:id="191"/>
    </w:p>
    <w:p>
      <w:pPr>
        <w:spacing w:line="560" w:lineRule="exact"/>
        <w:ind w:firstLine="643" w:firstLineChars="200"/>
        <w:outlineLvl w:val="1"/>
        <w:rPr>
          <w:rStyle w:val="26"/>
          <w:rFonts w:hint="default" w:ascii="楷体" w:hAnsi="楷体" w:eastAsia="楷体" w:cs="楷体"/>
          <w:szCs w:val="32"/>
          <w:highlight w:val="none"/>
          <w:lang w:val="en-US" w:eastAsia="zh-CN"/>
        </w:rPr>
      </w:pPr>
      <w:bookmarkStart w:id="192" w:name="_Toc135595330"/>
      <w:bookmarkStart w:id="193" w:name="_Toc5096"/>
      <w:bookmarkStart w:id="194" w:name="_Toc29556"/>
      <w:bookmarkStart w:id="195" w:name="_Toc14595"/>
      <w:r>
        <w:rPr>
          <w:rStyle w:val="26"/>
          <w:rFonts w:hint="eastAsia" w:ascii="楷体" w:hAnsi="楷体" w:eastAsia="楷体" w:cs="楷体"/>
          <w:szCs w:val="32"/>
          <w:highlight w:val="none"/>
        </w:rPr>
        <w:t>（一）</w:t>
      </w:r>
      <w:bookmarkEnd w:id="192"/>
      <w:bookmarkEnd w:id="193"/>
      <w:bookmarkEnd w:id="194"/>
      <w:bookmarkEnd w:id="195"/>
      <w:r>
        <w:rPr>
          <w:rStyle w:val="26"/>
          <w:rFonts w:hint="eastAsia" w:ascii="楷体" w:hAnsi="楷体" w:eastAsia="楷体" w:cs="楷体"/>
          <w:szCs w:val="32"/>
          <w:highlight w:val="none"/>
          <w:lang w:val="en-US" w:eastAsia="zh-CN"/>
        </w:rPr>
        <w:t>优化项目经费安排结构，提高财政资金使用效率</w:t>
      </w:r>
    </w:p>
    <w:p>
      <w:pPr>
        <w:pStyle w:val="2"/>
        <w:spacing w:line="560" w:lineRule="exact"/>
        <w:ind w:firstLine="640" w:firstLineChars="200"/>
        <w:rPr>
          <w:rFonts w:ascii="仿宋" w:hAnsi="仿宋" w:eastAsia="仿宋" w:cs="仿宋"/>
          <w:highlight w:val="none"/>
        </w:rPr>
      </w:pPr>
      <w:r>
        <w:rPr>
          <w:rFonts w:hint="eastAsia" w:ascii="仿宋_GB2312" w:hAnsi="仿宋_GB2312" w:cs="仿宋_GB2312"/>
          <w:highlight w:val="none"/>
        </w:rPr>
        <w:t>一是</w:t>
      </w:r>
      <w:r>
        <w:rPr>
          <w:rFonts w:hint="eastAsia" w:ascii="仿宋_GB2312" w:hAnsi="仿宋_GB2312" w:cs="仿宋_GB2312"/>
          <w:highlight w:val="none"/>
          <w:lang w:val="en-US" w:eastAsia="zh-CN"/>
        </w:rPr>
        <w:t>建议</w:t>
      </w:r>
      <w:r>
        <w:rPr>
          <w:rFonts w:hint="eastAsia" w:ascii="仿宋_GB2312" w:hAnsi="仿宋_GB2312" w:cs="仿宋_GB2312"/>
          <w:highlight w:val="none"/>
        </w:rPr>
        <w:t>项目单位细化、明确各项目的计划安排</w:t>
      </w:r>
      <w:r>
        <w:rPr>
          <w:rFonts w:hint="eastAsia" w:ascii="仿宋_GB2312" w:hAnsi="仿宋_GB2312" w:cs="仿宋_GB2312"/>
          <w:highlight w:val="none"/>
          <w:lang w:eastAsia="zh-CN"/>
        </w:rPr>
        <w:t>，</w:t>
      </w:r>
      <w:r>
        <w:rPr>
          <w:rFonts w:hint="eastAsia" w:ascii="仿宋_GB2312" w:hAnsi="仿宋_GB2312" w:cs="仿宋_GB2312"/>
          <w:highlight w:val="none"/>
        </w:rPr>
        <w:t>对项目的预算以及产出、效果、效益等方面进行综合考量</w:t>
      </w:r>
      <w:r>
        <w:rPr>
          <w:rFonts w:hint="eastAsia" w:ascii="仿宋_GB2312" w:hAnsi="仿宋_GB2312" w:cs="仿宋_GB2312"/>
          <w:highlight w:val="none"/>
          <w:lang w:eastAsia="zh-CN"/>
        </w:rPr>
        <w:t>。</w:t>
      </w:r>
      <w:r>
        <w:rPr>
          <w:rFonts w:hint="eastAsia" w:ascii="仿宋_GB2312" w:hAnsi="仿宋_GB2312" w:cs="仿宋_GB2312"/>
          <w:highlight w:val="none"/>
        </w:rPr>
        <w:t>二是结合往年项目执行和结余情况展开分析研究，提高预算编制的科学性和合理性，优化项目</w:t>
      </w:r>
      <w:r>
        <w:rPr>
          <w:rFonts w:hint="eastAsia" w:ascii="仿宋_GB2312" w:hAnsi="仿宋_GB2312" w:cs="仿宋_GB2312"/>
          <w:highlight w:val="none"/>
          <w:lang w:eastAsia="zh-CN"/>
        </w:rPr>
        <w:t>经费</w:t>
      </w:r>
      <w:r>
        <w:rPr>
          <w:rFonts w:hint="eastAsia" w:ascii="仿宋_GB2312" w:hAnsi="仿宋_GB2312" w:cs="仿宋_GB2312"/>
          <w:highlight w:val="none"/>
        </w:rPr>
        <w:t>安排结构，提高财政资金使用效率。</w:t>
      </w:r>
    </w:p>
    <w:p>
      <w:pPr>
        <w:spacing w:line="560" w:lineRule="exact"/>
        <w:ind w:firstLine="643" w:firstLineChars="200"/>
        <w:outlineLvl w:val="1"/>
        <w:rPr>
          <w:rStyle w:val="26"/>
          <w:rFonts w:ascii="楷体" w:hAnsi="楷体" w:eastAsia="楷体" w:cs="楷体"/>
          <w:szCs w:val="32"/>
          <w:highlight w:val="none"/>
        </w:rPr>
      </w:pPr>
      <w:bookmarkStart w:id="196" w:name="_Toc930"/>
      <w:bookmarkStart w:id="197" w:name="_Toc135595331"/>
      <w:bookmarkStart w:id="198" w:name="_Toc26807"/>
      <w:bookmarkStart w:id="199" w:name="_Toc19966"/>
      <w:r>
        <w:rPr>
          <w:rStyle w:val="26"/>
          <w:rFonts w:hint="eastAsia" w:ascii="楷体" w:hAnsi="楷体" w:eastAsia="楷体" w:cs="楷体"/>
          <w:szCs w:val="32"/>
          <w:highlight w:val="none"/>
        </w:rPr>
        <w:t>（二）以提高资金使用效益为目标，合理设定绩效指标</w:t>
      </w:r>
      <w:bookmarkEnd w:id="196"/>
      <w:bookmarkEnd w:id="197"/>
    </w:p>
    <w:p>
      <w:pPr>
        <w:pStyle w:val="2"/>
        <w:ind w:firstLine="640" w:firstLineChars="200"/>
        <w:rPr>
          <w:rFonts w:hint="eastAsia" w:ascii="仿宋_GB2312" w:hAnsi="仿宋_GB2312" w:cs="仿宋_GB2312"/>
          <w:highlight w:val="none"/>
        </w:rPr>
      </w:pPr>
      <w:r>
        <w:rPr>
          <w:rFonts w:hint="eastAsia" w:ascii="仿宋_GB2312" w:hAnsi="仿宋_GB2312" w:cs="仿宋_GB2312"/>
          <w:highlight w:val="none"/>
        </w:rPr>
        <w:t>一是项目实施单位在编制预算时，应根据项目立项依据文件和实施方案，明确项目建设总绩效目标与分年度绩效目标，详细描述项目产出，对项目产生的效益进行科学论证分析，制定切合实际的绩效指标。二是组织开展预算绩效管理相关业务知识和技能培训，帮助项目实施单位相关的业务人员掌握编制绩效目标的原理和方法，从而提高绩效目标编制的水平和质量。三是项目单位应</w:t>
      </w:r>
      <w:r>
        <w:rPr>
          <w:rFonts w:hint="eastAsia" w:ascii="仿宋_GB2312" w:hAnsi="仿宋_GB2312" w:cs="仿宋_GB2312"/>
          <w:highlight w:val="none"/>
          <w:lang w:eastAsia="zh-CN"/>
        </w:rPr>
        <w:t>增强</w:t>
      </w:r>
      <w:r>
        <w:rPr>
          <w:rFonts w:hint="eastAsia" w:ascii="仿宋_GB2312" w:hAnsi="仿宋_GB2312" w:cs="仿宋_GB2312"/>
          <w:highlight w:val="none"/>
        </w:rPr>
        <w:t>绩效意识，增强绩效目标设定的科学性、合理性和可实现性。加强财政专项资金管理，强化支出责任，建立科学、合理的资金绩效评价管理体系，提高财政专项资金使用效益。</w:t>
      </w:r>
    </w:p>
    <w:p>
      <w:pPr>
        <w:pStyle w:val="2"/>
        <w:ind w:firstLine="643" w:firstLineChars="200"/>
        <w:rPr>
          <w:rStyle w:val="26"/>
          <w:rFonts w:hint="eastAsia" w:ascii="楷体" w:hAnsi="楷体" w:eastAsia="楷体" w:cs="楷体"/>
          <w:kern w:val="2"/>
          <w:szCs w:val="32"/>
          <w:highlight w:val="none"/>
          <w:lang w:val="en-US" w:eastAsia="zh-CN" w:bidi="ar-SA"/>
        </w:rPr>
      </w:pPr>
      <w:r>
        <w:rPr>
          <w:rStyle w:val="26"/>
          <w:rFonts w:hint="eastAsia" w:ascii="楷体" w:hAnsi="楷体" w:eastAsia="楷体" w:cs="楷体"/>
          <w:kern w:val="2"/>
          <w:szCs w:val="32"/>
          <w:highlight w:val="none"/>
          <w:lang w:val="en-US" w:eastAsia="zh-CN" w:bidi="ar-SA"/>
        </w:rPr>
        <w:t>（三）加强财务管理，严格按照合同约定付款。</w:t>
      </w:r>
    </w:p>
    <w:bookmarkEnd w:id="198"/>
    <w:bookmarkEnd w:id="199"/>
    <w:p>
      <w:pPr>
        <w:pStyle w:val="2"/>
        <w:ind w:firstLine="640" w:firstLineChars="200"/>
        <w:rPr>
          <w:rFonts w:ascii="仿宋_GB2312" w:hAnsi="仿宋_GB2312" w:cs="仿宋_GB2312"/>
          <w:highlight w:val="none"/>
        </w:rPr>
      </w:pPr>
      <w:r>
        <w:rPr>
          <w:rFonts w:hint="eastAsia" w:ascii="仿宋_GB2312" w:hAnsi="仿宋_GB2312" w:cs="仿宋_GB2312"/>
          <w:highlight w:val="none"/>
        </w:rPr>
        <w:t>项目实施单位在签订项目合同时，根据项目预计执行情况，合理地设定资金支付时间，并严格按照合同规定时间支付资金，确保资金使用的安全、合规。</w:t>
      </w:r>
    </w:p>
    <w:p>
      <w:pPr>
        <w:pStyle w:val="2"/>
        <w:spacing w:line="560" w:lineRule="exact"/>
        <w:ind w:firstLine="643" w:firstLineChars="200"/>
        <w:outlineLvl w:val="1"/>
        <w:rPr>
          <w:rStyle w:val="26"/>
          <w:rFonts w:hint="default" w:ascii="楷体" w:hAnsi="楷体" w:eastAsia="楷体" w:cs="楷体"/>
          <w:highlight w:val="none"/>
          <w:lang w:val="en-US" w:eastAsia="zh-CN"/>
        </w:rPr>
      </w:pPr>
      <w:bookmarkStart w:id="200" w:name="_Toc23669"/>
      <w:bookmarkStart w:id="201" w:name="_Toc18984"/>
      <w:bookmarkStart w:id="202" w:name="_Toc135595333"/>
      <w:r>
        <w:rPr>
          <w:rStyle w:val="26"/>
          <w:rFonts w:hint="eastAsia" w:ascii="楷体" w:hAnsi="楷体" w:eastAsia="楷体" w:cs="楷体"/>
          <w:highlight w:val="none"/>
        </w:rPr>
        <w:t>（四）注重计划实施管理，</w:t>
      </w:r>
      <w:bookmarkEnd w:id="200"/>
      <w:bookmarkEnd w:id="201"/>
      <w:bookmarkEnd w:id="202"/>
      <w:r>
        <w:rPr>
          <w:rStyle w:val="26"/>
          <w:rFonts w:hint="eastAsia" w:ascii="楷体" w:hAnsi="楷体" w:eastAsia="楷体" w:cs="楷体"/>
          <w:highlight w:val="none"/>
          <w:lang w:val="en-US" w:eastAsia="zh-CN"/>
        </w:rPr>
        <w:t>保障项目按计划实施</w:t>
      </w:r>
    </w:p>
    <w:p>
      <w:pPr>
        <w:pStyle w:val="2"/>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建议项目</w:t>
      </w:r>
      <w:r>
        <w:rPr>
          <w:rFonts w:hint="eastAsia" w:ascii="仿宋_GB2312" w:hAnsi="仿宋_GB2312" w:cs="仿宋_GB2312"/>
          <w:highlight w:val="none"/>
          <w:lang w:val="en-US" w:eastAsia="zh-CN"/>
        </w:rPr>
        <w:t>实施</w:t>
      </w:r>
      <w:r>
        <w:rPr>
          <w:rFonts w:hint="eastAsia" w:ascii="仿宋_GB2312" w:hAnsi="仿宋_GB2312" w:cs="仿宋_GB2312"/>
          <w:highlight w:val="none"/>
        </w:rPr>
        <w:t>单位加强对项目实施的时效管理，对于影响项目进度的不确定因素，</w:t>
      </w:r>
      <w:r>
        <w:rPr>
          <w:rFonts w:hint="eastAsia" w:ascii="仿宋_GB2312" w:hAnsi="仿宋_GB2312" w:cs="仿宋_GB2312"/>
          <w:highlight w:val="none"/>
          <w:lang w:val="en-US" w:eastAsia="zh-CN"/>
        </w:rPr>
        <w:t>尽快</w:t>
      </w:r>
      <w:r>
        <w:rPr>
          <w:rFonts w:hint="eastAsia" w:ascii="仿宋_GB2312" w:hAnsi="仿宋_GB2312" w:cs="仿宋_GB2312"/>
          <w:highlight w:val="none"/>
        </w:rPr>
        <w:t>采取相应的解决措施和方法，不断优化方案，从而保障项目按计划实施，避免项目启动拖延和时效缺陷。</w:t>
      </w:r>
    </w:p>
    <w:p>
      <w:pPr>
        <w:pStyle w:val="2"/>
        <w:spacing w:line="560" w:lineRule="exact"/>
        <w:ind w:firstLine="640" w:firstLineChars="200"/>
        <w:outlineLvl w:val="0"/>
        <w:rPr>
          <w:rFonts w:hint="eastAsia" w:ascii="黑体" w:hAnsi="黑体" w:eastAsia="黑体" w:cs="仿宋"/>
          <w:b w:val="0"/>
          <w:bCs w:val="0"/>
          <w:highlight w:val="none"/>
        </w:rPr>
      </w:pPr>
      <w:bookmarkStart w:id="203" w:name="_Toc5251"/>
      <w:bookmarkStart w:id="204" w:name="_Toc8653"/>
      <w:bookmarkStart w:id="205" w:name="_Toc14765"/>
      <w:r>
        <w:rPr>
          <w:rFonts w:hint="eastAsia" w:ascii="黑体" w:hAnsi="黑体" w:eastAsia="黑体" w:cs="仿宋"/>
          <w:b w:val="0"/>
          <w:bCs w:val="0"/>
          <w:highlight w:val="none"/>
        </w:rPr>
        <w:t>九、需要说明的问题</w:t>
      </w:r>
      <w:bookmarkEnd w:id="203"/>
      <w:bookmarkEnd w:id="204"/>
      <w:bookmarkEnd w:id="205"/>
    </w:p>
    <w:p>
      <w:pPr>
        <w:pStyle w:val="2"/>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无。</w:t>
      </w:r>
    </w:p>
    <w:p>
      <w:pPr>
        <w:pStyle w:val="2"/>
        <w:spacing w:line="660" w:lineRule="exact"/>
        <w:ind w:left="111" w:right="125" w:firstLine="639"/>
        <w:rPr>
          <w:rFonts w:ascii="仿宋" w:hAnsi="仿宋" w:eastAsia="仿宋" w:cs="仿宋"/>
          <w:highlight w:val="none"/>
        </w:rPr>
      </w:pPr>
      <w:r>
        <w:rPr>
          <w:rFonts w:hint="eastAsia" w:ascii="仿宋" w:hAnsi="仿宋" w:eastAsia="仿宋" w:cs="仿宋"/>
          <w:highlight w:val="none"/>
        </w:rPr>
        <w:t xml:space="preserve">                    </w:t>
      </w:r>
      <w:bookmarkStart w:id="206" w:name="_Toc28005"/>
    </w:p>
    <w:p>
      <w:pPr>
        <w:rPr>
          <w:rFonts w:ascii="仿宋" w:hAnsi="仿宋" w:eastAsia="仿宋" w:cs="仿宋"/>
          <w:highlight w:val="none"/>
        </w:rPr>
      </w:pPr>
      <w:r>
        <w:rPr>
          <w:rFonts w:hint="eastAsia" w:ascii="仿宋" w:hAnsi="仿宋" w:eastAsia="仿宋" w:cs="仿宋"/>
          <w:highlight w:val="none"/>
        </w:rPr>
        <w:br w:type="page"/>
      </w:r>
    </w:p>
    <w:p>
      <w:pPr>
        <w:pStyle w:val="2"/>
        <w:spacing w:line="560" w:lineRule="exact"/>
        <w:rPr>
          <w:rFonts w:hint="eastAsia" w:ascii="仿宋" w:hAnsi="仿宋" w:eastAsia="仿宋" w:cs="仿宋"/>
          <w:highlight w:val="none"/>
          <w:lang w:val="en-US" w:eastAsia="zh-CN"/>
        </w:rPr>
      </w:pPr>
      <w:r>
        <w:rPr>
          <w:rFonts w:hint="eastAsia" w:ascii="仿宋" w:hAnsi="仿宋" w:eastAsia="仿宋" w:cs="仿宋"/>
          <w:highlight w:val="none"/>
          <w:lang w:val="en-US" w:eastAsia="zh-CN"/>
        </w:rPr>
        <w:t>（本页无正文）</w:t>
      </w:r>
    </w:p>
    <w:p>
      <w:pPr>
        <w:pStyle w:val="2"/>
        <w:spacing w:line="560" w:lineRule="exact"/>
        <w:rPr>
          <w:rFonts w:ascii="仿宋" w:hAnsi="仿宋" w:eastAsia="仿宋" w:cs="仿宋"/>
          <w:highlight w:val="none"/>
        </w:rPr>
      </w:pPr>
      <w:r>
        <w:rPr>
          <w:rFonts w:hint="eastAsia" w:ascii="仿宋" w:hAnsi="仿宋" w:eastAsia="仿宋" w:cs="仿宋"/>
          <w:highlight w:val="none"/>
          <w:lang w:val="en-US" w:eastAsia="zh-CN"/>
        </w:rPr>
        <w:t>附表：</w:t>
      </w:r>
      <w:r>
        <w:rPr>
          <w:rFonts w:hint="eastAsia" w:ascii="仿宋" w:hAnsi="仿宋" w:eastAsia="仿宋" w:cs="仿宋"/>
          <w:highlight w:val="none"/>
        </w:rPr>
        <w:t>1.</w:t>
      </w:r>
      <w:bookmarkEnd w:id="206"/>
      <w:r>
        <w:rPr>
          <w:rFonts w:hint="eastAsia" w:ascii="仿宋" w:hAnsi="仿宋" w:eastAsia="仿宋" w:cs="仿宋"/>
          <w:highlight w:val="none"/>
        </w:rPr>
        <w:t>全省法院人民法庭维修经费项目支出绩效评价评分表</w:t>
      </w:r>
    </w:p>
    <w:p>
      <w:pPr>
        <w:pStyle w:val="2"/>
        <w:spacing w:line="560" w:lineRule="exact"/>
        <w:ind w:firstLine="960" w:firstLineChars="300"/>
        <w:jc w:val="left"/>
        <w:rPr>
          <w:rFonts w:ascii="仿宋" w:hAnsi="仿宋" w:eastAsia="仿宋" w:cs="仿宋"/>
          <w:highlight w:val="none"/>
        </w:rPr>
      </w:pPr>
      <w:bookmarkStart w:id="207" w:name="_Toc15958"/>
      <w:r>
        <w:rPr>
          <w:rFonts w:hint="eastAsia" w:ascii="仿宋" w:hAnsi="仿宋" w:eastAsia="仿宋" w:cs="仿宋"/>
          <w:highlight w:val="none"/>
        </w:rPr>
        <w:t>2.全省法院人民法庭维修经费项目问题清单</w:t>
      </w:r>
    </w:p>
    <w:bookmarkEnd w:id="207"/>
    <w:p>
      <w:pPr>
        <w:rPr>
          <w:rFonts w:ascii="仿宋" w:hAnsi="仿宋" w:eastAsia="仿宋" w:cs="仿宋"/>
          <w:sz w:val="32"/>
          <w:szCs w:val="32"/>
          <w:highlight w:val="none"/>
        </w:rPr>
      </w:pPr>
    </w:p>
    <w:p>
      <w:pPr>
        <w:pStyle w:val="12"/>
        <w:rPr>
          <w:rFonts w:ascii="仿宋" w:hAnsi="仿宋" w:eastAsia="仿宋" w:cs="仿宋"/>
          <w:sz w:val="32"/>
          <w:szCs w:val="32"/>
          <w:highlight w:val="none"/>
        </w:rPr>
      </w:pPr>
    </w:p>
    <w:p>
      <w:pPr>
        <w:pStyle w:val="12"/>
        <w:rPr>
          <w:rFonts w:ascii="仿宋" w:hAnsi="仿宋" w:eastAsia="仿宋" w:cs="仿宋"/>
          <w:sz w:val="32"/>
          <w:szCs w:val="32"/>
          <w:highlight w:val="none"/>
        </w:rPr>
      </w:pPr>
    </w:p>
    <w:p>
      <w:pPr>
        <w:pStyle w:val="12"/>
        <w:rPr>
          <w:rFonts w:ascii="仿宋" w:hAnsi="仿宋" w:eastAsia="仿宋" w:cs="仿宋"/>
          <w:sz w:val="32"/>
          <w:szCs w:val="32"/>
          <w:highlight w:val="none"/>
        </w:rPr>
      </w:pPr>
    </w:p>
    <w:p>
      <w:pPr>
        <w:pStyle w:val="12"/>
        <w:rPr>
          <w:rFonts w:ascii="仿宋" w:hAnsi="仿宋" w:eastAsia="仿宋" w:cs="仿宋"/>
          <w:sz w:val="32"/>
          <w:szCs w:val="32"/>
          <w:highlight w:val="none"/>
        </w:rPr>
      </w:pPr>
    </w:p>
    <w:p>
      <w:pPr>
        <w:pStyle w:val="12"/>
        <w:rPr>
          <w:rFonts w:ascii="仿宋" w:hAnsi="仿宋" w:eastAsia="仿宋" w:cs="仿宋"/>
          <w:sz w:val="32"/>
          <w:szCs w:val="32"/>
          <w:highlight w:val="none"/>
        </w:rPr>
      </w:pPr>
    </w:p>
    <w:p>
      <w:pPr>
        <w:pStyle w:val="12"/>
        <w:rPr>
          <w:rFonts w:ascii="仿宋" w:hAnsi="仿宋" w:eastAsia="仿宋" w:cs="仿宋"/>
          <w:sz w:val="32"/>
          <w:szCs w:val="32"/>
          <w:highlight w:val="none"/>
        </w:rPr>
      </w:pPr>
    </w:p>
    <w:p>
      <w:pPr>
        <w:pStyle w:val="12"/>
        <w:rPr>
          <w:rFonts w:ascii="仿宋" w:hAnsi="仿宋" w:eastAsia="仿宋" w:cs="仿宋"/>
          <w:sz w:val="32"/>
          <w:szCs w:val="32"/>
          <w:highlight w:val="none"/>
        </w:rPr>
      </w:pPr>
      <w:r>
        <w:rPr>
          <w:rFonts w:hint="eastAsia" w:ascii="仿宋" w:hAnsi="仿宋" w:eastAsia="仿宋" w:cs="仿宋"/>
          <w:sz w:val="32"/>
          <w:szCs w:val="32"/>
          <w:highlight w:val="none"/>
        </w:rPr>
        <w:t xml:space="preserve">                           甘肃卓诚财务咨询有限公司</w:t>
      </w:r>
    </w:p>
    <w:p>
      <w:pPr>
        <w:pStyle w:val="12"/>
        <w:rPr>
          <w:rFonts w:ascii="仿宋" w:hAnsi="仿宋" w:eastAsia="仿宋" w:cs="仿宋"/>
          <w:sz w:val="32"/>
          <w:szCs w:val="32"/>
          <w:highlight w:val="none"/>
        </w:rPr>
      </w:pPr>
      <w:r>
        <w:rPr>
          <w:rFonts w:hint="eastAsia" w:ascii="仿宋" w:hAnsi="仿宋" w:eastAsia="仿宋" w:cs="仿宋"/>
          <w:sz w:val="32"/>
          <w:szCs w:val="32"/>
          <w:highlight w:val="none"/>
        </w:rPr>
        <w:t xml:space="preserve">                                     </w:t>
      </w:r>
    </w:p>
    <w:p>
      <w:pPr>
        <w:pStyle w:val="12"/>
        <w:ind w:firstLine="5120" w:firstLineChars="1600"/>
        <w:rPr>
          <w:rFonts w:ascii="仿宋" w:hAnsi="仿宋" w:eastAsia="仿宋" w:cs="仿宋"/>
          <w:sz w:val="32"/>
          <w:szCs w:val="32"/>
          <w:highlight w:val="none"/>
        </w:rPr>
      </w:pPr>
      <w:r>
        <w:rPr>
          <w:rFonts w:hint="eastAsia" w:ascii="仿宋" w:hAnsi="仿宋" w:eastAsia="仿宋" w:cs="仿宋"/>
          <w:sz w:val="32"/>
          <w:szCs w:val="32"/>
          <w:highlight w:val="none"/>
        </w:rPr>
        <w:t>2023年5月2</w:t>
      </w:r>
      <w:r>
        <w:rPr>
          <w:rFonts w:hint="eastAsia" w:ascii="仿宋" w:hAnsi="仿宋" w:eastAsia="仿宋" w:cs="仿宋"/>
          <w:sz w:val="32"/>
          <w:szCs w:val="32"/>
          <w:highlight w:val="none"/>
          <w:lang w:val="en-US" w:eastAsia="zh-CN"/>
        </w:rPr>
        <w:t>9</w:t>
      </w:r>
      <w:r>
        <w:rPr>
          <w:rFonts w:hint="eastAsia" w:ascii="仿宋" w:hAnsi="仿宋" w:eastAsia="仿宋" w:cs="仿宋"/>
          <w:sz w:val="32"/>
          <w:szCs w:val="32"/>
          <w:highlight w:val="none"/>
        </w:rPr>
        <w:t>日</w:t>
      </w: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60FE916-68EC-496D-806D-4E4947E0EFE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D6998278-BC31-4717-AC70-DF5C323D8F49}"/>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embedRegular r:id="rId3" w:fontKey="{418125D8-A933-4566-AC12-4677D914E29A}"/>
  </w:font>
  <w:font w:name="方正小标宋简体">
    <w:panose1 w:val="02010601030101010101"/>
    <w:charset w:val="86"/>
    <w:family w:val="script"/>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embedRegular r:id="rId4" w:fontKey="{EFE5E70E-6A7A-4858-83E6-A5565A858CF7}"/>
  </w:font>
  <w:font w:name="楷体">
    <w:panose1 w:val="02010609060101010101"/>
    <w:charset w:val="86"/>
    <w:family w:val="modern"/>
    <w:pitch w:val="default"/>
    <w:sig w:usb0="800002BF" w:usb1="38CF7CFA" w:usb2="00000016" w:usb3="00000000" w:csb0="00040001" w:csb1="00000000"/>
    <w:embedRegular r:id="rId5" w:fontKey="{9B857142-BE01-4B9A-A248-C4578EDD523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idowControl w:val="0"/>
      <w:pBdr>
        <w:top w:val="single" w:color="auto" w:sz="4" w:space="1"/>
        <w:left w:val="none" w:color="auto" w:sz="0" w:space="4"/>
        <w:bottom w:val="none" w:color="auto" w:sz="0" w:space="1"/>
        <w:right w:val="none" w:color="auto" w:sz="0" w:space="4"/>
        <w:between w:val="none" w:color="auto" w:sz="0" w:space="0"/>
      </w:pBdr>
      <w:snapToGrid w:val="0"/>
      <w:spacing w:line="360" w:lineRule="auto"/>
      <w:ind w:firstLine="0" w:firstLineChars="0"/>
      <w:jc w:val="center"/>
    </w:pPr>
    <w:r>
      <w:rPr>
        <w:rFonts w:hint="eastAsia" w:ascii="黑体" w:hAnsi="黑体" w:eastAsia="黑体" w:cs="黑体"/>
        <w:b w:val="0"/>
        <w:bCs w:val="0"/>
      </w:rPr>
      <w:t>地址：甘肃省兰州市城关区</w:t>
    </w:r>
    <w:r>
      <w:rPr>
        <w:rFonts w:hint="eastAsia" w:ascii="黑体" w:hAnsi="黑体" w:eastAsia="黑体" w:cs="黑体"/>
        <w:b w:val="0"/>
        <w:bCs w:val="0"/>
        <w:lang w:val="en-US" w:eastAsia="zh-CN"/>
      </w:rPr>
      <w:t>南滨河</w:t>
    </w:r>
    <w:r>
      <w:rPr>
        <w:rFonts w:hint="eastAsia" w:ascii="黑体" w:hAnsi="黑体" w:eastAsia="黑体" w:cs="黑体"/>
        <w:b w:val="0"/>
        <w:bCs w:val="0"/>
      </w:rPr>
      <w:t>东路</w:t>
    </w:r>
    <w:r>
      <w:rPr>
        <w:rFonts w:hint="eastAsia" w:ascii="黑体" w:hAnsi="黑体" w:eastAsia="黑体" w:cs="黑体"/>
        <w:b w:val="0"/>
        <w:bCs w:val="0"/>
        <w:lang w:val="en-US" w:eastAsia="zh-CN"/>
      </w:rPr>
      <w:t>5148</w:t>
    </w:r>
    <w:r>
      <w:rPr>
        <w:rFonts w:hint="eastAsia" w:ascii="黑体" w:hAnsi="黑体" w:eastAsia="黑体" w:cs="黑体"/>
        <w:b w:val="0"/>
        <w:bCs w:val="0"/>
      </w:rPr>
      <w:t>号</w:t>
    </w:r>
    <w:r>
      <w:rPr>
        <w:rFonts w:hint="eastAsia" w:ascii="黑体" w:hAnsi="黑体" w:eastAsia="黑体" w:cs="黑体"/>
        <w:b w:val="0"/>
        <w:bCs w:val="0"/>
        <w:lang w:val="en-US" w:eastAsia="zh-CN"/>
      </w:rPr>
      <w:t>名城广场1栋1单元20</w:t>
    </w:r>
    <w:r>
      <w:rPr>
        <w:rFonts w:hint="eastAsia" w:ascii="黑体" w:hAnsi="黑体" w:eastAsia="黑体" w:cs="黑体"/>
        <w:b w:val="0"/>
        <w:bCs w:val="0"/>
      </w:rPr>
      <w:t>层</w:t>
    </w:r>
    <w:r>
      <w:rPr>
        <w:rFonts w:hint="eastAsia" w:ascii="黑体" w:hAnsi="黑体" w:eastAsia="黑体" w:cs="黑体"/>
        <w:b w:val="0"/>
        <w:bCs w:val="0"/>
        <w:lang w:val="en-US" w:eastAsia="zh-CN"/>
      </w:rPr>
      <w:t>2016室</w:t>
    </w:r>
    <w:r>
      <w:rPr>
        <w:rFonts w:hint="eastAsia" w:ascii="黑体" w:hAnsi="黑体" w:eastAsia="黑体" w:cs="黑体"/>
        <w:b w:val="0"/>
        <w:bCs w:val="0"/>
      </w:rPr>
      <w:t xml:space="preserve">    </w:t>
    </w:r>
    <w:r>
      <w:rPr>
        <w:rFonts w:hint="eastAsia" w:ascii="黑体" w:hAnsi="黑体" w:eastAsia="黑体" w:cs="黑体"/>
        <w:b w:val="0"/>
        <w:bCs w:val="0"/>
        <w:lang w:val="en-US" w:eastAsia="zh-CN"/>
      </w:rPr>
      <w:t xml:space="preserve">   </w:t>
    </w:r>
    <w:r>
      <w:rPr>
        <w:rFonts w:hint="eastAsia" w:ascii="黑体" w:hAnsi="黑体" w:eastAsia="黑体" w:cs="黑体"/>
        <w:b w:val="0"/>
        <w:bCs w:val="0"/>
      </w:rPr>
      <w:t>电话：0931-2906259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p>
    <w:pPr>
      <w:pStyle w:val="3"/>
      <w:widowControl w:val="0"/>
      <w:pBdr>
        <w:top w:val="single" w:color="auto" w:sz="4" w:space="1"/>
        <w:left w:val="none" w:color="auto" w:sz="0" w:space="4"/>
        <w:bottom w:val="none" w:color="auto" w:sz="0" w:space="1"/>
        <w:right w:val="none" w:color="auto" w:sz="0" w:space="4"/>
        <w:between w:val="none" w:color="auto" w:sz="0" w:space="0"/>
      </w:pBdr>
      <w:snapToGrid w:val="0"/>
      <w:spacing w:line="360" w:lineRule="auto"/>
      <w:ind w:firstLine="0" w:firstLineChars="0"/>
      <w:jc w:val="center"/>
    </w:pPr>
    <w:r>
      <w:rPr>
        <w:sz w:val="18"/>
      </w:rPr>
      <mc:AlternateContent>
        <mc:Choice Requires="wps">
          <w:drawing>
            <wp:anchor distT="0" distB="0" distL="114300" distR="114300" simplePos="0" relativeHeight="251659264" behindDoc="0" locked="0" layoutInCell="1" allowOverlap="1">
              <wp:simplePos x="0" y="0"/>
              <wp:positionH relativeFrom="margin">
                <wp:posOffset>2611755</wp:posOffset>
              </wp:positionH>
              <wp:positionV relativeFrom="paragraph">
                <wp:posOffset>191135</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05.65pt;margin-top:15.05pt;height:144pt;width:144pt;mso-position-horizontal-relative:margin;mso-wrap-style:none;z-index:251659264;mso-width-relative:page;mso-height-relative:page;" filled="f" stroked="f" coordsize="21600,21600" o:gfxdata="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yexP3WAAAACgEAAA8AAAAAAAAAAQAgAAAAIgAAAGRycy9kb3ducmV2LnhtbFBL&#10;AQIUABQAAAAIAIdO4kDrADh6MQIAAGMEAAAOAAAAAAAAAAEAIAAAACUBAABkcnMvZTJvRG9jLnht&#10;bFBLBQYAAAAABgAGAFkBAADI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ascii="黑体" w:hAnsi="黑体" w:eastAsia="黑体" w:cs="黑体"/>
        <w:b w:val="0"/>
        <w:bCs w:val="0"/>
      </w:rPr>
      <w:t>地址：甘肃省兰州市城关区</w:t>
    </w:r>
    <w:r>
      <w:rPr>
        <w:rFonts w:hint="eastAsia" w:ascii="黑体" w:hAnsi="黑体" w:eastAsia="黑体" w:cs="黑体"/>
        <w:b w:val="0"/>
        <w:bCs w:val="0"/>
        <w:lang w:val="en-US" w:eastAsia="zh-CN"/>
      </w:rPr>
      <w:t>南滨河</w:t>
    </w:r>
    <w:r>
      <w:rPr>
        <w:rFonts w:hint="eastAsia" w:ascii="黑体" w:hAnsi="黑体" w:eastAsia="黑体" w:cs="黑体"/>
        <w:b w:val="0"/>
        <w:bCs w:val="0"/>
      </w:rPr>
      <w:t>东路</w:t>
    </w:r>
    <w:r>
      <w:rPr>
        <w:rFonts w:hint="eastAsia" w:ascii="黑体" w:hAnsi="黑体" w:eastAsia="黑体" w:cs="黑体"/>
        <w:b w:val="0"/>
        <w:bCs w:val="0"/>
        <w:lang w:val="en-US" w:eastAsia="zh-CN"/>
      </w:rPr>
      <w:t>5148</w:t>
    </w:r>
    <w:r>
      <w:rPr>
        <w:rFonts w:hint="eastAsia" w:ascii="黑体" w:hAnsi="黑体" w:eastAsia="黑体" w:cs="黑体"/>
        <w:b w:val="0"/>
        <w:bCs w:val="0"/>
      </w:rPr>
      <w:t>号</w:t>
    </w:r>
    <w:r>
      <w:rPr>
        <w:rFonts w:hint="eastAsia" w:ascii="黑体" w:hAnsi="黑体" w:eastAsia="黑体" w:cs="黑体"/>
        <w:b w:val="0"/>
        <w:bCs w:val="0"/>
        <w:lang w:val="en-US" w:eastAsia="zh-CN"/>
      </w:rPr>
      <w:t>名城广场1栋1单元20</w:t>
    </w:r>
    <w:r>
      <w:rPr>
        <w:rFonts w:hint="eastAsia" w:ascii="黑体" w:hAnsi="黑体" w:eastAsia="黑体" w:cs="黑体"/>
        <w:b w:val="0"/>
        <w:bCs w:val="0"/>
      </w:rPr>
      <w:t>层</w:t>
    </w:r>
    <w:r>
      <w:rPr>
        <w:rFonts w:hint="eastAsia" w:ascii="黑体" w:hAnsi="黑体" w:eastAsia="黑体" w:cs="黑体"/>
        <w:b w:val="0"/>
        <w:bCs w:val="0"/>
        <w:lang w:val="en-US" w:eastAsia="zh-CN"/>
      </w:rPr>
      <w:t>2016室</w:t>
    </w:r>
    <w:r>
      <w:rPr>
        <w:rFonts w:hint="eastAsia" w:ascii="黑体" w:hAnsi="黑体" w:eastAsia="黑体" w:cs="黑体"/>
        <w:b w:val="0"/>
        <w:bCs w:val="0"/>
      </w:rPr>
      <w:t xml:space="preserve">    </w:t>
    </w:r>
    <w:r>
      <w:rPr>
        <w:rFonts w:hint="eastAsia" w:ascii="黑体" w:hAnsi="黑体" w:eastAsia="黑体" w:cs="黑体"/>
        <w:b w:val="0"/>
        <w:bCs w:val="0"/>
        <w:lang w:val="en-US" w:eastAsia="zh-CN"/>
      </w:rPr>
      <w:t xml:space="preserve">   </w:t>
    </w:r>
    <w:r>
      <w:rPr>
        <w:rFonts w:hint="eastAsia" w:ascii="黑体" w:hAnsi="黑体" w:eastAsia="黑体" w:cs="黑体"/>
        <w:b w:val="0"/>
        <w:bCs w:val="0"/>
      </w:rPr>
      <w:t>电话：0931-2906259</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ind w:firstLine="0" w:firstLineChars="0"/>
      <w:jc w:val="both"/>
    </w:pPr>
    <w:r>
      <w:rPr>
        <w:rFonts w:ascii="仿宋" w:hAnsi="仿宋" w:eastAsia="仿宋" w:cs="仿宋"/>
        <w:b/>
        <w:color w:val="000000" w:themeColor="text1"/>
        <w:u w:val="single"/>
        <w14:textFill>
          <w14:solidFill>
            <w14:schemeClr w14:val="tx1"/>
          </w14:solidFill>
        </w14:textFill>
      </w:rPr>
      <w:drawing>
        <wp:inline distT="0" distB="0" distL="114300" distR="114300">
          <wp:extent cx="407035" cy="348615"/>
          <wp:effectExtent l="0" t="0" r="12065" b="6985"/>
          <wp:docPr id="10" name="图片 10" descr="IMG_1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IMG_1868"/>
                  <pic:cNvPicPr>
                    <a:picLocks noChangeAspect="1"/>
                  </pic:cNvPicPr>
                </pic:nvPicPr>
                <pic:blipFill>
                  <a:blip r:embed="rId1"/>
                  <a:stretch>
                    <a:fillRect/>
                  </a:stretch>
                </pic:blipFill>
                <pic:spPr>
                  <a:xfrm>
                    <a:off x="0" y="0"/>
                    <a:ext cx="407035" cy="348615"/>
                  </a:xfrm>
                  <a:prstGeom prst="rect">
                    <a:avLst/>
                  </a:prstGeom>
                  <a:noFill/>
                  <a:ln>
                    <a:noFill/>
                  </a:ln>
                </pic:spPr>
              </pic:pic>
            </a:graphicData>
          </a:graphic>
        </wp:inline>
      </w:drawing>
    </w:r>
    <w:r>
      <w:rPr>
        <w:rFonts w:hint="eastAsia" w:ascii="仿宋" w:hAnsi="仿宋" w:eastAsia="仿宋" w:cs="仿宋"/>
        <w:b/>
        <w:color w:val="000000" w:themeColor="text1"/>
        <w:u w:val="single"/>
        <w14:textFill>
          <w14:solidFill>
            <w14:schemeClr w14:val="tx1"/>
          </w14:solidFill>
        </w14:textFill>
      </w:rPr>
      <w:t xml:space="preserve">  </w:t>
    </w:r>
    <w:r>
      <w:rPr>
        <w:rFonts w:hint="eastAsia" w:ascii="仿宋" w:hAnsi="仿宋" w:eastAsia="仿宋" w:cs="仿宋"/>
        <w:b/>
        <w:color w:val="000000" w:themeColor="text1"/>
        <w:u w:val="single"/>
        <w:lang w:val="en-US" w:eastAsia="zh-CN"/>
        <w14:textFill>
          <w14:solidFill>
            <w14:schemeClr w14:val="tx1"/>
          </w14:solidFill>
        </w14:textFill>
      </w:rPr>
      <w:t xml:space="preserve">                                                                      </w:t>
    </w:r>
    <w:r>
      <w:rPr>
        <w:rFonts w:hint="eastAsia" w:ascii="仿宋_GB2312" w:hAnsi="仿宋_GB2312" w:eastAsia="仿宋_GB2312" w:cs="仿宋_GB2312"/>
        <w:b/>
        <w:color w:val="000000" w:themeColor="text1"/>
        <w:u w:val="single"/>
        <w:lang w:val="en-US" w:eastAsia="zh-CN"/>
        <w14:textFill>
          <w14:solidFill>
            <w14:schemeClr w14:val="tx1"/>
          </w14:solidFill>
        </w14:textFill>
      </w:rPr>
      <w:t>绩效评价报告</w:t>
    </w:r>
  </w:p>
  <w:p>
    <w:pPr>
      <w:pStyle w:val="12"/>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VlYmY1MTgwOGU5Yjc1ZjhiNGE5NWFhODQxN2YyNjIifQ=="/>
  </w:docVars>
  <w:rsids>
    <w:rsidRoot w:val="0F9473FE"/>
    <w:rsid w:val="0000216A"/>
    <w:rsid w:val="00037090"/>
    <w:rsid w:val="00046BCA"/>
    <w:rsid w:val="00051C05"/>
    <w:rsid w:val="00064326"/>
    <w:rsid w:val="000643BA"/>
    <w:rsid w:val="000753A4"/>
    <w:rsid w:val="000A4E2C"/>
    <w:rsid w:val="000C1B1E"/>
    <w:rsid w:val="000F2060"/>
    <w:rsid w:val="000F34E0"/>
    <w:rsid w:val="00100C77"/>
    <w:rsid w:val="001104A4"/>
    <w:rsid w:val="001105B7"/>
    <w:rsid w:val="00112EEC"/>
    <w:rsid w:val="001318C8"/>
    <w:rsid w:val="00137C9D"/>
    <w:rsid w:val="00140940"/>
    <w:rsid w:val="0014363A"/>
    <w:rsid w:val="001531B6"/>
    <w:rsid w:val="0015398F"/>
    <w:rsid w:val="00170334"/>
    <w:rsid w:val="00172CD5"/>
    <w:rsid w:val="00172DFF"/>
    <w:rsid w:val="001B6342"/>
    <w:rsid w:val="00203DC9"/>
    <w:rsid w:val="00232042"/>
    <w:rsid w:val="002324DF"/>
    <w:rsid w:val="00246D16"/>
    <w:rsid w:val="002555FD"/>
    <w:rsid w:val="00256EBC"/>
    <w:rsid w:val="00267454"/>
    <w:rsid w:val="002967A9"/>
    <w:rsid w:val="00296D38"/>
    <w:rsid w:val="002A7299"/>
    <w:rsid w:val="002D1330"/>
    <w:rsid w:val="002D53B3"/>
    <w:rsid w:val="002D789A"/>
    <w:rsid w:val="002D79DD"/>
    <w:rsid w:val="002E3891"/>
    <w:rsid w:val="002E6422"/>
    <w:rsid w:val="002F33E7"/>
    <w:rsid w:val="00307F85"/>
    <w:rsid w:val="0031439E"/>
    <w:rsid w:val="00351E08"/>
    <w:rsid w:val="00355885"/>
    <w:rsid w:val="00355CF4"/>
    <w:rsid w:val="003631E5"/>
    <w:rsid w:val="00363DA7"/>
    <w:rsid w:val="0036744F"/>
    <w:rsid w:val="00375AD2"/>
    <w:rsid w:val="0038540D"/>
    <w:rsid w:val="003947F2"/>
    <w:rsid w:val="00395522"/>
    <w:rsid w:val="00395F53"/>
    <w:rsid w:val="003B223D"/>
    <w:rsid w:val="003B748F"/>
    <w:rsid w:val="003C0E0C"/>
    <w:rsid w:val="003D5C85"/>
    <w:rsid w:val="003F7310"/>
    <w:rsid w:val="003F742B"/>
    <w:rsid w:val="004001D5"/>
    <w:rsid w:val="00416B2C"/>
    <w:rsid w:val="00423018"/>
    <w:rsid w:val="00427FB9"/>
    <w:rsid w:val="00433725"/>
    <w:rsid w:val="004349C8"/>
    <w:rsid w:val="00436D4B"/>
    <w:rsid w:val="00440370"/>
    <w:rsid w:val="004617FB"/>
    <w:rsid w:val="004718C0"/>
    <w:rsid w:val="004731A6"/>
    <w:rsid w:val="00476AA1"/>
    <w:rsid w:val="0048717A"/>
    <w:rsid w:val="004C148D"/>
    <w:rsid w:val="004C24F5"/>
    <w:rsid w:val="004D25FD"/>
    <w:rsid w:val="004E55D3"/>
    <w:rsid w:val="004F1576"/>
    <w:rsid w:val="005004FB"/>
    <w:rsid w:val="005035F7"/>
    <w:rsid w:val="00504267"/>
    <w:rsid w:val="005047DE"/>
    <w:rsid w:val="00514103"/>
    <w:rsid w:val="00515E36"/>
    <w:rsid w:val="0053373A"/>
    <w:rsid w:val="00533BBE"/>
    <w:rsid w:val="005344A8"/>
    <w:rsid w:val="00536626"/>
    <w:rsid w:val="005530FC"/>
    <w:rsid w:val="00572A18"/>
    <w:rsid w:val="005862D0"/>
    <w:rsid w:val="00597E41"/>
    <w:rsid w:val="005B0FE6"/>
    <w:rsid w:val="005C019D"/>
    <w:rsid w:val="005C09A6"/>
    <w:rsid w:val="005C259C"/>
    <w:rsid w:val="005D164E"/>
    <w:rsid w:val="005E347C"/>
    <w:rsid w:val="005F3E31"/>
    <w:rsid w:val="0061647A"/>
    <w:rsid w:val="00620CB8"/>
    <w:rsid w:val="006303E4"/>
    <w:rsid w:val="00631C33"/>
    <w:rsid w:val="00637972"/>
    <w:rsid w:val="00641904"/>
    <w:rsid w:val="0064468F"/>
    <w:rsid w:val="0065294B"/>
    <w:rsid w:val="006704C2"/>
    <w:rsid w:val="00684C32"/>
    <w:rsid w:val="006A1158"/>
    <w:rsid w:val="006A4011"/>
    <w:rsid w:val="006A471F"/>
    <w:rsid w:val="006A5198"/>
    <w:rsid w:val="006A6FA3"/>
    <w:rsid w:val="006B6EB9"/>
    <w:rsid w:val="006C0F31"/>
    <w:rsid w:val="006C55BC"/>
    <w:rsid w:val="006C56EC"/>
    <w:rsid w:val="006C5913"/>
    <w:rsid w:val="006E2763"/>
    <w:rsid w:val="006F74A7"/>
    <w:rsid w:val="0070777E"/>
    <w:rsid w:val="00736A39"/>
    <w:rsid w:val="007406DE"/>
    <w:rsid w:val="00742474"/>
    <w:rsid w:val="007433B6"/>
    <w:rsid w:val="0074366E"/>
    <w:rsid w:val="00746793"/>
    <w:rsid w:val="00760A33"/>
    <w:rsid w:val="0077156E"/>
    <w:rsid w:val="007777B8"/>
    <w:rsid w:val="007805A7"/>
    <w:rsid w:val="007900CD"/>
    <w:rsid w:val="0079033E"/>
    <w:rsid w:val="007A100D"/>
    <w:rsid w:val="007C2CDD"/>
    <w:rsid w:val="007C7458"/>
    <w:rsid w:val="007D441F"/>
    <w:rsid w:val="007E3DA4"/>
    <w:rsid w:val="0080585C"/>
    <w:rsid w:val="00822FBE"/>
    <w:rsid w:val="00831664"/>
    <w:rsid w:val="00832BAA"/>
    <w:rsid w:val="008373D0"/>
    <w:rsid w:val="00843CDD"/>
    <w:rsid w:val="00852BC1"/>
    <w:rsid w:val="00866593"/>
    <w:rsid w:val="00867C57"/>
    <w:rsid w:val="00871FEC"/>
    <w:rsid w:val="008847BB"/>
    <w:rsid w:val="00885368"/>
    <w:rsid w:val="008954E9"/>
    <w:rsid w:val="008A4C06"/>
    <w:rsid w:val="008C1FAF"/>
    <w:rsid w:val="008C37C5"/>
    <w:rsid w:val="008C5384"/>
    <w:rsid w:val="008C7D70"/>
    <w:rsid w:val="008D2AEF"/>
    <w:rsid w:val="008D6707"/>
    <w:rsid w:val="008E68A7"/>
    <w:rsid w:val="008F3CDC"/>
    <w:rsid w:val="0092595D"/>
    <w:rsid w:val="00951D57"/>
    <w:rsid w:val="009522FA"/>
    <w:rsid w:val="00952A97"/>
    <w:rsid w:val="009532AE"/>
    <w:rsid w:val="009556AA"/>
    <w:rsid w:val="00962C53"/>
    <w:rsid w:val="00984208"/>
    <w:rsid w:val="009A5F10"/>
    <w:rsid w:val="009C488C"/>
    <w:rsid w:val="009C7579"/>
    <w:rsid w:val="00A0647F"/>
    <w:rsid w:val="00A130AA"/>
    <w:rsid w:val="00A4749D"/>
    <w:rsid w:val="00A50ACF"/>
    <w:rsid w:val="00A65C51"/>
    <w:rsid w:val="00A779D6"/>
    <w:rsid w:val="00A94859"/>
    <w:rsid w:val="00A95371"/>
    <w:rsid w:val="00AA7F7A"/>
    <w:rsid w:val="00AE6EF7"/>
    <w:rsid w:val="00AF3AD7"/>
    <w:rsid w:val="00B07904"/>
    <w:rsid w:val="00B07C4B"/>
    <w:rsid w:val="00B14C20"/>
    <w:rsid w:val="00B2231F"/>
    <w:rsid w:val="00B31FF4"/>
    <w:rsid w:val="00B570AE"/>
    <w:rsid w:val="00B61F9A"/>
    <w:rsid w:val="00B77331"/>
    <w:rsid w:val="00B9317B"/>
    <w:rsid w:val="00B95E7C"/>
    <w:rsid w:val="00BC1290"/>
    <w:rsid w:val="00BD3CCA"/>
    <w:rsid w:val="00BD632C"/>
    <w:rsid w:val="00C010A7"/>
    <w:rsid w:val="00C34C1C"/>
    <w:rsid w:val="00C4547F"/>
    <w:rsid w:val="00C54915"/>
    <w:rsid w:val="00C63032"/>
    <w:rsid w:val="00C84D69"/>
    <w:rsid w:val="00CA5249"/>
    <w:rsid w:val="00CB64D6"/>
    <w:rsid w:val="00CE12D1"/>
    <w:rsid w:val="00D37060"/>
    <w:rsid w:val="00D40F23"/>
    <w:rsid w:val="00D42B30"/>
    <w:rsid w:val="00D71E50"/>
    <w:rsid w:val="00D71E6D"/>
    <w:rsid w:val="00D7279D"/>
    <w:rsid w:val="00D76F46"/>
    <w:rsid w:val="00D97669"/>
    <w:rsid w:val="00DC76C2"/>
    <w:rsid w:val="00DD753B"/>
    <w:rsid w:val="00DE6582"/>
    <w:rsid w:val="00E070C6"/>
    <w:rsid w:val="00E35CB0"/>
    <w:rsid w:val="00E67E6B"/>
    <w:rsid w:val="00E7278C"/>
    <w:rsid w:val="00EB0813"/>
    <w:rsid w:val="00ED264E"/>
    <w:rsid w:val="00ED2CC9"/>
    <w:rsid w:val="00ED629E"/>
    <w:rsid w:val="00EE1878"/>
    <w:rsid w:val="00EE1E54"/>
    <w:rsid w:val="00EE2984"/>
    <w:rsid w:val="00F1037C"/>
    <w:rsid w:val="00F12EF7"/>
    <w:rsid w:val="00F613D1"/>
    <w:rsid w:val="00F62C47"/>
    <w:rsid w:val="00F772C2"/>
    <w:rsid w:val="00F80F07"/>
    <w:rsid w:val="00F835CD"/>
    <w:rsid w:val="00FA6867"/>
    <w:rsid w:val="00FB463B"/>
    <w:rsid w:val="00FD1277"/>
    <w:rsid w:val="00FD6444"/>
    <w:rsid w:val="0293255D"/>
    <w:rsid w:val="03E97283"/>
    <w:rsid w:val="045645C0"/>
    <w:rsid w:val="05377AA9"/>
    <w:rsid w:val="06CB676A"/>
    <w:rsid w:val="08EB47DC"/>
    <w:rsid w:val="08F22909"/>
    <w:rsid w:val="0C4D7C21"/>
    <w:rsid w:val="0F9473FE"/>
    <w:rsid w:val="0FF03D3B"/>
    <w:rsid w:val="10D92909"/>
    <w:rsid w:val="13071A5B"/>
    <w:rsid w:val="13F76DF0"/>
    <w:rsid w:val="142D5185"/>
    <w:rsid w:val="14593607"/>
    <w:rsid w:val="148603F3"/>
    <w:rsid w:val="14C111AC"/>
    <w:rsid w:val="14CD6C2C"/>
    <w:rsid w:val="152C0D1B"/>
    <w:rsid w:val="175C1D03"/>
    <w:rsid w:val="178E68E1"/>
    <w:rsid w:val="187769F1"/>
    <w:rsid w:val="18925339"/>
    <w:rsid w:val="192A464C"/>
    <w:rsid w:val="19871A5C"/>
    <w:rsid w:val="1BDB6FF7"/>
    <w:rsid w:val="1D1513A6"/>
    <w:rsid w:val="1E3824DF"/>
    <w:rsid w:val="1F037124"/>
    <w:rsid w:val="1F346AB5"/>
    <w:rsid w:val="1F7D4A4E"/>
    <w:rsid w:val="1F914374"/>
    <w:rsid w:val="1FD71DF0"/>
    <w:rsid w:val="221470B4"/>
    <w:rsid w:val="226D6F9C"/>
    <w:rsid w:val="22B834CC"/>
    <w:rsid w:val="22BA6C58"/>
    <w:rsid w:val="22F977E7"/>
    <w:rsid w:val="24B3368D"/>
    <w:rsid w:val="24FF4DBF"/>
    <w:rsid w:val="256D300D"/>
    <w:rsid w:val="25A315DF"/>
    <w:rsid w:val="26C47DB8"/>
    <w:rsid w:val="277C2B6C"/>
    <w:rsid w:val="27D50848"/>
    <w:rsid w:val="280C100C"/>
    <w:rsid w:val="292E08E6"/>
    <w:rsid w:val="2CB02D9F"/>
    <w:rsid w:val="2D637948"/>
    <w:rsid w:val="2E3A29A3"/>
    <w:rsid w:val="2F81180C"/>
    <w:rsid w:val="32B1544F"/>
    <w:rsid w:val="336851BD"/>
    <w:rsid w:val="340200F6"/>
    <w:rsid w:val="3730635B"/>
    <w:rsid w:val="377A70C8"/>
    <w:rsid w:val="38830D8A"/>
    <w:rsid w:val="38C45C47"/>
    <w:rsid w:val="3B2A2D58"/>
    <w:rsid w:val="3BF42446"/>
    <w:rsid w:val="3C6E1044"/>
    <w:rsid w:val="3D4C155F"/>
    <w:rsid w:val="3E1D2536"/>
    <w:rsid w:val="40692574"/>
    <w:rsid w:val="42C321E3"/>
    <w:rsid w:val="43C23C9C"/>
    <w:rsid w:val="44086273"/>
    <w:rsid w:val="444F37DB"/>
    <w:rsid w:val="44CF424F"/>
    <w:rsid w:val="44E4041B"/>
    <w:rsid w:val="44FE7ACA"/>
    <w:rsid w:val="45706814"/>
    <w:rsid w:val="46F96E62"/>
    <w:rsid w:val="47207120"/>
    <w:rsid w:val="473A01E9"/>
    <w:rsid w:val="483B5A4C"/>
    <w:rsid w:val="49562E9F"/>
    <w:rsid w:val="49F22E5E"/>
    <w:rsid w:val="4A7A052A"/>
    <w:rsid w:val="4AC43520"/>
    <w:rsid w:val="4E6D0825"/>
    <w:rsid w:val="4F067171"/>
    <w:rsid w:val="508E0F59"/>
    <w:rsid w:val="528B6A42"/>
    <w:rsid w:val="531A233B"/>
    <w:rsid w:val="536D60DA"/>
    <w:rsid w:val="54AA7074"/>
    <w:rsid w:val="54E52762"/>
    <w:rsid w:val="55DB4E94"/>
    <w:rsid w:val="55EB5D70"/>
    <w:rsid w:val="56B4341B"/>
    <w:rsid w:val="57114DA6"/>
    <w:rsid w:val="57511940"/>
    <w:rsid w:val="57BA3C8B"/>
    <w:rsid w:val="587A4EC7"/>
    <w:rsid w:val="595D435D"/>
    <w:rsid w:val="5AAC42DD"/>
    <w:rsid w:val="5AAE7F63"/>
    <w:rsid w:val="5BA06719"/>
    <w:rsid w:val="5BB13BC3"/>
    <w:rsid w:val="5D4D151D"/>
    <w:rsid w:val="5D5C1A81"/>
    <w:rsid w:val="5EAD3211"/>
    <w:rsid w:val="5EF872DF"/>
    <w:rsid w:val="600C48CD"/>
    <w:rsid w:val="62D957B2"/>
    <w:rsid w:val="632C3261"/>
    <w:rsid w:val="64373B2F"/>
    <w:rsid w:val="648E188E"/>
    <w:rsid w:val="648E6AB3"/>
    <w:rsid w:val="64CE2DC8"/>
    <w:rsid w:val="65527A8B"/>
    <w:rsid w:val="6623094C"/>
    <w:rsid w:val="668C4743"/>
    <w:rsid w:val="67366B77"/>
    <w:rsid w:val="675B5EC3"/>
    <w:rsid w:val="67746BAD"/>
    <w:rsid w:val="68807C45"/>
    <w:rsid w:val="68DF2AAA"/>
    <w:rsid w:val="697D65C5"/>
    <w:rsid w:val="69FF522C"/>
    <w:rsid w:val="6A7B095D"/>
    <w:rsid w:val="6B030D4C"/>
    <w:rsid w:val="6B9D61A3"/>
    <w:rsid w:val="6BBD17A7"/>
    <w:rsid w:val="6C0F54CE"/>
    <w:rsid w:val="6E2C310F"/>
    <w:rsid w:val="6ED83431"/>
    <w:rsid w:val="6F0B6421"/>
    <w:rsid w:val="6FC00ECA"/>
    <w:rsid w:val="6FCA5E2A"/>
    <w:rsid w:val="70350A15"/>
    <w:rsid w:val="704A2F79"/>
    <w:rsid w:val="70593D8C"/>
    <w:rsid w:val="70D40212"/>
    <w:rsid w:val="71EF42AF"/>
    <w:rsid w:val="74600AD3"/>
    <w:rsid w:val="74DB5983"/>
    <w:rsid w:val="75A459FD"/>
    <w:rsid w:val="760D4365"/>
    <w:rsid w:val="79AB0441"/>
    <w:rsid w:val="79B861C2"/>
    <w:rsid w:val="7A11067D"/>
    <w:rsid w:val="7A207BD2"/>
    <w:rsid w:val="7B2B3887"/>
    <w:rsid w:val="7B5F3D7C"/>
    <w:rsid w:val="7BE944F5"/>
    <w:rsid w:val="7C367028"/>
    <w:rsid w:val="7DC230A9"/>
    <w:rsid w:val="7E3F430E"/>
    <w:rsid w:val="7F042647"/>
    <w:rsid w:val="7F0D3AEF"/>
    <w:rsid w:val="7F3D0469"/>
    <w:rsid w:val="7F68688A"/>
    <w:rsid w:val="7FE26C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nhideWhenUsed="0"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25"/>
    <w:qFormat/>
    <w:uiPriority w:val="0"/>
    <w:pPr>
      <w:keepNext/>
      <w:keepLines/>
      <w:spacing w:before="340" w:after="330" w:line="578" w:lineRule="auto"/>
      <w:outlineLvl w:val="0"/>
    </w:pPr>
    <w:rPr>
      <w:b/>
      <w:bCs/>
      <w:kern w:val="44"/>
      <w:sz w:val="44"/>
      <w:szCs w:val="44"/>
    </w:rPr>
  </w:style>
  <w:style w:type="paragraph" w:styleId="5">
    <w:name w:val="heading 2"/>
    <w:basedOn w:val="1"/>
    <w:next w:val="1"/>
    <w:link w:val="26"/>
    <w:unhideWhenUsed/>
    <w:qFormat/>
    <w:uiPriority w:val="0"/>
    <w:pPr>
      <w:keepNext/>
      <w:keepLines/>
      <w:spacing w:line="360" w:lineRule="auto"/>
      <w:ind w:firstLine="200" w:firstLineChars="200"/>
      <w:outlineLvl w:val="1"/>
    </w:pPr>
    <w:rPr>
      <w:rFonts w:ascii="Arial" w:hAnsi="Arial" w:eastAsia="仿宋"/>
      <w:b/>
      <w:sz w:val="32"/>
    </w:rPr>
  </w:style>
  <w:style w:type="paragraph" w:styleId="6">
    <w:name w:val="heading 3"/>
    <w:basedOn w:val="1"/>
    <w:next w:val="1"/>
    <w:unhideWhenUsed/>
    <w:qFormat/>
    <w:uiPriority w:val="0"/>
    <w:pPr>
      <w:keepNext/>
      <w:keepLines/>
      <w:spacing w:before="260" w:after="260" w:line="413" w:lineRule="auto"/>
      <w:outlineLvl w:val="2"/>
    </w:pPr>
    <w:rPr>
      <w:b/>
      <w:sz w:val="32"/>
    </w:rPr>
  </w:style>
  <w:style w:type="paragraph" w:styleId="7">
    <w:name w:val="heading 6"/>
    <w:basedOn w:val="1"/>
    <w:next w:val="1"/>
    <w:qFormat/>
    <w:uiPriority w:val="9"/>
    <w:pPr>
      <w:keepNext/>
      <w:keepLines/>
      <w:spacing w:line="360" w:lineRule="auto"/>
      <w:outlineLvl w:val="5"/>
    </w:pPr>
    <w:rPr>
      <w:rFonts w:ascii="Cambria" w:hAnsi="Cambria" w:cs="Times New Roman"/>
      <w:bCs/>
      <w:sz w:val="24"/>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1"/>
    <w:rPr>
      <w:rFonts w:eastAsia="仿宋_GB2312"/>
      <w:sz w:val="32"/>
      <w:szCs w:val="32"/>
    </w:rPr>
  </w:style>
  <w:style w:type="paragraph" w:styleId="3">
    <w:name w:val="footer"/>
    <w:basedOn w:val="1"/>
    <w:link w:val="27"/>
    <w:qFormat/>
    <w:uiPriority w:val="99"/>
    <w:pPr>
      <w:tabs>
        <w:tab w:val="center" w:pos="4153"/>
        <w:tab w:val="right" w:pos="8306"/>
      </w:tabs>
      <w:snapToGrid w:val="0"/>
      <w:jc w:val="left"/>
    </w:pPr>
    <w:rPr>
      <w:sz w:val="18"/>
    </w:rPr>
  </w:style>
  <w:style w:type="paragraph" w:styleId="8">
    <w:name w:val="annotation text"/>
    <w:basedOn w:val="1"/>
    <w:qFormat/>
    <w:uiPriority w:val="0"/>
    <w:pPr>
      <w:jc w:val="left"/>
    </w:pPr>
  </w:style>
  <w:style w:type="paragraph" w:styleId="9">
    <w:name w:val="toc 3"/>
    <w:basedOn w:val="1"/>
    <w:next w:val="1"/>
    <w:qFormat/>
    <w:uiPriority w:val="0"/>
    <w:pPr>
      <w:ind w:left="840" w:leftChars="400"/>
    </w:pPr>
  </w:style>
  <w:style w:type="paragraph" w:styleId="10">
    <w:name w:val="Body Text Indent 2"/>
    <w:basedOn w:val="1"/>
    <w:next w:val="11"/>
    <w:qFormat/>
    <w:uiPriority w:val="0"/>
    <w:pPr>
      <w:spacing w:after="120" w:line="480" w:lineRule="auto"/>
      <w:ind w:left="420" w:leftChars="200"/>
    </w:pPr>
    <w:rPr>
      <w:rFonts w:ascii="Calibri" w:hAnsi="Calibri" w:eastAsia="宋体"/>
    </w:rPr>
  </w:style>
  <w:style w:type="paragraph" w:styleId="11">
    <w:name w:val="toc 9"/>
    <w:next w:val="1"/>
    <w:qFormat/>
    <w:uiPriority w:val="0"/>
    <w:pPr>
      <w:wordWrap w:val="0"/>
      <w:ind w:left="2975"/>
      <w:jc w:val="both"/>
    </w:pPr>
    <w:rPr>
      <w:rFonts w:ascii="Calibri" w:hAnsi="Calibri" w:eastAsia="宋体" w:cs="Times New Roman"/>
      <w:sz w:val="21"/>
      <w:szCs w:val="22"/>
      <w:lang w:val="en-US" w:eastAsia="zh-CN" w:bidi="ar-SA"/>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3">
    <w:name w:val="toc 1"/>
    <w:basedOn w:val="1"/>
    <w:next w:val="1"/>
    <w:qFormat/>
    <w:uiPriority w:val="39"/>
  </w:style>
  <w:style w:type="paragraph" w:styleId="14">
    <w:name w:val="toc 2"/>
    <w:basedOn w:val="1"/>
    <w:next w:val="1"/>
    <w:qFormat/>
    <w:uiPriority w:val="39"/>
    <w:pPr>
      <w:ind w:left="420" w:leftChars="200"/>
    </w:p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Hyperlink"/>
    <w:basedOn w:val="17"/>
    <w:unhideWhenUsed/>
    <w:qFormat/>
    <w:uiPriority w:val="99"/>
    <w:rPr>
      <w:color w:val="0563C1" w:themeColor="hyperlink"/>
      <w:u w:val="single"/>
      <w14:textFill>
        <w14:solidFill>
          <w14:schemeClr w14:val="hlink"/>
        </w14:solidFill>
      </w14:textFill>
    </w:rPr>
  </w:style>
  <w:style w:type="paragraph" w:customStyle="1" w:styleId="19">
    <w:name w:val="正文文本缩进 21"/>
    <w:basedOn w:val="1"/>
    <w:next w:val="12"/>
    <w:qFormat/>
    <w:uiPriority w:val="0"/>
    <w:pPr>
      <w:spacing w:line="480" w:lineRule="auto"/>
      <w:ind w:left="420" w:leftChars="200"/>
    </w:pPr>
  </w:style>
  <w:style w:type="paragraph" w:customStyle="1" w:styleId="20">
    <w:name w:val="样式  + 首行缩进:  2 字符"/>
    <w:basedOn w:val="1"/>
    <w:qFormat/>
    <w:uiPriority w:val="0"/>
    <w:pPr>
      <w:adjustRightInd w:val="0"/>
      <w:snapToGrid w:val="0"/>
      <w:ind w:firstLine="480"/>
    </w:pPr>
    <w:rPr>
      <w:kern w:val="0"/>
      <w:sz w:val="24"/>
    </w:rPr>
  </w:style>
  <w:style w:type="paragraph" w:styleId="21">
    <w:name w:val="List Paragraph"/>
    <w:basedOn w:val="1"/>
    <w:qFormat/>
    <w:uiPriority w:val="99"/>
    <w:pPr>
      <w:ind w:firstLine="420" w:firstLineChars="200"/>
    </w:pPr>
  </w:style>
  <w:style w:type="paragraph" w:customStyle="1" w:styleId="22">
    <w:name w:val="WPSOffice手动目录 1"/>
    <w:qFormat/>
    <w:uiPriority w:val="0"/>
    <w:rPr>
      <w:rFonts w:ascii="Times New Roman" w:hAnsi="Times New Roman" w:eastAsia="宋体" w:cs="Times New Roman"/>
      <w:lang w:val="en-US" w:eastAsia="zh-CN" w:bidi="ar-SA"/>
    </w:rPr>
  </w:style>
  <w:style w:type="paragraph" w:customStyle="1" w:styleId="2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4">
    <w:name w:val="WPSOffice手动目录 3"/>
    <w:qFormat/>
    <w:uiPriority w:val="0"/>
    <w:pPr>
      <w:ind w:left="400" w:leftChars="400"/>
    </w:pPr>
    <w:rPr>
      <w:rFonts w:ascii="Times New Roman" w:hAnsi="Times New Roman" w:eastAsia="宋体" w:cs="Times New Roman"/>
      <w:lang w:val="en-US" w:eastAsia="zh-CN" w:bidi="ar-SA"/>
    </w:rPr>
  </w:style>
  <w:style w:type="character" w:customStyle="1" w:styleId="25">
    <w:name w:val="标题 1 字符"/>
    <w:basedOn w:val="17"/>
    <w:link w:val="4"/>
    <w:qFormat/>
    <w:uiPriority w:val="0"/>
    <w:rPr>
      <w:rFonts w:asciiTheme="minorHAnsi" w:hAnsiTheme="minorHAnsi" w:eastAsiaTheme="minorEastAsia" w:cstheme="minorBidi"/>
      <w:b/>
      <w:bCs/>
      <w:kern w:val="44"/>
      <w:sz w:val="44"/>
      <w:szCs w:val="44"/>
    </w:rPr>
  </w:style>
  <w:style w:type="character" w:customStyle="1" w:styleId="26">
    <w:name w:val="标题 2 字符"/>
    <w:link w:val="5"/>
    <w:qFormat/>
    <w:uiPriority w:val="0"/>
    <w:rPr>
      <w:rFonts w:ascii="Arial" w:hAnsi="Arial" w:eastAsia="仿宋"/>
      <w:b/>
      <w:sz w:val="32"/>
    </w:rPr>
  </w:style>
  <w:style w:type="character" w:customStyle="1" w:styleId="27">
    <w:name w:val="页脚 字符"/>
    <w:basedOn w:val="17"/>
    <w:link w:val="3"/>
    <w:qFormat/>
    <w:uiPriority w:val="99"/>
    <w:rPr>
      <w:rFonts w:asciiTheme="minorHAnsi" w:hAnsiTheme="minorHAnsi" w:eastAsiaTheme="minorEastAsia" w:cstheme="minorBidi"/>
      <w:kern w:val="2"/>
      <w:sz w:val="18"/>
      <w:szCs w:val="22"/>
    </w:rPr>
  </w:style>
  <w:style w:type="character" w:customStyle="1" w:styleId="28">
    <w:name w:val="font01"/>
    <w:basedOn w:val="17"/>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chart" Target="charts/chart1.xml"/><Relationship Id="rId8" Type="http://schemas.openxmlformats.org/officeDocument/2006/relationships/image" Target="media/image2.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customXml" Target="../customXml/item1.xml"/><Relationship Id="rId15" Type="http://schemas.openxmlformats.org/officeDocument/2006/relationships/chart" Target="charts/chart7.xml"/><Relationship Id="rId14" Type="http://schemas.openxmlformats.org/officeDocument/2006/relationships/chart" Target="charts/chart6.xml"/><Relationship Id="rId13" Type="http://schemas.openxmlformats.org/officeDocument/2006/relationships/chart" Target="charts/chart5.xml"/><Relationship Id="rId12" Type="http://schemas.openxmlformats.org/officeDocument/2006/relationships/chart" Target="charts/chart4.xml"/><Relationship Id="rId11" Type="http://schemas.openxmlformats.org/officeDocument/2006/relationships/chart" Target="charts/chart3.xml"/><Relationship Id="rId10" Type="http://schemas.openxmlformats.org/officeDocument/2006/relationships/chart" Target="charts/chart2.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package" Target="../embeddings/Workbook5.xlsx"/></Relationships>
</file>

<file path=word/charts/_rels/chart2.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3.xlsx"/></Relationships>
</file>

<file path=word/charts/_rels/chart3.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package" Target="../embeddings/Workbook4.xlsx"/></Relationships>
</file>

<file path=word/charts/_rels/chart4.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5.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6.xml.rels><?xml version="1.0" encoding="UTF-8" standalone="yes"?>
<Relationships xmlns="http://schemas.openxmlformats.org/package/2006/relationships"><Relationship Id="rId3" Type="http://schemas.microsoft.com/office/2011/relationships/chartColorStyle" Target="colors7.xml"/><Relationship Id="rId2" Type="http://schemas.microsoft.com/office/2011/relationships/chartStyle" Target="style7.xml"/><Relationship Id="rId1" Type="http://schemas.openxmlformats.org/officeDocument/2006/relationships/package" Target="../embeddings/Workbook7.xlsx"/></Relationships>
</file>

<file path=word/charts/_rels/chart7.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package" Target="../embeddings/Workbook6.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080" b="0" i="0" u="none" strike="noStrike" kern="1200" spc="0" baseline="0">
                <a:solidFill>
                  <a:schemeClr val="tx1"/>
                </a:solidFill>
                <a:latin typeface="+mn-lt"/>
                <a:ea typeface="+mn-ea"/>
                <a:cs typeface="+mn-cs"/>
              </a:defRPr>
            </a:pPr>
            <a:r>
              <a:rPr lang="en-US" altLang="zh-CN" sz="1080"/>
              <a:t>       </a:t>
            </a:r>
            <a:r>
              <a:rPr altLang="en-US" sz="1080"/>
              <a:t>全省法院人民法庭维修经费项目绩效评价指标得分情况</a:t>
            </a:r>
            <a:endParaRPr lang="en-US" altLang="zh-CN" sz="1080"/>
          </a:p>
        </c:rich>
      </c:tx>
      <c:layout>
        <c:manualLayout>
          <c:xMode val="edge"/>
          <c:yMode val="edge"/>
          <c:x val="0.113797845519138"/>
          <c:y val="0.0199600798403194"/>
        </c:manualLayout>
      </c:layout>
      <c:overlay val="0"/>
      <c:spPr>
        <a:noFill/>
        <a:ln>
          <a:noFill/>
        </a:ln>
        <a:effectLst/>
      </c:spPr>
    </c:title>
    <c:autoTitleDeleted val="0"/>
    <c:plotArea>
      <c:layout>
        <c:manualLayout>
          <c:layoutTarget val="inner"/>
          <c:xMode val="edge"/>
          <c:yMode val="edge"/>
          <c:x val="0.126675"/>
          <c:y val="0.127"/>
          <c:w val="0.8337"/>
          <c:h val="0.5763"/>
        </c:manualLayout>
      </c:layout>
      <c:barChart>
        <c:barDir val="col"/>
        <c:grouping val="clustered"/>
        <c:varyColors val="0"/>
        <c:ser>
          <c:idx val="0"/>
          <c:order val="0"/>
          <c:tx>
            <c:strRef>
              <c:f>Sheet1!$B$1</c:f>
              <c:strCache>
                <c:ptCount val="1"/>
                <c:pt idx="0">
                  <c:v>权重</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决策指标</c:v>
                </c:pt>
                <c:pt idx="1">
                  <c:v>过程指标</c:v>
                </c:pt>
                <c:pt idx="2">
                  <c:v>产出指标</c:v>
                </c:pt>
                <c:pt idx="3">
                  <c:v>效益指标</c:v>
                </c:pt>
                <c:pt idx="4">
                  <c:v>满意度指标</c:v>
                </c:pt>
              </c:strCache>
            </c:strRef>
          </c:cat>
          <c:val>
            <c:numRef>
              <c:f>Sheet1!$B$2:$B$6</c:f>
              <c:numCache>
                <c:formatCode>General</c:formatCode>
                <c:ptCount val="5"/>
                <c:pt idx="0">
                  <c:v>16</c:v>
                </c:pt>
                <c:pt idx="1">
                  <c:v>14</c:v>
                </c:pt>
                <c:pt idx="2">
                  <c:v>40</c:v>
                </c:pt>
                <c:pt idx="3">
                  <c:v>20</c:v>
                </c:pt>
                <c:pt idx="4">
                  <c:v>10</c:v>
                </c:pt>
              </c:numCache>
            </c:numRef>
          </c:val>
        </c:ser>
        <c:ser>
          <c:idx val="1"/>
          <c:order val="1"/>
          <c:tx>
            <c:strRef>
              <c:f>Sheet1!$C$1</c:f>
              <c:strCache>
                <c:ptCount val="1"/>
                <c:pt idx="0">
                  <c:v>得分</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决策指标</c:v>
                </c:pt>
                <c:pt idx="1">
                  <c:v>过程指标</c:v>
                </c:pt>
                <c:pt idx="2">
                  <c:v>产出指标</c:v>
                </c:pt>
                <c:pt idx="3">
                  <c:v>效益指标</c:v>
                </c:pt>
                <c:pt idx="4">
                  <c:v>满意度指标</c:v>
                </c:pt>
              </c:strCache>
            </c:strRef>
          </c:cat>
          <c:val>
            <c:numRef>
              <c:f>Sheet1!$C$2:$C$6</c:f>
              <c:numCache>
                <c:formatCode>General</c:formatCode>
                <c:ptCount val="5"/>
                <c:pt idx="0">
                  <c:v>14</c:v>
                </c:pt>
                <c:pt idx="1">
                  <c:v>11.66</c:v>
                </c:pt>
                <c:pt idx="2">
                  <c:v>29.13</c:v>
                </c:pt>
                <c:pt idx="3">
                  <c:v>20</c:v>
                </c:pt>
                <c:pt idx="4">
                  <c:v>10</c:v>
                </c:pt>
              </c:numCache>
            </c:numRef>
          </c:val>
        </c:ser>
        <c:ser>
          <c:idx val="2"/>
          <c:order val="2"/>
          <c:tx>
            <c:strRef>
              <c:f>Sheet1!$D$1</c:f>
              <c:strCache>
                <c:ptCount val="1"/>
                <c:pt idx="0">
                  <c:v>得分率</c:v>
                </c:pt>
              </c:strCache>
            </c:strRef>
          </c:tx>
          <c:spPr>
            <a:noFill/>
            <a:ln>
              <a:noFill/>
            </a:ln>
            <a:effectLst/>
          </c:spPr>
          <c:invertIfNegative val="0"/>
          <c:dLbls>
            <c:dLbl>
              <c:idx val="0"/>
              <c:layout>
                <c:manualLayout>
                  <c:x val="0.0148153846153846"/>
                  <c:y val="0"/>
                </c:manualLayout>
              </c:layout>
              <c:dLblPos val="outEnd"/>
              <c:showLegendKey val="0"/>
              <c:showVal val="1"/>
              <c:showCatName val="0"/>
              <c:showSerName val="0"/>
              <c:showPercent val="0"/>
              <c:showBubbleSize val="0"/>
              <c:extLst>
                <c:ext xmlns:c15="http://schemas.microsoft.com/office/drawing/2012/chart" uri="{CE6537A1-D6FC-4f65-9D91-7224C49458BB}">
                  <c15:layout>
                    <c:manualLayout>
                      <c:w val="0.0835692307692308"/>
                      <c:h val="0.0521307405875052"/>
                    </c:manualLayout>
                  </c15:layout>
                </c:ext>
              </c:extLst>
            </c:dLbl>
            <c:dLbl>
              <c:idx val="1"/>
              <c:layout>
                <c:manualLayout>
                  <c:x val="0.02725"/>
                  <c:y val="-0.00416666666666667"/>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2875"/>
                  <c:y val="-0.004"/>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03175"/>
                  <c:y val="-0.006"/>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0.019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spPr>
                    <a:ln w="9525" cap="flat" cmpd="sng" algn="ctr">
                      <a:solidFill>
                        <a:schemeClr val="tx1">
                          <a:lumMod val="35000"/>
                          <a:lumOff val="65000"/>
                        </a:schemeClr>
                      </a:solidFill>
                      <a:round/>
                    </a:ln>
                    <a:effectLst/>
                  </c:spPr>
                </c15:leaderLines>
              </c:ext>
            </c:extLst>
          </c:dLbls>
          <c:cat>
            <c:strRef>
              <c:f>Sheet1!$A$2:$A$6</c:f>
              <c:strCache>
                <c:ptCount val="5"/>
                <c:pt idx="0">
                  <c:v>决策指标</c:v>
                </c:pt>
                <c:pt idx="1">
                  <c:v>过程指标</c:v>
                </c:pt>
                <c:pt idx="2">
                  <c:v>产出指标</c:v>
                </c:pt>
                <c:pt idx="3">
                  <c:v>效益指标</c:v>
                </c:pt>
                <c:pt idx="4">
                  <c:v>满意度指标</c:v>
                </c:pt>
              </c:strCache>
            </c:strRef>
          </c:cat>
          <c:val>
            <c:numRef>
              <c:f>Sheet1!$D$2:$D$6</c:f>
              <c:numCache>
                <c:formatCode>0.00%</c:formatCode>
                <c:ptCount val="5"/>
                <c:pt idx="0">
                  <c:v>0.875</c:v>
                </c:pt>
                <c:pt idx="1">
                  <c:v>0.832857142857143</c:v>
                </c:pt>
                <c:pt idx="2">
                  <c:v>0.72825</c:v>
                </c:pt>
                <c:pt idx="3">
                  <c:v>1</c:v>
                </c:pt>
                <c:pt idx="4">
                  <c:v>1</c:v>
                </c:pt>
              </c:numCache>
            </c:numRef>
          </c:val>
        </c:ser>
        <c:dLbls>
          <c:showLegendKey val="0"/>
          <c:showVal val="1"/>
          <c:showCatName val="0"/>
          <c:showSerName val="0"/>
          <c:showPercent val="0"/>
          <c:showBubbleSize val="0"/>
        </c:dLbls>
        <c:gapWidth val="219"/>
        <c:overlap val="-27"/>
        <c:axId val="33121172"/>
        <c:axId val="262562026"/>
      </c:barChart>
      <c:catAx>
        <c:axId val="33121172"/>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crossAx val="262562026"/>
        <c:crosses val="autoZero"/>
        <c:auto val="1"/>
        <c:lblAlgn val="ctr"/>
        <c:lblOffset val="100"/>
        <c:noMultiLvlLbl val="0"/>
      </c:catAx>
      <c:valAx>
        <c:axId val="26256202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crossAx val="33121172"/>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dTable>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manualLayout>
          <c:xMode val="edge"/>
          <c:yMode val="edge"/>
          <c:x val="0.375446153846154"/>
          <c:y val="0.921183285064129"/>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solidFill>
      <a:schemeClr val="bg1">
        <a:alpha val="91000"/>
      </a:schemeClr>
    </a:solidFill>
    <a:ln w="9525" cap="flat" cmpd="sng" algn="ctr">
      <a:solidFill>
        <a:schemeClr val="tx1">
          <a:lumMod val="15000"/>
          <a:lumOff val="85000"/>
        </a:schemeClr>
      </a:solidFill>
      <a:round/>
    </a:ln>
    <a:effectLst/>
  </c:spPr>
  <c:txPr>
    <a:bodyPr/>
    <a:lstStyle/>
    <a:p>
      <a:pPr>
        <a:defRPr lang="zh-CN" sz="900">
          <a:solidFill>
            <a:schemeClr val="tx1"/>
          </a:solidFill>
        </a:defRPr>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问题</a:t>
            </a:r>
            <a:r>
              <a:rPr lang="en-US" altLang="zh-CN"/>
              <a:t>1</a:t>
            </a:r>
            <a:r>
              <a:t>满意度调查结果统计图</a:t>
            </a:r>
          </a:p>
        </c:rich>
      </c:tx>
      <c:layout>
        <c:manualLayout>
          <c:xMode val="edge"/>
          <c:yMode val="edge"/>
          <c:x val="0.205900865460268"/>
          <c:y val="0.0395573345891217"/>
        </c:manualLayout>
      </c:layout>
      <c:overlay val="0"/>
      <c:spPr>
        <a:noFill/>
        <a:ln>
          <a:noFill/>
        </a:ln>
        <a:effectLst/>
      </c:spPr>
    </c:title>
    <c:autoTitleDeleted val="0"/>
    <c:plotArea>
      <c:layout/>
      <c:pieChart>
        <c:varyColors val="1"/>
        <c:ser>
          <c:idx val="0"/>
          <c:order val="0"/>
          <c:tx>
            <c:strRef>
              <c:f>Sheet1!$B$1</c:f>
              <c:strCache>
                <c:ptCount val="1"/>
                <c:pt idx="0">
                  <c:v>满意度</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dLbl>
              <c:idx val="0"/>
              <c:layout>
                <c:manualLayout>
                  <c:x val="0.0805664830841857"/>
                  <c:y val="0"/>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280094413847364"/>
                  <c:y val="-0.00518012714857546"/>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577498033044847"/>
                  <c:y val="-0.00259006357428773"/>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0856018882769473"/>
                  <c:y val="-0.0155403814457264"/>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非常满意</c:v>
                </c:pt>
                <c:pt idx="1">
                  <c:v>比较满意</c:v>
                </c:pt>
                <c:pt idx="2">
                  <c:v>基本满意</c:v>
                </c:pt>
                <c:pt idx="3">
                  <c:v>很不满意</c:v>
                </c:pt>
              </c:strCache>
            </c:strRef>
          </c:cat>
          <c:val>
            <c:numRef>
              <c:f>Sheet1!$B$2:$B$5</c:f>
              <c:numCache>
                <c:formatCode>0.00%</c:formatCode>
                <c:ptCount val="4"/>
                <c:pt idx="0">
                  <c:v>0.7048</c:v>
                </c:pt>
                <c:pt idx="1">
                  <c:v>0.2381</c:v>
                </c:pt>
                <c:pt idx="2">
                  <c:v>0.0476</c:v>
                </c:pt>
                <c:pt idx="3">
                  <c:v>0.0095</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0.186488249828753"/>
          <c:y val="0.885350205341685"/>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问题</a:t>
            </a:r>
            <a:r>
              <a:rPr lang="en-US" altLang="zh-CN"/>
              <a:t>2</a:t>
            </a:r>
            <a:r>
              <a:t>满意度调查结果统计图</a:t>
            </a:r>
          </a:p>
        </c:rich>
      </c:tx>
      <c:layout/>
      <c:overlay val="0"/>
      <c:spPr>
        <a:noFill/>
        <a:ln>
          <a:noFill/>
        </a:ln>
        <a:effectLst/>
      </c:spPr>
    </c:title>
    <c:autoTitleDeleted val="0"/>
    <c:plotArea>
      <c:layout/>
      <c:pieChart>
        <c:varyColors val="1"/>
        <c:ser>
          <c:idx val="0"/>
          <c:order val="0"/>
          <c:tx>
            <c:strRef>
              <c:f>Sheet1!$B$1</c:f>
              <c:strCache>
                <c:ptCount val="1"/>
                <c:pt idx="0">
                  <c:v>满意度</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dLbl>
              <c:idx val="0"/>
              <c:layout>
                <c:manualLayout>
                  <c:x val="0.0769472856018883"/>
                  <c:y val="-0.0183659053449494"/>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472069236821401"/>
                  <c:y val="0"/>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418568056648308"/>
                  <c:y val="-0.00259006357428773"/>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11014948859166"/>
                  <c:y val="-0.0289616199670356"/>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满足</c:v>
                </c:pt>
                <c:pt idx="1">
                  <c:v>比较满足</c:v>
                </c:pt>
                <c:pt idx="2">
                  <c:v>基本满足</c:v>
                </c:pt>
                <c:pt idx="3">
                  <c:v>不满足</c:v>
                </c:pt>
              </c:strCache>
            </c:strRef>
          </c:cat>
          <c:val>
            <c:numRef>
              <c:f>Sheet1!$B$2:$B$5</c:f>
              <c:numCache>
                <c:formatCode>0.00%</c:formatCode>
                <c:ptCount val="4"/>
                <c:pt idx="0">
                  <c:v>0.8</c:v>
                </c:pt>
                <c:pt idx="1">
                  <c:v>0.1429</c:v>
                </c:pt>
                <c:pt idx="2">
                  <c:v>0.019</c:v>
                </c:pt>
                <c:pt idx="3">
                  <c:v>0.0381</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0.296795094832687"/>
          <c:y val="0.885350205341685"/>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问题</a:t>
            </a:r>
            <a:r>
              <a:rPr lang="en-US" altLang="zh-CN"/>
              <a:t>3</a:t>
            </a:r>
            <a:r>
              <a:t>满意度调查结果统计图</a:t>
            </a:r>
          </a:p>
        </c:rich>
      </c:tx>
      <c:layout>
        <c:manualLayout>
          <c:xMode val="edge"/>
          <c:yMode val="edge"/>
          <c:x val="0.219433516915814"/>
          <c:y val="0.0482693666117259"/>
        </c:manualLayout>
      </c:layout>
      <c:overlay val="0"/>
      <c:spPr>
        <a:noFill/>
        <a:ln>
          <a:noFill/>
        </a:ln>
        <a:effectLst/>
      </c:spPr>
    </c:title>
    <c:autoTitleDeleted val="0"/>
    <c:plotArea>
      <c:layout>
        <c:manualLayout>
          <c:layoutTarget val="inner"/>
          <c:xMode val="edge"/>
          <c:yMode val="edge"/>
          <c:x val="0.305513768686074"/>
          <c:y val="0.217221568165764"/>
          <c:w val="0.388972462627852"/>
          <c:h val="0.582039086413939"/>
        </c:manualLayout>
      </c:layout>
      <c:pieChart>
        <c:varyColors val="1"/>
        <c:ser>
          <c:idx val="0"/>
          <c:order val="0"/>
          <c:tx>
            <c:strRef>
              <c:f>Sheet1!$B$1</c:f>
              <c:strCache>
                <c:ptCount val="1"/>
                <c:pt idx="0">
                  <c:v>满意度</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dLbl>
              <c:idx val="0"/>
              <c:layout>
                <c:manualLayout>
                  <c:x val="0.0684636118598383"/>
                  <c:y val="-0.0204081632653061"/>
                </c:manualLayout>
              </c:layout>
              <c:dLblPos val="bestFit"/>
              <c:showLegendKey val="1"/>
              <c:showVal val="1"/>
              <c:showCatName val="0"/>
              <c:showSerName val="0"/>
              <c:showPercent val="0"/>
              <c:showBubbleSize val="0"/>
              <c:extLst>
                <c:ext xmlns:c15="http://schemas.microsoft.com/office/drawing/2012/chart" uri="{CE6537A1-D6FC-4f65-9D91-7224C49458BB}">
                  <c15:layout/>
                </c:ext>
              </c:extLst>
            </c:dLbl>
            <c:dLbl>
              <c:idx val="1"/>
              <c:layout>
                <c:manualLayout>
                  <c:x val="-0.0733153638814016"/>
                  <c:y val="0"/>
                </c:manualLayout>
              </c:layout>
              <c:dLblPos val="bestFit"/>
              <c:showLegendKey val="1"/>
              <c:showVal val="1"/>
              <c:showCatName val="0"/>
              <c:showSerName val="0"/>
              <c:showPercent val="0"/>
              <c:showBubbleSize val="0"/>
              <c:extLst>
                <c:ext xmlns:c15="http://schemas.microsoft.com/office/drawing/2012/chart" uri="{CE6537A1-D6FC-4f65-9D91-7224C49458BB}">
                  <c15:layout/>
                </c:ext>
              </c:extLst>
            </c:dLbl>
            <c:dLbl>
              <c:idx val="2"/>
              <c:layout>
                <c:manualLayout>
                  <c:x val="-0.0892210857592447"/>
                  <c:y val="0.0157758417706616"/>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0961447678992919"/>
                  <c:y val="0.0209559689192371"/>
                </c:manualLayout>
              </c:layout>
              <c:dLblPos val="bestFit"/>
              <c:showLegendKey val="1"/>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1"/>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非常及时</c:v>
                </c:pt>
                <c:pt idx="1">
                  <c:v>比较及时</c:v>
                </c:pt>
                <c:pt idx="2">
                  <c:v>一般</c:v>
                </c:pt>
                <c:pt idx="3">
                  <c:v>不及时</c:v>
                </c:pt>
              </c:strCache>
            </c:strRef>
          </c:cat>
          <c:val>
            <c:numRef>
              <c:f>Sheet1!$B$2:$B$5</c:f>
              <c:numCache>
                <c:formatCode>0.00%</c:formatCode>
                <c:ptCount val="4"/>
                <c:pt idx="0">
                  <c:v>0.7714</c:v>
                </c:pt>
                <c:pt idx="1">
                  <c:v>0.1905</c:v>
                </c:pt>
                <c:pt idx="2">
                  <c:v>0.0286</c:v>
                </c:pt>
                <c:pt idx="3">
                  <c:v>0.0095</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0.234167242747714"/>
          <c:y val="0.868632522271282"/>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问题</a:t>
            </a:r>
            <a:r>
              <a:rPr lang="en-US" altLang="zh-CN"/>
              <a:t>1</a:t>
            </a:r>
            <a:r>
              <a:t>满意度调查结果统计图</a:t>
            </a:r>
          </a:p>
        </c:rich>
      </c:tx>
      <c:layout/>
      <c:overlay val="0"/>
      <c:spPr>
        <a:noFill/>
        <a:ln>
          <a:noFill/>
        </a:ln>
        <a:effectLst/>
      </c:spPr>
    </c:title>
    <c:autoTitleDeleted val="0"/>
    <c:plotArea>
      <c:layout/>
      <c:pieChart>
        <c:varyColors val="1"/>
        <c:ser>
          <c:idx val="0"/>
          <c:order val="0"/>
          <c:tx>
            <c:strRef>
              <c:f>Sheet1!$B$1</c:f>
              <c:strCache>
                <c:ptCount val="1"/>
                <c:pt idx="0">
                  <c:v>满意度</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dLbl>
              <c:idx val="0"/>
              <c:layout>
                <c:manualLayout>
                  <c:x val="0.0684636118598383"/>
                  <c:y val="-0.0204081632653061"/>
                </c:manualLayout>
              </c:layout>
              <c:dLblPos val="bestFit"/>
              <c:showLegendKey val="1"/>
              <c:showVal val="1"/>
              <c:showCatName val="0"/>
              <c:showSerName val="0"/>
              <c:showPercent val="0"/>
              <c:showBubbleSize val="0"/>
              <c:extLst>
                <c:ext xmlns:c15="http://schemas.microsoft.com/office/drawing/2012/chart" uri="{CE6537A1-D6FC-4f65-9D91-7224C49458BB}">
                  <c15:layout/>
                </c:ext>
              </c:extLst>
            </c:dLbl>
            <c:dLbl>
              <c:idx val="1"/>
              <c:layout>
                <c:manualLayout>
                  <c:x val="-0.0733153638814016"/>
                  <c:y val="0"/>
                </c:manualLayout>
              </c:layout>
              <c:dLblPos val="bestFit"/>
              <c:showLegendKey val="1"/>
              <c:showVal val="1"/>
              <c:showCatName val="0"/>
              <c:showSerName val="0"/>
              <c:showPercent val="0"/>
              <c:showBubbleSize val="0"/>
              <c:extLst>
                <c:ext xmlns:c15="http://schemas.microsoft.com/office/drawing/2012/chart" uri="{CE6537A1-D6FC-4f65-9D91-7224C49458BB}">
                  <c15:layout/>
                </c:ext>
              </c:extLst>
            </c:dLbl>
            <c:dLbl>
              <c:idx val="2"/>
              <c:layout>
                <c:manualLayout>
                  <c:x val="-0.108418568056648"/>
                  <c:y val="-0.0103602542971509"/>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150432730133753"/>
                  <c:y val="-0.0077701907228632"/>
                </c:manualLayout>
              </c:layout>
              <c:dLblPos val="bestFit"/>
              <c:showLegendKey val="1"/>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1"/>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可以改善</c:v>
                </c:pt>
                <c:pt idx="1">
                  <c:v>基本改善</c:v>
                </c:pt>
                <c:pt idx="2">
                  <c:v>一般</c:v>
                </c:pt>
                <c:pt idx="3">
                  <c:v>不能改善</c:v>
                </c:pt>
              </c:strCache>
            </c:strRef>
          </c:cat>
          <c:val>
            <c:numRef>
              <c:f>Sheet1!$B$2:$B$5</c:f>
              <c:numCache>
                <c:formatCode>0.00%</c:formatCode>
                <c:ptCount val="4"/>
                <c:pt idx="0">
                  <c:v>0.7</c:v>
                </c:pt>
                <c:pt idx="1">
                  <c:v>0.2714</c:v>
                </c:pt>
                <c:pt idx="2">
                  <c:v>0.0286</c:v>
                </c:pt>
                <c:pt idx="3" c:formatCode="0%">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0.204898950064788"/>
          <c:y val="0.85238575985075"/>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问题</a:t>
            </a:r>
            <a:r>
              <a:rPr lang="en-US" altLang="zh-CN"/>
              <a:t>2</a:t>
            </a:r>
            <a:r>
              <a:t>满意度调查结果统计图</a:t>
            </a:r>
          </a:p>
        </c:rich>
      </c:tx>
      <c:layout/>
      <c:overlay val="0"/>
      <c:spPr>
        <a:noFill/>
        <a:ln>
          <a:noFill/>
        </a:ln>
        <a:effectLst/>
      </c:spPr>
    </c:title>
    <c:autoTitleDeleted val="0"/>
    <c:plotArea>
      <c:layout/>
      <c:pieChart>
        <c:varyColors val="1"/>
        <c:ser>
          <c:idx val="0"/>
          <c:order val="0"/>
          <c:tx>
            <c:strRef>
              <c:f>Sheet1!$B$1</c:f>
              <c:strCache>
                <c:ptCount val="1"/>
                <c:pt idx="0">
                  <c:v>满意度</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dLbl>
              <c:idx val="0"/>
              <c:layout>
                <c:manualLayout>
                  <c:x val="0.0684636118598383"/>
                  <c:y val="-0.0204081632653061"/>
                </c:manualLayout>
              </c:layout>
              <c:dLblPos val="bestFit"/>
              <c:showLegendKey val="1"/>
              <c:showVal val="1"/>
              <c:showCatName val="0"/>
              <c:showSerName val="0"/>
              <c:showPercent val="0"/>
              <c:showBubbleSize val="0"/>
              <c:extLst>
                <c:ext xmlns:c15="http://schemas.microsoft.com/office/drawing/2012/chart" uri="{CE6537A1-D6FC-4f65-9D91-7224C49458BB}">
                  <c15:layout/>
                </c:ext>
              </c:extLst>
            </c:dLbl>
            <c:dLbl>
              <c:idx val="1"/>
              <c:layout>
                <c:manualLayout>
                  <c:x val="-0.0733153638814016"/>
                  <c:y val="0"/>
                </c:manualLayout>
              </c:layout>
              <c:dLblPos val="bestFit"/>
              <c:showLegendKey val="1"/>
              <c:showVal val="1"/>
              <c:showCatName val="0"/>
              <c:showSerName val="0"/>
              <c:showPercent val="0"/>
              <c:showBubbleSize val="0"/>
              <c:extLst>
                <c:ext xmlns:c15="http://schemas.microsoft.com/office/drawing/2012/chart" uri="{CE6537A1-D6FC-4f65-9D91-7224C49458BB}">
                  <c15:layout/>
                </c:ext>
              </c:extLst>
            </c:dLbl>
            <c:dLbl>
              <c:idx val="2"/>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1"/>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非常及时</c:v>
                </c:pt>
                <c:pt idx="1">
                  <c:v>比较及时</c:v>
                </c:pt>
                <c:pt idx="2">
                  <c:v>一般</c:v>
                </c:pt>
                <c:pt idx="3">
                  <c:v>不及时</c:v>
                </c:pt>
              </c:strCache>
            </c:strRef>
          </c:cat>
          <c:val>
            <c:numRef>
              <c:f>Sheet1!$B$2:$B$5</c:f>
              <c:numCache>
                <c:formatCode>0.00%</c:formatCode>
                <c:ptCount val="4"/>
                <c:pt idx="0">
                  <c:v>0.6</c:v>
                </c:pt>
                <c:pt idx="1">
                  <c:v>0.3429</c:v>
                </c:pt>
                <c:pt idx="2">
                  <c:v>0.0429</c:v>
                </c:pt>
                <c:pt idx="3">
                  <c:v>0.0143</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0.204898950064788"/>
          <c:y val="0.85238575985075"/>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问题</a:t>
            </a:r>
            <a:r>
              <a:rPr lang="en-US" altLang="zh-CN"/>
              <a:t>3</a:t>
            </a:r>
            <a:r>
              <a:t>满意度调查结果统计图</a:t>
            </a:r>
          </a:p>
        </c:rich>
      </c:tx>
      <c:layout/>
      <c:overlay val="0"/>
      <c:spPr>
        <a:noFill/>
        <a:ln>
          <a:noFill/>
        </a:ln>
        <a:effectLst/>
      </c:spPr>
    </c:title>
    <c:autoTitleDeleted val="0"/>
    <c:plotArea>
      <c:layout/>
      <c:pieChart>
        <c:varyColors val="1"/>
        <c:ser>
          <c:idx val="0"/>
          <c:order val="0"/>
          <c:tx>
            <c:strRef>
              <c:f>Sheet1!$B$1</c:f>
              <c:strCache>
                <c:ptCount val="1"/>
                <c:pt idx="0">
                  <c:v>满意度</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dLbl>
              <c:idx val="0"/>
              <c:layout>
                <c:manualLayout>
                  <c:x val="0.0684636118598383"/>
                  <c:y val="-0.0204081632653061"/>
                </c:manualLayout>
              </c:layout>
              <c:dLblPos val="bestFit"/>
              <c:showLegendKey val="1"/>
              <c:showVal val="1"/>
              <c:showCatName val="0"/>
              <c:showSerName val="0"/>
              <c:showPercent val="0"/>
              <c:showBubbleSize val="0"/>
              <c:extLst>
                <c:ext xmlns:c15="http://schemas.microsoft.com/office/drawing/2012/chart" uri="{CE6537A1-D6FC-4f65-9D91-7224C49458BB}">
                  <c15:layout/>
                </c:ext>
              </c:extLst>
            </c:dLbl>
            <c:dLbl>
              <c:idx val="1"/>
              <c:layout>
                <c:manualLayout>
                  <c:x val="-0.0733153638814016"/>
                  <c:y val="0"/>
                </c:manualLayout>
              </c:layout>
              <c:dLblPos val="bestFit"/>
              <c:showLegendKey val="1"/>
              <c:showVal val="1"/>
              <c:showCatName val="0"/>
              <c:showSerName val="0"/>
              <c:showPercent val="0"/>
              <c:showBubbleSize val="0"/>
              <c:extLst>
                <c:ext xmlns:c15="http://schemas.microsoft.com/office/drawing/2012/chart" uri="{CE6537A1-D6FC-4f65-9D91-7224C49458BB}">
                  <c15:layout/>
                </c:ext>
              </c:extLst>
            </c:dLbl>
            <c:dLbl>
              <c:idx val="2"/>
              <c:layout/>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0.124154209284028"/>
                  <c:y val="0.0157758417706616"/>
                </c:manualLayout>
              </c:layout>
              <c:dLblPos val="bestFit"/>
              <c:showLegendKey val="1"/>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1"/>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非常满意</c:v>
                </c:pt>
                <c:pt idx="1">
                  <c:v>比较满意</c:v>
                </c:pt>
                <c:pt idx="2">
                  <c:v>基本满意</c:v>
                </c:pt>
                <c:pt idx="3">
                  <c:v>很不满意</c:v>
                </c:pt>
              </c:strCache>
            </c:strRef>
          </c:cat>
          <c:val>
            <c:numRef>
              <c:f>Sheet1!$B$2:$B$5</c:f>
              <c:numCache>
                <c:formatCode>0.00%</c:formatCode>
                <c:ptCount val="4"/>
                <c:pt idx="0">
                  <c:v>0.6571</c:v>
                </c:pt>
                <c:pt idx="1">
                  <c:v>0.3571</c:v>
                </c:pt>
                <c:pt idx="2">
                  <c:v>0</c:v>
                </c:pt>
                <c:pt idx="3">
                  <c:v>0.0143</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0.204898950064788"/>
          <c:y val="0.85238575985075"/>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E1B691-4768-4DC5-997A-E5D4811F1EC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47</Pages>
  <Words>20964</Words>
  <Characters>22984</Characters>
  <Lines>216</Lines>
  <Paragraphs>61</Paragraphs>
  <TotalTime>0</TotalTime>
  <ScaleCrop>false</ScaleCrop>
  <LinksUpToDate>false</LinksUpToDate>
  <CharactersWithSpaces>23437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2021-05-13T03:50:00Z</dcterms:created>
  <dc:creator>1129</dc:creator>
  <cp:lastModifiedBy>燕子 13893107503</cp:lastModifiedBy>
  <cp:lastPrinted>2023-05-21T13:18:00Z</cp:lastPrinted>
  <dcterms:modified xsi:type="dcterms:W3CDTF">2023-06-19T04:15:49Z</dcterms:modified>
  <cp:revision>256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2BE12FC57B2F49C79F729A86F7BEF0C3_13</vt:lpwstr>
  </property>
</Properties>
</file>