
<file path=[Content_Types].xml><?xml version="1.0" encoding="utf-8"?>
<Types xmlns="http://schemas.openxmlformats.org/package/2006/content-types">
  <Default Extension="jpeg" ContentType="image/jpeg"/>
  <Default Extension="odttf" ContentType="application/vnd.openxmlformats-officedocument.obfuscatedFont"/>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293E4" w14:textId="77777777" w:rsidR="005114BD" w:rsidRDefault="00000000">
      <w:pPr>
        <w:pStyle w:val="a0"/>
        <w:overflowPunct w:val="0"/>
        <w:spacing w:line="680" w:lineRule="exact"/>
        <w:ind w:left="113"/>
        <w:rPr>
          <w:rFonts w:ascii="仿宋_GB2312"/>
        </w:rPr>
      </w:pPr>
      <w:r>
        <w:rPr>
          <w:rFonts w:ascii="仿宋_GB2312" w:hint="eastAsia"/>
        </w:rPr>
        <w:t xml:space="preserve"> </w:t>
      </w:r>
    </w:p>
    <w:p w14:paraId="5FC069B8" w14:textId="77777777" w:rsidR="005114BD" w:rsidRDefault="005114BD">
      <w:pPr>
        <w:overflowPunct w:val="0"/>
        <w:spacing w:line="680" w:lineRule="exact"/>
        <w:ind w:left="6" w:right="4"/>
        <w:rPr>
          <w:rFonts w:ascii="宋体" w:eastAsia="宋体" w:hAnsi="宋体" w:cs="Times New Roman"/>
          <w:b/>
          <w:sz w:val="44"/>
          <w:szCs w:val="44"/>
        </w:rPr>
      </w:pPr>
    </w:p>
    <w:p w14:paraId="73A49427" w14:textId="77777777" w:rsidR="005114BD" w:rsidRDefault="005114BD">
      <w:pPr>
        <w:overflowPunct w:val="0"/>
        <w:spacing w:line="680" w:lineRule="exact"/>
        <w:ind w:left="6" w:right="4"/>
        <w:rPr>
          <w:rFonts w:ascii="宋体" w:eastAsia="宋体" w:hAnsi="宋体" w:cs="Times New Roman"/>
          <w:b/>
          <w:sz w:val="44"/>
          <w:szCs w:val="44"/>
        </w:rPr>
      </w:pPr>
    </w:p>
    <w:p w14:paraId="0BD493FB" w14:textId="77777777" w:rsidR="005114BD" w:rsidRDefault="00000000">
      <w:pPr>
        <w:overflowPunct w:val="0"/>
        <w:spacing w:line="680" w:lineRule="exact"/>
        <w:ind w:left="6" w:right="4"/>
        <w:jc w:val="center"/>
        <w:rPr>
          <w:rFonts w:ascii="方正小标宋简体" w:eastAsia="方正小标宋简体" w:hAnsi="方正小标宋简体" w:cs="方正小标宋简体"/>
          <w:b/>
          <w:bCs/>
          <w:sz w:val="44"/>
          <w:szCs w:val="44"/>
        </w:rPr>
      </w:pPr>
      <w:bookmarkStart w:id="0" w:name="_Toc21198"/>
      <w:bookmarkStart w:id="1" w:name="_Toc17249"/>
      <w:bookmarkStart w:id="2" w:name="_Toc818"/>
      <w:bookmarkStart w:id="3" w:name="_Toc30170"/>
      <w:bookmarkStart w:id="4" w:name="_Toc24122"/>
      <w:bookmarkStart w:id="5" w:name="_Toc73915926"/>
      <w:bookmarkStart w:id="6" w:name="_Toc29616"/>
      <w:bookmarkStart w:id="7" w:name="_Toc3655"/>
      <w:bookmarkStart w:id="8" w:name="_Toc16957"/>
      <w:bookmarkStart w:id="9" w:name="_Toc24322"/>
      <w:r>
        <w:rPr>
          <w:rFonts w:ascii="方正小标宋简体" w:eastAsia="方正小标宋简体" w:hAnsi="方正小标宋简体" w:cs="方正小标宋简体" w:hint="eastAsia"/>
          <w:sz w:val="44"/>
          <w:szCs w:val="44"/>
        </w:rPr>
        <w:t>2022年度甘肃省高级人民法院重点</w:t>
      </w:r>
      <w:bookmarkEnd w:id="0"/>
      <w:bookmarkEnd w:id="1"/>
      <w:bookmarkEnd w:id="2"/>
      <w:bookmarkEnd w:id="3"/>
      <w:bookmarkEnd w:id="4"/>
      <w:bookmarkEnd w:id="5"/>
      <w:bookmarkEnd w:id="6"/>
      <w:bookmarkEnd w:id="7"/>
      <w:bookmarkEnd w:id="8"/>
      <w:bookmarkEnd w:id="9"/>
      <w:r>
        <w:rPr>
          <w:rFonts w:ascii="方正小标宋简体" w:eastAsia="方正小标宋简体" w:hAnsi="方正小标宋简体" w:cs="方正小标宋简体" w:hint="eastAsia"/>
          <w:sz w:val="44"/>
          <w:szCs w:val="44"/>
        </w:rPr>
        <w:t>项目</w:t>
      </w:r>
    </w:p>
    <w:p w14:paraId="753DC8BD" w14:textId="77777777" w:rsidR="005114BD" w:rsidRDefault="00000000">
      <w:pPr>
        <w:overflowPunct w:val="0"/>
        <w:spacing w:line="680" w:lineRule="exact"/>
        <w:ind w:left="6" w:right="4"/>
        <w:jc w:val="center"/>
        <w:rPr>
          <w:rFonts w:ascii="宋体" w:eastAsia="宋体" w:hAnsi="宋体"/>
          <w:b/>
          <w:sz w:val="44"/>
          <w:szCs w:val="44"/>
        </w:rPr>
      </w:pPr>
      <w:r>
        <w:rPr>
          <w:rFonts w:ascii="方正小标宋简体" w:eastAsia="方正小标宋简体" w:hAnsi="方正小标宋简体" w:cs="方正小标宋简体" w:hint="eastAsia"/>
          <w:sz w:val="44"/>
          <w:szCs w:val="44"/>
        </w:rPr>
        <w:t>——法官法警服装费绩效评价报告</w:t>
      </w:r>
    </w:p>
    <w:p w14:paraId="5E4B0294" w14:textId="77777777" w:rsidR="005114BD" w:rsidRDefault="005114BD">
      <w:pPr>
        <w:pStyle w:val="a0"/>
        <w:overflowPunct w:val="0"/>
        <w:spacing w:line="680" w:lineRule="exact"/>
        <w:rPr>
          <w:sz w:val="56"/>
        </w:rPr>
      </w:pPr>
    </w:p>
    <w:p w14:paraId="7EAED4C8" w14:textId="77777777" w:rsidR="005114BD" w:rsidRDefault="005114BD">
      <w:pPr>
        <w:pStyle w:val="a0"/>
        <w:overflowPunct w:val="0"/>
        <w:spacing w:line="680" w:lineRule="exact"/>
        <w:rPr>
          <w:sz w:val="56"/>
        </w:rPr>
      </w:pPr>
    </w:p>
    <w:p w14:paraId="142607E0" w14:textId="77777777" w:rsidR="005114BD" w:rsidRDefault="00000000">
      <w:pPr>
        <w:overflowPunct w:val="0"/>
        <w:spacing w:line="578" w:lineRule="exact"/>
        <w:ind w:left="1600" w:hangingChars="500" w:hanging="1600"/>
        <w:rPr>
          <w:rFonts w:ascii="仿宋_GB2312" w:eastAsia="仿宋_GB2312" w:hAnsi="仿宋" w:cs="仿宋"/>
          <w:sz w:val="32"/>
          <w:szCs w:val="32"/>
        </w:rPr>
      </w:pPr>
      <w:r>
        <w:rPr>
          <w:rFonts w:ascii="仿宋_GB2312" w:eastAsia="仿宋_GB2312" w:hAnsi="仿宋" w:cs="仿宋" w:hint="eastAsia"/>
          <w:sz w:val="32"/>
          <w:szCs w:val="32"/>
        </w:rPr>
        <w:t xml:space="preserve">    </w:t>
      </w:r>
    </w:p>
    <w:p w14:paraId="1208E2BC" w14:textId="77777777" w:rsidR="005114BD" w:rsidRDefault="005114BD">
      <w:pPr>
        <w:pStyle w:val="a7"/>
        <w:overflowPunct w:val="0"/>
      </w:pPr>
    </w:p>
    <w:p w14:paraId="79EF0F46" w14:textId="77777777" w:rsidR="005114BD" w:rsidRDefault="00000000">
      <w:pPr>
        <w:overflowPunct w:val="0"/>
        <w:spacing w:line="578" w:lineRule="exact"/>
        <w:ind w:firstLineChars="100" w:firstLine="300"/>
        <w:rPr>
          <w:rFonts w:ascii="仿宋_GB2312" w:eastAsia="仿宋_GB2312" w:hAnsi="仿宋" w:cs="仿宋"/>
          <w:sz w:val="30"/>
          <w:szCs w:val="32"/>
          <w:u w:val="single"/>
        </w:rPr>
      </w:pPr>
      <w:r>
        <w:rPr>
          <w:rFonts w:ascii="仿宋_GB2312" w:eastAsia="仿宋_GB2312" w:hAnsi="仿宋" w:cs="仿宋" w:hint="eastAsia"/>
          <w:sz w:val="30"/>
          <w:szCs w:val="32"/>
        </w:rPr>
        <w:t>评价类型：</w:t>
      </w:r>
      <w:r>
        <w:rPr>
          <w:rFonts w:ascii="仿宋_GB2312" w:eastAsia="仿宋_GB2312" w:hAnsi="仿宋" w:cs="仿宋" w:hint="eastAsia"/>
          <w:sz w:val="30"/>
          <w:szCs w:val="32"/>
          <w:u w:val="single"/>
        </w:rPr>
        <w:sym w:font="Wingdings 2" w:char="00A3"/>
      </w:r>
      <w:r>
        <w:rPr>
          <w:rFonts w:ascii="仿宋_GB2312" w:eastAsia="仿宋_GB2312" w:hAnsi="仿宋" w:cs="仿宋" w:hint="eastAsia"/>
          <w:sz w:val="30"/>
          <w:szCs w:val="32"/>
          <w:u w:val="single"/>
        </w:rPr>
        <w:t>实施过程评价</w:t>
      </w:r>
      <w:r>
        <w:rPr>
          <w:rFonts w:ascii="仿宋_GB2312" w:eastAsia="仿宋_GB2312" w:hAnsi="仿宋" w:cs="仿宋" w:hint="eastAsia"/>
          <w:sz w:val="30"/>
          <w:szCs w:val="32"/>
        </w:rPr>
        <w:t xml:space="preserve">          </w:t>
      </w:r>
      <w:r>
        <w:rPr>
          <w:rFonts w:ascii="仿宋_GB2312" w:eastAsia="仿宋_GB2312" w:hAnsi="仿宋" w:cs="仿宋" w:hint="eastAsia"/>
          <w:sz w:val="30"/>
          <w:szCs w:val="32"/>
          <w:u w:val="single"/>
        </w:rPr>
        <w:sym w:font="Wingdings 2" w:char="0052"/>
      </w:r>
      <w:r>
        <w:rPr>
          <w:rFonts w:ascii="仿宋_GB2312" w:eastAsia="仿宋_GB2312" w:hAnsi="仿宋" w:cs="仿宋" w:hint="eastAsia"/>
          <w:sz w:val="30"/>
          <w:szCs w:val="32"/>
          <w:u w:val="single"/>
        </w:rPr>
        <w:t>完成结果评价</w:t>
      </w:r>
    </w:p>
    <w:p w14:paraId="6329ED7C" w14:textId="77777777" w:rsidR="005114BD" w:rsidRDefault="00000000">
      <w:pPr>
        <w:overflowPunct w:val="0"/>
        <w:spacing w:line="578" w:lineRule="exact"/>
        <w:ind w:left="1800" w:rightChars="217" w:right="456" w:hangingChars="600" w:hanging="1800"/>
        <w:rPr>
          <w:rFonts w:ascii="仿宋_GB2312" w:eastAsia="仿宋_GB2312" w:hAnsi="仿宋" w:cs="仿宋"/>
          <w:sz w:val="30"/>
          <w:szCs w:val="32"/>
          <w:u w:val="single"/>
        </w:rPr>
      </w:pPr>
      <w:r>
        <w:rPr>
          <w:rFonts w:ascii="仿宋_GB2312" w:eastAsia="仿宋_GB2312" w:hAnsi="仿宋" w:cs="仿宋" w:hint="eastAsia"/>
          <w:sz w:val="30"/>
          <w:szCs w:val="32"/>
        </w:rPr>
        <w:t xml:space="preserve">  项目名称：</w:t>
      </w:r>
      <w:r>
        <w:rPr>
          <w:rFonts w:ascii="仿宋_GB2312" w:eastAsia="仿宋_GB2312" w:hAnsi="仿宋" w:cs="仿宋" w:hint="eastAsia"/>
          <w:sz w:val="30"/>
          <w:szCs w:val="32"/>
          <w:u w:val="single"/>
        </w:rPr>
        <w:t xml:space="preserve">法官法警服装费                        </w:t>
      </w:r>
    </w:p>
    <w:p w14:paraId="5A888E07" w14:textId="77777777" w:rsidR="005114BD" w:rsidRDefault="00000000">
      <w:pPr>
        <w:overflowPunct w:val="0"/>
        <w:spacing w:line="578" w:lineRule="exact"/>
        <w:ind w:left="1800" w:rightChars="217" w:right="456" w:hangingChars="600" w:hanging="1800"/>
        <w:rPr>
          <w:rFonts w:ascii="仿宋_GB2312" w:eastAsia="仿宋_GB2312" w:hAnsi="仿宋" w:cs="仿宋"/>
          <w:sz w:val="30"/>
          <w:szCs w:val="32"/>
        </w:rPr>
      </w:pPr>
      <w:r>
        <w:rPr>
          <w:rFonts w:ascii="仿宋_GB2312" w:eastAsia="仿宋_GB2312" w:hAnsi="仿宋" w:cs="仿宋" w:hint="eastAsia"/>
          <w:sz w:val="30"/>
          <w:szCs w:val="32"/>
        </w:rPr>
        <w:t xml:space="preserve">  主管部门：</w:t>
      </w:r>
      <w:r>
        <w:rPr>
          <w:rFonts w:ascii="仿宋_GB2312" w:eastAsia="仿宋_GB2312" w:hAnsi="仿宋" w:cs="仿宋" w:hint="eastAsia"/>
          <w:sz w:val="30"/>
          <w:szCs w:val="32"/>
          <w:u w:val="single"/>
        </w:rPr>
        <w:t xml:space="preserve">甘肃省高级人民法院                    </w:t>
      </w:r>
      <w:r>
        <w:rPr>
          <w:rFonts w:ascii="仿宋_GB2312" w:eastAsia="仿宋_GB2312" w:hAnsi="仿宋" w:cs="仿宋" w:hint="eastAsia"/>
          <w:sz w:val="30"/>
          <w:szCs w:val="32"/>
        </w:rPr>
        <w:t xml:space="preserve"> </w:t>
      </w:r>
    </w:p>
    <w:p w14:paraId="43BD9688" w14:textId="77777777" w:rsidR="005114BD" w:rsidRDefault="00000000">
      <w:pPr>
        <w:overflowPunct w:val="0"/>
        <w:spacing w:line="578" w:lineRule="exact"/>
        <w:ind w:left="1800" w:rightChars="217" w:right="456" w:hangingChars="600" w:hanging="1800"/>
        <w:rPr>
          <w:rFonts w:ascii="仿宋_GB2312" w:eastAsia="仿宋_GB2312" w:hAnsi="仿宋" w:cs="仿宋"/>
          <w:sz w:val="30"/>
          <w:szCs w:val="32"/>
          <w:u w:val="single"/>
        </w:rPr>
      </w:pPr>
      <w:r>
        <w:rPr>
          <w:rFonts w:ascii="仿宋_GB2312" w:eastAsia="仿宋_GB2312" w:hAnsi="仿宋" w:cs="仿宋" w:hint="eastAsia"/>
          <w:sz w:val="30"/>
          <w:szCs w:val="32"/>
        </w:rPr>
        <w:t xml:space="preserve">  评价时间：</w:t>
      </w:r>
      <w:r>
        <w:rPr>
          <w:rFonts w:ascii="仿宋_GB2312" w:eastAsia="仿宋_GB2312" w:hAnsi="仿宋" w:cs="仿宋" w:hint="eastAsia"/>
          <w:sz w:val="30"/>
          <w:szCs w:val="32"/>
          <w:u w:val="single"/>
        </w:rPr>
        <w:t xml:space="preserve">2022年01月01日至 2022年12月31日  </w:t>
      </w:r>
    </w:p>
    <w:p w14:paraId="5B44C023" w14:textId="77777777" w:rsidR="005114BD" w:rsidRDefault="00000000">
      <w:pPr>
        <w:overflowPunct w:val="0"/>
        <w:spacing w:line="578" w:lineRule="exact"/>
        <w:ind w:left="1800" w:rightChars="217" w:right="456" w:hangingChars="600" w:hanging="1800"/>
        <w:rPr>
          <w:rFonts w:ascii="仿宋_GB2312" w:eastAsia="仿宋_GB2312" w:hAnsi="仿宋" w:cs="仿宋"/>
          <w:sz w:val="30"/>
          <w:szCs w:val="32"/>
        </w:rPr>
      </w:pPr>
      <w:r>
        <w:rPr>
          <w:rFonts w:ascii="仿宋_GB2312" w:eastAsia="仿宋_GB2312" w:hAnsi="仿宋" w:cs="仿宋" w:hint="eastAsia"/>
          <w:sz w:val="30"/>
          <w:szCs w:val="32"/>
        </w:rPr>
        <w:t xml:space="preserve">  组织方式：</w:t>
      </w:r>
      <w:r>
        <w:rPr>
          <w:rFonts w:ascii="仿宋_GB2312" w:eastAsia="仿宋_GB2312" w:hAnsi="仿宋" w:cs="仿宋" w:hint="eastAsia"/>
          <w:sz w:val="30"/>
          <w:szCs w:val="32"/>
          <w:u w:val="single"/>
        </w:rPr>
        <w:t>□财政部门</w:t>
      </w:r>
      <w:r>
        <w:rPr>
          <w:rFonts w:ascii="仿宋_GB2312" w:eastAsia="仿宋_GB2312" w:hAnsi="仿宋" w:cs="仿宋" w:hint="eastAsia"/>
          <w:sz w:val="30"/>
          <w:szCs w:val="32"/>
        </w:rPr>
        <w:t xml:space="preserve">    </w:t>
      </w:r>
      <w:r>
        <w:rPr>
          <w:rFonts w:ascii="仿宋_GB2312" w:eastAsia="仿宋_GB2312" w:hAnsi="仿宋" w:cs="仿宋" w:hint="eastAsia"/>
          <w:sz w:val="30"/>
          <w:szCs w:val="32"/>
          <w:u w:val="single"/>
        </w:rPr>
        <w:t xml:space="preserve"> </w:t>
      </w:r>
      <w:r>
        <w:rPr>
          <w:rFonts w:ascii="仿宋_GB2312" w:eastAsia="仿宋_GB2312" w:hAnsi="仿宋" w:cs="仿宋" w:hint="eastAsia"/>
          <w:sz w:val="30"/>
          <w:szCs w:val="32"/>
          <w:u w:val="single"/>
        </w:rPr>
        <w:sym w:font="Wingdings 2" w:char="0052"/>
      </w:r>
      <w:r>
        <w:rPr>
          <w:rFonts w:ascii="仿宋_GB2312" w:eastAsia="仿宋_GB2312" w:hAnsi="仿宋" w:cs="仿宋" w:hint="eastAsia"/>
          <w:sz w:val="30"/>
          <w:szCs w:val="32"/>
          <w:u w:val="single"/>
        </w:rPr>
        <w:t>主管部门</w:t>
      </w:r>
      <w:r>
        <w:rPr>
          <w:rFonts w:ascii="仿宋_GB2312" w:eastAsia="仿宋_GB2312" w:hAnsi="仿宋" w:cs="仿宋" w:hint="eastAsia"/>
          <w:sz w:val="30"/>
          <w:szCs w:val="32"/>
        </w:rPr>
        <w:t xml:space="preserve">     </w:t>
      </w:r>
      <w:r>
        <w:rPr>
          <w:rFonts w:ascii="仿宋_GB2312" w:eastAsia="仿宋_GB2312" w:hAnsi="仿宋" w:cs="仿宋" w:hint="eastAsia"/>
          <w:sz w:val="30"/>
          <w:szCs w:val="32"/>
          <w:u w:val="single"/>
        </w:rPr>
        <w:sym w:font="Wingdings 2" w:char="00A3"/>
      </w:r>
      <w:r>
        <w:rPr>
          <w:rFonts w:ascii="仿宋_GB2312" w:eastAsia="仿宋_GB2312" w:hAnsi="仿宋" w:cs="仿宋" w:hint="eastAsia"/>
          <w:sz w:val="30"/>
          <w:szCs w:val="32"/>
          <w:u w:val="single"/>
        </w:rPr>
        <w:t>项目单位</w:t>
      </w:r>
      <w:r>
        <w:rPr>
          <w:rFonts w:ascii="仿宋_GB2312" w:eastAsia="仿宋_GB2312" w:hAnsi="仿宋" w:cs="仿宋" w:hint="eastAsia"/>
          <w:sz w:val="30"/>
          <w:szCs w:val="32"/>
        </w:rPr>
        <w:t xml:space="preserve"> </w:t>
      </w:r>
    </w:p>
    <w:p w14:paraId="778BEBA8" w14:textId="77777777" w:rsidR="005114BD" w:rsidRDefault="00000000">
      <w:pPr>
        <w:overflowPunct w:val="0"/>
        <w:spacing w:line="578" w:lineRule="exact"/>
        <w:ind w:left="1800" w:rightChars="217" w:right="456" w:hangingChars="600" w:hanging="1800"/>
        <w:rPr>
          <w:rFonts w:ascii="仿宋_GB2312" w:eastAsia="仿宋_GB2312" w:hAnsi="仿宋" w:cs="仿宋"/>
          <w:sz w:val="30"/>
          <w:szCs w:val="32"/>
        </w:rPr>
      </w:pPr>
      <w:r>
        <w:rPr>
          <w:rFonts w:ascii="仿宋_GB2312" w:eastAsia="仿宋_GB2312" w:hAnsi="仿宋" w:cs="仿宋" w:hint="eastAsia"/>
          <w:sz w:val="30"/>
          <w:szCs w:val="32"/>
        </w:rPr>
        <w:t xml:space="preserve">  评价机构：</w:t>
      </w:r>
      <w:r>
        <w:rPr>
          <w:rFonts w:ascii="仿宋_GB2312" w:eastAsia="仿宋_GB2312" w:hAnsi="仿宋" w:cs="仿宋" w:hint="eastAsia"/>
          <w:sz w:val="30"/>
          <w:szCs w:val="32"/>
          <w:u w:val="single"/>
        </w:rPr>
        <w:sym w:font="Wingdings 2" w:char="0052"/>
      </w:r>
      <w:r>
        <w:rPr>
          <w:rFonts w:ascii="仿宋_GB2312" w:eastAsia="仿宋_GB2312" w:hAnsi="仿宋" w:cs="仿宋" w:hint="eastAsia"/>
          <w:sz w:val="30"/>
          <w:szCs w:val="32"/>
          <w:u w:val="single"/>
        </w:rPr>
        <w:t>中介机构</w:t>
      </w:r>
      <w:r>
        <w:rPr>
          <w:rFonts w:ascii="仿宋_GB2312" w:eastAsia="仿宋_GB2312" w:hAnsi="仿宋" w:cs="仿宋" w:hint="eastAsia"/>
          <w:sz w:val="30"/>
          <w:szCs w:val="32"/>
        </w:rPr>
        <w:t xml:space="preserve">    </w:t>
      </w:r>
      <w:r>
        <w:rPr>
          <w:rFonts w:ascii="仿宋_GB2312" w:eastAsia="仿宋_GB2312" w:hAnsi="仿宋" w:cs="仿宋" w:hint="eastAsia"/>
          <w:sz w:val="30"/>
          <w:szCs w:val="32"/>
          <w:u w:val="single"/>
        </w:rPr>
        <w:t>□专家组</w:t>
      </w:r>
      <w:r>
        <w:rPr>
          <w:rFonts w:ascii="仿宋_GB2312" w:eastAsia="仿宋_GB2312" w:hAnsi="仿宋" w:cs="仿宋" w:hint="eastAsia"/>
          <w:sz w:val="30"/>
          <w:szCs w:val="32"/>
        </w:rPr>
        <w:t xml:space="preserve">   </w:t>
      </w:r>
      <w:r>
        <w:rPr>
          <w:rFonts w:ascii="仿宋_GB2312" w:eastAsia="仿宋_GB2312" w:hAnsi="仿宋" w:cs="仿宋" w:hint="eastAsia"/>
          <w:sz w:val="30"/>
          <w:szCs w:val="32"/>
          <w:u w:val="single"/>
        </w:rPr>
        <w:t>□项目单位评价组</w:t>
      </w:r>
    </w:p>
    <w:p w14:paraId="4DDC9047" w14:textId="77777777" w:rsidR="005114BD" w:rsidRDefault="005114BD">
      <w:pPr>
        <w:overflowPunct w:val="0"/>
        <w:spacing w:line="578" w:lineRule="exact"/>
        <w:rPr>
          <w:rFonts w:ascii="仿宋_GB2312" w:eastAsia="仿宋_GB2312" w:hAnsi="仿宋" w:cs="仿宋"/>
          <w:sz w:val="30"/>
          <w:szCs w:val="32"/>
        </w:rPr>
      </w:pPr>
    </w:p>
    <w:p w14:paraId="2197E490" w14:textId="77777777" w:rsidR="005114BD" w:rsidRDefault="00000000">
      <w:pPr>
        <w:overflowPunct w:val="0"/>
        <w:spacing w:line="578" w:lineRule="exact"/>
        <w:ind w:left="4800" w:hangingChars="1600" w:hanging="4800"/>
        <w:rPr>
          <w:rFonts w:ascii="仿宋_GB2312" w:eastAsia="仿宋_GB2312" w:hAnsi="仿宋" w:cs="仿宋"/>
          <w:sz w:val="30"/>
          <w:szCs w:val="32"/>
        </w:rPr>
      </w:pPr>
      <w:r>
        <w:rPr>
          <w:rFonts w:ascii="仿宋_GB2312" w:eastAsia="仿宋_GB2312" w:hAnsi="仿宋" w:cs="仿宋" w:hint="eastAsia"/>
          <w:sz w:val="30"/>
          <w:szCs w:val="32"/>
        </w:rPr>
        <w:t xml:space="preserve">      </w:t>
      </w:r>
    </w:p>
    <w:p w14:paraId="5B2829F3" w14:textId="77777777" w:rsidR="005114BD" w:rsidRDefault="005114BD">
      <w:pPr>
        <w:overflowPunct w:val="0"/>
        <w:spacing w:line="578" w:lineRule="exact"/>
        <w:ind w:left="4800" w:hangingChars="1600" w:hanging="4800"/>
        <w:rPr>
          <w:rFonts w:ascii="仿宋_GB2312" w:eastAsia="仿宋_GB2312" w:hAnsi="仿宋" w:cs="仿宋"/>
          <w:sz w:val="30"/>
          <w:szCs w:val="32"/>
        </w:rPr>
      </w:pPr>
    </w:p>
    <w:p w14:paraId="2EDE2D9D" w14:textId="77777777" w:rsidR="005114BD" w:rsidRDefault="00000000">
      <w:pPr>
        <w:overflowPunct w:val="0"/>
        <w:spacing w:line="578" w:lineRule="exact"/>
        <w:ind w:left="4800" w:hangingChars="1600" w:hanging="4800"/>
        <w:rPr>
          <w:rFonts w:ascii="仿宋_GB2312" w:eastAsia="仿宋_GB2312" w:hAnsi="仿宋" w:cs="仿宋"/>
          <w:sz w:val="30"/>
          <w:szCs w:val="32"/>
        </w:rPr>
      </w:pPr>
      <w:r>
        <w:rPr>
          <w:rFonts w:ascii="仿宋_GB2312" w:eastAsia="仿宋_GB2312" w:hAnsi="仿宋" w:cs="仿宋" w:hint="eastAsia"/>
          <w:sz w:val="30"/>
          <w:szCs w:val="32"/>
        </w:rPr>
        <w:t xml:space="preserve">       </w:t>
      </w:r>
    </w:p>
    <w:p w14:paraId="1C88ADD0" w14:textId="77777777" w:rsidR="005114BD" w:rsidRDefault="00000000">
      <w:pPr>
        <w:overflowPunct w:val="0"/>
        <w:spacing w:line="578" w:lineRule="exact"/>
        <w:ind w:rightChars="217" w:right="456" w:firstLineChars="100" w:firstLine="300"/>
        <w:rPr>
          <w:rFonts w:ascii="宋体" w:eastAsia="宋体" w:hAnsi="宋体" w:cs="宋体"/>
          <w:sz w:val="30"/>
          <w:szCs w:val="32"/>
        </w:rPr>
      </w:pPr>
      <w:r>
        <w:rPr>
          <w:rFonts w:ascii="宋体" w:eastAsia="宋体" w:hAnsi="宋体" w:cs="宋体" w:hint="eastAsia"/>
          <w:sz w:val="30"/>
          <w:szCs w:val="32"/>
        </w:rPr>
        <w:t>评价单位：甘肃卓诚财务咨询有限公司</w:t>
      </w:r>
    </w:p>
    <w:p w14:paraId="4280CCDE" w14:textId="77777777" w:rsidR="005114BD" w:rsidRDefault="00000000">
      <w:pPr>
        <w:overflowPunct w:val="0"/>
        <w:spacing w:line="578" w:lineRule="exact"/>
        <w:ind w:rightChars="217" w:right="456" w:firstLineChars="100" w:firstLine="300"/>
        <w:rPr>
          <w:rFonts w:ascii="宋体" w:eastAsia="宋体" w:hAnsi="宋体" w:cs="宋体"/>
          <w:sz w:val="30"/>
          <w:szCs w:val="32"/>
        </w:rPr>
        <w:sectPr w:rsidR="005114BD">
          <w:headerReference w:type="default" r:id="rId8"/>
          <w:footerReference w:type="default" r:id="rId9"/>
          <w:pgSz w:w="11906" w:h="16838"/>
          <w:pgMar w:top="1440" w:right="1800" w:bottom="1440" w:left="1800" w:header="851" w:footer="992" w:gutter="0"/>
          <w:cols w:space="720"/>
          <w:titlePg/>
          <w:docGrid w:type="lines" w:linePitch="312"/>
        </w:sectPr>
      </w:pPr>
      <w:r>
        <w:rPr>
          <w:rFonts w:ascii="宋体" w:eastAsia="宋体" w:hAnsi="宋体" w:cs="宋体" w:hint="eastAsia"/>
          <w:sz w:val="30"/>
          <w:szCs w:val="32"/>
        </w:rPr>
        <w:t>上报日期：2023年05月29日</w:t>
      </w:r>
    </w:p>
    <w:sdt>
      <w:sdtPr>
        <w:rPr>
          <w:rFonts w:ascii="宋体" w:eastAsia="宋体" w:hAnsi="宋体"/>
          <w:color w:val="FF0000"/>
          <w:sz w:val="32"/>
          <w:szCs w:val="32"/>
        </w:rPr>
        <w:id w:val="147453237"/>
        <w15:color w:val="DBDBDB"/>
        <w:docPartObj>
          <w:docPartGallery w:val="Table of Contents"/>
          <w:docPartUnique/>
        </w:docPartObj>
      </w:sdtPr>
      <w:sdtEndPr>
        <w:rPr>
          <w:rFonts w:hint="eastAsia"/>
          <w:b/>
          <w:bCs/>
          <w:szCs w:val="44"/>
        </w:rPr>
      </w:sdtEndPr>
      <w:sdtContent>
        <w:p w14:paraId="6240455A" w14:textId="77777777" w:rsidR="005114BD" w:rsidRDefault="00000000">
          <w:pPr>
            <w:overflowPunct w:val="0"/>
            <w:jc w:val="center"/>
            <w:rPr>
              <w:rFonts w:ascii="宋体" w:eastAsia="宋体" w:hAnsi="宋体" w:cs="宋体"/>
              <w:b/>
              <w:bCs/>
              <w:sz w:val="36"/>
              <w:szCs w:val="36"/>
            </w:rPr>
          </w:pPr>
          <w:r>
            <w:rPr>
              <w:rFonts w:ascii="宋体" w:eastAsia="宋体" w:hAnsi="宋体" w:cs="宋体" w:hint="eastAsia"/>
              <w:b/>
              <w:bCs/>
              <w:sz w:val="36"/>
              <w:szCs w:val="36"/>
            </w:rPr>
            <w:t>目  录</w:t>
          </w:r>
        </w:p>
        <w:p w14:paraId="56B16C54" w14:textId="77777777" w:rsidR="005114BD" w:rsidRDefault="00000000">
          <w:pPr>
            <w:pStyle w:val="TOC1"/>
            <w:tabs>
              <w:tab w:val="right" w:leader="dot" w:pos="8306"/>
            </w:tabs>
            <w:spacing w:line="500" w:lineRule="exact"/>
            <w:rPr>
              <w:rFonts w:ascii="仿宋" w:eastAsia="仿宋" w:hAnsi="仿宋" w:cs="仿宋"/>
              <w:b/>
              <w:bCs/>
              <w:sz w:val="28"/>
              <w:szCs w:val="28"/>
            </w:rPr>
          </w:pPr>
          <w:r>
            <w:rPr>
              <w:rFonts w:ascii="仿宋" w:eastAsia="仿宋" w:hAnsi="仿宋" w:cs="仿宋" w:hint="eastAsia"/>
              <w:b/>
              <w:bCs/>
              <w:sz w:val="28"/>
              <w:szCs w:val="28"/>
            </w:rPr>
            <w:fldChar w:fldCharType="begin"/>
          </w:r>
          <w:r>
            <w:rPr>
              <w:rFonts w:ascii="仿宋" w:eastAsia="仿宋" w:hAnsi="仿宋" w:cs="仿宋" w:hint="eastAsia"/>
              <w:b/>
              <w:bCs/>
              <w:sz w:val="28"/>
              <w:szCs w:val="28"/>
            </w:rPr>
            <w:instrText xml:space="preserve">TOC \o "1-2" \h \u </w:instrText>
          </w:r>
          <w:r>
            <w:rPr>
              <w:rFonts w:ascii="仿宋" w:eastAsia="仿宋" w:hAnsi="仿宋" w:cs="仿宋" w:hint="eastAsia"/>
              <w:b/>
              <w:bCs/>
              <w:sz w:val="28"/>
              <w:szCs w:val="28"/>
            </w:rPr>
            <w:fldChar w:fldCharType="separate"/>
          </w:r>
          <w:hyperlink w:anchor="_Toc20620" w:history="1">
            <w:r>
              <w:rPr>
                <w:rFonts w:ascii="仿宋" w:eastAsia="仿宋" w:hAnsi="仿宋" w:cs="仿宋" w:hint="eastAsia"/>
                <w:b/>
                <w:bCs/>
                <w:sz w:val="28"/>
                <w:szCs w:val="28"/>
              </w:rPr>
              <w:t>摘   要</w:t>
            </w:r>
            <w:r>
              <w:rPr>
                <w:rFonts w:ascii="仿宋" w:eastAsia="仿宋" w:hAnsi="仿宋" w:cs="仿宋" w:hint="eastAsia"/>
                <w:b/>
                <w:bCs/>
                <w:sz w:val="28"/>
                <w:szCs w:val="28"/>
              </w:rPr>
              <w:tab/>
            </w:r>
            <w:r>
              <w:rPr>
                <w:rFonts w:ascii="仿宋" w:eastAsia="仿宋" w:hAnsi="仿宋" w:cs="仿宋" w:hint="eastAsia"/>
                <w:b/>
                <w:bCs/>
                <w:sz w:val="28"/>
                <w:szCs w:val="28"/>
              </w:rPr>
              <w:fldChar w:fldCharType="begin"/>
            </w:r>
            <w:r>
              <w:rPr>
                <w:rFonts w:ascii="仿宋" w:eastAsia="仿宋" w:hAnsi="仿宋" w:cs="仿宋" w:hint="eastAsia"/>
                <w:b/>
                <w:bCs/>
                <w:sz w:val="28"/>
                <w:szCs w:val="28"/>
              </w:rPr>
              <w:instrText xml:space="preserve"> PAGEREF _Toc20620 \h </w:instrText>
            </w:r>
            <w:r>
              <w:rPr>
                <w:rFonts w:ascii="仿宋" w:eastAsia="仿宋" w:hAnsi="仿宋" w:cs="仿宋" w:hint="eastAsia"/>
                <w:b/>
                <w:bCs/>
                <w:sz w:val="28"/>
                <w:szCs w:val="28"/>
              </w:rPr>
            </w:r>
            <w:r>
              <w:rPr>
                <w:rFonts w:ascii="仿宋" w:eastAsia="仿宋" w:hAnsi="仿宋" w:cs="仿宋" w:hint="eastAsia"/>
                <w:b/>
                <w:bCs/>
                <w:sz w:val="28"/>
                <w:szCs w:val="28"/>
              </w:rPr>
              <w:fldChar w:fldCharType="separate"/>
            </w:r>
            <w:r>
              <w:rPr>
                <w:rFonts w:ascii="仿宋" w:eastAsia="仿宋" w:hAnsi="仿宋" w:cs="仿宋" w:hint="eastAsia"/>
                <w:b/>
                <w:bCs/>
                <w:sz w:val="28"/>
                <w:szCs w:val="28"/>
              </w:rPr>
              <w:t>1</w:t>
            </w:r>
            <w:r>
              <w:rPr>
                <w:rFonts w:ascii="仿宋" w:eastAsia="仿宋" w:hAnsi="仿宋" w:cs="仿宋" w:hint="eastAsia"/>
                <w:b/>
                <w:bCs/>
                <w:sz w:val="28"/>
                <w:szCs w:val="28"/>
              </w:rPr>
              <w:fldChar w:fldCharType="end"/>
            </w:r>
          </w:hyperlink>
        </w:p>
        <w:p w14:paraId="6F95BC29" w14:textId="77777777" w:rsidR="005114BD" w:rsidRDefault="00000000">
          <w:pPr>
            <w:pStyle w:val="TOC1"/>
            <w:tabs>
              <w:tab w:val="right" w:leader="dot" w:pos="8306"/>
            </w:tabs>
            <w:spacing w:line="500" w:lineRule="exact"/>
            <w:rPr>
              <w:rFonts w:ascii="仿宋" w:eastAsia="仿宋" w:hAnsi="仿宋" w:cs="仿宋"/>
              <w:sz w:val="28"/>
              <w:szCs w:val="28"/>
            </w:rPr>
          </w:pPr>
          <w:hyperlink w:anchor="_Toc23575" w:history="1">
            <w:r>
              <w:rPr>
                <w:rFonts w:ascii="仿宋" w:eastAsia="仿宋" w:hAnsi="仿宋" w:cs="仿宋" w:hint="eastAsia"/>
                <w:bCs/>
                <w:sz w:val="28"/>
                <w:szCs w:val="28"/>
              </w:rPr>
              <w:t>一、项目基本情况</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_Toc23575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1</w:t>
            </w:r>
            <w:r>
              <w:rPr>
                <w:rFonts w:ascii="仿宋" w:eastAsia="仿宋" w:hAnsi="仿宋" w:cs="仿宋" w:hint="eastAsia"/>
                <w:sz w:val="28"/>
                <w:szCs w:val="28"/>
              </w:rPr>
              <w:fldChar w:fldCharType="end"/>
            </w:r>
          </w:hyperlink>
        </w:p>
        <w:p w14:paraId="5E607571" w14:textId="77777777" w:rsidR="005114BD" w:rsidRDefault="00000000">
          <w:pPr>
            <w:pStyle w:val="TOC2"/>
            <w:tabs>
              <w:tab w:val="right" w:leader="dot" w:pos="8306"/>
            </w:tabs>
            <w:spacing w:line="500" w:lineRule="exact"/>
            <w:rPr>
              <w:rFonts w:ascii="仿宋" w:eastAsia="仿宋" w:hAnsi="仿宋" w:cs="仿宋"/>
              <w:sz w:val="28"/>
              <w:szCs w:val="28"/>
            </w:rPr>
          </w:pPr>
          <w:hyperlink w:anchor="_Toc18419" w:history="1">
            <w:r>
              <w:rPr>
                <w:rFonts w:ascii="仿宋" w:eastAsia="仿宋" w:hAnsi="仿宋" w:cs="仿宋" w:hint="eastAsia"/>
                <w:bCs/>
                <w:sz w:val="28"/>
                <w:szCs w:val="28"/>
              </w:rPr>
              <w:t>（一）项目立项背景及实施目的</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_Toc18419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1</w:t>
            </w:r>
            <w:r>
              <w:rPr>
                <w:rFonts w:ascii="仿宋" w:eastAsia="仿宋" w:hAnsi="仿宋" w:cs="仿宋" w:hint="eastAsia"/>
                <w:sz w:val="28"/>
                <w:szCs w:val="28"/>
              </w:rPr>
              <w:fldChar w:fldCharType="end"/>
            </w:r>
          </w:hyperlink>
        </w:p>
        <w:p w14:paraId="35865654" w14:textId="77777777" w:rsidR="005114BD" w:rsidRDefault="00000000">
          <w:pPr>
            <w:pStyle w:val="TOC2"/>
            <w:tabs>
              <w:tab w:val="right" w:leader="dot" w:pos="8306"/>
            </w:tabs>
            <w:spacing w:line="500" w:lineRule="exact"/>
            <w:rPr>
              <w:rFonts w:ascii="仿宋" w:eastAsia="仿宋" w:hAnsi="仿宋" w:cs="仿宋"/>
              <w:sz w:val="28"/>
              <w:szCs w:val="28"/>
            </w:rPr>
          </w:pPr>
          <w:hyperlink w:anchor="_Toc10649" w:history="1">
            <w:r>
              <w:rPr>
                <w:rFonts w:ascii="仿宋" w:eastAsia="仿宋" w:hAnsi="仿宋" w:cs="仿宋" w:hint="eastAsia"/>
                <w:bCs/>
                <w:sz w:val="28"/>
                <w:szCs w:val="28"/>
              </w:rPr>
              <w:t>（二）项目预算安排和支出情况</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_Toc10649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1</w:t>
            </w:r>
            <w:r>
              <w:rPr>
                <w:rFonts w:ascii="仿宋" w:eastAsia="仿宋" w:hAnsi="仿宋" w:cs="仿宋" w:hint="eastAsia"/>
                <w:sz w:val="28"/>
                <w:szCs w:val="28"/>
              </w:rPr>
              <w:fldChar w:fldCharType="end"/>
            </w:r>
          </w:hyperlink>
        </w:p>
        <w:p w14:paraId="7DAAAC07" w14:textId="77777777" w:rsidR="005114BD" w:rsidRDefault="00000000">
          <w:pPr>
            <w:pStyle w:val="TOC2"/>
            <w:tabs>
              <w:tab w:val="right" w:leader="dot" w:pos="8306"/>
            </w:tabs>
            <w:spacing w:line="500" w:lineRule="exact"/>
            <w:rPr>
              <w:rFonts w:ascii="仿宋" w:eastAsia="仿宋" w:hAnsi="仿宋" w:cs="仿宋"/>
              <w:sz w:val="28"/>
              <w:szCs w:val="28"/>
            </w:rPr>
          </w:pPr>
          <w:hyperlink w:anchor="_Toc25319" w:history="1">
            <w:r>
              <w:rPr>
                <w:rFonts w:ascii="仿宋" w:eastAsia="仿宋" w:hAnsi="仿宋" w:cs="仿宋" w:hint="eastAsia"/>
                <w:bCs/>
                <w:sz w:val="28"/>
                <w:szCs w:val="28"/>
              </w:rPr>
              <w:t>（三）项目主要内容和实施情况</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_Toc25319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1</w:t>
            </w:r>
            <w:r>
              <w:rPr>
                <w:rFonts w:ascii="仿宋" w:eastAsia="仿宋" w:hAnsi="仿宋" w:cs="仿宋" w:hint="eastAsia"/>
                <w:sz w:val="28"/>
                <w:szCs w:val="28"/>
              </w:rPr>
              <w:fldChar w:fldCharType="end"/>
            </w:r>
          </w:hyperlink>
        </w:p>
        <w:p w14:paraId="17968EBE" w14:textId="77777777" w:rsidR="005114BD" w:rsidRDefault="00000000">
          <w:pPr>
            <w:pStyle w:val="TOC1"/>
            <w:tabs>
              <w:tab w:val="right" w:leader="dot" w:pos="8306"/>
            </w:tabs>
            <w:spacing w:line="500" w:lineRule="exact"/>
            <w:rPr>
              <w:rFonts w:ascii="仿宋" w:eastAsia="仿宋" w:hAnsi="仿宋" w:cs="仿宋"/>
              <w:sz w:val="28"/>
              <w:szCs w:val="28"/>
            </w:rPr>
          </w:pPr>
          <w:hyperlink w:anchor="_Toc29295" w:history="1">
            <w:r>
              <w:rPr>
                <w:rFonts w:ascii="仿宋" w:eastAsia="仿宋" w:hAnsi="仿宋" w:cs="仿宋" w:hint="eastAsia"/>
                <w:bCs/>
                <w:sz w:val="28"/>
                <w:szCs w:val="28"/>
              </w:rPr>
              <w:t>二、项目绩效目标</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_Toc29295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2</w:t>
            </w:r>
            <w:r>
              <w:rPr>
                <w:rFonts w:ascii="仿宋" w:eastAsia="仿宋" w:hAnsi="仿宋" w:cs="仿宋" w:hint="eastAsia"/>
                <w:sz w:val="28"/>
                <w:szCs w:val="28"/>
              </w:rPr>
              <w:fldChar w:fldCharType="end"/>
            </w:r>
          </w:hyperlink>
        </w:p>
        <w:p w14:paraId="05EECECB" w14:textId="77777777" w:rsidR="005114BD" w:rsidRDefault="00000000">
          <w:pPr>
            <w:pStyle w:val="TOC2"/>
            <w:tabs>
              <w:tab w:val="right" w:leader="dot" w:pos="8306"/>
            </w:tabs>
            <w:spacing w:line="500" w:lineRule="exact"/>
            <w:rPr>
              <w:rFonts w:ascii="仿宋" w:eastAsia="仿宋" w:hAnsi="仿宋" w:cs="仿宋"/>
              <w:sz w:val="28"/>
              <w:szCs w:val="28"/>
            </w:rPr>
          </w:pPr>
          <w:hyperlink w:anchor="_Toc20213" w:history="1">
            <w:r>
              <w:rPr>
                <w:rFonts w:ascii="仿宋" w:eastAsia="仿宋" w:hAnsi="仿宋" w:cs="仿宋" w:hint="eastAsia"/>
                <w:bCs/>
                <w:sz w:val="28"/>
                <w:szCs w:val="28"/>
              </w:rPr>
              <w:t>（一）总体绩效目标</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_Toc20213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2</w:t>
            </w:r>
            <w:r>
              <w:rPr>
                <w:rFonts w:ascii="仿宋" w:eastAsia="仿宋" w:hAnsi="仿宋" w:cs="仿宋" w:hint="eastAsia"/>
                <w:sz w:val="28"/>
                <w:szCs w:val="28"/>
              </w:rPr>
              <w:fldChar w:fldCharType="end"/>
            </w:r>
          </w:hyperlink>
        </w:p>
        <w:p w14:paraId="357FE4F7" w14:textId="77777777" w:rsidR="005114BD" w:rsidRDefault="00000000">
          <w:pPr>
            <w:pStyle w:val="TOC2"/>
            <w:tabs>
              <w:tab w:val="right" w:leader="dot" w:pos="8306"/>
            </w:tabs>
            <w:spacing w:line="500" w:lineRule="exact"/>
            <w:rPr>
              <w:rFonts w:ascii="仿宋" w:eastAsia="仿宋" w:hAnsi="仿宋" w:cs="仿宋"/>
              <w:sz w:val="28"/>
              <w:szCs w:val="28"/>
            </w:rPr>
          </w:pPr>
          <w:hyperlink w:anchor="_Toc8120" w:history="1">
            <w:r>
              <w:rPr>
                <w:rFonts w:ascii="仿宋" w:eastAsia="仿宋" w:hAnsi="仿宋" w:cs="仿宋" w:hint="eastAsia"/>
                <w:bCs/>
                <w:sz w:val="28"/>
                <w:szCs w:val="28"/>
              </w:rPr>
              <w:t>（二）2022年度绩效目标</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_Toc8120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2</w:t>
            </w:r>
            <w:r>
              <w:rPr>
                <w:rFonts w:ascii="仿宋" w:eastAsia="仿宋" w:hAnsi="仿宋" w:cs="仿宋" w:hint="eastAsia"/>
                <w:sz w:val="28"/>
                <w:szCs w:val="28"/>
              </w:rPr>
              <w:fldChar w:fldCharType="end"/>
            </w:r>
          </w:hyperlink>
        </w:p>
        <w:p w14:paraId="067F9972" w14:textId="77777777" w:rsidR="005114BD" w:rsidRDefault="00000000">
          <w:pPr>
            <w:pStyle w:val="TOC1"/>
            <w:tabs>
              <w:tab w:val="right" w:leader="dot" w:pos="8306"/>
            </w:tabs>
            <w:spacing w:line="500" w:lineRule="exact"/>
            <w:rPr>
              <w:rFonts w:ascii="仿宋" w:eastAsia="仿宋" w:hAnsi="仿宋" w:cs="仿宋"/>
              <w:sz w:val="28"/>
              <w:szCs w:val="28"/>
            </w:rPr>
          </w:pPr>
          <w:hyperlink w:anchor="_Toc9055" w:history="1">
            <w:r>
              <w:rPr>
                <w:rFonts w:ascii="仿宋" w:eastAsia="仿宋" w:hAnsi="仿宋" w:cs="仿宋" w:hint="eastAsia"/>
                <w:sz w:val="28"/>
                <w:szCs w:val="28"/>
              </w:rPr>
              <w:t>三</w:t>
            </w:r>
            <w:r>
              <w:rPr>
                <w:rFonts w:ascii="仿宋" w:eastAsia="仿宋" w:hAnsi="仿宋" w:cs="仿宋" w:hint="eastAsia"/>
                <w:bCs/>
                <w:sz w:val="28"/>
                <w:szCs w:val="28"/>
              </w:rPr>
              <w:t>、评价基本情况</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_Toc9055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2</w:t>
            </w:r>
            <w:r>
              <w:rPr>
                <w:rFonts w:ascii="仿宋" w:eastAsia="仿宋" w:hAnsi="仿宋" w:cs="仿宋" w:hint="eastAsia"/>
                <w:sz w:val="28"/>
                <w:szCs w:val="28"/>
              </w:rPr>
              <w:fldChar w:fldCharType="end"/>
            </w:r>
          </w:hyperlink>
        </w:p>
        <w:p w14:paraId="682E695A" w14:textId="77777777" w:rsidR="005114BD" w:rsidRDefault="00000000">
          <w:pPr>
            <w:pStyle w:val="TOC2"/>
            <w:tabs>
              <w:tab w:val="right" w:leader="dot" w:pos="8306"/>
            </w:tabs>
            <w:spacing w:line="500" w:lineRule="exact"/>
            <w:rPr>
              <w:rFonts w:ascii="仿宋" w:eastAsia="仿宋" w:hAnsi="仿宋" w:cs="仿宋"/>
              <w:sz w:val="28"/>
              <w:szCs w:val="28"/>
            </w:rPr>
          </w:pPr>
          <w:hyperlink w:anchor="_Toc31690" w:history="1">
            <w:r>
              <w:rPr>
                <w:rFonts w:ascii="仿宋" w:eastAsia="仿宋" w:hAnsi="仿宋" w:cs="仿宋" w:hint="eastAsia"/>
                <w:bCs/>
                <w:sz w:val="28"/>
                <w:szCs w:val="28"/>
              </w:rPr>
              <w:t>（一）评价目的、对象和范围</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_Toc31690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2</w:t>
            </w:r>
            <w:r>
              <w:rPr>
                <w:rFonts w:ascii="仿宋" w:eastAsia="仿宋" w:hAnsi="仿宋" w:cs="仿宋" w:hint="eastAsia"/>
                <w:sz w:val="28"/>
                <w:szCs w:val="28"/>
              </w:rPr>
              <w:fldChar w:fldCharType="end"/>
            </w:r>
          </w:hyperlink>
        </w:p>
        <w:p w14:paraId="578C91B6" w14:textId="77777777" w:rsidR="005114BD" w:rsidRDefault="00000000">
          <w:pPr>
            <w:pStyle w:val="TOC2"/>
            <w:tabs>
              <w:tab w:val="right" w:leader="dot" w:pos="8306"/>
            </w:tabs>
            <w:spacing w:line="500" w:lineRule="exact"/>
            <w:rPr>
              <w:rFonts w:ascii="仿宋" w:eastAsia="仿宋" w:hAnsi="仿宋" w:cs="仿宋"/>
              <w:sz w:val="28"/>
              <w:szCs w:val="28"/>
            </w:rPr>
          </w:pPr>
          <w:hyperlink w:anchor="_Toc14548" w:history="1">
            <w:r>
              <w:rPr>
                <w:rFonts w:ascii="仿宋" w:eastAsia="仿宋" w:hAnsi="仿宋" w:cs="仿宋" w:hint="eastAsia"/>
                <w:bCs/>
                <w:sz w:val="28"/>
                <w:szCs w:val="28"/>
              </w:rPr>
              <w:t>（二）评价原则、评价方法、评价指标体系</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_Toc14548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3</w:t>
            </w:r>
            <w:r>
              <w:rPr>
                <w:rFonts w:ascii="仿宋" w:eastAsia="仿宋" w:hAnsi="仿宋" w:cs="仿宋" w:hint="eastAsia"/>
                <w:sz w:val="28"/>
                <w:szCs w:val="28"/>
              </w:rPr>
              <w:fldChar w:fldCharType="end"/>
            </w:r>
          </w:hyperlink>
        </w:p>
        <w:p w14:paraId="46BEE229" w14:textId="77777777" w:rsidR="005114BD" w:rsidRDefault="00000000">
          <w:pPr>
            <w:pStyle w:val="TOC2"/>
            <w:tabs>
              <w:tab w:val="right" w:leader="dot" w:pos="8306"/>
            </w:tabs>
            <w:spacing w:line="500" w:lineRule="exact"/>
            <w:rPr>
              <w:rFonts w:ascii="仿宋" w:eastAsia="仿宋" w:hAnsi="仿宋" w:cs="仿宋"/>
              <w:sz w:val="28"/>
              <w:szCs w:val="28"/>
            </w:rPr>
          </w:pPr>
          <w:hyperlink w:anchor="_Toc7555" w:history="1">
            <w:r>
              <w:rPr>
                <w:rFonts w:ascii="仿宋" w:eastAsia="仿宋" w:hAnsi="仿宋" w:cs="仿宋" w:hint="eastAsia"/>
                <w:bCs/>
                <w:sz w:val="28"/>
                <w:szCs w:val="28"/>
              </w:rPr>
              <w:t>（三）绩效评价工作过程</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_Toc7555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3</w:t>
            </w:r>
            <w:r>
              <w:rPr>
                <w:rFonts w:ascii="仿宋" w:eastAsia="仿宋" w:hAnsi="仿宋" w:cs="仿宋" w:hint="eastAsia"/>
                <w:sz w:val="28"/>
                <w:szCs w:val="28"/>
              </w:rPr>
              <w:fldChar w:fldCharType="end"/>
            </w:r>
          </w:hyperlink>
        </w:p>
        <w:p w14:paraId="23F72014" w14:textId="77777777" w:rsidR="005114BD" w:rsidRDefault="00000000">
          <w:pPr>
            <w:pStyle w:val="TOC1"/>
            <w:tabs>
              <w:tab w:val="right" w:leader="dot" w:pos="8306"/>
            </w:tabs>
            <w:spacing w:line="500" w:lineRule="exact"/>
            <w:rPr>
              <w:rFonts w:ascii="仿宋" w:eastAsia="仿宋" w:hAnsi="仿宋" w:cs="仿宋"/>
              <w:sz w:val="28"/>
              <w:szCs w:val="28"/>
            </w:rPr>
          </w:pPr>
          <w:hyperlink w:anchor="_Toc4097" w:history="1">
            <w:r>
              <w:rPr>
                <w:rFonts w:ascii="仿宋" w:eastAsia="仿宋" w:hAnsi="仿宋" w:cs="仿宋" w:hint="eastAsia"/>
                <w:bCs/>
                <w:sz w:val="28"/>
                <w:szCs w:val="28"/>
              </w:rPr>
              <w:t>四、评价结论和绩效分析</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_Toc4097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3</w:t>
            </w:r>
            <w:r>
              <w:rPr>
                <w:rFonts w:ascii="仿宋" w:eastAsia="仿宋" w:hAnsi="仿宋" w:cs="仿宋" w:hint="eastAsia"/>
                <w:sz w:val="28"/>
                <w:szCs w:val="28"/>
              </w:rPr>
              <w:fldChar w:fldCharType="end"/>
            </w:r>
          </w:hyperlink>
        </w:p>
        <w:p w14:paraId="5A96694B" w14:textId="77777777" w:rsidR="005114BD" w:rsidRDefault="00000000">
          <w:pPr>
            <w:pStyle w:val="TOC1"/>
            <w:tabs>
              <w:tab w:val="right" w:leader="dot" w:pos="8306"/>
            </w:tabs>
            <w:spacing w:line="500" w:lineRule="exact"/>
            <w:rPr>
              <w:rFonts w:ascii="仿宋" w:eastAsia="仿宋" w:hAnsi="仿宋" w:cs="仿宋"/>
              <w:sz w:val="28"/>
              <w:szCs w:val="28"/>
            </w:rPr>
          </w:pPr>
          <w:hyperlink w:anchor="_Toc15126" w:history="1">
            <w:r>
              <w:rPr>
                <w:rFonts w:ascii="仿宋" w:eastAsia="仿宋" w:hAnsi="仿宋" w:cs="仿宋" w:hint="eastAsia"/>
                <w:sz w:val="28"/>
                <w:szCs w:val="28"/>
              </w:rPr>
              <w:t>五、存在问题及原因分析</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_Toc15126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4</w:t>
            </w:r>
            <w:r>
              <w:rPr>
                <w:rFonts w:ascii="仿宋" w:eastAsia="仿宋" w:hAnsi="仿宋" w:cs="仿宋" w:hint="eastAsia"/>
                <w:sz w:val="28"/>
                <w:szCs w:val="28"/>
              </w:rPr>
              <w:fldChar w:fldCharType="end"/>
            </w:r>
          </w:hyperlink>
        </w:p>
        <w:p w14:paraId="57524DC4" w14:textId="77777777" w:rsidR="005114BD" w:rsidRDefault="00000000">
          <w:pPr>
            <w:pStyle w:val="TOC1"/>
            <w:tabs>
              <w:tab w:val="right" w:leader="dot" w:pos="8306"/>
            </w:tabs>
            <w:spacing w:line="500" w:lineRule="exact"/>
            <w:rPr>
              <w:rFonts w:ascii="仿宋" w:eastAsia="仿宋" w:hAnsi="仿宋" w:cs="仿宋"/>
              <w:sz w:val="28"/>
              <w:szCs w:val="28"/>
            </w:rPr>
          </w:pPr>
          <w:hyperlink w:anchor="_Toc17821" w:history="1">
            <w:r>
              <w:rPr>
                <w:rFonts w:ascii="仿宋" w:eastAsia="仿宋" w:hAnsi="仿宋" w:cs="仿宋" w:hint="eastAsia"/>
                <w:sz w:val="28"/>
                <w:szCs w:val="28"/>
              </w:rPr>
              <w:t>六、有关建议</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_Toc17821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4</w:t>
            </w:r>
            <w:r>
              <w:rPr>
                <w:rFonts w:ascii="仿宋" w:eastAsia="仿宋" w:hAnsi="仿宋" w:cs="仿宋" w:hint="eastAsia"/>
                <w:sz w:val="28"/>
                <w:szCs w:val="28"/>
              </w:rPr>
              <w:fldChar w:fldCharType="end"/>
            </w:r>
          </w:hyperlink>
        </w:p>
        <w:p w14:paraId="0B7E4B26" w14:textId="77777777" w:rsidR="005114BD" w:rsidRDefault="00000000">
          <w:pPr>
            <w:pStyle w:val="TOC1"/>
            <w:tabs>
              <w:tab w:val="right" w:leader="dot" w:pos="8306"/>
            </w:tabs>
            <w:spacing w:line="500" w:lineRule="exact"/>
            <w:rPr>
              <w:rFonts w:ascii="仿宋" w:eastAsia="仿宋" w:hAnsi="仿宋" w:cs="仿宋"/>
              <w:b/>
              <w:bCs/>
              <w:sz w:val="28"/>
              <w:szCs w:val="28"/>
            </w:rPr>
          </w:pPr>
          <w:hyperlink w:anchor="_Toc9529" w:history="1">
            <w:r>
              <w:rPr>
                <w:rFonts w:ascii="仿宋" w:eastAsia="仿宋" w:hAnsi="仿宋" w:cs="仿宋" w:hint="eastAsia"/>
                <w:b/>
                <w:bCs/>
                <w:sz w:val="28"/>
                <w:szCs w:val="28"/>
              </w:rPr>
              <w:t>法官法警服装费绩效评价报告</w:t>
            </w:r>
            <w:r>
              <w:rPr>
                <w:rFonts w:ascii="仿宋" w:eastAsia="仿宋" w:hAnsi="仿宋" w:cs="仿宋" w:hint="eastAsia"/>
                <w:b/>
                <w:bCs/>
                <w:sz w:val="28"/>
                <w:szCs w:val="28"/>
              </w:rPr>
              <w:tab/>
            </w:r>
            <w:r>
              <w:rPr>
                <w:rFonts w:ascii="仿宋" w:eastAsia="仿宋" w:hAnsi="仿宋" w:cs="仿宋" w:hint="eastAsia"/>
                <w:b/>
                <w:bCs/>
                <w:sz w:val="28"/>
                <w:szCs w:val="28"/>
              </w:rPr>
              <w:fldChar w:fldCharType="begin"/>
            </w:r>
            <w:r>
              <w:rPr>
                <w:rFonts w:ascii="仿宋" w:eastAsia="仿宋" w:hAnsi="仿宋" w:cs="仿宋" w:hint="eastAsia"/>
                <w:b/>
                <w:bCs/>
                <w:sz w:val="28"/>
                <w:szCs w:val="28"/>
              </w:rPr>
              <w:instrText xml:space="preserve"> PAGEREF _Toc9529 \h </w:instrText>
            </w:r>
            <w:r>
              <w:rPr>
                <w:rFonts w:ascii="仿宋" w:eastAsia="仿宋" w:hAnsi="仿宋" w:cs="仿宋" w:hint="eastAsia"/>
                <w:b/>
                <w:bCs/>
                <w:sz w:val="28"/>
                <w:szCs w:val="28"/>
              </w:rPr>
            </w:r>
            <w:r>
              <w:rPr>
                <w:rFonts w:ascii="仿宋" w:eastAsia="仿宋" w:hAnsi="仿宋" w:cs="仿宋" w:hint="eastAsia"/>
                <w:b/>
                <w:bCs/>
                <w:sz w:val="28"/>
                <w:szCs w:val="28"/>
              </w:rPr>
              <w:fldChar w:fldCharType="separate"/>
            </w:r>
            <w:r>
              <w:rPr>
                <w:rFonts w:ascii="仿宋" w:eastAsia="仿宋" w:hAnsi="仿宋" w:cs="仿宋" w:hint="eastAsia"/>
                <w:b/>
                <w:bCs/>
                <w:sz w:val="28"/>
                <w:szCs w:val="28"/>
              </w:rPr>
              <w:t>5</w:t>
            </w:r>
            <w:r>
              <w:rPr>
                <w:rFonts w:ascii="仿宋" w:eastAsia="仿宋" w:hAnsi="仿宋" w:cs="仿宋" w:hint="eastAsia"/>
                <w:b/>
                <w:bCs/>
                <w:sz w:val="28"/>
                <w:szCs w:val="28"/>
              </w:rPr>
              <w:fldChar w:fldCharType="end"/>
            </w:r>
          </w:hyperlink>
        </w:p>
        <w:p w14:paraId="07159659" w14:textId="77777777" w:rsidR="005114BD" w:rsidRDefault="00000000">
          <w:pPr>
            <w:pStyle w:val="TOC1"/>
            <w:tabs>
              <w:tab w:val="right" w:leader="dot" w:pos="8306"/>
            </w:tabs>
            <w:spacing w:line="500" w:lineRule="exact"/>
            <w:rPr>
              <w:rFonts w:ascii="仿宋" w:eastAsia="仿宋" w:hAnsi="仿宋" w:cs="仿宋"/>
              <w:sz w:val="28"/>
              <w:szCs w:val="28"/>
            </w:rPr>
          </w:pPr>
          <w:hyperlink w:anchor="_Toc430" w:history="1">
            <w:r>
              <w:rPr>
                <w:rFonts w:ascii="仿宋" w:eastAsia="仿宋" w:hAnsi="仿宋" w:cs="仿宋" w:hint="eastAsia"/>
                <w:sz w:val="28"/>
                <w:szCs w:val="28"/>
              </w:rPr>
              <w:t>一、项目基本情况</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_Toc430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5</w:t>
            </w:r>
            <w:r>
              <w:rPr>
                <w:rFonts w:ascii="仿宋" w:eastAsia="仿宋" w:hAnsi="仿宋" w:cs="仿宋" w:hint="eastAsia"/>
                <w:sz w:val="28"/>
                <w:szCs w:val="28"/>
              </w:rPr>
              <w:fldChar w:fldCharType="end"/>
            </w:r>
          </w:hyperlink>
        </w:p>
        <w:p w14:paraId="623587E2" w14:textId="77777777" w:rsidR="005114BD" w:rsidRDefault="00000000">
          <w:pPr>
            <w:pStyle w:val="TOC2"/>
            <w:tabs>
              <w:tab w:val="right" w:leader="dot" w:pos="8306"/>
            </w:tabs>
            <w:spacing w:line="500" w:lineRule="exact"/>
            <w:rPr>
              <w:rFonts w:ascii="仿宋" w:eastAsia="仿宋" w:hAnsi="仿宋" w:cs="仿宋"/>
              <w:sz w:val="28"/>
              <w:szCs w:val="28"/>
            </w:rPr>
          </w:pPr>
          <w:hyperlink w:anchor="_Toc32604" w:history="1">
            <w:r>
              <w:rPr>
                <w:rFonts w:ascii="仿宋" w:eastAsia="仿宋" w:hAnsi="仿宋" w:cs="仿宋" w:hint="eastAsia"/>
                <w:bCs/>
                <w:sz w:val="28"/>
                <w:szCs w:val="28"/>
              </w:rPr>
              <w:t>（一）项目立项背景</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_Toc32604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5</w:t>
            </w:r>
            <w:r>
              <w:rPr>
                <w:rFonts w:ascii="仿宋" w:eastAsia="仿宋" w:hAnsi="仿宋" w:cs="仿宋" w:hint="eastAsia"/>
                <w:sz w:val="28"/>
                <w:szCs w:val="28"/>
              </w:rPr>
              <w:fldChar w:fldCharType="end"/>
            </w:r>
          </w:hyperlink>
        </w:p>
        <w:p w14:paraId="3AAAC1BE" w14:textId="77777777" w:rsidR="005114BD" w:rsidRDefault="00000000">
          <w:pPr>
            <w:pStyle w:val="TOC2"/>
            <w:tabs>
              <w:tab w:val="right" w:leader="dot" w:pos="8306"/>
            </w:tabs>
            <w:spacing w:line="500" w:lineRule="exact"/>
            <w:rPr>
              <w:rFonts w:ascii="仿宋" w:eastAsia="仿宋" w:hAnsi="仿宋" w:cs="仿宋"/>
              <w:sz w:val="28"/>
              <w:szCs w:val="28"/>
            </w:rPr>
          </w:pPr>
          <w:hyperlink w:anchor="_Toc5102" w:history="1">
            <w:r>
              <w:rPr>
                <w:rFonts w:ascii="仿宋" w:eastAsia="仿宋" w:hAnsi="仿宋" w:cs="仿宋" w:hint="eastAsia"/>
                <w:bCs/>
                <w:sz w:val="28"/>
                <w:szCs w:val="28"/>
              </w:rPr>
              <w:t>（二）项目预算安排及使用情况</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_Toc5102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5</w:t>
            </w:r>
            <w:r>
              <w:rPr>
                <w:rFonts w:ascii="仿宋" w:eastAsia="仿宋" w:hAnsi="仿宋" w:cs="仿宋" w:hint="eastAsia"/>
                <w:sz w:val="28"/>
                <w:szCs w:val="28"/>
              </w:rPr>
              <w:fldChar w:fldCharType="end"/>
            </w:r>
          </w:hyperlink>
        </w:p>
        <w:p w14:paraId="43D76B4B" w14:textId="77777777" w:rsidR="005114BD" w:rsidRDefault="00000000">
          <w:pPr>
            <w:pStyle w:val="TOC2"/>
            <w:tabs>
              <w:tab w:val="right" w:leader="dot" w:pos="8306"/>
            </w:tabs>
            <w:spacing w:line="500" w:lineRule="exact"/>
            <w:rPr>
              <w:rFonts w:ascii="仿宋" w:eastAsia="仿宋" w:hAnsi="仿宋" w:cs="仿宋"/>
              <w:sz w:val="28"/>
              <w:szCs w:val="28"/>
            </w:rPr>
          </w:pPr>
          <w:hyperlink w:anchor="_Toc22231" w:history="1">
            <w:r>
              <w:rPr>
                <w:rFonts w:ascii="仿宋" w:eastAsia="仿宋" w:hAnsi="仿宋" w:cs="仿宋" w:hint="eastAsia"/>
                <w:bCs/>
                <w:sz w:val="28"/>
                <w:szCs w:val="28"/>
              </w:rPr>
              <w:t>（三）项目计划内容及实施情况</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_Toc22231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6</w:t>
            </w:r>
            <w:r>
              <w:rPr>
                <w:rFonts w:ascii="仿宋" w:eastAsia="仿宋" w:hAnsi="仿宋" w:cs="仿宋" w:hint="eastAsia"/>
                <w:sz w:val="28"/>
                <w:szCs w:val="28"/>
              </w:rPr>
              <w:fldChar w:fldCharType="end"/>
            </w:r>
          </w:hyperlink>
        </w:p>
        <w:p w14:paraId="3A3BEAD9" w14:textId="77777777" w:rsidR="005114BD" w:rsidRDefault="00000000">
          <w:pPr>
            <w:pStyle w:val="TOC2"/>
            <w:tabs>
              <w:tab w:val="right" w:leader="dot" w:pos="8306"/>
            </w:tabs>
            <w:spacing w:line="500" w:lineRule="exact"/>
            <w:rPr>
              <w:rFonts w:ascii="仿宋" w:eastAsia="仿宋" w:hAnsi="仿宋" w:cs="仿宋"/>
              <w:sz w:val="28"/>
              <w:szCs w:val="28"/>
            </w:rPr>
          </w:pPr>
          <w:hyperlink w:anchor="_Toc5124" w:history="1">
            <w:r>
              <w:rPr>
                <w:rFonts w:ascii="仿宋" w:eastAsia="仿宋" w:hAnsi="仿宋" w:cs="仿宋" w:hint="eastAsia"/>
                <w:bCs/>
                <w:sz w:val="28"/>
                <w:szCs w:val="28"/>
              </w:rPr>
              <w:t>（四）项目组织管理</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_Toc5124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6</w:t>
            </w:r>
            <w:r>
              <w:rPr>
                <w:rFonts w:ascii="仿宋" w:eastAsia="仿宋" w:hAnsi="仿宋" w:cs="仿宋" w:hint="eastAsia"/>
                <w:sz w:val="28"/>
                <w:szCs w:val="28"/>
              </w:rPr>
              <w:fldChar w:fldCharType="end"/>
            </w:r>
          </w:hyperlink>
        </w:p>
        <w:p w14:paraId="27AD4F11" w14:textId="77777777" w:rsidR="005114BD" w:rsidRDefault="00000000">
          <w:pPr>
            <w:pStyle w:val="TOC1"/>
            <w:tabs>
              <w:tab w:val="right" w:leader="dot" w:pos="8306"/>
            </w:tabs>
            <w:spacing w:line="500" w:lineRule="exact"/>
            <w:rPr>
              <w:rFonts w:ascii="仿宋" w:eastAsia="仿宋" w:hAnsi="仿宋" w:cs="仿宋"/>
              <w:sz w:val="28"/>
              <w:szCs w:val="28"/>
            </w:rPr>
          </w:pPr>
          <w:hyperlink w:anchor="_Toc6863" w:history="1">
            <w:r>
              <w:rPr>
                <w:rFonts w:ascii="仿宋" w:eastAsia="仿宋" w:hAnsi="仿宋" w:cs="仿宋" w:hint="eastAsia"/>
                <w:sz w:val="28"/>
                <w:szCs w:val="28"/>
              </w:rPr>
              <w:t>二、项目绩效目标</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_Toc6863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7</w:t>
            </w:r>
            <w:r>
              <w:rPr>
                <w:rFonts w:ascii="仿宋" w:eastAsia="仿宋" w:hAnsi="仿宋" w:cs="仿宋" w:hint="eastAsia"/>
                <w:sz w:val="28"/>
                <w:szCs w:val="28"/>
              </w:rPr>
              <w:fldChar w:fldCharType="end"/>
            </w:r>
          </w:hyperlink>
        </w:p>
        <w:p w14:paraId="3EBEF68C" w14:textId="77777777" w:rsidR="005114BD" w:rsidRDefault="00000000">
          <w:pPr>
            <w:pStyle w:val="TOC2"/>
            <w:tabs>
              <w:tab w:val="right" w:leader="dot" w:pos="8306"/>
            </w:tabs>
            <w:spacing w:line="500" w:lineRule="exact"/>
            <w:rPr>
              <w:rFonts w:ascii="仿宋" w:eastAsia="仿宋" w:hAnsi="仿宋" w:cs="仿宋"/>
              <w:sz w:val="28"/>
              <w:szCs w:val="28"/>
            </w:rPr>
          </w:pPr>
          <w:hyperlink w:anchor="_Toc10729" w:history="1">
            <w:r>
              <w:rPr>
                <w:rFonts w:ascii="仿宋" w:eastAsia="仿宋" w:hAnsi="仿宋" w:cs="仿宋" w:hint="eastAsia"/>
                <w:bCs/>
                <w:sz w:val="28"/>
                <w:szCs w:val="28"/>
              </w:rPr>
              <w:t>（一）总体目标</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_Toc10729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8</w:t>
            </w:r>
            <w:r>
              <w:rPr>
                <w:rFonts w:ascii="仿宋" w:eastAsia="仿宋" w:hAnsi="仿宋" w:cs="仿宋" w:hint="eastAsia"/>
                <w:sz w:val="28"/>
                <w:szCs w:val="28"/>
              </w:rPr>
              <w:fldChar w:fldCharType="end"/>
            </w:r>
          </w:hyperlink>
        </w:p>
        <w:p w14:paraId="3F053B9E" w14:textId="77777777" w:rsidR="005114BD" w:rsidRDefault="00000000">
          <w:pPr>
            <w:pStyle w:val="TOC2"/>
            <w:tabs>
              <w:tab w:val="right" w:leader="dot" w:pos="8306"/>
            </w:tabs>
            <w:spacing w:line="500" w:lineRule="exact"/>
            <w:rPr>
              <w:rFonts w:ascii="仿宋" w:eastAsia="仿宋" w:hAnsi="仿宋" w:cs="仿宋"/>
              <w:sz w:val="28"/>
              <w:szCs w:val="28"/>
            </w:rPr>
          </w:pPr>
          <w:hyperlink w:anchor="_Toc31962" w:history="1">
            <w:r>
              <w:rPr>
                <w:rFonts w:ascii="仿宋" w:eastAsia="仿宋" w:hAnsi="仿宋" w:cs="仿宋" w:hint="eastAsia"/>
                <w:bCs/>
                <w:sz w:val="28"/>
                <w:szCs w:val="28"/>
              </w:rPr>
              <w:t>（二）年度目标</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_Toc31962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8</w:t>
            </w:r>
            <w:r>
              <w:rPr>
                <w:rFonts w:ascii="仿宋" w:eastAsia="仿宋" w:hAnsi="仿宋" w:cs="仿宋" w:hint="eastAsia"/>
                <w:sz w:val="28"/>
                <w:szCs w:val="28"/>
              </w:rPr>
              <w:fldChar w:fldCharType="end"/>
            </w:r>
          </w:hyperlink>
        </w:p>
        <w:p w14:paraId="46CCDF4F" w14:textId="77777777" w:rsidR="005114BD" w:rsidRDefault="00000000">
          <w:pPr>
            <w:pStyle w:val="TOC1"/>
            <w:tabs>
              <w:tab w:val="right" w:leader="dot" w:pos="8306"/>
            </w:tabs>
            <w:spacing w:line="500" w:lineRule="exact"/>
            <w:rPr>
              <w:rFonts w:ascii="仿宋" w:eastAsia="仿宋" w:hAnsi="仿宋" w:cs="仿宋"/>
              <w:sz w:val="28"/>
              <w:szCs w:val="28"/>
            </w:rPr>
          </w:pPr>
          <w:hyperlink w:anchor="_Toc826" w:history="1">
            <w:r>
              <w:rPr>
                <w:rFonts w:ascii="仿宋" w:eastAsia="仿宋" w:hAnsi="仿宋" w:cs="仿宋" w:hint="eastAsia"/>
                <w:sz w:val="28"/>
                <w:szCs w:val="28"/>
              </w:rPr>
              <w:t>三、评价基本情况</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_Toc826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8</w:t>
            </w:r>
            <w:r>
              <w:rPr>
                <w:rFonts w:ascii="仿宋" w:eastAsia="仿宋" w:hAnsi="仿宋" w:cs="仿宋" w:hint="eastAsia"/>
                <w:sz w:val="28"/>
                <w:szCs w:val="28"/>
              </w:rPr>
              <w:fldChar w:fldCharType="end"/>
            </w:r>
          </w:hyperlink>
        </w:p>
        <w:p w14:paraId="3C9FBB68" w14:textId="77777777" w:rsidR="005114BD" w:rsidRDefault="00000000">
          <w:pPr>
            <w:pStyle w:val="TOC2"/>
            <w:tabs>
              <w:tab w:val="right" w:leader="dot" w:pos="8306"/>
            </w:tabs>
            <w:spacing w:line="500" w:lineRule="exact"/>
            <w:rPr>
              <w:rFonts w:ascii="仿宋" w:eastAsia="仿宋" w:hAnsi="仿宋" w:cs="仿宋"/>
              <w:sz w:val="28"/>
              <w:szCs w:val="28"/>
            </w:rPr>
          </w:pPr>
          <w:hyperlink w:anchor="_Toc12978" w:history="1">
            <w:r>
              <w:rPr>
                <w:rFonts w:ascii="仿宋" w:eastAsia="仿宋" w:hAnsi="仿宋" w:cs="仿宋" w:hint="eastAsia"/>
                <w:bCs/>
                <w:sz w:val="28"/>
                <w:szCs w:val="28"/>
              </w:rPr>
              <w:t>（一）评价目的</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_Toc12978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8</w:t>
            </w:r>
            <w:r>
              <w:rPr>
                <w:rFonts w:ascii="仿宋" w:eastAsia="仿宋" w:hAnsi="仿宋" w:cs="仿宋" w:hint="eastAsia"/>
                <w:sz w:val="28"/>
                <w:szCs w:val="28"/>
              </w:rPr>
              <w:fldChar w:fldCharType="end"/>
            </w:r>
          </w:hyperlink>
        </w:p>
        <w:p w14:paraId="56E55939" w14:textId="77777777" w:rsidR="005114BD" w:rsidRDefault="00000000">
          <w:pPr>
            <w:pStyle w:val="TOC2"/>
            <w:tabs>
              <w:tab w:val="right" w:leader="dot" w:pos="8306"/>
            </w:tabs>
            <w:spacing w:line="500" w:lineRule="exact"/>
            <w:rPr>
              <w:rFonts w:ascii="仿宋" w:eastAsia="仿宋" w:hAnsi="仿宋" w:cs="仿宋"/>
              <w:sz w:val="28"/>
              <w:szCs w:val="28"/>
            </w:rPr>
          </w:pPr>
          <w:hyperlink w:anchor="_Toc23534" w:history="1">
            <w:r>
              <w:rPr>
                <w:rFonts w:ascii="仿宋" w:eastAsia="仿宋" w:hAnsi="仿宋" w:cs="仿宋" w:hint="eastAsia"/>
                <w:bCs/>
                <w:sz w:val="28"/>
                <w:szCs w:val="28"/>
              </w:rPr>
              <w:t>（二）评价对象与范围</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_Toc23534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9</w:t>
            </w:r>
            <w:r>
              <w:rPr>
                <w:rFonts w:ascii="仿宋" w:eastAsia="仿宋" w:hAnsi="仿宋" w:cs="仿宋" w:hint="eastAsia"/>
                <w:sz w:val="28"/>
                <w:szCs w:val="28"/>
              </w:rPr>
              <w:fldChar w:fldCharType="end"/>
            </w:r>
          </w:hyperlink>
        </w:p>
        <w:p w14:paraId="379CD4BF" w14:textId="77777777" w:rsidR="005114BD" w:rsidRDefault="00000000">
          <w:pPr>
            <w:pStyle w:val="TOC2"/>
            <w:tabs>
              <w:tab w:val="right" w:leader="dot" w:pos="8306"/>
            </w:tabs>
            <w:spacing w:line="500" w:lineRule="exact"/>
            <w:rPr>
              <w:rFonts w:ascii="仿宋" w:eastAsia="仿宋" w:hAnsi="仿宋" w:cs="仿宋"/>
              <w:sz w:val="28"/>
              <w:szCs w:val="28"/>
            </w:rPr>
          </w:pPr>
          <w:hyperlink w:anchor="_Toc31486" w:history="1">
            <w:r>
              <w:rPr>
                <w:rFonts w:ascii="仿宋" w:eastAsia="仿宋" w:hAnsi="仿宋" w:cs="仿宋" w:hint="eastAsia"/>
                <w:bCs/>
                <w:sz w:val="28"/>
                <w:szCs w:val="28"/>
              </w:rPr>
              <w:t>（三）评价依据</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_Toc31486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9</w:t>
            </w:r>
            <w:r>
              <w:rPr>
                <w:rFonts w:ascii="仿宋" w:eastAsia="仿宋" w:hAnsi="仿宋" w:cs="仿宋" w:hint="eastAsia"/>
                <w:sz w:val="28"/>
                <w:szCs w:val="28"/>
              </w:rPr>
              <w:fldChar w:fldCharType="end"/>
            </w:r>
          </w:hyperlink>
        </w:p>
        <w:p w14:paraId="169A7297" w14:textId="77777777" w:rsidR="005114BD" w:rsidRDefault="00000000">
          <w:pPr>
            <w:pStyle w:val="TOC2"/>
            <w:tabs>
              <w:tab w:val="right" w:leader="dot" w:pos="8306"/>
            </w:tabs>
            <w:spacing w:line="500" w:lineRule="exact"/>
            <w:rPr>
              <w:rFonts w:ascii="仿宋" w:eastAsia="仿宋" w:hAnsi="仿宋" w:cs="仿宋"/>
              <w:sz w:val="28"/>
              <w:szCs w:val="28"/>
            </w:rPr>
          </w:pPr>
          <w:hyperlink w:anchor="_Toc18553" w:history="1">
            <w:r>
              <w:rPr>
                <w:rFonts w:ascii="仿宋" w:eastAsia="仿宋" w:hAnsi="仿宋" w:cs="仿宋" w:hint="eastAsia"/>
                <w:bCs/>
                <w:sz w:val="28"/>
                <w:szCs w:val="28"/>
              </w:rPr>
              <w:t>（四）评价原则、评价方法</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_Toc18553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10</w:t>
            </w:r>
            <w:r>
              <w:rPr>
                <w:rFonts w:ascii="仿宋" w:eastAsia="仿宋" w:hAnsi="仿宋" w:cs="仿宋" w:hint="eastAsia"/>
                <w:sz w:val="28"/>
                <w:szCs w:val="28"/>
              </w:rPr>
              <w:fldChar w:fldCharType="end"/>
            </w:r>
          </w:hyperlink>
        </w:p>
        <w:p w14:paraId="3E2ABE1B" w14:textId="77777777" w:rsidR="005114BD" w:rsidRDefault="00000000">
          <w:pPr>
            <w:pStyle w:val="TOC2"/>
            <w:tabs>
              <w:tab w:val="right" w:leader="dot" w:pos="8306"/>
            </w:tabs>
            <w:spacing w:line="500" w:lineRule="exact"/>
            <w:rPr>
              <w:rFonts w:ascii="仿宋" w:eastAsia="仿宋" w:hAnsi="仿宋" w:cs="仿宋"/>
              <w:sz w:val="28"/>
              <w:szCs w:val="28"/>
            </w:rPr>
          </w:pPr>
          <w:hyperlink w:anchor="_Toc26666" w:history="1">
            <w:r>
              <w:rPr>
                <w:rFonts w:ascii="仿宋" w:eastAsia="仿宋" w:hAnsi="仿宋" w:cs="仿宋" w:hint="eastAsia"/>
                <w:bCs/>
                <w:sz w:val="28"/>
                <w:szCs w:val="28"/>
              </w:rPr>
              <w:t>（五）绩效评价指标体系</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_Toc26666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12</w:t>
            </w:r>
            <w:r>
              <w:rPr>
                <w:rFonts w:ascii="仿宋" w:eastAsia="仿宋" w:hAnsi="仿宋" w:cs="仿宋" w:hint="eastAsia"/>
                <w:sz w:val="28"/>
                <w:szCs w:val="28"/>
              </w:rPr>
              <w:fldChar w:fldCharType="end"/>
            </w:r>
          </w:hyperlink>
        </w:p>
        <w:p w14:paraId="08CBF4F1" w14:textId="77777777" w:rsidR="005114BD" w:rsidRDefault="00000000">
          <w:pPr>
            <w:pStyle w:val="TOC2"/>
            <w:tabs>
              <w:tab w:val="right" w:leader="dot" w:pos="8306"/>
            </w:tabs>
            <w:spacing w:line="500" w:lineRule="exact"/>
            <w:rPr>
              <w:rFonts w:ascii="仿宋" w:eastAsia="仿宋" w:hAnsi="仿宋" w:cs="仿宋"/>
              <w:sz w:val="28"/>
              <w:szCs w:val="28"/>
            </w:rPr>
          </w:pPr>
          <w:hyperlink w:anchor="_Toc26287" w:history="1">
            <w:r>
              <w:rPr>
                <w:rFonts w:ascii="仿宋" w:eastAsia="仿宋" w:hAnsi="仿宋" w:cs="仿宋" w:hint="eastAsia"/>
                <w:bCs/>
                <w:sz w:val="28"/>
                <w:szCs w:val="28"/>
              </w:rPr>
              <w:t>（六）评价人员组成</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_Toc26287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13</w:t>
            </w:r>
            <w:r>
              <w:rPr>
                <w:rFonts w:ascii="仿宋" w:eastAsia="仿宋" w:hAnsi="仿宋" w:cs="仿宋" w:hint="eastAsia"/>
                <w:sz w:val="28"/>
                <w:szCs w:val="28"/>
              </w:rPr>
              <w:fldChar w:fldCharType="end"/>
            </w:r>
          </w:hyperlink>
        </w:p>
        <w:p w14:paraId="138080F1" w14:textId="77777777" w:rsidR="005114BD" w:rsidRDefault="00000000">
          <w:pPr>
            <w:pStyle w:val="TOC2"/>
            <w:tabs>
              <w:tab w:val="right" w:leader="dot" w:pos="8306"/>
            </w:tabs>
            <w:spacing w:line="500" w:lineRule="exact"/>
            <w:rPr>
              <w:rFonts w:ascii="仿宋" w:eastAsia="仿宋" w:hAnsi="仿宋" w:cs="仿宋"/>
              <w:sz w:val="28"/>
              <w:szCs w:val="28"/>
            </w:rPr>
          </w:pPr>
          <w:hyperlink w:anchor="_Toc12965" w:history="1">
            <w:r>
              <w:rPr>
                <w:rFonts w:ascii="仿宋" w:eastAsia="仿宋" w:hAnsi="仿宋" w:cs="仿宋" w:hint="eastAsia"/>
                <w:bCs/>
                <w:sz w:val="28"/>
                <w:szCs w:val="28"/>
              </w:rPr>
              <w:t>（七）绩效评价工作过程</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_Toc12965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14</w:t>
            </w:r>
            <w:r>
              <w:rPr>
                <w:rFonts w:ascii="仿宋" w:eastAsia="仿宋" w:hAnsi="仿宋" w:cs="仿宋" w:hint="eastAsia"/>
                <w:sz w:val="28"/>
                <w:szCs w:val="28"/>
              </w:rPr>
              <w:fldChar w:fldCharType="end"/>
            </w:r>
          </w:hyperlink>
        </w:p>
        <w:p w14:paraId="43DF6AA7" w14:textId="77777777" w:rsidR="005114BD" w:rsidRDefault="00000000">
          <w:pPr>
            <w:pStyle w:val="TOC1"/>
            <w:tabs>
              <w:tab w:val="right" w:leader="dot" w:pos="8306"/>
            </w:tabs>
            <w:spacing w:line="500" w:lineRule="exact"/>
            <w:rPr>
              <w:rFonts w:ascii="仿宋" w:eastAsia="仿宋" w:hAnsi="仿宋" w:cs="仿宋"/>
              <w:sz w:val="28"/>
              <w:szCs w:val="28"/>
            </w:rPr>
          </w:pPr>
          <w:hyperlink w:anchor="_Toc3488" w:history="1">
            <w:r>
              <w:rPr>
                <w:rFonts w:ascii="仿宋" w:eastAsia="仿宋" w:hAnsi="仿宋" w:cs="仿宋" w:hint="eastAsia"/>
                <w:sz w:val="28"/>
                <w:szCs w:val="28"/>
              </w:rPr>
              <w:t>四、评价结论及分析</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_Toc3488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17</w:t>
            </w:r>
            <w:r>
              <w:rPr>
                <w:rFonts w:ascii="仿宋" w:eastAsia="仿宋" w:hAnsi="仿宋" w:cs="仿宋" w:hint="eastAsia"/>
                <w:sz w:val="28"/>
                <w:szCs w:val="28"/>
              </w:rPr>
              <w:fldChar w:fldCharType="end"/>
            </w:r>
          </w:hyperlink>
        </w:p>
        <w:p w14:paraId="6D0B5EFC" w14:textId="77777777" w:rsidR="005114BD" w:rsidRDefault="00000000">
          <w:pPr>
            <w:pStyle w:val="TOC2"/>
            <w:tabs>
              <w:tab w:val="right" w:leader="dot" w:pos="8306"/>
            </w:tabs>
            <w:spacing w:line="500" w:lineRule="exact"/>
            <w:rPr>
              <w:rFonts w:ascii="仿宋" w:eastAsia="仿宋" w:hAnsi="仿宋" w:cs="仿宋"/>
              <w:sz w:val="28"/>
              <w:szCs w:val="28"/>
            </w:rPr>
          </w:pPr>
          <w:hyperlink w:anchor="_Toc16331" w:history="1">
            <w:r>
              <w:rPr>
                <w:rFonts w:ascii="仿宋" w:eastAsia="仿宋" w:hAnsi="仿宋" w:cs="仿宋" w:hint="eastAsia"/>
                <w:bCs/>
                <w:sz w:val="28"/>
                <w:szCs w:val="28"/>
              </w:rPr>
              <w:t>（一）综合评价情况及评价结论</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_Toc16331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17</w:t>
            </w:r>
            <w:r>
              <w:rPr>
                <w:rFonts w:ascii="仿宋" w:eastAsia="仿宋" w:hAnsi="仿宋" w:cs="仿宋" w:hint="eastAsia"/>
                <w:sz w:val="28"/>
                <w:szCs w:val="28"/>
              </w:rPr>
              <w:fldChar w:fldCharType="end"/>
            </w:r>
          </w:hyperlink>
        </w:p>
        <w:p w14:paraId="6847CCF9" w14:textId="77777777" w:rsidR="005114BD" w:rsidRDefault="00000000">
          <w:pPr>
            <w:pStyle w:val="TOC2"/>
            <w:tabs>
              <w:tab w:val="right" w:leader="dot" w:pos="8306"/>
            </w:tabs>
            <w:spacing w:line="500" w:lineRule="exact"/>
            <w:rPr>
              <w:rFonts w:ascii="仿宋" w:eastAsia="仿宋" w:hAnsi="仿宋" w:cs="仿宋"/>
              <w:sz w:val="28"/>
              <w:szCs w:val="28"/>
            </w:rPr>
          </w:pPr>
          <w:hyperlink w:anchor="_Toc8423" w:history="1">
            <w:r>
              <w:rPr>
                <w:rFonts w:ascii="仿宋" w:eastAsia="仿宋" w:hAnsi="仿宋" w:cs="仿宋" w:hint="eastAsia"/>
                <w:bCs/>
                <w:kern w:val="0"/>
                <w:sz w:val="28"/>
                <w:szCs w:val="28"/>
                <w:lang w:bidi="ar"/>
              </w:rPr>
              <w:t>（二）非现场评价情况分析</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_Toc8423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17</w:t>
            </w:r>
            <w:r>
              <w:rPr>
                <w:rFonts w:ascii="仿宋" w:eastAsia="仿宋" w:hAnsi="仿宋" w:cs="仿宋" w:hint="eastAsia"/>
                <w:sz w:val="28"/>
                <w:szCs w:val="28"/>
              </w:rPr>
              <w:fldChar w:fldCharType="end"/>
            </w:r>
          </w:hyperlink>
        </w:p>
        <w:p w14:paraId="258F6E29" w14:textId="77777777" w:rsidR="005114BD" w:rsidRDefault="00000000">
          <w:pPr>
            <w:pStyle w:val="TOC2"/>
            <w:tabs>
              <w:tab w:val="right" w:leader="dot" w:pos="8306"/>
            </w:tabs>
            <w:spacing w:line="500" w:lineRule="exact"/>
            <w:rPr>
              <w:rFonts w:ascii="仿宋" w:eastAsia="仿宋" w:hAnsi="仿宋" w:cs="仿宋"/>
              <w:sz w:val="28"/>
              <w:szCs w:val="28"/>
            </w:rPr>
          </w:pPr>
          <w:hyperlink w:anchor="_Toc5099" w:history="1">
            <w:r>
              <w:rPr>
                <w:rFonts w:ascii="仿宋" w:eastAsia="仿宋" w:hAnsi="仿宋" w:cs="仿宋" w:hint="eastAsia"/>
                <w:bCs/>
                <w:kern w:val="0"/>
                <w:sz w:val="28"/>
                <w:szCs w:val="28"/>
                <w:lang w:bidi="ar"/>
              </w:rPr>
              <w:t>（三）现场评价情况分析</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_Toc5099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18</w:t>
            </w:r>
            <w:r>
              <w:rPr>
                <w:rFonts w:ascii="仿宋" w:eastAsia="仿宋" w:hAnsi="仿宋" w:cs="仿宋" w:hint="eastAsia"/>
                <w:sz w:val="28"/>
                <w:szCs w:val="28"/>
              </w:rPr>
              <w:fldChar w:fldCharType="end"/>
            </w:r>
          </w:hyperlink>
        </w:p>
        <w:p w14:paraId="0A81DE7C" w14:textId="77777777" w:rsidR="005114BD" w:rsidRDefault="00000000">
          <w:pPr>
            <w:pStyle w:val="TOC1"/>
            <w:tabs>
              <w:tab w:val="right" w:leader="dot" w:pos="8306"/>
            </w:tabs>
            <w:spacing w:line="500" w:lineRule="exact"/>
            <w:rPr>
              <w:rFonts w:ascii="仿宋" w:eastAsia="仿宋" w:hAnsi="仿宋" w:cs="仿宋"/>
              <w:sz w:val="28"/>
              <w:szCs w:val="28"/>
            </w:rPr>
          </w:pPr>
          <w:hyperlink w:anchor="_Toc16455" w:history="1">
            <w:r>
              <w:rPr>
                <w:rFonts w:ascii="仿宋" w:eastAsia="仿宋" w:hAnsi="仿宋" w:cs="仿宋" w:hint="eastAsia"/>
                <w:sz w:val="28"/>
                <w:szCs w:val="28"/>
              </w:rPr>
              <w:t>五、绩效评价指标分析</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_Toc16455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19</w:t>
            </w:r>
            <w:r>
              <w:rPr>
                <w:rFonts w:ascii="仿宋" w:eastAsia="仿宋" w:hAnsi="仿宋" w:cs="仿宋" w:hint="eastAsia"/>
                <w:sz w:val="28"/>
                <w:szCs w:val="28"/>
              </w:rPr>
              <w:fldChar w:fldCharType="end"/>
            </w:r>
          </w:hyperlink>
        </w:p>
        <w:p w14:paraId="3340E861" w14:textId="77777777" w:rsidR="005114BD" w:rsidRDefault="00000000">
          <w:pPr>
            <w:pStyle w:val="TOC2"/>
            <w:tabs>
              <w:tab w:val="right" w:leader="dot" w:pos="8306"/>
            </w:tabs>
            <w:spacing w:line="500" w:lineRule="exact"/>
            <w:rPr>
              <w:rFonts w:ascii="仿宋" w:eastAsia="仿宋" w:hAnsi="仿宋" w:cs="仿宋"/>
              <w:sz w:val="28"/>
              <w:szCs w:val="28"/>
            </w:rPr>
          </w:pPr>
          <w:hyperlink w:anchor="_Toc4517" w:history="1">
            <w:r>
              <w:rPr>
                <w:rFonts w:ascii="仿宋" w:eastAsia="仿宋" w:hAnsi="仿宋" w:cs="仿宋" w:hint="eastAsia"/>
                <w:bCs/>
                <w:sz w:val="28"/>
                <w:szCs w:val="28"/>
              </w:rPr>
              <w:t>（一）项目决策情况</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_Toc4517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19</w:t>
            </w:r>
            <w:r>
              <w:rPr>
                <w:rFonts w:ascii="仿宋" w:eastAsia="仿宋" w:hAnsi="仿宋" w:cs="仿宋" w:hint="eastAsia"/>
                <w:sz w:val="28"/>
                <w:szCs w:val="28"/>
              </w:rPr>
              <w:fldChar w:fldCharType="end"/>
            </w:r>
          </w:hyperlink>
        </w:p>
        <w:p w14:paraId="5C1FA6F4" w14:textId="77777777" w:rsidR="005114BD" w:rsidRDefault="00000000">
          <w:pPr>
            <w:pStyle w:val="TOC2"/>
            <w:tabs>
              <w:tab w:val="right" w:leader="dot" w:pos="8306"/>
            </w:tabs>
            <w:spacing w:line="500" w:lineRule="exact"/>
            <w:rPr>
              <w:rFonts w:ascii="仿宋" w:eastAsia="仿宋" w:hAnsi="仿宋" w:cs="仿宋"/>
              <w:sz w:val="28"/>
              <w:szCs w:val="28"/>
            </w:rPr>
          </w:pPr>
          <w:hyperlink w:anchor="_Toc9765" w:history="1">
            <w:r>
              <w:rPr>
                <w:rFonts w:ascii="仿宋" w:eastAsia="仿宋" w:hAnsi="仿宋" w:cs="仿宋" w:hint="eastAsia"/>
                <w:bCs/>
                <w:sz w:val="28"/>
                <w:szCs w:val="28"/>
              </w:rPr>
              <w:t>（二）项目过程情况</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_Toc9765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22</w:t>
            </w:r>
            <w:r>
              <w:rPr>
                <w:rFonts w:ascii="仿宋" w:eastAsia="仿宋" w:hAnsi="仿宋" w:cs="仿宋" w:hint="eastAsia"/>
                <w:sz w:val="28"/>
                <w:szCs w:val="28"/>
              </w:rPr>
              <w:fldChar w:fldCharType="end"/>
            </w:r>
          </w:hyperlink>
        </w:p>
        <w:p w14:paraId="4554D70D" w14:textId="77777777" w:rsidR="005114BD" w:rsidRDefault="00000000">
          <w:pPr>
            <w:pStyle w:val="TOC2"/>
            <w:tabs>
              <w:tab w:val="right" w:leader="dot" w:pos="8306"/>
            </w:tabs>
            <w:spacing w:line="500" w:lineRule="exact"/>
            <w:rPr>
              <w:rFonts w:ascii="仿宋" w:eastAsia="仿宋" w:hAnsi="仿宋" w:cs="仿宋"/>
              <w:sz w:val="28"/>
              <w:szCs w:val="28"/>
            </w:rPr>
          </w:pPr>
          <w:hyperlink w:anchor="_Toc27402" w:history="1">
            <w:r>
              <w:rPr>
                <w:rFonts w:ascii="仿宋" w:eastAsia="仿宋" w:hAnsi="仿宋" w:cs="仿宋" w:hint="eastAsia"/>
                <w:bCs/>
                <w:sz w:val="28"/>
                <w:szCs w:val="28"/>
              </w:rPr>
              <w:t>（三）项目产出情况</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_Toc27402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24</w:t>
            </w:r>
            <w:r>
              <w:rPr>
                <w:rFonts w:ascii="仿宋" w:eastAsia="仿宋" w:hAnsi="仿宋" w:cs="仿宋" w:hint="eastAsia"/>
                <w:sz w:val="28"/>
                <w:szCs w:val="28"/>
              </w:rPr>
              <w:fldChar w:fldCharType="end"/>
            </w:r>
          </w:hyperlink>
        </w:p>
        <w:p w14:paraId="62CAE397" w14:textId="77777777" w:rsidR="005114BD" w:rsidRDefault="00000000">
          <w:pPr>
            <w:pStyle w:val="TOC2"/>
            <w:tabs>
              <w:tab w:val="right" w:leader="dot" w:pos="8306"/>
            </w:tabs>
            <w:spacing w:line="500" w:lineRule="exact"/>
            <w:rPr>
              <w:rFonts w:ascii="仿宋" w:eastAsia="仿宋" w:hAnsi="仿宋" w:cs="仿宋"/>
              <w:sz w:val="28"/>
              <w:szCs w:val="28"/>
            </w:rPr>
          </w:pPr>
          <w:hyperlink w:anchor="_Toc159" w:history="1">
            <w:r>
              <w:rPr>
                <w:rFonts w:ascii="仿宋" w:eastAsia="仿宋" w:hAnsi="仿宋" w:cs="仿宋" w:hint="eastAsia"/>
                <w:bCs/>
                <w:sz w:val="28"/>
                <w:szCs w:val="28"/>
              </w:rPr>
              <w:t>（四）项目效益情况</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_Toc159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26</w:t>
            </w:r>
            <w:r>
              <w:rPr>
                <w:rFonts w:ascii="仿宋" w:eastAsia="仿宋" w:hAnsi="仿宋" w:cs="仿宋" w:hint="eastAsia"/>
                <w:sz w:val="28"/>
                <w:szCs w:val="28"/>
              </w:rPr>
              <w:fldChar w:fldCharType="end"/>
            </w:r>
          </w:hyperlink>
        </w:p>
        <w:p w14:paraId="1C89F7D7" w14:textId="77777777" w:rsidR="005114BD" w:rsidRDefault="00000000">
          <w:pPr>
            <w:pStyle w:val="TOC2"/>
            <w:tabs>
              <w:tab w:val="right" w:leader="dot" w:pos="8306"/>
            </w:tabs>
            <w:spacing w:line="500" w:lineRule="exact"/>
            <w:rPr>
              <w:rFonts w:ascii="仿宋" w:eastAsia="仿宋" w:hAnsi="仿宋" w:cs="仿宋"/>
              <w:sz w:val="28"/>
              <w:szCs w:val="28"/>
            </w:rPr>
          </w:pPr>
          <w:hyperlink w:anchor="_Toc4294" w:history="1">
            <w:r>
              <w:rPr>
                <w:rFonts w:ascii="仿宋" w:eastAsia="仿宋" w:hAnsi="仿宋" w:cs="仿宋" w:hint="eastAsia"/>
                <w:bCs/>
                <w:sz w:val="28"/>
                <w:szCs w:val="28"/>
              </w:rPr>
              <w:t>（五）满意度情况</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_Toc4294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27</w:t>
            </w:r>
            <w:r>
              <w:rPr>
                <w:rFonts w:ascii="仿宋" w:eastAsia="仿宋" w:hAnsi="仿宋" w:cs="仿宋" w:hint="eastAsia"/>
                <w:sz w:val="28"/>
                <w:szCs w:val="28"/>
              </w:rPr>
              <w:fldChar w:fldCharType="end"/>
            </w:r>
          </w:hyperlink>
        </w:p>
        <w:p w14:paraId="73F5C0BA" w14:textId="77777777" w:rsidR="005114BD" w:rsidRDefault="00000000">
          <w:pPr>
            <w:pStyle w:val="TOC1"/>
            <w:tabs>
              <w:tab w:val="right" w:leader="dot" w:pos="8306"/>
            </w:tabs>
            <w:spacing w:line="500" w:lineRule="exact"/>
            <w:rPr>
              <w:rFonts w:ascii="仿宋" w:eastAsia="仿宋" w:hAnsi="仿宋" w:cs="仿宋"/>
              <w:sz w:val="28"/>
              <w:szCs w:val="28"/>
            </w:rPr>
          </w:pPr>
          <w:hyperlink w:anchor="_Toc13457" w:history="1">
            <w:r>
              <w:rPr>
                <w:rFonts w:ascii="仿宋" w:eastAsia="仿宋" w:hAnsi="仿宋" w:cs="仿宋" w:hint="eastAsia"/>
                <w:sz w:val="28"/>
                <w:szCs w:val="28"/>
              </w:rPr>
              <w:t>六、项目主要经验及做法</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_Toc13457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28</w:t>
            </w:r>
            <w:r>
              <w:rPr>
                <w:rFonts w:ascii="仿宋" w:eastAsia="仿宋" w:hAnsi="仿宋" w:cs="仿宋" w:hint="eastAsia"/>
                <w:sz w:val="28"/>
                <w:szCs w:val="28"/>
              </w:rPr>
              <w:fldChar w:fldCharType="end"/>
            </w:r>
          </w:hyperlink>
        </w:p>
        <w:p w14:paraId="35EFA6AB" w14:textId="77777777" w:rsidR="005114BD" w:rsidRDefault="00000000">
          <w:pPr>
            <w:pStyle w:val="TOC1"/>
            <w:tabs>
              <w:tab w:val="right" w:leader="dot" w:pos="8306"/>
            </w:tabs>
            <w:spacing w:line="500" w:lineRule="exact"/>
            <w:rPr>
              <w:rFonts w:ascii="仿宋" w:eastAsia="仿宋" w:hAnsi="仿宋" w:cs="仿宋"/>
              <w:sz w:val="28"/>
              <w:szCs w:val="28"/>
            </w:rPr>
          </w:pPr>
          <w:hyperlink w:anchor="_Toc24999" w:history="1">
            <w:r>
              <w:rPr>
                <w:rFonts w:ascii="仿宋" w:eastAsia="仿宋" w:hAnsi="仿宋" w:cs="仿宋" w:hint="eastAsia"/>
                <w:sz w:val="28"/>
                <w:szCs w:val="28"/>
              </w:rPr>
              <w:t>七、存在的问题及原因分析</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_Toc24999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28</w:t>
            </w:r>
            <w:r>
              <w:rPr>
                <w:rFonts w:ascii="仿宋" w:eastAsia="仿宋" w:hAnsi="仿宋" w:cs="仿宋" w:hint="eastAsia"/>
                <w:sz w:val="28"/>
                <w:szCs w:val="28"/>
              </w:rPr>
              <w:fldChar w:fldCharType="end"/>
            </w:r>
          </w:hyperlink>
        </w:p>
        <w:p w14:paraId="45D9B4C7" w14:textId="77777777" w:rsidR="005114BD" w:rsidRDefault="00000000">
          <w:pPr>
            <w:pStyle w:val="TOC1"/>
            <w:tabs>
              <w:tab w:val="right" w:leader="dot" w:pos="8306"/>
            </w:tabs>
            <w:spacing w:line="500" w:lineRule="exact"/>
            <w:rPr>
              <w:rFonts w:ascii="仿宋" w:eastAsia="仿宋" w:hAnsi="仿宋" w:cs="仿宋"/>
              <w:sz w:val="28"/>
              <w:szCs w:val="28"/>
            </w:rPr>
          </w:pPr>
          <w:hyperlink w:anchor="_Toc3768" w:history="1">
            <w:r>
              <w:rPr>
                <w:rFonts w:ascii="仿宋" w:eastAsia="仿宋" w:hAnsi="仿宋" w:cs="仿宋" w:hint="eastAsia"/>
                <w:sz w:val="28"/>
                <w:szCs w:val="28"/>
              </w:rPr>
              <w:t>八、有关建议</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_Toc3768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28</w:t>
            </w:r>
            <w:r>
              <w:rPr>
                <w:rFonts w:ascii="仿宋" w:eastAsia="仿宋" w:hAnsi="仿宋" w:cs="仿宋" w:hint="eastAsia"/>
                <w:sz w:val="28"/>
                <w:szCs w:val="28"/>
              </w:rPr>
              <w:fldChar w:fldCharType="end"/>
            </w:r>
          </w:hyperlink>
        </w:p>
        <w:p w14:paraId="4BF91B25" w14:textId="77777777" w:rsidR="005114BD" w:rsidRDefault="00000000">
          <w:pPr>
            <w:pStyle w:val="TOC1"/>
            <w:tabs>
              <w:tab w:val="right" w:leader="dot" w:pos="8306"/>
            </w:tabs>
            <w:spacing w:line="500" w:lineRule="exact"/>
            <w:rPr>
              <w:rFonts w:ascii="仿宋" w:eastAsia="仿宋" w:hAnsi="仿宋" w:cs="仿宋"/>
              <w:sz w:val="28"/>
              <w:szCs w:val="28"/>
            </w:rPr>
          </w:pPr>
          <w:hyperlink w:anchor="_Toc30680" w:history="1">
            <w:r>
              <w:rPr>
                <w:rFonts w:ascii="仿宋" w:eastAsia="仿宋" w:hAnsi="仿宋" w:cs="仿宋" w:hint="eastAsia"/>
                <w:sz w:val="28"/>
                <w:szCs w:val="28"/>
              </w:rPr>
              <w:t>九、需要说明的问题</w:t>
            </w:r>
            <w:r>
              <w:rPr>
                <w:rFonts w:ascii="仿宋" w:eastAsia="仿宋" w:hAnsi="仿宋" w:cs="仿宋" w:hint="eastAsia"/>
                <w:sz w:val="28"/>
                <w:szCs w:val="28"/>
              </w:rPr>
              <w:tab/>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_Toc30680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Fonts w:ascii="仿宋" w:eastAsia="仿宋" w:hAnsi="仿宋" w:cs="仿宋" w:hint="eastAsia"/>
                <w:sz w:val="28"/>
                <w:szCs w:val="28"/>
              </w:rPr>
              <w:t>29</w:t>
            </w:r>
            <w:r>
              <w:rPr>
                <w:rFonts w:ascii="仿宋" w:eastAsia="仿宋" w:hAnsi="仿宋" w:cs="仿宋" w:hint="eastAsia"/>
                <w:sz w:val="28"/>
                <w:szCs w:val="28"/>
              </w:rPr>
              <w:fldChar w:fldCharType="end"/>
            </w:r>
          </w:hyperlink>
        </w:p>
        <w:p w14:paraId="2E934704" w14:textId="77777777" w:rsidR="005114BD" w:rsidRDefault="00000000">
          <w:pPr>
            <w:pStyle w:val="a0"/>
            <w:overflowPunct w:val="0"/>
            <w:spacing w:line="500" w:lineRule="exact"/>
            <w:rPr>
              <w:rFonts w:ascii="宋体" w:eastAsia="宋体" w:hAnsi="宋体"/>
              <w:b/>
              <w:bCs/>
              <w:szCs w:val="44"/>
            </w:rPr>
            <w:sectPr w:rsidR="005114BD">
              <w:headerReference w:type="default" r:id="rId10"/>
              <w:pgSz w:w="11906" w:h="16838"/>
              <w:pgMar w:top="1440" w:right="1800" w:bottom="1440" w:left="1800" w:header="851" w:footer="992" w:gutter="0"/>
              <w:pgNumType w:start="1"/>
              <w:cols w:space="425"/>
              <w:docGrid w:type="lines" w:linePitch="312"/>
            </w:sectPr>
          </w:pPr>
          <w:r>
            <w:rPr>
              <w:rFonts w:ascii="仿宋" w:eastAsia="仿宋" w:hAnsi="仿宋" w:cs="仿宋" w:hint="eastAsia"/>
              <w:bCs/>
              <w:sz w:val="28"/>
              <w:szCs w:val="28"/>
            </w:rPr>
            <w:fldChar w:fldCharType="end"/>
          </w:r>
        </w:p>
      </w:sdtContent>
    </w:sdt>
    <w:p w14:paraId="63181F7F" w14:textId="77777777" w:rsidR="005114BD" w:rsidRDefault="00000000">
      <w:pPr>
        <w:pStyle w:val="a0"/>
        <w:overflowPunct w:val="0"/>
        <w:spacing w:line="560" w:lineRule="exact"/>
        <w:ind w:firstLineChars="200" w:firstLine="880"/>
        <w:jc w:val="center"/>
        <w:outlineLvl w:val="0"/>
        <w:rPr>
          <w:rFonts w:ascii="方正小标宋简体" w:eastAsia="方正小标宋简体" w:hAnsi="宋体"/>
          <w:sz w:val="44"/>
          <w:szCs w:val="44"/>
        </w:rPr>
      </w:pPr>
      <w:bookmarkStart w:id="10" w:name="_Toc20620"/>
      <w:r>
        <w:rPr>
          <w:rFonts w:ascii="方正小标宋简体" w:eastAsia="方正小标宋简体" w:hAnsi="宋体" w:hint="eastAsia"/>
          <w:sz w:val="44"/>
          <w:szCs w:val="44"/>
        </w:rPr>
        <w:lastRenderedPageBreak/>
        <w:t xml:space="preserve">摘 </w:t>
      </w:r>
      <w:r>
        <w:rPr>
          <w:rFonts w:ascii="方正小标宋简体" w:eastAsia="方正小标宋简体" w:hAnsi="宋体"/>
          <w:sz w:val="44"/>
          <w:szCs w:val="44"/>
        </w:rPr>
        <w:t xml:space="preserve">  </w:t>
      </w:r>
      <w:r>
        <w:rPr>
          <w:rFonts w:ascii="方正小标宋简体" w:eastAsia="方正小标宋简体" w:hAnsi="宋体" w:hint="eastAsia"/>
          <w:sz w:val="44"/>
          <w:szCs w:val="44"/>
        </w:rPr>
        <w:t>要</w:t>
      </w:r>
      <w:bookmarkEnd w:id="10"/>
    </w:p>
    <w:p w14:paraId="2F7D2A12" w14:textId="77777777" w:rsidR="005114BD" w:rsidRDefault="005114BD">
      <w:pPr>
        <w:overflowPunct w:val="0"/>
        <w:spacing w:line="560" w:lineRule="exact"/>
        <w:ind w:firstLineChars="200" w:firstLine="420"/>
      </w:pPr>
    </w:p>
    <w:p w14:paraId="6FC3D3B2" w14:textId="77777777" w:rsidR="005114BD" w:rsidRDefault="00000000">
      <w:pPr>
        <w:tabs>
          <w:tab w:val="left" w:pos="849"/>
        </w:tabs>
        <w:overflowPunct w:val="0"/>
        <w:spacing w:line="560" w:lineRule="exact"/>
        <w:ind w:firstLineChars="200" w:firstLine="643"/>
        <w:outlineLvl w:val="0"/>
        <w:rPr>
          <w:rFonts w:ascii="黑体" w:eastAsia="黑体" w:hAnsi="黑体" w:cs="黑体"/>
          <w:sz w:val="32"/>
          <w:szCs w:val="32"/>
        </w:rPr>
      </w:pPr>
      <w:bookmarkStart w:id="11" w:name="_Toc13873"/>
      <w:bookmarkStart w:id="12" w:name="_Toc23575"/>
      <w:r>
        <w:rPr>
          <w:rFonts w:ascii="黑体" w:eastAsia="黑体" w:hAnsi="黑体" w:cs="黑体" w:hint="eastAsia"/>
          <w:b/>
          <w:bCs/>
          <w:sz w:val="32"/>
          <w:szCs w:val="32"/>
        </w:rPr>
        <w:t>一、项目基本情况</w:t>
      </w:r>
      <w:bookmarkEnd w:id="11"/>
      <w:bookmarkEnd w:id="12"/>
    </w:p>
    <w:p w14:paraId="469D47BA" w14:textId="77777777" w:rsidR="005114BD" w:rsidRDefault="00000000">
      <w:pPr>
        <w:pStyle w:val="a0"/>
        <w:overflowPunct w:val="0"/>
        <w:spacing w:line="560" w:lineRule="exact"/>
        <w:ind w:firstLineChars="200" w:firstLine="643"/>
        <w:outlineLvl w:val="1"/>
        <w:rPr>
          <w:rFonts w:ascii="楷体" w:eastAsia="楷体" w:hAnsi="楷体" w:cs="楷体"/>
          <w:b/>
          <w:bCs/>
        </w:rPr>
      </w:pPr>
      <w:bookmarkStart w:id="13" w:name="_Toc30374"/>
      <w:bookmarkStart w:id="14" w:name="_Toc18419"/>
      <w:r>
        <w:rPr>
          <w:rFonts w:ascii="楷体" w:eastAsia="楷体" w:hAnsi="楷体" w:cs="楷体" w:hint="eastAsia"/>
          <w:b/>
          <w:bCs/>
        </w:rPr>
        <w:t>（一）项目立项背景及实施目的</w:t>
      </w:r>
      <w:bookmarkEnd w:id="13"/>
      <w:bookmarkEnd w:id="14"/>
    </w:p>
    <w:p w14:paraId="1AD59259" w14:textId="77777777" w:rsidR="005114BD" w:rsidRDefault="00000000">
      <w:pPr>
        <w:pStyle w:val="a0"/>
        <w:overflowPunct w:val="0"/>
        <w:spacing w:line="560" w:lineRule="exact"/>
        <w:ind w:firstLineChars="200" w:firstLine="640"/>
        <w:rPr>
          <w:rFonts w:ascii="仿宋_GB2312" w:hAnsi="仿宋_GB2312" w:cs="仿宋_GB2312"/>
        </w:rPr>
      </w:pPr>
      <w:bookmarkStart w:id="15" w:name="_Toc24239"/>
      <w:r>
        <w:rPr>
          <w:rFonts w:ascii="仿宋_GB2312" w:hAnsi="仿宋_GB2312" w:cs="仿宋_GB2312" w:hint="eastAsia"/>
        </w:rPr>
        <w:t>为了加强对人民法院法官和司法警察的正规化管理，便于司法人员执行职务和人民群众对司法警察的识别与监督，按照相关文件精神，从2001年开始，结合我省实际情况和各地财政状况，换装经费标准依照相关文件的通知执行。根据相关政策文件要求，夏装每2年换发一次，春秋装每4年换发一次，防寒服每8年换发一次。</w:t>
      </w:r>
    </w:p>
    <w:p w14:paraId="0E5C29C4" w14:textId="77777777" w:rsidR="005114BD" w:rsidRDefault="00000000">
      <w:pPr>
        <w:pStyle w:val="a0"/>
        <w:overflowPunct w:val="0"/>
        <w:spacing w:line="560" w:lineRule="exact"/>
        <w:ind w:firstLineChars="200" w:firstLine="640"/>
        <w:rPr>
          <w:rFonts w:ascii="仿宋_GB2312" w:hAnsi="仿宋_GB2312" w:cs="仿宋_GB2312"/>
        </w:rPr>
      </w:pPr>
      <w:bookmarkStart w:id="16" w:name="_Toc21039"/>
      <w:bookmarkStart w:id="17" w:name="_Toc21079"/>
      <w:r>
        <w:rPr>
          <w:rFonts w:ascii="仿宋_GB2312" w:hAnsi="仿宋_GB2312" w:cs="仿宋_GB2312" w:hint="eastAsia"/>
        </w:rPr>
        <w:t>司法机关实行统一着装，是维护国家法治尊严，依法行使司法权的需要。司法人员依法履行法律职务时统一穿着的制式服装，便于司法人员执行职务和人民群众对司法警察的识别与监督。严肃纪律作风、增强对司法工作的荣誉感、责任感，培养严谨的工作作风，在社会中树立司法机关良好的执法形象，以更好地维护国家法制、法律的权威、公平和正义，维护社会稳定和谐。</w:t>
      </w:r>
      <w:bookmarkEnd w:id="16"/>
      <w:bookmarkEnd w:id="17"/>
    </w:p>
    <w:p w14:paraId="00BAF7FC" w14:textId="77777777" w:rsidR="005114BD" w:rsidRDefault="00000000">
      <w:pPr>
        <w:pStyle w:val="a0"/>
        <w:overflowPunct w:val="0"/>
        <w:spacing w:line="560" w:lineRule="exact"/>
        <w:ind w:firstLineChars="200" w:firstLine="643"/>
        <w:outlineLvl w:val="1"/>
        <w:rPr>
          <w:rFonts w:ascii="楷体" w:eastAsia="楷体" w:hAnsi="楷体" w:cs="楷体"/>
          <w:b/>
          <w:bCs/>
        </w:rPr>
      </w:pPr>
      <w:bookmarkStart w:id="18" w:name="_Toc10649"/>
      <w:r>
        <w:rPr>
          <w:rFonts w:ascii="楷体" w:eastAsia="楷体" w:hAnsi="楷体" w:cs="楷体" w:hint="eastAsia"/>
          <w:b/>
          <w:bCs/>
        </w:rPr>
        <w:t>（二）项目预算安排和支出情况</w:t>
      </w:r>
      <w:bookmarkEnd w:id="15"/>
      <w:bookmarkEnd w:id="18"/>
    </w:p>
    <w:p w14:paraId="1FC81F5E"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法官法警服装费项目根据2022年度预算安排，该项目预算资金853.00万元。截止2022年12月31日，实际支出853.00万元，预算执行率100%。</w:t>
      </w:r>
    </w:p>
    <w:p w14:paraId="5B68220E" w14:textId="77777777" w:rsidR="005114BD" w:rsidRDefault="00000000">
      <w:pPr>
        <w:pStyle w:val="a0"/>
        <w:overflowPunct w:val="0"/>
        <w:spacing w:line="560" w:lineRule="exact"/>
        <w:ind w:firstLineChars="200" w:firstLine="643"/>
        <w:outlineLvl w:val="1"/>
        <w:rPr>
          <w:rFonts w:ascii="楷体" w:eastAsia="楷体" w:hAnsi="楷体" w:cs="楷体"/>
          <w:b/>
          <w:bCs/>
        </w:rPr>
      </w:pPr>
      <w:bookmarkStart w:id="19" w:name="_Toc22406"/>
      <w:bookmarkStart w:id="20" w:name="_Toc25319"/>
      <w:r>
        <w:rPr>
          <w:rFonts w:ascii="楷体" w:eastAsia="楷体" w:hAnsi="楷体" w:cs="楷体" w:hint="eastAsia"/>
          <w:b/>
          <w:bCs/>
        </w:rPr>
        <w:t>（三）项目主要内容和实施情况</w:t>
      </w:r>
      <w:bookmarkEnd w:id="19"/>
      <w:bookmarkEnd w:id="20"/>
    </w:p>
    <w:p w14:paraId="44EF4E50" w14:textId="77777777" w:rsidR="005114BD" w:rsidRDefault="00000000">
      <w:pPr>
        <w:overflowPunct w:val="0"/>
        <w:ind w:firstLineChars="200" w:firstLine="640"/>
        <w:rPr>
          <w:rFonts w:ascii="仿宋_GB2312" w:eastAsia="仿宋_GB2312" w:hAnsi="仿宋_GB2312" w:cs="仿宋_GB2312"/>
          <w:sz w:val="32"/>
          <w:szCs w:val="32"/>
        </w:rPr>
      </w:pPr>
      <w:bookmarkStart w:id="21" w:name="_Toc25810"/>
      <w:bookmarkStart w:id="22" w:name="_Toc10787"/>
      <w:r>
        <w:rPr>
          <w:rFonts w:ascii="仿宋_GB2312" w:eastAsia="仿宋_GB2312" w:hAnsi="仿宋_GB2312" w:cs="仿宋_GB2312" w:hint="eastAsia"/>
          <w:sz w:val="32"/>
          <w:szCs w:val="32"/>
        </w:rPr>
        <w:t>加强人民法院规范化建设，进一步规范法官法警的着装行为，维护司法机关的良好形象。司法机关实行统一着装，</w:t>
      </w:r>
    </w:p>
    <w:p w14:paraId="2B9C1F57" w14:textId="15D4F487" w:rsidR="005114BD" w:rsidRDefault="00000000">
      <w:pPr>
        <w:overflowPunct w:val="0"/>
        <w:rPr>
          <w:rFonts w:ascii="仿宋_GB2312" w:hAnsi="仿宋_GB2312" w:cs="仿宋_GB2312"/>
          <w:sz w:val="32"/>
          <w:szCs w:val="32"/>
        </w:rPr>
      </w:pPr>
      <w:r>
        <w:rPr>
          <w:rFonts w:ascii="仿宋_GB2312" w:eastAsia="仿宋_GB2312" w:hAnsi="仿宋_GB2312" w:cs="仿宋_GB2312" w:hint="eastAsia"/>
          <w:sz w:val="32"/>
          <w:szCs w:val="32"/>
        </w:rPr>
        <w:lastRenderedPageBreak/>
        <w:t>在社会中树立司法机关良好的执法形象，以更好地维护国家法制、法律的权威、公平和正义，维护社会稳定和谐。省法院本年度通过公开招标，为法院干警购置服装及装备，服装及装备均通过验收，合格率为100%，着装率达到100%，在社会中树立了法院良好的执法形象。</w:t>
      </w:r>
      <w:bookmarkEnd w:id="21"/>
      <w:bookmarkEnd w:id="22"/>
    </w:p>
    <w:p w14:paraId="1F6B2300" w14:textId="77777777" w:rsidR="005114BD" w:rsidRDefault="00000000">
      <w:pPr>
        <w:tabs>
          <w:tab w:val="left" w:pos="849"/>
        </w:tabs>
        <w:overflowPunct w:val="0"/>
        <w:spacing w:line="560" w:lineRule="exact"/>
        <w:ind w:firstLineChars="200" w:firstLine="643"/>
        <w:outlineLvl w:val="0"/>
        <w:rPr>
          <w:rFonts w:ascii="黑体" w:eastAsia="黑体" w:hAnsi="黑体" w:cs="黑体"/>
          <w:b/>
          <w:bCs/>
          <w:sz w:val="32"/>
          <w:szCs w:val="32"/>
        </w:rPr>
      </w:pPr>
      <w:bookmarkStart w:id="23" w:name="_Toc29295"/>
      <w:bookmarkStart w:id="24" w:name="_Toc4760"/>
      <w:r>
        <w:rPr>
          <w:rFonts w:ascii="黑体" w:eastAsia="黑体" w:hAnsi="黑体" w:cs="黑体" w:hint="eastAsia"/>
          <w:b/>
          <w:bCs/>
          <w:sz w:val="32"/>
          <w:szCs w:val="32"/>
        </w:rPr>
        <w:t>二、项目绩效目标</w:t>
      </w:r>
      <w:bookmarkEnd w:id="23"/>
      <w:bookmarkEnd w:id="24"/>
    </w:p>
    <w:p w14:paraId="6C2A7B08" w14:textId="77777777" w:rsidR="005114BD" w:rsidRDefault="00000000">
      <w:pPr>
        <w:pStyle w:val="a0"/>
        <w:overflowPunct w:val="0"/>
        <w:spacing w:line="560" w:lineRule="exact"/>
        <w:ind w:firstLineChars="200" w:firstLine="643"/>
        <w:outlineLvl w:val="1"/>
        <w:rPr>
          <w:rFonts w:ascii="仿宋" w:eastAsia="仿宋" w:hAnsi="仿宋" w:cs="仿宋"/>
          <w:b/>
          <w:bCs/>
        </w:rPr>
      </w:pPr>
      <w:bookmarkStart w:id="25" w:name="_Toc1873"/>
      <w:bookmarkStart w:id="26" w:name="_Toc20213"/>
      <w:r>
        <w:rPr>
          <w:rFonts w:ascii="楷体" w:eastAsia="楷体" w:hAnsi="楷体" w:cs="楷体" w:hint="eastAsia"/>
          <w:b/>
          <w:bCs/>
        </w:rPr>
        <w:t>（一）总体绩效目标</w:t>
      </w:r>
      <w:bookmarkEnd w:id="25"/>
      <w:bookmarkEnd w:id="26"/>
    </w:p>
    <w:p w14:paraId="34BEDF6A" w14:textId="77777777" w:rsidR="005114BD" w:rsidRDefault="00000000">
      <w:pPr>
        <w:pStyle w:val="a0"/>
        <w:overflowPunct w:val="0"/>
        <w:spacing w:line="560" w:lineRule="exact"/>
        <w:ind w:firstLineChars="200" w:firstLine="640"/>
        <w:rPr>
          <w:rFonts w:ascii="仿宋_GB2312" w:hAnsi="仿宋_GB2312" w:cs="仿宋_GB2312"/>
        </w:rPr>
      </w:pPr>
      <w:bookmarkStart w:id="27" w:name="_Toc13132"/>
      <w:r>
        <w:rPr>
          <w:rFonts w:ascii="仿宋_GB2312" w:hAnsi="仿宋_GB2312" w:cs="仿宋_GB2312" w:hint="eastAsia"/>
        </w:rPr>
        <w:t>严格按照最高法院制定的样式和标准，组织做好全省法院系统审判服配发工作，确保审判服着装统一、标准、规范。法袍按实际需要配发，审判服按照换装品目，按照夏装每2年、春秋装每4年、防寒服每8年等不同年限标准，按相关规定标准和程序进行换装。</w:t>
      </w:r>
    </w:p>
    <w:p w14:paraId="198DA294" w14:textId="77777777" w:rsidR="005114BD" w:rsidRDefault="00000000">
      <w:pPr>
        <w:pStyle w:val="a0"/>
        <w:overflowPunct w:val="0"/>
        <w:spacing w:line="560" w:lineRule="exact"/>
        <w:ind w:firstLineChars="200" w:firstLine="643"/>
        <w:outlineLvl w:val="1"/>
        <w:rPr>
          <w:rFonts w:ascii="楷体" w:eastAsia="楷体" w:hAnsi="楷体" w:cs="楷体"/>
          <w:b/>
          <w:bCs/>
        </w:rPr>
      </w:pPr>
      <w:bookmarkStart w:id="28" w:name="_Toc8120"/>
      <w:r>
        <w:rPr>
          <w:rFonts w:ascii="楷体" w:eastAsia="楷体" w:hAnsi="楷体" w:cs="楷体" w:hint="eastAsia"/>
          <w:b/>
          <w:bCs/>
        </w:rPr>
        <w:t>（二）2022年度绩效目标</w:t>
      </w:r>
      <w:bookmarkEnd w:id="27"/>
      <w:bookmarkEnd w:id="28"/>
    </w:p>
    <w:p w14:paraId="69A2BCAA" w14:textId="4F395C27" w:rsidR="005114BD" w:rsidRDefault="00000000">
      <w:pPr>
        <w:pStyle w:val="a0"/>
        <w:overflowPunct w:val="0"/>
        <w:spacing w:line="560" w:lineRule="exact"/>
        <w:ind w:firstLineChars="200" w:firstLine="640"/>
        <w:rPr>
          <w:rFonts w:ascii="仿宋_GB2312" w:hAnsi="仿宋_GB2312" w:cs="仿宋_GB2312"/>
        </w:rPr>
      </w:pPr>
      <w:bookmarkStart w:id="29" w:name="_Toc25440"/>
      <w:bookmarkStart w:id="30" w:name="_Toc904"/>
      <w:r>
        <w:rPr>
          <w:rFonts w:ascii="仿宋_GB2312" w:hAnsi="仿宋_GB2312" w:cs="仿宋_GB2312" w:hint="eastAsia"/>
        </w:rPr>
        <w:t>2022年法院计划按照采购要求，配发全省人员装备及服装，达到着装率90%以上。增强对法院工作的荣誉感、责任感，培养严谨的工作作风，在社会中树立法院良好的执法形象，以更好地维护国家法制、法律的权威、公平和公正，维护社会稳定和谐。</w:t>
      </w:r>
      <w:bookmarkEnd w:id="29"/>
      <w:bookmarkEnd w:id="30"/>
    </w:p>
    <w:p w14:paraId="232CA8BD" w14:textId="77777777" w:rsidR="005114BD" w:rsidRDefault="00000000">
      <w:pPr>
        <w:pStyle w:val="a0"/>
        <w:overflowPunct w:val="0"/>
        <w:spacing w:line="560" w:lineRule="exact"/>
        <w:ind w:firstLineChars="200" w:firstLine="640"/>
        <w:outlineLvl w:val="0"/>
        <w:rPr>
          <w:rFonts w:ascii="黑体" w:eastAsia="黑体" w:hAnsi="黑体" w:cs="黑体"/>
        </w:rPr>
      </w:pPr>
      <w:bookmarkStart w:id="31" w:name="_Toc23835"/>
      <w:bookmarkStart w:id="32" w:name="_Toc9055"/>
      <w:r>
        <w:rPr>
          <w:rFonts w:ascii="黑体" w:eastAsia="黑体" w:hAnsi="黑体" w:cs="黑体" w:hint="eastAsia"/>
        </w:rPr>
        <w:t>三</w:t>
      </w:r>
      <w:r>
        <w:rPr>
          <w:rFonts w:ascii="黑体" w:eastAsia="黑体" w:hAnsi="黑体" w:cs="黑体" w:hint="eastAsia"/>
          <w:b/>
          <w:bCs/>
        </w:rPr>
        <w:t>、评价基本情况</w:t>
      </w:r>
      <w:bookmarkEnd w:id="31"/>
      <w:bookmarkEnd w:id="32"/>
    </w:p>
    <w:p w14:paraId="0352327B" w14:textId="77777777" w:rsidR="005114BD" w:rsidRDefault="00000000">
      <w:pPr>
        <w:pStyle w:val="a0"/>
        <w:overflowPunct w:val="0"/>
        <w:spacing w:line="560" w:lineRule="exact"/>
        <w:ind w:firstLineChars="200" w:firstLine="643"/>
        <w:outlineLvl w:val="1"/>
        <w:rPr>
          <w:rFonts w:ascii="楷体" w:eastAsia="楷体" w:hAnsi="楷体" w:cs="楷体"/>
          <w:b/>
          <w:bCs/>
        </w:rPr>
      </w:pPr>
      <w:bookmarkStart w:id="33" w:name="_Toc31690"/>
      <w:bookmarkStart w:id="34" w:name="_Toc12764"/>
      <w:r>
        <w:rPr>
          <w:rFonts w:ascii="楷体" w:eastAsia="楷体" w:hAnsi="楷体" w:cs="楷体" w:hint="eastAsia"/>
          <w:b/>
          <w:bCs/>
        </w:rPr>
        <w:t>（一）评价目的、对象和范围</w:t>
      </w:r>
      <w:bookmarkEnd w:id="33"/>
      <w:bookmarkEnd w:id="34"/>
    </w:p>
    <w:p w14:paraId="036747AB"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本次绩效评价的目的是对预算资金的执行情况、资金使用情况、项目的绩效情况进行综合分析，与预期绩效目标进行对比评价，优化资金使用、完善资金管理，为该项目下一</w:t>
      </w:r>
      <w:r>
        <w:rPr>
          <w:rFonts w:ascii="仿宋_GB2312" w:hAnsi="仿宋_GB2312" w:cs="仿宋_GB2312" w:hint="eastAsia"/>
        </w:rPr>
        <w:lastRenderedPageBreak/>
        <w:t>步的预算安排提供参考，不断提高资金的使用效益。</w:t>
      </w:r>
    </w:p>
    <w:p w14:paraId="2C351A54"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本次绩效评价对象为2022年省财政安排的“法官法警服装费”项目；评价范围为2022年该项目预算资金853.00万元的资金使用和项目实施效益情况。</w:t>
      </w:r>
    </w:p>
    <w:p w14:paraId="0C3FE39F" w14:textId="77777777" w:rsidR="005114BD" w:rsidRDefault="00000000">
      <w:pPr>
        <w:pStyle w:val="a0"/>
        <w:overflowPunct w:val="0"/>
        <w:spacing w:line="560" w:lineRule="exact"/>
        <w:ind w:firstLineChars="200" w:firstLine="643"/>
        <w:outlineLvl w:val="1"/>
        <w:rPr>
          <w:rFonts w:ascii="楷体" w:eastAsia="楷体" w:hAnsi="楷体" w:cs="楷体"/>
          <w:b/>
          <w:bCs/>
        </w:rPr>
      </w:pPr>
      <w:bookmarkStart w:id="35" w:name="_Toc14548"/>
      <w:bookmarkStart w:id="36" w:name="_Toc861"/>
      <w:r>
        <w:rPr>
          <w:rFonts w:ascii="楷体" w:eastAsia="楷体" w:hAnsi="楷体" w:cs="楷体" w:hint="eastAsia"/>
          <w:b/>
          <w:bCs/>
        </w:rPr>
        <w:t>（二）评价原则、评价方法、评价指标体系</w:t>
      </w:r>
      <w:bookmarkEnd w:id="35"/>
      <w:bookmarkEnd w:id="36"/>
    </w:p>
    <w:p w14:paraId="0A0C1090" w14:textId="77777777" w:rsidR="005114BD" w:rsidRDefault="00000000">
      <w:pPr>
        <w:overflowPunct w:val="0"/>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hint="eastAsia"/>
          <w:sz w:val="32"/>
          <w:szCs w:val="32"/>
        </w:rPr>
        <w:t>本次绩效评价遵循</w:t>
      </w:r>
      <w:r>
        <w:rPr>
          <w:rFonts w:ascii="仿宋_GB2312" w:eastAsia="仿宋_GB2312" w:hAnsi="仿宋_GB2312" w:cs="仿宋_GB2312" w:hint="eastAsia"/>
          <w:color w:val="000000" w:themeColor="text1"/>
          <w:sz w:val="32"/>
          <w:szCs w:val="32"/>
        </w:rPr>
        <w:t>科学规范、绩效相关、公开透明、激励约束的原</w:t>
      </w:r>
      <w:r>
        <w:rPr>
          <w:rFonts w:ascii="仿宋_GB2312" w:eastAsia="仿宋_GB2312" w:hAnsi="仿宋_GB2312" w:cs="仿宋_GB2312" w:hint="eastAsia"/>
          <w:sz w:val="32"/>
          <w:szCs w:val="32"/>
        </w:rPr>
        <w:t>则。</w:t>
      </w:r>
      <w:r>
        <w:rPr>
          <w:rFonts w:ascii="仿宋_GB2312" w:eastAsia="仿宋_GB2312" w:hAnsi="仿宋_GB2312" w:cs="仿宋_GB2312" w:hint="eastAsia"/>
          <w:color w:val="000000" w:themeColor="text1"/>
          <w:sz w:val="32"/>
          <w:szCs w:val="32"/>
        </w:rPr>
        <w:t>采用定量和定性分析相结合，第三方评价机构现场核实、资料评审相结合，综合运用比较法、因素分析法和专家评议等方法进行评价。</w:t>
      </w:r>
      <w:r>
        <w:rPr>
          <w:rFonts w:ascii="仿宋_GB2312" w:eastAsia="仿宋_GB2312" w:hAnsi="仿宋_GB2312" w:cs="仿宋_GB2312" w:hint="eastAsia"/>
          <w:sz w:val="32"/>
          <w:szCs w:val="32"/>
        </w:rPr>
        <w:t>根据相关文件规定，绩效评价指标划分为三级，一级指标主要包括：项目决策、过程、产出、效益、服务对象满意度情况，二级指标和三级指标根据项目情况量化、细化。</w:t>
      </w:r>
    </w:p>
    <w:p w14:paraId="0BE40C37" w14:textId="77777777" w:rsidR="005114BD" w:rsidRDefault="00000000">
      <w:pPr>
        <w:pStyle w:val="a0"/>
        <w:overflowPunct w:val="0"/>
        <w:spacing w:line="560" w:lineRule="exact"/>
        <w:ind w:firstLineChars="200" w:firstLine="643"/>
        <w:outlineLvl w:val="1"/>
        <w:rPr>
          <w:rFonts w:ascii="楷体" w:eastAsia="楷体" w:hAnsi="楷体" w:cs="楷体"/>
          <w:b/>
          <w:bCs/>
        </w:rPr>
      </w:pPr>
      <w:bookmarkStart w:id="37" w:name="_Toc7306"/>
      <w:bookmarkStart w:id="38" w:name="_Toc7555"/>
      <w:r>
        <w:rPr>
          <w:rFonts w:ascii="楷体" w:eastAsia="楷体" w:hAnsi="楷体" w:cs="楷体" w:hint="eastAsia"/>
          <w:b/>
          <w:bCs/>
        </w:rPr>
        <w:t>（三）绩效评价工作过程</w:t>
      </w:r>
      <w:bookmarkEnd w:id="37"/>
      <w:bookmarkEnd w:id="38"/>
    </w:p>
    <w:p w14:paraId="46B55609" w14:textId="77777777" w:rsidR="005114BD" w:rsidRDefault="00000000">
      <w:pPr>
        <w:overflowPunct w:val="0"/>
        <w:spacing w:line="560" w:lineRule="exact"/>
        <w:ind w:firstLineChars="200" w:firstLine="640"/>
        <w:rPr>
          <w:rFonts w:ascii="仿宋_GB2312" w:eastAsia="仿宋_GB2312" w:hAnsi="仿宋_GB2312" w:cs="仿宋_GB2312"/>
          <w:sz w:val="32"/>
          <w:szCs w:val="32"/>
        </w:rPr>
      </w:pPr>
      <w:bookmarkStart w:id="39" w:name="_Toc29824"/>
      <w:r>
        <w:rPr>
          <w:rFonts w:ascii="仿宋_GB2312" w:eastAsia="仿宋_GB2312" w:hAnsi="仿宋_GB2312" w:cs="仿宋_GB2312" w:hint="eastAsia"/>
          <w:sz w:val="32"/>
          <w:szCs w:val="32"/>
        </w:rPr>
        <w:t>本次评价由省法院委托甘肃卓诚财务咨询有限公司组成评价工作组，按照《甘肃省财政厅关于开展2022年度省级预算执行情况部门和财政重点绩效评价工作的通知》（甘财绩〔2023〕3号）要求，在充分开展前期调研的基础上，收集评价资料、开展现场评价、进行综合分析、撰写评价报告。</w:t>
      </w:r>
    </w:p>
    <w:p w14:paraId="35B2745E" w14:textId="77777777" w:rsidR="005114BD" w:rsidRDefault="00000000">
      <w:pPr>
        <w:pStyle w:val="a0"/>
        <w:overflowPunct w:val="0"/>
        <w:spacing w:line="560" w:lineRule="exact"/>
        <w:ind w:firstLineChars="200" w:firstLine="643"/>
        <w:outlineLvl w:val="0"/>
        <w:rPr>
          <w:rFonts w:ascii="仿宋" w:eastAsia="仿宋" w:hAnsi="仿宋" w:cs="仿宋"/>
          <w:b/>
          <w:bCs/>
        </w:rPr>
      </w:pPr>
      <w:bookmarkStart w:id="40" w:name="_Toc4097"/>
      <w:r>
        <w:rPr>
          <w:rFonts w:ascii="黑体" w:eastAsia="黑体" w:hAnsi="黑体" w:cs="黑体" w:hint="eastAsia"/>
          <w:b/>
          <w:bCs/>
        </w:rPr>
        <w:t>四、评价结论和绩效分析</w:t>
      </w:r>
      <w:bookmarkEnd w:id="39"/>
      <w:bookmarkEnd w:id="40"/>
    </w:p>
    <w:p w14:paraId="1A271B42" w14:textId="77777777" w:rsidR="005114BD" w:rsidRDefault="00000000">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依据项目支出绩效评价指标体系和评分标准，综合评定2022年度法官法警服装费项目绩效评分为97分，绩效等级为“优”。</w:t>
      </w:r>
    </w:p>
    <w:p w14:paraId="694D7609" w14:textId="77777777" w:rsidR="005114BD" w:rsidRDefault="00000000">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评价认为，2022年法官法警服装费项目立项依据充分，</w:t>
      </w:r>
      <w:r>
        <w:rPr>
          <w:rFonts w:ascii="仿宋_GB2312" w:eastAsia="仿宋_GB2312" w:hAnsi="仿宋_GB2312" w:cs="仿宋_GB2312" w:hint="eastAsia"/>
          <w:sz w:val="32"/>
          <w:szCs w:val="32"/>
        </w:rPr>
        <w:lastRenderedPageBreak/>
        <w:t>立项程序规范，预算编制科学，资金及时到位，管理制度健全，资金分配合理，资金使用规范，预算执行率较高，项目的实施有利于规范法官法警的着装，在社会中树立了法院良好的执法形象，项目效益显著。</w:t>
      </w:r>
    </w:p>
    <w:p w14:paraId="5BB626E9" w14:textId="77777777" w:rsidR="005114BD" w:rsidRDefault="00000000">
      <w:pPr>
        <w:pStyle w:val="1"/>
        <w:keepNext w:val="0"/>
        <w:keepLines w:val="0"/>
        <w:overflowPunct w:val="0"/>
        <w:spacing w:before="0" w:after="0" w:line="560" w:lineRule="exact"/>
        <w:ind w:firstLineChars="200" w:firstLine="643"/>
        <w:rPr>
          <w:rFonts w:ascii="黑体" w:eastAsia="黑体" w:hAnsi="黑体" w:cs="黑体"/>
          <w:bCs w:val="0"/>
          <w:sz w:val="32"/>
          <w:szCs w:val="32"/>
        </w:rPr>
      </w:pPr>
      <w:bookmarkStart w:id="41" w:name="_Toc15126"/>
      <w:bookmarkStart w:id="42" w:name="_Toc16038"/>
      <w:r>
        <w:rPr>
          <w:rFonts w:ascii="黑体" w:eastAsia="黑体" w:hAnsi="黑体" w:cs="黑体" w:hint="eastAsia"/>
          <w:bCs w:val="0"/>
          <w:sz w:val="32"/>
          <w:szCs w:val="32"/>
        </w:rPr>
        <w:t>五、存在问题及原因分析</w:t>
      </w:r>
      <w:bookmarkEnd w:id="41"/>
      <w:bookmarkEnd w:id="42"/>
    </w:p>
    <w:p w14:paraId="75FFAB35" w14:textId="77777777" w:rsidR="005114BD" w:rsidRDefault="00000000">
      <w:pPr>
        <w:overflowPunct w:val="0"/>
        <w:spacing w:line="560" w:lineRule="exact"/>
        <w:ind w:firstLineChars="200" w:firstLine="640"/>
        <w:rPr>
          <w:rFonts w:ascii="仿宋_GB2312" w:eastAsia="仿宋_GB2312" w:hAnsi="仿宋_GB2312" w:cs="仿宋_GB2312"/>
          <w:sz w:val="32"/>
          <w:szCs w:val="32"/>
        </w:rPr>
      </w:pPr>
      <w:bookmarkStart w:id="43" w:name="_Toc24090"/>
      <w:bookmarkStart w:id="44" w:name="_Toc9017"/>
      <w:r>
        <w:rPr>
          <w:rFonts w:ascii="仿宋_GB2312" w:eastAsia="仿宋_GB2312" w:hAnsi="仿宋_GB2312" w:cs="仿宋_GB2312" w:hint="eastAsia"/>
          <w:sz w:val="32"/>
          <w:szCs w:val="32"/>
        </w:rPr>
        <w:t>“服装验收合格率、装备验收合格率、采购完成及时性”指标未全面完成。</w:t>
      </w:r>
    </w:p>
    <w:p w14:paraId="6C58060A" w14:textId="77777777" w:rsidR="005114BD" w:rsidRDefault="00000000">
      <w:pPr>
        <w:pStyle w:val="1"/>
        <w:keepNext w:val="0"/>
        <w:keepLines w:val="0"/>
        <w:overflowPunct w:val="0"/>
        <w:spacing w:before="0" w:after="0" w:line="560" w:lineRule="exact"/>
        <w:ind w:firstLineChars="200" w:firstLine="643"/>
        <w:rPr>
          <w:rFonts w:ascii="黑体" w:eastAsia="黑体" w:hAnsi="黑体" w:cs="黑体"/>
          <w:bCs w:val="0"/>
          <w:sz w:val="32"/>
          <w:szCs w:val="32"/>
        </w:rPr>
      </w:pPr>
      <w:bookmarkStart w:id="45" w:name="_Toc17821"/>
      <w:bookmarkEnd w:id="43"/>
      <w:r>
        <w:rPr>
          <w:rFonts w:ascii="黑体" w:eastAsia="黑体" w:hAnsi="黑体" w:cs="黑体" w:hint="eastAsia"/>
          <w:bCs w:val="0"/>
          <w:sz w:val="32"/>
          <w:szCs w:val="32"/>
        </w:rPr>
        <w:t>六、有关建议</w:t>
      </w:r>
      <w:bookmarkEnd w:id="45"/>
    </w:p>
    <w:p w14:paraId="07EC9C28" w14:textId="77777777" w:rsidR="005114BD" w:rsidRDefault="00000000">
      <w:pPr>
        <w:pStyle w:val="a0"/>
        <w:overflowPunct w:val="0"/>
        <w:spacing w:line="560" w:lineRule="exact"/>
        <w:ind w:firstLineChars="200" w:firstLine="640"/>
        <w:outlineLvl w:val="1"/>
        <w:rPr>
          <w:rFonts w:ascii="仿宋_GB2312" w:hAnsi="仿宋_GB2312" w:cs="仿宋_GB2312"/>
        </w:rPr>
      </w:pPr>
      <w:bookmarkStart w:id="46" w:name="_Toc28943"/>
      <w:bookmarkStart w:id="47" w:name="_Toc1603"/>
      <w:bookmarkStart w:id="48" w:name="_Toc2151"/>
      <w:r>
        <w:rPr>
          <w:rFonts w:ascii="仿宋_GB2312" w:hAnsi="仿宋_GB2312" w:cs="仿宋_GB2312" w:hint="eastAsia"/>
        </w:rPr>
        <w:t>加快项目实施进度，尽快完成项目年度计划。</w:t>
      </w:r>
      <w:bookmarkEnd w:id="46"/>
      <w:bookmarkEnd w:id="47"/>
      <w:bookmarkEnd w:id="48"/>
    </w:p>
    <w:p w14:paraId="1B2F5B03" w14:textId="77777777" w:rsidR="005114BD" w:rsidRDefault="005114BD">
      <w:pPr>
        <w:overflowPunct w:val="0"/>
        <w:spacing w:line="560" w:lineRule="exact"/>
        <w:ind w:firstLineChars="200" w:firstLine="640"/>
        <w:rPr>
          <w:rFonts w:ascii="仿宋" w:eastAsia="仿宋" w:hAnsi="仿宋" w:cs="仿宋"/>
          <w:sz w:val="32"/>
          <w:szCs w:val="32"/>
        </w:rPr>
      </w:pPr>
    </w:p>
    <w:p w14:paraId="02C34993" w14:textId="77777777" w:rsidR="005114BD" w:rsidRDefault="00000000">
      <w:pPr>
        <w:overflowPunct w:val="0"/>
        <w:rPr>
          <w:rFonts w:ascii="方正小标宋简体" w:eastAsia="方正小标宋简体" w:hAnsi="宋体"/>
          <w:sz w:val="44"/>
          <w:szCs w:val="44"/>
        </w:rPr>
      </w:pPr>
      <w:bookmarkStart w:id="49" w:name="_Toc2283"/>
      <w:bookmarkStart w:id="50" w:name="_Toc1784"/>
      <w:bookmarkEnd w:id="44"/>
      <w:r>
        <w:rPr>
          <w:rFonts w:ascii="方正小标宋简体" w:eastAsia="方正小标宋简体" w:hAnsi="宋体" w:hint="eastAsia"/>
          <w:sz w:val="44"/>
          <w:szCs w:val="44"/>
        </w:rPr>
        <w:br w:type="page"/>
      </w:r>
    </w:p>
    <w:p w14:paraId="18EA4AD2" w14:textId="77777777" w:rsidR="005114BD" w:rsidRDefault="00000000">
      <w:pPr>
        <w:overflowPunct w:val="0"/>
        <w:spacing w:line="560" w:lineRule="exact"/>
        <w:jc w:val="center"/>
        <w:outlineLvl w:val="0"/>
        <w:rPr>
          <w:rFonts w:ascii="方正小标宋简体" w:eastAsia="方正小标宋简体" w:hAnsi="宋体"/>
          <w:sz w:val="44"/>
          <w:szCs w:val="44"/>
        </w:rPr>
      </w:pPr>
      <w:bookmarkStart w:id="51" w:name="_Toc18394"/>
      <w:r>
        <w:rPr>
          <w:rFonts w:ascii="方正小标宋简体" w:eastAsia="方正小标宋简体" w:hAnsi="宋体" w:hint="eastAsia"/>
          <w:sz w:val="44"/>
          <w:szCs w:val="44"/>
        </w:rPr>
        <w:lastRenderedPageBreak/>
        <w:t>2022年度甘肃省高级人民法院重点项目</w:t>
      </w:r>
      <w:bookmarkEnd w:id="51"/>
    </w:p>
    <w:p w14:paraId="6F451987" w14:textId="77777777" w:rsidR="005114BD" w:rsidRDefault="00000000">
      <w:pPr>
        <w:overflowPunct w:val="0"/>
        <w:spacing w:line="560" w:lineRule="exact"/>
        <w:jc w:val="center"/>
        <w:outlineLvl w:val="0"/>
        <w:rPr>
          <w:rFonts w:ascii="方正小标宋简体" w:eastAsia="方正小标宋简体" w:hAnsi="宋体"/>
          <w:sz w:val="44"/>
          <w:szCs w:val="44"/>
        </w:rPr>
      </w:pPr>
      <w:bookmarkStart w:id="52" w:name="_Toc9529"/>
      <w:bookmarkStart w:id="53" w:name="_Toc10434"/>
      <w:bookmarkStart w:id="54" w:name="_Toc21731"/>
      <w:bookmarkStart w:id="55" w:name="_Toc13879"/>
      <w:bookmarkStart w:id="56" w:name="_Toc25608"/>
      <w:r>
        <w:rPr>
          <w:rFonts w:ascii="方正小标宋简体" w:eastAsia="方正小标宋简体" w:hAnsi="宋体" w:hint="eastAsia"/>
          <w:sz w:val="44"/>
          <w:szCs w:val="44"/>
        </w:rPr>
        <w:t>—法官法警服装费绩效评价报告</w:t>
      </w:r>
      <w:bookmarkEnd w:id="52"/>
      <w:bookmarkEnd w:id="53"/>
      <w:bookmarkEnd w:id="54"/>
      <w:bookmarkEnd w:id="55"/>
      <w:bookmarkEnd w:id="56"/>
    </w:p>
    <w:p w14:paraId="48F14C93" w14:textId="77777777" w:rsidR="005114BD" w:rsidRDefault="00000000">
      <w:pPr>
        <w:pStyle w:val="a0"/>
        <w:overflowPunct w:val="0"/>
        <w:spacing w:beforeLines="50" w:before="156" w:afterLines="50" w:after="156" w:line="560" w:lineRule="exact"/>
        <w:ind w:firstLineChars="200" w:firstLine="560"/>
        <w:jc w:val="right"/>
        <w:outlineLvl w:val="0"/>
        <w:rPr>
          <w:rFonts w:ascii="黑体" w:eastAsia="黑体"/>
          <w:sz w:val="28"/>
          <w:szCs w:val="28"/>
        </w:rPr>
      </w:pPr>
      <w:bookmarkStart w:id="57" w:name="_Toc24678"/>
      <w:r>
        <w:rPr>
          <w:rFonts w:ascii="楷体" w:eastAsia="楷体" w:hAnsi="楷体" w:cs="楷体" w:hint="eastAsia"/>
          <w:sz w:val="28"/>
          <w:szCs w:val="28"/>
        </w:rPr>
        <w:t>甘卓诚咨字【2023】第011号</w:t>
      </w:r>
      <w:bookmarkEnd w:id="57"/>
    </w:p>
    <w:p w14:paraId="6C13790B" w14:textId="77777777" w:rsidR="005114BD" w:rsidRDefault="00000000">
      <w:pPr>
        <w:pStyle w:val="a0"/>
        <w:overflowPunct w:val="0"/>
        <w:spacing w:line="560" w:lineRule="exact"/>
        <w:ind w:firstLineChars="200" w:firstLine="640"/>
        <w:outlineLvl w:val="0"/>
        <w:rPr>
          <w:rFonts w:ascii="黑体" w:eastAsia="黑体"/>
        </w:rPr>
      </w:pPr>
      <w:bookmarkStart w:id="58" w:name="_Toc430"/>
      <w:bookmarkStart w:id="59" w:name="_Toc28166"/>
      <w:r>
        <w:rPr>
          <w:rFonts w:ascii="黑体" w:eastAsia="黑体" w:hint="eastAsia"/>
        </w:rPr>
        <w:t>一、项目基本情况</w:t>
      </w:r>
      <w:bookmarkEnd w:id="49"/>
      <w:bookmarkEnd w:id="50"/>
      <w:bookmarkEnd w:id="58"/>
      <w:bookmarkEnd w:id="59"/>
    </w:p>
    <w:p w14:paraId="42178C70" w14:textId="77777777" w:rsidR="005114BD" w:rsidRDefault="00000000">
      <w:pPr>
        <w:pStyle w:val="a0"/>
        <w:overflowPunct w:val="0"/>
        <w:spacing w:line="560" w:lineRule="exact"/>
        <w:ind w:firstLineChars="200" w:firstLine="643"/>
        <w:outlineLvl w:val="1"/>
        <w:rPr>
          <w:rFonts w:ascii="楷体" w:eastAsia="楷体" w:hAnsi="楷体" w:cs="楷体"/>
          <w:b/>
          <w:bCs/>
        </w:rPr>
      </w:pPr>
      <w:bookmarkStart w:id="60" w:name="_Toc11404"/>
      <w:bookmarkStart w:id="61" w:name="_Toc32604"/>
      <w:bookmarkStart w:id="62" w:name="_Toc21843"/>
      <w:r>
        <w:rPr>
          <w:rFonts w:ascii="楷体" w:eastAsia="楷体" w:hAnsi="楷体" w:cs="楷体" w:hint="eastAsia"/>
          <w:b/>
          <w:bCs/>
        </w:rPr>
        <w:t>（一）项目立项背景</w:t>
      </w:r>
      <w:bookmarkEnd w:id="60"/>
      <w:bookmarkEnd w:id="61"/>
      <w:bookmarkEnd w:id="62"/>
    </w:p>
    <w:p w14:paraId="1C737ED4" w14:textId="77777777" w:rsidR="005114BD" w:rsidRDefault="00000000">
      <w:pPr>
        <w:pStyle w:val="a0"/>
        <w:overflowPunct w:val="0"/>
        <w:spacing w:line="560" w:lineRule="exact"/>
        <w:ind w:firstLineChars="200" w:firstLine="640"/>
        <w:rPr>
          <w:rFonts w:ascii="仿宋_GB2312" w:hAnsi="仿宋_GB2312" w:cs="仿宋_GB2312"/>
        </w:rPr>
      </w:pPr>
      <w:bookmarkStart w:id="63" w:name="_Hlk107005708"/>
      <w:bookmarkStart w:id="64" w:name="_Toc27159"/>
      <w:bookmarkStart w:id="65" w:name="_Toc10699"/>
      <w:r>
        <w:rPr>
          <w:rFonts w:ascii="仿宋_GB2312" w:hAnsi="仿宋_GB2312" w:cs="仿宋_GB2312" w:hint="eastAsia"/>
        </w:rPr>
        <w:t>为了加强对人民法院法官和司法警察的正规化管理，便于司法人员执行职务和人民群众对司法警察的识别与监督，按照相关文件精神，从2001年开始，结合我省实际情况和各地财政状况，换装经费标准依照相关文件的通知执行。根据相关政策文件要求，夏装每2年换发一次，春秋装每4年换发一次，防寒服每8年换发一次。</w:t>
      </w:r>
    </w:p>
    <w:p w14:paraId="15D55233"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为了加强人民法院规范化建设，进一步规范法官法警的着装行为，维护司法机关的良好形象。司法机关实行统一着装，是维护国家法治尊严，依法行使司法权的需要。司法人员依法履行法律职务时统一穿着的制式服装，便于司法人员执行职务和人民群众对司法警察的识别与监督。严肃纪律作风、增强对司法工作的荣誉感、责任感，培养严谨的工作作风，在社会中树立司法机关良好的执法形象，以更好地维护国家法制、法律的权威、公平和正义，维护社会稳定和谐。</w:t>
      </w:r>
    </w:p>
    <w:p w14:paraId="33BF376F" w14:textId="77777777" w:rsidR="005114BD" w:rsidRDefault="00000000">
      <w:pPr>
        <w:pStyle w:val="a0"/>
        <w:overflowPunct w:val="0"/>
        <w:spacing w:line="560" w:lineRule="exact"/>
        <w:ind w:firstLineChars="200" w:firstLine="643"/>
        <w:outlineLvl w:val="1"/>
        <w:rPr>
          <w:rFonts w:ascii="楷体" w:eastAsia="楷体" w:hAnsi="楷体" w:cs="楷体"/>
          <w:b/>
          <w:bCs/>
        </w:rPr>
      </w:pPr>
      <w:bookmarkStart w:id="66" w:name="_Toc5102"/>
      <w:bookmarkEnd w:id="63"/>
      <w:r>
        <w:rPr>
          <w:rFonts w:ascii="楷体" w:eastAsia="楷体" w:hAnsi="楷体" w:cs="楷体" w:hint="eastAsia"/>
          <w:b/>
          <w:bCs/>
        </w:rPr>
        <w:t>（二）项目预算安排及使用情况</w:t>
      </w:r>
      <w:bookmarkEnd w:id="64"/>
      <w:bookmarkEnd w:id="65"/>
      <w:bookmarkEnd w:id="66"/>
    </w:p>
    <w:p w14:paraId="49BE6D0C" w14:textId="77777777" w:rsidR="005114BD" w:rsidRDefault="00000000">
      <w:pPr>
        <w:pStyle w:val="a0"/>
        <w:overflowPunct w:val="0"/>
        <w:spacing w:line="560" w:lineRule="exact"/>
        <w:ind w:firstLineChars="200" w:firstLine="643"/>
        <w:outlineLvl w:val="2"/>
        <w:rPr>
          <w:rFonts w:ascii="仿宋_GB2312" w:hAnsi="仿宋_GB2312" w:cs="仿宋_GB2312"/>
          <w:b/>
          <w:bCs/>
          <w:color w:val="000000" w:themeColor="text1"/>
        </w:rPr>
      </w:pPr>
      <w:r>
        <w:rPr>
          <w:rFonts w:ascii="仿宋_GB2312" w:hAnsi="仿宋_GB2312" w:cs="仿宋_GB2312" w:hint="eastAsia"/>
          <w:b/>
          <w:bCs/>
          <w:color w:val="000000" w:themeColor="text1"/>
        </w:rPr>
        <w:t>1.预算安排情况</w:t>
      </w:r>
    </w:p>
    <w:p w14:paraId="296A4964"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根据甘肃省财政厅2022年度预算安排，该项目安排预算资金853.00万元。</w:t>
      </w:r>
    </w:p>
    <w:p w14:paraId="6D8E479C" w14:textId="77777777" w:rsidR="005114BD" w:rsidRDefault="00000000">
      <w:pPr>
        <w:pStyle w:val="a0"/>
        <w:overflowPunct w:val="0"/>
        <w:spacing w:line="560" w:lineRule="exact"/>
        <w:ind w:firstLineChars="200" w:firstLine="643"/>
        <w:outlineLvl w:val="2"/>
        <w:rPr>
          <w:rFonts w:ascii="仿宋_GB2312" w:hAnsi="仿宋_GB2312" w:cs="仿宋_GB2312"/>
          <w:b/>
          <w:bCs/>
          <w:color w:val="000000" w:themeColor="text1"/>
        </w:rPr>
      </w:pPr>
      <w:r>
        <w:rPr>
          <w:rFonts w:ascii="仿宋_GB2312" w:hAnsi="仿宋_GB2312" w:cs="仿宋_GB2312" w:hint="eastAsia"/>
          <w:b/>
          <w:bCs/>
          <w:color w:val="000000" w:themeColor="text1"/>
        </w:rPr>
        <w:lastRenderedPageBreak/>
        <w:t>2.资金使用情况</w:t>
      </w:r>
    </w:p>
    <w:p w14:paraId="065E140D"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截止2022年12月31日，法官法警服装费项目实际支出853.00万元，预算执行率100%。</w:t>
      </w:r>
    </w:p>
    <w:p w14:paraId="6233EB3F" w14:textId="77777777" w:rsidR="005114BD" w:rsidRDefault="00000000">
      <w:pPr>
        <w:pStyle w:val="a0"/>
        <w:overflowPunct w:val="0"/>
        <w:spacing w:line="560" w:lineRule="exact"/>
        <w:ind w:firstLineChars="200" w:firstLine="643"/>
        <w:outlineLvl w:val="1"/>
        <w:rPr>
          <w:rFonts w:ascii="楷体" w:eastAsia="楷体" w:hAnsi="楷体" w:cs="楷体"/>
          <w:b/>
          <w:bCs/>
        </w:rPr>
      </w:pPr>
      <w:bookmarkStart w:id="67" w:name="_Toc15106"/>
      <w:bookmarkStart w:id="68" w:name="_Toc22231"/>
      <w:bookmarkStart w:id="69" w:name="_Toc32586"/>
      <w:r>
        <w:rPr>
          <w:rFonts w:ascii="楷体" w:eastAsia="楷体" w:hAnsi="楷体" w:cs="楷体" w:hint="eastAsia"/>
          <w:b/>
          <w:bCs/>
        </w:rPr>
        <w:t>（三）项目计划内容及实施情况</w:t>
      </w:r>
      <w:bookmarkEnd w:id="67"/>
      <w:bookmarkEnd w:id="68"/>
      <w:bookmarkEnd w:id="69"/>
    </w:p>
    <w:p w14:paraId="7CD4B663" w14:textId="77777777" w:rsidR="005114BD" w:rsidRDefault="00000000">
      <w:pPr>
        <w:pStyle w:val="a0"/>
        <w:overflowPunct w:val="0"/>
        <w:spacing w:line="560" w:lineRule="exact"/>
        <w:ind w:firstLineChars="200" w:firstLine="643"/>
        <w:outlineLvl w:val="2"/>
        <w:rPr>
          <w:rFonts w:ascii="仿宋_GB2312" w:hAnsi="仿宋_GB2312" w:cs="仿宋_GB2312"/>
          <w:b/>
          <w:bCs/>
          <w:color w:val="000000" w:themeColor="text1"/>
        </w:rPr>
      </w:pPr>
      <w:r>
        <w:rPr>
          <w:rFonts w:ascii="仿宋_GB2312" w:hAnsi="仿宋_GB2312" w:cs="仿宋_GB2312" w:hint="eastAsia"/>
          <w:b/>
          <w:bCs/>
          <w:color w:val="000000" w:themeColor="text1"/>
        </w:rPr>
        <w:t>1.项目计划内容</w:t>
      </w:r>
    </w:p>
    <w:p w14:paraId="0765E064" w14:textId="77777777" w:rsidR="005114BD" w:rsidRDefault="00000000">
      <w:pPr>
        <w:pStyle w:val="a0"/>
        <w:overflowPunct w:val="0"/>
        <w:spacing w:line="560" w:lineRule="exact"/>
        <w:ind w:firstLineChars="200" w:firstLine="640"/>
        <w:outlineLvl w:val="2"/>
        <w:rPr>
          <w:rFonts w:ascii="仿宋_GB2312" w:hAnsi="仿宋_GB2312" w:cs="仿宋_GB2312"/>
        </w:rPr>
      </w:pPr>
      <w:r>
        <w:rPr>
          <w:rFonts w:ascii="仿宋_GB2312" w:hAnsi="仿宋_GB2312" w:cs="仿宋_GB2312" w:hint="eastAsia"/>
        </w:rPr>
        <w:t>省法院计划按照采购要求，配发全省人员装备及服装，达到着装率90%以上。严肃检容风纪、增强对法院工作的荣誉感、责任感，培养严谨的工作作风，在社会中树立法院良好的执法形象，以更好地维护国家法制、法律的权威、公平和公正，维护社会稳定和谐。</w:t>
      </w:r>
    </w:p>
    <w:p w14:paraId="6A5E0982" w14:textId="77777777" w:rsidR="005114BD" w:rsidRDefault="00000000">
      <w:pPr>
        <w:pStyle w:val="a0"/>
        <w:overflowPunct w:val="0"/>
        <w:spacing w:line="560" w:lineRule="exact"/>
        <w:ind w:firstLineChars="200" w:firstLine="643"/>
        <w:outlineLvl w:val="2"/>
        <w:rPr>
          <w:rFonts w:ascii="仿宋_GB2312" w:hAnsi="仿宋_GB2312" w:cs="仿宋_GB2312"/>
          <w:b/>
          <w:bCs/>
          <w:color w:val="000000" w:themeColor="text1"/>
        </w:rPr>
      </w:pPr>
      <w:r>
        <w:rPr>
          <w:rFonts w:ascii="仿宋_GB2312" w:hAnsi="仿宋_GB2312" w:cs="仿宋_GB2312" w:hint="eastAsia"/>
          <w:b/>
          <w:bCs/>
          <w:color w:val="000000" w:themeColor="text1"/>
        </w:rPr>
        <w:t>2.项目实施情况</w:t>
      </w:r>
    </w:p>
    <w:p w14:paraId="349FAE5F" w14:textId="77777777" w:rsidR="005114BD" w:rsidRDefault="00000000">
      <w:pPr>
        <w:pStyle w:val="a0"/>
        <w:overflowPunct w:val="0"/>
        <w:spacing w:line="560" w:lineRule="exact"/>
        <w:ind w:firstLineChars="200" w:firstLine="640"/>
        <w:outlineLvl w:val="1"/>
        <w:rPr>
          <w:rFonts w:ascii="仿宋_GB2312" w:hAnsi="仿宋_GB2312" w:cs="仿宋_GB2312"/>
        </w:rPr>
      </w:pPr>
      <w:bookmarkStart w:id="70" w:name="_Toc17561"/>
      <w:bookmarkStart w:id="71" w:name="_Toc20468"/>
      <w:bookmarkStart w:id="72" w:name="_Toc11372"/>
      <w:bookmarkStart w:id="73" w:name="_Toc25356"/>
      <w:bookmarkStart w:id="74" w:name="_Toc4490"/>
      <w:r>
        <w:rPr>
          <w:rFonts w:ascii="仿宋_GB2312" w:hAnsi="仿宋_GB2312" w:cs="仿宋_GB2312" w:hint="eastAsia"/>
        </w:rPr>
        <w:t>省法院本年度通过公开招标，为900位法院干警购置服装及装备，服装及装备均通过验收，合格率为100%，着装率达到100%，在社会中树立了法院良好的执法形象。</w:t>
      </w:r>
      <w:bookmarkEnd w:id="70"/>
      <w:bookmarkEnd w:id="71"/>
      <w:bookmarkEnd w:id="72"/>
    </w:p>
    <w:p w14:paraId="6CF14CCC" w14:textId="77777777" w:rsidR="005114BD" w:rsidRDefault="00000000">
      <w:pPr>
        <w:pStyle w:val="a0"/>
        <w:overflowPunct w:val="0"/>
        <w:spacing w:line="560" w:lineRule="exact"/>
        <w:ind w:firstLineChars="200" w:firstLine="643"/>
        <w:outlineLvl w:val="1"/>
        <w:rPr>
          <w:rFonts w:ascii="楷体" w:eastAsia="楷体" w:hAnsi="楷体" w:cs="楷体"/>
          <w:b/>
          <w:bCs/>
        </w:rPr>
      </w:pPr>
      <w:bookmarkStart w:id="75" w:name="_Toc5124"/>
      <w:r>
        <w:rPr>
          <w:rFonts w:ascii="楷体" w:eastAsia="楷体" w:hAnsi="楷体" w:cs="楷体" w:hint="eastAsia"/>
          <w:b/>
          <w:bCs/>
        </w:rPr>
        <w:t>（四）项目组织管理</w:t>
      </w:r>
      <w:bookmarkEnd w:id="73"/>
      <w:bookmarkEnd w:id="74"/>
      <w:bookmarkEnd w:id="75"/>
    </w:p>
    <w:p w14:paraId="001C2998" w14:textId="77777777" w:rsidR="005114BD" w:rsidRDefault="00000000">
      <w:pPr>
        <w:pStyle w:val="a0"/>
        <w:overflowPunct w:val="0"/>
        <w:spacing w:line="560" w:lineRule="exact"/>
        <w:ind w:firstLineChars="200" w:firstLine="643"/>
        <w:outlineLvl w:val="2"/>
        <w:rPr>
          <w:rFonts w:ascii="仿宋_GB2312" w:hAnsi="仿宋_GB2312" w:cs="仿宋_GB2312"/>
          <w:b/>
          <w:bCs/>
          <w:color w:val="000000" w:themeColor="text1"/>
        </w:rPr>
      </w:pPr>
      <w:r>
        <w:rPr>
          <w:rFonts w:ascii="仿宋_GB2312" w:hAnsi="仿宋_GB2312" w:cs="仿宋_GB2312" w:hint="eastAsia"/>
          <w:b/>
          <w:bCs/>
          <w:color w:val="000000" w:themeColor="text1"/>
        </w:rPr>
        <w:t>1.项目组织情况</w:t>
      </w:r>
    </w:p>
    <w:p w14:paraId="53746CE2"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预算资金拨付单位：甘肃省财政厅是本项目预算资金的拨付单位，负责项目预算的审核批复，保证法官法警服装费项目资金及时、足额拨付到位。</w:t>
      </w:r>
    </w:p>
    <w:p w14:paraId="3481EA94"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项目主管部门：省法院是本项目的主管部门，负责开展监督管理和绩效考评等工作，并对资金分配和使用的全过程进行监督、检查、评估、考核及奖惩，保证资金有效使用等。</w:t>
      </w:r>
    </w:p>
    <w:p w14:paraId="7710F4C6"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预算执行单位：省法院负责实施服装及装备的采购及发放工作。</w:t>
      </w:r>
    </w:p>
    <w:p w14:paraId="608B34EE" w14:textId="77777777" w:rsidR="005114BD" w:rsidRDefault="00000000">
      <w:pPr>
        <w:pStyle w:val="a0"/>
        <w:overflowPunct w:val="0"/>
        <w:spacing w:line="560" w:lineRule="exact"/>
        <w:ind w:firstLineChars="200" w:firstLine="643"/>
        <w:outlineLvl w:val="2"/>
        <w:rPr>
          <w:rFonts w:ascii="仿宋_GB2312" w:hAnsi="仿宋_GB2312" w:cs="仿宋_GB2312"/>
          <w:b/>
          <w:bCs/>
          <w:color w:val="000000" w:themeColor="text1"/>
        </w:rPr>
      </w:pPr>
      <w:r>
        <w:rPr>
          <w:rFonts w:ascii="仿宋_GB2312" w:hAnsi="仿宋_GB2312" w:cs="仿宋_GB2312" w:hint="eastAsia"/>
          <w:b/>
          <w:bCs/>
          <w:color w:val="000000" w:themeColor="text1"/>
        </w:rPr>
        <w:lastRenderedPageBreak/>
        <w:t>2.项目管理情况</w:t>
      </w:r>
    </w:p>
    <w:p w14:paraId="577A88F8"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法官法警服装费</w:t>
      </w:r>
      <w:r>
        <w:rPr>
          <w:rFonts w:ascii="仿宋_GB2312" w:hAnsi="仿宋_GB2312" w:cs="仿宋_GB2312"/>
        </w:rPr>
        <w:t>项目的实施大体分为制定年度工作计划、项目执行和资金支付三个阶段。</w:t>
      </w:r>
    </w:p>
    <w:p w14:paraId="12E56B43"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（1）</w:t>
      </w:r>
      <w:r>
        <w:rPr>
          <w:rFonts w:ascii="仿宋_GB2312" w:hAnsi="仿宋_GB2312" w:cs="仿宋_GB2312"/>
        </w:rPr>
        <w:t>制定年度工作计划。预算执行</w:t>
      </w:r>
      <w:r>
        <w:rPr>
          <w:rFonts w:ascii="仿宋_GB2312" w:hAnsi="仿宋_GB2312" w:cs="仿宋_GB2312" w:hint="eastAsia"/>
        </w:rPr>
        <w:t>部门</w:t>
      </w:r>
      <w:r>
        <w:rPr>
          <w:rFonts w:ascii="仿宋_GB2312" w:hAnsi="仿宋_GB2312" w:cs="仿宋_GB2312"/>
        </w:rPr>
        <w:t>制定年度工作计划，编制项目预算和绩效目标。在编制下一年度项目预算之前，首先制定下一年度的</w:t>
      </w:r>
      <w:r>
        <w:rPr>
          <w:rFonts w:ascii="仿宋_GB2312" w:hAnsi="仿宋_GB2312" w:cs="仿宋_GB2312" w:hint="eastAsia"/>
        </w:rPr>
        <w:t>法官法警服装费</w:t>
      </w:r>
      <w:r>
        <w:rPr>
          <w:rFonts w:ascii="仿宋_GB2312" w:hAnsi="仿宋_GB2312" w:cs="仿宋_GB2312"/>
        </w:rPr>
        <w:t>相关工作及相应的资金使用计划，在初步明确下一年度工作计划和资金使用计划的基础上，依据工作计划和资金使用计划、有关年度预算编制要求以及往年项目预算和经费支出情况合理测算和编制项目经费预算和绩效目标，经审核通过后报省财政厅审批，省财政厅按规定程序批复下达项目预算</w:t>
      </w:r>
      <w:r>
        <w:rPr>
          <w:rFonts w:ascii="仿宋_GB2312" w:hAnsi="仿宋_GB2312" w:cs="仿宋_GB2312" w:hint="eastAsia"/>
        </w:rPr>
        <w:t>。</w:t>
      </w:r>
    </w:p>
    <w:p w14:paraId="0650A2AA"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（2）</w:t>
      </w:r>
      <w:r>
        <w:rPr>
          <w:rFonts w:ascii="仿宋_GB2312" w:hAnsi="仿宋_GB2312" w:cs="仿宋_GB2312"/>
        </w:rPr>
        <w:t>项目执行。项目预算和绩效目标批复下达以后，</w:t>
      </w:r>
      <w:r>
        <w:rPr>
          <w:rFonts w:ascii="仿宋_GB2312" w:hAnsi="仿宋_GB2312" w:cs="仿宋_GB2312" w:hint="eastAsia"/>
        </w:rPr>
        <w:t>省法院</w:t>
      </w:r>
      <w:r>
        <w:rPr>
          <w:rFonts w:ascii="仿宋_GB2312" w:hAnsi="仿宋_GB2312" w:cs="仿宋_GB2312"/>
        </w:rPr>
        <w:t>按照工作计划、项目预算以及绩效目标组织开展</w:t>
      </w:r>
      <w:r>
        <w:rPr>
          <w:rFonts w:ascii="仿宋_GB2312" w:hAnsi="仿宋_GB2312" w:cs="仿宋_GB2312" w:hint="eastAsia"/>
        </w:rPr>
        <w:t>法官法警服装购置</w:t>
      </w:r>
      <w:r>
        <w:rPr>
          <w:rFonts w:ascii="仿宋_GB2312" w:hAnsi="仿宋_GB2312" w:cs="仿宋_GB2312"/>
        </w:rPr>
        <w:t>工作，完成年初制定的工作计划</w:t>
      </w:r>
      <w:r>
        <w:rPr>
          <w:rFonts w:ascii="仿宋_GB2312" w:hAnsi="仿宋_GB2312" w:cs="仿宋_GB2312" w:hint="eastAsia"/>
        </w:rPr>
        <w:t>。</w:t>
      </w:r>
    </w:p>
    <w:p w14:paraId="5E7D0582"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（3）</w:t>
      </w:r>
      <w:r>
        <w:rPr>
          <w:rFonts w:ascii="仿宋_GB2312" w:hAnsi="仿宋_GB2312" w:cs="仿宋_GB2312"/>
        </w:rPr>
        <w:t>资金支付。在组织正常开展</w:t>
      </w:r>
      <w:r>
        <w:rPr>
          <w:rFonts w:ascii="仿宋_GB2312" w:hAnsi="仿宋_GB2312" w:cs="仿宋_GB2312" w:hint="eastAsia"/>
        </w:rPr>
        <w:t>项目</w:t>
      </w:r>
      <w:r>
        <w:rPr>
          <w:rFonts w:ascii="仿宋_GB2312" w:hAnsi="仿宋_GB2312" w:cs="仿宋_GB2312"/>
        </w:rPr>
        <w:t>实施工作的基础上，严格按照项目预算、内部管理制度流程以及项目进度要求完成项目经费支付以及相应的会计核算工作</w:t>
      </w:r>
      <w:r>
        <w:rPr>
          <w:rFonts w:ascii="仿宋_GB2312" w:hAnsi="仿宋_GB2312" w:cs="仿宋_GB2312" w:hint="eastAsia"/>
        </w:rPr>
        <w:t>。</w:t>
      </w:r>
    </w:p>
    <w:p w14:paraId="7D493D71" w14:textId="77777777" w:rsidR="005114BD" w:rsidRDefault="00000000">
      <w:pPr>
        <w:pStyle w:val="a0"/>
        <w:overflowPunct w:val="0"/>
        <w:spacing w:line="560" w:lineRule="exact"/>
        <w:ind w:firstLineChars="200" w:firstLine="643"/>
        <w:outlineLvl w:val="2"/>
        <w:rPr>
          <w:rFonts w:ascii="仿宋_GB2312" w:hAnsi="仿宋_GB2312" w:cs="仿宋_GB2312"/>
          <w:b/>
          <w:bCs/>
          <w:color w:val="000000" w:themeColor="text1"/>
        </w:rPr>
      </w:pPr>
      <w:r>
        <w:rPr>
          <w:rFonts w:ascii="仿宋_GB2312" w:hAnsi="仿宋_GB2312" w:cs="仿宋_GB2312" w:hint="eastAsia"/>
          <w:b/>
          <w:bCs/>
          <w:color w:val="000000" w:themeColor="text1"/>
        </w:rPr>
        <w:t>3.财务管理情况</w:t>
      </w:r>
    </w:p>
    <w:p w14:paraId="7DC7037F" w14:textId="77777777" w:rsidR="005114BD" w:rsidRDefault="00000000">
      <w:pPr>
        <w:pStyle w:val="a0"/>
        <w:overflowPunct w:val="0"/>
        <w:spacing w:line="560" w:lineRule="exact"/>
        <w:ind w:firstLineChars="200" w:firstLine="640"/>
        <w:rPr>
          <w:rFonts w:ascii="黑体" w:eastAsia="黑体"/>
        </w:rPr>
      </w:pPr>
      <w:r>
        <w:rPr>
          <w:rFonts w:ascii="仿宋_GB2312" w:hAnsi="仿宋_GB2312" w:cs="仿宋_GB2312" w:hint="eastAsia"/>
        </w:rPr>
        <w:t>《甘肃省高级人民法院机关财务经费管理的规定》明确规定了经费报销实行统一审核，分级审批制度，基本原则是执行国家有关法律、法规和财务规章制度遵守政府会计准则，厉行节约，量入为出，保证重点，兼顾一般为中心，充分发挥资金的使用效益。</w:t>
      </w:r>
    </w:p>
    <w:p w14:paraId="56DE0B42" w14:textId="77777777" w:rsidR="005114BD" w:rsidRDefault="00000000">
      <w:pPr>
        <w:pStyle w:val="a0"/>
        <w:overflowPunct w:val="0"/>
        <w:spacing w:line="560" w:lineRule="exact"/>
        <w:ind w:firstLineChars="200" w:firstLine="640"/>
        <w:outlineLvl w:val="0"/>
        <w:rPr>
          <w:rFonts w:ascii="黑体" w:eastAsia="黑体"/>
        </w:rPr>
      </w:pPr>
      <w:bookmarkStart w:id="76" w:name="_Toc6863"/>
      <w:bookmarkStart w:id="77" w:name="_Toc28577"/>
      <w:bookmarkStart w:id="78" w:name="_Toc21140"/>
      <w:r>
        <w:rPr>
          <w:rFonts w:ascii="黑体" w:eastAsia="黑体" w:hint="eastAsia"/>
        </w:rPr>
        <w:t>二、项目绩效目标</w:t>
      </w:r>
      <w:bookmarkEnd w:id="76"/>
    </w:p>
    <w:p w14:paraId="1F62C104" w14:textId="77777777" w:rsidR="005114BD" w:rsidRDefault="00000000">
      <w:pPr>
        <w:pStyle w:val="a0"/>
        <w:overflowPunct w:val="0"/>
        <w:spacing w:line="560" w:lineRule="exact"/>
        <w:ind w:firstLineChars="200" w:firstLine="643"/>
        <w:outlineLvl w:val="1"/>
        <w:rPr>
          <w:rFonts w:ascii="楷体" w:eastAsia="楷体" w:hAnsi="楷体" w:cs="楷体"/>
          <w:b/>
          <w:bCs/>
        </w:rPr>
      </w:pPr>
      <w:bookmarkStart w:id="79" w:name="_Toc10729"/>
      <w:r>
        <w:rPr>
          <w:rFonts w:ascii="楷体" w:eastAsia="楷体" w:hAnsi="楷体" w:cs="楷体" w:hint="eastAsia"/>
          <w:b/>
          <w:bCs/>
        </w:rPr>
        <w:lastRenderedPageBreak/>
        <w:t>（一）总体目标</w:t>
      </w:r>
      <w:bookmarkEnd w:id="77"/>
      <w:bookmarkEnd w:id="78"/>
      <w:bookmarkEnd w:id="79"/>
    </w:p>
    <w:p w14:paraId="2A93685B" w14:textId="77777777" w:rsidR="005114BD" w:rsidRDefault="00000000">
      <w:pPr>
        <w:pStyle w:val="a0"/>
        <w:overflowPunct w:val="0"/>
        <w:spacing w:line="560" w:lineRule="exact"/>
        <w:ind w:firstLineChars="200" w:firstLine="640"/>
        <w:rPr>
          <w:rFonts w:ascii="仿宋_GB2312" w:hAnsi="仿宋_GB2312" w:cs="仿宋_GB2312"/>
        </w:rPr>
      </w:pPr>
      <w:bookmarkStart w:id="80" w:name="_Toc12907"/>
      <w:bookmarkStart w:id="81" w:name="_Toc4718"/>
      <w:r>
        <w:rPr>
          <w:rFonts w:ascii="仿宋_GB2312" w:hAnsi="仿宋_GB2312" w:cs="仿宋_GB2312" w:hint="eastAsia"/>
        </w:rPr>
        <w:t>严格按照最高法院制定的样式和标准，组织做好全省法院系统审判服配发工作，确保审判服着装统一、标准、规范。法袍按实际需要配发，审判服按照换装品目，按照夏装每2年、春秋装每4年、防寒服每8年等不同年限标准，按相关规定标准和程序进行换装。</w:t>
      </w:r>
      <w:bookmarkEnd w:id="80"/>
      <w:bookmarkEnd w:id="81"/>
    </w:p>
    <w:p w14:paraId="741743D9" w14:textId="77777777" w:rsidR="005114BD" w:rsidRDefault="00000000">
      <w:pPr>
        <w:pStyle w:val="a0"/>
        <w:overflowPunct w:val="0"/>
        <w:spacing w:line="560" w:lineRule="exact"/>
        <w:ind w:firstLineChars="200" w:firstLine="643"/>
        <w:outlineLvl w:val="1"/>
        <w:rPr>
          <w:rFonts w:ascii="楷体" w:eastAsia="楷体" w:hAnsi="楷体" w:cs="楷体"/>
          <w:b/>
          <w:bCs/>
        </w:rPr>
      </w:pPr>
      <w:bookmarkStart w:id="82" w:name="_Toc32085"/>
      <w:bookmarkStart w:id="83" w:name="_Toc26047"/>
      <w:bookmarkStart w:id="84" w:name="_Toc31962"/>
      <w:r>
        <w:rPr>
          <w:rFonts w:ascii="楷体" w:eastAsia="楷体" w:hAnsi="楷体" w:cs="楷体" w:hint="eastAsia"/>
          <w:b/>
          <w:bCs/>
        </w:rPr>
        <w:t>（二）年度目标</w:t>
      </w:r>
      <w:bookmarkEnd w:id="82"/>
      <w:bookmarkEnd w:id="83"/>
      <w:bookmarkEnd w:id="84"/>
    </w:p>
    <w:p w14:paraId="3B92BF0A" w14:textId="77777777" w:rsidR="005114BD" w:rsidRDefault="00000000">
      <w:pPr>
        <w:pStyle w:val="a0"/>
        <w:overflowPunct w:val="0"/>
        <w:spacing w:line="560" w:lineRule="exact"/>
        <w:ind w:firstLineChars="200" w:firstLine="640"/>
        <w:rPr>
          <w:rFonts w:ascii="仿宋_GB2312" w:hAnsi="仿宋_GB2312" w:cs="仿宋_GB2312"/>
        </w:rPr>
      </w:pPr>
      <w:bookmarkStart w:id="85" w:name="_Toc30610"/>
      <w:bookmarkStart w:id="86" w:name="_Toc7057"/>
      <w:bookmarkStart w:id="87" w:name="_Toc24688"/>
      <w:bookmarkStart w:id="88" w:name="_Toc11016"/>
      <w:r>
        <w:rPr>
          <w:rFonts w:ascii="仿宋_GB2312" w:hAnsi="仿宋_GB2312" w:cs="仿宋_GB2312" w:hint="eastAsia"/>
        </w:rPr>
        <w:t>2022年，省法院计划按照采购要求，配发法院干警装备及服装，达到着装率90%以上。严肃检容风纪、增强对法院工作的荣誉感、责任感，培养严谨的工作作风，在社会中树立法院良好的执法形象，以更好地维护国家法制、法律的权威、公平和公正，维护社会稳定和谐。</w:t>
      </w:r>
      <w:bookmarkEnd w:id="85"/>
      <w:bookmarkEnd w:id="86"/>
    </w:p>
    <w:p w14:paraId="07B7A8FF" w14:textId="77777777" w:rsidR="005114BD" w:rsidRDefault="00000000">
      <w:pPr>
        <w:pStyle w:val="a0"/>
        <w:overflowPunct w:val="0"/>
        <w:spacing w:line="560" w:lineRule="exact"/>
        <w:ind w:firstLineChars="200" w:firstLine="640"/>
        <w:outlineLvl w:val="0"/>
        <w:rPr>
          <w:rFonts w:ascii="黑体" w:eastAsia="黑体"/>
        </w:rPr>
      </w:pPr>
      <w:bookmarkStart w:id="89" w:name="_Toc826"/>
      <w:r>
        <w:rPr>
          <w:rFonts w:ascii="黑体" w:eastAsia="黑体" w:hint="eastAsia"/>
        </w:rPr>
        <w:t>三、评价基本情况</w:t>
      </w:r>
      <w:bookmarkEnd w:id="87"/>
      <w:bookmarkEnd w:id="88"/>
      <w:bookmarkEnd w:id="89"/>
    </w:p>
    <w:p w14:paraId="2BDAE141" w14:textId="77777777" w:rsidR="005114BD" w:rsidRDefault="00000000">
      <w:pPr>
        <w:pStyle w:val="a0"/>
        <w:overflowPunct w:val="0"/>
        <w:spacing w:line="560" w:lineRule="exact"/>
        <w:ind w:firstLineChars="200" w:firstLine="643"/>
        <w:outlineLvl w:val="1"/>
        <w:rPr>
          <w:rFonts w:ascii="楷体" w:eastAsia="楷体" w:hAnsi="楷体" w:cs="楷体"/>
          <w:b/>
          <w:bCs/>
        </w:rPr>
      </w:pPr>
      <w:bookmarkStart w:id="90" w:name="_Toc12978"/>
      <w:bookmarkStart w:id="91" w:name="_Toc5301"/>
      <w:r>
        <w:rPr>
          <w:rFonts w:ascii="楷体" w:eastAsia="楷体" w:hAnsi="楷体" w:cs="楷体" w:hint="eastAsia"/>
          <w:b/>
          <w:bCs/>
        </w:rPr>
        <w:t>（一）评价目的</w:t>
      </w:r>
      <w:bookmarkEnd w:id="90"/>
      <w:bookmarkEnd w:id="91"/>
    </w:p>
    <w:p w14:paraId="0700514F"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本次绩效评价工作，通过运用规范的绩效评价指标体系和科学的绩效评价方法，全面客观地评价法官法警服装费项目资金的执行情况、资金使用情况，对项目的绩效情况进行综合分析，与预期绩效目标进行对比，总结法官法警服装费项目实施的成果与经验，揭示存在的问题与不足，在此基础上进一步优化资金使用、完善项目管理，为下一步的预算安排提供参考，不断提高资金的使用效益。</w:t>
      </w:r>
    </w:p>
    <w:p w14:paraId="323BFD3F"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本次绩效评价的侧重点和切入点：</w:t>
      </w:r>
    </w:p>
    <w:p w14:paraId="426F208B"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1.重点关注项目资金使用管理以及保障项目预期绩效目标实现的相关措施；</w:t>
      </w:r>
    </w:p>
    <w:p w14:paraId="3C40595A" w14:textId="77777777" w:rsidR="005114BD" w:rsidRDefault="00000000">
      <w:pPr>
        <w:pStyle w:val="a0"/>
        <w:overflowPunct w:val="0"/>
        <w:spacing w:line="560" w:lineRule="exact"/>
        <w:ind w:firstLineChars="200" w:firstLine="640"/>
        <w:rPr>
          <w:rFonts w:ascii="仿宋_GB2312" w:hAnsi="仿宋_GB2312" w:cs="仿宋_GB2312"/>
        </w:rPr>
      </w:pPr>
      <w:bookmarkStart w:id="92" w:name="_Toc2071"/>
      <w:bookmarkStart w:id="93" w:name="_Toc23534"/>
      <w:r>
        <w:rPr>
          <w:rFonts w:ascii="仿宋_GB2312" w:hAnsi="仿宋_GB2312" w:cs="仿宋_GB2312" w:hint="eastAsia"/>
        </w:rPr>
        <w:lastRenderedPageBreak/>
        <w:t>2.重点关注采购流程规范性、资金使用合规性、制度实施的有效性以及通过项目的实施为法院带来的产出与效益。</w:t>
      </w:r>
    </w:p>
    <w:p w14:paraId="0BB097E8" w14:textId="77777777" w:rsidR="005114BD" w:rsidRDefault="00000000">
      <w:pPr>
        <w:pStyle w:val="a0"/>
        <w:overflowPunct w:val="0"/>
        <w:spacing w:line="560" w:lineRule="exact"/>
        <w:ind w:firstLineChars="200" w:firstLine="643"/>
        <w:outlineLvl w:val="1"/>
        <w:rPr>
          <w:rFonts w:ascii="楷体" w:eastAsia="楷体" w:hAnsi="楷体" w:cs="楷体"/>
          <w:b/>
          <w:bCs/>
        </w:rPr>
      </w:pPr>
      <w:r>
        <w:rPr>
          <w:rFonts w:ascii="楷体" w:eastAsia="楷体" w:hAnsi="楷体" w:cs="楷体" w:hint="eastAsia"/>
          <w:b/>
          <w:bCs/>
        </w:rPr>
        <w:t>（二）评价对象与范围</w:t>
      </w:r>
      <w:bookmarkEnd w:id="92"/>
      <w:bookmarkEnd w:id="93"/>
    </w:p>
    <w:p w14:paraId="10C05A54"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本次评价对象为2022年省财政厅安排的“法官法警服装费”项目。</w:t>
      </w:r>
    </w:p>
    <w:p w14:paraId="3E560116"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评价范围为2022年省法院“法官法警服装费”项目预算资金853.00万元的资金使用和项目实施效益情况，评价基准日为2022年12月31日。</w:t>
      </w:r>
    </w:p>
    <w:p w14:paraId="04748828" w14:textId="77777777" w:rsidR="005114BD" w:rsidRDefault="00000000">
      <w:pPr>
        <w:pStyle w:val="a0"/>
        <w:overflowPunct w:val="0"/>
        <w:spacing w:line="560" w:lineRule="exact"/>
        <w:ind w:firstLineChars="200" w:firstLine="643"/>
        <w:outlineLvl w:val="1"/>
        <w:rPr>
          <w:rFonts w:ascii="楷体" w:eastAsia="楷体" w:hAnsi="楷体" w:cs="楷体"/>
          <w:b/>
          <w:bCs/>
        </w:rPr>
      </w:pPr>
      <w:bookmarkStart w:id="94" w:name="_Toc31486"/>
      <w:bookmarkStart w:id="95" w:name="_Toc17041"/>
      <w:r>
        <w:rPr>
          <w:rFonts w:ascii="楷体" w:eastAsia="楷体" w:hAnsi="楷体" w:cs="楷体" w:hint="eastAsia"/>
          <w:b/>
          <w:bCs/>
        </w:rPr>
        <w:t>（三）评价依据</w:t>
      </w:r>
      <w:bookmarkEnd w:id="94"/>
      <w:bookmarkEnd w:id="95"/>
    </w:p>
    <w:p w14:paraId="05980DDF"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1.《中华人民共和国预算法》；</w:t>
      </w:r>
    </w:p>
    <w:p w14:paraId="3558E55A"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2.《中华人民共和国预算法实施条例》；</w:t>
      </w:r>
    </w:p>
    <w:p w14:paraId="2E637028"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3.《中共中央 国务院关于全面实施预算绩效管理的意见》（中发〔2018〕34号）；</w:t>
      </w:r>
    </w:p>
    <w:p w14:paraId="37D28CCB"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4.《财政部关于印发〈项目支出绩效评价管理办法〉的通知》（财预〔2021〕10号）；</w:t>
      </w:r>
    </w:p>
    <w:p w14:paraId="23700E8E"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5.财政部《关于委托第三方机构参与预算绩效管理的指导意见》（财预〔2021〕6号）；</w:t>
      </w:r>
    </w:p>
    <w:p w14:paraId="1CEB2A04"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6.财政部关于印发《第三方机构预算绩效评价业务监督管理暂行办法》的通知（财监〔2021〕4号）；</w:t>
      </w:r>
    </w:p>
    <w:p w14:paraId="04B7996C"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7.《中共甘肃省委 甘肃省人民政府关于全面实施预算绩效管理的实施意见》（甘发〔2018〕32号）；</w:t>
      </w:r>
    </w:p>
    <w:p w14:paraId="12858008"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8.甘肃省财政厅关于印发《甘肃省省级预算绩效管理办法》等6个办法和规程的通知（甘财绩〔2020〕5号）；</w:t>
      </w:r>
    </w:p>
    <w:p w14:paraId="268D6470"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9.《甘肃省省级项目支出绩效部门评价和财政评价工作</w:t>
      </w:r>
      <w:r>
        <w:rPr>
          <w:rFonts w:ascii="仿宋_GB2312" w:hAnsi="仿宋_GB2312" w:cs="仿宋_GB2312" w:hint="eastAsia"/>
        </w:rPr>
        <w:lastRenderedPageBreak/>
        <w:t>规程》（甘财绩〔2021〕5号）；</w:t>
      </w:r>
    </w:p>
    <w:p w14:paraId="1952D2A3"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10.《甘肃省财政厅关于开展2022年度省级预算执行情况部门和财政重点绩效评价工作的通知》（甘财绩〔2023〕3号）；</w:t>
      </w:r>
    </w:p>
    <w:p w14:paraId="196788AA"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11.甘肃省高级人民法院职责相关规定；</w:t>
      </w:r>
    </w:p>
    <w:p w14:paraId="33F2A63E"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12.行业相关政策、行业标准及专业技术规范；</w:t>
      </w:r>
    </w:p>
    <w:p w14:paraId="7EE0731C"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13.被评价单位提供的立项背景、实施方案、预算批复相关文件、绩效目标、自评价相关资料、财政资金拨付凭证、工程全过程资料和项目实施效果等资料；</w:t>
      </w:r>
    </w:p>
    <w:p w14:paraId="03ACEA2B"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14.本级人大审查结果报告、审计报告及决定，财政监督稽核报告等；</w:t>
      </w:r>
    </w:p>
    <w:p w14:paraId="1BA023CD"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15.评价组收集、调研、访谈、问卷调查获取的其他相关资料。</w:t>
      </w:r>
    </w:p>
    <w:p w14:paraId="698A4171" w14:textId="77777777" w:rsidR="005114BD" w:rsidRDefault="00000000">
      <w:pPr>
        <w:pStyle w:val="a0"/>
        <w:overflowPunct w:val="0"/>
        <w:spacing w:line="560" w:lineRule="exact"/>
        <w:ind w:firstLineChars="200" w:firstLine="643"/>
        <w:outlineLvl w:val="1"/>
        <w:rPr>
          <w:rFonts w:ascii="楷体" w:eastAsia="楷体" w:hAnsi="楷体" w:cs="楷体"/>
          <w:b/>
          <w:bCs/>
        </w:rPr>
      </w:pPr>
      <w:bookmarkStart w:id="96" w:name="_Toc17840"/>
      <w:bookmarkStart w:id="97" w:name="_Toc18553"/>
      <w:r>
        <w:rPr>
          <w:rFonts w:ascii="楷体" w:eastAsia="楷体" w:hAnsi="楷体" w:cs="楷体" w:hint="eastAsia"/>
          <w:b/>
          <w:bCs/>
        </w:rPr>
        <w:t>（四）评价原则、评价方法</w:t>
      </w:r>
      <w:bookmarkEnd w:id="96"/>
      <w:bookmarkEnd w:id="97"/>
    </w:p>
    <w:p w14:paraId="77FD814F" w14:textId="77777777" w:rsidR="005114BD" w:rsidRDefault="00000000">
      <w:pPr>
        <w:overflowPunct w:val="0"/>
        <w:spacing w:line="560" w:lineRule="exact"/>
        <w:ind w:firstLineChars="200" w:firstLine="643"/>
        <w:outlineLvl w:val="2"/>
        <w:rPr>
          <w:rFonts w:ascii="仿宋_GB2312" w:eastAsia="仿宋_GB2312" w:hAnsi="仿宋_GB2312" w:cs="仿宋_GB2312"/>
          <w:b/>
          <w:sz w:val="32"/>
          <w:szCs w:val="32"/>
        </w:rPr>
      </w:pPr>
      <w:bookmarkStart w:id="98" w:name="_Toc32216"/>
      <w:bookmarkStart w:id="99" w:name="_Toc2871"/>
      <w:bookmarkStart w:id="100" w:name="_Toc21640"/>
      <w:bookmarkStart w:id="101" w:name="_Toc12089"/>
      <w:bookmarkStart w:id="102" w:name="_Toc25746"/>
      <w:bookmarkStart w:id="103" w:name="_Toc19004"/>
      <w:r>
        <w:rPr>
          <w:rStyle w:val="20"/>
          <w:rFonts w:ascii="仿宋_GB2312" w:eastAsia="仿宋_GB2312" w:hAnsi="仿宋_GB2312" w:cs="仿宋_GB2312" w:hint="eastAsia"/>
          <w:szCs w:val="32"/>
        </w:rPr>
        <w:t>1.评价原则</w:t>
      </w:r>
      <w:bookmarkEnd w:id="98"/>
      <w:bookmarkEnd w:id="99"/>
      <w:bookmarkEnd w:id="100"/>
      <w:bookmarkEnd w:id="101"/>
      <w:bookmarkEnd w:id="102"/>
      <w:bookmarkEnd w:id="103"/>
    </w:p>
    <w:p w14:paraId="5356BE2A" w14:textId="77777777" w:rsidR="005114BD" w:rsidRDefault="00000000">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科学规范。严格执行规定的流程步骤，做到指标合理、标准科学、方法适当、结果可信，严格执行规定程序和工作流程，科学设定评价标准和指标体系，坚持定量与定性分析相结合，客观准确地反映财政资金绩效情况，提高全过程预算绩效管理质量。</w:t>
      </w:r>
    </w:p>
    <w:p w14:paraId="41CA44DF" w14:textId="77777777" w:rsidR="005114BD" w:rsidRDefault="00000000">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绩效相关。评价结果应当清晰反映绩效目标的实现情况以及预算支出和绩效之间的对应关系。以绩效为核心导向，将事前绩效评估、绩效目标管理、绩效运行监控、绩效评价、评价结果反馈及应用深度融入预算管理的全过程，</w:t>
      </w:r>
      <w:r>
        <w:rPr>
          <w:rFonts w:ascii="仿宋_GB2312" w:eastAsia="仿宋_GB2312" w:hAnsi="仿宋_GB2312" w:cs="仿宋_GB2312" w:hint="eastAsia"/>
          <w:sz w:val="32"/>
          <w:szCs w:val="32"/>
        </w:rPr>
        <w:lastRenderedPageBreak/>
        <w:t>实现财政资金使用效益最大化。</w:t>
      </w:r>
    </w:p>
    <w:p w14:paraId="07C10345" w14:textId="77777777" w:rsidR="005114BD" w:rsidRDefault="00000000">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公开透明。评价结果符合真实、客观、公正的要求，依法依规公开并接受监督。预算绩效管理主体应按照政府信息公开有关规定，主动向同级人大报告、向社会公开相关绩效信息和评价结果，自觉接受各方监督，不断提高财政资金使用的透明度。</w:t>
      </w:r>
    </w:p>
    <w:p w14:paraId="12A722E5" w14:textId="77777777" w:rsidR="005114BD" w:rsidRDefault="00000000">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激励约束。评价结果与项目的设立、保留、整合、调整和退出相挂钩，作为完善政策、改进管理、安排预算的重要依据。建立健全预算绩效管理激励约束机制，体现奖优罚劣和激励相容导向，切实做到花钱必问效、无效必问责。</w:t>
      </w:r>
    </w:p>
    <w:p w14:paraId="30F260D7" w14:textId="77777777" w:rsidR="005114BD" w:rsidRDefault="00000000">
      <w:pPr>
        <w:overflowPunct w:val="0"/>
        <w:spacing w:line="560" w:lineRule="exact"/>
        <w:ind w:firstLineChars="200" w:firstLine="643"/>
        <w:outlineLvl w:val="2"/>
        <w:rPr>
          <w:rStyle w:val="20"/>
          <w:rFonts w:ascii="仿宋_GB2312" w:eastAsia="仿宋_GB2312" w:hAnsi="仿宋_GB2312" w:cs="仿宋_GB2312"/>
          <w:szCs w:val="32"/>
        </w:rPr>
      </w:pPr>
      <w:bookmarkStart w:id="104" w:name="_Toc15034"/>
      <w:bookmarkStart w:id="105" w:name="_Toc9344"/>
      <w:bookmarkStart w:id="106" w:name="_Toc1742"/>
      <w:bookmarkStart w:id="107" w:name="_Toc11171"/>
      <w:bookmarkStart w:id="108" w:name="_Toc24530"/>
      <w:r>
        <w:rPr>
          <w:rStyle w:val="20"/>
          <w:rFonts w:ascii="仿宋_GB2312" w:eastAsia="仿宋_GB2312" w:hAnsi="仿宋_GB2312" w:cs="仿宋_GB2312" w:hint="eastAsia"/>
          <w:szCs w:val="32"/>
        </w:rPr>
        <w:t>2.评价方法</w:t>
      </w:r>
      <w:bookmarkEnd w:id="104"/>
    </w:p>
    <w:bookmarkEnd w:id="105"/>
    <w:bookmarkEnd w:id="106"/>
    <w:bookmarkEnd w:id="107"/>
    <w:bookmarkEnd w:id="108"/>
    <w:p w14:paraId="5D79F40A" w14:textId="77777777" w:rsidR="005114BD" w:rsidRDefault="00000000">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次绩效评价按照规范、科学、合理的要求，采用定量和定性分析相结合，第三方评价机构现场核实、资料评审相结合，综合运用比较法、因素分析法和公众评判法等方法进行评价，对省法院法官法警服装费项目预算执行情况的经济性、效率性、效益性进行客观公正地分析评价，确保评价结论公正客观，评价意见有效可用。</w:t>
      </w:r>
    </w:p>
    <w:p w14:paraId="2A941EF7" w14:textId="77777777" w:rsidR="005114BD" w:rsidRDefault="00000000">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比较法。是指通过对绩效目标与实际实施效果的对比，综合分析绩效目标实现程度。评价小组根据收集的资料和现场核查，了解项目实际情况，与项目申报时确定的绩效目标进行对比，评价绩效目标的实现程度。</w:t>
      </w:r>
    </w:p>
    <w:p w14:paraId="0F74C2D3" w14:textId="77777777" w:rsidR="005114BD" w:rsidRDefault="00000000">
      <w:pPr>
        <w:pStyle w:val="21"/>
        <w:overflowPunct w:val="0"/>
        <w:spacing w:after="0" w:line="560" w:lineRule="exact"/>
        <w:ind w:leftChars="0" w:left="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（2）因素分析法。将影响投入和产出各项因素罗列出来进行分析，通过不同因素的权重评比，进行综合评分，最终确定项目的效率性和效益性。</w:t>
      </w:r>
    </w:p>
    <w:p w14:paraId="0D62CB02" w14:textId="77777777" w:rsidR="005114BD" w:rsidRDefault="00000000">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（3）</w:t>
      </w:r>
      <w:r>
        <w:rPr>
          <w:rFonts w:ascii="仿宋_GB2312" w:eastAsia="仿宋_GB2312" w:hAnsi="仿宋_GB2312" w:cs="仿宋_GB2312" w:hint="eastAsia"/>
          <w:kern w:val="0"/>
          <w:sz w:val="32"/>
          <w:szCs w:val="32"/>
          <w:lang w:bidi="ar"/>
        </w:rPr>
        <w:t>公众评判</w:t>
      </w:r>
      <w:r>
        <w:rPr>
          <w:rFonts w:ascii="仿宋_GB2312" w:eastAsia="仿宋_GB2312" w:hAnsi="仿宋_GB2312" w:cs="仿宋_GB2312" w:hint="eastAsia"/>
          <w:sz w:val="32"/>
          <w:szCs w:val="32"/>
        </w:rPr>
        <w:t>法。是指通过专家评估、公众问卷对财政支出效果进行评判，评价绩效目标实现程度。评价小组对服务对象进行问卷调查，收集整体及项目具体完成情况和效果的相关证据，为绩效分析结论提供有力支撑。</w:t>
      </w:r>
    </w:p>
    <w:p w14:paraId="2212C19A" w14:textId="77777777" w:rsidR="005114BD" w:rsidRDefault="00000000">
      <w:pPr>
        <w:overflowPunct w:val="0"/>
        <w:spacing w:line="560" w:lineRule="exact"/>
        <w:ind w:firstLineChars="200" w:firstLine="640"/>
        <w:rPr>
          <w:rFonts w:ascii="仿宋_GB2312" w:eastAsia="仿宋_GB2312" w:hAnsi="仿宋_GB2312" w:cs="仿宋_GB2312"/>
          <w:kern w:val="0"/>
          <w:sz w:val="32"/>
          <w:szCs w:val="32"/>
          <w:lang w:bidi="ar"/>
        </w:rPr>
      </w:pPr>
      <w:r>
        <w:rPr>
          <w:rFonts w:ascii="仿宋_GB2312" w:eastAsia="仿宋_GB2312" w:hAnsi="仿宋_GB2312" w:cs="仿宋_GB2312" w:hint="eastAsia"/>
          <w:kern w:val="0"/>
          <w:sz w:val="32"/>
          <w:szCs w:val="32"/>
          <w:lang w:bidi="ar"/>
        </w:rPr>
        <w:t>（4）成本效益分析法。是将投入与产出、效益进行关联性分析的方法。</w:t>
      </w:r>
    </w:p>
    <w:p w14:paraId="4499FB6D" w14:textId="77777777" w:rsidR="005114BD" w:rsidRDefault="00000000">
      <w:pPr>
        <w:overflowPunct w:val="0"/>
        <w:spacing w:line="560" w:lineRule="exact"/>
        <w:ind w:firstLineChars="200" w:firstLine="640"/>
        <w:rPr>
          <w:rFonts w:ascii="仿宋_GB2312" w:eastAsia="仿宋_GB2312" w:hAnsi="仿宋_GB2312" w:cs="仿宋_GB2312"/>
          <w:kern w:val="0"/>
          <w:sz w:val="32"/>
          <w:szCs w:val="32"/>
          <w:lang w:bidi="ar"/>
        </w:rPr>
      </w:pPr>
      <w:r>
        <w:rPr>
          <w:rFonts w:ascii="仿宋_GB2312" w:eastAsia="仿宋_GB2312" w:hAnsi="仿宋_GB2312" w:cs="仿宋_GB2312" w:hint="eastAsia"/>
          <w:kern w:val="0"/>
          <w:sz w:val="32"/>
          <w:szCs w:val="32"/>
          <w:lang w:bidi="ar"/>
        </w:rPr>
        <w:t>（5）访谈法。评价小组现场访谈项目相关人员，根据被询问者的答复收集客观的、不带偏见的事实材料。</w:t>
      </w:r>
    </w:p>
    <w:p w14:paraId="624F4D34" w14:textId="77777777" w:rsidR="005114BD" w:rsidRDefault="00000000">
      <w:pPr>
        <w:pStyle w:val="a0"/>
        <w:overflowPunct w:val="0"/>
        <w:spacing w:line="560" w:lineRule="exact"/>
        <w:ind w:firstLineChars="200" w:firstLine="643"/>
        <w:outlineLvl w:val="1"/>
        <w:rPr>
          <w:rFonts w:ascii="楷体" w:eastAsia="楷体" w:hAnsi="楷体" w:cs="楷体"/>
          <w:b/>
          <w:bCs/>
        </w:rPr>
      </w:pPr>
      <w:bookmarkStart w:id="109" w:name="_Toc26666"/>
      <w:bookmarkStart w:id="110" w:name="_Toc4958"/>
      <w:r>
        <w:rPr>
          <w:rFonts w:ascii="楷体" w:eastAsia="楷体" w:hAnsi="楷体" w:cs="楷体" w:hint="eastAsia"/>
          <w:b/>
          <w:bCs/>
        </w:rPr>
        <w:t>（五）绩效评价指标体系</w:t>
      </w:r>
      <w:bookmarkEnd w:id="109"/>
      <w:bookmarkEnd w:id="110"/>
    </w:p>
    <w:p w14:paraId="17519E1B" w14:textId="77777777" w:rsidR="005114BD" w:rsidRDefault="00000000">
      <w:pPr>
        <w:pStyle w:val="a0"/>
        <w:tabs>
          <w:tab w:val="left" w:pos="510"/>
          <w:tab w:val="left" w:pos="675"/>
        </w:tabs>
        <w:overflowPunct w:val="0"/>
        <w:spacing w:line="560" w:lineRule="exact"/>
        <w:ind w:firstLineChars="200" w:firstLine="643"/>
        <w:rPr>
          <w:rFonts w:ascii="仿宋_GB2312" w:hAnsi="仿宋_GB2312" w:cs="仿宋_GB2312"/>
          <w:b/>
          <w:bCs/>
          <w:szCs w:val="28"/>
        </w:rPr>
      </w:pPr>
      <w:r>
        <w:rPr>
          <w:rFonts w:ascii="仿宋_GB2312" w:hAnsi="仿宋_GB2312" w:cs="仿宋_GB2312" w:hint="eastAsia"/>
          <w:b/>
          <w:bCs/>
          <w:szCs w:val="28"/>
        </w:rPr>
        <w:t>1.绩效评价指标体系</w:t>
      </w:r>
    </w:p>
    <w:p w14:paraId="312B3FF6"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szCs w:val="28"/>
        </w:rPr>
      </w:pPr>
      <w:r>
        <w:rPr>
          <w:rFonts w:ascii="仿宋_GB2312" w:hAnsi="仿宋_GB2312" w:cs="仿宋_GB2312" w:hint="eastAsia"/>
          <w:szCs w:val="28"/>
        </w:rPr>
        <w:t>根据《财政部关于印发〈项目支出绩效评价管理办法〉的通知》（财预〔2020〕10号）、</w:t>
      </w:r>
      <w:r>
        <w:rPr>
          <w:rFonts w:ascii="仿宋_GB2312" w:hAnsi="仿宋_GB2312" w:cs="仿宋_GB2312" w:hint="eastAsia"/>
        </w:rPr>
        <w:t>《甘肃省财政厅关于开展2022年度省级预算执行情况部门和财政重点绩效评价工作的通知》（甘财绩〔2023〕3号）</w:t>
      </w:r>
      <w:r>
        <w:rPr>
          <w:rFonts w:ascii="仿宋_GB2312" w:hAnsi="仿宋_GB2312" w:cs="仿宋_GB2312" w:hint="eastAsia"/>
          <w:szCs w:val="28"/>
        </w:rPr>
        <w:t>要求，本次绩效评价内容包括：项目决策情况、资金管理和使用情况、相关管理制度的健全性和执行情况，项目实现的产出情况，取得的效益情况和其他相关内容，重点评价项目的产出和效益。</w:t>
      </w:r>
    </w:p>
    <w:p w14:paraId="63418526"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szCs w:val="28"/>
        </w:rPr>
      </w:pPr>
      <w:r>
        <w:rPr>
          <w:rFonts w:ascii="仿宋_GB2312" w:hAnsi="仿宋_GB2312" w:cs="仿宋_GB2312" w:hint="eastAsia"/>
          <w:szCs w:val="28"/>
        </w:rPr>
        <w:t>项目评价指标划分为三级，综合评价一级指标包括项目决策指标、过程指标、产出指标、效益指标、满意度指标。二、三级评价指标根据项目实际情况制定了可量化、可操作的细化绩效目标，指标分值根据项目指标重要程度、项目实施阶段等因素综合确定（项目评价指标体系详见附表1）。</w:t>
      </w:r>
    </w:p>
    <w:p w14:paraId="639DF944"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szCs w:val="28"/>
        </w:rPr>
      </w:pPr>
      <w:r>
        <w:rPr>
          <w:rFonts w:ascii="仿宋_GB2312" w:hAnsi="仿宋_GB2312" w:cs="仿宋_GB2312" w:hint="eastAsia"/>
          <w:szCs w:val="28"/>
        </w:rPr>
        <w:t>（1）项目决策指标为一级指标，权重12分。从项目的立项、绩效目标和资金投入分析项目前期管理情况，主要包</w:t>
      </w:r>
      <w:r>
        <w:rPr>
          <w:rFonts w:ascii="仿宋_GB2312" w:hAnsi="仿宋_GB2312" w:cs="仿宋_GB2312" w:hint="eastAsia"/>
          <w:szCs w:val="28"/>
        </w:rPr>
        <w:lastRenderedPageBreak/>
        <w:t>括立项依据充分性、立项程序规范性等三级指标。</w:t>
      </w:r>
    </w:p>
    <w:p w14:paraId="3E708636"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szCs w:val="28"/>
        </w:rPr>
      </w:pPr>
      <w:r>
        <w:rPr>
          <w:rFonts w:ascii="仿宋_GB2312" w:hAnsi="仿宋_GB2312" w:cs="仿宋_GB2312" w:hint="eastAsia"/>
          <w:szCs w:val="28"/>
        </w:rPr>
        <w:t>（2）项目过程指标为一级指标，权重18分。从项目的资金管理、组织实施两个方面分析项目资金使用、实施过程的管理情况，主要包括资金到位率、预算执行率、资金使用合规性、管理制度健全性、制度执行有效性等三级指标。</w:t>
      </w:r>
    </w:p>
    <w:p w14:paraId="7DD99DA8"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szCs w:val="28"/>
        </w:rPr>
      </w:pPr>
      <w:r>
        <w:rPr>
          <w:rFonts w:ascii="仿宋_GB2312" w:hAnsi="仿宋_GB2312" w:cs="仿宋_GB2312" w:hint="eastAsia"/>
          <w:szCs w:val="28"/>
        </w:rPr>
        <w:t>（3）项目产出指标为一级指标，权重40分。从数量、质量、时效、成本四个方面分析项目的产出情况，主要包括采购服装数量、法院干警装备配备人数等三级指标。</w:t>
      </w:r>
    </w:p>
    <w:p w14:paraId="20822048"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szCs w:val="28"/>
        </w:rPr>
      </w:pPr>
      <w:r>
        <w:rPr>
          <w:rFonts w:ascii="仿宋_GB2312" w:hAnsi="仿宋_GB2312" w:cs="仿宋_GB2312" w:hint="eastAsia"/>
          <w:szCs w:val="28"/>
        </w:rPr>
        <w:t>（4）项目效益指标为一级指标，权重20分。从社会效益、可持续影响两个方面分析项目实施产生的效益，主要包括人员覆装率、装备配备率等三级指标。</w:t>
      </w:r>
    </w:p>
    <w:p w14:paraId="3B1D3383"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szCs w:val="28"/>
        </w:rPr>
      </w:pPr>
      <w:r>
        <w:rPr>
          <w:rFonts w:ascii="仿宋_GB2312" w:hAnsi="仿宋_GB2312" w:cs="仿宋_GB2312" w:hint="eastAsia"/>
          <w:szCs w:val="28"/>
        </w:rPr>
        <w:t>（5）项目满意度指标为一级指标，权重10分。分析换装人员满意度对项目实施效果的满意情况。</w:t>
      </w:r>
    </w:p>
    <w:p w14:paraId="6A4DFBC2" w14:textId="77777777" w:rsidR="005114BD" w:rsidRDefault="00000000">
      <w:pPr>
        <w:pStyle w:val="a0"/>
        <w:tabs>
          <w:tab w:val="left" w:pos="510"/>
          <w:tab w:val="left" w:pos="675"/>
        </w:tabs>
        <w:overflowPunct w:val="0"/>
        <w:spacing w:line="560" w:lineRule="exact"/>
        <w:ind w:firstLineChars="200" w:firstLine="643"/>
        <w:rPr>
          <w:rFonts w:ascii="仿宋_GB2312" w:hAnsi="仿宋_GB2312" w:cs="仿宋_GB2312"/>
          <w:b/>
          <w:bCs/>
          <w:szCs w:val="28"/>
        </w:rPr>
      </w:pPr>
      <w:r>
        <w:rPr>
          <w:rFonts w:ascii="仿宋_GB2312" w:hAnsi="仿宋_GB2312" w:cs="仿宋_GB2312" w:hint="eastAsia"/>
          <w:b/>
          <w:bCs/>
          <w:szCs w:val="28"/>
        </w:rPr>
        <w:t>2.数据来源及证据收集方式</w:t>
      </w:r>
    </w:p>
    <w:p w14:paraId="4CC03324"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szCs w:val="28"/>
        </w:rPr>
      </w:pPr>
      <w:r>
        <w:rPr>
          <w:rFonts w:ascii="仿宋_GB2312" w:hAnsi="仿宋_GB2312" w:cs="仿宋_GB2312" w:hint="eastAsia"/>
          <w:szCs w:val="28"/>
        </w:rPr>
        <w:t>评价组在前期调研的基础上，按照资料清单，收集法规文件、会议记录、财务凭证等资料，并通过发放调查问卷等方式收集佐证材料证据，全面考察项目执行情况。</w:t>
      </w:r>
    </w:p>
    <w:p w14:paraId="0476DAFA"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szCs w:val="28"/>
        </w:rPr>
      </w:pPr>
      <w:r>
        <w:rPr>
          <w:rFonts w:ascii="仿宋_GB2312" w:hAnsi="仿宋_GB2312" w:cs="仿宋_GB2312" w:hint="eastAsia"/>
          <w:szCs w:val="28"/>
        </w:rPr>
        <w:t>本次绩效评价的证据收集途径主要有：</w:t>
      </w:r>
    </w:p>
    <w:p w14:paraId="5EBB55B3"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szCs w:val="28"/>
        </w:rPr>
      </w:pPr>
      <w:r>
        <w:rPr>
          <w:rFonts w:ascii="仿宋_GB2312" w:hAnsi="仿宋_GB2312" w:cs="仿宋_GB2312" w:hint="eastAsia"/>
          <w:szCs w:val="28"/>
        </w:rPr>
        <w:t>（1）由</w:t>
      </w:r>
      <w:r>
        <w:rPr>
          <w:rFonts w:ascii="仿宋_GB2312" w:hAnsi="仿宋_GB2312" w:cs="仿宋_GB2312" w:hint="eastAsia"/>
        </w:rPr>
        <w:t>省法院</w:t>
      </w:r>
      <w:r>
        <w:rPr>
          <w:rFonts w:ascii="仿宋_GB2312" w:hAnsi="仿宋_GB2312" w:cs="仿宋_GB2312" w:hint="eastAsia"/>
          <w:szCs w:val="28"/>
        </w:rPr>
        <w:t>提供基础数据资料；</w:t>
      </w:r>
    </w:p>
    <w:p w14:paraId="53D3ACA9"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szCs w:val="28"/>
        </w:rPr>
      </w:pPr>
      <w:r>
        <w:rPr>
          <w:rFonts w:ascii="仿宋_GB2312" w:hAnsi="仿宋_GB2312" w:cs="仿宋_GB2312" w:hint="eastAsia"/>
          <w:szCs w:val="28"/>
        </w:rPr>
        <w:t>（2）通过与</w:t>
      </w:r>
      <w:r>
        <w:rPr>
          <w:rFonts w:ascii="仿宋_GB2312" w:hAnsi="仿宋_GB2312" w:cs="仿宋_GB2312" w:hint="eastAsia"/>
        </w:rPr>
        <w:t>省法院相关工作人员进行</w:t>
      </w:r>
      <w:r>
        <w:rPr>
          <w:rFonts w:ascii="仿宋_GB2312" w:hAnsi="仿宋_GB2312" w:cs="仿宋_GB2312" w:hint="eastAsia"/>
          <w:szCs w:val="28"/>
        </w:rPr>
        <w:t>交流，获取信息，了解项目的成效；</w:t>
      </w:r>
    </w:p>
    <w:p w14:paraId="7A93BA2A"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szCs w:val="28"/>
        </w:rPr>
      </w:pPr>
      <w:r>
        <w:rPr>
          <w:rFonts w:ascii="仿宋_GB2312" w:hAnsi="仿宋_GB2312" w:cs="仿宋_GB2312" w:hint="eastAsia"/>
          <w:szCs w:val="28"/>
        </w:rPr>
        <w:t>（3）对项目服务对象进行问卷调查，获取满意度数据。</w:t>
      </w:r>
    </w:p>
    <w:p w14:paraId="1059D73F" w14:textId="77777777" w:rsidR="005114BD" w:rsidRDefault="00000000">
      <w:pPr>
        <w:pStyle w:val="a0"/>
        <w:overflowPunct w:val="0"/>
        <w:spacing w:line="560" w:lineRule="exact"/>
        <w:ind w:firstLineChars="200" w:firstLine="643"/>
        <w:outlineLvl w:val="1"/>
        <w:rPr>
          <w:rFonts w:ascii="楷体" w:eastAsia="楷体" w:hAnsi="楷体" w:cs="楷体"/>
          <w:b/>
          <w:bCs/>
        </w:rPr>
      </w:pPr>
      <w:bookmarkStart w:id="111" w:name="_Toc26287"/>
      <w:bookmarkStart w:id="112" w:name="_Toc6432"/>
      <w:r>
        <w:rPr>
          <w:rFonts w:ascii="楷体" w:eastAsia="楷体" w:hAnsi="楷体" w:cs="楷体" w:hint="eastAsia"/>
          <w:b/>
          <w:bCs/>
        </w:rPr>
        <w:t>（六）评价人员组成</w:t>
      </w:r>
      <w:bookmarkEnd w:id="111"/>
      <w:bookmarkEnd w:id="112"/>
    </w:p>
    <w:p w14:paraId="61A33445"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szCs w:val="28"/>
        </w:rPr>
      </w:pPr>
      <w:bookmarkStart w:id="113" w:name="_Toc8104"/>
      <w:r>
        <w:rPr>
          <w:rFonts w:ascii="仿宋_GB2312" w:hAnsi="仿宋_GB2312" w:cs="仿宋_GB2312" w:hint="eastAsia"/>
          <w:szCs w:val="28"/>
        </w:rPr>
        <w:t>按照绩效评价工作要求，为了较好地完成本次绩效评价</w:t>
      </w:r>
      <w:r>
        <w:rPr>
          <w:rFonts w:ascii="仿宋_GB2312" w:hAnsi="仿宋_GB2312" w:cs="仿宋_GB2312" w:hint="eastAsia"/>
          <w:szCs w:val="28"/>
        </w:rPr>
        <w:lastRenderedPageBreak/>
        <w:t>工作，评价工作组人员名单及职责分工情况见下表：</w:t>
      </w:r>
    </w:p>
    <w:tbl>
      <w:tblPr>
        <w:tblStyle w:val="a8"/>
        <w:tblW w:w="0" w:type="auto"/>
        <w:tblLook w:val="04A0" w:firstRow="1" w:lastRow="0" w:firstColumn="1" w:lastColumn="0" w:noHBand="0" w:noVBand="1"/>
      </w:tblPr>
      <w:tblGrid>
        <w:gridCol w:w="949"/>
        <w:gridCol w:w="1161"/>
        <w:gridCol w:w="1470"/>
        <w:gridCol w:w="2175"/>
        <w:gridCol w:w="2767"/>
      </w:tblGrid>
      <w:tr w:rsidR="005114BD" w14:paraId="37949158" w14:textId="77777777">
        <w:trPr>
          <w:trHeight w:val="567"/>
          <w:tblHeader/>
        </w:trPr>
        <w:tc>
          <w:tcPr>
            <w:tcW w:w="949" w:type="dxa"/>
            <w:vAlign w:val="center"/>
          </w:tcPr>
          <w:p w14:paraId="4D193799" w14:textId="77777777" w:rsidR="005114BD" w:rsidRDefault="00000000">
            <w:pPr>
              <w:pStyle w:val="a0"/>
              <w:overflowPunct w:val="0"/>
              <w:spacing w:line="360" w:lineRule="auto"/>
              <w:jc w:val="center"/>
              <w:rPr>
                <w:rFonts w:ascii="宋体" w:eastAsia="宋体" w:hAnsi="宋体" w:cs="Times New Roman"/>
                <w:b/>
                <w:bCs/>
                <w:sz w:val="24"/>
                <w:szCs w:val="24"/>
                <w:shd w:val="clear" w:color="auto" w:fill="FFFFFF"/>
              </w:rPr>
            </w:pPr>
            <w:r>
              <w:rPr>
                <w:rFonts w:ascii="宋体" w:eastAsia="宋体" w:hAnsi="宋体" w:cs="Times New Roman" w:hint="eastAsia"/>
                <w:b/>
                <w:bCs/>
                <w:sz w:val="24"/>
                <w:szCs w:val="24"/>
                <w:shd w:val="clear" w:color="auto" w:fill="FFFFFF"/>
              </w:rPr>
              <w:t>序号</w:t>
            </w:r>
          </w:p>
        </w:tc>
        <w:tc>
          <w:tcPr>
            <w:tcW w:w="1161" w:type="dxa"/>
            <w:vAlign w:val="center"/>
          </w:tcPr>
          <w:p w14:paraId="5B76BE13" w14:textId="77777777" w:rsidR="005114BD" w:rsidRDefault="00000000">
            <w:pPr>
              <w:pStyle w:val="a0"/>
              <w:overflowPunct w:val="0"/>
              <w:spacing w:line="360" w:lineRule="auto"/>
              <w:jc w:val="center"/>
              <w:rPr>
                <w:rFonts w:ascii="宋体" w:eastAsia="宋体" w:hAnsi="宋体" w:cs="Times New Roman"/>
                <w:b/>
                <w:bCs/>
                <w:sz w:val="24"/>
                <w:szCs w:val="24"/>
                <w:shd w:val="clear" w:color="auto" w:fill="FFFFFF"/>
              </w:rPr>
            </w:pPr>
            <w:r>
              <w:rPr>
                <w:rFonts w:ascii="宋体" w:eastAsia="宋体" w:hAnsi="宋体" w:cs="Times New Roman" w:hint="eastAsia"/>
                <w:b/>
                <w:bCs/>
                <w:sz w:val="24"/>
                <w:szCs w:val="24"/>
                <w:shd w:val="clear" w:color="auto" w:fill="FFFFFF"/>
              </w:rPr>
              <w:t>姓名</w:t>
            </w:r>
          </w:p>
        </w:tc>
        <w:tc>
          <w:tcPr>
            <w:tcW w:w="1470" w:type="dxa"/>
            <w:vAlign w:val="center"/>
          </w:tcPr>
          <w:p w14:paraId="7566C267" w14:textId="77777777" w:rsidR="005114BD" w:rsidRDefault="00000000">
            <w:pPr>
              <w:pStyle w:val="a0"/>
              <w:overflowPunct w:val="0"/>
              <w:spacing w:line="360" w:lineRule="auto"/>
              <w:jc w:val="center"/>
              <w:rPr>
                <w:rFonts w:ascii="宋体" w:eastAsia="宋体" w:hAnsi="宋体" w:cs="Times New Roman"/>
                <w:b/>
                <w:bCs/>
                <w:sz w:val="24"/>
                <w:szCs w:val="24"/>
                <w:shd w:val="clear" w:color="auto" w:fill="FFFFFF"/>
              </w:rPr>
            </w:pPr>
            <w:r>
              <w:rPr>
                <w:rFonts w:ascii="宋体" w:eastAsia="宋体" w:hAnsi="宋体" w:cs="Times New Roman" w:hint="eastAsia"/>
                <w:b/>
                <w:bCs/>
                <w:sz w:val="24"/>
                <w:szCs w:val="24"/>
                <w:shd w:val="clear" w:color="auto" w:fill="FFFFFF"/>
              </w:rPr>
              <w:t>职务</w:t>
            </w:r>
          </w:p>
        </w:tc>
        <w:tc>
          <w:tcPr>
            <w:tcW w:w="2175" w:type="dxa"/>
            <w:vAlign w:val="center"/>
          </w:tcPr>
          <w:p w14:paraId="023CF204" w14:textId="77777777" w:rsidR="005114BD" w:rsidRDefault="00000000">
            <w:pPr>
              <w:pStyle w:val="a0"/>
              <w:overflowPunct w:val="0"/>
              <w:spacing w:line="360" w:lineRule="auto"/>
              <w:jc w:val="center"/>
              <w:rPr>
                <w:rFonts w:ascii="宋体" w:eastAsia="宋体" w:hAnsi="宋体" w:cs="Times New Roman"/>
                <w:b/>
                <w:bCs/>
                <w:sz w:val="24"/>
                <w:szCs w:val="24"/>
                <w:shd w:val="clear" w:color="auto" w:fill="FFFFFF"/>
              </w:rPr>
            </w:pPr>
            <w:r>
              <w:rPr>
                <w:rFonts w:ascii="宋体" w:eastAsia="宋体" w:hAnsi="宋体" w:cs="Times New Roman" w:hint="eastAsia"/>
                <w:b/>
                <w:bCs/>
                <w:sz w:val="24"/>
                <w:szCs w:val="24"/>
                <w:shd w:val="clear" w:color="auto" w:fill="FFFFFF"/>
              </w:rPr>
              <w:t>职称和职业资格</w:t>
            </w:r>
          </w:p>
        </w:tc>
        <w:tc>
          <w:tcPr>
            <w:tcW w:w="2767" w:type="dxa"/>
          </w:tcPr>
          <w:p w14:paraId="771D3C05" w14:textId="77777777" w:rsidR="005114BD" w:rsidRDefault="00000000">
            <w:pPr>
              <w:pStyle w:val="a0"/>
              <w:overflowPunct w:val="0"/>
              <w:spacing w:line="360" w:lineRule="auto"/>
              <w:jc w:val="center"/>
              <w:rPr>
                <w:rFonts w:ascii="宋体" w:eastAsia="宋体" w:hAnsi="宋体" w:cs="Times New Roman"/>
                <w:b/>
                <w:bCs/>
                <w:sz w:val="24"/>
                <w:szCs w:val="24"/>
                <w:shd w:val="clear" w:color="auto" w:fill="FFFFFF"/>
              </w:rPr>
            </w:pPr>
            <w:r>
              <w:rPr>
                <w:rFonts w:ascii="宋体" w:eastAsia="宋体" w:hAnsi="宋体" w:cs="Times New Roman" w:hint="eastAsia"/>
                <w:b/>
                <w:bCs/>
                <w:sz w:val="24"/>
                <w:szCs w:val="24"/>
                <w:shd w:val="clear" w:color="auto" w:fill="FFFFFF"/>
              </w:rPr>
              <w:t>工作内容</w:t>
            </w:r>
          </w:p>
        </w:tc>
      </w:tr>
      <w:tr w:rsidR="005114BD" w14:paraId="437B8EE2" w14:textId="77777777">
        <w:tc>
          <w:tcPr>
            <w:tcW w:w="949" w:type="dxa"/>
            <w:vAlign w:val="center"/>
          </w:tcPr>
          <w:p w14:paraId="59989B62"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1</w:t>
            </w:r>
          </w:p>
        </w:tc>
        <w:tc>
          <w:tcPr>
            <w:tcW w:w="1161" w:type="dxa"/>
            <w:vAlign w:val="center"/>
          </w:tcPr>
          <w:p w14:paraId="4E8DE434"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郑生伟</w:t>
            </w:r>
          </w:p>
        </w:tc>
        <w:tc>
          <w:tcPr>
            <w:tcW w:w="1470" w:type="dxa"/>
            <w:vAlign w:val="center"/>
          </w:tcPr>
          <w:p w14:paraId="3478846B"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复核人</w:t>
            </w:r>
          </w:p>
        </w:tc>
        <w:tc>
          <w:tcPr>
            <w:tcW w:w="2175" w:type="dxa"/>
            <w:vAlign w:val="center"/>
          </w:tcPr>
          <w:p w14:paraId="0E7CDB6F"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绩效评价师</w:t>
            </w:r>
          </w:p>
        </w:tc>
        <w:tc>
          <w:tcPr>
            <w:tcW w:w="2767" w:type="dxa"/>
          </w:tcPr>
          <w:p w14:paraId="66FAEDA4" w14:textId="77777777" w:rsidR="005114BD" w:rsidRDefault="00000000">
            <w:pPr>
              <w:pStyle w:val="a0"/>
              <w:overflowPunct w:val="0"/>
              <w:spacing w:line="360" w:lineRule="auto"/>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绩效评价指导、复核</w:t>
            </w:r>
          </w:p>
        </w:tc>
      </w:tr>
      <w:tr w:rsidR="005114BD" w14:paraId="14784A4C" w14:textId="77777777">
        <w:tc>
          <w:tcPr>
            <w:tcW w:w="949" w:type="dxa"/>
            <w:vAlign w:val="center"/>
          </w:tcPr>
          <w:p w14:paraId="762559ED"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2</w:t>
            </w:r>
          </w:p>
        </w:tc>
        <w:tc>
          <w:tcPr>
            <w:tcW w:w="1161" w:type="dxa"/>
            <w:vAlign w:val="center"/>
          </w:tcPr>
          <w:p w14:paraId="11F7D389"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刘燕</w:t>
            </w:r>
          </w:p>
        </w:tc>
        <w:tc>
          <w:tcPr>
            <w:tcW w:w="1470" w:type="dxa"/>
            <w:vAlign w:val="center"/>
          </w:tcPr>
          <w:p w14:paraId="6B7ADAC0"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主评人</w:t>
            </w:r>
          </w:p>
        </w:tc>
        <w:tc>
          <w:tcPr>
            <w:tcW w:w="2175" w:type="dxa"/>
            <w:vAlign w:val="center"/>
          </w:tcPr>
          <w:p w14:paraId="6326E97D"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绩效评价师</w:t>
            </w:r>
          </w:p>
        </w:tc>
        <w:tc>
          <w:tcPr>
            <w:tcW w:w="2767" w:type="dxa"/>
            <w:vMerge w:val="restart"/>
          </w:tcPr>
          <w:p w14:paraId="66D8566C" w14:textId="77777777" w:rsidR="005114BD" w:rsidRDefault="00000000">
            <w:pPr>
              <w:pStyle w:val="a0"/>
              <w:overflowPunct w:val="0"/>
              <w:spacing w:line="360" w:lineRule="auto"/>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制定评价方案、评价报告撰写、现场及非现场评价</w:t>
            </w:r>
          </w:p>
        </w:tc>
      </w:tr>
      <w:tr w:rsidR="005114BD" w14:paraId="22ACAFBF" w14:textId="77777777">
        <w:tc>
          <w:tcPr>
            <w:tcW w:w="949" w:type="dxa"/>
            <w:vAlign w:val="center"/>
          </w:tcPr>
          <w:p w14:paraId="65C71003"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3</w:t>
            </w:r>
          </w:p>
        </w:tc>
        <w:tc>
          <w:tcPr>
            <w:tcW w:w="1161" w:type="dxa"/>
            <w:vAlign w:val="center"/>
          </w:tcPr>
          <w:p w14:paraId="20BE2B18"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eastAsia="宋体" w:cs="Times New Roman" w:hint="eastAsia"/>
                <w:sz w:val="24"/>
                <w:szCs w:val="24"/>
                <w:shd w:val="clear" w:color="auto" w:fill="FFFFFF"/>
              </w:rPr>
              <w:t>刘淑萍</w:t>
            </w:r>
          </w:p>
        </w:tc>
        <w:tc>
          <w:tcPr>
            <w:tcW w:w="1470" w:type="dxa"/>
            <w:vAlign w:val="center"/>
          </w:tcPr>
          <w:p w14:paraId="3A87EFB1"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主评人</w:t>
            </w:r>
          </w:p>
        </w:tc>
        <w:tc>
          <w:tcPr>
            <w:tcW w:w="2175" w:type="dxa"/>
            <w:vAlign w:val="center"/>
          </w:tcPr>
          <w:p w14:paraId="0C032714"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高级会计师</w:t>
            </w:r>
          </w:p>
        </w:tc>
        <w:tc>
          <w:tcPr>
            <w:tcW w:w="2767" w:type="dxa"/>
            <w:vMerge/>
          </w:tcPr>
          <w:p w14:paraId="6FFEF292" w14:textId="77777777" w:rsidR="005114BD" w:rsidRDefault="005114BD">
            <w:pPr>
              <w:pStyle w:val="a0"/>
              <w:overflowPunct w:val="0"/>
              <w:spacing w:line="360" w:lineRule="auto"/>
              <w:rPr>
                <w:rFonts w:ascii="宋体" w:eastAsia="宋体" w:hAnsi="宋体" w:cs="Times New Roman"/>
                <w:sz w:val="24"/>
                <w:szCs w:val="24"/>
                <w:shd w:val="clear" w:color="auto" w:fill="FFFFFF"/>
              </w:rPr>
            </w:pPr>
          </w:p>
        </w:tc>
      </w:tr>
      <w:tr w:rsidR="005114BD" w14:paraId="004BC89E" w14:textId="77777777">
        <w:tc>
          <w:tcPr>
            <w:tcW w:w="949" w:type="dxa"/>
            <w:vAlign w:val="center"/>
          </w:tcPr>
          <w:p w14:paraId="55DEEAA8"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4</w:t>
            </w:r>
          </w:p>
        </w:tc>
        <w:tc>
          <w:tcPr>
            <w:tcW w:w="1161" w:type="dxa"/>
            <w:vAlign w:val="center"/>
          </w:tcPr>
          <w:p w14:paraId="63DD18AE"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向文霞</w:t>
            </w:r>
          </w:p>
        </w:tc>
        <w:tc>
          <w:tcPr>
            <w:tcW w:w="1470" w:type="dxa"/>
            <w:vAlign w:val="center"/>
          </w:tcPr>
          <w:p w14:paraId="3408A966"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组长</w:t>
            </w:r>
          </w:p>
        </w:tc>
        <w:tc>
          <w:tcPr>
            <w:tcW w:w="2175" w:type="dxa"/>
            <w:vAlign w:val="center"/>
          </w:tcPr>
          <w:p w14:paraId="4B576DE5" w14:textId="77777777" w:rsidR="005114BD" w:rsidRDefault="00000000">
            <w:pPr>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会计师</w:t>
            </w:r>
          </w:p>
        </w:tc>
        <w:tc>
          <w:tcPr>
            <w:tcW w:w="2767" w:type="dxa"/>
            <w:vMerge w:val="restart"/>
            <w:vAlign w:val="center"/>
          </w:tcPr>
          <w:p w14:paraId="741FBABD"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资料收集、审核、整理分析、现场及非现场评价</w:t>
            </w:r>
          </w:p>
        </w:tc>
      </w:tr>
      <w:tr w:rsidR="005114BD" w14:paraId="287AA46B" w14:textId="77777777">
        <w:tc>
          <w:tcPr>
            <w:tcW w:w="949" w:type="dxa"/>
            <w:vAlign w:val="center"/>
          </w:tcPr>
          <w:p w14:paraId="765C14DC"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5</w:t>
            </w:r>
          </w:p>
        </w:tc>
        <w:tc>
          <w:tcPr>
            <w:tcW w:w="1161" w:type="dxa"/>
            <w:vAlign w:val="center"/>
          </w:tcPr>
          <w:p w14:paraId="4599365B"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吕晓芳</w:t>
            </w:r>
          </w:p>
        </w:tc>
        <w:tc>
          <w:tcPr>
            <w:tcW w:w="1470" w:type="dxa"/>
            <w:vAlign w:val="center"/>
          </w:tcPr>
          <w:p w14:paraId="21C721A5"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组长</w:t>
            </w:r>
          </w:p>
        </w:tc>
        <w:tc>
          <w:tcPr>
            <w:tcW w:w="2175" w:type="dxa"/>
            <w:vAlign w:val="center"/>
          </w:tcPr>
          <w:p w14:paraId="6F626F96" w14:textId="77777777" w:rsidR="005114BD" w:rsidRDefault="00000000">
            <w:pPr>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会计师</w:t>
            </w:r>
          </w:p>
        </w:tc>
        <w:tc>
          <w:tcPr>
            <w:tcW w:w="2767" w:type="dxa"/>
            <w:vMerge/>
          </w:tcPr>
          <w:p w14:paraId="2E5FB39F" w14:textId="77777777" w:rsidR="005114BD" w:rsidRDefault="005114BD">
            <w:pPr>
              <w:overflowPunct w:val="0"/>
              <w:spacing w:line="360" w:lineRule="auto"/>
              <w:rPr>
                <w:rFonts w:ascii="宋体" w:eastAsia="宋体" w:hAnsi="宋体" w:cs="Times New Roman"/>
                <w:sz w:val="24"/>
                <w:szCs w:val="24"/>
                <w:shd w:val="clear" w:color="auto" w:fill="FFFFFF"/>
              </w:rPr>
            </w:pPr>
          </w:p>
        </w:tc>
      </w:tr>
      <w:tr w:rsidR="005114BD" w14:paraId="050BA9ED" w14:textId="77777777">
        <w:tc>
          <w:tcPr>
            <w:tcW w:w="949" w:type="dxa"/>
            <w:vAlign w:val="center"/>
          </w:tcPr>
          <w:p w14:paraId="0402658E"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6</w:t>
            </w:r>
          </w:p>
        </w:tc>
        <w:tc>
          <w:tcPr>
            <w:tcW w:w="1161" w:type="dxa"/>
            <w:vAlign w:val="center"/>
          </w:tcPr>
          <w:p w14:paraId="6AFEB367"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肖涵</w:t>
            </w:r>
          </w:p>
        </w:tc>
        <w:tc>
          <w:tcPr>
            <w:tcW w:w="1470" w:type="dxa"/>
            <w:vAlign w:val="center"/>
          </w:tcPr>
          <w:p w14:paraId="483566CF"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组长</w:t>
            </w:r>
          </w:p>
        </w:tc>
        <w:tc>
          <w:tcPr>
            <w:tcW w:w="2175" w:type="dxa"/>
            <w:vAlign w:val="center"/>
          </w:tcPr>
          <w:p w14:paraId="43B5FEB9"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会计师</w:t>
            </w:r>
          </w:p>
        </w:tc>
        <w:tc>
          <w:tcPr>
            <w:tcW w:w="2767" w:type="dxa"/>
            <w:vMerge/>
          </w:tcPr>
          <w:p w14:paraId="37F9CBC9" w14:textId="77777777" w:rsidR="005114BD" w:rsidRDefault="005114BD">
            <w:pPr>
              <w:overflowPunct w:val="0"/>
              <w:spacing w:line="360" w:lineRule="auto"/>
              <w:rPr>
                <w:rFonts w:ascii="宋体" w:eastAsia="宋体" w:hAnsi="宋体" w:cs="Times New Roman"/>
                <w:sz w:val="24"/>
                <w:szCs w:val="24"/>
                <w:shd w:val="clear" w:color="auto" w:fill="FFFFFF"/>
              </w:rPr>
            </w:pPr>
          </w:p>
        </w:tc>
      </w:tr>
      <w:tr w:rsidR="005114BD" w14:paraId="17932001" w14:textId="77777777">
        <w:tc>
          <w:tcPr>
            <w:tcW w:w="949" w:type="dxa"/>
            <w:vAlign w:val="center"/>
          </w:tcPr>
          <w:p w14:paraId="2B829CA6"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7</w:t>
            </w:r>
          </w:p>
        </w:tc>
        <w:tc>
          <w:tcPr>
            <w:tcW w:w="1161" w:type="dxa"/>
            <w:vAlign w:val="center"/>
          </w:tcPr>
          <w:p w14:paraId="4CC064F2"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张振勇</w:t>
            </w:r>
          </w:p>
        </w:tc>
        <w:tc>
          <w:tcPr>
            <w:tcW w:w="1470" w:type="dxa"/>
            <w:vAlign w:val="center"/>
          </w:tcPr>
          <w:p w14:paraId="0BED6D30"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组员</w:t>
            </w:r>
          </w:p>
        </w:tc>
        <w:tc>
          <w:tcPr>
            <w:tcW w:w="2175" w:type="dxa"/>
            <w:vAlign w:val="center"/>
          </w:tcPr>
          <w:p w14:paraId="2E8272AD" w14:textId="77777777" w:rsidR="005114BD" w:rsidRDefault="00000000">
            <w:pPr>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助理会计师</w:t>
            </w:r>
          </w:p>
        </w:tc>
        <w:tc>
          <w:tcPr>
            <w:tcW w:w="2767" w:type="dxa"/>
            <w:vMerge/>
          </w:tcPr>
          <w:p w14:paraId="5D761F14" w14:textId="77777777" w:rsidR="005114BD" w:rsidRDefault="005114BD">
            <w:pPr>
              <w:overflowPunct w:val="0"/>
              <w:spacing w:line="360" w:lineRule="auto"/>
              <w:rPr>
                <w:rFonts w:ascii="宋体" w:eastAsia="宋体" w:hAnsi="宋体" w:cs="Times New Roman"/>
                <w:sz w:val="24"/>
                <w:szCs w:val="24"/>
                <w:shd w:val="clear" w:color="auto" w:fill="FFFFFF"/>
              </w:rPr>
            </w:pPr>
          </w:p>
        </w:tc>
      </w:tr>
      <w:tr w:rsidR="005114BD" w14:paraId="5CB5BB59" w14:textId="77777777">
        <w:tc>
          <w:tcPr>
            <w:tcW w:w="949" w:type="dxa"/>
            <w:vAlign w:val="center"/>
          </w:tcPr>
          <w:p w14:paraId="023F82C2"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8</w:t>
            </w:r>
          </w:p>
        </w:tc>
        <w:tc>
          <w:tcPr>
            <w:tcW w:w="1161" w:type="dxa"/>
            <w:vAlign w:val="center"/>
          </w:tcPr>
          <w:p w14:paraId="59880F63"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赵悦江</w:t>
            </w:r>
          </w:p>
        </w:tc>
        <w:tc>
          <w:tcPr>
            <w:tcW w:w="1470" w:type="dxa"/>
            <w:vAlign w:val="center"/>
          </w:tcPr>
          <w:p w14:paraId="53C32AAC"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组员</w:t>
            </w:r>
          </w:p>
        </w:tc>
        <w:tc>
          <w:tcPr>
            <w:tcW w:w="2175" w:type="dxa"/>
            <w:vAlign w:val="center"/>
          </w:tcPr>
          <w:p w14:paraId="0148F3F0" w14:textId="77777777" w:rsidR="005114BD" w:rsidRDefault="00000000">
            <w:pPr>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助理会计师</w:t>
            </w:r>
          </w:p>
        </w:tc>
        <w:tc>
          <w:tcPr>
            <w:tcW w:w="2767" w:type="dxa"/>
            <w:vMerge/>
          </w:tcPr>
          <w:p w14:paraId="66C2DD6E" w14:textId="77777777" w:rsidR="005114BD" w:rsidRDefault="005114BD">
            <w:pPr>
              <w:overflowPunct w:val="0"/>
              <w:spacing w:line="360" w:lineRule="auto"/>
              <w:rPr>
                <w:rFonts w:ascii="宋体" w:eastAsia="宋体" w:hAnsi="宋体" w:cs="Times New Roman"/>
                <w:sz w:val="24"/>
                <w:szCs w:val="24"/>
                <w:shd w:val="clear" w:color="auto" w:fill="FFFFFF"/>
              </w:rPr>
            </w:pPr>
          </w:p>
        </w:tc>
      </w:tr>
      <w:tr w:rsidR="005114BD" w14:paraId="1A1711CD" w14:textId="77777777">
        <w:tc>
          <w:tcPr>
            <w:tcW w:w="949" w:type="dxa"/>
            <w:vAlign w:val="center"/>
          </w:tcPr>
          <w:p w14:paraId="42E12A56"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9</w:t>
            </w:r>
          </w:p>
        </w:tc>
        <w:tc>
          <w:tcPr>
            <w:tcW w:w="1161" w:type="dxa"/>
            <w:vAlign w:val="center"/>
          </w:tcPr>
          <w:p w14:paraId="5321F963"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李乐乐</w:t>
            </w:r>
          </w:p>
        </w:tc>
        <w:tc>
          <w:tcPr>
            <w:tcW w:w="1470" w:type="dxa"/>
            <w:vAlign w:val="center"/>
          </w:tcPr>
          <w:p w14:paraId="59692421" w14:textId="77777777" w:rsidR="005114BD" w:rsidRDefault="00000000">
            <w:pPr>
              <w:pStyle w:val="a0"/>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组员</w:t>
            </w:r>
          </w:p>
        </w:tc>
        <w:tc>
          <w:tcPr>
            <w:tcW w:w="2175" w:type="dxa"/>
            <w:vAlign w:val="center"/>
          </w:tcPr>
          <w:p w14:paraId="319BE5AC" w14:textId="77777777" w:rsidR="005114BD" w:rsidRDefault="00000000">
            <w:pPr>
              <w:overflowPunct w:val="0"/>
              <w:spacing w:line="360" w:lineRule="auto"/>
              <w:jc w:val="center"/>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助理会计师</w:t>
            </w:r>
          </w:p>
        </w:tc>
        <w:tc>
          <w:tcPr>
            <w:tcW w:w="2767" w:type="dxa"/>
            <w:vMerge/>
          </w:tcPr>
          <w:p w14:paraId="44C6CF9A" w14:textId="77777777" w:rsidR="005114BD" w:rsidRDefault="005114BD">
            <w:pPr>
              <w:overflowPunct w:val="0"/>
              <w:spacing w:line="360" w:lineRule="auto"/>
              <w:rPr>
                <w:rFonts w:ascii="宋体" w:eastAsia="宋体" w:hAnsi="宋体" w:cs="Times New Roman"/>
                <w:sz w:val="24"/>
                <w:szCs w:val="24"/>
                <w:shd w:val="clear" w:color="auto" w:fill="FFFFFF"/>
              </w:rPr>
            </w:pPr>
          </w:p>
        </w:tc>
      </w:tr>
    </w:tbl>
    <w:p w14:paraId="0212AA90" w14:textId="77777777" w:rsidR="005114BD" w:rsidRDefault="00000000">
      <w:pPr>
        <w:pStyle w:val="a0"/>
        <w:overflowPunct w:val="0"/>
        <w:spacing w:line="560" w:lineRule="exact"/>
        <w:ind w:firstLineChars="200" w:firstLine="643"/>
        <w:outlineLvl w:val="1"/>
        <w:rPr>
          <w:rFonts w:ascii="楷体" w:eastAsia="楷体" w:hAnsi="楷体" w:cs="楷体"/>
          <w:b/>
          <w:bCs/>
        </w:rPr>
      </w:pPr>
      <w:bookmarkStart w:id="114" w:name="_Toc12965"/>
      <w:r>
        <w:rPr>
          <w:rFonts w:ascii="楷体" w:eastAsia="楷体" w:hAnsi="楷体" w:cs="楷体" w:hint="eastAsia"/>
          <w:b/>
          <w:bCs/>
        </w:rPr>
        <w:t>（七）绩效评价工作过程</w:t>
      </w:r>
      <w:bookmarkEnd w:id="113"/>
      <w:bookmarkEnd w:id="114"/>
    </w:p>
    <w:p w14:paraId="2125F58F" w14:textId="77777777" w:rsidR="005114BD" w:rsidRDefault="00000000">
      <w:pPr>
        <w:pStyle w:val="a0"/>
        <w:overflowPunct w:val="0"/>
        <w:spacing w:line="560" w:lineRule="exact"/>
        <w:ind w:firstLineChars="200" w:firstLine="640"/>
        <w:rPr>
          <w:rFonts w:ascii="仿宋_GB2312" w:hAnsi="仿宋_GB2312" w:cs="仿宋_GB2312"/>
        </w:rPr>
      </w:pPr>
      <w:bookmarkStart w:id="115" w:name="_Toc27041"/>
      <w:bookmarkStart w:id="116" w:name="_Toc31135"/>
      <w:bookmarkStart w:id="117" w:name="_Toc1946"/>
      <w:bookmarkStart w:id="118" w:name="_Toc14801"/>
      <w:bookmarkStart w:id="119" w:name="_Toc5352"/>
      <w:bookmarkStart w:id="120" w:name="_Toc10150"/>
      <w:r>
        <w:rPr>
          <w:rFonts w:ascii="仿宋_GB2312" w:hAnsi="仿宋_GB2312" w:cs="仿宋_GB2312" w:hint="eastAsia"/>
        </w:rPr>
        <w:t>绩效评价工作过程主要包括准备阶段、实施阶段、撰写报告阶段三个阶段。</w:t>
      </w:r>
      <w:bookmarkEnd w:id="115"/>
      <w:bookmarkEnd w:id="116"/>
      <w:bookmarkEnd w:id="117"/>
      <w:bookmarkEnd w:id="118"/>
      <w:bookmarkEnd w:id="119"/>
      <w:bookmarkEnd w:id="120"/>
    </w:p>
    <w:p w14:paraId="484A3EFA" w14:textId="77777777" w:rsidR="005114BD" w:rsidRDefault="00000000">
      <w:pPr>
        <w:pStyle w:val="3"/>
        <w:keepNext w:val="0"/>
        <w:keepLines w:val="0"/>
        <w:overflowPunct w:val="0"/>
        <w:spacing w:before="0" w:after="0" w:line="560" w:lineRule="exact"/>
        <w:ind w:firstLineChars="200" w:firstLine="643"/>
        <w:rPr>
          <w:rFonts w:ascii="仿宋_GB2312" w:eastAsia="仿宋_GB2312" w:hAnsi="仿宋_GB2312" w:cs="仿宋_GB2312"/>
          <w:color w:val="000000" w:themeColor="text1"/>
          <w:szCs w:val="32"/>
        </w:rPr>
      </w:pPr>
      <w:r>
        <w:rPr>
          <w:rFonts w:ascii="仿宋_GB2312" w:eastAsia="仿宋_GB2312" w:hAnsi="仿宋_GB2312" w:cs="仿宋_GB2312" w:hint="eastAsia"/>
          <w:color w:val="000000" w:themeColor="text1"/>
          <w:szCs w:val="32"/>
        </w:rPr>
        <w:t>1.准备阶段</w:t>
      </w:r>
    </w:p>
    <w:p w14:paraId="635EC6FF"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r>
        <w:rPr>
          <w:rFonts w:ascii="仿宋_GB2312" w:hAnsi="仿宋_GB2312" w:cs="仿宋_GB2312" w:hint="eastAsia"/>
        </w:rPr>
        <w:t>（1）确定绩效评价组</w:t>
      </w:r>
    </w:p>
    <w:p w14:paraId="46051E18"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r>
        <w:rPr>
          <w:rFonts w:ascii="仿宋_GB2312" w:hAnsi="仿宋_GB2312" w:cs="仿宋_GB2312" w:hint="eastAsia"/>
        </w:rPr>
        <w:t>省法院组织召开了绩效评价专题工作会议，安排部署本次绩效评价工作。绩效评价小组根据评价目的和评价内容，明确了工作范围和职责，组织评价组人员进行业务培训，认真组织学习了相关政策法规制度、评价指标体系和评价方案，明确评价工作程序及要求，解析评价指标体系，使各参评人员对绩效评价情况做进一步了解。</w:t>
      </w:r>
    </w:p>
    <w:p w14:paraId="4D60696B"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r>
        <w:rPr>
          <w:rFonts w:ascii="仿宋_GB2312" w:hAnsi="仿宋_GB2312" w:cs="仿宋_GB2312" w:hint="eastAsia"/>
        </w:rPr>
        <w:t>（2）评价时间安排</w:t>
      </w:r>
    </w:p>
    <w:p w14:paraId="06B8FA87"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r>
        <w:rPr>
          <w:rFonts w:ascii="仿宋_GB2312" w:hAnsi="仿宋_GB2312" w:cs="仿宋_GB2312" w:hint="eastAsia"/>
        </w:rPr>
        <w:t>根据《甘肃省财政厅关于开展2022年度省级预算执行情况部门和财政重点绩效评价工作的通知》（甘财绩〔2023〕</w:t>
      </w:r>
      <w:r>
        <w:rPr>
          <w:rFonts w:ascii="仿宋_GB2312" w:hAnsi="仿宋_GB2312" w:cs="仿宋_GB2312" w:hint="eastAsia"/>
        </w:rPr>
        <w:lastRenderedPageBreak/>
        <w:t>3号）文件要求，以及和委托方省法院的沟通协调，确定评价时间为2023年4月1日—2023年5月31日。</w:t>
      </w:r>
    </w:p>
    <w:p w14:paraId="016FB98E"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r>
        <w:rPr>
          <w:rFonts w:ascii="仿宋_GB2312" w:hAnsi="仿宋_GB2312" w:cs="仿宋_GB2312" w:hint="eastAsia"/>
        </w:rPr>
        <w:t>（3）评价方式确定</w:t>
      </w:r>
    </w:p>
    <w:p w14:paraId="362E2C04"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r>
        <w:rPr>
          <w:rFonts w:ascii="仿宋_GB2312" w:hAnsi="仿宋_GB2312" w:cs="仿宋_GB2312" w:hint="eastAsia"/>
        </w:rPr>
        <w:t>本次绩效评价的对象为法官法警服装费项目，经与省法院沟通决定采取现场评价与非现场评价相结合的方式进行本次评价。</w:t>
      </w:r>
    </w:p>
    <w:p w14:paraId="245B6E79" w14:textId="77777777" w:rsidR="005114BD" w:rsidRDefault="00000000">
      <w:pPr>
        <w:pStyle w:val="3"/>
        <w:keepNext w:val="0"/>
        <w:keepLines w:val="0"/>
        <w:overflowPunct w:val="0"/>
        <w:spacing w:before="0" w:after="0" w:line="560" w:lineRule="exact"/>
        <w:ind w:firstLineChars="200" w:firstLine="643"/>
        <w:rPr>
          <w:rFonts w:ascii="仿宋_GB2312" w:eastAsia="仿宋_GB2312" w:hAnsi="仿宋_GB2312" w:cs="仿宋_GB2312"/>
          <w:color w:val="000000" w:themeColor="text1"/>
          <w:szCs w:val="32"/>
        </w:rPr>
      </w:pPr>
      <w:r>
        <w:rPr>
          <w:rFonts w:ascii="仿宋_GB2312" w:eastAsia="仿宋_GB2312" w:hAnsi="仿宋_GB2312" w:cs="仿宋_GB2312" w:hint="eastAsia"/>
          <w:color w:val="000000" w:themeColor="text1"/>
          <w:szCs w:val="32"/>
        </w:rPr>
        <w:t>2.实施阶段</w:t>
      </w:r>
    </w:p>
    <w:p w14:paraId="62A9CECE"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r>
        <w:rPr>
          <w:rFonts w:ascii="仿宋_GB2312" w:hAnsi="仿宋_GB2312" w:cs="仿宋_GB2312" w:hint="eastAsia"/>
        </w:rPr>
        <w:t>（1）发送资料清单</w:t>
      </w:r>
    </w:p>
    <w:p w14:paraId="276F8D2E"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r>
        <w:rPr>
          <w:rFonts w:ascii="仿宋_GB2312" w:hAnsi="仿宋_GB2312" w:cs="仿宋_GB2312" w:hint="eastAsia"/>
        </w:rPr>
        <w:t>绩效评价组在拟开展现场评价的5个工作日前向省法院发送资料清单，省法院提前准备评价资料。</w:t>
      </w:r>
    </w:p>
    <w:p w14:paraId="7D87D71A"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r>
        <w:rPr>
          <w:rFonts w:ascii="仿宋_GB2312" w:hAnsi="仿宋_GB2312" w:cs="仿宋_GB2312" w:hint="eastAsia"/>
        </w:rPr>
        <w:t>（2）进驻评价单位</w:t>
      </w:r>
    </w:p>
    <w:p w14:paraId="5F5405E4"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highlight w:val="yellow"/>
        </w:rPr>
      </w:pPr>
      <w:r>
        <w:rPr>
          <w:rFonts w:ascii="仿宋_GB2312" w:hAnsi="仿宋_GB2312" w:cs="仿宋_GB2312" w:hint="eastAsia"/>
        </w:rPr>
        <w:t>评价组按时进驻省法院，根据工作方案，于2023年4月20日，对相关工作人员进行了访谈，本次绩效评价访谈旨在通过与相关工作人员进行沟通，了解项目基本情况以及重点工作任务完成情况，听取相关工作人员对项目的目标设定及完成程度、组织管理制度建立健全及落实情况、预算支出执行情况、财务管理状况、资产管理情况和项目实施产生的效益效果等情况介绍。</w:t>
      </w:r>
    </w:p>
    <w:p w14:paraId="3572E900"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r>
        <w:rPr>
          <w:rFonts w:ascii="仿宋_GB2312" w:hAnsi="仿宋_GB2312" w:cs="仿宋_GB2312" w:hint="eastAsia"/>
        </w:rPr>
        <w:t>①访谈对象</w:t>
      </w:r>
    </w:p>
    <w:p w14:paraId="1461716E"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r>
        <w:rPr>
          <w:rFonts w:ascii="仿宋_GB2312" w:hAnsi="仿宋_GB2312" w:cs="仿宋_GB2312" w:hint="eastAsia"/>
        </w:rPr>
        <w:t>省法院相关工作人员。</w:t>
      </w:r>
    </w:p>
    <w:p w14:paraId="794946EC"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r>
        <w:rPr>
          <w:rFonts w:ascii="仿宋_GB2312" w:hAnsi="仿宋_GB2312" w:cs="仿宋_GB2312" w:hint="eastAsia"/>
        </w:rPr>
        <w:t>②具体访谈的主要内容</w:t>
      </w:r>
    </w:p>
    <w:p w14:paraId="0B32D442"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r>
        <w:rPr>
          <w:rFonts w:ascii="仿宋_GB2312" w:hAnsi="仿宋_GB2312" w:cs="仿宋_GB2312" w:hint="eastAsia"/>
        </w:rPr>
        <w:t>相关工作人员介绍预算安排、项目实施计划等方面的实际情况；项目考核、监督中发现的经验、问题、建议等；对项目开展的实际工作情况等进行调研。比如：具体的实施完</w:t>
      </w:r>
      <w:r>
        <w:rPr>
          <w:rFonts w:ascii="仿宋_GB2312" w:hAnsi="仿宋_GB2312" w:cs="仿宋_GB2312" w:hint="eastAsia"/>
        </w:rPr>
        <w:lastRenderedPageBreak/>
        <w:t>成情况、经费使用情况等。</w:t>
      </w:r>
    </w:p>
    <w:p w14:paraId="380599A8"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r>
        <w:rPr>
          <w:rFonts w:ascii="仿宋_GB2312" w:hAnsi="仿宋_GB2312" w:cs="仿宋_GB2312" w:hint="eastAsia"/>
        </w:rPr>
        <w:t>③访谈类型</w:t>
      </w:r>
    </w:p>
    <w:p w14:paraId="49E485EA"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r>
        <w:rPr>
          <w:rFonts w:ascii="仿宋_GB2312" w:hAnsi="仿宋_GB2312" w:cs="仿宋_GB2312" w:hint="eastAsia"/>
        </w:rPr>
        <w:t>访谈类型：标准化访谈。</w:t>
      </w:r>
    </w:p>
    <w:p w14:paraId="5EF25193"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r>
        <w:rPr>
          <w:rFonts w:ascii="仿宋_GB2312" w:hAnsi="仿宋_GB2312" w:cs="仿宋_GB2312" w:hint="eastAsia"/>
        </w:rPr>
        <w:t>④访谈实施方式</w:t>
      </w:r>
    </w:p>
    <w:p w14:paraId="11306001"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r>
        <w:rPr>
          <w:rFonts w:ascii="仿宋_GB2312" w:hAnsi="仿宋_GB2312" w:cs="仿宋_GB2312" w:hint="eastAsia"/>
        </w:rPr>
        <w:t>省法院相关工作人员进行现场访谈的方式开展。</w:t>
      </w:r>
    </w:p>
    <w:p w14:paraId="07DFB38C"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r>
        <w:rPr>
          <w:rFonts w:ascii="仿宋_GB2312" w:hAnsi="仿宋_GB2312" w:cs="仿宋_GB2312" w:hint="eastAsia"/>
        </w:rPr>
        <w:t>（3）资料分析及复核</w:t>
      </w:r>
    </w:p>
    <w:p w14:paraId="2BF7C9A4"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r>
        <w:rPr>
          <w:rFonts w:ascii="仿宋_GB2312" w:hAnsi="仿宋_GB2312" w:cs="仿宋_GB2312" w:hint="eastAsia"/>
        </w:rPr>
        <w:t>根据访谈了解情况对省法院提供的资料进行核对，核实其真实性。结合资料进行现场查看，核实各项重点工作任务的完成情况的真实性和规范性。</w:t>
      </w:r>
    </w:p>
    <w:p w14:paraId="5BFF72DE"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r>
        <w:rPr>
          <w:rFonts w:ascii="仿宋_GB2312" w:hAnsi="仿宋_GB2312" w:cs="仿宋_GB2312" w:hint="eastAsia"/>
        </w:rPr>
        <w:t>（4）发放调查问卷</w:t>
      </w:r>
    </w:p>
    <w:p w14:paraId="71E683C4"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r>
        <w:rPr>
          <w:rFonts w:ascii="仿宋_GB2312" w:hAnsi="仿宋_GB2312" w:cs="仿宋_GB2312" w:hint="eastAsia"/>
        </w:rPr>
        <w:t>采用调查问卷方式对项目服务对象“换装人员满意度”进行调查，根据需要收集的满意度数据设置调查问卷并认真做好调查表的发放与回收工作。</w:t>
      </w:r>
    </w:p>
    <w:p w14:paraId="3359DD3B"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r>
        <w:rPr>
          <w:rFonts w:ascii="仿宋_GB2312" w:hAnsi="仿宋_GB2312" w:cs="仿宋_GB2312" w:hint="eastAsia"/>
        </w:rPr>
        <w:t>（5）进行现场评分</w:t>
      </w:r>
    </w:p>
    <w:p w14:paraId="1988F0FC"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r>
        <w:rPr>
          <w:rFonts w:ascii="仿宋_GB2312" w:hAnsi="仿宋_GB2312" w:cs="仿宋_GB2312" w:hint="eastAsia"/>
        </w:rPr>
        <w:t>针对评价中发现的问题与省法院及时沟通，对各项评价指标进行分析讨论，经反复分析、研究，按预先设计的评价指标体系进行现场评价打分。</w:t>
      </w:r>
    </w:p>
    <w:p w14:paraId="3591B124" w14:textId="77777777" w:rsidR="005114BD" w:rsidRDefault="00000000">
      <w:pPr>
        <w:pStyle w:val="3"/>
        <w:keepNext w:val="0"/>
        <w:keepLines w:val="0"/>
        <w:overflowPunct w:val="0"/>
        <w:spacing w:before="0" w:after="0" w:line="560" w:lineRule="exact"/>
        <w:ind w:firstLineChars="200" w:firstLine="643"/>
        <w:rPr>
          <w:rFonts w:ascii="仿宋_GB2312" w:eastAsia="仿宋_GB2312" w:hAnsi="仿宋_GB2312" w:cs="仿宋_GB2312"/>
          <w:color w:val="000000" w:themeColor="text1"/>
          <w:szCs w:val="32"/>
        </w:rPr>
      </w:pPr>
      <w:r>
        <w:rPr>
          <w:rFonts w:ascii="仿宋_GB2312" w:eastAsia="仿宋_GB2312" w:hAnsi="仿宋_GB2312" w:cs="仿宋_GB2312" w:hint="eastAsia"/>
          <w:color w:val="000000" w:themeColor="text1"/>
          <w:szCs w:val="32"/>
        </w:rPr>
        <w:t>3.撰写报告阶段</w:t>
      </w:r>
    </w:p>
    <w:p w14:paraId="31457165"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bookmarkStart w:id="121" w:name="_Toc22550"/>
      <w:bookmarkStart w:id="122" w:name="_Toc6529"/>
      <w:r>
        <w:rPr>
          <w:rFonts w:ascii="仿宋_GB2312" w:hAnsi="仿宋_GB2312" w:cs="仿宋_GB2312" w:hint="eastAsia"/>
        </w:rPr>
        <w:t>（1）撰写绩效评价报告</w:t>
      </w:r>
    </w:p>
    <w:p w14:paraId="501BF5D3"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r>
        <w:rPr>
          <w:rFonts w:ascii="仿宋_GB2312" w:hAnsi="仿宋_GB2312" w:cs="仿宋_GB2312" w:hint="eastAsia"/>
        </w:rPr>
        <w:t>评价小组根据现场评价收集的资料，运用科学、合理的绩效评价指标、评价标准和评价方法，对项目支出的经济性、效率性和效益性进行客观、公正的评价，按照省财政厅下发的重点项目绩效评价报告模板撰写绩效评价报告，并做到依据充分、数据真实、内容完整、客观公正、结论明确、建议</w:t>
      </w:r>
      <w:r>
        <w:rPr>
          <w:rFonts w:ascii="仿宋_GB2312" w:hAnsi="仿宋_GB2312" w:cs="仿宋_GB2312" w:hint="eastAsia"/>
        </w:rPr>
        <w:lastRenderedPageBreak/>
        <w:t>可行。</w:t>
      </w:r>
    </w:p>
    <w:p w14:paraId="5BB27A17"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r>
        <w:rPr>
          <w:rFonts w:ascii="仿宋_GB2312" w:hAnsi="仿宋_GB2312" w:cs="仿宋_GB2312" w:hint="eastAsia"/>
        </w:rPr>
        <w:t>（2）绩效评价报告征求意见</w:t>
      </w:r>
    </w:p>
    <w:p w14:paraId="6902A769"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r>
        <w:rPr>
          <w:rFonts w:ascii="仿宋_GB2312" w:hAnsi="仿宋_GB2312" w:cs="仿宋_GB2312" w:hint="eastAsia"/>
        </w:rPr>
        <w:t>绩效评价报告初稿完成后，征求省法院的意见，根据反馈的有效意见对评价报告进行修改。</w:t>
      </w:r>
    </w:p>
    <w:p w14:paraId="25DD45EE"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r>
        <w:rPr>
          <w:rFonts w:ascii="仿宋_GB2312" w:hAnsi="仿宋_GB2312" w:cs="仿宋_GB2312" w:hint="eastAsia"/>
        </w:rPr>
        <w:t>（3）提交绩效评价报告</w:t>
      </w:r>
    </w:p>
    <w:p w14:paraId="34D08CAF" w14:textId="77777777" w:rsidR="005114BD" w:rsidRDefault="00000000">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绩效评价报告经绩效评价负责人和省法院确定，在规定时间内按照规定的格式、要求，提交省法院及财政部门。</w:t>
      </w:r>
    </w:p>
    <w:p w14:paraId="3FB1EB84" w14:textId="77777777" w:rsidR="005114BD" w:rsidRDefault="00000000">
      <w:pPr>
        <w:pStyle w:val="a0"/>
        <w:overflowPunct w:val="0"/>
        <w:spacing w:line="560" w:lineRule="exact"/>
        <w:ind w:firstLineChars="200" w:firstLine="640"/>
        <w:outlineLvl w:val="0"/>
        <w:rPr>
          <w:rFonts w:ascii="黑体" w:eastAsia="黑体"/>
        </w:rPr>
      </w:pPr>
      <w:bookmarkStart w:id="123" w:name="_Toc3488"/>
      <w:r>
        <w:rPr>
          <w:rFonts w:ascii="黑体" w:eastAsia="黑体" w:hint="eastAsia"/>
        </w:rPr>
        <w:t>四、评价结论及分析</w:t>
      </w:r>
      <w:bookmarkEnd w:id="121"/>
      <w:bookmarkEnd w:id="122"/>
      <w:bookmarkEnd w:id="123"/>
    </w:p>
    <w:p w14:paraId="27A50DE8" w14:textId="77777777" w:rsidR="005114BD" w:rsidRDefault="00000000">
      <w:pPr>
        <w:pStyle w:val="a0"/>
        <w:overflowPunct w:val="0"/>
        <w:spacing w:line="560" w:lineRule="exact"/>
        <w:ind w:firstLineChars="200" w:firstLine="643"/>
        <w:outlineLvl w:val="1"/>
        <w:rPr>
          <w:rFonts w:ascii="楷体" w:eastAsia="楷体" w:hAnsi="楷体" w:cs="楷体"/>
          <w:b/>
          <w:bCs/>
        </w:rPr>
      </w:pPr>
      <w:bookmarkStart w:id="124" w:name="_Toc8446"/>
      <w:bookmarkStart w:id="125" w:name="_Toc16331"/>
      <w:bookmarkStart w:id="126" w:name="_Toc20588"/>
      <w:r>
        <w:rPr>
          <w:rFonts w:ascii="楷体" w:eastAsia="楷体" w:hAnsi="楷体" w:cs="楷体" w:hint="eastAsia"/>
          <w:b/>
          <w:bCs/>
        </w:rPr>
        <w:t>（一）综合评价情况及评价结论</w:t>
      </w:r>
      <w:bookmarkEnd w:id="124"/>
      <w:bookmarkEnd w:id="125"/>
      <w:bookmarkEnd w:id="126"/>
    </w:p>
    <w:p w14:paraId="021346CA" w14:textId="77777777" w:rsidR="005114BD" w:rsidRDefault="00000000">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依据项目支出绩效评价指标体系和评分标准，总分设置为100分，分值和对应等级划分为四档：90分（含）-100分为“优”、80分（含）-90分为“良”、60分（含）-80分为“中”、60分以下为“差”。综合评定2022年度</w:t>
      </w:r>
      <w:r>
        <w:rPr>
          <w:rFonts w:ascii="仿宋_GB2312" w:eastAsia="仿宋_GB2312" w:hAnsi="仿宋" w:cs="仿宋" w:hint="eastAsia"/>
          <w:sz w:val="32"/>
          <w:szCs w:val="32"/>
        </w:rPr>
        <w:t>法官法警服装费项目</w:t>
      </w:r>
      <w:r>
        <w:rPr>
          <w:rFonts w:ascii="仿宋_GB2312" w:eastAsia="仿宋_GB2312" w:hAnsi="仿宋_GB2312" w:cs="仿宋_GB2312" w:hint="eastAsia"/>
          <w:sz w:val="32"/>
          <w:szCs w:val="32"/>
        </w:rPr>
        <w:t>绩效评分为97分，绩效等级为“优”。</w:t>
      </w:r>
    </w:p>
    <w:p w14:paraId="388F6E21" w14:textId="77777777" w:rsidR="005114BD" w:rsidRDefault="00000000">
      <w:pPr>
        <w:overflowPunct w:val="0"/>
        <w:spacing w:line="560" w:lineRule="exact"/>
        <w:ind w:firstLineChars="200" w:firstLine="640"/>
        <w:rPr>
          <w:rFonts w:ascii="仿宋_GB2312" w:eastAsia="仿宋_GB2312" w:hAnsi="仿宋_GB2312" w:cs="仿宋_GB2312"/>
          <w:sz w:val="32"/>
          <w:szCs w:val="32"/>
        </w:rPr>
      </w:pPr>
      <w:bookmarkStart w:id="127" w:name="_Toc16795"/>
      <w:bookmarkStart w:id="128" w:name="_Toc12668"/>
      <w:r>
        <w:rPr>
          <w:rFonts w:ascii="仿宋_GB2312" w:eastAsia="仿宋_GB2312" w:hAnsi="仿宋_GB2312" w:cs="仿宋_GB2312" w:hint="eastAsia"/>
          <w:sz w:val="32"/>
          <w:szCs w:val="32"/>
        </w:rPr>
        <w:t>评价认为，2022年法官法警服装费项目立项依据充分，立项程序规范，预算编制科学，资金及时到位，管理制度健全，资金分配合理，资金使用规范，预算执行率较高，项目的实施有利于规范法官法警的着装，在社会中树立了法院良好的执法形象，项目效益显著。</w:t>
      </w:r>
    </w:p>
    <w:p w14:paraId="7180AB0C" w14:textId="77777777" w:rsidR="005114BD" w:rsidRDefault="00000000">
      <w:pPr>
        <w:overflowPunct w:val="0"/>
        <w:spacing w:line="560" w:lineRule="exact"/>
        <w:ind w:firstLineChars="200" w:firstLine="643"/>
        <w:outlineLvl w:val="1"/>
        <w:rPr>
          <w:sz w:val="32"/>
          <w:szCs w:val="32"/>
        </w:rPr>
      </w:pPr>
      <w:bookmarkStart w:id="129" w:name="_Toc8423"/>
      <w:bookmarkEnd w:id="127"/>
      <w:bookmarkEnd w:id="128"/>
      <w:r>
        <w:rPr>
          <w:rFonts w:ascii="楷体" w:eastAsia="楷体" w:hAnsi="楷体" w:cs="楷体"/>
          <w:b/>
          <w:bCs/>
          <w:color w:val="000000"/>
          <w:kern w:val="0"/>
          <w:sz w:val="32"/>
          <w:szCs w:val="32"/>
          <w:lang w:bidi="ar"/>
        </w:rPr>
        <w:t>（二）非现场评价情况分析</w:t>
      </w:r>
      <w:bookmarkEnd w:id="129"/>
      <w:r>
        <w:rPr>
          <w:rFonts w:ascii="楷体" w:eastAsia="楷体" w:hAnsi="楷体" w:cs="楷体"/>
          <w:b/>
          <w:bCs/>
          <w:color w:val="000000"/>
          <w:kern w:val="0"/>
          <w:sz w:val="32"/>
          <w:szCs w:val="32"/>
          <w:lang w:bidi="ar"/>
        </w:rPr>
        <w:t xml:space="preserve"> </w:t>
      </w:r>
    </w:p>
    <w:p w14:paraId="702EF201" w14:textId="77777777" w:rsidR="005114BD" w:rsidRDefault="00000000">
      <w:pPr>
        <w:overflowPunct w:val="0"/>
        <w:spacing w:line="560" w:lineRule="exact"/>
        <w:ind w:firstLineChars="200" w:firstLine="643"/>
        <w:rPr>
          <w:b/>
          <w:bCs/>
          <w:sz w:val="32"/>
          <w:szCs w:val="32"/>
        </w:rPr>
      </w:pPr>
      <w:r>
        <w:rPr>
          <w:rFonts w:ascii="仿宋_GB2312" w:eastAsia="仿宋_GB2312" w:hAnsi="宋体" w:cs="仿宋_GB2312"/>
          <w:b/>
          <w:bCs/>
          <w:color w:val="000000"/>
          <w:kern w:val="0"/>
          <w:sz w:val="32"/>
          <w:szCs w:val="32"/>
          <w:lang w:bidi="ar"/>
        </w:rPr>
        <w:t>1</w:t>
      </w:r>
      <w:r>
        <w:rPr>
          <w:rFonts w:ascii="仿宋_GB2312" w:eastAsia="仿宋_GB2312" w:hAnsi="宋体" w:cs="仿宋_GB2312" w:hint="eastAsia"/>
          <w:b/>
          <w:bCs/>
          <w:color w:val="000000"/>
          <w:kern w:val="0"/>
          <w:sz w:val="32"/>
          <w:szCs w:val="32"/>
          <w:lang w:bidi="ar"/>
        </w:rPr>
        <w:t>.</w:t>
      </w:r>
      <w:r>
        <w:rPr>
          <w:rFonts w:ascii="仿宋_GB2312" w:eastAsia="仿宋_GB2312" w:hAnsi="宋体" w:cs="仿宋_GB2312"/>
          <w:b/>
          <w:bCs/>
          <w:color w:val="000000"/>
          <w:kern w:val="0"/>
          <w:sz w:val="32"/>
          <w:szCs w:val="32"/>
          <w:lang w:bidi="ar"/>
        </w:rPr>
        <w:t xml:space="preserve">前期资料研读 </w:t>
      </w:r>
    </w:p>
    <w:p w14:paraId="5406F9F0" w14:textId="77777777" w:rsidR="005114BD" w:rsidRDefault="00000000">
      <w:pPr>
        <w:overflowPunct w:val="0"/>
        <w:spacing w:line="560" w:lineRule="exact"/>
        <w:ind w:firstLineChars="200" w:firstLine="640"/>
        <w:rPr>
          <w:sz w:val="32"/>
          <w:szCs w:val="32"/>
        </w:rPr>
      </w:pPr>
      <w:r>
        <w:rPr>
          <w:rFonts w:ascii="仿宋_GB2312" w:eastAsia="仿宋_GB2312" w:hAnsi="宋体" w:cs="仿宋_GB2312" w:hint="eastAsia"/>
          <w:color w:val="000000"/>
          <w:kern w:val="0"/>
          <w:sz w:val="32"/>
          <w:szCs w:val="32"/>
          <w:lang w:bidi="ar"/>
        </w:rPr>
        <w:t>评价组根据调研结果梳理并向省法院发送《资料收集清单》收集业务资料和财务资料，其中包括：部门预算批复文件、资金分配表、项目预算编制明细表、决算表、单位内部</w:t>
      </w:r>
      <w:r>
        <w:rPr>
          <w:rFonts w:ascii="仿宋_GB2312" w:eastAsia="仿宋_GB2312" w:hAnsi="宋体" w:cs="仿宋_GB2312" w:hint="eastAsia"/>
          <w:color w:val="000000"/>
          <w:kern w:val="0"/>
          <w:sz w:val="32"/>
          <w:szCs w:val="32"/>
          <w:lang w:bidi="ar"/>
        </w:rPr>
        <w:lastRenderedPageBreak/>
        <w:t xml:space="preserve">管理制度、项目绩效目标申报表、自评表及自评报告等资料。并在资料收集过程中通过网上收集、文献查阅等方式，获取与本项目有关的政策资料，全面了解项目内容，把握评价的重点，明确评价方式、方法，为制定实施方案、绩效评价指标体系奠定基础。 </w:t>
      </w:r>
    </w:p>
    <w:p w14:paraId="2AAF437B" w14:textId="77777777" w:rsidR="005114BD" w:rsidRDefault="00000000">
      <w:pPr>
        <w:overflowPunct w:val="0"/>
        <w:spacing w:line="560" w:lineRule="exact"/>
        <w:ind w:firstLineChars="200" w:firstLine="643"/>
        <w:rPr>
          <w:b/>
          <w:bCs/>
          <w:sz w:val="32"/>
          <w:szCs w:val="32"/>
        </w:rPr>
      </w:pPr>
      <w:r>
        <w:rPr>
          <w:rFonts w:ascii="仿宋_GB2312" w:eastAsia="仿宋_GB2312" w:hAnsi="宋体" w:cs="仿宋_GB2312" w:hint="eastAsia"/>
          <w:b/>
          <w:bCs/>
          <w:color w:val="000000"/>
          <w:kern w:val="0"/>
          <w:sz w:val="32"/>
          <w:szCs w:val="32"/>
          <w:lang w:bidi="ar"/>
        </w:rPr>
        <w:t xml:space="preserve">2.资料整理分析 </w:t>
      </w:r>
    </w:p>
    <w:p w14:paraId="20BC909D" w14:textId="77777777" w:rsidR="005114BD" w:rsidRDefault="00000000">
      <w:pPr>
        <w:overflowPunct w:val="0"/>
        <w:spacing w:line="560" w:lineRule="exact"/>
        <w:ind w:firstLineChars="200" w:firstLine="640"/>
        <w:rPr>
          <w:sz w:val="32"/>
          <w:szCs w:val="32"/>
        </w:rPr>
      </w:pPr>
      <w:r>
        <w:rPr>
          <w:rFonts w:ascii="仿宋_GB2312" w:eastAsia="仿宋_GB2312" w:hAnsi="宋体" w:cs="仿宋_GB2312" w:hint="eastAsia"/>
          <w:color w:val="000000"/>
          <w:kern w:val="0"/>
          <w:sz w:val="32"/>
          <w:szCs w:val="32"/>
          <w:lang w:bidi="ar"/>
        </w:rPr>
        <w:t xml:space="preserve">评价组对省法院提供的资料进行深入研读，将前期资料研读过程中通过各网站收集的资料与省法院提供的资料进行了汇总整合研究，并以此为依据设立评价指标体系。对于结果明确的指标直接进行打分，对于结果不明确的指标，评价组在此过程中继续整理缺失的数据，并形成二次数据收集清单，通过线上沟通再次向省法院收集部分评价指标佐证材料，补充完善评价结果，以便全面、真实、客观的形成评价结果。 </w:t>
      </w:r>
    </w:p>
    <w:p w14:paraId="7D04A315" w14:textId="77777777" w:rsidR="005114BD" w:rsidRDefault="00000000">
      <w:pPr>
        <w:overflowPunct w:val="0"/>
        <w:spacing w:line="560" w:lineRule="exact"/>
        <w:ind w:firstLineChars="200" w:firstLine="643"/>
        <w:outlineLvl w:val="1"/>
        <w:rPr>
          <w:sz w:val="32"/>
          <w:szCs w:val="32"/>
        </w:rPr>
      </w:pPr>
      <w:bookmarkStart w:id="130" w:name="_Toc5099"/>
      <w:r>
        <w:rPr>
          <w:rFonts w:ascii="楷体" w:eastAsia="楷体" w:hAnsi="楷体" w:cs="楷体" w:hint="eastAsia"/>
          <w:b/>
          <w:bCs/>
          <w:color w:val="000000"/>
          <w:kern w:val="0"/>
          <w:sz w:val="32"/>
          <w:szCs w:val="32"/>
          <w:lang w:bidi="ar"/>
        </w:rPr>
        <w:t>（三）</w:t>
      </w:r>
      <w:r>
        <w:rPr>
          <w:rFonts w:ascii="楷体" w:eastAsia="楷体" w:hAnsi="楷体" w:cs="楷体"/>
          <w:b/>
          <w:bCs/>
          <w:color w:val="000000"/>
          <w:kern w:val="0"/>
          <w:sz w:val="32"/>
          <w:szCs w:val="32"/>
          <w:lang w:bidi="ar"/>
        </w:rPr>
        <w:t>现场评价情况分析</w:t>
      </w:r>
      <w:bookmarkEnd w:id="130"/>
      <w:r>
        <w:rPr>
          <w:rFonts w:ascii="楷体" w:eastAsia="楷体" w:hAnsi="楷体" w:cs="楷体"/>
          <w:b/>
          <w:bCs/>
          <w:color w:val="000000"/>
          <w:kern w:val="0"/>
          <w:sz w:val="32"/>
          <w:szCs w:val="32"/>
          <w:lang w:bidi="ar"/>
        </w:rPr>
        <w:t xml:space="preserve"> </w:t>
      </w:r>
    </w:p>
    <w:p w14:paraId="35F16AD8" w14:textId="77777777" w:rsidR="005114BD" w:rsidRDefault="00000000">
      <w:pPr>
        <w:overflowPunct w:val="0"/>
        <w:spacing w:line="560" w:lineRule="exact"/>
        <w:ind w:firstLineChars="200" w:firstLine="643"/>
        <w:rPr>
          <w:b/>
          <w:bCs/>
          <w:sz w:val="32"/>
          <w:szCs w:val="32"/>
        </w:rPr>
      </w:pPr>
      <w:r>
        <w:rPr>
          <w:rFonts w:ascii="仿宋_GB2312" w:eastAsia="仿宋_GB2312" w:hAnsi="宋体" w:cs="仿宋_GB2312"/>
          <w:b/>
          <w:bCs/>
          <w:color w:val="000000"/>
          <w:kern w:val="0"/>
          <w:sz w:val="32"/>
          <w:szCs w:val="32"/>
          <w:lang w:bidi="ar"/>
        </w:rPr>
        <w:t>1</w:t>
      </w:r>
      <w:r>
        <w:rPr>
          <w:rFonts w:ascii="仿宋_GB2312" w:eastAsia="仿宋_GB2312" w:hAnsi="宋体" w:cs="仿宋_GB2312" w:hint="eastAsia"/>
          <w:b/>
          <w:bCs/>
          <w:color w:val="000000"/>
          <w:kern w:val="0"/>
          <w:sz w:val="32"/>
          <w:szCs w:val="32"/>
          <w:lang w:bidi="ar"/>
        </w:rPr>
        <w:t>.</w:t>
      </w:r>
      <w:r>
        <w:rPr>
          <w:rFonts w:ascii="仿宋_GB2312" w:eastAsia="仿宋_GB2312" w:hAnsi="宋体" w:cs="仿宋_GB2312"/>
          <w:b/>
          <w:bCs/>
          <w:color w:val="000000"/>
          <w:kern w:val="0"/>
          <w:sz w:val="32"/>
          <w:szCs w:val="32"/>
          <w:lang w:bidi="ar"/>
        </w:rPr>
        <w:t xml:space="preserve">前期调研 </w:t>
      </w:r>
    </w:p>
    <w:p w14:paraId="099CB105" w14:textId="77777777" w:rsidR="005114BD" w:rsidRDefault="00000000">
      <w:pPr>
        <w:overflowPunct w:val="0"/>
        <w:spacing w:line="560" w:lineRule="exact"/>
        <w:ind w:firstLineChars="200" w:firstLine="640"/>
        <w:rPr>
          <w:sz w:val="32"/>
          <w:szCs w:val="32"/>
        </w:rPr>
      </w:pPr>
      <w:r>
        <w:rPr>
          <w:rFonts w:ascii="仿宋_GB2312" w:eastAsia="仿宋_GB2312" w:hAnsi="宋体" w:cs="仿宋_GB2312" w:hint="eastAsia"/>
          <w:color w:val="000000"/>
          <w:kern w:val="0"/>
          <w:sz w:val="32"/>
          <w:szCs w:val="32"/>
          <w:lang w:bidi="ar"/>
        </w:rPr>
        <w:t xml:space="preserve">评价组通过查阅相关文献资料以及在省法院官网了解到被评价项目及相关单位业务情况，自行收集了预决算公开资料，全面了解项目立项、绩效目标设置、预算安排、实施内容、组织管理等情况，为编制指标体系奠定基础。 </w:t>
      </w:r>
    </w:p>
    <w:p w14:paraId="5B3FCA68" w14:textId="77777777" w:rsidR="005114BD" w:rsidRDefault="00000000">
      <w:pPr>
        <w:overflowPunct w:val="0"/>
        <w:spacing w:line="560" w:lineRule="exact"/>
        <w:ind w:firstLineChars="200" w:firstLine="643"/>
        <w:rPr>
          <w:b/>
          <w:bCs/>
          <w:sz w:val="32"/>
          <w:szCs w:val="32"/>
        </w:rPr>
      </w:pPr>
      <w:r>
        <w:rPr>
          <w:rFonts w:ascii="仿宋_GB2312" w:eastAsia="仿宋_GB2312" w:hAnsi="宋体" w:cs="仿宋_GB2312" w:hint="eastAsia"/>
          <w:b/>
          <w:bCs/>
          <w:color w:val="000000"/>
          <w:kern w:val="0"/>
          <w:sz w:val="32"/>
          <w:szCs w:val="32"/>
          <w:lang w:bidi="ar"/>
        </w:rPr>
        <w:t xml:space="preserve">2.现场核查 </w:t>
      </w:r>
    </w:p>
    <w:p w14:paraId="3944DD76" w14:textId="77777777" w:rsidR="005114BD" w:rsidRDefault="00000000">
      <w:pPr>
        <w:overflowPunct w:val="0"/>
        <w:spacing w:line="560" w:lineRule="exact"/>
        <w:ind w:firstLineChars="200" w:firstLine="640"/>
        <w:rPr>
          <w:sz w:val="32"/>
          <w:szCs w:val="32"/>
        </w:rPr>
      </w:pPr>
      <w:r>
        <w:rPr>
          <w:rFonts w:ascii="仿宋_GB2312" w:eastAsia="仿宋_GB2312" w:hAnsi="宋体" w:cs="仿宋_GB2312" w:hint="eastAsia"/>
          <w:color w:val="000000"/>
          <w:kern w:val="0"/>
          <w:sz w:val="32"/>
          <w:szCs w:val="32"/>
          <w:lang w:bidi="ar"/>
        </w:rPr>
        <w:t>评价组在前期现场调研与非现场评价工作的基础上，对本项目资金拨付凭证、招标采购合同、报销凭证等记录资料以及资料整理阶段发现的问题进行现场核实，对该项目进行</w:t>
      </w:r>
      <w:r>
        <w:rPr>
          <w:rFonts w:ascii="仿宋_GB2312" w:eastAsia="仿宋_GB2312" w:hAnsi="宋体" w:cs="仿宋_GB2312" w:hint="eastAsia"/>
          <w:color w:val="000000"/>
          <w:kern w:val="0"/>
          <w:sz w:val="32"/>
          <w:szCs w:val="32"/>
          <w:lang w:bidi="ar"/>
        </w:rPr>
        <w:lastRenderedPageBreak/>
        <w:t xml:space="preserve">逐项全面检查。 </w:t>
      </w:r>
    </w:p>
    <w:p w14:paraId="21F0BE01" w14:textId="77777777" w:rsidR="005114BD" w:rsidRDefault="00000000">
      <w:pPr>
        <w:pStyle w:val="a0"/>
        <w:overflowPunct w:val="0"/>
        <w:spacing w:line="560" w:lineRule="exact"/>
        <w:ind w:firstLineChars="200" w:firstLine="640"/>
        <w:outlineLvl w:val="0"/>
        <w:rPr>
          <w:rFonts w:ascii="黑体" w:eastAsia="黑体"/>
        </w:rPr>
      </w:pPr>
      <w:bookmarkStart w:id="131" w:name="_Toc16455"/>
      <w:bookmarkStart w:id="132" w:name="_Toc25412"/>
      <w:bookmarkStart w:id="133" w:name="_Toc30293"/>
      <w:r>
        <w:rPr>
          <w:rFonts w:ascii="黑体" w:eastAsia="黑体" w:hint="eastAsia"/>
        </w:rPr>
        <w:t>五、绩效评价指标分析</w:t>
      </w:r>
      <w:bookmarkEnd w:id="131"/>
      <w:bookmarkEnd w:id="132"/>
      <w:bookmarkEnd w:id="133"/>
    </w:p>
    <w:p w14:paraId="2BB5E071" w14:textId="77777777" w:rsidR="005114BD" w:rsidRDefault="00000000">
      <w:pPr>
        <w:overflowPunct w:val="0"/>
        <w:spacing w:line="560" w:lineRule="exact"/>
        <w:ind w:firstLineChars="200" w:firstLine="560"/>
        <w:rPr>
          <w:rFonts w:asciiTheme="minorEastAsia" w:hAnsiTheme="minorEastAsia" w:cs="黑体"/>
          <w:sz w:val="28"/>
          <w:szCs w:val="24"/>
        </w:rPr>
      </w:pPr>
      <w:r>
        <w:rPr>
          <w:rFonts w:asciiTheme="minorEastAsia" w:hAnsiTheme="minorEastAsia" w:cstheme="minorEastAsia" w:hint="eastAsia"/>
          <w:noProof/>
          <w:kern w:val="0"/>
          <w:sz w:val="28"/>
          <w:szCs w:val="28"/>
        </w:rPr>
        <w:drawing>
          <wp:anchor distT="0" distB="0" distL="114300" distR="114300" simplePos="0" relativeHeight="251660288" behindDoc="0" locked="0" layoutInCell="1" allowOverlap="1" wp14:anchorId="37A0E4DA" wp14:editId="32785524">
            <wp:simplePos x="0" y="0"/>
            <wp:positionH relativeFrom="column">
              <wp:posOffset>19685</wp:posOffset>
            </wp:positionH>
            <wp:positionV relativeFrom="paragraph">
              <wp:posOffset>1132840</wp:posOffset>
            </wp:positionV>
            <wp:extent cx="5196205" cy="3067685"/>
            <wp:effectExtent l="4445" t="4445" r="11430" b="6350"/>
            <wp:wrapTopAndBottom/>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Pr>
          <w:rFonts w:ascii="仿宋_GB2312" w:eastAsia="仿宋_GB2312" w:hAnsi="仿宋_GB2312" w:cs="仿宋_GB2312" w:hint="eastAsia"/>
          <w:sz w:val="32"/>
          <w:szCs w:val="32"/>
        </w:rPr>
        <w:t>法官法警服装费项目法官法警服装费项目绩效评价分级设计项目决策、过程、产出、效益、满意度五个一级指标，一级指标具体得分情况见下表：</w:t>
      </w:r>
    </w:p>
    <w:p w14:paraId="7B700BBD" w14:textId="77777777" w:rsidR="005114BD" w:rsidRDefault="00000000">
      <w:pPr>
        <w:pStyle w:val="a0"/>
        <w:overflowPunct w:val="0"/>
        <w:spacing w:line="560" w:lineRule="exact"/>
        <w:ind w:firstLineChars="200" w:firstLine="643"/>
        <w:outlineLvl w:val="1"/>
        <w:rPr>
          <w:rFonts w:ascii="楷体" w:eastAsia="楷体" w:hAnsi="楷体" w:cs="楷体"/>
          <w:b/>
          <w:bCs/>
        </w:rPr>
      </w:pPr>
      <w:bookmarkStart w:id="134" w:name="_Toc23689"/>
      <w:bookmarkStart w:id="135" w:name="_Toc4517"/>
      <w:bookmarkStart w:id="136" w:name="_Toc30072"/>
      <w:r>
        <w:rPr>
          <w:rFonts w:ascii="楷体" w:eastAsia="楷体" w:hAnsi="楷体" w:cs="楷体" w:hint="eastAsia"/>
          <w:b/>
          <w:bCs/>
        </w:rPr>
        <w:t>（一）项目决策情况</w:t>
      </w:r>
      <w:bookmarkEnd w:id="134"/>
      <w:bookmarkEnd w:id="135"/>
      <w:bookmarkEnd w:id="136"/>
    </w:p>
    <w:p w14:paraId="147F56D0"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决策指标包括项目立项、绩效目标、资金投入三个二级指标，项目立项指标包括立项依据充分性、立项程序规范性两个三级指标，绩效目标指标包括绩效目标合理性、绩效指标明确性两个三级指标，资金投入指标包括预算编制科学性、资金分配合理性两个三级指标。指标分值12分，评价得分12分，得分率100%。</w:t>
      </w:r>
    </w:p>
    <w:p w14:paraId="7432147E" w14:textId="77777777" w:rsidR="005114BD" w:rsidRDefault="00000000">
      <w:pPr>
        <w:pStyle w:val="a9"/>
        <w:overflowPunct w:val="0"/>
        <w:spacing w:line="560" w:lineRule="exact"/>
        <w:ind w:firstLineChars="0" w:firstLine="0"/>
        <w:jc w:val="center"/>
        <w:rPr>
          <w:rFonts w:asciiTheme="minorEastAsia" w:hAnsiTheme="minorEastAsia" w:cs="仿宋"/>
          <w:sz w:val="32"/>
          <w:szCs w:val="32"/>
        </w:rPr>
      </w:pPr>
      <w:r>
        <w:rPr>
          <w:rFonts w:asciiTheme="minorEastAsia" w:hAnsiTheme="minorEastAsia" w:cs="黑体" w:hint="eastAsia"/>
          <w:bCs/>
          <w:sz w:val="28"/>
          <w:szCs w:val="24"/>
        </w:rPr>
        <w:t>决策指标二级指标得分情况表</w:t>
      </w:r>
    </w:p>
    <w:tbl>
      <w:tblPr>
        <w:tblW w:w="4998" w:type="pct"/>
        <w:tblBorders>
          <w:top w:val="single" w:sz="12" w:space="0" w:color="auto"/>
          <w:bottom w:val="single" w:sz="12" w:space="0" w:color="auto"/>
          <w:insideH w:val="dotted" w:sz="4" w:space="0" w:color="auto"/>
          <w:insideV w:val="dotted" w:sz="4" w:space="0" w:color="auto"/>
        </w:tblBorders>
        <w:tblLook w:val="04A0" w:firstRow="1" w:lastRow="0" w:firstColumn="1" w:lastColumn="0" w:noHBand="0" w:noVBand="1"/>
      </w:tblPr>
      <w:tblGrid>
        <w:gridCol w:w="2840"/>
        <w:gridCol w:w="1804"/>
        <w:gridCol w:w="1602"/>
        <w:gridCol w:w="2273"/>
      </w:tblGrid>
      <w:tr w:rsidR="005114BD" w14:paraId="465663EE" w14:textId="77777777">
        <w:trPr>
          <w:trHeight w:val="397"/>
          <w:tblHeader/>
        </w:trPr>
        <w:tc>
          <w:tcPr>
            <w:tcW w:w="1666" w:type="pct"/>
            <w:shd w:val="clear" w:color="auto" w:fill="BDD6EE" w:themeFill="accent1" w:themeFillTint="66"/>
            <w:vAlign w:val="center"/>
          </w:tcPr>
          <w:p w14:paraId="4049290C" w14:textId="77777777" w:rsidR="005114BD" w:rsidRDefault="00000000">
            <w:pPr>
              <w:overflowPunct w:val="0"/>
              <w:jc w:val="center"/>
              <w:textAlignment w:val="center"/>
              <w:rPr>
                <w:rFonts w:ascii="宋体" w:eastAsia="宋体" w:hAnsi="宋体" w:cs="宋体"/>
                <w:b/>
                <w:color w:val="000000"/>
                <w:kern w:val="0"/>
                <w:sz w:val="22"/>
                <w:lang w:bidi="ar"/>
              </w:rPr>
            </w:pPr>
            <w:r>
              <w:rPr>
                <w:rFonts w:ascii="宋体" w:eastAsia="宋体" w:hAnsi="宋体" w:cs="宋体" w:hint="eastAsia"/>
                <w:b/>
                <w:color w:val="000000"/>
                <w:kern w:val="0"/>
                <w:sz w:val="22"/>
                <w:lang w:bidi="ar"/>
              </w:rPr>
              <w:t>二级指标</w:t>
            </w:r>
          </w:p>
        </w:tc>
        <w:tc>
          <w:tcPr>
            <w:tcW w:w="1059" w:type="pct"/>
            <w:shd w:val="clear" w:color="auto" w:fill="BDD6EE" w:themeFill="accent1" w:themeFillTint="66"/>
            <w:noWrap/>
            <w:vAlign w:val="center"/>
          </w:tcPr>
          <w:p w14:paraId="51B89430" w14:textId="77777777" w:rsidR="005114BD" w:rsidRDefault="00000000">
            <w:pPr>
              <w:overflowPunct w:val="0"/>
              <w:jc w:val="center"/>
              <w:textAlignment w:val="center"/>
              <w:rPr>
                <w:rFonts w:ascii="宋体" w:eastAsia="宋体" w:hAnsi="宋体" w:cs="宋体"/>
                <w:b/>
                <w:color w:val="000000"/>
                <w:kern w:val="0"/>
                <w:sz w:val="22"/>
                <w:lang w:bidi="ar"/>
              </w:rPr>
            </w:pPr>
            <w:r>
              <w:rPr>
                <w:rFonts w:ascii="宋体" w:eastAsia="宋体" w:hAnsi="宋体" w:cs="宋体" w:hint="eastAsia"/>
                <w:b/>
                <w:color w:val="000000"/>
                <w:kern w:val="0"/>
                <w:sz w:val="22"/>
                <w:lang w:bidi="ar"/>
              </w:rPr>
              <w:t>分值</w:t>
            </w:r>
          </w:p>
        </w:tc>
        <w:tc>
          <w:tcPr>
            <w:tcW w:w="940" w:type="pct"/>
            <w:shd w:val="clear" w:color="auto" w:fill="BDD6EE" w:themeFill="accent1" w:themeFillTint="66"/>
            <w:noWrap/>
            <w:vAlign w:val="center"/>
          </w:tcPr>
          <w:p w14:paraId="3119E5AE" w14:textId="77777777" w:rsidR="005114BD" w:rsidRDefault="00000000">
            <w:pPr>
              <w:overflowPunct w:val="0"/>
              <w:jc w:val="center"/>
              <w:textAlignment w:val="center"/>
              <w:rPr>
                <w:rFonts w:ascii="宋体" w:eastAsia="宋体" w:hAnsi="宋体" w:cs="宋体"/>
                <w:b/>
                <w:color w:val="000000"/>
                <w:kern w:val="0"/>
                <w:sz w:val="22"/>
                <w:lang w:bidi="ar"/>
              </w:rPr>
            </w:pPr>
            <w:r>
              <w:rPr>
                <w:rFonts w:ascii="宋体" w:eastAsia="宋体" w:hAnsi="宋体" w:cs="宋体" w:hint="eastAsia"/>
                <w:b/>
                <w:color w:val="000000"/>
                <w:kern w:val="0"/>
                <w:sz w:val="22"/>
                <w:lang w:bidi="ar"/>
              </w:rPr>
              <w:t>得分</w:t>
            </w:r>
          </w:p>
        </w:tc>
        <w:tc>
          <w:tcPr>
            <w:tcW w:w="1333" w:type="pct"/>
            <w:shd w:val="clear" w:color="auto" w:fill="BDD6EE" w:themeFill="accent1" w:themeFillTint="66"/>
            <w:noWrap/>
            <w:vAlign w:val="center"/>
          </w:tcPr>
          <w:p w14:paraId="498D21CC" w14:textId="77777777" w:rsidR="005114BD" w:rsidRDefault="00000000">
            <w:pPr>
              <w:overflowPunct w:val="0"/>
              <w:jc w:val="center"/>
              <w:textAlignment w:val="center"/>
              <w:rPr>
                <w:rFonts w:ascii="宋体" w:eastAsia="宋体" w:hAnsi="宋体" w:cs="宋体"/>
                <w:b/>
                <w:color w:val="000000"/>
                <w:kern w:val="0"/>
                <w:sz w:val="22"/>
                <w:lang w:bidi="ar"/>
              </w:rPr>
            </w:pPr>
            <w:r>
              <w:rPr>
                <w:rFonts w:ascii="宋体" w:eastAsia="宋体" w:hAnsi="宋体" w:cs="宋体" w:hint="eastAsia"/>
                <w:b/>
                <w:color w:val="000000"/>
                <w:kern w:val="0"/>
                <w:sz w:val="22"/>
                <w:lang w:bidi="ar"/>
              </w:rPr>
              <w:t>得分率</w:t>
            </w:r>
          </w:p>
        </w:tc>
      </w:tr>
      <w:tr w:rsidR="005114BD" w14:paraId="6260E304" w14:textId="77777777">
        <w:trPr>
          <w:trHeight w:val="397"/>
        </w:trPr>
        <w:tc>
          <w:tcPr>
            <w:tcW w:w="1666" w:type="pct"/>
            <w:shd w:val="clear" w:color="auto" w:fill="auto"/>
            <w:vAlign w:val="center"/>
          </w:tcPr>
          <w:p w14:paraId="7B446C9C" w14:textId="77777777" w:rsidR="005114BD" w:rsidRDefault="00000000">
            <w:pPr>
              <w:overflowPunct w:val="0"/>
              <w:jc w:val="left"/>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项目立项</w:t>
            </w:r>
          </w:p>
        </w:tc>
        <w:tc>
          <w:tcPr>
            <w:tcW w:w="1059" w:type="pct"/>
            <w:shd w:val="clear" w:color="auto" w:fill="auto"/>
            <w:noWrap/>
            <w:vAlign w:val="center"/>
          </w:tcPr>
          <w:p w14:paraId="0B07A3FF"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4</w:t>
            </w:r>
          </w:p>
        </w:tc>
        <w:tc>
          <w:tcPr>
            <w:tcW w:w="940" w:type="pct"/>
            <w:shd w:val="clear" w:color="auto" w:fill="auto"/>
            <w:noWrap/>
            <w:vAlign w:val="center"/>
          </w:tcPr>
          <w:p w14:paraId="3F2B22E9"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4</w:t>
            </w:r>
          </w:p>
        </w:tc>
        <w:tc>
          <w:tcPr>
            <w:tcW w:w="1333" w:type="pct"/>
            <w:shd w:val="clear" w:color="auto" w:fill="auto"/>
            <w:noWrap/>
            <w:vAlign w:val="center"/>
          </w:tcPr>
          <w:p w14:paraId="74E7241A"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100%</w:t>
            </w:r>
          </w:p>
        </w:tc>
      </w:tr>
      <w:tr w:rsidR="005114BD" w14:paraId="1B4AE550" w14:textId="77777777">
        <w:trPr>
          <w:trHeight w:val="397"/>
        </w:trPr>
        <w:tc>
          <w:tcPr>
            <w:tcW w:w="1666" w:type="pct"/>
            <w:shd w:val="clear" w:color="auto" w:fill="auto"/>
            <w:vAlign w:val="center"/>
          </w:tcPr>
          <w:p w14:paraId="39F20E1C" w14:textId="77777777" w:rsidR="005114BD" w:rsidRDefault="00000000">
            <w:pPr>
              <w:overflowPunct w:val="0"/>
              <w:jc w:val="left"/>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绩效目标</w:t>
            </w:r>
          </w:p>
        </w:tc>
        <w:tc>
          <w:tcPr>
            <w:tcW w:w="1059" w:type="pct"/>
            <w:shd w:val="clear" w:color="auto" w:fill="auto"/>
            <w:noWrap/>
            <w:vAlign w:val="center"/>
          </w:tcPr>
          <w:p w14:paraId="1614131A"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4</w:t>
            </w:r>
          </w:p>
        </w:tc>
        <w:tc>
          <w:tcPr>
            <w:tcW w:w="940" w:type="pct"/>
            <w:shd w:val="clear" w:color="auto" w:fill="auto"/>
            <w:noWrap/>
            <w:vAlign w:val="center"/>
          </w:tcPr>
          <w:p w14:paraId="1B2D9880"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4</w:t>
            </w:r>
          </w:p>
        </w:tc>
        <w:tc>
          <w:tcPr>
            <w:tcW w:w="1333" w:type="pct"/>
            <w:shd w:val="clear" w:color="auto" w:fill="auto"/>
            <w:noWrap/>
            <w:vAlign w:val="center"/>
          </w:tcPr>
          <w:p w14:paraId="3F4027FD"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100%</w:t>
            </w:r>
          </w:p>
        </w:tc>
      </w:tr>
      <w:tr w:rsidR="005114BD" w14:paraId="0D3B0E8C" w14:textId="77777777">
        <w:trPr>
          <w:trHeight w:val="397"/>
        </w:trPr>
        <w:tc>
          <w:tcPr>
            <w:tcW w:w="1666" w:type="pct"/>
            <w:shd w:val="clear" w:color="auto" w:fill="auto"/>
            <w:vAlign w:val="center"/>
          </w:tcPr>
          <w:p w14:paraId="234BDDB8" w14:textId="77777777" w:rsidR="005114BD" w:rsidRDefault="00000000">
            <w:pPr>
              <w:overflowPunct w:val="0"/>
              <w:jc w:val="left"/>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lastRenderedPageBreak/>
              <w:t>资金投入</w:t>
            </w:r>
          </w:p>
        </w:tc>
        <w:tc>
          <w:tcPr>
            <w:tcW w:w="1059" w:type="pct"/>
            <w:shd w:val="clear" w:color="auto" w:fill="auto"/>
            <w:noWrap/>
            <w:vAlign w:val="center"/>
          </w:tcPr>
          <w:p w14:paraId="3085A367"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4</w:t>
            </w:r>
          </w:p>
        </w:tc>
        <w:tc>
          <w:tcPr>
            <w:tcW w:w="940" w:type="pct"/>
            <w:shd w:val="clear" w:color="auto" w:fill="auto"/>
            <w:noWrap/>
            <w:vAlign w:val="center"/>
          </w:tcPr>
          <w:p w14:paraId="11DA6BCE"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4</w:t>
            </w:r>
          </w:p>
        </w:tc>
        <w:tc>
          <w:tcPr>
            <w:tcW w:w="1333" w:type="pct"/>
            <w:shd w:val="clear" w:color="auto" w:fill="auto"/>
            <w:noWrap/>
            <w:vAlign w:val="center"/>
          </w:tcPr>
          <w:p w14:paraId="036678F5"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100%</w:t>
            </w:r>
          </w:p>
        </w:tc>
      </w:tr>
      <w:tr w:rsidR="005114BD" w14:paraId="65B9A8D0" w14:textId="77777777">
        <w:trPr>
          <w:trHeight w:val="397"/>
        </w:trPr>
        <w:tc>
          <w:tcPr>
            <w:tcW w:w="1666" w:type="pct"/>
            <w:shd w:val="clear" w:color="auto" w:fill="BDD6EE" w:themeFill="accent1" w:themeFillTint="66"/>
            <w:vAlign w:val="center"/>
          </w:tcPr>
          <w:p w14:paraId="2DA9C589" w14:textId="77777777" w:rsidR="005114BD" w:rsidRDefault="00000000">
            <w:pPr>
              <w:overflowPunct w:val="0"/>
              <w:jc w:val="center"/>
              <w:textAlignment w:val="center"/>
              <w:rPr>
                <w:rFonts w:ascii="宋体" w:eastAsia="宋体" w:hAnsi="宋体" w:cs="宋体"/>
                <w:b/>
                <w:bCs/>
                <w:color w:val="000000"/>
                <w:kern w:val="0"/>
                <w:sz w:val="22"/>
                <w:lang w:bidi="ar"/>
              </w:rPr>
            </w:pPr>
            <w:r>
              <w:rPr>
                <w:rFonts w:ascii="宋体" w:eastAsia="宋体" w:hAnsi="宋体" w:cs="宋体" w:hint="eastAsia"/>
                <w:b/>
                <w:bCs/>
                <w:color w:val="000000"/>
                <w:kern w:val="0"/>
                <w:sz w:val="22"/>
                <w:lang w:bidi="ar"/>
              </w:rPr>
              <w:t>合计</w:t>
            </w:r>
          </w:p>
        </w:tc>
        <w:tc>
          <w:tcPr>
            <w:tcW w:w="1059" w:type="pct"/>
            <w:shd w:val="clear" w:color="auto" w:fill="BDD6EE" w:themeFill="accent1" w:themeFillTint="66"/>
            <w:vAlign w:val="center"/>
          </w:tcPr>
          <w:p w14:paraId="650BE6D8" w14:textId="77777777" w:rsidR="005114BD" w:rsidRDefault="00000000">
            <w:pPr>
              <w:overflowPunct w:val="0"/>
              <w:jc w:val="center"/>
              <w:textAlignment w:val="center"/>
              <w:rPr>
                <w:rFonts w:ascii="宋体" w:eastAsia="宋体" w:hAnsi="宋体" w:cs="宋体"/>
                <w:b/>
                <w:bCs/>
                <w:color w:val="000000"/>
                <w:kern w:val="0"/>
                <w:sz w:val="22"/>
                <w:lang w:bidi="ar"/>
              </w:rPr>
            </w:pPr>
            <w:r>
              <w:rPr>
                <w:rFonts w:ascii="宋体" w:eastAsia="宋体" w:hAnsi="宋体" w:cs="宋体" w:hint="eastAsia"/>
                <w:b/>
                <w:bCs/>
                <w:color w:val="000000"/>
                <w:kern w:val="0"/>
                <w:sz w:val="22"/>
                <w:lang w:bidi="ar"/>
              </w:rPr>
              <w:t>12</w:t>
            </w:r>
          </w:p>
        </w:tc>
        <w:tc>
          <w:tcPr>
            <w:tcW w:w="940" w:type="pct"/>
            <w:shd w:val="clear" w:color="auto" w:fill="BDD6EE" w:themeFill="accent1" w:themeFillTint="66"/>
            <w:vAlign w:val="center"/>
          </w:tcPr>
          <w:p w14:paraId="14A3D0A7" w14:textId="77777777" w:rsidR="005114BD" w:rsidRDefault="00000000">
            <w:pPr>
              <w:overflowPunct w:val="0"/>
              <w:jc w:val="center"/>
              <w:textAlignment w:val="center"/>
              <w:rPr>
                <w:rFonts w:ascii="宋体" w:eastAsia="宋体" w:hAnsi="宋体" w:cs="宋体"/>
                <w:b/>
                <w:bCs/>
                <w:color w:val="000000"/>
                <w:kern w:val="0"/>
                <w:sz w:val="22"/>
                <w:lang w:bidi="ar"/>
              </w:rPr>
            </w:pPr>
            <w:r>
              <w:rPr>
                <w:rFonts w:ascii="宋体" w:eastAsia="宋体" w:hAnsi="宋体" w:cs="宋体" w:hint="eastAsia"/>
                <w:b/>
                <w:bCs/>
                <w:color w:val="000000"/>
                <w:kern w:val="0"/>
                <w:sz w:val="22"/>
                <w:lang w:bidi="ar"/>
              </w:rPr>
              <w:t>12</w:t>
            </w:r>
          </w:p>
        </w:tc>
        <w:tc>
          <w:tcPr>
            <w:tcW w:w="1333" w:type="pct"/>
            <w:shd w:val="clear" w:color="auto" w:fill="BDD6EE" w:themeFill="accent1" w:themeFillTint="66"/>
            <w:vAlign w:val="center"/>
          </w:tcPr>
          <w:p w14:paraId="6B884486" w14:textId="77777777" w:rsidR="005114BD" w:rsidRDefault="00000000">
            <w:pPr>
              <w:overflowPunct w:val="0"/>
              <w:jc w:val="center"/>
              <w:textAlignment w:val="center"/>
              <w:rPr>
                <w:rFonts w:ascii="宋体" w:eastAsia="宋体" w:hAnsi="宋体" w:cs="宋体"/>
                <w:b/>
                <w:bCs/>
                <w:color w:val="000000"/>
                <w:kern w:val="0"/>
                <w:sz w:val="22"/>
                <w:lang w:bidi="ar"/>
              </w:rPr>
            </w:pPr>
            <w:r>
              <w:rPr>
                <w:rFonts w:ascii="宋体" w:eastAsia="宋体" w:hAnsi="宋体" w:cs="宋体" w:hint="eastAsia"/>
                <w:b/>
                <w:bCs/>
                <w:color w:val="000000"/>
                <w:kern w:val="0"/>
                <w:sz w:val="22"/>
                <w:lang w:bidi="ar"/>
              </w:rPr>
              <w:t>100%</w:t>
            </w:r>
          </w:p>
        </w:tc>
      </w:tr>
    </w:tbl>
    <w:p w14:paraId="1E8E0F34" w14:textId="77777777" w:rsidR="005114BD" w:rsidRDefault="00000000">
      <w:pPr>
        <w:pStyle w:val="a9"/>
        <w:overflowPunct w:val="0"/>
        <w:spacing w:line="560" w:lineRule="exact"/>
        <w:ind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1.项目立项</w:t>
      </w:r>
    </w:p>
    <w:p w14:paraId="4AE9F6FC"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法官法警服装费项目严格按照预算绩效制度管理流程履行了项目立项手续，项目立项依据充分、立项程序规范，立项工作达到预期目标。</w:t>
      </w:r>
    </w:p>
    <w:p w14:paraId="0CB50B20"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（1）立项依据充分性</w:t>
      </w:r>
    </w:p>
    <w:p w14:paraId="18787B7B"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立项依据充分性指标分值2分，评价得分为2分。该项目根据《最高人民法院关于印发〈人民法院法官袍穿着规定〉的通知》（法发〔2002〕3号）、《最高人民法院关于印发〈人民法院司法警察警用装备配备标准〉的通知》（法发〔2006〕8号）、《最高人民法院 财政部关于调整人民法院审判服采购指导价格的通知》（法发〔2013〕171号）等政策依据设立，项目立项依据充分，立项符合法规政策，属于专项资金支持范围。</w:t>
      </w:r>
    </w:p>
    <w:p w14:paraId="6125E1A4"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（2）立项程序规范性</w:t>
      </w:r>
    </w:p>
    <w:p w14:paraId="054E471E"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立项程序规范性指标分值2分，评价得分2分。该项目根据《全省法院系统项目预算资金申报使用管理规程（试行）》（甘高法〔2018〕269号）申报并通过省财政厅、省法院批复设立，项目事前已经过必要的集体决策并按照规定的程序申请设立，审批文件、材料符合相关要求。评价认为，项目立项程序规范，预算、审批材料齐全。</w:t>
      </w:r>
    </w:p>
    <w:p w14:paraId="270B0B03" w14:textId="77777777" w:rsidR="005114BD" w:rsidRDefault="00000000">
      <w:pPr>
        <w:pStyle w:val="a9"/>
        <w:overflowPunct w:val="0"/>
        <w:spacing w:line="560" w:lineRule="exact"/>
        <w:ind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2.绩效目标</w:t>
      </w:r>
    </w:p>
    <w:p w14:paraId="6DB24602"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（1）绩效目标合理性</w:t>
      </w:r>
    </w:p>
    <w:p w14:paraId="6B34A559"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绩效目标合理性指标分值2分，评价得分2分。项目严格按照省财政厅《甘肃省省级预算绩效目标管理办法》要求，科学规范设置了绩效目标和评价指标，年度自评按照年初设定的绩效目标进行评价，自评程序较为规范。</w:t>
      </w:r>
    </w:p>
    <w:p w14:paraId="5DB83374"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（2）绩效指标明确性</w:t>
      </w:r>
    </w:p>
    <w:p w14:paraId="7E9AC72C"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绩效指标明确性指标分值2分，评价得分2分。</w:t>
      </w:r>
      <w:r>
        <w:rPr>
          <w:rFonts w:ascii="仿宋_GB2312" w:eastAsia="仿宋_GB2312" w:hAnsi="仿宋_GB2312" w:cs="仿宋_GB2312"/>
          <w:sz w:val="32"/>
          <w:szCs w:val="32"/>
        </w:rPr>
        <w:t>经核查省法院</w:t>
      </w:r>
      <w:r>
        <w:rPr>
          <w:rFonts w:ascii="仿宋_GB2312" w:eastAsia="仿宋_GB2312" w:hAnsi="仿宋_GB2312" w:cs="仿宋_GB2312" w:hint="eastAsia"/>
          <w:sz w:val="32"/>
          <w:szCs w:val="32"/>
        </w:rPr>
        <w:t>年初制定的</w:t>
      </w:r>
      <w:r>
        <w:rPr>
          <w:rFonts w:ascii="仿宋_GB2312" w:eastAsia="仿宋_GB2312" w:hAnsi="仿宋_GB2312" w:cs="仿宋_GB2312"/>
          <w:sz w:val="32"/>
          <w:szCs w:val="32"/>
        </w:rPr>
        <w:t>《202</w:t>
      </w:r>
      <w:r>
        <w:rPr>
          <w:rFonts w:ascii="仿宋_GB2312" w:eastAsia="仿宋_GB2312" w:hAnsi="仿宋_GB2312" w:cs="仿宋_GB2312" w:hint="eastAsia"/>
          <w:sz w:val="32"/>
          <w:szCs w:val="32"/>
        </w:rPr>
        <w:t>2</w:t>
      </w:r>
      <w:r>
        <w:rPr>
          <w:rFonts w:ascii="仿宋_GB2312" w:eastAsia="仿宋_GB2312" w:hAnsi="仿宋_GB2312" w:cs="仿宋_GB2312"/>
          <w:sz w:val="32"/>
          <w:szCs w:val="32"/>
        </w:rPr>
        <w:t>年度省级部门</w:t>
      </w:r>
      <w:r>
        <w:rPr>
          <w:rFonts w:ascii="仿宋_GB2312" w:eastAsia="仿宋_GB2312" w:hAnsi="仿宋_GB2312" w:cs="仿宋_GB2312" w:hint="eastAsia"/>
          <w:sz w:val="32"/>
          <w:szCs w:val="32"/>
        </w:rPr>
        <w:t>法官法警服装费</w:t>
      </w:r>
      <w:r>
        <w:rPr>
          <w:rFonts w:ascii="仿宋_GB2312" w:eastAsia="仿宋_GB2312" w:hAnsi="仿宋_GB2312" w:cs="仿宋_GB2312"/>
          <w:sz w:val="32"/>
          <w:szCs w:val="32"/>
        </w:rPr>
        <w:t>项目绩效目标表》，设置的绩效指标能够将项目绩效目标细化分解为具体的绩效指标，指标目标值清晰、可衡量</w:t>
      </w:r>
      <w:r>
        <w:rPr>
          <w:rFonts w:ascii="仿宋_GB2312" w:eastAsia="仿宋_GB2312" w:hAnsi="仿宋_GB2312" w:cs="仿宋_GB2312" w:hint="eastAsia"/>
          <w:sz w:val="32"/>
          <w:szCs w:val="32"/>
        </w:rPr>
        <w:t>；与项目年度计划相对应；与预算确定的项目投资额或资金量相匹配。</w:t>
      </w:r>
    </w:p>
    <w:p w14:paraId="12D7E19E" w14:textId="77777777" w:rsidR="005114BD" w:rsidRDefault="00000000">
      <w:pPr>
        <w:pStyle w:val="a9"/>
        <w:overflowPunct w:val="0"/>
        <w:spacing w:line="560" w:lineRule="exact"/>
        <w:ind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3.资金投入</w:t>
      </w:r>
    </w:p>
    <w:p w14:paraId="7EF71CF9"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项目资金投入方向符合政策规定，按照年度预算合理分配。</w:t>
      </w:r>
    </w:p>
    <w:p w14:paraId="691F6D99"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（1）预算编制科学性</w:t>
      </w:r>
    </w:p>
    <w:p w14:paraId="75BC6B35"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科学性指标分值2分，评价得分2分。项目实施前，省法院严格按照预算管理制度，分析研究并制定项目资金使用计划，项目实施中专项资金严格按照预算执行。评价认为，项目预算编制科学、合理、规范。</w:t>
      </w:r>
    </w:p>
    <w:p w14:paraId="5869CE48"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（2）资金分配合理性</w:t>
      </w:r>
    </w:p>
    <w:p w14:paraId="6E1B8E13"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资金分配合理性指标分值2分，评价得分2分。2022年法官法警服装费项目实际发生额均控制在预算资金853.00万元以内，项目支出均符合项目预算批复或项目规定的用途，不存在无依据支出和虚列支出等情况。评价认为，项目资金分配合理。</w:t>
      </w:r>
    </w:p>
    <w:p w14:paraId="32265AA7" w14:textId="77777777" w:rsidR="005114BD" w:rsidRDefault="00000000">
      <w:pPr>
        <w:pStyle w:val="a0"/>
        <w:overflowPunct w:val="0"/>
        <w:spacing w:line="560" w:lineRule="exact"/>
        <w:ind w:firstLineChars="200" w:firstLine="643"/>
        <w:outlineLvl w:val="1"/>
        <w:rPr>
          <w:rFonts w:ascii="楷体" w:eastAsia="楷体" w:hAnsi="楷体" w:cs="楷体"/>
          <w:b/>
          <w:bCs/>
        </w:rPr>
      </w:pPr>
      <w:bookmarkStart w:id="137" w:name="_Toc9765"/>
      <w:bookmarkStart w:id="138" w:name="_Toc22593"/>
      <w:bookmarkStart w:id="139" w:name="_Toc5353"/>
      <w:r>
        <w:rPr>
          <w:rFonts w:ascii="楷体" w:eastAsia="楷体" w:hAnsi="楷体" w:cs="楷体" w:hint="eastAsia"/>
          <w:b/>
          <w:bCs/>
        </w:rPr>
        <w:lastRenderedPageBreak/>
        <w:t>（二）项目过程情况</w:t>
      </w:r>
      <w:bookmarkEnd w:id="137"/>
      <w:bookmarkEnd w:id="138"/>
      <w:bookmarkEnd w:id="139"/>
    </w:p>
    <w:p w14:paraId="047073F1" w14:textId="77777777" w:rsidR="005114BD" w:rsidRDefault="00000000">
      <w:pPr>
        <w:pStyle w:val="a0"/>
        <w:tabs>
          <w:tab w:val="left" w:pos="0"/>
        </w:tabs>
        <w:overflowPunct w:val="0"/>
        <w:spacing w:line="560" w:lineRule="exact"/>
        <w:ind w:firstLineChars="200" w:firstLine="640"/>
        <w:rPr>
          <w:rFonts w:ascii="仿宋_GB2312" w:hAnsi="仿宋_GB2312" w:cs="仿宋_GB2312"/>
        </w:rPr>
      </w:pPr>
      <w:r>
        <w:rPr>
          <w:rFonts w:ascii="仿宋_GB2312" w:hAnsi="仿宋_GB2312" w:cs="仿宋_GB2312" w:hint="eastAsia"/>
        </w:rPr>
        <w:t>项目过程指标包括资金管理、组织实施两个二级指标。资金管理指标包括资金到位率、预算执行率、资金使用合规性三个三级指标，组织实施指标包括管理制度健全性、制度执行有效性、采购管理规范性、合同管理完备性四个三级指标。指标分值18分，评价得分18分，得分率100%。</w:t>
      </w:r>
    </w:p>
    <w:p w14:paraId="691C8BA9" w14:textId="77777777" w:rsidR="005114BD" w:rsidRDefault="00000000">
      <w:pPr>
        <w:pStyle w:val="a0"/>
        <w:tabs>
          <w:tab w:val="left" w:pos="0"/>
        </w:tabs>
        <w:overflowPunct w:val="0"/>
        <w:spacing w:line="560" w:lineRule="exact"/>
        <w:jc w:val="center"/>
        <w:rPr>
          <w:rFonts w:asciiTheme="minorEastAsia" w:hAnsiTheme="minorEastAsia" w:cs="仿宋"/>
        </w:rPr>
      </w:pPr>
      <w:r>
        <w:rPr>
          <w:rFonts w:asciiTheme="minorEastAsia" w:hAnsiTheme="minorEastAsia" w:cs="黑体" w:hint="eastAsia"/>
          <w:bCs/>
          <w:sz w:val="28"/>
          <w:szCs w:val="24"/>
        </w:rPr>
        <w:t>过程指标二级指标得分情况表</w:t>
      </w:r>
    </w:p>
    <w:tbl>
      <w:tblPr>
        <w:tblW w:w="4998" w:type="pct"/>
        <w:tblBorders>
          <w:top w:val="single" w:sz="12" w:space="0" w:color="auto"/>
          <w:bottom w:val="single" w:sz="12" w:space="0" w:color="auto"/>
          <w:insideH w:val="dotted" w:sz="4" w:space="0" w:color="auto"/>
          <w:insideV w:val="dotted" w:sz="4" w:space="0" w:color="auto"/>
        </w:tblBorders>
        <w:tblLook w:val="04A0" w:firstRow="1" w:lastRow="0" w:firstColumn="1" w:lastColumn="0" w:noHBand="0" w:noVBand="1"/>
      </w:tblPr>
      <w:tblGrid>
        <w:gridCol w:w="2840"/>
        <w:gridCol w:w="1804"/>
        <w:gridCol w:w="1602"/>
        <w:gridCol w:w="2273"/>
      </w:tblGrid>
      <w:tr w:rsidR="005114BD" w14:paraId="1E5597CC" w14:textId="77777777">
        <w:trPr>
          <w:trHeight w:val="397"/>
          <w:tblHeader/>
        </w:trPr>
        <w:tc>
          <w:tcPr>
            <w:tcW w:w="1666" w:type="pct"/>
            <w:shd w:val="clear" w:color="auto" w:fill="BDD6EE" w:themeFill="accent1" w:themeFillTint="66"/>
            <w:vAlign w:val="center"/>
          </w:tcPr>
          <w:p w14:paraId="0726CB8F" w14:textId="77777777" w:rsidR="005114BD" w:rsidRDefault="00000000">
            <w:pPr>
              <w:overflowPunct w:val="0"/>
              <w:jc w:val="center"/>
              <w:textAlignment w:val="center"/>
              <w:rPr>
                <w:rFonts w:ascii="宋体" w:eastAsia="宋体" w:hAnsi="宋体" w:cs="宋体"/>
                <w:b/>
                <w:color w:val="000000"/>
                <w:kern w:val="0"/>
                <w:sz w:val="22"/>
                <w:lang w:bidi="ar"/>
              </w:rPr>
            </w:pPr>
            <w:r>
              <w:rPr>
                <w:rFonts w:ascii="宋体" w:eastAsia="宋体" w:hAnsi="宋体" w:cs="宋体" w:hint="eastAsia"/>
                <w:b/>
                <w:color w:val="000000"/>
                <w:kern w:val="0"/>
                <w:sz w:val="22"/>
                <w:lang w:bidi="ar"/>
              </w:rPr>
              <w:t>二级指标</w:t>
            </w:r>
          </w:p>
        </w:tc>
        <w:tc>
          <w:tcPr>
            <w:tcW w:w="1059" w:type="pct"/>
            <w:shd w:val="clear" w:color="auto" w:fill="BDD6EE" w:themeFill="accent1" w:themeFillTint="66"/>
            <w:noWrap/>
            <w:vAlign w:val="center"/>
          </w:tcPr>
          <w:p w14:paraId="765BD568" w14:textId="77777777" w:rsidR="005114BD" w:rsidRDefault="00000000">
            <w:pPr>
              <w:overflowPunct w:val="0"/>
              <w:jc w:val="center"/>
              <w:textAlignment w:val="center"/>
              <w:rPr>
                <w:rFonts w:ascii="宋体" w:eastAsia="宋体" w:hAnsi="宋体" w:cs="宋体"/>
                <w:b/>
                <w:color w:val="000000"/>
                <w:kern w:val="0"/>
                <w:sz w:val="22"/>
                <w:lang w:bidi="ar"/>
              </w:rPr>
            </w:pPr>
            <w:r>
              <w:rPr>
                <w:rFonts w:ascii="宋体" w:eastAsia="宋体" w:hAnsi="宋体" w:cs="宋体" w:hint="eastAsia"/>
                <w:b/>
                <w:color w:val="000000"/>
                <w:kern w:val="0"/>
                <w:sz w:val="22"/>
                <w:lang w:bidi="ar"/>
              </w:rPr>
              <w:t>分值</w:t>
            </w:r>
          </w:p>
        </w:tc>
        <w:tc>
          <w:tcPr>
            <w:tcW w:w="940" w:type="pct"/>
            <w:shd w:val="clear" w:color="auto" w:fill="BDD6EE" w:themeFill="accent1" w:themeFillTint="66"/>
            <w:noWrap/>
            <w:vAlign w:val="center"/>
          </w:tcPr>
          <w:p w14:paraId="3C16FA48" w14:textId="77777777" w:rsidR="005114BD" w:rsidRDefault="00000000">
            <w:pPr>
              <w:overflowPunct w:val="0"/>
              <w:jc w:val="center"/>
              <w:textAlignment w:val="center"/>
              <w:rPr>
                <w:rFonts w:ascii="宋体" w:eastAsia="宋体" w:hAnsi="宋体" w:cs="宋体"/>
                <w:b/>
                <w:color w:val="000000"/>
                <w:kern w:val="0"/>
                <w:sz w:val="22"/>
                <w:lang w:bidi="ar"/>
              </w:rPr>
            </w:pPr>
            <w:r>
              <w:rPr>
                <w:rFonts w:ascii="宋体" w:eastAsia="宋体" w:hAnsi="宋体" w:cs="宋体" w:hint="eastAsia"/>
                <w:b/>
                <w:color w:val="000000"/>
                <w:kern w:val="0"/>
                <w:sz w:val="22"/>
                <w:lang w:bidi="ar"/>
              </w:rPr>
              <w:t>得分</w:t>
            </w:r>
          </w:p>
        </w:tc>
        <w:tc>
          <w:tcPr>
            <w:tcW w:w="1333" w:type="pct"/>
            <w:shd w:val="clear" w:color="auto" w:fill="BDD6EE" w:themeFill="accent1" w:themeFillTint="66"/>
            <w:noWrap/>
            <w:vAlign w:val="center"/>
          </w:tcPr>
          <w:p w14:paraId="588C6D9A" w14:textId="77777777" w:rsidR="005114BD" w:rsidRDefault="00000000">
            <w:pPr>
              <w:overflowPunct w:val="0"/>
              <w:jc w:val="center"/>
              <w:textAlignment w:val="center"/>
              <w:rPr>
                <w:rFonts w:ascii="宋体" w:eastAsia="宋体" w:hAnsi="宋体" w:cs="宋体"/>
                <w:b/>
                <w:color w:val="000000"/>
                <w:kern w:val="0"/>
                <w:sz w:val="22"/>
                <w:lang w:bidi="ar"/>
              </w:rPr>
            </w:pPr>
            <w:r>
              <w:rPr>
                <w:rFonts w:ascii="宋体" w:eastAsia="宋体" w:hAnsi="宋体" w:cs="宋体" w:hint="eastAsia"/>
                <w:b/>
                <w:color w:val="000000"/>
                <w:kern w:val="0"/>
                <w:sz w:val="22"/>
                <w:lang w:bidi="ar"/>
              </w:rPr>
              <w:t>得分率</w:t>
            </w:r>
          </w:p>
        </w:tc>
      </w:tr>
      <w:tr w:rsidR="005114BD" w14:paraId="19D0ACDA" w14:textId="77777777">
        <w:trPr>
          <w:trHeight w:val="397"/>
        </w:trPr>
        <w:tc>
          <w:tcPr>
            <w:tcW w:w="1666" w:type="pct"/>
            <w:shd w:val="clear" w:color="auto" w:fill="auto"/>
            <w:vAlign w:val="center"/>
          </w:tcPr>
          <w:p w14:paraId="54AD2155" w14:textId="77777777" w:rsidR="005114BD" w:rsidRDefault="00000000">
            <w:pPr>
              <w:overflowPunct w:val="0"/>
              <w:jc w:val="left"/>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资金管理</w:t>
            </w:r>
          </w:p>
        </w:tc>
        <w:tc>
          <w:tcPr>
            <w:tcW w:w="1059" w:type="pct"/>
            <w:shd w:val="clear" w:color="auto" w:fill="auto"/>
            <w:noWrap/>
            <w:vAlign w:val="center"/>
          </w:tcPr>
          <w:p w14:paraId="10E4AAE0"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10</w:t>
            </w:r>
          </w:p>
        </w:tc>
        <w:tc>
          <w:tcPr>
            <w:tcW w:w="940" w:type="pct"/>
            <w:shd w:val="clear" w:color="auto" w:fill="auto"/>
            <w:noWrap/>
            <w:vAlign w:val="center"/>
          </w:tcPr>
          <w:p w14:paraId="2F7C038E"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10</w:t>
            </w:r>
          </w:p>
        </w:tc>
        <w:tc>
          <w:tcPr>
            <w:tcW w:w="1333" w:type="pct"/>
            <w:shd w:val="clear" w:color="auto" w:fill="auto"/>
            <w:noWrap/>
            <w:vAlign w:val="center"/>
          </w:tcPr>
          <w:p w14:paraId="43A1308F"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100%</w:t>
            </w:r>
          </w:p>
        </w:tc>
      </w:tr>
      <w:tr w:rsidR="005114BD" w14:paraId="63CEB4B6" w14:textId="77777777">
        <w:trPr>
          <w:trHeight w:val="397"/>
        </w:trPr>
        <w:tc>
          <w:tcPr>
            <w:tcW w:w="1666" w:type="pct"/>
            <w:shd w:val="clear" w:color="auto" w:fill="auto"/>
            <w:vAlign w:val="center"/>
          </w:tcPr>
          <w:p w14:paraId="7583E4EF" w14:textId="77777777" w:rsidR="005114BD" w:rsidRDefault="00000000">
            <w:pPr>
              <w:overflowPunct w:val="0"/>
              <w:jc w:val="left"/>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组织实施</w:t>
            </w:r>
          </w:p>
        </w:tc>
        <w:tc>
          <w:tcPr>
            <w:tcW w:w="1059" w:type="pct"/>
            <w:shd w:val="clear" w:color="auto" w:fill="auto"/>
            <w:noWrap/>
            <w:vAlign w:val="center"/>
          </w:tcPr>
          <w:p w14:paraId="5FF29870"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8</w:t>
            </w:r>
          </w:p>
        </w:tc>
        <w:tc>
          <w:tcPr>
            <w:tcW w:w="940" w:type="pct"/>
            <w:shd w:val="clear" w:color="auto" w:fill="auto"/>
            <w:noWrap/>
            <w:vAlign w:val="center"/>
          </w:tcPr>
          <w:p w14:paraId="78CEE503"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8</w:t>
            </w:r>
          </w:p>
        </w:tc>
        <w:tc>
          <w:tcPr>
            <w:tcW w:w="1333" w:type="pct"/>
            <w:shd w:val="clear" w:color="auto" w:fill="auto"/>
            <w:noWrap/>
            <w:vAlign w:val="center"/>
          </w:tcPr>
          <w:p w14:paraId="3434AC9C"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100%</w:t>
            </w:r>
          </w:p>
        </w:tc>
      </w:tr>
      <w:tr w:rsidR="005114BD" w14:paraId="1836DA88" w14:textId="77777777">
        <w:trPr>
          <w:trHeight w:val="397"/>
        </w:trPr>
        <w:tc>
          <w:tcPr>
            <w:tcW w:w="1666" w:type="pct"/>
            <w:shd w:val="clear" w:color="auto" w:fill="BDD6EE" w:themeFill="accent1" w:themeFillTint="66"/>
            <w:vAlign w:val="center"/>
          </w:tcPr>
          <w:p w14:paraId="0BF7945E" w14:textId="77777777" w:rsidR="005114BD" w:rsidRDefault="00000000">
            <w:pPr>
              <w:overflowPunct w:val="0"/>
              <w:jc w:val="center"/>
              <w:textAlignment w:val="center"/>
              <w:rPr>
                <w:rFonts w:ascii="宋体" w:eastAsia="宋体" w:hAnsi="宋体" w:cs="宋体"/>
                <w:b/>
                <w:bCs/>
                <w:color w:val="000000"/>
                <w:kern w:val="0"/>
                <w:sz w:val="22"/>
                <w:lang w:bidi="ar"/>
              </w:rPr>
            </w:pPr>
            <w:r>
              <w:rPr>
                <w:rFonts w:ascii="宋体" w:eastAsia="宋体" w:hAnsi="宋体" w:cs="宋体" w:hint="eastAsia"/>
                <w:b/>
                <w:bCs/>
                <w:color w:val="000000"/>
                <w:kern w:val="0"/>
                <w:sz w:val="22"/>
                <w:lang w:bidi="ar"/>
              </w:rPr>
              <w:t>合计</w:t>
            </w:r>
          </w:p>
        </w:tc>
        <w:tc>
          <w:tcPr>
            <w:tcW w:w="1059" w:type="pct"/>
            <w:shd w:val="clear" w:color="auto" w:fill="BDD6EE" w:themeFill="accent1" w:themeFillTint="66"/>
            <w:vAlign w:val="center"/>
          </w:tcPr>
          <w:p w14:paraId="3403A35B" w14:textId="77777777" w:rsidR="005114BD" w:rsidRDefault="00000000">
            <w:pPr>
              <w:overflowPunct w:val="0"/>
              <w:jc w:val="center"/>
              <w:textAlignment w:val="center"/>
              <w:rPr>
                <w:rFonts w:ascii="宋体" w:eastAsia="宋体" w:hAnsi="宋体" w:cs="宋体"/>
                <w:b/>
                <w:bCs/>
                <w:color w:val="000000"/>
                <w:kern w:val="0"/>
                <w:sz w:val="22"/>
                <w:lang w:bidi="ar"/>
              </w:rPr>
            </w:pPr>
            <w:r>
              <w:rPr>
                <w:rFonts w:ascii="宋体" w:eastAsia="宋体" w:hAnsi="宋体" w:cs="宋体" w:hint="eastAsia"/>
                <w:b/>
                <w:bCs/>
                <w:color w:val="000000"/>
                <w:kern w:val="0"/>
                <w:sz w:val="22"/>
                <w:lang w:bidi="ar"/>
              </w:rPr>
              <w:t>18</w:t>
            </w:r>
          </w:p>
        </w:tc>
        <w:tc>
          <w:tcPr>
            <w:tcW w:w="940" w:type="pct"/>
            <w:shd w:val="clear" w:color="auto" w:fill="BDD6EE" w:themeFill="accent1" w:themeFillTint="66"/>
            <w:vAlign w:val="center"/>
          </w:tcPr>
          <w:p w14:paraId="0A9E9F4C" w14:textId="77777777" w:rsidR="005114BD" w:rsidRDefault="00000000">
            <w:pPr>
              <w:overflowPunct w:val="0"/>
              <w:jc w:val="center"/>
              <w:textAlignment w:val="center"/>
              <w:rPr>
                <w:rFonts w:ascii="宋体" w:eastAsia="宋体" w:hAnsi="宋体" w:cs="宋体"/>
                <w:b/>
                <w:bCs/>
                <w:color w:val="000000"/>
                <w:kern w:val="0"/>
                <w:sz w:val="22"/>
                <w:lang w:bidi="ar"/>
              </w:rPr>
            </w:pPr>
            <w:r>
              <w:rPr>
                <w:rFonts w:ascii="宋体" w:eastAsia="宋体" w:hAnsi="宋体" w:cs="宋体" w:hint="eastAsia"/>
                <w:b/>
                <w:bCs/>
                <w:color w:val="000000"/>
                <w:kern w:val="0"/>
                <w:sz w:val="22"/>
                <w:lang w:bidi="ar"/>
              </w:rPr>
              <w:t>18</w:t>
            </w:r>
          </w:p>
        </w:tc>
        <w:tc>
          <w:tcPr>
            <w:tcW w:w="1333" w:type="pct"/>
            <w:shd w:val="clear" w:color="auto" w:fill="BDD6EE" w:themeFill="accent1" w:themeFillTint="66"/>
            <w:vAlign w:val="center"/>
          </w:tcPr>
          <w:p w14:paraId="0251D3CC" w14:textId="77777777" w:rsidR="005114BD" w:rsidRDefault="00000000">
            <w:pPr>
              <w:overflowPunct w:val="0"/>
              <w:jc w:val="center"/>
              <w:textAlignment w:val="center"/>
              <w:rPr>
                <w:rFonts w:ascii="宋体" w:eastAsia="宋体" w:hAnsi="宋体" w:cs="宋体"/>
                <w:b/>
                <w:bCs/>
                <w:color w:val="000000"/>
                <w:kern w:val="0"/>
                <w:sz w:val="22"/>
                <w:lang w:bidi="ar"/>
              </w:rPr>
            </w:pPr>
            <w:r>
              <w:rPr>
                <w:rFonts w:ascii="宋体" w:eastAsia="宋体" w:hAnsi="宋体" w:cs="宋体" w:hint="eastAsia"/>
                <w:b/>
                <w:bCs/>
                <w:color w:val="000000"/>
                <w:kern w:val="0"/>
                <w:sz w:val="22"/>
                <w:lang w:bidi="ar"/>
              </w:rPr>
              <w:t>100%</w:t>
            </w:r>
          </w:p>
        </w:tc>
      </w:tr>
    </w:tbl>
    <w:p w14:paraId="0B6A4756" w14:textId="77777777" w:rsidR="005114BD" w:rsidRDefault="00000000">
      <w:pPr>
        <w:pStyle w:val="a0"/>
        <w:tabs>
          <w:tab w:val="left" w:pos="0"/>
        </w:tabs>
        <w:overflowPunct w:val="0"/>
        <w:spacing w:line="560" w:lineRule="exact"/>
        <w:ind w:firstLineChars="200" w:firstLine="643"/>
        <w:outlineLvl w:val="2"/>
        <w:rPr>
          <w:rFonts w:ascii="仿宋_GB2312" w:hAnsi="仿宋_GB2312" w:cs="仿宋_GB2312"/>
          <w:b/>
          <w:bCs/>
        </w:rPr>
      </w:pPr>
      <w:r>
        <w:rPr>
          <w:rFonts w:ascii="仿宋_GB2312" w:hAnsi="仿宋_GB2312" w:cs="仿宋_GB2312" w:hint="eastAsia"/>
          <w:b/>
          <w:bCs/>
        </w:rPr>
        <w:t>1.资金管理</w:t>
      </w:r>
    </w:p>
    <w:p w14:paraId="073F7401"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（1）资金到位率</w:t>
      </w:r>
    </w:p>
    <w:p w14:paraId="285201F6"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资金到位率指标分值3分，评价得分3分。法官法警服装费项目资金随2022年部门预算批复一同下达，项目资金及时足额到位，到位率100%。</w:t>
      </w:r>
    </w:p>
    <w:p w14:paraId="6D220BA9"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（2）预算执行率</w:t>
      </w:r>
    </w:p>
    <w:p w14:paraId="4E2655AB"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预算执行率指标分值4分，评价得分4分。法官法警服装费项目全年预算数853.00万元，全年执行数853.00万元，预算执行率100%。</w:t>
      </w:r>
    </w:p>
    <w:p w14:paraId="2FB163F4"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（3）资金使用合规性</w:t>
      </w:r>
    </w:p>
    <w:p w14:paraId="43545185"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资金使用合规性指标分值3分，评价得分3分。评价认为资金的使用符合国家财经法规和财务管理制度以及《甘肃省高级人民法院机关财务经费管理规定》等制度要求，资金支出的审批程序完整，符合会计制度的规定，财务信息真实、</w:t>
      </w:r>
      <w:r>
        <w:rPr>
          <w:rFonts w:ascii="仿宋_GB2312" w:eastAsia="仿宋_GB2312" w:hAnsi="仿宋_GB2312" w:cs="仿宋_GB2312" w:hint="eastAsia"/>
          <w:sz w:val="32"/>
          <w:szCs w:val="32"/>
        </w:rPr>
        <w:lastRenderedPageBreak/>
        <w:t>完整，资金支出、会计核算方面基本规范，年度例行审计未发现违规支付及超标准开支的情况。符合项目预算批复或项目规定的用途，不存在虚列支出情况。</w:t>
      </w:r>
    </w:p>
    <w:p w14:paraId="14C838E8" w14:textId="77777777" w:rsidR="005114BD" w:rsidRDefault="00000000">
      <w:pPr>
        <w:pStyle w:val="a0"/>
        <w:tabs>
          <w:tab w:val="left" w:pos="0"/>
        </w:tabs>
        <w:overflowPunct w:val="0"/>
        <w:spacing w:line="560" w:lineRule="exact"/>
        <w:ind w:firstLineChars="200" w:firstLine="643"/>
        <w:outlineLvl w:val="2"/>
        <w:rPr>
          <w:rFonts w:ascii="仿宋_GB2312" w:hAnsi="仿宋_GB2312" w:cs="仿宋_GB2312"/>
          <w:b/>
          <w:bCs/>
        </w:rPr>
      </w:pPr>
      <w:r>
        <w:rPr>
          <w:rFonts w:ascii="仿宋_GB2312" w:hAnsi="仿宋_GB2312" w:cs="仿宋_GB2312" w:hint="eastAsia"/>
          <w:b/>
          <w:bCs/>
        </w:rPr>
        <w:t>2.组织实施</w:t>
      </w:r>
    </w:p>
    <w:p w14:paraId="603BCABC"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（1）管理制度健全性</w:t>
      </w:r>
    </w:p>
    <w:p w14:paraId="70DD7FD0"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管理制度健全性指标分值2分，评价得分2分。为加强和规范省级预算项目经费管理，提高项目工作质量和资金效益，《甘肃省法院系统财物统管制度汇编》对于法院系统内各项工作的实施提供了强有力的政策制度支撑。评价认为，省法院制定了适用于本项目的财务管理制度及业务管理制度，且符合相关财务及业务制度的规定，制度健全。</w:t>
      </w:r>
    </w:p>
    <w:p w14:paraId="7C7D2F84"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（2）制度执行有效性</w:t>
      </w:r>
    </w:p>
    <w:p w14:paraId="6994DCF4"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制度执行有效性指标分值2分，评价得分2分。为了加强全省法院系统干警服装配置统一规范管理，根据最高人民法院、公安部、财政部有关法院干警统一着装的相关规定，结合法院审判办案、履行职责工作实际，依据《全省法院系统干警服装配发管理规程》，法官法警服装采购严格按照制度管理进行服装采购、配发及管理，本次评价认为，制度执行总体有效。</w:t>
      </w:r>
    </w:p>
    <w:p w14:paraId="0EED5C2D"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（3）采购管理规范性</w:t>
      </w:r>
    </w:p>
    <w:p w14:paraId="42F5F487"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采购管理规范性指标分值2分，评价得分2分。经核查采购合同、采购工作会议记录等资料，省法院采购方式符合甘肃省财政厅、甘肃省高级人民法院、甘肃省人民检察院《关于甘肃省省以下地方法院检察院政府采购活动有关事项的</w:t>
      </w:r>
      <w:r>
        <w:rPr>
          <w:rFonts w:ascii="仿宋_GB2312" w:eastAsia="仿宋_GB2312" w:hAnsi="仿宋_GB2312" w:cs="仿宋_GB2312" w:hint="eastAsia"/>
          <w:sz w:val="32"/>
          <w:szCs w:val="32"/>
        </w:rPr>
        <w:lastRenderedPageBreak/>
        <w:t>通知》（甘财采〔2018〕12号）的要求。</w:t>
      </w:r>
    </w:p>
    <w:p w14:paraId="70B2B223"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（4）合同管理完备性</w:t>
      </w:r>
    </w:p>
    <w:p w14:paraId="1268D36A"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合同管理完备性指标分值2分，评价得分2分。经查验服装及装备采购合同，合同中有明确、清晰、完整的质量标准、付款方式和履约期限，且装备采购工作能够按照合同中的约定执行。</w:t>
      </w:r>
    </w:p>
    <w:p w14:paraId="5A835628" w14:textId="77777777" w:rsidR="005114BD" w:rsidRDefault="00000000">
      <w:pPr>
        <w:pStyle w:val="a0"/>
        <w:overflowPunct w:val="0"/>
        <w:spacing w:line="560" w:lineRule="exact"/>
        <w:ind w:firstLineChars="200" w:firstLine="643"/>
        <w:outlineLvl w:val="1"/>
        <w:rPr>
          <w:rFonts w:ascii="仿宋_GB2312" w:hAnsi="仿宋_GB2312" w:cs="仿宋_GB2312"/>
          <w:b/>
          <w:bCs/>
        </w:rPr>
      </w:pPr>
      <w:bookmarkStart w:id="140" w:name="_Toc3677"/>
      <w:bookmarkStart w:id="141" w:name="_Toc20113"/>
      <w:bookmarkStart w:id="142" w:name="_Toc27402"/>
      <w:r>
        <w:rPr>
          <w:rFonts w:ascii="仿宋_GB2312" w:hAnsi="仿宋_GB2312" w:cs="仿宋_GB2312" w:hint="eastAsia"/>
          <w:b/>
          <w:bCs/>
        </w:rPr>
        <w:t>（三）项目产出情况</w:t>
      </w:r>
      <w:bookmarkEnd w:id="140"/>
      <w:bookmarkEnd w:id="141"/>
      <w:bookmarkEnd w:id="142"/>
    </w:p>
    <w:p w14:paraId="7B8D35C3"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项目产出指标包括产出数量、产出质量、产出时效、产出成本四个二级指标，指标分值40分，评价得分37分，得分率92.5%。</w:t>
      </w:r>
    </w:p>
    <w:p w14:paraId="735475FE" w14:textId="77777777" w:rsidR="005114BD" w:rsidRDefault="00000000">
      <w:pPr>
        <w:pStyle w:val="a9"/>
        <w:overflowPunct w:val="0"/>
        <w:spacing w:line="560" w:lineRule="exact"/>
        <w:ind w:firstLineChars="0" w:firstLine="0"/>
        <w:jc w:val="center"/>
        <w:rPr>
          <w:rFonts w:asciiTheme="minorEastAsia" w:hAnsiTheme="minorEastAsia" w:cs="仿宋"/>
          <w:sz w:val="32"/>
          <w:szCs w:val="32"/>
        </w:rPr>
      </w:pPr>
      <w:r>
        <w:rPr>
          <w:rFonts w:asciiTheme="minorEastAsia" w:hAnsiTheme="minorEastAsia" w:cs="黑体" w:hint="eastAsia"/>
          <w:bCs/>
          <w:sz w:val="28"/>
          <w:szCs w:val="24"/>
        </w:rPr>
        <w:t>产出指标二级指标得分情况表</w:t>
      </w:r>
    </w:p>
    <w:tbl>
      <w:tblPr>
        <w:tblW w:w="4998" w:type="pct"/>
        <w:tblBorders>
          <w:top w:val="single" w:sz="12" w:space="0" w:color="auto"/>
          <w:bottom w:val="single" w:sz="12" w:space="0" w:color="auto"/>
          <w:insideH w:val="dotted" w:sz="4" w:space="0" w:color="auto"/>
          <w:insideV w:val="dotted" w:sz="4" w:space="0" w:color="auto"/>
        </w:tblBorders>
        <w:tblLook w:val="04A0" w:firstRow="1" w:lastRow="0" w:firstColumn="1" w:lastColumn="0" w:noHBand="0" w:noVBand="1"/>
      </w:tblPr>
      <w:tblGrid>
        <w:gridCol w:w="2840"/>
        <w:gridCol w:w="1804"/>
        <w:gridCol w:w="1602"/>
        <w:gridCol w:w="2273"/>
      </w:tblGrid>
      <w:tr w:rsidR="005114BD" w14:paraId="2F060FE3" w14:textId="77777777">
        <w:trPr>
          <w:trHeight w:val="397"/>
        </w:trPr>
        <w:tc>
          <w:tcPr>
            <w:tcW w:w="1666" w:type="pct"/>
            <w:shd w:val="clear" w:color="auto" w:fill="BDD6EE" w:themeFill="accent1" w:themeFillTint="66"/>
            <w:vAlign w:val="center"/>
          </w:tcPr>
          <w:p w14:paraId="0A3F90BB" w14:textId="77777777" w:rsidR="005114BD" w:rsidRDefault="00000000">
            <w:pPr>
              <w:overflowPunct w:val="0"/>
              <w:jc w:val="center"/>
              <w:textAlignment w:val="center"/>
              <w:rPr>
                <w:rFonts w:ascii="宋体" w:eastAsia="宋体" w:hAnsi="宋体" w:cs="宋体"/>
                <w:b/>
                <w:color w:val="000000"/>
                <w:kern w:val="0"/>
                <w:sz w:val="22"/>
                <w:lang w:bidi="ar"/>
              </w:rPr>
            </w:pPr>
            <w:r>
              <w:rPr>
                <w:rFonts w:ascii="宋体" w:eastAsia="宋体" w:hAnsi="宋体" w:cs="宋体" w:hint="eastAsia"/>
                <w:b/>
                <w:color w:val="000000"/>
                <w:kern w:val="0"/>
                <w:sz w:val="22"/>
                <w:lang w:bidi="ar"/>
              </w:rPr>
              <w:t>二级指标</w:t>
            </w:r>
          </w:p>
        </w:tc>
        <w:tc>
          <w:tcPr>
            <w:tcW w:w="1059" w:type="pct"/>
            <w:shd w:val="clear" w:color="auto" w:fill="BDD6EE" w:themeFill="accent1" w:themeFillTint="66"/>
            <w:noWrap/>
            <w:vAlign w:val="center"/>
          </w:tcPr>
          <w:p w14:paraId="43A0085C" w14:textId="77777777" w:rsidR="005114BD" w:rsidRDefault="00000000">
            <w:pPr>
              <w:overflowPunct w:val="0"/>
              <w:jc w:val="center"/>
              <w:textAlignment w:val="center"/>
              <w:rPr>
                <w:rFonts w:ascii="宋体" w:eastAsia="宋体" w:hAnsi="宋体" w:cs="宋体"/>
                <w:b/>
                <w:color w:val="000000"/>
                <w:kern w:val="0"/>
                <w:sz w:val="22"/>
                <w:lang w:bidi="ar"/>
              </w:rPr>
            </w:pPr>
            <w:r>
              <w:rPr>
                <w:rFonts w:ascii="宋体" w:eastAsia="宋体" w:hAnsi="宋体" w:cs="宋体" w:hint="eastAsia"/>
                <w:b/>
                <w:color w:val="000000"/>
                <w:kern w:val="0"/>
                <w:sz w:val="22"/>
                <w:lang w:bidi="ar"/>
              </w:rPr>
              <w:t>分值</w:t>
            </w:r>
          </w:p>
        </w:tc>
        <w:tc>
          <w:tcPr>
            <w:tcW w:w="940" w:type="pct"/>
            <w:shd w:val="clear" w:color="auto" w:fill="BDD6EE" w:themeFill="accent1" w:themeFillTint="66"/>
            <w:noWrap/>
            <w:vAlign w:val="center"/>
          </w:tcPr>
          <w:p w14:paraId="6D6D94A0" w14:textId="77777777" w:rsidR="005114BD" w:rsidRDefault="00000000">
            <w:pPr>
              <w:overflowPunct w:val="0"/>
              <w:jc w:val="center"/>
              <w:textAlignment w:val="center"/>
              <w:rPr>
                <w:rFonts w:ascii="宋体" w:eastAsia="宋体" w:hAnsi="宋体" w:cs="宋体"/>
                <w:b/>
                <w:color w:val="000000"/>
                <w:kern w:val="0"/>
                <w:sz w:val="22"/>
                <w:lang w:bidi="ar"/>
              </w:rPr>
            </w:pPr>
            <w:r>
              <w:rPr>
                <w:rFonts w:ascii="宋体" w:eastAsia="宋体" w:hAnsi="宋体" w:cs="宋体" w:hint="eastAsia"/>
                <w:b/>
                <w:color w:val="000000"/>
                <w:kern w:val="0"/>
                <w:sz w:val="22"/>
                <w:lang w:bidi="ar"/>
              </w:rPr>
              <w:t>得分</w:t>
            </w:r>
          </w:p>
        </w:tc>
        <w:tc>
          <w:tcPr>
            <w:tcW w:w="1333" w:type="pct"/>
            <w:shd w:val="clear" w:color="auto" w:fill="BDD6EE" w:themeFill="accent1" w:themeFillTint="66"/>
            <w:noWrap/>
            <w:vAlign w:val="center"/>
          </w:tcPr>
          <w:p w14:paraId="1FEBAAD9" w14:textId="77777777" w:rsidR="005114BD" w:rsidRDefault="00000000">
            <w:pPr>
              <w:overflowPunct w:val="0"/>
              <w:jc w:val="center"/>
              <w:textAlignment w:val="center"/>
              <w:rPr>
                <w:rFonts w:ascii="宋体" w:eastAsia="宋体" w:hAnsi="宋体" w:cs="宋体"/>
                <w:b/>
                <w:color w:val="000000"/>
                <w:kern w:val="0"/>
                <w:sz w:val="22"/>
                <w:lang w:bidi="ar"/>
              </w:rPr>
            </w:pPr>
            <w:r>
              <w:rPr>
                <w:rFonts w:ascii="宋体" w:eastAsia="宋体" w:hAnsi="宋体" w:cs="宋体" w:hint="eastAsia"/>
                <w:b/>
                <w:color w:val="000000"/>
                <w:kern w:val="0"/>
                <w:sz w:val="22"/>
                <w:lang w:bidi="ar"/>
              </w:rPr>
              <w:t>得分率</w:t>
            </w:r>
          </w:p>
        </w:tc>
      </w:tr>
      <w:tr w:rsidR="005114BD" w14:paraId="6D73F932" w14:textId="77777777">
        <w:trPr>
          <w:trHeight w:val="397"/>
        </w:trPr>
        <w:tc>
          <w:tcPr>
            <w:tcW w:w="1666" w:type="pct"/>
            <w:shd w:val="clear" w:color="auto" w:fill="auto"/>
            <w:vAlign w:val="center"/>
          </w:tcPr>
          <w:p w14:paraId="169C5521" w14:textId="77777777" w:rsidR="005114BD" w:rsidRDefault="00000000">
            <w:pPr>
              <w:overflowPunct w:val="0"/>
              <w:jc w:val="left"/>
              <w:textAlignment w:val="center"/>
            </w:pPr>
            <w:r>
              <w:rPr>
                <w:rFonts w:ascii="宋体" w:eastAsia="宋体" w:hAnsi="宋体" w:cs="宋体" w:hint="eastAsia"/>
                <w:bCs/>
                <w:color w:val="000000"/>
                <w:kern w:val="0"/>
                <w:sz w:val="22"/>
                <w:lang w:bidi="ar"/>
              </w:rPr>
              <w:t>数量指标</w:t>
            </w:r>
          </w:p>
        </w:tc>
        <w:tc>
          <w:tcPr>
            <w:tcW w:w="1059" w:type="pct"/>
            <w:shd w:val="clear" w:color="auto" w:fill="auto"/>
            <w:noWrap/>
            <w:vAlign w:val="center"/>
          </w:tcPr>
          <w:p w14:paraId="067A886A"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10</w:t>
            </w:r>
          </w:p>
        </w:tc>
        <w:tc>
          <w:tcPr>
            <w:tcW w:w="940" w:type="pct"/>
            <w:shd w:val="clear" w:color="auto" w:fill="auto"/>
            <w:noWrap/>
            <w:vAlign w:val="center"/>
          </w:tcPr>
          <w:p w14:paraId="25D0118B"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10</w:t>
            </w:r>
          </w:p>
        </w:tc>
        <w:tc>
          <w:tcPr>
            <w:tcW w:w="1333" w:type="pct"/>
            <w:shd w:val="clear" w:color="auto" w:fill="auto"/>
            <w:noWrap/>
            <w:vAlign w:val="center"/>
          </w:tcPr>
          <w:p w14:paraId="3A3DBC77"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100%</w:t>
            </w:r>
          </w:p>
        </w:tc>
      </w:tr>
      <w:tr w:rsidR="005114BD" w14:paraId="07A86437" w14:textId="77777777">
        <w:trPr>
          <w:trHeight w:val="397"/>
        </w:trPr>
        <w:tc>
          <w:tcPr>
            <w:tcW w:w="1666" w:type="pct"/>
            <w:shd w:val="clear" w:color="auto" w:fill="auto"/>
            <w:vAlign w:val="center"/>
          </w:tcPr>
          <w:p w14:paraId="152BD672" w14:textId="77777777" w:rsidR="005114BD" w:rsidRDefault="00000000">
            <w:pPr>
              <w:overflowPunct w:val="0"/>
              <w:jc w:val="left"/>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质量指标</w:t>
            </w:r>
          </w:p>
        </w:tc>
        <w:tc>
          <w:tcPr>
            <w:tcW w:w="1059" w:type="pct"/>
            <w:shd w:val="clear" w:color="auto" w:fill="auto"/>
            <w:noWrap/>
            <w:vAlign w:val="center"/>
          </w:tcPr>
          <w:p w14:paraId="4DCEA0D1"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10</w:t>
            </w:r>
          </w:p>
        </w:tc>
        <w:tc>
          <w:tcPr>
            <w:tcW w:w="940" w:type="pct"/>
            <w:shd w:val="clear" w:color="auto" w:fill="auto"/>
            <w:noWrap/>
            <w:vAlign w:val="center"/>
          </w:tcPr>
          <w:p w14:paraId="0AFC3DC2"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8</w:t>
            </w:r>
          </w:p>
        </w:tc>
        <w:tc>
          <w:tcPr>
            <w:tcW w:w="1333" w:type="pct"/>
            <w:shd w:val="clear" w:color="auto" w:fill="auto"/>
            <w:noWrap/>
            <w:vAlign w:val="center"/>
          </w:tcPr>
          <w:p w14:paraId="09D9E810"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80%</w:t>
            </w:r>
          </w:p>
        </w:tc>
      </w:tr>
      <w:tr w:rsidR="005114BD" w14:paraId="0D936FBD" w14:textId="77777777">
        <w:trPr>
          <w:trHeight w:val="397"/>
        </w:trPr>
        <w:tc>
          <w:tcPr>
            <w:tcW w:w="1666" w:type="pct"/>
            <w:shd w:val="clear" w:color="auto" w:fill="auto"/>
            <w:vAlign w:val="center"/>
          </w:tcPr>
          <w:p w14:paraId="62194082" w14:textId="77777777" w:rsidR="005114BD" w:rsidRDefault="00000000">
            <w:pPr>
              <w:overflowPunct w:val="0"/>
              <w:jc w:val="left"/>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时效指标</w:t>
            </w:r>
          </w:p>
        </w:tc>
        <w:tc>
          <w:tcPr>
            <w:tcW w:w="1059" w:type="pct"/>
            <w:shd w:val="clear" w:color="auto" w:fill="auto"/>
            <w:noWrap/>
            <w:vAlign w:val="center"/>
          </w:tcPr>
          <w:p w14:paraId="7DCCB3B5"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10</w:t>
            </w:r>
          </w:p>
        </w:tc>
        <w:tc>
          <w:tcPr>
            <w:tcW w:w="940" w:type="pct"/>
            <w:shd w:val="clear" w:color="auto" w:fill="auto"/>
            <w:noWrap/>
            <w:vAlign w:val="center"/>
          </w:tcPr>
          <w:p w14:paraId="311729F4"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9</w:t>
            </w:r>
          </w:p>
        </w:tc>
        <w:tc>
          <w:tcPr>
            <w:tcW w:w="1333" w:type="pct"/>
            <w:shd w:val="clear" w:color="auto" w:fill="auto"/>
            <w:noWrap/>
            <w:vAlign w:val="center"/>
          </w:tcPr>
          <w:p w14:paraId="60B15193"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90%</w:t>
            </w:r>
          </w:p>
        </w:tc>
      </w:tr>
      <w:tr w:rsidR="005114BD" w14:paraId="72E3BF94" w14:textId="77777777">
        <w:trPr>
          <w:trHeight w:val="397"/>
        </w:trPr>
        <w:tc>
          <w:tcPr>
            <w:tcW w:w="1666" w:type="pct"/>
            <w:shd w:val="clear" w:color="auto" w:fill="auto"/>
            <w:vAlign w:val="center"/>
          </w:tcPr>
          <w:p w14:paraId="6C325862" w14:textId="77777777" w:rsidR="005114BD" w:rsidRDefault="00000000">
            <w:pPr>
              <w:overflowPunct w:val="0"/>
              <w:jc w:val="left"/>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成本指标</w:t>
            </w:r>
          </w:p>
        </w:tc>
        <w:tc>
          <w:tcPr>
            <w:tcW w:w="1059" w:type="pct"/>
            <w:shd w:val="clear" w:color="auto" w:fill="auto"/>
            <w:noWrap/>
            <w:vAlign w:val="center"/>
          </w:tcPr>
          <w:p w14:paraId="6275A6AE"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10</w:t>
            </w:r>
          </w:p>
        </w:tc>
        <w:tc>
          <w:tcPr>
            <w:tcW w:w="940" w:type="pct"/>
            <w:shd w:val="clear" w:color="auto" w:fill="auto"/>
            <w:noWrap/>
            <w:vAlign w:val="center"/>
          </w:tcPr>
          <w:p w14:paraId="56883D72"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10</w:t>
            </w:r>
          </w:p>
        </w:tc>
        <w:tc>
          <w:tcPr>
            <w:tcW w:w="1333" w:type="pct"/>
            <w:shd w:val="clear" w:color="auto" w:fill="auto"/>
            <w:noWrap/>
            <w:vAlign w:val="center"/>
          </w:tcPr>
          <w:p w14:paraId="43AA2F42"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100%</w:t>
            </w:r>
          </w:p>
        </w:tc>
      </w:tr>
      <w:tr w:rsidR="005114BD" w14:paraId="7ACBA602" w14:textId="77777777">
        <w:trPr>
          <w:trHeight w:val="397"/>
        </w:trPr>
        <w:tc>
          <w:tcPr>
            <w:tcW w:w="1666" w:type="pct"/>
            <w:shd w:val="clear" w:color="auto" w:fill="BDD6EE" w:themeFill="accent1" w:themeFillTint="66"/>
            <w:vAlign w:val="center"/>
          </w:tcPr>
          <w:p w14:paraId="26399158" w14:textId="77777777" w:rsidR="005114BD" w:rsidRDefault="00000000">
            <w:pPr>
              <w:overflowPunct w:val="0"/>
              <w:jc w:val="center"/>
              <w:textAlignment w:val="center"/>
              <w:rPr>
                <w:rFonts w:ascii="宋体" w:eastAsia="宋体" w:hAnsi="宋体" w:cs="宋体"/>
                <w:b/>
                <w:bCs/>
                <w:color w:val="000000"/>
                <w:kern w:val="0"/>
                <w:sz w:val="22"/>
                <w:lang w:bidi="ar"/>
              </w:rPr>
            </w:pPr>
            <w:r>
              <w:rPr>
                <w:rFonts w:ascii="宋体" w:eastAsia="宋体" w:hAnsi="宋体" w:cs="宋体" w:hint="eastAsia"/>
                <w:b/>
                <w:bCs/>
                <w:color w:val="000000"/>
                <w:kern w:val="0"/>
                <w:sz w:val="22"/>
                <w:lang w:bidi="ar"/>
              </w:rPr>
              <w:t>合计</w:t>
            </w:r>
          </w:p>
        </w:tc>
        <w:tc>
          <w:tcPr>
            <w:tcW w:w="1059" w:type="pct"/>
            <w:shd w:val="clear" w:color="auto" w:fill="BDD6EE" w:themeFill="accent1" w:themeFillTint="66"/>
            <w:vAlign w:val="center"/>
          </w:tcPr>
          <w:p w14:paraId="0989AB1F" w14:textId="77777777" w:rsidR="005114BD" w:rsidRDefault="00000000">
            <w:pPr>
              <w:overflowPunct w:val="0"/>
              <w:jc w:val="center"/>
              <w:textAlignment w:val="center"/>
              <w:rPr>
                <w:rFonts w:ascii="宋体" w:eastAsia="宋体" w:hAnsi="宋体" w:cs="宋体"/>
                <w:b/>
                <w:bCs/>
                <w:color w:val="000000"/>
                <w:kern w:val="0"/>
                <w:sz w:val="22"/>
                <w:lang w:bidi="ar"/>
              </w:rPr>
            </w:pPr>
            <w:r>
              <w:rPr>
                <w:rFonts w:ascii="宋体" w:eastAsia="宋体" w:hAnsi="宋体" w:cs="宋体" w:hint="eastAsia"/>
                <w:b/>
                <w:bCs/>
                <w:color w:val="000000"/>
                <w:kern w:val="0"/>
                <w:sz w:val="22"/>
                <w:lang w:bidi="ar"/>
              </w:rPr>
              <w:t>40</w:t>
            </w:r>
          </w:p>
        </w:tc>
        <w:tc>
          <w:tcPr>
            <w:tcW w:w="940" w:type="pct"/>
            <w:shd w:val="clear" w:color="auto" w:fill="BDD6EE" w:themeFill="accent1" w:themeFillTint="66"/>
            <w:vAlign w:val="center"/>
          </w:tcPr>
          <w:p w14:paraId="0176890D" w14:textId="77777777" w:rsidR="005114BD" w:rsidRDefault="00000000">
            <w:pPr>
              <w:overflowPunct w:val="0"/>
              <w:jc w:val="center"/>
              <w:textAlignment w:val="center"/>
              <w:rPr>
                <w:rFonts w:ascii="宋体" w:eastAsia="宋体" w:hAnsi="宋体" w:cs="宋体"/>
                <w:b/>
                <w:bCs/>
                <w:color w:val="000000"/>
                <w:kern w:val="0"/>
                <w:sz w:val="22"/>
                <w:lang w:bidi="ar"/>
              </w:rPr>
            </w:pPr>
            <w:r>
              <w:rPr>
                <w:rFonts w:ascii="宋体" w:eastAsia="宋体" w:hAnsi="宋体" w:cs="宋体" w:hint="eastAsia"/>
                <w:b/>
                <w:bCs/>
                <w:color w:val="000000"/>
                <w:kern w:val="0"/>
                <w:sz w:val="22"/>
                <w:lang w:bidi="ar"/>
              </w:rPr>
              <w:t>37</w:t>
            </w:r>
          </w:p>
        </w:tc>
        <w:tc>
          <w:tcPr>
            <w:tcW w:w="1333" w:type="pct"/>
            <w:shd w:val="clear" w:color="auto" w:fill="BDD6EE" w:themeFill="accent1" w:themeFillTint="66"/>
            <w:vAlign w:val="center"/>
          </w:tcPr>
          <w:p w14:paraId="3B746175" w14:textId="77777777" w:rsidR="005114BD" w:rsidRDefault="00000000">
            <w:pPr>
              <w:overflowPunct w:val="0"/>
              <w:jc w:val="center"/>
              <w:textAlignment w:val="center"/>
              <w:rPr>
                <w:rFonts w:ascii="宋体" w:eastAsia="宋体" w:hAnsi="宋体" w:cs="宋体"/>
                <w:b/>
                <w:bCs/>
                <w:color w:val="000000"/>
                <w:kern w:val="0"/>
                <w:sz w:val="22"/>
                <w:lang w:bidi="ar"/>
              </w:rPr>
            </w:pPr>
            <w:r>
              <w:rPr>
                <w:rFonts w:ascii="宋体" w:eastAsia="宋体" w:hAnsi="宋体" w:cs="宋体" w:hint="eastAsia"/>
                <w:b/>
                <w:bCs/>
                <w:color w:val="000000"/>
                <w:kern w:val="0"/>
                <w:sz w:val="22"/>
                <w:lang w:bidi="ar"/>
              </w:rPr>
              <w:t>92.5%</w:t>
            </w:r>
          </w:p>
        </w:tc>
      </w:tr>
    </w:tbl>
    <w:p w14:paraId="71ACA498" w14:textId="77777777" w:rsidR="005114BD" w:rsidRDefault="00000000">
      <w:pPr>
        <w:pStyle w:val="a9"/>
        <w:overflowPunct w:val="0"/>
        <w:spacing w:line="560" w:lineRule="exact"/>
        <w:ind w:firstLine="643"/>
        <w:outlineLvl w:val="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1.数量指标</w:t>
      </w:r>
    </w:p>
    <w:p w14:paraId="07333D74" w14:textId="77777777" w:rsidR="005114BD" w:rsidRDefault="00000000">
      <w:pPr>
        <w:pStyle w:val="a9"/>
        <w:overflowPunct w:val="0"/>
        <w:spacing w:line="560" w:lineRule="exact"/>
        <w:ind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采购服装数量指标分值5分，评价得分5分。为了加强对人民法院法官和司法警察的正规化管理，便于司法人员执行职务和人民群众对司法警察的识别与监督，本年度省法院采购法官法警服装900余套，达到年度目标。</w:t>
      </w:r>
    </w:p>
    <w:p w14:paraId="53C943B6" w14:textId="77777777" w:rsidR="005114BD" w:rsidRDefault="00000000">
      <w:pPr>
        <w:pStyle w:val="a9"/>
        <w:overflowPunct w:val="0"/>
        <w:spacing w:line="560" w:lineRule="exact"/>
        <w:ind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法警装备配备人数，指标分值5分，评价得分5分，本年度为900名法院干警配备了装备，达到了年度目标。</w:t>
      </w:r>
    </w:p>
    <w:p w14:paraId="6B377C46" w14:textId="77777777" w:rsidR="005114BD" w:rsidRDefault="00000000">
      <w:pPr>
        <w:pStyle w:val="a9"/>
        <w:overflowPunct w:val="0"/>
        <w:spacing w:line="560" w:lineRule="exact"/>
        <w:ind w:firstLine="643"/>
        <w:outlineLvl w:val="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2.质量指标</w:t>
      </w:r>
    </w:p>
    <w:p w14:paraId="4AA77D7E" w14:textId="77777777" w:rsidR="005114BD" w:rsidRDefault="00000000">
      <w:pPr>
        <w:overflowPunct w:val="0"/>
        <w:spacing w:line="560" w:lineRule="exact"/>
        <w:ind w:firstLineChars="200" w:firstLine="640"/>
        <w:rPr>
          <w:rFonts w:ascii="仿宋_GB2312" w:eastAsia="仿宋_GB2312" w:hAnsi="仿宋_GB2312" w:cs="仿宋_GB2312"/>
          <w:color w:val="000000" w:themeColor="text1"/>
          <w:sz w:val="32"/>
          <w:szCs w:val="32"/>
        </w:rPr>
      </w:pPr>
      <w:bookmarkStart w:id="143" w:name="_Toc7509"/>
      <w:bookmarkStart w:id="144" w:name="_Toc27458"/>
      <w:r>
        <w:rPr>
          <w:rFonts w:ascii="仿宋_GB2312" w:eastAsia="仿宋_GB2312" w:hAnsi="仿宋_GB2312" w:cs="仿宋_GB2312" w:hint="eastAsia"/>
          <w:color w:val="000000" w:themeColor="text1"/>
          <w:sz w:val="32"/>
          <w:szCs w:val="32"/>
        </w:rPr>
        <w:lastRenderedPageBreak/>
        <w:t>服装验收合格率指标分值5分，评价得分4分。2022年度受疫情防控影响，服装采购工作滞后，截至评价日，服装部分到货，已通过省法院验收，部分服装暂未到货。</w:t>
      </w:r>
    </w:p>
    <w:p w14:paraId="1686328D" w14:textId="77777777" w:rsidR="005114BD" w:rsidRDefault="00000000">
      <w:pPr>
        <w:pStyle w:val="21"/>
        <w:overflowPunct w:val="0"/>
        <w:spacing w:after="0" w:line="560" w:lineRule="exact"/>
        <w:ind w:leftChars="0" w:left="0"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装备验收合格率指标分值5分，评价得分4分。2022年度受疫情防控影响，装备采购工作滞后，截至评价日，采购装备部分到货，已通过省法院验收，部分装备暂未到货。</w:t>
      </w:r>
    </w:p>
    <w:bookmarkEnd w:id="143"/>
    <w:bookmarkEnd w:id="144"/>
    <w:p w14:paraId="354E14A7" w14:textId="77777777" w:rsidR="005114BD" w:rsidRDefault="00000000">
      <w:pPr>
        <w:pStyle w:val="a9"/>
        <w:overflowPunct w:val="0"/>
        <w:spacing w:line="560" w:lineRule="exact"/>
        <w:ind w:firstLine="643"/>
        <w:outlineLvl w:val="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3.时效指标</w:t>
      </w:r>
    </w:p>
    <w:p w14:paraId="0F7B24CF" w14:textId="77777777" w:rsidR="005114BD" w:rsidRDefault="00000000">
      <w:pPr>
        <w:pStyle w:val="a9"/>
        <w:overflowPunct w:val="0"/>
        <w:spacing w:line="560" w:lineRule="exact"/>
        <w:ind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采购完成及时性指标分值5分，评价得分4分。省法院根据汇总批准的全省各级法院干警服装配发需求计划，按照最高法院规定的换装品种和换装标准，及时进行服装采购，但受疫情防控影响，装备采购工作滞后，截至评价日，采购装备部分到货，并通过验收，部分服装及设备暂未到货。</w:t>
      </w:r>
    </w:p>
    <w:p w14:paraId="023FE063" w14:textId="77777777" w:rsidR="005114BD" w:rsidRDefault="00000000">
      <w:pPr>
        <w:pStyle w:val="a9"/>
        <w:overflowPunct w:val="0"/>
        <w:spacing w:line="560" w:lineRule="exact"/>
        <w:ind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服装发放及时性指标分值5分，评价得分5分。省法院服装采购后及时进行发放，加强工作人员的正规化管理。</w:t>
      </w:r>
    </w:p>
    <w:p w14:paraId="678FD881" w14:textId="77777777" w:rsidR="005114BD" w:rsidRDefault="00000000">
      <w:pPr>
        <w:pStyle w:val="a9"/>
        <w:overflowPunct w:val="0"/>
        <w:spacing w:line="560" w:lineRule="exact"/>
        <w:ind w:firstLine="643"/>
        <w:outlineLvl w:val="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4.成本指标</w:t>
      </w:r>
    </w:p>
    <w:p w14:paraId="1471C2F5"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成本控制情况指标分值5分，评价得分5分。省法院积极响应国家相关政策，坚持节约资金的原则，严格控制项目预算金额，在提高服务质量水平的同时，降低成本开支，该项目开支均未超出预算。法官法警服装费项目成本控制在853.00万元以内，未超预算。</w:t>
      </w:r>
    </w:p>
    <w:p w14:paraId="6B50DF4F" w14:textId="77777777" w:rsidR="005114BD" w:rsidRDefault="00000000">
      <w:pPr>
        <w:pStyle w:val="a9"/>
        <w:overflowPunct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服装采购成本</w:t>
      </w:r>
      <w:r>
        <w:rPr>
          <w:rFonts w:ascii="仿宋_GB2312" w:eastAsia="仿宋_GB2312" w:hAnsi="仿宋_GB2312" w:cs="仿宋_GB2312" w:hint="eastAsia"/>
          <w:sz w:val="32"/>
          <w:szCs w:val="32"/>
        </w:rPr>
        <w:t>指标分值5分，评价得分5分。法官法警服装采购根据政府采购招投标法规定，省法院积极选派业务人员到省公共资源交易局进场参与专家组评标，审核投标企业的投标文件、相关样品及服装价格，综合评定价格低、品</w:t>
      </w:r>
      <w:r>
        <w:rPr>
          <w:rFonts w:ascii="仿宋_GB2312" w:eastAsia="仿宋_GB2312" w:hAnsi="仿宋_GB2312" w:cs="仿宋_GB2312" w:hint="eastAsia"/>
          <w:sz w:val="32"/>
          <w:szCs w:val="32"/>
        </w:rPr>
        <w:lastRenderedPageBreak/>
        <w:t>质好的中标厂家。</w:t>
      </w:r>
    </w:p>
    <w:p w14:paraId="1893BD48" w14:textId="77777777" w:rsidR="005114BD" w:rsidRDefault="00000000">
      <w:pPr>
        <w:pStyle w:val="a0"/>
        <w:overflowPunct w:val="0"/>
        <w:spacing w:line="560" w:lineRule="exact"/>
        <w:ind w:firstLineChars="200" w:firstLine="643"/>
        <w:outlineLvl w:val="1"/>
        <w:rPr>
          <w:rFonts w:ascii="楷体" w:eastAsia="楷体" w:hAnsi="楷体" w:cs="楷体"/>
          <w:b/>
          <w:bCs/>
        </w:rPr>
      </w:pPr>
      <w:bookmarkStart w:id="145" w:name="_Toc159"/>
      <w:bookmarkStart w:id="146" w:name="_Toc4582"/>
      <w:bookmarkStart w:id="147" w:name="_Toc19675"/>
      <w:r>
        <w:rPr>
          <w:rFonts w:ascii="楷体" w:eastAsia="楷体" w:hAnsi="楷体" w:cs="楷体" w:hint="eastAsia"/>
          <w:b/>
          <w:bCs/>
        </w:rPr>
        <w:t>（四）项目效益情况</w:t>
      </w:r>
      <w:bookmarkEnd w:id="145"/>
      <w:bookmarkEnd w:id="146"/>
      <w:bookmarkEnd w:id="147"/>
    </w:p>
    <w:p w14:paraId="76D13610" w14:textId="77777777" w:rsidR="005114BD" w:rsidRDefault="00000000">
      <w:pPr>
        <w:pStyle w:val="a0"/>
        <w:tabs>
          <w:tab w:val="left" w:pos="0"/>
        </w:tabs>
        <w:overflowPunct w:val="0"/>
        <w:spacing w:line="560" w:lineRule="exact"/>
        <w:ind w:firstLineChars="200" w:firstLine="640"/>
        <w:rPr>
          <w:rFonts w:ascii="仿宋_GB2312" w:hAnsi="仿宋_GB2312" w:cs="仿宋_GB2312"/>
        </w:rPr>
      </w:pPr>
      <w:r>
        <w:rPr>
          <w:rFonts w:ascii="仿宋_GB2312" w:hAnsi="仿宋_GB2312" w:cs="仿宋_GB2312" w:hint="eastAsia"/>
        </w:rPr>
        <w:t>项目效益指标包括社会效益指标、可持续影响指标两个二级指标，下设四个三级指标，指标分值20分，评价得分20分，得分率100%。</w:t>
      </w:r>
    </w:p>
    <w:p w14:paraId="53140BE2" w14:textId="77777777" w:rsidR="005114BD" w:rsidRDefault="00000000">
      <w:pPr>
        <w:pStyle w:val="a9"/>
        <w:overflowPunct w:val="0"/>
        <w:spacing w:line="560" w:lineRule="exact"/>
        <w:ind w:firstLineChars="0" w:firstLine="0"/>
        <w:jc w:val="center"/>
        <w:rPr>
          <w:rFonts w:asciiTheme="minorEastAsia" w:hAnsiTheme="minorEastAsia" w:cs="仿宋"/>
          <w:sz w:val="32"/>
          <w:szCs w:val="32"/>
        </w:rPr>
      </w:pPr>
      <w:r>
        <w:rPr>
          <w:rFonts w:asciiTheme="minorEastAsia" w:hAnsiTheme="minorEastAsia" w:cs="黑体" w:hint="eastAsia"/>
          <w:bCs/>
          <w:sz w:val="28"/>
          <w:szCs w:val="24"/>
        </w:rPr>
        <w:t>效益指标二级指标得分情况表</w:t>
      </w:r>
    </w:p>
    <w:tbl>
      <w:tblPr>
        <w:tblW w:w="4998" w:type="pct"/>
        <w:tblBorders>
          <w:top w:val="single" w:sz="12" w:space="0" w:color="auto"/>
          <w:bottom w:val="single" w:sz="12" w:space="0" w:color="auto"/>
          <w:insideH w:val="dotted" w:sz="4" w:space="0" w:color="auto"/>
          <w:insideV w:val="dotted" w:sz="4" w:space="0" w:color="auto"/>
        </w:tblBorders>
        <w:tblLook w:val="04A0" w:firstRow="1" w:lastRow="0" w:firstColumn="1" w:lastColumn="0" w:noHBand="0" w:noVBand="1"/>
      </w:tblPr>
      <w:tblGrid>
        <w:gridCol w:w="2841"/>
        <w:gridCol w:w="1805"/>
        <w:gridCol w:w="1602"/>
        <w:gridCol w:w="2271"/>
      </w:tblGrid>
      <w:tr w:rsidR="005114BD" w14:paraId="6A800DE2" w14:textId="77777777">
        <w:trPr>
          <w:trHeight w:val="397"/>
        </w:trPr>
        <w:tc>
          <w:tcPr>
            <w:tcW w:w="1667" w:type="pct"/>
            <w:shd w:val="clear" w:color="auto" w:fill="BDD6EE" w:themeFill="accent1" w:themeFillTint="66"/>
            <w:vAlign w:val="center"/>
          </w:tcPr>
          <w:p w14:paraId="4318B18C" w14:textId="77777777" w:rsidR="005114BD" w:rsidRDefault="00000000">
            <w:pPr>
              <w:overflowPunct w:val="0"/>
              <w:jc w:val="center"/>
              <w:textAlignment w:val="center"/>
              <w:rPr>
                <w:rFonts w:ascii="宋体" w:eastAsia="宋体" w:hAnsi="宋体" w:cs="宋体"/>
                <w:b/>
                <w:color w:val="000000"/>
                <w:kern w:val="0"/>
                <w:sz w:val="22"/>
                <w:lang w:bidi="ar"/>
              </w:rPr>
            </w:pPr>
            <w:r>
              <w:rPr>
                <w:rFonts w:ascii="宋体" w:eastAsia="宋体" w:hAnsi="宋体" w:cs="宋体" w:hint="eastAsia"/>
                <w:b/>
                <w:color w:val="000000"/>
                <w:kern w:val="0"/>
                <w:sz w:val="22"/>
                <w:lang w:bidi="ar"/>
              </w:rPr>
              <w:t>二级指标</w:t>
            </w:r>
          </w:p>
        </w:tc>
        <w:tc>
          <w:tcPr>
            <w:tcW w:w="1059" w:type="pct"/>
            <w:shd w:val="clear" w:color="auto" w:fill="BDD6EE" w:themeFill="accent1" w:themeFillTint="66"/>
            <w:noWrap/>
            <w:vAlign w:val="center"/>
          </w:tcPr>
          <w:p w14:paraId="25601689" w14:textId="77777777" w:rsidR="005114BD" w:rsidRDefault="00000000">
            <w:pPr>
              <w:overflowPunct w:val="0"/>
              <w:jc w:val="center"/>
              <w:textAlignment w:val="center"/>
              <w:rPr>
                <w:rFonts w:ascii="宋体" w:eastAsia="宋体" w:hAnsi="宋体" w:cs="宋体"/>
                <w:b/>
                <w:color w:val="000000"/>
                <w:kern w:val="0"/>
                <w:sz w:val="22"/>
                <w:lang w:bidi="ar"/>
              </w:rPr>
            </w:pPr>
            <w:r>
              <w:rPr>
                <w:rFonts w:ascii="宋体" w:eastAsia="宋体" w:hAnsi="宋体" w:cs="宋体" w:hint="eastAsia"/>
                <w:b/>
                <w:color w:val="000000"/>
                <w:kern w:val="0"/>
                <w:sz w:val="22"/>
                <w:lang w:bidi="ar"/>
              </w:rPr>
              <w:t>分值</w:t>
            </w:r>
          </w:p>
        </w:tc>
        <w:tc>
          <w:tcPr>
            <w:tcW w:w="940" w:type="pct"/>
            <w:shd w:val="clear" w:color="auto" w:fill="BDD6EE" w:themeFill="accent1" w:themeFillTint="66"/>
            <w:noWrap/>
            <w:vAlign w:val="center"/>
          </w:tcPr>
          <w:p w14:paraId="724D54F7" w14:textId="77777777" w:rsidR="005114BD" w:rsidRDefault="00000000">
            <w:pPr>
              <w:overflowPunct w:val="0"/>
              <w:jc w:val="center"/>
              <w:textAlignment w:val="center"/>
              <w:rPr>
                <w:rFonts w:ascii="宋体" w:eastAsia="宋体" w:hAnsi="宋体" w:cs="宋体"/>
                <w:b/>
                <w:color w:val="000000"/>
                <w:kern w:val="0"/>
                <w:sz w:val="22"/>
                <w:lang w:bidi="ar"/>
              </w:rPr>
            </w:pPr>
            <w:r>
              <w:rPr>
                <w:rFonts w:ascii="宋体" w:eastAsia="宋体" w:hAnsi="宋体" w:cs="宋体" w:hint="eastAsia"/>
                <w:b/>
                <w:color w:val="000000"/>
                <w:kern w:val="0"/>
                <w:sz w:val="22"/>
                <w:lang w:bidi="ar"/>
              </w:rPr>
              <w:t>得分</w:t>
            </w:r>
          </w:p>
        </w:tc>
        <w:tc>
          <w:tcPr>
            <w:tcW w:w="1333" w:type="pct"/>
            <w:shd w:val="clear" w:color="auto" w:fill="BDD6EE" w:themeFill="accent1" w:themeFillTint="66"/>
            <w:noWrap/>
            <w:vAlign w:val="center"/>
          </w:tcPr>
          <w:p w14:paraId="1BC187B6" w14:textId="77777777" w:rsidR="005114BD" w:rsidRDefault="00000000">
            <w:pPr>
              <w:overflowPunct w:val="0"/>
              <w:jc w:val="center"/>
              <w:textAlignment w:val="center"/>
              <w:rPr>
                <w:rFonts w:ascii="宋体" w:eastAsia="宋体" w:hAnsi="宋体" w:cs="宋体"/>
                <w:b/>
                <w:color w:val="000000"/>
                <w:kern w:val="0"/>
                <w:sz w:val="22"/>
                <w:lang w:bidi="ar"/>
              </w:rPr>
            </w:pPr>
            <w:r>
              <w:rPr>
                <w:rFonts w:ascii="宋体" w:eastAsia="宋体" w:hAnsi="宋体" w:cs="宋体" w:hint="eastAsia"/>
                <w:b/>
                <w:color w:val="000000"/>
                <w:kern w:val="0"/>
                <w:sz w:val="22"/>
                <w:lang w:bidi="ar"/>
              </w:rPr>
              <w:t>得分率</w:t>
            </w:r>
          </w:p>
        </w:tc>
      </w:tr>
      <w:tr w:rsidR="005114BD" w14:paraId="42183E32" w14:textId="77777777">
        <w:trPr>
          <w:trHeight w:val="397"/>
        </w:trPr>
        <w:tc>
          <w:tcPr>
            <w:tcW w:w="1667" w:type="pct"/>
            <w:shd w:val="clear" w:color="auto" w:fill="auto"/>
            <w:vAlign w:val="center"/>
          </w:tcPr>
          <w:p w14:paraId="4DA17CDB" w14:textId="77777777" w:rsidR="005114BD" w:rsidRDefault="00000000">
            <w:pPr>
              <w:overflowPunct w:val="0"/>
              <w:jc w:val="left"/>
              <w:textAlignment w:val="center"/>
            </w:pPr>
            <w:r>
              <w:rPr>
                <w:rFonts w:ascii="宋体" w:eastAsia="宋体" w:hAnsi="宋体" w:cs="宋体" w:hint="eastAsia"/>
                <w:bCs/>
                <w:color w:val="000000"/>
                <w:kern w:val="0"/>
                <w:sz w:val="22"/>
                <w:lang w:bidi="ar"/>
              </w:rPr>
              <w:t>社会效益指标</w:t>
            </w:r>
          </w:p>
        </w:tc>
        <w:tc>
          <w:tcPr>
            <w:tcW w:w="1059" w:type="pct"/>
            <w:shd w:val="clear" w:color="auto" w:fill="auto"/>
            <w:noWrap/>
            <w:vAlign w:val="center"/>
          </w:tcPr>
          <w:p w14:paraId="473FAAA9"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10</w:t>
            </w:r>
          </w:p>
        </w:tc>
        <w:tc>
          <w:tcPr>
            <w:tcW w:w="940" w:type="pct"/>
            <w:shd w:val="clear" w:color="auto" w:fill="auto"/>
            <w:noWrap/>
            <w:vAlign w:val="center"/>
          </w:tcPr>
          <w:p w14:paraId="7082EBB6"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10</w:t>
            </w:r>
          </w:p>
        </w:tc>
        <w:tc>
          <w:tcPr>
            <w:tcW w:w="1333" w:type="pct"/>
            <w:shd w:val="clear" w:color="auto" w:fill="auto"/>
            <w:noWrap/>
            <w:vAlign w:val="center"/>
          </w:tcPr>
          <w:p w14:paraId="6999888B"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100%</w:t>
            </w:r>
          </w:p>
        </w:tc>
      </w:tr>
      <w:tr w:rsidR="005114BD" w14:paraId="3706D4D9" w14:textId="77777777">
        <w:trPr>
          <w:trHeight w:val="397"/>
        </w:trPr>
        <w:tc>
          <w:tcPr>
            <w:tcW w:w="1667" w:type="pct"/>
            <w:shd w:val="clear" w:color="auto" w:fill="auto"/>
            <w:vAlign w:val="center"/>
          </w:tcPr>
          <w:p w14:paraId="3716EE1D" w14:textId="77777777" w:rsidR="005114BD" w:rsidRDefault="00000000">
            <w:pPr>
              <w:overflowPunct w:val="0"/>
              <w:jc w:val="left"/>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可持续影响指标</w:t>
            </w:r>
          </w:p>
        </w:tc>
        <w:tc>
          <w:tcPr>
            <w:tcW w:w="1059" w:type="pct"/>
            <w:shd w:val="clear" w:color="auto" w:fill="auto"/>
            <w:noWrap/>
            <w:vAlign w:val="center"/>
          </w:tcPr>
          <w:p w14:paraId="05B9A23C"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10</w:t>
            </w:r>
          </w:p>
        </w:tc>
        <w:tc>
          <w:tcPr>
            <w:tcW w:w="940" w:type="pct"/>
            <w:shd w:val="clear" w:color="auto" w:fill="auto"/>
            <w:noWrap/>
            <w:vAlign w:val="center"/>
          </w:tcPr>
          <w:p w14:paraId="3D918727"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10</w:t>
            </w:r>
          </w:p>
        </w:tc>
        <w:tc>
          <w:tcPr>
            <w:tcW w:w="1333" w:type="pct"/>
            <w:shd w:val="clear" w:color="auto" w:fill="auto"/>
            <w:noWrap/>
            <w:vAlign w:val="center"/>
          </w:tcPr>
          <w:p w14:paraId="12FAB538"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100%</w:t>
            </w:r>
          </w:p>
        </w:tc>
      </w:tr>
      <w:tr w:rsidR="005114BD" w14:paraId="097D0D62" w14:textId="77777777">
        <w:trPr>
          <w:trHeight w:val="397"/>
        </w:trPr>
        <w:tc>
          <w:tcPr>
            <w:tcW w:w="1667" w:type="pct"/>
            <w:shd w:val="clear" w:color="auto" w:fill="BDD6EE" w:themeFill="accent1" w:themeFillTint="66"/>
            <w:vAlign w:val="center"/>
          </w:tcPr>
          <w:p w14:paraId="1C2068D1" w14:textId="77777777" w:rsidR="005114BD" w:rsidRDefault="00000000">
            <w:pPr>
              <w:overflowPunct w:val="0"/>
              <w:jc w:val="center"/>
              <w:textAlignment w:val="center"/>
              <w:rPr>
                <w:rFonts w:ascii="宋体" w:eastAsia="宋体" w:hAnsi="宋体" w:cs="宋体"/>
                <w:b/>
                <w:bCs/>
                <w:color w:val="000000"/>
                <w:kern w:val="0"/>
                <w:sz w:val="22"/>
                <w:lang w:bidi="ar"/>
              </w:rPr>
            </w:pPr>
            <w:r>
              <w:rPr>
                <w:rFonts w:ascii="宋体" w:eastAsia="宋体" w:hAnsi="宋体" w:cs="宋体" w:hint="eastAsia"/>
                <w:b/>
                <w:bCs/>
                <w:color w:val="000000"/>
                <w:kern w:val="0"/>
                <w:sz w:val="22"/>
                <w:lang w:bidi="ar"/>
              </w:rPr>
              <w:t>合计</w:t>
            </w:r>
          </w:p>
        </w:tc>
        <w:tc>
          <w:tcPr>
            <w:tcW w:w="1059" w:type="pct"/>
            <w:shd w:val="clear" w:color="auto" w:fill="BDD6EE" w:themeFill="accent1" w:themeFillTint="66"/>
            <w:vAlign w:val="center"/>
          </w:tcPr>
          <w:p w14:paraId="2261E78E" w14:textId="77777777" w:rsidR="005114BD" w:rsidRDefault="00000000">
            <w:pPr>
              <w:overflowPunct w:val="0"/>
              <w:jc w:val="center"/>
              <w:textAlignment w:val="center"/>
              <w:rPr>
                <w:rFonts w:ascii="宋体" w:eastAsia="宋体" w:hAnsi="宋体" w:cs="宋体"/>
                <w:b/>
                <w:bCs/>
                <w:color w:val="000000"/>
                <w:kern w:val="0"/>
                <w:sz w:val="22"/>
                <w:lang w:bidi="ar"/>
              </w:rPr>
            </w:pPr>
            <w:r>
              <w:rPr>
                <w:rFonts w:ascii="宋体" w:eastAsia="宋体" w:hAnsi="宋体" w:cs="宋体" w:hint="eastAsia"/>
                <w:b/>
                <w:bCs/>
                <w:color w:val="000000"/>
                <w:kern w:val="0"/>
                <w:sz w:val="22"/>
                <w:lang w:bidi="ar"/>
              </w:rPr>
              <w:t>20</w:t>
            </w:r>
          </w:p>
        </w:tc>
        <w:tc>
          <w:tcPr>
            <w:tcW w:w="940" w:type="pct"/>
            <w:shd w:val="clear" w:color="auto" w:fill="BDD6EE" w:themeFill="accent1" w:themeFillTint="66"/>
            <w:vAlign w:val="center"/>
          </w:tcPr>
          <w:p w14:paraId="20FCECF5" w14:textId="77777777" w:rsidR="005114BD" w:rsidRDefault="00000000">
            <w:pPr>
              <w:overflowPunct w:val="0"/>
              <w:jc w:val="center"/>
              <w:textAlignment w:val="center"/>
              <w:rPr>
                <w:rFonts w:ascii="宋体" w:eastAsia="宋体" w:hAnsi="宋体" w:cs="宋体"/>
                <w:b/>
                <w:bCs/>
                <w:color w:val="000000"/>
                <w:kern w:val="0"/>
                <w:sz w:val="22"/>
                <w:lang w:bidi="ar"/>
              </w:rPr>
            </w:pPr>
            <w:r>
              <w:rPr>
                <w:rFonts w:ascii="宋体" w:eastAsia="宋体" w:hAnsi="宋体" w:cs="宋体" w:hint="eastAsia"/>
                <w:b/>
                <w:bCs/>
                <w:color w:val="000000"/>
                <w:kern w:val="0"/>
                <w:sz w:val="22"/>
                <w:lang w:bidi="ar"/>
              </w:rPr>
              <w:t>20</w:t>
            </w:r>
          </w:p>
        </w:tc>
        <w:tc>
          <w:tcPr>
            <w:tcW w:w="1333" w:type="pct"/>
            <w:shd w:val="clear" w:color="auto" w:fill="BDD6EE" w:themeFill="accent1" w:themeFillTint="66"/>
            <w:vAlign w:val="center"/>
          </w:tcPr>
          <w:p w14:paraId="221B3997" w14:textId="77777777" w:rsidR="005114BD" w:rsidRDefault="00000000">
            <w:pPr>
              <w:overflowPunct w:val="0"/>
              <w:jc w:val="center"/>
              <w:textAlignment w:val="center"/>
              <w:rPr>
                <w:rFonts w:ascii="宋体" w:eastAsia="宋体" w:hAnsi="宋体" w:cs="宋体"/>
                <w:b/>
                <w:bCs/>
                <w:color w:val="000000"/>
                <w:kern w:val="0"/>
                <w:sz w:val="22"/>
                <w:lang w:bidi="ar"/>
              </w:rPr>
            </w:pPr>
            <w:r>
              <w:rPr>
                <w:rFonts w:ascii="宋体" w:eastAsia="宋体" w:hAnsi="宋体" w:cs="宋体" w:hint="eastAsia"/>
                <w:b/>
                <w:bCs/>
                <w:color w:val="000000"/>
                <w:kern w:val="0"/>
                <w:sz w:val="22"/>
                <w:lang w:bidi="ar"/>
              </w:rPr>
              <w:t>100%</w:t>
            </w:r>
          </w:p>
        </w:tc>
      </w:tr>
    </w:tbl>
    <w:p w14:paraId="1D770C92" w14:textId="77777777" w:rsidR="005114BD" w:rsidRDefault="00000000">
      <w:pPr>
        <w:pStyle w:val="a0"/>
        <w:tabs>
          <w:tab w:val="left" w:pos="0"/>
        </w:tabs>
        <w:overflowPunct w:val="0"/>
        <w:spacing w:line="560" w:lineRule="exact"/>
        <w:ind w:firstLineChars="200" w:firstLine="643"/>
        <w:outlineLvl w:val="2"/>
        <w:rPr>
          <w:rFonts w:ascii="仿宋_GB2312" w:hAnsi="仿宋_GB2312" w:cs="仿宋_GB2312"/>
          <w:b/>
          <w:bCs/>
        </w:rPr>
      </w:pPr>
      <w:r>
        <w:rPr>
          <w:rFonts w:ascii="仿宋_GB2312" w:hAnsi="仿宋_GB2312" w:cs="仿宋_GB2312" w:hint="eastAsia"/>
          <w:b/>
          <w:bCs/>
        </w:rPr>
        <w:t>1.社会效益指标</w:t>
      </w:r>
    </w:p>
    <w:p w14:paraId="7B29F7B4" w14:textId="77777777" w:rsidR="005114BD" w:rsidRDefault="00000000">
      <w:pPr>
        <w:pStyle w:val="a0"/>
        <w:tabs>
          <w:tab w:val="left" w:pos="0"/>
        </w:tabs>
        <w:overflowPunct w:val="0"/>
        <w:spacing w:line="560" w:lineRule="exact"/>
        <w:ind w:firstLineChars="200" w:firstLine="640"/>
        <w:rPr>
          <w:rFonts w:ascii="仿宋_GB2312" w:hAnsi="仿宋_GB2312" w:cs="仿宋_GB2312"/>
        </w:rPr>
      </w:pPr>
      <w:r>
        <w:rPr>
          <w:rFonts w:ascii="仿宋_GB2312" w:hAnsi="仿宋_GB2312" w:cs="仿宋_GB2312" w:hint="eastAsia"/>
        </w:rPr>
        <w:t>人员覆装率指标分值5分，评价得分5分。根据加强全省法院系统干警服装配置统一规范管理，根据最高人民法院、公安部、财政部有关法院干警统一着装的相关规定，法院干警服装配发范围为法官序列人员为在职在编的主审法官、法官助理、书记员、司法行政人员等；法警序列人员为经省法院核定的在职在编授予警衔的法警；按照正规审批程序招聘的、聘期超过2年的书记员、协警等，人员覆装率达到98%以上。</w:t>
      </w:r>
    </w:p>
    <w:p w14:paraId="1410BD36" w14:textId="77777777" w:rsidR="005114BD" w:rsidRDefault="00000000">
      <w:pPr>
        <w:pStyle w:val="a0"/>
        <w:tabs>
          <w:tab w:val="left" w:pos="0"/>
        </w:tabs>
        <w:overflowPunct w:val="0"/>
        <w:spacing w:line="560" w:lineRule="exact"/>
        <w:ind w:firstLineChars="200" w:firstLine="640"/>
        <w:rPr>
          <w:rFonts w:ascii="仿宋_GB2312" w:hAnsi="仿宋_GB2312" w:cs="仿宋_GB2312"/>
        </w:rPr>
      </w:pPr>
      <w:r>
        <w:rPr>
          <w:rFonts w:hint="eastAsia"/>
        </w:rPr>
        <w:t>装备配备率</w:t>
      </w:r>
      <w:r>
        <w:rPr>
          <w:rFonts w:ascii="仿宋_GB2312" w:hAnsi="仿宋_GB2312" w:cs="仿宋_GB2312" w:hint="eastAsia"/>
        </w:rPr>
        <w:t>指标分值5分，评价得分5分。</w:t>
      </w:r>
      <w:r>
        <w:rPr>
          <w:rFonts w:hint="eastAsia"/>
        </w:rPr>
        <w:t>为保障法院工作人员各项工作的顺利开展，及时进行了装备的配备，装备配备率达到</w:t>
      </w:r>
      <w:r>
        <w:rPr>
          <w:rFonts w:ascii="仿宋_GB2312" w:hAnsi="仿宋_GB2312" w:cs="仿宋_GB2312" w:hint="eastAsia"/>
        </w:rPr>
        <w:t>100%。</w:t>
      </w:r>
    </w:p>
    <w:p w14:paraId="61378E2B" w14:textId="77777777" w:rsidR="005114BD" w:rsidRDefault="00000000">
      <w:pPr>
        <w:pStyle w:val="a0"/>
        <w:tabs>
          <w:tab w:val="left" w:pos="0"/>
        </w:tabs>
        <w:overflowPunct w:val="0"/>
        <w:spacing w:line="560" w:lineRule="exact"/>
        <w:ind w:firstLineChars="200" w:firstLine="643"/>
        <w:outlineLvl w:val="2"/>
        <w:rPr>
          <w:rFonts w:ascii="仿宋_GB2312" w:hAnsi="仿宋_GB2312" w:cs="仿宋_GB2312"/>
          <w:b/>
          <w:bCs/>
        </w:rPr>
      </w:pPr>
      <w:r>
        <w:rPr>
          <w:rFonts w:ascii="仿宋_GB2312" w:hAnsi="仿宋_GB2312" w:cs="仿宋_GB2312" w:hint="eastAsia"/>
          <w:b/>
          <w:bCs/>
        </w:rPr>
        <w:t>2.可持续影响指标</w:t>
      </w:r>
    </w:p>
    <w:p w14:paraId="2B55E163" w14:textId="77777777" w:rsidR="005114BD" w:rsidRDefault="00000000">
      <w:pPr>
        <w:overflowPunct w:val="0"/>
        <w:spacing w:line="560" w:lineRule="exact"/>
        <w:ind w:firstLineChars="200" w:firstLine="640"/>
        <w:rPr>
          <w:rFonts w:ascii="仿宋_GB2312" w:eastAsia="仿宋_GB2312" w:hAnsi="仿宋_GB2312" w:cs="仿宋_GB2312"/>
          <w:sz w:val="32"/>
          <w:szCs w:val="32"/>
        </w:rPr>
      </w:pPr>
      <w:bookmarkStart w:id="148" w:name="_Toc31732"/>
      <w:bookmarkStart w:id="149" w:name="_Toc7892"/>
      <w:r>
        <w:rPr>
          <w:rFonts w:ascii="仿宋_GB2312" w:eastAsia="仿宋_GB2312" w:hAnsi="仿宋_GB2312" w:cs="仿宋_GB2312" w:hint="eastAsia"/>
          <w:sz w:val="32"/>
          <w:szCs w:val="32"/>
        </w:rPr>
        <w:t>采购管理机制健全性指标分值5分，评价得分5分。</w:t>
      </w:r>
      <w:r>
        <w:rPr>
          <w:rFonts w:ascii="仿宋_GB2312" w:eastAsia="仿宋_GB2312" w:hAnsi="仿宋_GB2312" w:cs="仿宋_GB2312"/>
          <w:sz w:val="32"/>
          <w:szCs w:val="32"/>
        </w:rPr>
        <w:t>法院干警的</w:t>
      </w:r>
      <w:r>
        <w:rPr>
          <w:rFonts w:ascii="仿宋_GB2312" w:eastAsia="仿宋_GB2312" w:hAnsi="仿宋_GB2312" w:cs="仿宋_GB2312" w:hint="eastAsia"/>
          <w:sz w:val="32"/>
          <w:szCs w:val="32"/>
        </w:rPr>
        <w:t>服装、装备</w:t>
      </w:r>
      <w:r>
        <w:rPr>
          <w:rFonts w:ascii="仿宋_GB2312" w:eastAsia="仿宋_GB2312" w:hAnsi="仿宋_GB2312" w:cs="仿宋_GB2312"/>
          <w:sz w:val="32"/>
          <w:szCs w:val="32"/>
        </w:rPr>
        <w:t>采购，严格依据《政府采购法》《甘肃</w:t>
      </w:r>
      <w:r>
        <w:rPr>
          <w:rFonts w:ascii="仿宋_GB2312" w:eastAsia="仿宋_GB2312" w:hAnsi="仿宋_GB2312" w:cs="仿宋_GB2312"/>
          <w:sz w:val="32"/>
          <w:szCs w:val="32"/>
        </w:rPr>
        <w:lastRenderedPageBreak/>
        <w:t>省政府集中购目录和采购限额标准》规定，节约经费、质量竞争、性价从优，公正公开地执行政府招标采购程序。</w:t>
      </w:r>
      <w:r>
        <w:rPr>
          <w:rFonts w:ascii="仿宋_GB2312" w:eastAsia="仿宋_GB2312" w:hAnsi="仿宋_GB2312" w:cs="仿宋_GB2312" w:hint="eastAsia"/>
          <w:sz w:val="32"/>
          <w:szCs w:val="32"/>
        </w:rPr>
        <w:t>评价认为，省法院严格执行政府采购程序，采购管理机制健全。</w:t>
      </w:r>
    </w:p>
    <w:p w14:paraId="18B45DAC"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装备配发机制健全性指标分值5分，评价得分5分。法院服装主要用于法官、助理、书记员、法警、行政人员等在开庭、审判办案、执行公务活动以及需要证明身份时着装，省法院严格按照《最高人民法院关于印发&lt;人民法院法官袍穿着规定&gt;的通知》《最高人民法院关于印发&lt;人民法院司法警察警用装备配备标准&gt;的通知》进行法院干警服装配发日常管理，装备配发机制健全。</w:t>
      </w:r>
    </w:p>
    <w:p w14:paraId="5A7A46A1" w14:textId="77777777" w:rsidR="005114BD" w:rsidRDefault="00000000">
      <w:pPr>
        <w:pStyle w:val="a0"/>
        <w:overflowPunct w:val="0"/>
        <w:spacing w:line="560" w:lineRule="exact"/>
        <w:ind w:firstLineChars="200" w:firstLine="643"/>
        <w:outlineLvl w:val="1"/>
        <w:rPr>
          <w:rFonts w:ascii="楷体" w:eastAsia="楷体" w:hAnsi="楷体" w:cs="楷体"/>
          <w:b/>
          <w:bCs/>
        </w:rPr>
      </w:pPr>
      <w:bookmarkStart w:id="150" w:name="_Toc4294"/>
      <w:bookmarkEnd w:id="148"/>
      <w:bookmarkEnd w:id="149"/>
      <w:r>
        <w:rPr>
          <w:rFonts w:ascii="楷体" w:eastAsia="楷体" w:hAnsi="楷体" w:cs="楷体" w:hint="eastAsia"/>
          <w:b/>
          <w:bCs/>
        </w:rPr>
        <w:t>（五）满意度情况</w:t>
      </w:r>
      <w:bookmarkEnd w:id="150"/>
    </w:p>
    <w:p w14:paraId="1FF482B4" w14:textId="77777777" w:rsidR="005114BD" w:rsidRDefault="00000000">
      <w:pPr>
        <w:overflowPunct w:val="0"/>
        <w:spacing w:line="560" w:lineRule="exact"/>
        <w:ind w:firstLineChars="200" w:firstLine="640"/>
        <w:rPr>
          <w:rFonts w:ascii="仿宋_GB2312" w:eastAsia="仿宋_GB2312" w:hAnsi="仿宋_GB2312" w:cs="仿宋_GB2312"/>
          <w:color w:val="000000" w:themeColor="text1"/>
          <w:sz w:val="32"/>
          <w:szCs w:val="32"/>
        </w:rPr>
      </w:pPr>
      <w:bookmarkStart w:id="151" w:name="_Toc65235686"/>
      <w:bookmarkStart w:id="152" w:name="_Toc63435075"/>
      <w:bookmarkStart w:id="153" w:name="_Toc5674"/>
      <w:bookmarkStart w:id="154" w:name="_Toc2918"/>
      <w:bookmarkStart w:id="155" w:name="_Toc64731198"/>
      <w:bookmarkStart w:id="156" w:name="_Toc4285"/>
      <w:bookmarkStart w:id="157" w:name="_Toc23326"/>
      <w:r>
        <w:rPr>
          <w:rFonts w:ascii="仿宋_GB2312" w:eastAsia="仿宋_GB2312" w:hAnsi="仿宋_GB2312" w:cs="仿宋_GB2312" w:hint="eastAsia"/>
          <w:color w:val="000000" w:themeColor="text1"/>
          <w:sz w:val="32"/>
          <w:szCs w:val="32"/>
        </w:rPr>
        <w:t>项目服务对象满意度指标主要为换装人员满意度，指标分值10分，评价得分10分，得分率100%。</w:t>
      </w:r>
      <w:bookmarkEnd w:id="151"/>
      <w:bookmarkEnd w:id="152"/>
      <w:bookmarkEnd w:id="153"/>
      <w:bookmarkEnd w:id="154"/>
      <w:bookmarkEnd w:id="155"/>
      <w:bookmarkEnd w:id="156"/>
      <w:bookmarkEnd w:id="157"/>
    </w:p>
    <w:p w14:paraId="024702AB" w14:textId="77777777" w:rsidR="005114BD" w:rsidRDefault="00000000">
      <w:pPr>
        <w:pStyle w:val="a9"/>
        <w:overflowPunct w:val="0"/>
        <w:spacing w:line="560" w:lineRule="exact"/>
        <w:ind w:firstLineChars="0" w:firstLine="0"/>
        <w:jc w:val="center"/>
        <w:rPr>
          <w:rFonts w:asciiTheme="minorEastAsia" w:hAnsiTheme="minorEastAsia" w:cs="仿宋"/>
          <w:sz w:val="32"/>
          <w:szCs w:val="32"/>
        </w:rPr>
      </w:pPr>
      <w:r>
        <w:rPr>
          <w:rFonts w:asciiTheme="minorEastAsia" w:hAnsiTheme="minorEastAsia" w:cs="黑体" w:hint="eastAsia"/>
          <w:bCs/>
          <w:sz w:val="28"/>
          <w:szCs w:val="24"/>
        </w:rPr>
        <w:t>满意度指标二级指标得分情况表</w:t>
      </w:r>
    </w:p>
    <w:tbl>
      <w:tblPr>
        <w:tblW w:w="4998" w:type="pct"/>
        <w:tblBorders>
          <w:top w:val="single" w:sz="12" w:space="0" w:color="auto"/>
          <w:bottom w:val="single" w:sz="12" w:space="0" w:color="auto"/>
          <w:insideH w:val="dotted" w:sz="4" w:space="0" w:color="auto"/>
          <w:insideV w:val="dotted" w:sz="4" w:space="0" w:color="auto"/>
        </w:tblBorders>
        <w:tblLook w:val="04A0" w:firstRow="1" w:lastRow="0" w:firstColumn="1" w:lastColumn="0" w:noHBand="0" w:noVBand="1"/>
      </w:tblPr>
      <w:tblGrid>
        <w:gridCol w:w="2840"/>
        <w:gridCol w:w="1804"/>
        <w:gridCol w:w="1602"/>
        <w:gridCol w:w="2273"/>
      </w:tblGrid>
      <w:tr w:rsidR="005114BD" w14:paraId="6C591524" w14:textId="77777777">
        <w:trPr>
          <w:trHeight w:val="397"/>
        </w:trPr>
        <w:tc>
          <w:tcPr>
            <w:tcW w:w="1666" w:type="pct"/>
            <w:shd w:val="clear" w:color="auto" w:fill="BDD6EE" w:themeFill="accent1" w:themeFillTint="66"/>
            <w:vAlign w:val="center"/>
          </w:tcPr>
          <w:p w14:paraId="793E1456" w14:textId="77777777" w:rsidR="005114BD" w:rsidRDefault="00000000">
            <w:pPr>
              <w:overflowPunct w:val="0"/>
              <w:jc w:val="center"/>
              <w:textAlignment w:val="center"/>
              <w:rPr>
                <w:rFonts w:ascii="宋体" w:eastAsia="宋体" w:hAnsi="宋体" w:cs="宋体"/>
                <w:b/>
                <w:color w:val="000000"/>
                <w:kern w:val="0"/>
                <w:sz w:val="22"/>
                <w:lang w:bidi="ar"/>
              </w:rPr>
            </w:pPr>
            <w:r>
              <w:rPr>
                <w:rFonts w:ascii="宋体" w:eastAsia="宋体" w:hAnsi="宋体" w:cs="宋体" w:hint="eastAsia"/>
                <w:b/>
                <w:color w:val="000000"/>
                <w:kern w:val="0"/>
                <w:sz w:val="22"/>
                <w:lang w:bidi="ar"/>
              </w:rPr>
              <w:t>二级指标</w:t>
            </w:r>
          </w:p>
        </w:tc>
        <w:tc>
          <w:tcPr>
            <w:tcW w:w="1059" w:type="pct"/>
            <w:shd w:val="clear" w:color="auto" w:fill="BDD6EE" w:themeFill="accent1" w:themeFillTint="66"/>
            <w:noWrap/>
            <w:vAlign w:val="center"/>
          </w:tcPr>
          <w:p w14:paraId="5D9F2C9E" w14:textId="77777777" w:rsidR="005114BD" w:rsidRDefault="00000000">
            <w:pPr>
              <w:overflowPunct w:val="0"/>
              <w:jc w:val="center"/>
              <w:textAlignment w:val="center"/>
              <w:rPr>
                <w:rFonts w:ascii="宋体" w:eastAsia="宋体" w:hAnsi="宋体" w:cs="宋体"/>
                <w:b/>
                <w:color w:val="000000"/>
                <w:kern w:val="0"/>
                <w:sz w:val="22"/>
                <w:lang w:bidi="ar"/>
              </w:rPr>
            </w:pPr>
            <w:r>
              <w:rPr>
                <w:rFonts w:ascii="宋体" w:eastAsia="宋体" w:hAnsi="宋体" w:cs="宋体" w:hint="eastAsia"/>
                <w:b/>
                <w:color w:val="000000"/>
                <w:kern w:val="0"/>
                <w:sz w:val="22"/>
                <w:lang w:bidi="ar"/>
              </w:rPr>
              <w:t>分值</w:t>
            </w:r>
          </w:p>
        </w:tc>
        <w:tc>
          <w:tcPr>
            <w:tcW w:w="940" w:type="pct"/>
            <w:shd w:val="clear" w:color="auto" w:fill="BDD6EE" w:themeFill="accent1" w:themeFillTint="66"/>
            <w:noWrap/>
            <w:vAlign w:val="center"/>
          </w:tcPr>
          <w:p w14:paraId="3E7F803E" w14:textId="77777777" w:rsidR="005114BD" w:rsidRDefault="00000000">
            <w:pPr>
              <w:overflowPunct w:val="0"/>
              <w:jc w:val="center"/>
              <w:textAlignment w:val="center"/>
              <w:rPr>
                <w:rFonts w:ascii="宋体" w:eastAsia="宋体" w:hAnsi="宋体" w:cs="宋体"/>
                <w:b/>
                <w:color w:val="000000"/>
                <w:kern w:val="0"/>
                <w:sz w:val="22"/>
                <w:lang w:bidi="ar"/>
              </w:rPr>
            </w:pPr>
            <w:r>
              <w:rPr>
                <w:rFonts w:ascii="宋体" w:eastAsia="宋体" w:hAnsi="宋体" w:cs="宋体" w:hint="eastAsia"/>
                <w:b/>
                <w:color w:val="000000"/>
                <w:kern w:val="0"/>
                <w:sz w:val="22"/>
                <w:lang w:bidi="ar"/>
              </w:rPr>
              <w:t>得分</w:t>
            </w:r>
          </w:p>
        </w:tc>
        <w:tc>
          <w:tcPr>
            <w:tcW w:w="1333" w:type="pct"/>
            <w:shd w:val="clear" w:color="auto" w:fill="BDD6EE" w:themeFill="accent1" w:themeFillTint="66"/>
            <w:noWrap/>
            <w:vAlign w:val="center"/>
          </w:tcPr>
          <w:p w14:paraId="3C679201" w14:textId="77777777" w:rsidR="005114BD" w:rsidRDefault="00000000">
            <w:pPr>
              <w:overflowPunct w:val="0"/>
              <w:jc w:val="center"/>
              <w:textAlignment w:val="center"/>
              <w:rPr>
                <w:rFonts w:ascii="宋体" w:eastAsia="宋体" w:hAnsi="宋体" w:cs="宋体"/>
                <w:b/>
                <w:color w:val="000000"/>
                <w:kern w:val="0"/>
                <w:sz w:val="22"/>
                <w:lang w:bidi="ar"/>
              </w:rPr>
            </w:pPr>
            <w:r>
              <w:rPr>
                <w:rFonts w:ascii="宋体" w:eastAsia="宋体" w:hAnsi="宋体" w:cs="宋体" w:hint="eastAsia"/>
                <w:b/>
                <w:color w:val="000000"/>
                <w:kern w:val="0"/>
                <w:sz w:val="22"/>
                <w:lang w:bidi="ar"/>
              </w:rPr>
              <w:t>得分率</w:t>
            </w:r>
          </w:p>
        </w:tc>
      </w:tr>
      <w:tr w:rsidR="005114BD" w14:paraId="7CF2BF7B" w14:textId="77777777">
        <w:trPr>
          <w:trHeight w:val="397"/>
        </w:trPr>
        <w:tc>
          <w:tcPr>
            <w:tcW w:w="1666" w:type="pct"/>
            <w:shd w:val="clear" w:color="auto" w:fill="auto"/>
            <w:vAlign w:val="center"/>
          </w:tcPr>
          <w:p w14:paraId="308CEBAF" w14:textId="77777777" w:rsidR="005114BD" w:rsidRDefault="00000000">
            <w:pPr>
              <w:overflowPunct w:val="0"/>
              <w:jc w:val="left"/>
              <w:textAlignment w:val="center"/>
            </w:pPr>
            <w:r>
              <w:rPr>
                <w:rFonts w:ascii="宋体" w:eastAsia="宋体" w:hAnsi="宋体" w:cs="宋体" w:hint="eastAsia"/>
                <w:bCs/>
                <w:color w:val="000000"/>
                <w:kern w:val="0"/>
                <w:sz w:val="22"/>
                <w:lang w:bidi="ar"/>
              </w:rPr>
              <w:t>服务对象满意度指标</w:t>
            </w:r>
          </w:p>
        </w:tc>
        <w:tc>
          <w:tcPr>
            <w:tcW w:w="1059" w:type="pct"/>
            <w:shd w:val="clear" w:color="auto" w:fill="auto"/>
            <w:noWrap/>
            <w:vAlign w:val="center"/>
          </w:tcPr>
          <w:p w14:paraId="293A57BE"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10</w:t>
            </w:r>
          </w:p>
        </w:tc>
        <w:tc>
          <w:tcPr>
            <w:tcW w:w="940" w:type="pct"/>
            <w:shd w:val="clear" w:color="auto" w:fill="auto"/>
            <w:noWrap/>
            <w:vAlign w:val="center"/>
          </w:tcPr>
          <w:p w14:paraId="3E44CC38"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10</w:t>
            </w:r>
          </w:p>
        </w:tc>
        <w:tc>
          <w:tcPr>
            <w:tcW w:w="1333" w:type="pct"/>
            <w:shd w:val="clear" w:color="auto" w:fill="auto"/>
            <w:noWrap/>
            <w:vAlign w:val="center"/>
          </w:tcPr>
          <w:p w14:paraId="705B6306" w14:textId="77777777" w:rsidR="005114BD" w:rsidRDefault="00000000">
            <w:pPr>
              <w:overflowPunct w:val="0"/>
              <w:jc w:val="center"/>
              <w:textAlignment w:val="center"/>
              <w:rPr>
                <w:rFonts w:ascii="宋体" w:eastAsia="宋体" w:hAnsi="宋体" w:cs="宋体"/>
                <w:bCs/>
                <w:color w:val="000000"/>
                <w:kern w:val="0"/>
                <w:sz w:val="22"/>
                <w:lang w:bidi="ar"/>
              </w:rPr>
            </w:pPr>
            <w:r>
              <w:rPr>
                <w:rFonts w:ascii="宋体" w:eastAsia="宋体" w:hAnsi="宋体" w:cs="宋体" w:hint="eastAsia"/>
                <w:bCs/>
                <w:color w:val="000000"/>
                <w:kern w:val="0"/>
                <w:sz w:val="22"/>
                <w:lang w:bidi="ar"/>
              </w:rPr>
              <w:t>100%</w:t>
            </w:r>
          </w:p>
        </w:tc>
      </w:tr>
      <w:tr w:rsidR="005114BD" w14:paraId="6B52A914" w14:textId="77777777">
        <w:trPr>
          <w:trHeight w:val="397"/>
        </w:trPr>
        <w:tc>
          <w:tcPr>
            <w:tcW w:w="1666" w:type="pct"/>
            <w:shd w:val="clear" w:color="auto" w:fill="BDD6EE" w:themeFill="accent1" w:themeFillTint="66"/>
            <w:vAlign w:val="center"/>
          </w:tcPr>
          <w:p w14:paraId="07A8DDE1" w14:textId="77777777" w:rsidR="005114BD" w:rsidRDefault="00000000">
            <w:pPr>
              <w:overflowPunct w:val="0"/>
              <w:jc w:val="center"/>
              <w:textAlignment w:val="center"/>
              <w:rPr>
                <w:rFonts w:ascii="宋体" w:eastAsia="宋体" w:hAnsi="宋体" w:cs="宋体"/>
                <w:b/>
                <w:bCs/>
                <w:color w:val="000000"/>
                <w:kern w:val="0"/>
                <w:sz w:val="22"/>
                <w:lang w:bidi="ar"/>
              </w:rPr>
            </w:pPr>
            <w:r>
              <w:rPr>
                <w:rFonts w:ascii="宋体" w:eastAsia="宋体" w:hAnsi="宋体" w:cs="宋体" w:hint="eastAsia"/>
                <w:b/>
                <w:bCs/>
                <w:color w:val="000000"/>
                <w:kern w:val="0"/>
                <w:sz w:val="22"/>
                <w:lang w:bidi="ar"/>
              </w:rPr>
              <w:t>合计</w:t>
            </w:r>
          </w:p>
        </w:tc>
        <w:tc>
          <w:tcPr>
            <w:tcW w:w="1059" w:type="pct"/>
            <w:shd w:val="clear" w:color="auto" w:fill="BDD6EE" w:themeFill="accent1" w:themeFillTint="66"/>
            <w:vAlign w:val="center"/>
          </w:tcPr>
          <w:p w14:paraId="7454AE84" w14:textId="77777777" w:rsidR="005114BD" w:rsidRDefault="00000000">
            <w:pPr>
              <w:overflowPunct w:val="0"/>
              <w:jc w:val="center"/>
              <w:textAlignment w:val="center"/>
              <w:rPr>
                <w:rFonts w:ascii="宋体" w:eastAsia="宋体" w:hAnsi="宋体" w:cs="宋体"/>
                <w:b/>
                <w:bCs/>
                <w:color w:val="000000"/>
                <w:kern w:val="0"/>
                <w:sz w:val="22"/>
                <w:lang w:bidi="ar"/>
              </w:rPr>
            </w:pPr>
            <w:r>
              <w:rPr>
                <w:rFonts w:ascii="宋体" w:eastAsia="宋体" w:hAnsi="宋体" w:cs="宋体" w:hint="eastAsia"/>
                <w:b/>
                <w:bCs/>
                <w:color w:val="000000"/>
                <w:kern w:val="0"/>
                <w:sz w:val="22"/>
                <w:lang w:bidi="ar"/>
              </w:rPr>
              <w:t>10</w:t>
            </w:r>
          </w:p>
        </w:tc>
        <w:tc>
          <w:tcPr>
            <w:tcW w:w="940" w:type="pct"/>
            <w:shd w:val="clear" w:color="auto" w:fill="BDD6EE" w:themeFill="accent1" w:themeFillTint="66"/>
            <w:vAlign w:val="center"/>
          </w:tcPr>
          <w:p w14:paraId="6FB7FD7A" w14:textId="77777777" w:rsidR="005114BD" w:rsidRDefault="00000000">
            <w:pPr>
              <w:overflowPunct w:val="0"/>
              <w:jc w:val="center"/>
              <w:textAlignment w:val="center"/>
              <w:rPr>
                <w:rFonts w:ascii="宋体" w:eastAsia="宋体" w:hAnsi="宋体" w:cs="宋体"/>
                <w:b/>
                <w:bCs/>
                <w:color w:val="000000"/>
                <w:kern w:val="0"/>
                <w:sz w:val="22"/>
                <w:lang w:bidi="ar"/>
              </w:rPr>
            </w:pPr>
            <w:r>
              <w:rPr>
                <w:rFonts w:ascii="宋体" w:eastAsia="宋体" w:hAnsi="宋体" w:cs="宋体" w:hint="eastAsia"/>
                <w:b/>
                <w:bCs/>
                <w:color w:val="000000"/>
                <w:kern w:val="0"/>
                <w:sz w:val="22"/>
                <w:lang w:bidi="ar"/>
              </w:rPr>
              <w:t>10</w:t>
            </w:r>
          </w:p>
        </w:tc>
        <w:tc>
          <w:tcPr>
            <w:tcW w:w="1333" w:type="pct"/>
            <w:shd w:val="clear" w:color="auto" w:fill="BDD6EE" w:themeFill="accent1" w:themeFillTint="66"/>
            <w:vAlign w:val="center"/>
          </w:tcPr>
          <w:p w14:paraId="00843785" w14:textId="77777777" w:rsidR="005114BD" w:rsidRDefault="00000000">
            <w:pPr>
              <w:overflowPunct w:val="0"/>
              <w:jc w:val="center"/>
              <w:textAlignment w:val="center"/>
              <w:rPr>
                <w:rFonts w:ascii="宋体" w:eastAsia="宋体" w:hAnsi="宋体" w:cs="宋体"/>
                <w:b/>
                <w:color w:val="000000"/>
                <w:kern w:val="0"/>
                <w:sz w:val="22"/>
                <w:lang w:bidi="ar"/>
              </w:rPr>
            </w:pPr>
            <w:r>
              <w:rPr>
                <w:rFonts w:ascii="宋体" w:eastAsia="宋体" w:hAnsi="宋体" w:cs="宋体" w:hint="eastAsia"/>
                <w:b/>
                <w:color w:val="000000"/>
                <w:kern w:val="0"/>
                <w:sz w:val="22"/>
                <w:lang w:bidi="ar"/>
              </w:rPr>
              <w:t>100%</w:t>
            </w:r>
          </w:p>
        </w:tc>
      </w:tr>
    </w:tbl>
    <w:p w14:paraId="5D2D5435"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r>
        <w:rPr>
          <w:rFonts w:ascii="仿宋_GB2312" w:hAnsi="仿宋_GB2312" w:cs="仿宋_GB2312" w:hint="eastAsia"/>
        </w:rPr>
        <w:t>评价组针对法官法警服装费项目服务对象“</w:t>
      </w:r>
      <w:r>
        <w:rPr>
          <w:rFonts w:ascii="仿宋_GB2312" w:hAnsi="仿宋_GB2312" w:cs="仿宋_GB2312" w:hint="eastAsia"/>
          <w:color w:val="000000" w:themeColor="text1"/>
        </w:rPr>
        <w:t>换装人员</w:t>
      </w:r>
      <w:r>
        <w:rPr>
          <w:rFonts w:ascii="仿宋_GB2312" w:hAnsi="仿宋_GB2312" w:cs="仿宋_GB2312" w:hint="eastAsia"/>
        </w:rPr>
        <w:t>满意度”制作调查问卷，共发放调查问卷样本228份，回收调查问卷228份。</w:t>
      </w:r>
      <w:r>
        <w:rPr>
          <w:rFonts w:ascii="仿宋_GB2312" w:hAnsi="仿宋_GB2312" w:cs="仿宋_GB2312" w:hint="eastAsia"/>
          <w:color w:val="000000" w:themeColor="text1"/>
        </w:rPr>
        <w:t>换装人员</w:t>
      </w:r>
      <w:r>
        <w:rPr>
          <w:rFonts w:ascii="仿宋_GB2312" w:hAnsi="仿宋_GB2312" w:cs="仿宋_GB2312" w:hint="eastAsia"/>
        </w:rPr>
        <w:t>对</w:t>
      </w:r>
      <w:r>
        <w:rPr>
          <w:rFonts w:hint="eastAsia"/>
        </w:rPr>
        <w:t>装备及服装发放频率、服装的材质、服装的舒适度及装备及服装配备整体情况均显示满意</w:t>
      </w:r>
      <w:r>
        <w:rPr>
          <w:rFonts w:ascii="仿宋_GB2312" w:hAnsi="仿宋_GB2312" w:cs="仿宋_GB2312" w:hint="eastAsia"/>
        </w:rPr>
        <w:t>。</w:t>
      </w:r>
    </w:p>
    <w:p w14:paraId="2F0468DF"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r>
        <w:rPr>
          <w:rFonts w:ascii="仿宋_GB2312" w:hAnsi="仿宋_GB2312" w:cs="仿宋_GB2312" w:hint="eastAsia"/>
        </w:rPr>
        <w:t>从汇总数据看，</w:t>
      </w:r>
      <w:r>
        <w:rPr>
          <w:rFonts w:ascii="仿宋_GB2312" w:hAnsi="仿宋_GB2312" w:cs="仿宋_GB2312" w:hint="eastAsia"/>
          <w:color w:val="000000" w:themeColor="text1"/>
        </w:rPr>
        <w:t>换装人员</w:t>
      </w:r>
      <w:r>
        <w:rPr>
          <w:rFonts w:ascii="仿宋_GB2312" w:hAnsi="仿宋_GB2312" w:cs="仿宋_GB2312" w:hint="eastAsia"/>
        </w:rPr>
        <w:t>对法官法警服装及装备整体满意度较好，整体满意度在98%以上，达到了该项目的实施目的，带来了很好的社会效益和社会反响。根据评分标准，据评分标准，本指标分值10分，评价得分10分。</w:t>
      </w:r>
    </w:p>
    <w:p w14:paraId="5737F0E7" w14:textId="77777777" w:rsidR="005114BD" w:rsidRDefault="00000000">
      <w:pPr>
        <w:pStyle w:val="a0"/>
        <w:overflowPunct w:val="0"/>
        <w:spacing w:line="560" w:lineRule="exact"/>
        <w:ind w:firstLineChars="200" w:firstLine="640"/>
        <w:outlineLvl w:val="0"/>
        <w:rPr>
          <w:rFonts w:ascii="黑体" w:eastAsia="黑体" w:hAnsi="黑体" w:cs="仿宋"/>
        </w:rPr>
      </w:pPr>
      <w:bookmarkStart w:id="158" w:name="_Toc13457"/>
      <w:bookmarkStart w:id="159" w:name="_Toc27911"/>
      <w:bookmarkStart w:id="160" w:name="_Toc14909"/>
      <w:r>
        <w:rPr>
          <w:rFonts w:ascii="黑体" w:eastAsia="黑体" w:hAnsi="黑体" w:cs="仿宋" w:hint="eastAsia"/>
        </w:rPr>
        <w:lastRenderedPageBreak/>
        <w:t>六、项目主要经验及做法</w:t>
      </w:r>
      <w:bookmarkEnd w:id="158"/>
      <w:bookmarkEnd w:id="159"/>
      <w:bookmarkEnd w:id="160"/>
    </w:p>
    <w:p w14:paraId="1821A91C" w14:textId="77777777" w:rsidR="005114BD" w:rsidRDefault="00000000">
      <w:pPr>
        <w:pStyle w:val="a0"/>
        <w:tabs>
          <w:tab w:val="left" w:pos="510"/>
          <w:tab w:val="left" w:pos="675"/>
        </w:tabs>
        <w:overflowPunct w:val="0"/>
        <w:spacing w:line="560" w:lineRule="exact"/>
        <w:ind w:firstLineChars="200" w:firstLine="643"/>
        <w:outlineLvl w:val="1"/>
        <w:rPr>
          <w:rFonts w:ascii="仿宋" w:eastAsia="仿宋" w:hAnsi="仿宋" w:cs="仿宋"/>
        </w:rPr>
      </w:pPr>
      <w:bookmarkStart w:id="161" w:name="_Toc31909"/>
      <w:bookmarkStart w:id="162" w:name="_Toc14235"/>
      <w:r>
        <w:rPr>
          <w:rFonts w:ascii="楷体" w:eastAsia="楷体" w:hAnsi="楷体" w:cs="楷体" w:hint="eastAsia"/>
          <w:b/>
          <w:bCs/>
        </w:rPr>
        <w:t>装备配发机制逐步健全</w:t>
      </w:r>
      <w:bookmarkEnd w:id="161"/>
      <w:r>
        <w:rPr>
          <w:rFonts w:ascii="楷体" w:eastAsia="楷体" w:hAnsi="楷体" w:cs="楷体" w:hint="eastAsia"/>
          <w:b/>
          <w:bCs/>
        </w:rPr>
        <w:t>，确保审判服着装统一、标准、规范。</w:t>
      </w:r>
      <w:bookmarkEnd w:id="162"/>
    </w:p>
    <w:p w14:paraId="5E614CD2"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r>
        <w:rPr>
          <w:rFonts w:ascii="仿宋_GB2312" w:hAnsi="仿宋_GB2312" w:cs="仿宋_GB2312" w:hint="eastAsia"/>
        </w:rPr>
        <w:t>根据《最高人民法院关于印发〈人民法院法官袍穿着规定〉的通知》（法发〔2002〕3号）、《最高人民法院关于印发〈人民法院司法警察警用装备配备标准〉的通知》（法发〔2006〕8号）等文件规定，省法院印发了《全省法院系统干警服装配发管理规程》《全省法院系统聘用制书记员服装配发管理办法（试行）》等管理办法，对配发范围、发放频率及采购流程等均做了制度约束，装备配发机制逐步健全。服装及装配采购严格按照最高法院制定的样式和标准，组织做好全省法院系统审判服配发工作，确保审判服着装统一、标准、规范。</w:t>
      </w:r>
    </w:p>
    <w:p w14:paraId="55CCF03A" w14:textId="77777777" w:rsidR="005114BD" w:rsidRDefault="00000000">
      <w:pPr>
        <w:pStyle w:val="a0"/>
        <w:overflowPunct w:val="0"/>
        <w:spacing w:line="560" w:lineRule="exact"/>
        <w:ind w:firstLineChars="200" w:firstLine="640"/>
        <w:outlineLvl w:val="0"/>
        <w:rPr>
          <w:rFonts w:ascii="黑体" w:eastAsia="黑体" w:hAnsi="黑体" w:cs="仿宋"/>
        </w:rPr>
      </w:pPr>
      <w:bookmarkStart w:id="163" w:name="_Toc24999"/>
      <w:bookmarkStart w:id="164" w:name="_Toc15152"/>
      <w:bookmarkStart w:id="165" w:name="_Toc25717"/>
      <w:r>
        <w:rPr>
          <w:rFonts w:ascii="黑体" w:eastAsia="黑体" w:hAnsi="黑体" w:cs="仿宋" w:hint="eastAsia"/>
        </w:rPr>
        <w:t>七、存在的问题及原因分析</w:t>
      </w:r>
      <w:bookmarkEnd w:id="163"/>
      <w:bookmarkEnd w:id="164"/>
      <w:bookmarkEnd w:id="165"/>
    </w:p>
    <w:p w14:paraId="3228B60A" w14:textId="77777777" w:rsidR="005114BD" w:rsidRDefault="00000000">
      <w:pPr>
        <w:pStyle w:val="a0"/>
        <w:tabs>
          <w:tab w:val="left" w:pos="510"/>
          <w:tab w:val="left" w:pos="675"/>
        </w:tabs>
        <w:overflowPunct w:val="0"/>
        <w:spacing w:line="560" w:lineRule="exact"/>
        <w:ind w:firstLineChars="200" w:firstLine="640"/>
        <w:rPr>
          <w:rFonts w:ascii="仿宋_GB2312" w:hAnsi="仿宋_GB2312" w:cs="仿宋_GB2312"/>
        </w:rPr>
      </w:pPr>
      <w:bookmarkStart w:id="166" w:name="_Toc19507"/>
      <w:bookmarkStart w:id="167" w:name="_Toc32093"/>
      <w:bookmarkStart w:id="168" w:name="_Toc14622"/>
      <w:r>
        <w:rPr>
          <w:rFonts w:ascii="仿宋_GB2312" w:hAnsi="仿宋_GB2312" w:cs="仿宋_GB2312" w:hint="eastAsia"/>
        </w:rPr>
        <w:t>“服装验收合格率、装备验收合格率、采购完成及时性”指标未全面完成。2022年度受疫情防控影响，服装及装备采购工作进度滞后，截至评价日，服装及装备部分到货，已通过省法院验收，部分服装及装备暂未到货。</w:t>
      </w:r>
    </w:p>
    <w:p w14:paraId="5EDC76B9" w14:textId="77777777" w:rsidR="005114BD" w:rsidRDefault="00000000">
      <w:pPr>
        <w:pStyle w:val="a0"/>
        <w:overflowPunct w:val="0"/>
        <w:spacing w:line="560" w:lineRule="exact"/>
        <w:ind w:firstLineChars="200" w:firstLine="640"/>
        <w:outlineLvl w:val="0"/>
        <w:rPr>
          <w:rFonts w:ascii="黑体" w:eastAsia="黑体" w:hAnsi="黑体" w:cs="仿宋"/>
        </w:rPr>
      </w:pPr>
      <w:bookmarkStart w:id="169" w:name="_Toc15149"/>
      <w:bookmarkStart w:id="170" w:name="_Toc3768"/>
      <w:bookmarkStart w:id="171" w:name="_Toc20992"/>
      <w:bookmarkEnd w:id="166"/>
      <w:bookmarkEnd w:id="167"/>
      <w:bookmarkEnd w:id="168"/>
      <w:r>
        <w:rPr>
          <w:rFonts w:ascii="黑体" w:eastAsia="黑体" w:hAnsi="黑体" w:cs="仿宋" w:hint="eastAsia"/>
        </w:rPr>
        <w:t>八、有关建议</w:t>
      </w:r>
      <w:bookmarkEnd w:id="169"/>
      <w:bookmarkEnd w:id="170"/>
      <w:bookmarkEnd w:id="171"/>
    </w:p>
    <w:p w14:paraId="4AC36FEC" w14:textId="77777777" w:rsidR="005114BD" w:rsidRDefault="00000000">
      <w:pPr>
        <w:pStyle w:val="a0"/>
        <w:overflowPunct w:val="0"/>
        <w:spacing w:line="560" w:lineRule="exact"/>
        <w:ind w:firstLineChars="200" w:firstLine="640"/>
        <w:rPr>
          <w:rFonts w:ascii="仿宋_GB2312" w:hAnsi="仿宋_GB2312" w:cs="仿宋_GB2312"/>
        </w:rPr>
      </w:pPr>
      <w:bookmarkStart w:id="172" w:name="_Toc18984"/>
      <w:bookmarkStart w:id="173" w:name="_Toc26738"/>
      <w:r>
        <w:rPr>
          <w:rFonts w:ascii="仿宋_GB2312" w:hAnsi="仿宋_GB2312" w:cs="仿宋_GB2312" w:hint="eastAsia"/>
        </w:rPr>
        <w:t>加快项目实施进度</w:t>
      </w:r>
      <w:bookmarkEnd w:id="172"/>
      <w:r>
        <w:rPr>
          <w:rFonts w:ascii="仿宋_GB2312" w:hAnsi="仿宋_GB2312" w:cs="仿宋_GB2312" w:hint="eastAsia"/>
        </w:rPr>
        <w:t>。一是进一步规范绩效指标的设置，提高绩效指标编制的合理性、科学性、规范性，通过绩效指标更好地反映出资金支出产生的产出及效益。做好绩效指标编制、审核，及时根据实际情况调整绩效指标，确保绩效指标切实可行、如期实现。二是严格落实年度工作计划，加强</w:t>
      </w:r>
      <w:r>
        <w:rPr>
          <w:rFonts w:ascii="仿宋_GB2312" w:hAnsi="仿宋_GB2312" w:cs="仿宋_GB2312" w:hint="eastAsia"/>
        </w:rPr>
        <w:lastRenderedPageBreak/>
        <w:t>部门沟通，督促相关处室加快进度，提升工作效率，尽快完成各项指标年度目标。</w:t>
      </w:r>
      <w:bookmarkEnd w:id="173"/>
    </w:p>
    <w:p w14:paraId="46A98CF9" w14:textId="77777777" w:rsidR="005114BD" w:rsidRDefault="00000000">
      <w:pPr>
        <w:pStyle w:val="a0"/>
        <w:overflowPunct w:val="0"/>
        <w:spacing w:line="560" w:lineRule="exact"/>
        <w:ind w:firstLineChars="200" w:firstLine="640"/>
        <w:outlineLvl w:val="0"/>
        <w:rPr>
          <w:rFonts w:ascii="黑体" w:eastAsia="黑体" w:hAnsi="黑体" w:cs="仿宋"/>
        </w:rPr>
      </w:pPr>
      <w:bookmarkStart w:id="174" w:name="_Toc30680"/>
      <w:bookmarkStart w:id="175" w:name="_Toc14765"/>
      <w:bookmarkStart w:id="176" w:name="_Toc8653"/>
      <w:r>
        <w:rPr>
          <w:rFonts w:ascii="黑体" w:eastAsia="黑体" w:hAnsi="黑体" w:cs="仿宋" w:hint="eastAsia"/>
        </w:rPr>
        <w:t>九、需要说明的问题</w:t>
      </w:r>
      <w:bookmarkEnd w:id="174"/>
      <w:bookmarkEnd w:id="175"/>
      <w:bookmarkEnd w:id="176"/>
    </w:p>
    <w:p w14:paraId="7191F6EF" w14:textId="77777777" w:rsidR="005114BD" w:rsidRDefault="00000000">
      <w:pPr>
        <w:pStyle w:val="a0"/>
        <w:overflowPunct w:val="0"/>
        <w:spacing w:line="560" w:lineRule="exact"/>
        <w:ind w:firstLineChars="200" w:firstLine="640"/>
        <w:rPr>
          <w:rFonts w:ascii="仿宋_GB2312" w:hAnsi="仿宋_GB2312" w:cs="仿宋_GB2312"/>
        </w:rPr>
      </w:pPr>
      <w:r>
        <w:rPr>
          <w:rFonts w:ascii="仿宋_GB2312" w:hAnsi="仿宋_GB2312" w:cs="仿宋_GB2312" w:hint="eastAsia"/>
        </w:rPr>
        <w:t>无。</w:t>
      </w:r>
    </w:p>
    <w:p w14:paraId="07BB1DCC" w14:textId="77777777" w:rsidR="005114BD" w:rsidRDefault="00000000">
      <w:pPr>
        <w:rPr>
          <w:rFonts w:ascii="仿宋" w:eastAsia="仿宋" w:hAnsi="仿宋" w:cs="仿宋"/>
        </w:rPr>
      </w:pPr>
      <w:bookmarkStart w:id="177" w:name="_Toc28005"/>
      <w:r>
        <w:rPr>
          <w:rFonts w:ascii="仿宋" w:eastAsia="仿宋" w:hAnsi="仿宋" w:cs="仿宋" w:hint="eastAsia"/>
        </w:rPr>
        <w:br w:type="page"/>
      </w:r>
    </w:p>
    <w:p w14:paraId="3072CF09" w14:textId="77777777" w:rsidR="005114BD" w:rsidRDefault="00000000">
      <w:pPr>
        <w:pStyle w:val="a0"/>
        <w:overflowPunct w:val="0"/>
        <w:spacing w:line="660" w:lineRule="exact"/>
        <w:rPr>
          <w:rFonts w:ascii="仿宋" w:eastAsia="仿宋" w:hAnsi="仿宋" w:cs="仿宋"/>
        </w:rPr>
      </w:pPr>
      <w:r>
        <w:rPr>
          <w:rFonts w:ascii="仿宋" w:eastAsia="仿宋" w:hAnsi="仿宋" w:cs="仿宋" w:hint="eastAsia"/>
        </w:rPr>
        <w:lastRenderedPageBreak/>
        <w:t>（本页无正文）</w:t>
      </w:r>
    </w:p>
    <w:p w14:paraId="3F7D6163" w14:textId="77777777" w:rsidR="005114BD" w:rsidRDefault="00000000">
      <w:pPr>
        <w:pStyle w:val="a0"/>
        <w:overflowPunct w:val="0"/>
        <w:spacing w:line="660" w:lineRule="exact"/>
        <w:rPr>
          <w:rFonts w:ascii="仿宋" w:eastAsia="仿宋" w:hAnsi="仿宋" w:cs="仿宋"/>
        </w:rPr>
      </w:pPr>
      <w:r>
        <w:rPr>
          <w:rFonts w:ascii="仿宋" w:eastAsia="仿宋" w:hAnsi="仿宋" w:cs="仿宋" w:hint="eastAsia"/>
        </w:rPr>
        <w:t>附表：1.</w:t>
      </w:r>
      <w:bookmarkEnd w:id="177"/>
      <w:r>
        <w:rPr>
          <w:rFonts w:ascii="仿宋" w:eastAsia="仿宋" w:hAnsi="仿宋" w:cs="仿宋" w:hint="eastAsia"/>
        </w:rPr>
        <w:t>法官法警服装费项目支出绩效评价评分表</w:t>
      </w:r>
    </w:p>
    <w:p w14:paraId="480DF9FE" w14:textId="77777777" w:rsidR="005114BD" w:rsidRDefault="00000000">
      <w:pPr>
        <w:pStyle w:val="a0"/>
        <w:overflowPunct w:val="0"/>
        <w:spacing w:line="660" w:lineRule="exact"/>
        <w:ind w:firstLineChars="300" w:firstLine="960"/>
        <w:rPr>
          <w:rFonts w:ascii="仿宋" w:eastAsia="仿宋" w:hAnsi="仿宋" w:cs="仿宋"/>
        </w:rPr>
      </w:pPr>
      <w:bookmarkStart w:id="178" w:name="_Toc15958"/>
      <w:r>
        <w:rPr>
          <w:rFonts w:ascii="仿宋" w:eastAsia="仿宋" w:hAnsi="仿宋" w:cs="仿宋" w:hint="eastAsia"/>
        </w:rPr>
        <w:t>2.法官法警服装费项目项目问题清单</w:t>
      </w:r>
    </w:p>
    <w:bookmarkEnd w:id="178"/>
    <w:p w14:paraId="5B3C55BF" w14:textId="77777777" w:rsidR="005114BD" w:rsidRDefault="005114BD">
      <w:pPr>
        <w:overflowPunct w:val="0"/>
        <w:rPr>
          <w:rFonts w:ascii="仿宋" w:eastAsia="仿宋" w:hAnsi="仿宋" w:cs="仿宋"/>
          <w:sz w:val="32"/>
          <w:szCs w:val="32"/>
        </w:rPr>
      </w:pPr>
    </w:p>
    <w:p w14:paraId="34B25D60" w14:textId="77777777" w:rsidR="005114BD" w:rsidRDefault="005114BD">
      <w:pPr>
        <w:pStyle w:val="a7"/>
        <w:overflowPunct w:val="0"/>
        <w:rPr>
          <w:rFonts w:ascii="仿宋" w:eastAsia="仿宋" w:hAnsi="仿宋" w:cs="仿宋"/>
          <w:sz w:val="32"/>
          <w:szCs w:val="32"/>
        </w:rPr>
      </w:pPr>
    </w:p>
    <w:p w14:paraId="39B4EF50" w14:textId="77777777" w:rsidR="005114BD" w:rsidRDefault="005114BD">
      <w:pPr>
        <w:pStyle w:val="a7"/>
        <w:overflowPunct w:val="0"/>
        <w:rPr>
          <w:rFonts w:ascii="仿宋" w:eastAsia="仿宋" w:hAnsi="仿宋" w:cs="仿宋"/>
          <w:sz w:val="32"/>
          <w:szCs w:val="32"/>
        </w:rPr>
      </w:pPr>
    </w:p>
    <w:p w14:paraId="6D4D95D1" w14:textId="77777777" w:rsidR="005114BD" w:rsidRDefault="005114BD">
      <w:pPr>
        <w:pStyle w:val="a7"/>
        <w:overflowPunct w:val="0"/>
        <w:rPr>
          <w:rFonts w:ascii="仿宋" w:eastAsia="仿宋" w:hAnsi="仿宋" w:cs="仿宋"/>
          <w:sz w:val="32"/>
          <w:szCs w:val="32"/>
        </w:rPr>
      </w:pPr>
    </w:p>
    <w:p w14:paraId="54797740" w14:textId="77777777" w:rsidR="005114BD" w:rsidRDefault="005114BD">
      <w:pPr>
        <w:pStyle w:val="a7"/>
        <w:overflowPunct w:val="0"/>
        <w:rPr>
          <w:rFonts w:ascii="仿宋" w:eastAsia="仿宋" w:hAnsi="仿宋" w:cs="仿宋"/>
          <w:sz w:val="32"/>
          <w:szCs w:val="32"/>
        </w:rPr>
      </w:pPr>
    </w:p>
    <w:p w14:paraId="52E0A3B2" w14:textId="77777777" w:rsidR="005114BD" w:rsidRDefault="005114BD">
      <w:pPr>
        <w:pStyle w:val="a7"/>
        <w:overflowPunct w:val="0"/>
        <w:rPr>
          <w:rFonts w:ascii="仿宋" w:eastAsia="仿宋" w:hAnsi="仿宋" w:cs="仿宋"/>
          <w:sz w:val="32"/>
          <w:szCs w:val="32"/>
        </w:rPr>
      </w:pPr>
    </w:p>
    <w:p w14:paraId="0EF4CE84" w14:textId="77777777" w:rsidR="005114BD" w:rsidRDefault="005114BD">
      <w:pPr>
        <w:pStyle w:val="a7"/>
        <w:overflowPunct w:val="0"/>
        <w:rPr>
          <w:rFonts w:ascii="仿宋" w:eastAsia="仿宋" w:hAnsi="仿宋" w:cs="仿宋"/>
          <w:sz w:val="32"/>
          <w:szCs w:val="32"/>
        </w:rPr>
      </w:pPr>
    </w:p>
    <w:p w14:paraId="60A3522D" w14:textId="77777777" w:rsidR="005114BD" w:rsidRDefault="00000000">
      <w:pPr>
        <w:pStyle w:val="a7"/>
        <w:overflowPunct w:val="0"/>
        <w:rPr>
          <w:rFonts w:ascii="仿宋" w:eastAsia="仿宋" w:hAnsi="仿宋" w:cs="仿宋"/>
          <w:sz w:val="32"/>
          <w:szCs w:val="32"/>
        </w:rPr>
      </w:pPr>
      <w:r>
        <w:rPr>
          <w:rFonts w:ascii="仿宋" w:eastAsia="仿宋" w:hAnsi="仿宋" w:cs="仿宋" w:hint="eastAsia"/>
          <w:sz w:val="32"/>
          <w:szCs w:val="32"/>
        </w:rPr>
        <w:t xml:space="preserve">                           甘肃卓诚财务咨询有限公司</w:t>
      </w:r>
    </w:p>
    <w:p w14:paraId="74947956" w14:textId="77777777" w:rsidR="005114BD" w:rsidRDefault="00000000">
      <w:pPr>
        <w:pStyle w:val="a7"/>
        <w:overflowPunct w:val="0"/>
        <w:rPr>
          <w:rFonts w:ascii="仿宋" w:eastAsia="仿宋" w:hAnsi="仿宋" w:cs="仿宋"/>
          <w:sz w:val="32"/>
          <w:szCs w:val="32"/>
        </w:rPr>
      </w:pPr>
      <w:r>
        <w:rPr>
          <w:rFonts w:ascii="仿宋" w:eastAsia="仿宋" w:hAnsi="仿宋" w:cs="仿宋" w:hint="eastAsia"/>
          <w:sz w:val="32"/>
          <w:szCs w:val="32"/>
        </w:rPr>
        <w:t xml:space="preserve">                                     </w:t>
      </w:r>
    </w:p>
    <w:p w14:paraId="7EFFD525" w14:textId="77777777" w:rsidR="005114BD" w:rsidRDefault="00000000">
      <w:pPr>
        <w:pStyle w:val="a7"/>
        <w:overflowPunct w:val="0"/>
        <w:ind w:firstLineChars="1600" w:firstLine="5120"/>
        <w:rPr>
          <w:rFonts w:ascii="仿宋" w:eastAsia="仿宋" w:hAnsi="仿宋" w:cs="仿宋"/>
          <w:sz w:val="32"/>
          <w:szCs w:val="32"/>
        </w:rPr>
      </w:pPr>
      <w:r>
        <w:rPr>
          <w:rFonts w:ascii="仿宋" w:eastAsia="仿宋" w:hAnsi="仿宋" w:cs="仿宋" w:hint="eastAsia"/>
          <w:sz w:val="32"/>
          <w:szCs w:val="32"/>
        </w:rPr>
        <w:t>2023年5月29日</w:t>
      </w:r>
    </w:p>
    <w:sectPr w:rsidR="005114BD">
      <w:footerReference w:type="default" r:id="rId12"/>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72AD7" w14:textId="77777777" w:rsidR="00250BE4" w:rsidRDefault="00250BE4">
      <w:r>
        <w:separator/>
      </w:r>
    </w:p>
  </w:endnote>
  <w:endnote w:type="continuationSeparator" w:id="0">
    <w:p w14:paraId="550DC66A" w14:textId="77777777" w:rsidR="00250BE4" w:rsidRDefault="00250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embedRegular r:id="rId1" w:subsetted="1" w:fontKey="{3188EBD4-89FC-4EB4-9CE9-FC6BF2AC7EE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embedRegular r:id="rId2" w:subsetted="1" w:fontKey="{1771FCC3-31C8-471C-BB49-877CEA4C13A3}"/>
    <w:embedBold r:id="rId3" w:subsetted="1" w:fontKey="{6E77632F-732E-4CA6-B6D4-7F0C15E9A28D}"/>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embedRegular r:id="rId4" w:subsetted="1" w:fontKey="{E65A1378-DE41-41F2-BB2F-01BEBB4EA479}"/>
    <w:embedBold r:id="rId5" w:subsetted="1" w:fontKey="{B8A38B26-4563-44DE-8206-A7056D4D5B25}"/>
  </w:font>
  <w:font w:name="方正小标宋简体">
    <w:panose1 w:val="02010601030101010101"/>
    <w:charset w:val="86"/>
    <w:family w:val="auto"/>
    <w:pitch w:val="variable"/>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embedRegular r:id="rId6" w:fontKey="{198B7CD8-F4C0-4319-A776-73EDD21D309A}"/>
  </w:font>
  <w:font w:name="黑体">
    <w:altName w:val="SimHei"/>
    <w:panose1 w:val="02010609060101010101"/>
    <w:charset w:val="86"/>
    <w:family w:val="modern"/>
    <w:pitch w:val="fixed"/>
    <w:sig w:usb0="800002BF" w:usb1="38CF7CFA" w:usb2="00000016" w:usb3="00000000" w:csb0="00040001" w:csb1="00000000"/>
    <w:embedRegular r:id="rId7" w:subsetted="1" w:fontKey="{AED661EB-17A2-4BBE-96E1-5B89CD666B3B}"/>
    <w:embedBold r:id="rId8" w:subsetted="1" w:fontKey="{C6FF00D1-3749-42CA-A3F8-E618B3671023}"/>
  </w:font>
  <w:font w:name="楷体">
    <w:panose1 w:val="02010609060101010101"/>
    <w:charset w:val="86"/>
    <w:family w:val="modern"/>
    <w:pitch w:val="fixed"/>
    <w:sig w:usb0="800002BF" w:usb1="38CF7CFA" w:usb2="00000016" w:usb3="00000000" w:csb0="00040001" w:csb1="00000000"/>
    <w:embedRegular r:id="rId9" w:subsetted="1" w:fontKey="{16AD8EED-8C52-463D-AA68-1FD4804C9A1A}"/>
    <w:embedBold r:id="rId10" w:subsetted="1" w:fontKey="{445CEA9D-6115-412F-B0FA-F196F3C2D4F2}"/>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0084F" w14:textId="77777777" w:rsidR="005114BD" w:rsidRDefault="00000000">
    <w:pPr>
      <w:pStyle w:val="a4"/>
      <w:pBdr>
        <w:top w:val="single" w:sz="4" w:space="0" w:color="auto"/>
      </w:pBdr>
      <w:jc w:val="center"/>
      <w:rPr>
        <w:rFonts w:eastAsia="黑体"/>
      </w:rPr>
    </w:pPr>
    <w:r>
      <w:rPr>
        <w:rFonts w:ascii="黑体" w:eastAsia="黑体" w:hAnsi="黑体" w:hint="eastAsia"/>
      </w:rPr>
      <w:t>地址：甘肃省兰州市</w:t>
    </w:r>
    <w:r>
      <w:rPr>
        <w:rFonts w:ascii="黑体" w:eastAsia="黑体" w:hAnsi="黑体"/>
      </w:rPr>
      <w:t>城关区</w:t>
    </w:r>
    <w:r>
      <w:rPr>
        <w:rFonts w:ascii="黑体" w:eastAsia="黑体" w:hAnsi="黑体" w:hint="eastAsia"/>
      </w:rPr>
      <w:t>南滨河</w:t>
    </w:r>
    <w:r>
      <w:rPr>
        <w:rFonts w:ascii="黑体" w:eastAsia="黑体" w:hAnsi="黑体"/>
      </w:rPr>
      <w:t>东路</w:t>
    </w:r>
    <w:r>
      <w:rPr>
        <w:rFonts w:ascii="黑体" w:eastAsia="黑体" w:hAnsi="黑体" w:hint="eastAsia"/>
      </w:rPr>
      <w:t>5148号名城广场1栋1单元20层2016室</w:t>
    </w:r>
    <w:r>
      <w:rPr>
        <w:rFonts w:ascii="黑体" w:eastAsia="黑体" w:hAnsi="黑体"/>
      </w:rPr>
      <w:t xml:space="preserve">  </w:t>
    </w:r>
    <w:r>
      <w:rPr>
        <w:rFonts w:ascii="黑体" w:eastAsia="黑体" w:hAnsi="黑体" w:hint="eastAsia"/>
      </w:rPr>
      <w:t xml:space="preserve">     电话：0931-2906259</w:t>
    </w:r>
  </w:p>
  <w:p w14:paraId="438B9265" w14:textId="77777777" w:rsidR="005114BD" w:rsidRDefault="005114BD">
    <w:pPr>
      <w:pStyle w:val="a4"/>
      <w:rPr>
        <w:rFonts w:eastAsia="黑体"/>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8166F" w14:textId="77777777" w:rsidR="005114BD" w:rsidRDefault="00000000">
    <w:pPr>
      <w:pStyle w:val="a4"/>
      <w:pBdr>
        <w:top w:val="single" w:sz="4" w:space="0" w:color="auto"/>
      </w:pBdr>
      <w:jc w:val="center"/>
      <w:rPr>
        <w:rFonts w:eastAsia="黑体"/>
      </w:rPr>
    </w:pPr>
    <w:r>
      <w:rPr>
        <w:rFonts w:ascii="黑体" w:eastAsia="黑体" w:hAnsi="黑体" w:hint="eastAsia"/>
      </w:rPr>
      <w:t>地址：甘肃省兰州市</w:t>
    </w:r>
    <w:r>
      <w:rPr>
        <w:rFonts w:ascii="黑体" w:eastAsia="黑体" w:hAnsi="黑体"/>
      </w:rPr>
      <w:t>城关区</w:t>
    </w:r>
    <w:r>
      <w:rPr>
        <w:rFonts w:ascii="黑体" w:eastAsia="黑体" w:hAnsi="黑体" w:hint="eastAsia"/>
      </w:rPr>
      <w:t>南滨河</w:t>
    </w:r>
    <w:r>
      <w:rPr>
        <w:rFonts w:ascii="黑体" w:eastAsia="黑体" w:hAnsi="黑体"/>
      </w:rPr>
      <w:t>东路</w:t>
    </w:r>
    <w:r>
      <w:rPr>
        <w:rFonts w:ascii="黑体" w:eastAsia="黑体" w:hAnsi="黑体" w:hint="eastAsia"/>
      </w:rPr>
      <w:t>5148号名城广场1栋1单元20层2016室</w:t>
    </w:r>
    <w:r>
      <w:rPr>
        <w:rFonts w:ascii="黑体" w:eastAsia="黑体" w:hAnsi="黑体"/>
      </w:rPr>
      <w:t xml:space="preserve">  </w:t>
    </w:r>
    <w:r>
      <w:rPr>
        <w:rFonts w:ascii="黑体" w:eastAsia="黑体" w:hAnsi="黑体" w:hint="eastAsia"/>
      </w:rPr>
      <w:t xml:space="preserve">     电话：0931-2906259</w:t>
    </w:r>
  </w:p>
  <w:p w14:paraId="7B71810E" w14:textId="77777777" w:rsidR="005114BD" w:rsidRDefault="00000000">
    <w:pPr>
      <w:pStyle w:val="a4"/>
    </w:pPr>
    <w:r>
      <w:rPr>
        <w:noProof/>
      </w:rPr>
      <mc:AlternateContent>
        <mc:Choice Requires="wps">
          <w:drawing>
            <wp:anchor distT="0" distB="0" distL="114300" distR="114300" simplePos="0" relativeHeight="251659264" behindDoc="0" locked="0" layoutInCell="1" allowOverlap="1" wp14:anchorId="3C5A18DA" wp14:editId="67783ED5">
              <wp:simplePos x="0" y="0"/>
              <wp:positionH relativeFrom="margin">
                <wp:posOffset>2564765</wp:posOffset>
              </wp:positionH>
              <wp:positionV relativeFrom="paragraph">
                <wp:posOffset>177800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0F50D7" w14:textId="77777777" w:rsidR="005114BD" w:rsidRDefault="00000000">
                          <w:pPr>
                            <w:pStyle w:val="a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C5A18DA" id="_x0000_t202" coordsize="21600,21600" o:spt="202" path="m,l,21600r21600,l21600,xe">
              <v:stroke joinstyle="miter"/>
              <v:path gradientshapeok="t" o:connecttype="rect"/>
            </v:shapetype>
            <v:shape id="文本框 2" o:spid="_x0000_s1026" type="#_x0000_t202" style="position:absolute;margin-left:201.95pt;margin-top:14pt;width:2in;height:2in;z-index:25165926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" filled="f" stroked="f" strokeweight=".5pt">
              <v:textbox style="mso-fit-shape-to-text:t" inset="0,0,0,0">
                <w:txbxContent>
                  <w:p w14:paraId="0B0F50D7" w14:textId="77777777" w:rsidR="005114BD" w:rsidRDefault="00000000">
                    <w:pPr>
                      <w:pStyle w:val="a4"/>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6BBAC" w14:textId="77777777" w:rsidR="00250BE4" w:rsidRDefault="00250BE4">
      <w:r>
        <w:separator/>
      </w:r>
    </w:p>
  </w:footnote>
  <w:footnote w:type="continuationSeparator" w:id="0">
    <w:p w14:paraId="5C8B053B" w14:textId="77777777" w:rsidR="00250BE4" w:rsidRDefault="00250B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D74B8" w14:textId="77777777" w:rsidR="005114BD" w:rsidRDefault="005114BD">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54832" w14:textId="77777777" w:rsidR="005114BD" w:rsidRDefault="00000000">
    <w:pPr>
      <w:pStyle w:val="a7"/>
      <w:pBdr>
        <w:bottom w:val="none" w:sz="0" w:space="0" w:color="auto"/>
      </w:pBdr>
    </w:pPr>
    <w:r>
      <w:rPr>
        <w:rFonts w:ascii="仿宋" w:eastAsia="仿宋" w:hAnsi="仿宋" w:cs="仿宋"/>
        <w:b/>
        <w:noProof/>
        <w:color w:val="000000" w:themeColor="text1"/>
        <w:u w:val="single"/>
      </w:rPr>
      <w:drawing>
        <wp:inline distT="0" distB="0" distL="114300" distR="114300" wp14:anchorId="2D298AD6" wp14:editId="2DC01108">
          <wp:extent cx="407035" cy="348615"/>
          <wp:effectExtent l="0" t="0" r="12065" b="6985"/>
          <wp:docPr id="1" name="图片 1" descr="IMG_1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1868"/>
                  <pic:cNvPicPr>
                    <a:picLocks noChangeAspect="1"/>
                  </pic:cNvPicPr>
                </pic:nvPicPr>
                <pic:blipFill>
                  <a:blip r:embed="rId1"/>
                  <a:stretch>
                    <a:fillRect/>
                  </a:stretch>
                </pic:blipFill>
                <pic:spPr>
                  <a:xfrm>
                    <a:off x="0" y="0"/>
                    <a:ext cx="407035" cy="348615"/>
                  </a:xfrm>
                  <a:prstGeom prst="rect">
                    <a:avLst/>
                  </a:prstGeom>
                  <a:noFill/>
                  <a:ln>
                    <a:noFill/>
                  </a:ln>
                </pic:spPr>
              </pic:pic>
            </a:graphicData>
          </a:graphic>
        </wp:inline>
      </w:drawing>
    </w:r>
    <w:r>
      <w:rPr>
        <w:rFonts w:ascii="仿宋" w:eastAsia="仿宋" w:hAnsi="仿宋" w:cs="仿宋" w:hint="eastAsia"/>
        <w:b/>
        <w:color w:val="000000" w:themeColor="text1"/>
        <w:u w:val="single"/>
      </w:rPr>
      <w:t xml:space="preserve">                                                                        绩效评价报告</w:t>
    </w:r>
  </w:p>
  <w:p w14:paraId="5A5F55AB" w14:textId="77777777" w:rsidR="005114BD" w:rsidRDefault="005114BD">
    <w:pPr>
      <w:pStyle w:val="a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TrueTypeFonts/>
  <w:saveSubsetFonts/>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VlYmY1MTgwOGU5Yjc1ZjhiNGE5NWFhODQxN2YyNjIifQ=="/>
  </w:docVars>
  <w:rsids>
    <w:rsidRoot w:val="0F9473FE"/>
    <w:rsid w:val="0000216A"/>
    <w:rsid w:val="00037090"/>
    <w:rsid w:val="00046BCA"/>
    <w:rsid w:val="00051C05"/>
    <w:rsid w:val="00064326"/>
    <w:rsid w:val="000643BA"/>
    <w:rsid w:val="000753A4"/>
    <w:rsid w:val="000A4E2C"/>
    <w:rsid w:val="000C1B1E"/>
    <w:rsid w:val="000F2060"/>
    <w:rsid w:val="000F34E0"/>
    <w:rsid w:val="00100C77"/>
    <w:rsid w:val="001104A4"/>
    <w:rsid w:val="001105B7"/>
    <w:rsid w:val="00112EEC"/>
    <w:rsid w:val="001318C8"/>
    <w:rsid w:val="00137C9D"/>
    <w:rsid w:val="00140940"/>
    <w:rsid w:val="0014363A"/>
    <w:rsid w:val="001531B6"/>
    <w:rsid w:val="0015398F"/>
    <w:rsid w:val="00170334"/>
    <w:rsid w:val="00172CD5"/>
    <w:rsid w:val="00172DFF"/>
    <w:rsid w:val="001B6342"/>
    <w:rsid w:val="00203DC9"/>
    <w:rsid w:val="00232042"/>
    <w:rsid w:val="002324DF"/>
    <w:rsid w:val="00246D16"/>
    <w:rsid w:val="00250BE4"/>
    <w:rsid w:val="002555FD"/>
    <w:rsid w:val="00256EBC"/>
    <w:rsid w:val="00267454"/>
    <w:rsid w:val="002967A9"/>
    <w:rsid w:val="00296D38"/>
    <w:rsid w:val="002A7299"/>
    <w:rsid w:val="002D1330"/>
    <w:rsid w:val="002D789A"/>
    <w:rsid w:val="002D79DD"/>
    <w:rsid w:val="002E3891"/>
    <w:rsid w:val="002E6422"/>
    <w:rsid w:val="002F33E7"/>
    <w:rsid w:val="00307F85"/>
    <w:rsid w:val="0031439E"/>
    <w:rsid w:val="00351E08"/>
    <w:rsid w:val="00355885"/>
    <w:rsid w:val="00355CF4"/>
    <w:rsid w:val="003631E5"/>
    <w:rsid w:val="00363DA7"/>
    <w:rsid w:val="0036744F"/>
    <w:rsid w:val="00375AD2"/>
    <w:rsid w:val="0038540D"/>
    <w:rsid w:val="003947F2"/>
    <w:rsid w:val="00395522"/>
    <w:rsid w:val="00395F53"/>
    <w:rsid w:val="003B223D"/>
    <w:rsid w:val="003B748F"/>
    <w:rsid w:val="003C0E0C"/>
    <w:rsid w:val="003D5C85"/>
    <w:rsid w:val="003F7310"/>
    <w:rsid w:val="003F742B"/>
    <w:rsid w:val="004001D5"/>
    <w:rsid w:val="00416B2C"/>
    <w:rsid w:val="00423018"/>
    <w:rsid w:val="00427FB9"/>
    <w:rsid w:val="00433725"/>
    <w:rsid w:val="004349C8"/>
    <w:rsid w:val="00436D4B"/>
    <w:rsid w:val="00440370"/>
    <w:rsid w:val="004617FB"/>
    <w:rsid w:val="004718C0"/>
    <w:rsid w:val="004731A6"/>
    <w:rsid w:val="00476AA1"/>
    <w:rsid w:val="0048717A"/>
    <w:rsid w:val="004C148D"/>
    <w:rsid w:val="004C24F5"/>
    <w:rsid w:val="004D25FD"/>
    <w:rsid w:val="004E55D3"/>
    <w:rsid w:val="004F1576"/>
    <w:rsid w:val="005004FB"/>
    <w:rsid w:val="005035F7"/>
    <w:rsid w:val="00504267"/>
    <w:rsid w:val="005047DE"/>
    <w:rsid w:val="005114BD"/>
    <w:rsid w:val="00514103"/>
    <w:rsid w:val="00515E36"/>
    <w:rsid w:val="0053373A"/>
    <w:rsid w:val="00533BBE"/>
    <w:rsid w:val="005344A8"/>
    <w:rsid w:val="00536626"/>
    <w:rsid w:val="005530FC"/>
    <w:rsid w:val="00572A18"/>
    <w:rsid w:val="005862D0"/>
    <w:rsid w:val="00597E41"/>
    <w:rsid w:val="005B0FE6"/>
    <w:rsid w:val="005B5F1D"/>
    <w:rsid w:val="005C019D"/>
    <w:rsid w:val="005C09A6"/>
    <w:rsid w:val="005C259C"/>
    <w:rsid w:val="005D164E"/>
    <w:rsid w:val="005E347C"/>
    <w:rsid w:val="005F3E31"/>
    <w:rsid w:val="0061647A"/>
    <w:rsid w:val="00620CB8"/>
    <w:rsid w:val="006303E4"/>
    <w:rsid w:val="00631C33"/>
    <w:rsid w:val="00637972"/>
    <w:rsid w:val="00641904"/>
    <w:rsid w:val="0064468F"/>
    <w:rsid w:val="0065294B"/>
    <w:rsid w:val="006704C2"/>
    <w:rsid w:val="00684C32"/>
    <w:rsid w:val="006A1158"/>
    <w:rsid w:val="006A4011"/>
    <w:rsid w:val="006A471F"/>
    <w:rsid w:val="006A5198"/>
    <w:rsid w:val="006A6FA3"/>
    <w:rsid w:val="006B6EB9"/>
    <w:rsid w:val="006C0F31"/>
    <w:rsid w:val="006C55BC"/>
    <w:rsid w:val="006C56EC"/>
    <w:rsid w:val="006C5913"/>
    <w:rsid w:val="006E2763"/>
    <w:rsid w:val="006F74A7"/>
    <w:rsid w:val="0070777E"/>
    <w:rsid w:val="00736A39"/>
    <w:rsid w:val="007406DE"/>
    <w:rsid w:val="00742474"/>
    <w:rsid w:val="007433B6"/>
    <w:rsid w:val="0074366E"/>
    <w:rsid w:val="00746793"/>
    <w:rsid w:val="0077156E"/>
    <w:rsid w:val="007777B8"/>
    <w:rsid w:val="007805A7"/>
    <w:rsid w:val="007900CD"/>
    <w:rsid w:val="0079033E"/>
    <w:rsid w:val="007A100D"/>
    <w:rsid w:val="007C2CDD"/>
    <w:rsid w:val="007C7458"/>
    <w:rsid w:val="007D441F"/>
    <w:rsid w:val="007E3DA4"/>
    <w:rsid w:val="0080585C"/>
    <w:rsid w:val="00807485"/>
    <w:rsid w:val="00822FBE"/>
    <w:rsid w:val="00831664"/>
    <w:rsid w:val="00832BAA"/>
    <w:rsid w:val="008373D0"/>
    <w:rsid w:val="00843CDD"/>
    <w:rsid w:val="00852BC1"/>
    <w:rsid w:val="00866593"/>
    <w:rsid w:val="00867C57"/>
    <w:rsid w:val="00871FEC"/>
    <w:rsid w:val="008847BB"/>
    <w:rsid w:val="00885368"/>
    <w:rsid w:val="008954E9"/>
    <w:rsid w:val="008A4C06"/>
    <w:rsid w:val="008C1FAF"/>
    <w:rsid w:val="008C37C5"/>
    <w:rsid w:val="008C5384"/>
    <w:rsid w:val="008C7D70"/>
    <w:rsid w:val="008D2AEF"/>
    <w:rsid w:val="008D6707"/>
    <w:rsid w:val="008E68A7"/>
    <w:rsid w:val="008F3CDC"/>
    <w:rsid w:val="0092595D"/>
    <w:rsid w:val="00951D57"/>
    <w:rsid w:val="009522FA"/>
    <w:rsid w:val="00952A97"/>
    <w:rsid w:val="009532AE"/>
    <w:rsid w:val="009556AA"/>
    <w:rsid w:val="00962C53"/>
    <w:rsid w:val="00984208"/>
    <w:rsid w:val="009A5F10"/>
    <w:rsid w:val="009C488C"/>
    <w:rsid w:val="009C7579"/>
    <w:rsid w:val="00A0647F"/>
    <w:rsid w:val="00A130AA"/>
    <w:rsid w:val="00A4749D"/>
    <w:rsid w:val="00A50ACF"/>
    <w:rsid w:val="00A65C51"/>
    <w:rsid w:val="00A672D7"/>
    <w:rsid w:val="00A779D6"/>
    <w:rsid w:val="00A94859"/>
    <w:rsid w:val="00A95371"/>
    <w:rsid w:val="00AA7F7A"/>
    <w:rsid w:val="00AE6EF7"/>
    <w:rsid w:val="00AF3AD7"/>
    <w:rsid w:val="00B07904"/>
    <w:rsid w:val="00B07C4B"/>
    <w:rsid w:val="00B14C20"/>
    <w:rsid w:val="00B2231F"/>
    <w:rsid w:val="00B31FF4"/>
    <w:rsid w:val="00B570AE"/>
    <w:rsid w:val="00B61F9A"/>
    <w:rsid w:val="00B77331"/>
    <w:rsid w:val="00B9317B"/>
    <w:rsid w:val="00B95E7C"/>
    <w:rsid w:val="00BC1290"/>
    <w:rsid w:val="00BD3CCA"/>
    <w:rsid w:val="00BD632C"/>
    <w:rsid w:val="00C010A7"/>
    <w:rsid w:val="00C34C1C"/>
    <w:rsid w:val="00C4547F"/>
    <w:rsid w:val="00C63032"/>
    <w:rsid w:val="00C84D69"/>
    <w:rsid w:val="00CA5249"/>
    <w:rsid w:val="00CB64D6"/>
    <w:rsid w:val="00CE12D1"/>
    <w:rsid w:val="00D37060"/>
    <w:rsid w:val="00D40F23"/>
    <w:rsid w:val="00D42B30"/>
    <w:rsid w:val="00D71E50"/>
    <w:rsid w:val="00D71E6D"/>
    <w:rsid w:val="00D7279D"/>
    <w:rsid w:val="00D76F46"/>
    <w:rsid w:val="00D97669"/>
    <w:rsid w:val="00DC76C2"/>
    <w:rsid w:val="00DD753B"/>
    <w:rsid w:val="00DE6582"/>
    <w:rsid w:val="00E070C6"/>
    <w:rsid w:val="00E35CB0"/>
    <w:rsid w:val="00E67E6B"/>
    <w:rsid w:val="00E7278C"/>
    <w:rsid w:val="00EB0813"/>
    <w:rsid w:val="00ED264E"/>
    <w:rsid w:val="00ED2CC9"/>
    <w:rsid w:val="00ED629E"/>
    <w:rsid w:val="00EE1878"/>
    <w:rsid w:val="00EE1E54"/>
    <w:rsid w:val="00EE2984"/>
    <w:rsid w:val="00F1037C"/>
    <w:rsid w:val="00F12EF7"/>
    <w:rsid w:val="00F613D1"/>
    <w:rsid w:val="00F62C47"/>
    <w:rsid w:val="00F772C2"/>
    <w:rsid w:val="00F80F07"/>
    <w:rsid w:val="00F835CD"/>
    <w:rsid w:val="00FA6867"/>
    <w:rsid w:val="00FD1277"/>
    <w:rsid w:val="00FD6444"/>
    <w:rsid w:val="02063427"/>
    <w:rsid w:val="03E97283"/>
    <w:rsid w:val="045645C0"/>
    <w:rsid w:val="04AD35BB"/>
    <w:rsid w:val="08F22909"/>
    <w:rsid w:val="0B7E1AEF"/>
    <w:rsid w:val="0F9473FE"/>
    <w:rsid w:val="0FF03D3B"/>
    <w:rsid w:val="10D92909"/>
    <w:rsid w:val="13071A5B"/>
    <w:rsid w:val="14203462"/>
    <w:rsid w:val="14282C66"/>
    <w:rsid w:val="142D5185"/>
    <w:rsid w:val="14ED4D49"/>
    <w:rsid w:val="178E68E1"/>
    <w:rsid w:val="187769F1"/>
    <w:rsid w:val="19871A5C"/>
    <w:rsid w:val="1EAB33EE"/>
    <w:rsid w:val="1F037124"/>
    <w:rsid w:val="20353E2E"/>
    <w:rsid w:val="21F50EFD"/>
    <w:rsid w:val="226D6F9C"/>
    <w:rsid w:val="22867D3E"/>
    <w:rsid w:val="22B834CC"/>
    <w:rsid w:val="22BA6C58"/>
    <w:rsid w:val="22F977E7"/>
    <w:rsid w:val="239C0820"/>
    <w:rsid w:val="24B3368D"/>
    <w:rsid w:val="24FF4DBF"/>
    <w:rsid w:val="256D300D"/>
    <w:rsid w:val="26C47DB8"/>
    <w:rsid w:val="27591DDF"/>
    <w:rsid w:val="277C2B6C"/>
    <w:rsid w:val="287E3741"/>
    <w:rsid w:val="28C12FC4"/>
    <w:rsid w:val="2CB02D9F"/>
    <w:rsid w:val="2D637948"/>
    <w:rsid w:val="2E3A29A3"/>
    <w:rsid w:val="30E3277E"/>
    <w:rsid w:val="32B1544F"/>
    <w:rsid w:val="336851BD"/>
    <w:rsid w:val="35577316"/>
    <w:rsid w:val="374B50F4"/>
    <w:rsid w:val="38830D8A"/>
    <w:rsid w:val="38C45C47"/>
    <w:rsid w:val="39112CF3"/>
    <w:rsid w:val="394E275F"/>
    <w:rsid w:val="3AF040DC"/>
    <w:rsid w:val="3B97259B"/>
    <w:rsid w:val="3BF42446"/>
    <w:rsid w:val="3C6E1044"/>
    <w:rsid w:val="3E1D2536"/>
    <w:rsid w:val="40692574"/>
    <w:rsid w:val="40BA7762"/>
    <w:rsid w:val="40E42EAD"/>
    <w:rsid w:val="419B592A"/>
    <w:rsid w:val="42C321E3"/>
    <w:rsid w:val="44CF424F"/>
    <w:rsid w:val="44FE7ACA"/>
    <w:rsid w:val="45332204"/>
    <w:rsid w:val="45706814"/>
    <w:rsid w:val="46D11360"/>
    <w:rsid w:val="46F853A0"/>
    <w:rsid w:val="46F96E62"/>
    <w:rsid w:val="47207120"/>
    <w:rsid w:val="472E5999"/>
    <w:rsid w:val="483B5A4C"/>
    <w:rsid w:val="49F22E5E"/>
    <w:rsid w:val="4A7A052A"/>
    <w:rsid w:val="4BA5375E"/>
    <w:rsid w:val="4DB97155"/>
    <w:rsid w:val="52DE1FE0"/>
    <w:rsid w:val="531A233B"/>
    <w:rsid w:val="54AA7074"/>
    <w:rsid w:val="54E52762"/>
    <w:rsid w:val="55EB5D70"/>
    <w:rsid w:val="55F42A60"/>
    <w:rsid w:val="56A06ED8"/>
    <w:rsid w:val="57114DA6"/>
    <w:rsid w:val="57BA3C8B"/>
    <w:rsid w:val="587A4EC7"/>
    <w:rsid w:val="5CBC2185"/>
    <w:rsid w:val="5CD6112E"/>
    <w:rsid w:val="5D1E0517"/>
    <w:rsid w:val="5D4D151D"/>
    <w:rsid w:val="5D5C1A81"/>
    <w:rsid w:val="5E5A47C8"/>
    <w:rsid w:val="5EF872DF"/>
    <w:rsid w:val="5FE40D51"/>
    <w:rsid w:val="614C0B22"/>
    <w:rsid w:val="62811AA6"/>
    <w:rsid w:val="62D957B2"/>
    <w:rsid w:val="65527A8B"/>
    <w:rsid w:val="65C6767C"/>
    <w:rsid w:val="67746BAD"/>
    <w:rsid w:val="68807C45"/>
    <w:rsid w:val="68D855FF"/>
    <w:rsid w:val="6B9D61A3"/>
    <w:rsid w:val="6C385882"/>
    <w:rsid w:val="6E2C310F"/>
    <w:rsid w:val="6E951B41"/>
    <w:rsid w:val="6ED83431"/>
    <w:rsid w:val="6F5A45AA"/>
    <w:rsid w:val="6F652A00"/>
    <w:rsid w:val="6FC00ECA"/>
    <w:rsid w:val="6FCA5E2A"/>
    <w:rsid w:val="6FCA69BF"/>
    <w:rsid w:val="70593D8C"/>
    <w:rsid w:val="70D40212"/>
    <w:rsid w:val="71DB3500"/>
    <w:rsid w:val="73444003"/>
    <w:rsid w:val="74C77BF4"/>
    <w:rsid w:val="756E33D8"/>
    <w:rsid w:val="760D4365"/>
    <w:rsid w:val="79AB0441"/>
    <w:rsid w:val="7A614675"/>
    <w:rsid w:val="7ADF0311"/>
    <w:rsid w:val="7B5F3D7C"/>
    <w:rsid w:val="7BE944F5"/>
    <w:rsid w:val="7C367028"/>
    <w:rsid w:val="7CD705C4"/>
    <w:rsid w:val="7F042647"/>
    <w:rsid w:val="7F3D0469"/>
    <w:rsid w:val="7FE26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4C78F50"/>
  <w15:docId w15:val="{B4AEB793-2A04-4A17-94F1-A9A7C9C95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toc 9" w:qFormat="1"/>
    <w:lsdException w:name="annotation tex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unhideWhenUsed/>
    <w:qFormat/>
    <w:pPr>
      <w:keepNext/>
      <w:keepLines/>
      <w:spacing w:line="360" w:lineRule="auto"/>
      <w:ind w:firstLineChars="200" w:firstLine="200"/>
      <w:outlineLvl w:val="1"/>
    </w:pPr>
    <w:rPr>
      <w:rFonts w:ascii="Arial" w:eastAsia="仿宋" w:hAnsi="Arial"/>
      <w:b/>
      <w:sz w:val="32"/>
    </w:rPr>
  </w:style>
  <w:style w:type="paragraph" w:styleId="3">
    <w:name w:val="heading 3"/>
    <w:basedOn w:val="a"/>
    <w:next w:val="a"/>
    <w:unhideWhenUsed/>
    <w:qFormat/>
    <w:pPr>
      <w:keepNext/>
      <w:keepLines/>
      <w:spacing w:before="260" w:after="260" w:line="413" w:lineRule="auto"/>
      <w:outlineLvl w:val="2"/>
    </w:pPr>
    <w:rPr>
      <w:b/>
      <w:sz w:val="32"/>
    </w:rPr>
  </w:style>
  <w:style w:type="paragraph" w:styleId="6">
    <w:name w:val="heading 6"/>
    <w:basedOn w:val="a"/>
    <w:next w:val="a"/>
    <w:uiPriority w:val="9"/>
    <w:qFormat/>
    <w:pPr>
      <w:keepNext/>
      <w:keepLines/>
      <w:spacing w:line="360" w:lineRule="auto"/>
      <w:outlineLvl w:val="5"/>
    </w:pPr>
    <w:rPr>
      <w:rFonts w:ascii="Cambria" w:hAnsi="Cambria" w:cs="Times New Roman"/>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uiPriority w:val="1"/>
    <w:qFormat/>
    <w:rPr>
      <w:rFonts w:eastAsia="仿宋_GB2312"/>
      <w:sz w:val="32"/>
      <w:szCs w:val="32"/>
    </w:r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annotation text"/>
    <w:basedOn w:val="a"/>
    <w:qFormat/>
    <w:pPr>
      <w:jc w:val="left"/>
    </w:pPr>
  </w:style>
  <w:style w:type="paragraph" w:styleId="TOC3">
    <w:name w:val="toc 3"/>
    <w:basedOn w:val="a"/>
    <w:next w:val="a"/>
    <w:qFormat/>
    <w:pPr>
      <w:ind w:leftChars="400" w:left="840"/>
    </w:pPr>
  </w:style>
  <w:style w:type="paragraph" w:styleId="21">
    <w:name w:val="Body Text Indent 2"/>
    <w:basedOn w:val="a"/>
    <w:next w:val="TOC9"/>
    <w:qFormat/>
    <w:pPr>
      <w:spacing w:after="120" w:line="480" w:lineRule="auto"/>
      <w:ind w:leftChars="200" w:left="420"/>
    </w:pPr>
    <w:rPr>
      <w:rFonts w:ascii="Calibri" w:eastAsia="宋体" w:hAnsi="Calibri"/>
    </w:rPr>
  </w:style>
  <w:style w:type="paragraph" w:styleId="TOC9">
    <w:name w:val="toc 9"/>
    <w:next w:val="a"/>
    <w:qFormat/>
    <w:pPr>
      <w:wordWrap w:val="0"/>
      <w:ind w:left="2975"/>
      <w:jc w:val="both"/>
    </w:pPr>
    <w:rPr>
      <w:rFonts w:ascii="Calibri" w:hAnsi="Calibri"/>
      <w:sz w:val="21"/>
      <w:szCs w:val="22"/>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table" w:styleId="a8">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正文文本缩进 21"/>
    <w:basedOn w:val="a"/>
    <w:next w:val="a7"/>
    <w:qFormat/>
    <w:pPr>
      <w:spacing w:line="480" w:lineRule="auto"/>
      <w:ind w:leftChars="200" w:left="420"/>
    </w:pPr>
  </w:style>
  <w:style w:type="paragraph" w:customStyle="1" w:styleId="22">
    <w:name w:val="样式  + 首行缩进:  2 字符"/>
    <w:basedOn w:val="a"/>
    <w:qFormat/>
    <w:pPr>
      <w:adjustRightInd w:val="0"/>
      <w:snapToGrid w:val="0"/>
      <w:ind w:firstLine="480"/>
    </w:pPr>
    <w:rPr>
      <w:kern w:val="0"/>
      <w:sz w:val="24"/>
    </w:rPr>
  </w:style>
  <w:style w:type="paragraph" w:styleId="a9">
    <w:name w:val="List Paragraph"/>
    <w:basedOn w:val="a"/>
    <w:uiPriority w:val="99"/>
    <w:qFormat/>
    <w:pPr>
      <w:ind w:firstLineChars="200" w:firstLine="420"/>
    </w:p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 w:type="character" w:customStyle="1" w:styleId="10">
    <w:name w:val="标题 1 字符"/>
    <w:basedOn w:val="a1"/>
    <w:link w:val="1"/>
    <w:qFormat/>
    <w:rPr>
      <w:rFonts w:asciiTheme="minorHAnsi" w:eastAsiaTheme="minorEastAsia" w:hAnsiTheme="minorHAnsi" w:cstheme="minorBidi"/>
      <w:b/>
      <w:bCs/>
      <w:kern w:val="44"/>
      <w:sz w:val="44"/>
      <w:szCs w:val="44"/>
    </w:rPr>
  </w:style>
  <w:style w:type="character" w:customStyle="1" w:styleId="20">
    <w:name w:val="标题 2 字符"/>
    <w:link w:val="2"/>
    <w:qFormat/>
    <w:rPr>
      <w:rFonts w:ascii="Arial" w:eastAsia="仿宋" w:hAnsi="Arial"/>
      <w:b/>
      <w:sz w:val="32"/>
    </w:rPr>
  </w:style>
  <w:style w:type="character" w:customStyle="1" w:styleId="a5">
    <w:name w:val="页脚 字符"/>
    <w:basedOn w:val="a1"/>
    <w:link w:val="a4"/>
    <w:uiPriority w:val="99"/>
    <w:qFormat/>
    <w:rPr>
      <w:rFonts w:asciiTheme="minorHAnsi" w:eastAsiaTheme="minorEastAsia" w:hAnsiTheme="minorHAnsi" w:cstheme="minorBidi"/>
      <w:kern w:val="2"/>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10" Type="http://schemas.openxmlformats.org/officeDocument/2006/relationships/font" Target="fonts/font10.odttf"/><Relationship Id="rId4" Type="http://schemas.openxmlformats.org/officeDocument/2006/relationships/font" Target="fonts/font4.odttf"/><Relationship Id="rId9" Type="http://schemas.openxmlformats.org/officeDocument/2006/relationships/font" Target="fonts/font9.odttf"/></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200" b="0" i="0" u="none" strike="noStrike" kern="1200" spc="0" baseline="0">
                <a:solidFill>
                  <a:schemeClr val="tx1"/>
                </a:solidFill>
                <a:latin typeface="+mn-lt"/>
                <a:ea typeface="+mn-ea"/>
                <a:cs typeface="+mn-cs"/>
              </a:defRPr>
            </a:pPr>
            <a:r>
              <a:rPr lang="en-US" altLang="zh-CN" sz="1200"/>
              <a:t>          2022</a:t>
            </a:r>
            <a:r>
              <a:rPr altLang="en-US" sz="1200"/>
              <a:t>年度法官法警服装费绩效评价指标得分情况</a:t>
            </a:r>
            <a:endParaRPr lang="en-US" altLang="zh-CN" sz="1200"/>
          </a:p>
        </c:rich>
      </c:tx>
      <c:layout>
        <c:manualLayout>
          <c:xMode val="edge"/>
          <c:yMode val="edge"/>
          <c:x val="0.14608316230624999"/>
          <c:y val="1.7911599130179399E-2"/>
        </c:manualLayout>
      </c:layout>
      <c:overlay val="0"/>
      <c:spPr>
        <a:noFill/>
        <a:ln>
          <a:noFill/>
        </a:ln>
        <a:effectLst/>
      </c:spPr>
      <c:txPr>
        <a:bodyPr rot="0" spcFirstLastPara="0" vertOverflow="ellipsis" vert="horz" wrap="square" anchor="ctr" anchorCtr="1"/>
        <a:lstStyle/>
        <a:p>
          <a:pPr defTabSz="914400">
            <a:defRPr lang="zh-CN" sz="1200" b="0" i="0" u="none" strike="noStrike" kern="1200" spc="0" baseline="0">
              <a:solidFill>
                <a:schemeClr val="tx1"/>
              </a:solidFill>
              <a:latin typeface="+mn-lt"/>
              <a:ea typeface="+mn-ea"/>
              <a:cs typeface="+mn-cs"/>
            </a:defRPr>
          </a:pPr>
          <a:endParaRPr lang="zh-CN"/>
        </a:p>
      </c:txPr>
    </c:title>
    <c:autoTitleDeleted val="0"/>
    <c:plotArea>
      <c:layout>
        <c:manualLayout>
          <c:layoutTarget val="inner"/>
          <c:xMode val="edge"/>
          <c:yMode val="edge"/>
          <c:x val="0.12518519940407999"/>
          <c:y val="0.12500399201596801"/>
          <c:w val="0.8337"/>
          <c:h val="0.57630000000000003"/>
        </c:manualLayout>
      </c:layout>
      <c:barChart>
        <c:barDir val="col"/>
        <c:grouping val="clustered"/>
        <c:varyColors val="0"/>
        <c:ser>
          <c:idx val="0"/>
          <c:order val="0"/>
          <c:tx>
            <c:strRef>
              <c:f>Sheet1!$B$1</c:f>
              <c:strCache>
                <c:ptCount val="1"/>
                <c:pt idx="0">
                  <c:v>权重</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产出指标</c:v>
                </c:pt>
                <c:pt idx="3">
                  <c:v>效益指标</c:v>
                </c:pt>
                <c:pt idx="4">
                  <c:v>满意度指标</c:v>
                </c:pt>
              </c:strCache>
            </c:strRef>
          </c:cat>
          <c:val>
            <c:numRef>
              <c:f>Sheet1!$B$2:$B$6</c:f>
              <c:numCache>
                <c:formatCode>General</c:formatCode>
                <c:ptCount val="5"/>
                <c:pt idx="0">
                  <c:v>12</c:v>
                </c:pt>
                <c:pt idx="1">
                  <c:v>18</c:v>
                </c:pt>
                <c:pt idx="2">
                  <c:v>40</c:v>
                </c:pt>
                <c:pt idx="3">
                  <c:v>20</c:v>
                </c:pt>
                <c:pt idx="4">
                  <c:v>10</c:v>
                </c:pt>
              </c:numCache>
            </c:numRef>
          </c:val>
          <c:extLst>
            <c:ext xmlns:c16="http://schemas.microsoft.com/office/drawing/2014/chart" uri="{C3380CC4-5D6E-409C-BE32-E72D297353CC}">
              <c16:uniqueId val="{00000000-116C-401A-BD67-D329041C326F}"/>
            </c:ext>
          </c:extLst>
        </c:ser>
        <c:ser>
          <c:idx val="1"/>
          <c:order val="1"/>
          <c:tx>
            <c:strRef>
              <c:f>Sheet1!$C$1</c:f>
              <c:strCache>
                <c:ptCount val="1"/>
                <c:pt idx="0">
                  <c:v>得分</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产出指标</c:v>
                </c:pt>
                <c:pt idx="3">
                  <c:v>效益指标</c:v>
                </c:pt>
                <c:pt idx="4">
                  <c:v>满意度指标</c:v>
                </c:pt>
              </c:strCache>
            </c:strRef>
          </c:cat>
          <c:val>
            <c:numRef>
              <c:f>Sheet1!$C$2:$C$6</c:f>
              <c:numCache>
                <c:formatCode>General</c:formatCode>
                <c:ptCount val="5"/>
                <c:pt idx="0">
                  <c:v>12</c:v>
                </c:pt>
                <c:pt idx="1">
                  <c:v>18</c:v>
                </c:pt>
                <c:pt idx="2">
                  <c:v>37</c:v>
                </c:pt>
                <c:pt idx="3">
                  <c:v>20</c:v>
                </c:pt>
                <c:pt idx="4">
                  <c:v>10</c:v>
                </c:pt>
              </c:numCache>
            </c:numRef>
          </c:val>
          <c:extLst>
            <c:ext xmlns:c16="http://schemas.microsoft.com/office/drawing/2014/chart" uri="{C3380CC4-5D6E-409C-BE32-E72D297353CC}">
              <c16:uniqueId val="{00000001-116C-401A-BD67-D329041C326F}"/>
            </c:ext>
          </c:extLst>
        </c:ser>
        <c:ser>
          <c:idx val="2"/>
          <c:order val="2"/>
          <c:tx>
            <c:strRef>
              <c:f>Sheet1!$D$1</c:f>
              <c:strCache>
                <c:ptCount val="1"/>
                <c:pt idx="0">
                  <c:v>得分率</c:v>
                </c:pt>
              </c:strCache>
            </c:strRef>
          </c:tx>
          <c:spPr>
            <a:noFill/>
            <a:ln>
              <a:noFill/>
            </a:ln>
            <a:effectLst/>
          </c:spPr>
          <c:invertIfNegative val="0"/>
          <c:dLbls>
            <c:dLbl>
              <c:idx val="0"/>
              <c:layout>
                <c:manualLayout>
                  <c:x val="2.3774776976658901E-2"/>
                  <c:y val="2.4839577727178599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116C-401A-BD67-D329041C326F}"/>
                </c:ext>
              </c:extLst>
            </c:dLbl>
            <c:dLbl>
              <c:idx val="1"/>
              <c:layout>
                <c:manualLayout>
                  <c:x val="2.725E-2"/>
                  <c:y val="-4.1666666666666701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16C-401A-BD67-D329041C326F}"/>
                </c:ext>
              </c:extLst>
            </c:dLbl>
            <c:dLbl>
              <c:idx val="2"/>
              <c:layout>
                <c:manualLayout>
                  <c:x val="2.8750000000000001E-2"/>
                  <c:y val="-4.0000000000000001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116C-401A-BD67-D329041C326F}"/>
                </c:ext>
              </c:extLst>
            </c:dLbl>
            <c:dLbl>
              <c:idx val="3"/>
              <c:layout>
                <c:manualLayout>
                  <c:x val="3.175E-2"/>
                  <c:y val="-6.0000000000000001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116C-401A-BD67-D329041C326F}"/>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Sheet1!$A$2:$A$6</c:f>
              <c:strCache>
                <c:ptCount val="5"/>
                <c:pt idx="0">
                  <c:v>决策指标</c:v>
                </c:pt>
                <c:pt idx="1">
                  <c:v>过程指标</c:v>
                </c:pt>
                <c:pt idx="2">
                  <c:v>产出指标</c:v>
                </c:pt>
                <c:pt idx="3">
                  <c:v>效益指标</c:v>
                </c:pt>
                <c:pt idx="4">
                  <c:v>满意度指标</c:v>
                </c:pt>
              </c:strCache>
            </c:strRef>
          </c:cat>
          <c:val>
            <c:numRef>
              <c:f>Sheet1!$D$2:$D$6</c:f>
              <c:numCache>
                <c:formatCode>0.00%</c:formatCode>
                <c:ptCount val="5"/>
                <c:pt idx="0">
                  <c:v>1</c:v>
                </c:pt>
                <c:pt idx="1">
                  <c:v>1</c:v>
                </c:pt>
                <c:pt idx="2">
                  <c:v>0.92500000000000004</c:v>
                </c:pt>
                <c:pt idx="3">
                  <c:v>1</c:v>
                </c:pt>
                <c:pt idx="4">
                  <c:v>1</c:v>
                </c:pt>
              </c:numCache>
            </c:numRef>
          </c:val>
          <c:extLst>
            <c:ext xmlns:c16="http://schemas.microsoft.com/office/drawing/2014/chart" uri="{C3380CC4-5D6E-409C-BE32-E72D297353CC}">
              <c16:uniqueId val="{00000006-116C-401A-BD67-D329041C326F}"/>
            </c:ext>
          </c:extLst>
        </c:ser>
        <c:dLbls>
          <c:showLegendKey val="0"/>
          <c:showVal val="1"/>
          <c:showCatName val="0"/>
          <c:showSerName val="0"/>
          <c:showPercent val="0"/>
          <c:showBubbleSize val="0"/>
        </c:dLbls>
        <c:gapWidth val="219"/>
        <c:overlap val="-27"/>
        <c:axId val="33121172"/>
        <c:axId val="262562026"/>
      </c:barChart>
      <c:catAx>
        <c:axId val="33121172"/>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crossAx val="262562026"/>
        <c:crosses val="autoZero"/>
        <c:auto val="1"/>
        <c:lblAlgn val="ctr"/>
        <c:lblOffset val="100"/>
        <c:noMultiLvlLbl val="0"/>
      </c:catAx>
      <c:valAx>
        <c:axId val="26256202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crossAx val="3312117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dTable>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ayout>
        <c:manualLayout>
          <c:xMode val="edge"/>
          <c:yMode val="edge"/>
          <c:x val="0.37632897470365401"/>
          <c:y val="0.92486027737528498"/>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solidFill>
      <a:schemeClr val="bg1">
        <a:alpha val="91000"/>
      </a:schemeClr>
    </a:solidFill>
    <a:ln w="9525" cap="flat" cmpd="sng" algn="ctr">
      <a:solidFill>
        <a:schemeClr val="tx1">
          <a:lumMod val="15000"/>
          <a:lumOff val="85000"/>
        </a:schemeClr>
      </a:solidFill>
      <a:round/>
    </a:ln>
    <a:effectLst/>
  </c:spPr>
  <c:txPr>
    <a:bodyPr/>
    <a:lstStyle/>
    <a:p>
      <a:pPr>
        <a:defRPr lang="zh-CN" sz="900">
          <a:solidFill>
            <a:schemeClr val="tx1"/>
          </a:solidFill>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6FE1B691-4768-4DC5-997A-E5D4811F1EC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33</Pages>
  <Words>2575</Words>
  <Characters>14682</Characters>
  <Application>Microsoft Office Word</Application>
  <DocSecurity>0</DocSecurity>
  <Lines>122</Lines>
  <Paragraphs>34</Paragraphs>
  <ScaleCrop>false</ScaleCrop>
  <Company>微软中国</Company>
  <LinksUpToDate>false</LinksUpToDate>
  <CharactersWithSpaces>17223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1129</dc:creator>
  <cp:lastModifiedBy>Windows User</cp:lastModifiedBy>
  <cp:revision>257</cp:revision>
  <cp:lastPrinted>2023-05-29T11:44:00Z</cp:lastPrinted>
  <dcterms:created xsi:type="dcterms:W3CDTF">2021-05-13T03:50:00Z</dcterms:created>
  <dcterms:modified xsi:type="dcterms:W3CDTF">2023-08-11T03:12:00Z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C5072DA70CF74DA59F16438F61721810_13</vt:lpwstr>
  </property>
</Properties>
</file>