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bidi w:val="0"/>
        <w:rPr>
          <w:highlight w:val="none"/>
        </w:rPr>
      </w:pPr>
      <w:r>
        <w:rPr>
          <w:rFonts w:hint="eastAsia"/>
        </w:rPr>
        <w:t xml:space="preserve"> </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hint="eastAsia" w:ascii="方正小标宋简体" w:hAnsi="方正小标宋简体" w:eastAsia="方正小标宋简体" w:cs="方正小标宋简体"/>
          <w:sz w:val="44"/>
          <w:szCs w:val="44"/>
          <w:highlight w:val="none"/>
        </w:rPr>
      </w:pPr>
      <w:bookmarkStart w:id="0" w:name="_Toc24322"/>
      <w:bookmarkStart w:id="1" w:name="_Toc30170"/>
      <w:bookmarkStart w:id="2" w:name="_Toc29616"/>
      <w:bookmarkStart w:id="3" w:name="_Toc73915926"/>
      <w:bookmarkStart w:id="4" w:name="_Toc16957"/>
      <w:bookmarkStart w:id="5" w:name="_Toc21198"/>
      <w:bookmarkStart w:id="6" w:name="_Toc818"/>
      <w:bookmarkStart w:id="7" w:name="_Toc3655"/>
      <w:bookmarkStart w:id="8" w:name="_Toc17249"/>
      <w:bookmarkStart w:id="9" w:name="_Toc24122"/>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甘肃省高级人民法院</w:t>
      </w:r>
      <w:r>
        <w:rPr>
          <w:rFonts w:hint="eastAsia" w:ascii="方正小标宋简体" w:hAnsi="方正小标宋简体" w:eastAsia="方正小标宋简体" w:cs="方正小标宋简体"/>
          <w:sz w:val="44"/>
          <w:szCs w:val="44"/>
          <w:highlight w:val="none"/>
        </w:rPr>
        <w:t>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w:t>
      </w:r>
      <w:r>
        <w:rPr>
          <w:rFonts w:hint="eastAsia" w:ascii="方正小标宋简体" w:hAnsi="方正小标宋简体" w:eastAsia="方正小标宋简体" w:cs="方正小标宋简体"/>
          <w:sz w:val="44"/>
          <w:szCs w:val="44"/>
          <w:highlight w:val="none"/>
          <w:lang w:eastAsia="zh-CN"/>
        </w:rPr>
        <w:t>全省法院“两庭建设”资金</w:t>
      </w:r>
      <w:r>
        <w:rPr>
          <w:rFonts w:hint="eastAsia" w:ascii="方正小标宋简体" w:hAnsi="方正小标宋简体" w:eastAsia="方正小标宋简体" w:cs="方正小标宋简体"/>
          <w:sz w:val="44"/>
          <w:szCs w:val="44"/>
          <w:highlight w:val="none"/>
          <w:lang w:val="en-US" w:eastAsia="zh-CN"/>
        </w:rPr>
        <w:t>项目</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绩效评价报告</w:t>
      </w: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keepNext w:val="0"/>
        <w:keepLines w:val="0"/>
        <w:pageBreakBefore w:val="0"/>
        <w:widowControl w:val="0"/>
        <w:kinsoku/>
        <w:wordWrap/>
        <w:overflowPunct w:val="0"/>
        <w:topLinePunct w:val="0"/>
        <w:autoSpaceDE/>
        <w:autoSpaceDN/>
        <w:bidi w:val="0"/>
        <w:adjustRightInd/>
        <w:spacing w:line="578" w:lineRule="exact"/>
        <w:ind w:left="1600" w:hanging="1600" w:hangingChars="500"/>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3"/>
        <w:keepNext w:val="0"/>
        <w:keepLines w:val="0"/>
        <w:pageBreakBefore w:val="0"/>
        <w:widowControl w:val="0"/>
        <w:kinsoku/>
        <w:wordWrap/>
        <w:overflowPunct w:val="0"/>
        <w:topLinePunct w:val="0"/>
        <w:autoSpaceDE/>
        <w:autoSpaceDN/>
        <w:bidi w:val="0"/>
        <w:adjustRightInd/>
        <w:rPr>
          <w:highlight w:val="none"/>
        </w:rPr>
      </w:pPr>
    </w:p>
    <w:p>
      <w:pPr>
        <w:keepNext w:val="0"/>
        <w:keepLines w:val="0"/>
        <w:pageBreakBefore w:val="0"/>
        <w:widowControl w:val="0"/>
        <w:kinsoku/>
        <w:wordWrap/>
        <w:overflowPunct w:val="0"/>
        <w:topLinePunct w:val="0"/>
        <w:autoSpaceDE/>
        <w:autoSpaceDN/>
        <w:bidi w:val="0"/>
        <w:adjustRightInd/>
        <w:spacing w:line="578" w:lineRule="exact"/>
        <w:ind w:firstLine="300" w:firstLineChars="100"/>
        <w:rPr>
          <w:rFonts w:hint="eastAsia"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lang w:eastAsia="zh-CN"/>
        </w:rPr>
        <w:t>全省法院“两庭建设”资金项目经费</w:t>
      </w:r>
      <w:r>
        <w:rPr>
          <w:rFonts w:hint="eastAsia" w:ascii="仿宋_GB2312" w:hAnsi="仿宋" w:eastAsia="仿宋_GB2312" w:cs="仿宋"/>
          <w:sz w:val="30"/>
          <w:szCs w:val="32"/>
          <w:highlight w:val="none"/>
          <w:u w:val="single"/>
          <w:lang w:val="en-US" w:eastAsia="zh-CN"/>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lang w:val="en-US" w:eastAsia="zh-CN"/>
        </w:rPr>
        <w:t xml:space="preserve">甘肃省高级人民法院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年01月01日至 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年12月31日</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keepNext w:val="0"/>
        <w:keepLines w:val="0"/>
        <w:pageBreakBefore w:val="0"/>
        <w:widowControl w:val="0"/>
        <w:kinsoku/>
        <w:wordWrap/>
        <w:overflowPunct w:val="0"/>
        <w:topLinePunct w:val="0"/>
        <w:autoSpaceDE/>
        <w:autoSpaceDN/>
        <w:bidi w:val="0"/>
        <w:adjustRightInd/>
        <w:spacing w:line="578" w:lineRule="exact"/>
        <w:rPr>
          <w:rFonts w:ascii="仿宋_GB2312" w:hAnsi="仿宋" w:eastAsia="仿宋_GB2312" w:cs="仿宋"/>
          <w:sz w:val="30"/>
          <w:szCs w:val="32"/>
          <w:highlight w:val="none"/>
        </w:rPr>
      </w:pPr>
    </w:p>
    <w:p>
      <w:pPr>
        <w:keepNext w:val="0"/>
        <w:keepLines w:val="0"/>
        <w:pageBreakBefore w:val="0"/>
        <w:widowControl w:val="0"/>
        <w:kinsoku/>
        <w:wordWrap/>
        <w:overflowPunct w:val="0"/>
        <w:topLinePunct w:val="0"/>
        <w:autoSpaceDE/>
        <w:autoSpaceDN/>
        <w:bidi w:val="0"/>
        <w:adjustRightInd/>
        <w:spacing w:line="578" w:lineRule="exact"/>
        <w:ind w:left="4800" w:hanging="4800" w:hangingChars="1600"/>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4800" w:hanging="4800" w:hangingChars="1600"/>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hint="eastAsia" w:ascii="宋体" w:hAnsi="宋体" w:eastAsia="宋体" w:cs="宋体"/>
          <w:sz w:val="30"/>
          <w:szCs w:val="32"/>
          <w:highlight w:val="none"/>
        </w:rPr>
      </w:pPr>
      <w:r>
        <w:rPr>
          <w:rFonts w:hint="eastAsia" w:ascii="宋体" w:hAnsi="宋体" w:eastAsia="宋体" w:cs="宋体"/>
          <w:sz w:val="30"/>
          <w:szCs w:val="32"/>
          <w:highlight w:val="none"/>
          <w:lang w:val="en-US" w:eastAsia="zh-CN"/>
        </w:rPr>
        <w:t>评价</w:t>
      </w:r>
      <w:r>
        <w:rPr>
          <w:rFonts w:hint="eastAsia" w:ascii="宋体" w:hAnsi="宋体" w:eastAsia="宋体" w:cs="宋体"/>
          <w:sz w:val="30"/>
          <w:szCs w:val="32"/>
          <w:highlight w:val="none"/>
        </w:rPr>
        <w:t>单位：甘肃卓诚财务咨询有限公司</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hint="eastAsia" w:ascii="宋体" w:hAnsi="宋体" w:eastAsia="宋体" w:cs="宋体"/>
          <w:sz w:val="30"/>
          <w:szCs w:val="32"/>
          <w:highlight w:val="none"/>
        </w:rPr>
        <w:sectPr>
          <w:headerReference r:id="rId3"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sz w:val="30"/>
          <w:szCs w:val="32"/>
          <w:highlight w:val="none"/>
          <w:lang w:val="en-US" w:eastAsia="zh-CN"/>
        </w:rPr>
        <w:t>上报</w:t>
      </w:r>
      <w:r>
        <w:rPr>
          <w:rFonts w:hint="eastAsia" w:ascii="宋体" w:hAnsi="宋体" w:eastAsia="宋体" w:cs="宋体"/>
          <w:sz w:val="30"/>
          <w:szCs w:val="32"/>
          <w:highlight w:val="none"/>
        </w:rPr>
        <w:t>日期：202</w:t>
      </w:r>
      <w:r>
        <w:rPr>
          <w:rFonts w:hint="eastAsia" w:ascii="宋体" w:hAnsi="宋体" w:eastAsia="宋体" w:cs="宋体"/>
          <w:sz w:val="30"/>
          <w:szCs w:val="32"/>
          <w:highlight w:val="none"/>
          <w:lang w:val="en-US" w:eastAsia="zh-CN"/>
        </w:rPr>
        <w:t>3</w:t>
      </w:r>
      <w:r>
        <w:rPr>
          <w:rFonts w:hint="eastAsia" w:ascii="宋体" w:hAnsi="宋体" w:eastAsia="宋体" w:cs="宋体"/>
          <w:sz w:val="30"/>
          <w:szCs w:val="32"/>
          <w:highlight w:val="none"/>
        </w:rPr>
        <w:t>年0</w:t>
      </w:r>
      <w:r>
        <w:rPr>
          <w:rFonts w:hint="eastAsia" w:ascii="宋体" w:hAnsi="宋体" w:eastAsia="宋体" w:cs="宋体"/>
          <w:sz w:val="30"/>
          <w:szCs w:val="32"/>
          <w:highlight w:val="none"/>
          <w:lang w:val="en-US" w:eastAsia="zh-CN"/>
        </w:rPr>
        <w:t>5</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29</w:t>
      </w:r>
      <w:r>
        <w:rPr>
          <w:rFonts w:hint="eastAsia" w:ascii="宋体" w:hAnsi="宋体" w:eastAsia="宋体" w:cs="宋体"/>
          <w:sz w:val="30"/>
          <w:szCs w:val="32"/>
          <w:highlight w:val="none"/>
        </w:rPr>
        <w:t>日</w:t>
      </w:r>
    </w:p>
    <w:sdt>
      <w:sdtPr>
        <w:rPr>
          <w:rFonts w:ascii="宋体" w:hAnsi="宋体" w:eastAsia="宋体" w:cstheme="minorBidi"/>
          <w:kern w:val="2"/>
          <w:sz w:val="21"/>
          <w:szCs w:val="22"/>
          <w:highlight w:val="none"/>
          <w:lang w:val="en-US" w:eastAsia="zh-CN" w:bidi="ar-SA"/>
        </w:rPr>
        <w:id w:val="147474036"/>
        <w15:color w:val="DBDBDB"/>
        <w:docPartObj>
          <w:docPartGallery w:val="Table of Contents"/>
          <w:docPartUnique/>
        </w:docPartObj>
      </w:sdtPr>
      <w:sdtEndPr>
        <w:rPr>
          <w:rFonts w:ascii="宋体" w:hAnsi="宋体" w:eastAsia="宋体" w:cstheme="minorBidi"/>
          <w:b/>
          <w:kern w:val="2"/>
          <w:sz w:val="21"/>
          <w:szCs w:val="22"/>
          <w:highlight w:val="none"/>
          <w:lang w:val="en-US" w:eastAsia="zh-CN" w:bidi="ar-SA"/>
        </w:rPr>
      </w:sdtEndPr>
      <w:sdtContent>
        <w:p>
          <w:pPr>
            <w:spacing w:before="0" w:beforeLines="0" w:after="0" w:afterLines="0" w:line="240" w:lineRule="auto"/>
            <w:ind w:left="0" w:leftChars="0" w:right="0" w:rightChars="0" w:firstLine="0" w:firstLineChars="0"/>
            <w:jc w:val="center"/>
            <w:rPr>
              <w:b/>
              <w:bCs/>
              <w:sz w:val="36"/>
              <w:szCs w:val="36"/>
              <w:highlight w:val="none"/>
            </w:rPr>
          </w:pPr>
          <w:r>
            <w:rPr>
              <w:rFonts w:ascii="宋体" w:hAnsi="宋体" w:eastAsia="宋体"/>
              <w:b/>
              <w:bCs/>
              <w:sz w:val="36"/>
              <w:szCs w:val="36"/>
              <w:highlight w:val="none"/>
            </w:rPr>
            <w:t>目</w:t>
          </w:r>
          <w:r>
            <w:rPr>
              <w:rFonts w:hint="eastAsia" w:ascii="宋体" w:hAnsi="宋体" w:eastAsia="宋体"/>
              <w:b/>
              <w:bCs/>
              <w:sz w:val="36"/>
              <w:szCs w:val="36"/>
              <w:highlight w:val="none"/>
              <w:lang w:val="en-US" w:eastAsia="zh-CN"/>
            </w:rPr>
            <w:t xml:space="preserve">  </w:t>
          </w:r>
          <w:r>
            <w:rPr>
              <w:rFonts w:ascii="宋体" w:hAnsi="宋体" w:eastAsia="宋体"/>
              <w:b/>
              <w:bCs/>
              <w:sz w:val="36"/>
              <w:szCs w:val="36"/>
              <w:highlight w:val="none"/>
            </w:rPr>
            <w:t>录</w:t>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sz w:val="28"/>
              <w:szCs w:val="28"/>
              <w:highlight w:val="none"/>
            </w:rPr>
            <w:fldChar w:fldCharType="begin"/>
          </w:r>
          <w:r>
            <w:rPr>
              <w:sz w:val="28"/>
              <w:szCs w:val="28"/>
              <w:highlight w:val="none"/>
            </w:rPr>
            <w:instrText xml:space="preserve">TOC \o "1-2" \h \u </w:instrText>
          </w:r>
          <w:r>
            <w:rPr>
              <w:sz w:val="28"/>
              <w:szCs w:val="28"/>
              <w:highlight w:val="none"/>
            </w:rPr>
            <w:fldChar w:fldCharType="separate"/>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_Toc3485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摘   要</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_Toc3485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_Toc30436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一、</w:t>
          </w:r>
          <w:r>
            <w:rPr>
              <w:rFonts w:hint="eastAsia" w:ascii="仿宋" w:hAnsi="仿宋" w:eastAsia="仿宋" w:cs="仿宋"/>
              <w:bCs/>
              <w:sz w:val="28"/>
              <w:szCs w:val="28"/>
              <w:highlight w:val="none"/>
            </w:rPr>
            <w:t>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_Toc30436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_Toc25819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（一）项目立项背景及实施目的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_Toc25819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_Toc8455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（二）项目预算安排和支出情况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_Toc8455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_Toc4093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（三）项目主要内容和实施情况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_Toc4093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_Toc30618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二、</w:t>
          </w:r>
          <w:r>
            <w:rPr>
              <w:rFonts w:hint="eastAsia" w:ascii="仿宋" w:hAnsi="仿宋" w:eastAsia="仿宋" w:cs="仿宋"/>
              <w:bCs/>
              <w:sz w:val="28"/>
              <w:szCs w:val="28"/>
              <w:highlight w:val="none"/>
            </w:rPr>
            <w:t>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_Toc30618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_Toc1655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（一）总体绩效目标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_Toc1655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_Toc7992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（二）202</w:t>
          </w: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年度绩效目标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_Toc7992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_Toc414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三</w:t>
          </w:r>
          <w:r>
            <w:rPr>
              <w:rFonts w:hint="eastAsia" w:ascii="仿宋" w:hAnsi="仿宋" w:eastAsia="仿宋" w:cs="仿宋"/>
              <w:bCs/>
              <w:sz w:val="28"/>
              <w:szCs w:val="28"/>
              <w:highlight w:val="none"/>
            </w:rPr>
            <w:t>、评价基本情况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_Toc414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_Toc7775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（一）评价目的、对象和范围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_Toc7775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_Toc24179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（二）评价原则、评价方法、评价指标体系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_Toc24179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_Toc29855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（三）绩效评价工作过程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_Toc29855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_Toc8847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四、评价结论和绩效分析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_Toc8847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_Toc17148 </w:instrText>
          </w:r>
          <w:r>
            <w:rPr>
              <w:rFonts w:hint="eastAsia" w:ascii="仿宋" w:hAnsi="仿宋" w:eastAsia="仿宋" w:cs="仿宋"/>
              <w:sz w:val="28"/>
              <w:szCs w:val="28"/>
              <w:highlight w:val="none"/>
            </w:rPr>
            <w:fldChar w:fldCharType="separate"/>
          </w:r>
          <w:r>
            <w:rPr>
              <w:rFonts w:hint="eastAsia" w:ascii="仿宋" w:hAnsi="仿宋" w:eastAsia="仿宋" w:cs="仿宋"/>
              <w:bCs w:val="0"/>
              <w:sz w:val="28"/>
              <w:szCs w:val="28"/>
              <w:highlight w:val="none"/>
            </w:rPr>
            <w:t>五、 存在问题及原因分析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_Toc17148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_Toc16632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lang w:val="en-US" w:eastAsia="zh-CN"/>
            </w:rPr>
            <w:t>六</w:t>
          </w:r>
          <w:r>
            <w:rPr>
              <w:rFonts w:hint="eastAsia" w:ascii="仿宋" w:hAnsi="仿宋" w:eastAsia="仿宋" w:cs="仿宋"/>
              <w:sz w:val="28"/>
              <w:szCs w:val="28"/>
              <w:highlight w:val="none"/>
            </w:rPr>
            <w:t>、有关建议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_Toc16632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_Toc13376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lang w:eastAsia="zh-CN"/>
            </w:rPr>
            <w:t>全省法院“两庭建设”资金项目经费</w:t>
          </w:r>
          <w:r>
            <w:rPr>
              <w:rFonts w:hint="eastAsia" w:ascii="仿宋" w:hAnsi="仿宋" w:eastAsia="仿宋" w:cs="仿宋"/>
              <w:b/>
              <w:bCs/>
              <w:sz w:val="28"/>
              <w:szCs w:val="28"/>
              <w:highlight w:val="none"/>
            </w:rPr>
            <w:t>绩效评价报告</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_Toc13376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6</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_Toc30955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_Toc30955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_Toc10781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（一）项目立项背景</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_Toc10781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_Toc29009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（二）项目预算安排及使用情况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_Toc29009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_Toc14475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（三）项目计划内容及实施情况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_Toc14475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_Toc17618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（四）项目组织管理</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_Toc17618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10</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_Toc4299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_Toc4299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_Toc22117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（一）总体目标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_Toc22117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_Toc21815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（二）年度目标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_Toc21815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_Toc17743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三、评价基本情况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_Toc17743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_Toc23817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（一）评价目的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_Toc23817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_Toc5320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（二）评价对象与范围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_Toc5320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_Toc3059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（三）评价依据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_Toc3059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_Toc14761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（四）评价原则、评价方法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_Toc14761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15</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_Toc15772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（五）绩效评价指标体系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_Toc15772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17</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_Toc29203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（六）评价人员组成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_Toc29203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_Toc13160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（七）绩效评价工作过程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_Toc13160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_Toc20521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四、评价结论及分析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_Toc20521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_Toc8405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（一）综合评价情况及评价结论</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_Toc8405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_Toc7798 </w:instrText>
          </w:r>
          <w:r>
            <w:rPr>
              <w:rFonts w:hint="eastAsia" w:ascii="仿宋" w:hAnsi="仿宋" w:eastAsia="仿宋" w:cs="仿宋"/>
              <w:sz w:val="28"/>
              <w:szCs w:val="28"/>
              <w:highlight w:val="none"/>
            </w:rPr>
            <w:fldChar w:fldCharType="separate"/>
          </w:r>
          <w:r>
            <w:rPr>
              <w:rFonts w:hint="eastAsia" w:ascii="仿宋" w:hAnsi="仿宋" w:eastAsia="仿宋" w:cs="仿宋"/>
              <w:bCs/>
              <w:kern w:val="0"/>
              <w:sz w:val="28"/>
              <w:szCs w:val="28"/>
              <w:highlight w:val="none"/>
              <w:lang w:val="en-US" w:eastAsia="zh-CN" w:bidi="ar"/>
            </w:rPr>
            <w:t>（二）非现场评价情况分析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_Toc7798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22</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_Toc26964 </w:instrText>
          </w:r>
          <w:r>
            <w:rPr>
              <w:rFonts w:hint="eastAsia" w:ascii="仿宋" w:hAnsi="仿宋" w:eastAsia="仿宋" w:cs="仿宋"/>
              <w:sz w:val="28"/>
              <w:szCs w:val="28"/>
              <w:highlight w:val="none"/>
            </w:rPr>
            <w:fldChar w:fldCharType="separate"/>
          </w:r>
          <w:r>
            <w:rPr>
              <w:rFonts w:hint="eastAsia" w:ascii="仿宋" w:hAnsi="仿宋" w:eastAsia="仿宋" w:cs="仿宋"/>
              <w:bCs/>
              <w:kern w:val="0"/>
              <w:sz w:val="28"/>
              <w:szCs w:val="28"/>
              <w:highlight w:val="none"/>
              <w:lang w:val="en-US" w:eastAsia="zh-CN" w:bidi="ar"/>
            </w:rPr>
            <w:t>（三）现场评价情况分析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_Toc26964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_Toc17767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五、绩效评价指标分析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_Toc17767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_Toc9049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（一）项目决策情况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_Toc9049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_Toc31345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（二）项目过程情况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_Toc31345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27</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_Toc3085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（三）项目产出情况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_Toc3085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29</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_Toc5502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（四）项目效益情况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_Toc5502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_Toc30096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（五）满意度情况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_Toc30096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35</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_Toc31391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六、项目主要经验及做法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_Toc31391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39</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_Toc29792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七、存在的问题及原因分析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_Toc29792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41</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_Toc20282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八、有关建议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_Toc20282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43</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sz w:val="28"/>
              <w:szCs w:val="28"/>
              <w:highlight w:val="non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\l _Toc18465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rPr>
            <w:t>九、需要说明的问题</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_Toc18465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44</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textAlignment w:val="auto"/>
            <w:rPr>
              <w:highlight w:val="none"/>
            </w:rPr>
          </w:pPr>
          <w:r>
            <w:rPr>
              <w:sz w:val="28"/>
              <w:szCs w:val="28"/>
              <w:highlight w:val="none"/>
            </w:rPr>
            <w:fldChar w:fldCharType="end"/>
          </w:r>
        </w:p>
      </w:sdtContent>
    </w:sdt>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9"/>
        <w:rPr>
          <w:rFonts w:hint="eastAsia" w:ascii="方正小标宋简体" w:hAnsi="宋体" w:eastAsia="方正小标宋简体"/>
          <w:sz w:val="44"/>
          <w:szCs w:val="44"/>
          <w:highlight w:val="none"/>
        </w:rPr>
      </w:pPr>
    </w:p>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9"/>
        <w:rPr>
          <w:rFonts w:hint="eastAsia" w:ascii="方正小标宋简体" w:hAnsi="宋体" w:eastAsia="方正小标宋简体"/>
          <w:sz w:val="44"/>
          <w:szCs w:val="44"/>
          <w:highlight w:val="none"/>
        </w:rPr>
      </w:pPr>
    </w:p>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0"/>
        <w:rPr>
          <w:rFonts w:hint="eastAsia" w:ascii="方正小标宋简体" w:hAnsi="宋体" w:eastAsia="方正小标宋简体"/>
          <w:sz w:val="44"/>
          <w:szCs w:val="44"/>
          <w:highlight w:val="none"/>
        </w:rPr>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pPr>
    </w:p>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0"/>
        <w:rPr>
          <w:rFonts w:ascii="方正小标宋简体" w:hAnsi="宋体" w:eastAsia="方正小标宋简体"/>
          <w:sz w:val="44"/>
          <w:szCs w:val="44"/>
          <w:highlight w:val="none"/>
        </w:rPr>
      </w:pPr>
      <w:bookmarkStart w:id="10" w:name="_Toc3485"/>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keepNext w:val="0"/>
        <w:keepLines w:val="0"/>
        <w:pageBreakBefore w:val="0"/>
        <w:widowControl w:val="0"/>
        <w:kinsoku/>
        <w:wordWrap/>
        <w:overflowPunct w:val="0"/>
        <w:topLinePunct w:val="0"/>
        <w:autoSpaceDE/>
        <w:autoSpaceDN/>
        <w:bidi w:val="0"/>
        <w:adjustRightInd/>
        <w:spacing w:line="560" w:lineRule="exact"/>
        <w:ind w:firstLine="420" w:firstLineChars="200"/>
        <w:jc w:val="center"/>
        <w:rPr>
          <w:highlight w:val="none"/>
        </w:rPr>
      </w:pPr>
    </w:p>
    <w:p>
      <w:pPr>
        <w:keepNext w:val="0"/>
        <w:keepLines w:val="0"/>
        <w:pageBreakBefore w:val="0"/>
        <w:widowControl w:val="0"/>
        <w:numPr>
          <w:ilvl w:val="0"/>
          <w:numId w:val="0"/>
        </w:numPr>
        <w:tabs>
          <w:tab w:val="left" w:pos="849"/>
        </w:tabs>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11" w:name="_Toc30436"/>
      <w:bookmarkStart w:id="12" w:name="_Toc13873"/>
      <w:r>
        <w:rPr>
          <w:rFonts w:hint="eastAsia" w:ascii="黑体" w:hAnsi="黑体" w:eastAsia="黑体" w:cs="黑体"/>
          <w:b w:val="0"/>
          <w:bCs w:val="0"/>
          <w:sz w:val="32"/>
          <w:szCs w:val="32"/>
          <w:highlight w:val="none"/>
          <w:lang w:val="en-US" w:eastAsia="zh-CN"/>
        </w:rPr>
        <w:t>一、</w:t>
      </w:r>
      <w:r>
        <w:rPr>
          <w:rFonts w:hint="eastAsia" w:ascii="黑体" w:hAnsi="黑体" w:eastAsia="黑体" w:cs="黑体"/>
          <w:b w:val="0"/>
          <w:bCs w:val="0"/>
          <w:sz w:val="32"/>
          <w:szCs w:val="32"/>
          <w:highlight w:val="none"/>
        </w:rPr>
        <w:t>项目基本情况</w:t>
      </w:r>
      <w:bookmarkEnd w:id="11"/>
      <w:bookmarkEnd w:id="12"/>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3" w:name="_Toc30374"/>
      <w:bookmarkStart w:id="14" w:name="_Toc25819"/>
      <w:r>
        <w:rPr>
          <w:rFonts w:hint="eastAsia" w:ascii="楷体" w:hAnsi="楷体" w:eastAsia="楷体" w:cs="楷体"/>
          <w:b/>
          <w:bCs/>
          <w:highlight w:val="none"/>
        </w:rPr>
        <w:t>（一）项目立项背景及实施目的</w:t>
      </w:r>
      <w:bookmarkEnd w:id="13"/>
      <w:bookmarkEnd w:id="1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15" w:name="_Toc24239"/>
      <w:r>
        <w:rPr>
          <w:rFonts w:hint="eastAsia" w:ascii="仿宋_GB2312" w:hAnsi="仿宋_GB2312" w:eastAsia="仿宋_GB2312" w:cs="仿宋_GB2312"/>
          <w:highlight w:val="none"/>
        </w:rPr>
        <w:t>长期以来，由于经费困难等多种因素的制约，我省法院“两庭”建设滞后于审判工作发展的需要，审判法庭和人民法庭的硬件建设远远达不到规范化、标准化法庭的要求，无法完全适应审判工作的需要，为促进全省法院长期发展规划的实施，</w:t>
      </w:r>
      <w:r>
        <w:rPr>
          <w:rFonts w:hint="eastAsia" w:ascii="仿宋_GB2312" w:hAnsi="仿宋_GB2312" w:cs="仿宋_GB2312"/>
          <w:color w:val="auto"/>
          <w:highlight w:val="none"/>
          <w:lang w:eastAsia="zh-CN"/>
        </w:rPr>
        <w:t>“</w:t>
      </w:r>
      <w:r>
        <w:rPr>
          <w:rFonts w:hint="eastAsia" w:ascii="仿宋_GB2312" w:hAnsi="仿宋_GB2312" w:eastAsia="仿宋_GB2312" w:cs="仿宋_GB2312"/>
          <w:color w:val="auto"/>
          <w:highlight w:val="none"/>
        </w:rPr>
        <w:t>两庭</w:t>
      </w:r>
      <w:r>
        <w:rPr>
          <w:rFonts w:hint="eastAsia" w:ascii="仿宋_GB2312" w:hAnsi="仿宋_GB2312" w:cs="仿宋_GB2312"/>
          <w:color w:val="auto"/>
          <w:highlight w:val="none"/>
          <w:lang w:eastAsia="zh-CN"/>
        </w:rPr>
        <w:t>”</w:t>
      </w:r>
      <w:r>
        <w:rPr>
          <w:rFonts w:hint="eastAsia" w:ascii="仿宋_GB2312" w:hAnsi="仿宋_GB2312" w:eastAsia="仿宋_GB2312" w:cs="仿宋_GB2312"/>
          <w:highlight w:val="none"/>
        </w:rPr>
        <w:t>建设迫在眉睫。</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人民法庭是最基层的部门，法庭的建设可以更好地为干警提供办案场所、维护社会公平正义。保障全省法院审判大楼基础设施建设，体现审判机关庄重、现代、文明的形象，确保两庭审判工作的正常运转，充分发挥法庭的职能作用，保证基层人民法庭审判工作人员的正常工作，改善审判场所环境</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为人民群众到基层人员法庭解决诉讼争议创造良好的环境。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6" w:name="_Toc8455"/>
      <w:r>
        <w:rPr>
          <w:rFonts w:hint="eastAsia" w:ascii="楷体" w:hAnsi="楷体" w:eastAsia="楷体" w:cs="楷体"/>
          <w:b/>
          <w:bCs/>
          <w:highlight w:val="none"/>
        </w:rPr>
        <w:t>（二）项目预算安排和支出情况</w:t>
      </w:r>
      <w:bookmarkEnd w:id="15"/>
      <w:bookmarkEnd w:id="1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val="en-US" w:eastAsia="zh-CN"/>
        </w:rPr>
        <w:t>根</w:t>
      </w:r>
      <w:r>
        <w:rPr>
          <w:rFonts w:hint="eastAsia" w:ascii="仿宋_GB2312" w:hAnsi="仿宋_GB2312" w:eastAsia="仿宋_GB2312" w:cs="仿宋_GB2312"/>
          <w:highlight w:val="none"/>
        </w:rPr>
        <w:t>据</w:t>
      </w:r>
      <w:r>
        <w:rPr>
          <w:rFonts w:hint="eastAsia" w:ascii="仿宋_GB2312" w:hAnsi="仿宋_GB2312" w:cs="仿宋_GB2312"/>
          <w:highlight w:val="none"/>
          <w:lang w:val="en-US" w:eastAsia="zh-CN"/>
        </w:rPr>
        <w:t>甘肃省财政厅</w:t>
      </w:r>
      <w:r>
        <w:rPr>
          <w:rFonts w:hint="eastAsia" w:ascii="仿宋_GB2312" w:hAnsi="仿宋_GB2312" w:eastAsia="仿宋_GB2312" w:cs="仿宋_GB2312"/>
          <w:highlight w:val="none"/>
        </w:rPr>
        <w:t>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年度预算安排，全省法院“两庭建设”</w:t>
      </w:r>
      <w:r>
        <w:rPr>
          <w:rFonts w:hint="eastAsia" w:ascii="仿宋_GB2312" w:hAnsi="仿宋_GB2312" w:cs="仿宋_GB2312"/>
          <w:highlight w:val="none"/>
          <w:lang w:val="en-US" w:eastAsia="zh-CN"/>
        </w:rPr>
        <w:t>项目全年预算资金18,832.93万元，其中当年财政拨款16,000.00</w:t>
      </w:r>
      <w:r>
        <w:rPr>
          <w:rFonts w:hint="eastAsia" w:ascii="仿宋_GB2312" w:hAnsi="仿宋_GB2312" w:eastAsia="仿宋_GB2312" w:cs="仿宋_GB2312"/>
          <w:highlight w:val="none"/>
          <w:lang w:val="en-US" w:eastAsia="zh-CN"/>
        </w:rPr>
        <w:t>万元，</w:t>
      </w:r>
      <w:r>
        <w:rPr>
          <w:rFonts w:hint="eastAsia" w:ascii="仿宋_GB2312" w:hAnsi="仿宋_GB2312" w:cs="仿宋_GB2312"/>
          <w:highlight w:val="none"/>
          <w:lang w:val="en-US" w:eastAsia="zh-CN"/>
        </w:rPr>
        <w:t>上年结转资金2,832.93万元，截止2022年12月31日，全省法院“两庭建设”项目实际</w:t>
      </w:r>
      <w:r>
        <w:rPr>
          <w:rFonts w:hint="eastAsia" w:ascii="仿宋_GB2312" w:hAnsi="仿宋_GB2312" w:eastAsia="仿宋_GB2312" w:cs="仿宋_GB2312"/>
          <w:highlight w:val="none"/>
          <w:lang w:val="en-US" w:eastAsia="zh-CN"/>
        </w:rPr>
        <w:t>支出</w:t>
      </w:r>
      <w:r>
        <w:rPr>
          <w:rFonts w:hint="eastAsia" w:ascii="仿宋_GB2312" w:hAnsi="仿宋_GB2312" w:cs="仿宋_GB2312"/>
          <w:highlight w:val="none"/>
          <w:lang w:val="en-US" w:eastAsia="zh-CN"/>
        </w:rPr>
        <w:t>14,968.04</w:t>
      </w:r>
      <w:r>
        <w:rPr>
          <w:rFonts w:hint="eastAsia" w:ascii="仿宋_GB2312" w:hAnsi="仿宋_GB2312" w:eastAsia="仿宋_GB2312" w:cs="仿宋_GB2312"/>
          <w:highlight w:val="none"/>
          <w:lang w:val="en-US" w:eastAsia="zh-CN"/>
        </w:rPr>
        <w:t>万元</w:t>
      </w:r>
      <w:r>
        <w:rPr>
          <w:rFonts w:hint="eastAsia"/>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7" w:name="_Toc22406"/>
      <w:bookmarkStart w:id="18" w:name="_Toc4093"/>
      <w:r>
        <w:rPr>
          <w:rFonts w:hint="eastAsia" w:ascii="楷体" w:hAnsi="楷体" w:eastAsia="楷体" w:cs="楷体"/>
          <w:b/>
          <w:bCs/>
          <w:highlight w:val="none"/>
        </w:rPr>
        <w:t>（三）项目主要内容和实施情况</w:t>
      </w:r>
      <w:bookmarkEnd w:id="17"/>
      <w:bookmarkEnd w:id="18"/>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为切实加强全省法院审判法庭、人民法庭“两庭”建设，为人民群众提供一个良好的司法场所，甘肃省高级人民法院（以下简称省法院）申请资金</w:t>
      </w:r>
      <w:r>
        <w:rPr>
          <w:rFonts w:hint="eastAsia" w:ascii="仿宋_GB2312" w:hAnsi="仿宋_GB2312" w:eastAsia="仿宋_GB2312" w:cs="仿宋_GB2312"/>
          <w:color w:val="auto"/>
          <w:kern w:val="2"/>
          <w:sz w:val="32"/>
          <w:szCs w:val="32"/>
          <w:highlight w:val="none"/>
          <w:lang w:val="en-US" w:eastAsia="zh-CN" w:bidi="ar-SA"/>
        </w:rPr>
        <w:t>保障</w:t>
      </w:r>
      <w:r>
        <w:rPr>
          <w:rFonts w:hint="eastAsia" w:ascii="仿宋_GB2312" w:hAnsi="仿宋_GB2312" w:eastAsia="仿宋_GB2312" w:cs="仿宋_GB2312"/>
          <w:kern w:val="2"/>
          <w:sz w:val="32"/>
          <w:szCs w:val="32"/>
          <w:highlight w:val="none"/>
          <w:lang w:val="en-US" w:eastAsia="zh-CN" w:bidi="ar-SA"/>
        </w:rPr>
        <w:t>全省法院“两庭”建设工作，主要用于审判法庭功能用房装修、室外附属、地下管网等配套设施建设等，保障审判工作有效运行，保证“两庭”工作的有效运转。2022年度省法院继续开展诉讼服务中心建设项目，向人民群众提供丰富快捷高效的纠纷解决渠道和一站式高品质诉讼服务。</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年度共拨付全省法院“两庭建设”资金项目24个，截止2022年12月31日，共11个项目已完工并通过验收，3个项目已完工未验收，9个项目尚未完工，1个项目年底未开工。省法院诉讼服务中心建设项目已完成整体工程的约75%。</w:t>
      </w:r>
    </w:p>
    <w:p>
      <w:pPr>
        <w:keepNext w:val="0"/>
        <w:keepLines w:val="0"/>
        <w:pageBreakBefore w:val="0"/>
        <w:widowControl w:val="0"/>
        <w:numPr>
          <w:ilvl w:val="0"/>
          <w:numId w:val="0"/>
        </w:numPr>
        <w:tabs>
          <w:tab w:val="left" w:pos="849"/>
        </w:tabs>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19" w:name="_Toc4760"/>
      <w:bookmarkStart w:id="20" w:name="_Toc30618"/>
      <w:r>
        <w:rPr>
          <w:rFonts w:hint="eastAsia" w:ascii="黑体" w:hAnsi="黑体" w:eastAsia="黑体" w:cs="黑体"/>
          <w:b w:val="0"/>
          <w:bCs w:val="0"/>
          <w:sz w:val="32"/>
          <w:szCs w:val="32"/>
          <w:highlight w:val="none"/>
          <w:lang w:val="en-US" w:eastAsia="zh-CN"/>
        </w:rPr>
        <w:t>二、</w:t>
      </w:r>
      <w:r>
        <w:rPr>
          <w:rFonts w:hint="eastAsia" w:ascii="黑体" w:hAnsi="黑体" w:eastAsia="黑体" w:cs="黑体"/>
          <w:b w:val="0"/>
          <w:bCs w:val="0"/>
          <w:sz w:val="32"/>
          <w:szCs w:val="32"/>
          <w:highlight w:val="none"/>
        </w:rPr>
        <w:t>项目绩效目标</w:t>
      </w:r>
      <w:bookmarkEnd w:id="19"/>
      <w:bookmarkEnd w:id="20"/>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仿宋" w:hAnsi="仿宋" w:eastAsia="仿宋" w:cs="仿宋"/>
          <w:b/>
          <w:bCs/>
          <w:highlight w:val="none"/>
        </w:rPr>
      </w:pPr>
      <w:bookmarkStart w:id="21" w:name="_Toc1655"/>
      <w:bookmarkStart w:id="22" w:name="_Toc1873"/>
      <w:r>
        <w:rPr>
          <w:rFonts w:hint="eastAsia" w:ascii="楷体" w:hAnsi="楷体" w:eastAsia="楷体" w:cs="楷体"/>
          <w:b/>
          <w:bCs/>
          <w:highlight w:val="none"/>
        </w:rPr>
        <w:t>（一）总体绩效目标</w:t>
      </w:r>
      <w:bookmarkEnd w:id="21"/>
      <w:bookmarkEnd w:id="2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bookmarkStart w:id="23" w:name="_Toc13132"/>
      <w:r>
        <w:rPr>
          <w:rFonts w:hint="eastAsia" w:ascii="仿宋_GB2312" w:hAnsi="仿宋_GB2312" w:eastAsia="仿宋_GB2312" w:cs="仿宋_GB2312"/>
          <w:highlight w:val="none"/>
        </w:rPr>
        <w:t>全省法院“两庭建设”资金主要用于解决全省法院“两庭”建设项目，为全省法院基础设施建设项目提供有力资金保障。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4" w:name="_Toc7992"/>
      <w:r>
        <w:rPr>
          <w:rFonts w:hint="eastAsia" w:ascii="楷体" w:hAnsi="楷体" w:eastAsia="楷体" w:cs="楷体"/>
          <w:b/>
          <w:bCs/>
          <w:highlight w:val="none"/>
        </w:rPr>
        <w:t>（二）202</w:t>
      </w:r>
      <w:r>
        <w:rPr>
          <w:rFonts w:hint="eastAsia" w:ascii="楷体" w:hAnsi="楷体" w:eastAsia="楷体" w:cs="楷体"/>
          <w:b/>
          <w:bCs/>
          <w:highlight w:val="none"/>
          <w:lang w:val="en-US" w:eastAsia="zh-CN"/>
        </w:rPr>
        <w:t>2</w:t>
      </w:r>
      <w:r>
        <w:rPr>
          <w:rFonts w:hint="eastAsia" w:ascii="楷体" w:hAnsi="楷体" w:eastAsia="楷体" w:cs="楷体"/>
          <w:b/>
          <w:bCs/>
          <w:highlight w:val="none"/>
        </w:rPr>
        <w:t>年度绩效目标</w:t>
      </w:r>
      <w:bookmarkEnd w:id="23"/>
      <w:bookmarkEnd w:id="2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bookmarkStart w:id="25" w:name="_Toc27555"/>
      <w:r>
        <w:rPr>
          <w:rFonts w:hint="eastAsia" w:ascii="仿宋_GB2312" w:hAnsi="仿宋_GB2312" w:eastAsia="仿宋_GB2312" w:cs="仿宋_GB2312"/>
          <w:highlight w:val="none"/>
        </w:rPr>
        <w:t>为切实加强全省法院审判法庭、人民法庭“两庭”建设，为人民群众提供一个良好的司法场所，</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申请资金用于全省法院“两庭建设”，主要用于审判法庭功能用房装修、室外附属、地下管网等配套设施建设等，并在规定时间内完成验收，保障审判工作有效运行，保证“两庭”工作的有效运转。</w:t>
      </w:r>
      <w:bookmarkEnd w:id="25"/>
      <w:r>
        <w:rPr>
          <w:rFonts w:hint="eastAsia" w:ascii="仿宋_GB2312" w:hAnsi="仿宋_GB2312" w:eastAsia="仿宋_GB2312" w:cs="仿宋_GB2312"/>
          <w:highlight w:val="none"/>
        </w:rPr>
        <w:t>2022年度</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继续开展省法院诉讼服务中心建设项目，并在规定时间内通过验收，向人民群众提供丰富快捷高效的纠纷解决渠道和一站式高品质诉讼服务</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highlight w:val="none"/>
        </w:rPr>
      </w:pPr>
      <w:bookmarkStart w:id="26" w:name="_Toc414"/>
      <w:bookmarkStart w:id="27" w:name="_Toc23835"/>
      <w:r>
        <w:rPr>
          <w:rFonts w:hint="eastAsia" w:ascii="黑体" w:hAnsi="黑体" w:eastAsia="黑体" w:cs="黑体"/>
          <w:b w:val="0"/>
          <w:bCs w:val="0"/>
          <w:highlight w:val="none"/>
        </w:rPr>
        <w:t>三、评价基本情况</w:t>
      </w:r>
      <w:bookmarkEnd w:id="26"/>
      <w:bookmarkEnd w:id="27"/>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8" w:name="_Toc12764"/>
      <w:bookmarkStart w:id="29" w:name="_Toc7775"/>
      <w:r>
        <w:rPr>
          <w:rFonts w:hint="eastAsia" w:ascii="楷体" w:hAnsi="楷体" w:eastAsia="楷体" w:cs="楷体"/>
          <w:b/>
          <w:bCs/>
          <w:highlight w:val="none"/>
        </w:rPr>
        <w:t>（一）评价目的、对象和范围</w:t>
      </w:r>
      <w:bookmarkEnd w:id="28"/>
      <w:bookmarkEnd w:id="2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的目的是对预算资金的执行情况、资金使用情况、项目的绩效情况进行综合分析，与预期绩效目标进行对比评价，优化资金使用、完善资金管理，为该项目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年省财政安排的全省法院“两庭建设”</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年全省法院“两庭建设”</w:t>
      </w:r>
      <w:r>
        <w:rPr>
          <w:rFonts w:hint="eastAsia" w:ascii="仿宋_GB2312" w:hAnsi="仿宋_GB2312" w:cs="仿宋_GB2312"/>
          <w:highlight w:val="none"/>
          <w:lang w:val="en-US" w:eastAsia="zh-CN"/>
        </w:rPr>
        <w:t>项目全年预算资金18,832.93万元的</w:t>
      </w:r>
      <w:r>
        <w:rPr>
          <w:rFonts w:hint="eastAsia" w:ascii="仿宋_GB2312" w:hAnsi="仿宋_GB2312" w:eastAsia="仿宋_GB2312" w:cs="仿宋_GB2312"/>
          <w:highlight w:val="none"/>
        </w:rPr>
        <w:t>资金使用和项目实施效益情况。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30" w:name="_Toc24179"/>
      <w:bookmarkStart w:id="31" w:name="_Toc861"/>
      <w:r>
        <w:rPr>
          <w:rFonts w:hint="eastAsia" w:ascii="楷体" w:hAnsi="楷体" w:eastAsia="楷体" w:cs="楷体"/>
          <w:b/>
          <w:bCs/>
          <w:highlight w:val="none"/>
        </w:rPr>
        <w:t>（二）评价原则、评价方法、评价指标体系</w:t>
      </w:r>
      <w:bookmarkEnd w:id="30"/>
      <w:bookmarkEnd w:id="31"/>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32" w:name="_Toc7306"/>
      <w:bookmarkStart w:id="33" w:name="_Toc29855"/>
      <w:r>
        <w:rPr>
          <w:rFonts w:hint="eastAsia" w:ascii="楷体" w:hAnsi="楷体" w:eastAsia="楷体" w:cs="楷体"/>
          <w:b/>
          <w:bCs/>
          <w:highlight w:val="none"/>
        </w:rPr>
        <w:t>（三）绩效评价工作过程</w:t>
      </w:r>
      <w:bookmarkEnd w:id="32"/>
      <w:bookmarkEnd w:id="33"/>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34" w:name="_Toc29824"/>
      <w:r>
        <w:rPr>
          <w:rFonts w:hint="eastAsia" w:ascii="仿宋_GB2312" w:hAnsi="仿宋_GB2312" w:eastAsia="仿宋_GB2312" w:cs="仿宋_GB2312"/>
          <w:sz w:val="32"/>
          <w:szCs w:val="32"/>
          <w:highlight w:val="none"/>
        </w:rPr>
        <w:t>本次评价由</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委托甘肃卓诚财务咨询有限公司组成评价工作组，按照《甘肃省财政厅关于开展2022年度省级预算执行情况部门和财政重点绩效评价工作的通知》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要求，在充分开展前期调研的基础上，收集评价资料、开展现场评价、进行综合分析、撰写评价报告。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仿宋" w:hAnsi="仿宋" w:eastAsia="仿宋" w:cs="仿宋"/>
          <w:b w:val="0"/>
          <w:bCs w:val="0"/>
          <w:highlight w:val="none"/>
        </w:rPr>
      </w:pPr>
      <w:bookmarkStart w:id="35" w:name="_Toc8847"/>
      <w:r>
        <w:rPr>
          <w:rFonts w:hint="eastAsia" w:ascii="黑体" w:hAnsi="黑体" w:eastAsia="黑体" w:cs="黑体"/>
          <w:b w:val="0"/>
          <w:bCs w:val="0"/>
          <w:highlight w:val="none"/>
        </w:rPr>
        <w:t>四、评价结论和绩效分析</w:t>
      </w:r>
      <w:bookmarkEnd w:id="34"/>
      <w:bookmarkEnd w:id="35"/>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依据项目支出绩效评价指标体系和评分标准，综合评定全省法院“两庭建设”资金项目绩效评分为</w:t>
      </w:r>
      <w:r>
        <w:rPr>
          <w:rFonts w:hint="eastAsia" w:ascii="仿宋_GB2312" w:hAnsi="仿宋_GB2312" w:eastAsia="仿宋_GB2312" w:cs="仿宋_GB2312"/>
          <w:sz w:val="32"/>
          <w:szCs w:val="32"/>
          <w:highlight w:val="none"/>
          <w:lang w:val="en-US" w:eastAsia="zh-CN"/>
        </w:rPr>
        <w:t>86.66</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全省法院“两庭建设”资金项目立项</w:t>
      </w:r>
      <w:r>
        <w:rPr>
          <w:rFonts w:hint="eastAsia" w:ascii="仿宋_GB2312" w:hAnsi="仿宋_GB2312" w:eastAsia="仿宋_GB2312" w:cs="仿宋_GB2312"/>
          <w:sz w:val="32"/>
          <w:szCs w:val="32"/>
          <w:highlight w:val="none"/>
          <w:lang w:val="en-US" w:eastAsia="zh-CN"/>
        </w:rPr>
        <w:t>程序</w:t>
      </w:r>
      <w:r>
        <w:rPr>
          <w:rFonts w:hint="eastAsia" w:ascii="仿宋_GB2312" w:hAnsi="仿宋_GB2312" w:eastAsia="仿宋_GB2312" w:cs="仿宋_GB2312"/>
          <w:sz w:val="32"/>
          <w:szCs w:val="32"/>
          <w:highlight w:val="none"/>
        </w:rPr>
        <w:t>规范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依据充分，项目实施必要。在</w:t>
      </w:r>
      <w:r>
        <w:rPr>
          <w:rFonts w:hint="eastAsia" w:ascii="仿宋_GB2312" w:hAnsi="仿宋_GB2312" w:eastAsia="仿宋_GB2312" w:cs="仿宋_GB2312"/>
          <w:sz w:val="32"/>
          <w:szCs w:val="32"/>
          <w:highlight w:val="none"/>
          <w:lang w:val="en-US" w:eastAsia="zh-CN"/>
        </w:rPr>
        <w:t>省级</w:t>
      </w:r>
      <w:r>
        <w:rPr>
          <w:rFonts w:hint="eastAsia" w:ascii="仿宋_GB2312" w:hAnsi="仿宋_GB2312" w:eastAsia="仿宋_GB2312" w:cs="仿宋_GB2312"/>
          <w:sz w:val="32"/>
          <w:szCs w:val="32"/>
          <w:highlight w:val="none"/>
        </w:rPr>
        <w:t>财政资金统一保障下，</w:t>
      </w:r>
      <w:r>
        <w:rPr>
          <w:rFonts w:hint="eastAsia" w:ascii="仿宋_GB2312" w:hAnsi="仿宋_GB2312" w:eastAsia="仿宋_GB2312" w:cs="仿宋_GB2312"/>
          <w:sz w:val="32"/>
          <w:szCs w:val="32"/>
          <w:highlight w:val="none"/>
          <w:lang w:val="en-US" w:eastAsia="zh-CN"/>
        </w:rPr>
        <w:t>全省法院</w:t>
      </w:r>
      <w:r>
        <w:rPr>
          <w:rFonts w:hint="eastAsia" w:ascii="仿宋_GB2312" w:hAnsi="仿宋_GB2312" w:eastAsia="仿宋_GB2312" w:cs="仿宋_GB2312"/>
          <w:sz w:val="32"/>
          <w:szCs w:val="32"/>
          <w:highlight w:val="none"/>
        </w:rPr>
        <w:t>“两庭建设”</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顺利开展，项目实施流程严谨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执行管理到位，资金使用效果良好。项目总体组织规范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全省法院“两庭”建设，为人民群众提供一个良好的司法场所，</w:t>
      </w:r>
      <w:r>
        <w:rPr>
          <w:rFonts w:hint="eastAsia" w:ascii="仿宋_GB2312" w:hAnsi="仿宋_GB2312" w:eastAsia="仿宋_GB2312" w:cs="仿宋_GB2312"/>
          <w:sz w:val="32"/>
          <w:szCs w:val="32"/>
          <w:highlight w:val="none"/>
          <w:lang w:val="en-US" w:eastAsia="zh-CN"/>
        </w:rPr>
        <w:t>保障了审批工作的顺利运行</w:t>
      </w:r>
      <w:r>
        <w:rPr>
          <w:rFonts w:hint="eastAsia" w:ascii="仿宋_GB2312" w:hAnsi="仿宋_GB2312" w:eastAsia="仿宋_GB2312" w:cs="仿宋_GB2312"/>
          <w:sz w:val="32"/>
          <w:szCs w:val="32"/>
          <w:highlight w:val="none"/>
        </w:rPr>
        <w:t>。但该项目也存在预算执行</w:t>
      </w:r>
      <w:r>
        <w:rPr>
          <w:rFonts w:hint="eastAsia" w:ascii="仿宋_GB2312" w:hAnsi="仿宋_GB2312" w:eastAsia="仿宋_GB2312" w:cs="仿宋_GB2312"/>
          <w:sz w:val="32"/>
          <w:szCs w:val="32"/>
          <w:highlight w:val="none"/>
          <w:lang w:val="en-US" w:eastAsia="zh-CN"/>
        </w:rPr>
        <w:t>率</w:t>
      </w:r>
      <w:r>
        <w:rPr>
          <w:rFonts w:hint="eastAsia" w:ascii="仿宋_GB2312" w:hAnsi="仿宋_GB2312" w:eastAsia="仿宋_GB2312" w:cs="仿宋_GB2312"/>
          <w:sz w:val="32"/>
          <w:szCs w:val="32"/>
          <w:highlight w:val="none"/>
        </w:rPr>
        <w:t>有待提高，</w:t>
      </w:r>
      <w:r>
        <w:rPr>
          <w:rFonts w:hint="eastAsia" w:ascii="仿宋_GB2312" w:hAnsi="仿宋_GB2312" w:eastAsia="仿宋_GB2312" w:cs="仿宋_GB2312"/>
          <w:sz w:val="32"/>
          <w:szCs w:val="32"/>
          <w:highlight w:val="none"/>
          <w:lang w:val="en-US" w:eastAsia="zh-CN"/>
        </w:rPr>
        <w:t>绩效目标编制的明确性有待</w:t>
      </w:r>
      <w:r>
        <w:rPr>
          <w:rFonts w:hint="eastAsia" w:ascii="仿宋_GB2312" w:hAnsi="仿宋_GB2312" w:eastAsia="仿宋_GB2312" w:cs="仿宋_GB2312"/>
          <w:sz w:val="32"/>
          <w:szCs w:val="32"/>
          <w:highlight w:val="none"/>
        </w:rPr>
        <w:t>进一步</w:t>
      </w:r>
      <w:r>
        <w:rPr>
          <w:rFonts w:hint="eastAsia" w:ascii="仿宋_GB2312" w:hAnsi="仿宋_GB2312" w:eastAsia="仿宋_GB2312" w:cs="仿宋_GB2312"/>
          <w:sz w:val="32"/>
          <w:szCs w:val="32"/>
          <w:highlight w:val="none"/>
          <w:lang w:val="en-US" w:eastAsia="zh-CN"/>
        </w:rPr>
        <w:t>提高，资金使用有待规范以及部门</w:t>
      </w:r>
      <w:r>
        <w:rPr>
          <w:rFonts w:hint="eastAsia" w:ascii="仿宋_GB2312" w:hAnsi="仿宋_GB2312" w:eastAsia="仿宋_GB2312" w:cs="仿宋_GB2312"/>
          <w:sz w:val="32"/>
          <w:szCs w:val="32"/>
          <w:highlight w:val="none"/>
        </w:rPr>
        <w:t>“两庭建设”</w:t>
      </w:r>
      <w:r>
        <w:rPr>
          <w:rFonts w:hint="eastAsia" w:ascii="仿宋_GB2312" w:hAnsi="仿宋_GB2312" w:eastAsia="仿宋_GB2312" w:cs="仿宋_GB2312"/>
          <w:sz w:val="32"/>
          <w:szCs w:val="32"/>
          <w:highlight w:val="none"/>
          <w:lang w:val="en-US" w:eastAsia="zh-CN"/>
        </w:rPr>
        <w:t>项目进度相对滞后的问题。</w:t>
      </w:r>
    </w:p>
    <w:p>
      <w:pPr>
        <w:pStyle w:val="4"/>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textAlignment w:val="auto"/>
        <w:rPr>
          <w:rFonts w:ascii="黑体" w:hAnsi="黑体" w:eastAsia="黑体" w:cs="黑体"/>
          <w:b w:val="0"/>
          <w:bCs/>
          <w:sz w:val="32"/>
          <w:szCs w:val="32"/>
          <w:highlight w:val="none"/>
        </w:rPr>
      </w:pPr>
      <w:bookmarkStart w:id="36" w:name="_Toc17148"/>
      <w:bookmarkStart w:id="37" w:name="_Toc16038"/>
      <w:r>
        <w:rPr>
          <w:rFonts w:hint="eastAsia" w:ascii="黑体" w:hAnsi="黑体" w:eastAsia="黑体" w:cs="黑体"/>
          <w:b w:val="0"/>
          <w:bCs/>
          <w:sz w:val="32"/>
          <w:szCs w:val="32"/>
          <w:highlight w:val="none"/>
        </w:rPr>
        <w:t>存在问题及原因分析</w:t>
      </w:r>
      <w:bookmarkEnd w:id="36"/>
      <w:bookmarkEnd w:id="37"/>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lang w:eastAsia="zh-CN"/>
        </w:rPr>
      </w:pPr>
      <w:bookmarkStart w:id="38" w:name="_Toc10395"/>
      <w:bookmarkStart w:id="39" w:name="_Toc29500"/>
      <w:bookmarkStart w:id="40" w:name="_Toc16824"/>
      <w:bookmarkStart w:id="41" w:name="_Toc10792"/>
      <w:bookmarkStart w:id="42" w:name="_Toc9017"/>
      <w:r>
        <w:rPr>
          <w:rStyle w:val="26"/>
          <w:rFonts w:hint="eastAsia" w:ascii="仿宋_GB2312" w:hAnsi="仿宋_GB2312" w:eastAsia="仿宋_GB2312" w:cs="仿宋_GB2312"/>
          <w:b w:val="0"/>
          <w:bCs/>
          <w:szCs w:val="32"/>
          <w:highlight w:val="none"/>
        </w:rPr>
        <w:t>（一）项目支出预算执行率有待提高</w:t>
      </w:r>
      <w:r>
        <w:rPr>
          <w:rStyle w:val="26"/>
          <w:rFonts w:hint="eastAsia" w:ascii="仿宋_GB2312" w:hAnsi="仿宋_GB2312" w:eastAsia="仿宋_GB2312" w:cs="仿宋_GB2312"/>
          <w:b w:val="0"/>
          <w:bCs/>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lang w:eastAsia="zh-CN"/>
        </w:rPr>
      </w:pP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lang w:val="en-US" w:eastAsia="zh-CN"/>
        </w:rPr>
        <w:t>二</w:t>
      </w: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rPr>
        <w:t>绩效目标编制的</w:t>
      </w:r>
      <w:r>
        <w:rPr>
          <w:rStyle w:val="26"/>
          <w:rFonts w:hint="eastAsia" w:ascii="仿宋_GB2312" w:hAnsi="仿宋_GB2312" w:eastAsia="仿宋_GB2312" w:cs="仿宋_GB2312"/>
          <w:b w:val="0"/>
          <w:bCs/>
          <w:szCs w:val="32"/>
          <w:highlight w:val="none"/>
          <w:lang w:val="en-US" w:eastAsia="zh-CN"/>
        </w:rPr>
        <w:t>明</w:t>
      </w:r>
      <w:r>
        <w:rPr>
          <w:rStyle w:val="26"/>
          <w:rFonts w:hint="eastAsia" w:ascii="仿宋_GB2312" w:hAnsi="仿宋_GB2312" w:eastAsia="仿宋_GB2312" w:cs="仿宋_GB2312"/>
          <w:b w:val="0"/>
          <w:bCs/>
          <w:szCs w:val="32"/>
          <w:highlight w:val="none"/>
        </w:rPr>
        <w:t>确性有待进一步提高</w:t>
      </w:r>
      <w:r>
        <w:rPr>
          <w:rStyle w:val="26"/>
          <w:rFonts w:hint="eastAsia" w:ascii="仿宋_GB2312" w:hAnsi="仿宋_GB2312" w:eastAsia="仿宋_GB2312" w:cs="仿宋_GB2312"/>
          <w:b w:val="0"/>
          <w:bCs/>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lang w:eastAsia="zh-CN"/>
        </w:rPr>
      </w:pP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lang w:val="en-US" w:eastAsia="zh-CN"/>
        </w:rPr>
        <w:t>三</w:t>
      </w: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rPr>
        <w:t>财务制度未严格执行，个别项目资金使用有待规范</w:t>
      </w:r>
      <w:r>
        <w:rPr>
          <w:rStyle w:val="26"/>
          <w:rFonts w:hint="eastAsia" w:ascii="仿宋_GB2312" w:hAnsi="仿宋_GB2312" w:eastAsia="仿宋_GB2312" w:cs="仿宋_GB2312"/>
          <w:b w:val="0"/>
          <w:bCs/>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lang w:eastAsia="zh-CN"/>
        </w:rPr>
      </w:pP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lang w:val="en-US" w:eastAsia="zh-CN"/>
        </w:rPr>
        <w:t>四</w:t>
      </w:r>
      <w:r>
        <w:rPr>
          <w:rStyle w:val="26"/>
          <w:rFonts w:hint="eastAsia" w:ascii="仿宋_GB2312" w:hAnsi="仿宋_GB2312" w:eastAsia="仿宋_GB2312" w:cs="仿宋_GB2312"/>
          <w:b w:val="0"/>
          <w:bCs/>
          <w:szCs w:val="32"/>
          <w:highlight w:val="none"/>
          <w:lang w:eastAsia="zh-CN"/>
        </w:rPr>
        <w:t>）</w:t>
      </w:r>
      <w:r>
        <w:rPr>
          <w:rStyle w:val="26"/>
          <w:rFonts w:hint="eastAsia" w:ascii="仿宋_GB2312" w:hAnsi="仿宋_GB2312" w:eastAsia="仿宋_GB2312" w:cs="仿宋_GB2312"/>
          <w:b w:val="0"/>
          <w:bCs/>
          <w:szCs w:val="32"/>
          <w:highlight w:val="none"/>
        </w:rPr>
        <w:t>部分法院“两庭建设”项目及省法院诉讼服务中心建设项目进度滞后</w:t>
      </w:r>
      <w:r>
        <w:rPr>
          <w:rStyle w:val="26"/>
          <w:rFonts w:hint="eastAsia" w:ascii="仿宋_GB2312" w:hAnsi="仿宋_GB2312" w:eastAsia="仿宋_GB2312" w:cs="仿宋_GB2312"/>
          <w:b w:val="0"/>
          <w:bCs/>
          <w:szCs w:val="32"/>
          <w:highlight w:val="none"/>
          <w:lang w:eastAsia="zh-CN"/>
        </w:rPr>
        <w:t>。</w:t>
      </w:r>
    </w:p>
    <w:bookmarkEnd w:id="38"/>
    <w:bookmarkEnd w:id="39"/>
    <w:bookmarkEnd w:id="40"/>
    <w:bookmarkEnd w:id="41"/>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highlight w:val="none"/>
        </w:rPr>
      </w:pPr>
      <w:bookmarkStart w:id="43" w:name="_Toc16632"/>
      <w:r>
        <w:rPr>
          <w:rFonts w:hint="eastAsia" w:ascii="黑体" w:hAnsi="黑体" w:eastAsia="黑体" w:cs="仿宋"/>
          <w:highlight w:val="none"/>
          <w:lang w:val="en-US" w:eastAsia="zh-CN"/>
        </w:rPr>
        <w:t>六</w:t>
      </w:r>
      <w:r>
        <w:rPr>
          <w:rFonts w:hint="eastAsia" w:ascii="黑体" w:hAnsi="黑体" w:eastAsia="黑体" w:cs="仿宋"/>
          <w:highlight w:val="none"/>
        </w:rPr>
        <w:t>、有关建议</w:t>
      </w:r>
      <w:bookmarkEnd w:id="43"/>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lang w:eastAsia="zh-CN"/>
        </w:rPr>
      </w:pPr>
      <w:bookmarkStart w:id="44" w:name="_Toc13137"/>
      <w:bookmarkStart w:id="45" w:name="_Toc25928"/>
      <w:bookmarkStart w:id="46" w:name="_Toc30829"/>
      <w:bookmarkStart w:id="47" w:name="_Toc29770"/>
      <w:r>
        <w:rPr>
          <w:rStyle w:val="26"/>
          <w:rFonts w:hint="eastAsia" w:ascii="仿宋_GB2312" w:hAnsi="仿宋_GB2312" w:eastAsia="仿宋_GB2312" w:cs="仿宋_GB2312"/>
          <w:b w:val="0"/>
          <w:bCs/>
          <w:szCs w:val="32"/>
          <w:highlight w:val="none"/>
        </w:rPr>
        <w:t>（一）</w:t>
      </w:r>
      <w:bookmarkEnd w:id="44"/>
      <w:r>
        <w:rPr>
          <w:rStyle w:val="26"/>
          <w:rFonts w:hint="eastAsia" w:ascii="仿宋_GB2312" w:hAnsi="仿宋_GB2312" w:eastAsia="仿宋_GB2312" w:cs="仿宋_GB2312"/>
          <w:b w:val="0"/>
          <w:bCs/>
          <w:szCs w:val="32"/>
          <w:highlight w:val="none"/>
        </w:rPr>
        <w:t>细化预算编制，加快资金执行进度</w:t>
      </w:r>
      <w:bookmarkEnd w:id="45"/>
      <w:bookmarkEnd w:id="46"/>
      <w:bookmarkEnd w:id="47"/>
      <w:r>
        <w:rPr>
          <w:rStyle w:val="26"/>
          <w:rFonts w:hint="eastAsia" w:ascii="仿宋_GB2312" w:hAnsi="仿宋_GB2312" w:eastAsia="仿宋_GB2312" w:cs="仿宋_GB2312"/>
          <w:b w:val="0"/>
          <w:bCs/>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default" w:ascii="仿宋_GB2312" w:hAnsi="仿宋_GB2312" w:eastAsia="仿宋_GB2312" w:cs="仿宋_GB2312"/>
          <w:b w:val="0"/>
          <w:bCs/>
          <w:szCs w:val="32"/>
          <w:highlight w:val="none"/>
          <w:lang w:val="en-US" w:eastAsia="zh-CN"/>
        </w:rPr>
      </w:pPr>
      <w:bookmarkStart w:id="48" w:name="_Toc30338"/>
      <w:bookmarkStart w:id="49" w:name="_Toc12017"/>
      <w:bookmarkStart w:id="50" w:name="_Toc16121"/>
      <w:bookmarkStart w:id="51" w:name="_Toc11966"/>
      <w:r>
        <w:rPr>
          <w:rStyle w:val="26"/>
          <w:rFonts w:hint="eastAsia" w:ascii="仿宋_GB2312" w:hAnsi="仿宋_GB2312" w:eastAsia="仿宋_GB2312" w:cs="仿宋_GB2312"/>
          <w:b w:val="0"/>
          <w:bCs/>
          <w:szCs w:val="32"/>
          <w:highlight w:val="none"/>
        </w:rPr>
        <w:t>（二）</w:t>
      </w:r>
      <w:bookmarkEnd w:id="48"/>
      <w:bookmarkEnd w:id="49"/>
      <w:bookmarkEnd w:id="50"/>
      <w:bookmarkEnd w:id="51"/>
      <w:r>
        <w:rPr>
          <w:rStyle w:val="26"/>
          <w:rFonts w:hint="eastAsia" w:ascii="仿宋_GB2312" w:hAnsi="仿宋_GB2312" w:eastAsia="仿宋_GB2312" w:cs="仿宋_GB2312"/>
          <w:b w:val="0"/>
          <w:bCs/>
          <w:szCs w:val="32"/>
          <w:highlight w:val="none"/>
        </w:rPr>
        <w:t>加强预算绩效目标管理，提升绩效指标完整性、合理性和科学性</w:t>
      </w:r>
      <w:r>
        <w:rPr>
          <w:rStyle w:val="26"/>
          <w:rFonts w:hint="eastAsia" w:ascii="仿宋_GB2312" w:hAnsi="仿宋_GB2312" w:eastAsia="仿宋_GB2312" w:cs="仿宋_GB2312"/>
          <w:b w:val="0"/>
          <w:bCs/>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default" w:ascii="仿宋_GB2312" w:hAnsi="仿宋_GB2312" w:eastAsia="仿宋_GB2312" w:cs="仿宋_GB2312"/>
          <w:b w:val="0"/>
          <w:bCs/>
          <w:szCs w:val="32"/>
          <w:highlight w:val="none"/>
          <w:lang w:val="en-US" w:eastAsia="zh-CN"/>
        </w:rPr>
      </w:pPr>
      <w:bookmarkStart w:id="52" w:name="_Toc6472"/>
      <w:bookmarkStart w:id="53" w:name="_Toc26142"/>
      <w:bookmarkStart w:id="54" w:name="_Toc6511"/>
      <w:bookmarkStart w:id="55" w:name="_Toc24001"/>
      <w:r>
        <w:rPr>
          <w:rStyle w:val="26"/>
          <w:rFonts w:hint="eastAsia" w:ascii="仿宋_GB2312" w:hAnsi="仿宋_GB2312" w:eastAsia="仿宋_GB2312" w:cs="仿宋_GB2312"/>
          <w:b w:val="0"/>
          <w:bCs/>
          <w:szCs w:val="32"/>
          <w:highlight w:val="none"/>
          <w:lang w:val="en-US" w:eastAsia="zh-CN"/>
        </w:rPr>
        <w:t>（三）</w:t>
      </w:r>
      <w:bookmarkEnd w:id="52"/>
      <w:r>
        <w:rPr>
          <w:rStyle w:val="26"/>
          <w:rFonts w:hint="eastAsia" w:ascii="仿宋_GB2312" w:hAnsi="仿宋_GB2312" w:eastAsia="仿宋_GB2312" w:cs="仿宋_GB2312"/>
          <w:b w:val="0"/>
          <w:bCs/>
          <w:szCs w:val="32"/>
          <w:highlight w:val="none"/>
          <w:lang w:val="en-US" w:eastAsia="zh-CN"/>
        </w:rPr>
        <w:t>加强支付审批流程，严格按照合同约定执行付款</w:t>
      </w:r>
      <w:bookmarkEnd w:id="53"/>
      <w:bookmarkEnd w:id="54"/>
      <w:bookmarkEnd w:id="55"/>
      <w:r>
        <w:rPr>
          <w:rStyle w:val="26"/>
          <w:rFonts w:hint="eastAsia" w:ascii="仿宋_GB2312" w:hAnsi="仿宋_GB2312" w:eastAsia="仿宋_GB2312" w:cs="仿宋_GB2312"/>
          <w:b w:val="0"/>
          <w:bCs/>
          <w:szCs w:val="32"/>
          <w:highlight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26"/>
          <w:rFonts w:hint="eastAsia" w:ascii="仿宋_GB2312" w:hAnsi="仿宋_GB2312" w:eastAsia="仿宋_GB2312" w:cs="仿宋_GB2312"/>
          <w:b w:val="0"/>
          <w:bCs/>
          <w:szCs w:val="32"/>
          <w:highlight w:val="none"/>
        </w:rPr>
      </w:pPr>
      <w:bookmarkStart w:id="56" w:name="_Toc23172"/>
      <w:bookmarkStart w:id="57" w:name="_Toc13560"/>
      <w:bookmarkStart w:id="58" w:name="_Toc22271"/>
      <w:bookmarkStart w:id="59" w:name="_Toc29350"/>
      <w:r>
        <w:rPr>
          <w:rStyle w:val="26"/>
          <w:rFonts w:hint="eastAsia" w:ascii="仿宋_GB2312" w:hAnsi="仿宋_GB2312" w:eastAsia="仿宋_GB2312" w:cs="仿宋_GB2312"/>
          <w:b w:val="0"/>
          <w:bCs/>
          <w:szCs w:val="32"/>
          <w:highlight w:val="none"/>
        </w:rPr>
        <w:t>（</w:t>
      </w:r>
      <w:r>
        <w:rPr>
          <w:rStyle w:val="26"/>
          <w:rFonts w:hint="eastAsia" w:ascii="仿宋_GB2312" w:hAnsi="仿宋_GB2312" w:eastAsia="仿宋_GB2312" w:cs="仿宋_GB2312"/>
          <w:b w:val="0"/>
          <w:bCs/>
          <w:szCs w:val="32"/>
          <w:highlight w:val="none"/>
          <w:lang w:val="en-US" w:eastAsia="zh-CN"/>
        </w:rPr>
        <w:t>四</w:t>
      </w:r>
      <w:r>
        <w:rPr>
          <w:rStyle w:val="26"/>
          <w:rFonts w:hint="eastAsia" w:ascii="仿宋_GB2312" w:hAnsi="仿宋_GB2312" w:eastAsia="仿宋_GB2312" w:cs="仿宋_GB2312"/>
          <w:b w:val="0"/>
          <w:bCs/>
          <w:szCs w:val="32"/>
          <w:highlight w:val="none"/>
        </w:rPr>
        <w:t>）</w:t>
      </w:r>
      <w:bookmarkEnd w:id="56"/>
      <w:bookmarkEnd w:id="57"/>
      <w:bookmarkEnd w:id="58"/>
      <w:bookmarkEnd w:id="59"/>
      <w:r>
        <w:rPr>
          <w:rStyle w:val="26"/>
          <w:rFonts w:hint="eastAsia" w:ascii="仿宋_GB2312" w:hAnsi="仿宋_GB2312" w:eastAsia="仿宋_GB2312" w:cs="仿宋_GB2312"/>
          <w:b w:val="0"/>
          <w:bCs/>
          <w:szCs w:val="32"/>
          <w:highlight w:val="none"/>
          <w:lang w:val="en-US" w:eastAsia="zh-CN"/>
        </w:rPr>
        <w:t>加</w:t>
      </w:r>
      <w:r>
        <w:rPr>
          <w:rStyle w:val="26"/>
          <w:rFonts w:hint="eastAsia" w:ascii="仿宋_GB2312" w:hAnsi="仿宋_GB2312" w:eastAsia="仿宋_GB2312" w:cs="仿宋_GB2312"/>
          <w:b w:val="0"/>
          <w:bCs/>
          <w:szCs w:val="32"/>
          <w:highlight w:val="none"/>
        </w:rPr>
        <w:t>强项目管理，确保项目实施进度</w:t>
      </w:r>
      <w:r>
        <w:rPr>
          <w:rStyle w:val="26"/>
          <w:rFonts w:hint="eastAsia" w:ascii="仿宋_GB2312" w:hAnsi="仿宋_GB2312" w:eastAsia="仿宋_GB2312" w:cs="仿宋_GB2312"/>
          <w:b w:val="0"/>
          <w:bCs/>
          <w:szCs w:val="32"/>
          <w:highlight w:val="none"/>
          <w:lang w:val="en-US" w:eastAsia="zh-CN"/>
        </w:rPr>
        <w:t>。</w:t>
      </w:r>
    </w:p>
    <w:bookmarkEnd w:id="42"/>
    <w:p>
      <w:pPr>
        <w:keepNext w:val="0"/>
        <w:keepLines w:val="0"/>
        <w:pageBreakBefore w:val="0"/>
        <w:widowControl w:val="0"/>
        <w:kinsoku/>
        <w:wordWrap/>
        <w:overflowPunct w:val="0"/>
        <w:topLinePunct w:val="0"/>
        <w:autoSpaceDE/>
        <w:autoSpaceDN/>
        <w:bidi w:val="0"/>
        <w:adjustRightInd/>
        <w:snapToGrid/>
        <w:spacing w:line="560" w:lineRule="exact"/>
        <w:jc w:val="center"/>
        <w:textAlignment w:val="auto"/>
        <w:outlineLvl w:val="0"/>
        <w:rPr>
          <w:rFonts w:hint="eastAsia" w:ascii="方正小标宋简体" w:hAnsi="宋体" w:eastAsia="方正小标宋简体"/>
          <w:sz w:val="44"/>
          <w:szCs w:val="44"/>
          <w:highlight w:val="none"/>
        </w:rPr>
      </w:pPr>
      <w:bookmarkStart w:id="60" w:name="_Toc13376"/>
      <w:bookmarkStart w:id="61" w:name="_Toc1784"/>
      <w:bookmarkStart w:id="62" w:name="_Toc2283"/>
      <w:r>
        <w:rPr>
          <w:rFonts w:hint="eastAsia" w:ascii="方正小标宋简体" w:hAnsi="宋体" w:eastAsia="方正小标宋简体"/>
          <w:sz w:val="44"/>
          <w:szCs w:val="44"/>
          <w:highlight w:val="none"/>
        </w:rPr>
        <w:br w:type="page"/>
      </w:r>
      <w:bookmarkStart w:id="63" w:name="_Toc11079"/>
      <w:r>
        <w:rPr>
          <w:rFonts w:hint="eastAsia" w:ascii="方正小标宋简体" w:hAnsi="宋体" w:eastAsia="方正小标宋简体"/>
          <w:sz w:val="44"/>
          <w:szCs w:val="44"/>
          <w:highlight w:val="none"/>
        </w:rPr>
        <w:t>202</w:t>
      </w:r>
      <w:r>
        <w:rPr>
          <w:rFonts w:hint="eastAsia" w:ascii="方正小标宋简体" w:hAnsi="宋体" w:eastAsia="方正小标宋简体"/>
          <w:sz w:val="44"/>
          <w:szCs w:val="44"/>
          <w:highlight w:val="none"/>
          <w:lang w:val="en-US" w:eastAsia="zh-CN"/>
        </w:rPr>
        <w:t>2</w:t>
      </w:r>
      <w:r>
        <w:rPr>
          <w:rFonts w:hint="eastAsia" w:ascii="方正小标宋简体" w:hAnsi="宋体" w:eastAsia="方正小标宋简体"/>
          <w:sz w:val="44"/>
          <w:szCs w:val="44"/>
          <w:highlight w:val="none"/>
        </w:rPr>
        <w:t>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63"/>
      <w:bookmarkStart w:id="64" w:name="_Toc25608"/>
      <w:bookmarkStart w:id="65" w:name="_Toc21731"/>
      <w:bookmarkStart w:id="66" w:name="_Toc10434"/>
    </w:p>
    <w:p>
      <w:pPr>
        <w:keepNext w:val="0"/>
        <w:keepLines w:val="0"/>
        <w:pageBreakBefore w:val="0"/>
        <w:widowControl w:val="0"/>
        <w:kinsoku/>
        <w:wordWrap/>
        <w:overflowPunct w:val="0"/>
        <w:topLinePunct w:val="0"/>
        <w:autoSpaceDE/>
        <w:autoSpaceDN/>
        <w:bidi w:val="0"/>
        <w:adjustRightInd/>
        <w:snapToGrid/>
        <w:spacing w:line="560" w:lineRule="exact"/>
        <w:jc w:val="center"/>
        <w:textAlignment w:val="auto"/>
        <w:outlineLvl w:val="0"/>
        <w:rPr>
          <w:rFonts w:hint="eastAsia" w:ascii="方正小标宋简体" w:hAnsi="宋体" w:eastAsia="方正小标宋简体"/>
          <w:sz w:val="44"/>
          <w:szCs w:val="44"/>
          <w:highlight w:val="none"/>
          <w:lang w:eastAsia="zh-CN"/>
        </w:rPr>
      </w:pPr>
      <w:r>
        <w:rPr>
          <w:rFonts w:hint="eastAsia" w:ascii="方正小标宋简体" w:hAnsi="宋体" w:eastAsia="方正小标宋简体"/>
          <w:sz w:val="44"/>
          <w:szCs w:val="44"/>
          <w:highlight w:val="none"/>
        </w:rPr>
        <w:t>—</w:t>
      </w:r>
      <w:r>
        <w:rPr>
          <w:rFonts w:hint="eastAsia" w:ascii="方正小标宋简体" w:hAnsi="宋体" w:eastAsia="方正小标宋简体"/>
          <w:sz w:val="44"/>
          <w:szCs w:val="44"/>
          <w:highlight w:val="none"/>
          <w:lang w:eastAsia="zh-CN"/>
        </w:rPr>
        <w:t>全省法院“两庭建设”资金项目经费</w:t>
      </w:r>
      <w:bookmarkEnd w:id="60"/>
      <w:bookmarkStart w:id="67" w:name="_Toc22755"/>
    </w:p>
    <w:p>
      <w:pPr>
        <w:keepNext w:val="0"/>
        <w:keepLines w:val="0"/>
        <w:pageBreakBefore w:val="0"/>
        <w:widowControl w:val="0"/>
        <w:kinsoku/>
        <w:wordWrap/>
        <w:overflowPunct w:val="0"/>
        <w:topLinePunct w:val="0"/>
        <w:autoSpaceDE/>
        <w:autoSpaceDN/>
        <w:bidi w:val="0"/>
        <w:adjustRightInd/>
        <w:snapToGrid/>
        <w:spacing w:line="560" w:lineRule="exact"/>
        <w:ind w:firstLine="3080" w:firstLineChars="700"/>
        <w:jc w:val="both"/>
        <w:textAlignment w:val="auto"/>
        <w:outlineLvl w:val="0"/>
        <w:rPr>
          <w:rFonts w:ascii="方正小标宋简体" w:hAnsi="宋体" w:eastAsia="方正小标宋简体"/>
          <w:sz w:val="44"/>
          <w:szCs w:val="44"/>
          <w:highlight w:val="none"/>
        </w:rPr>
      </w:pPr>
      <w:bookmarkStart w:id="68" w:name="_Toc32703"/>
      <w:bookmarkStart w:id="69" w:name="_Toc10728"/>
      <w:r>
        <w:rPr>
          <w:rFonts w:hint="eastAsia" w:ascii="方正小标宋简体" w:hAnsi="宋体" w:eastAsia="方正小标宋简体"/>
          <w:sz w:val="44"/>
          <w:szCs w:val="44"/>
          <w:highlight w:val="none"/>
        </w:rPr>
        <w:t>绩效评价报告</w:t>
      </w:r>
      <w:bookmarkEnd w:id="64"/>
      <w:bookmarkEnd w:id="65"/>
      <w:bookmarkEnd w:id="66"/>
      <w:bookmarkEnd w:id="67"/>
      <w:bookmarkEnd w:id="68"/>
      <w:bookmarkEnd w:id="69"/>
    </w:p>
    <w:p>
      <w:pPr>
        <w:overflowPunct w:val="0"/>
        <w:spacing w:line="720" w:lineRule="auto"/>
        <w:ind w:firstLine="560"/>
        <w:jc w:val="right"/>
        <w:rPr>
          <w:rFonts w:ascii="黑体" w:eastAsia="黑体"/>
          <w:color w:val="000000" w:themeColor="text1"/>
          <w14:textFill>
            <w14:solidFill>
              <w14:schemeClr w14:val="tx1"/>
            </w14:solidFill>
          </w14:textFill>
        </w:rPr>
      </w:pPr>
      <w:bookmarkStart w:id="70" w:name="_Toc30955"/>
      <w:bookmarkStart w:id="71" w:name="_Toc28166"/>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2</w:t>
      </w:r>
      <w:r>
        <w:rPr>
          <w:rFonts w:hint="eastAsia" w:ascii="楷体" w:hAnsi="楷体" w:eastAsia="楷体" w:cs="楷体"/>
          <w:sz w:val="28"/>
          <w:szCs w:val="28"/>
        </w:rPr>
        <w:t>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r>
        <w:rPr>
          <w:rFonts w:hint="eastAsia" w:ascii="黑体" w:eastAsia="黑体"/>
          <w:highlight w:val="none"/>
        </w:rPr>
        <w:t>一、项目基本情况</w:t>
      </w:r>
      <w:bookmarkEnd w:id="61"/>
      <w:bookmarkEnd w:id="62"/>
      <w:bookmarkEnd w:id="70"/>
      <w:bookmarkEnd w:id="71"/>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2" w:name="_Toc10781"/>
      <w:bookmarkStart w:id="73" w:name="_Toc21843"/>
      <w:bookmarkStart w:id="74" w:name="_Toc11404"/>
      <w:r>
        <w:rPr>
          <w:rFonts w:hint="eastAsia" w:ascii="楷体" w:hAnsi="楷体" w:eastAsia="楷体" w:cs="楷体"/>
          <w:b/>
          <w:bCs/>
          <w:highlight w:val="none"/>
        </w:rPr>
        <w:t>（一）项目立项背景</w:t>
      </w:r>
      <w:bookmarkEnd w:id="72"/>
      <w:bookmarkEnd w:id="73"/>
      <w:bookmarkEnd w:id="7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75" w:name="_Toc27159"/>
      <w:bookmarkStart w:id="76" w:name="_Toc10699"/>
      <w:r>
        <w:rPr>
          <w:rFonts w:hint="eastAsia" w:ascii="仿宋_GB2312" w:hAnsi="仿宋_GB2312" w:eastAsia="仿宋_GB2312" w:cs="仿宋_GB2312"/>
          <w:highlight w:val="none"/>
        </w:rPr>
        <w:t>长期以来，由于经费困难等多种因素的制约，</w:t>
      </w:r>
      <w:r>
        <w:rPr>
          <w:rFonts w:hint="eastAsia" w:ascii="仿宋_GB2312" w:hAnsi="仿宋_GB2312" w:cs="仿宋_GB2312"/>
          <w:color w:val="auto"/>
          <w:highlight w:val="none"/>
          <w:lang w:eastAsia="zh-CN"/>
        </w:rPr>
        <w:t>全</w:t>
      </w:r>
      <w:r>
        <w:rPr>
          <w:rFonts w:hint="eastAsia" w:ascii="仿宋_GB2312" w:hAnsi="仿宋_GB2312" w:eastAsia="仿宋_GB2312" w:cs="仿宋_GB2312"/>
          <w:highlight w:val="none"/>
        </w:rPr>
        <w:t>省法院“两庭”建设滞后于审判工作发展的需要，审判法庭和人民法庭的硬件建设远远达不到规范化、标准化法庭的要求，无法完全适应审判工作的需要，为促进全省法院长期发展规划的实施，“两庭”建设迫在眉睫。</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highlight w:val="none"/>
        </w:rPr>
      </w:pPr>
      <w:bookmarkStart w:id="77" w:name="_Toc27285"/>
      <w:r>
        <w:rPr>
          <w:rFonts w:hint="eastAsia" w:ascii="仿宋_GB2312" w:hAnsi="仿宋_GB2312" w:eastAsia="仿宋_GB2312" w:cs="仿宋_GB2312"/>
          <w:highlight w:val="none"/>
        </w:rPr>
        <w:t>人民法庭是最基层的部门，法庭的建设可以更好地为干警提供办案场所、维护社会公平正义。为保障全省法院审判大楼基础设施建设，体现审判机关庄重、现代、文明的形象，确保两庭审判工作的正常运转，充分发挥法庭的职能作用，保证基层人民法庭审判工作人员的正常工作，改善审判场所环境</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为人民群众到基层人员法庭解决诉讼争议，创造良好的环境。</w:t>
      </w:r>
      <w:bookmarkEnd w:id="77"/>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8" w:name="_Toc29009"/>
      <w:r>
        <w:rPr>
          <w:rFonts w:hint="eastAsia" w:ascii="楷体" w:hAnsi="楷体" w:eastAsia="楷体" w:cs="楷体"/>
          <w:b/>
          <w:bCs/>
          <w:highlight w:val="none"/>
        </w:rPr>
        <w:t>（二）项目预算安排及使用情况</w:t>
      </w:r>
      <w:bookmarkEnd w:id="75"/>
      <w:bookmarkEnd w:id="76"/>
      <w:bookmarkEnd w:id="78"/>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1.预算安排情况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eastAsia="zh-CN"/>
        </w:rPr>
        <w:t>根据省财政厅2022年度预算安排，全省法院“两庭建设”项目全年预算资金18,832.93万元，其中当年财政拨款16,000.00万元，年初随部门预算下达至省法院，上年结转资金2,832.9</w:t>
      </w:r>
      <w:r>
        <w:rPr>
          <w:rFonts w:hint="eastAsia" w:ascii="仿宋_GB2312" w:hAnsi="仿宋_GB2312" w:cs="仿宋_GB2312"/>
          <w:highlight w:val="none"/>
          <w:lang w:val="en-US" w:eastAsia="zh-CN"/>
        </w:rPr>
        <w:t>3</w:t>
      </w:r>
      <w:r>
        <w:rPr>
          <w:rFonts w:hint="eastAsia" w:ascii="仿宋_GB2312" w:hAnsi="仿宋_GB2312" w:cs="仿宋_GB2312"/>
          <w:highlight w:val="none"/>
          <w:lang w:eastAsia="zh-CN"/>
        </w:rPr>
        <w:t>万元。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省法院《关于2022年度全省法院“两庭”建设资金安排建议的报告》（甘高法行装〔2022〕24号）提出全省法院“两庭”建设资金10,000.00万元的安排建议。2022年4月22日，甘肃省财政厅《关于下达2022年度第一批全省法院“两庭”建设资金的通知》（甘财政</w:t>
      </w:r>
      <w:r>
        <w:rPr>
          <w:rFonts w:hint="eastAsia" w:ascii="仿宋_GB2312" w:hAnsi="仿宋_GB2312" w:eastAsia="仿宋_GB2312" w:cs="仿宋_GB2312"/>
          <w:highlight w:val="none"/>
          <w:lang w:val="en-US" w:eastAsia="zh-CN"/>
        </w:rPr>
        <w:t>法</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2022</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12号</w:t>
      </w:r>
      <w:r>
        <w:rPr>
          <w:rFonts w:hint="eastAsia" w:ascii="仿宋_GB2312" w:hAnsi="仿宋_GB2312" w:cs="仿宋_GB2312"/>
          <w:highlight w:val="none"/>
          <w:lang w:val="en-US" w:eastAsia="zh-CN"/>
        </w:rPr>
        <w:t>）下达了全省法院“两庭”建设资金10,000.00万元，安排14个中、基层法院开展项目。具体分配情况如下：</w:t>
      </w:r>
    </w:p>
    <w:tbl>
      <w:tblPr>
        <w:tblStyle w:val="16"/>
        <w:tblW w:w="825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690"/>
        <w:gridCol w:w="2748"/>
        <w:gridCol w:w="1200"/>
        <w:gridCol w:w="3618"/>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690"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748"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实施单位</w:t>
            </w:r>
          </w:p>
        </w:tc>
        <w:tc>
          <w:tcPr>
            <w:tcW w:w="1200"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预算金额</w:t>
            </w:r>
          </w:p>
        </w:tc>
        <w:tc>
          <w:tcPr>
            <w:tcW w:w="3618"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1</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崇信县人民法院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700.00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cs="宋体"/>
                <w:color w:val="auto"/>
                <w:kern w:val="0"/>
                <w:szCs w:val="21"/>
                <w:highlight w:val="none"/>
                <w:lang w:val="en-US" w:eastAsia="zh-CN" w:bidi="ar"/>
              </w:rPr>
              <w:t>2</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华亭市人民法院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650.00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cs="宋体"/>
                <w:color w:val="auto"/>
                <w:kern w:val="0"/>
                <w:szCs w:val="21"/>
                <w:highlight w:val="none"/>
                <w:lang w:val="en-US" w:eastAsia="zh-CN" w:bidi="ar"/>
              </w:rPr>
              <w:t>3</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会宁县人民法院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Cs w:val="21"/>
                <w:highlight w:val="none"/>
                <w:lang w:val="en-US" w:eastAsia="zh-CN" w:bidi="ar"/>
              </w:rPr>
              <w:t>4</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金昌市中级人民法院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5</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景泰县人民法院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550.00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6</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酒泉市中级人民法院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7</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平凉市中级人民法院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400.00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8</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洮河林区法院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150.00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9</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武威市中级人民法院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500.00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兰州市西固区人民法院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11</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夏河县人民法院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600.00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12</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玉门市人民法院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13</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张家川回族自治县人民法院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450.00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14</w:t>
            </w:r>
          </w:p>
        </w:tc>
        <w:tc>
          <w:tcPr>
            <w:tcW w:w="2748"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子午岭林区法院</w:t>
            </w:r>
          </w:p>
        </w:tc>
        <w:tc>
          <w:tcPr>
            <w:tcW w:w="1200"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1,000.00</w:t>
            </w:r>
          </w:p>
        </w:tc>
        <w:tc>
          <w:tcPr>
            <w:tcW w:w="361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690"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p>
        </w:tc>
        <w:tc>
          <w:tcPr>
            <w:tcW w:w="2748" w:type="dxa"/>
            <w:shd w:val="clear" w:color="auto" w:fill="C7DAF1"/>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合计</w:t>
            </w:r>
          </w:p>
        </w:tc>
        <w:tc>
          <w:tcPr>
            <w:tcW w:w="1200" w:type="dxa"/>
            <w:shd w:val="clear" w:color="auto" w:fill="C7DAF1"/>
            <w:noWrap w:val="0"/>
            <w:vAlign w:val="top"/>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10,000.00</w:t>
            </w:r>
          </w:p>
        </w:tc>
        <w:tc>
          <w:tcPr>
            <w:tcW w:w="3618"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b/>
                <w:bCs/>
                <w:color w:val="auto"/>
                <w:kern w:val="0"/>
                <w:szCs w:val="21"/>
                <w:highlight w:val="none"/>
                <w:lang w:val="en-US" w:eastAsia="zh-CN" w:bidi="ar"/>
              </w:rPr>
            </w:pPr>
          </w:p>
        </w:tc>
      </w:tr>
    </w:tbl>
    <w:p>
      <w:pPr>
        <w:pStyle w:val="2"/>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省法院《关于2022年度第二批全省法院“两庭建设”资金安排建议的报告》（甘高法行装〔2022〕79号）提出全省法院“两庭”建设资金项目经费6,000.00万元的安排建议。2022年9月23日，甘肃省财政厅《关于下达2022年度第二批全省法院“两庭建设”资金的通知》（甘财政法﹝2022﹞26号）下达了全省法院“两庭”建设资金6,000.00万元，安排18个中、基层法院开展项目。具体分配情况如下：</w:t>
      </w:r>
    </w:p>
    <w:tbl>
      <w:tblPr>
        <w:tblStyle w:val="16"/>
        <w:tblW w:w="8256"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61"/>
        <w:gridCol w:w="2393"/>
        <w:gridCol w:w="1343"/>
        <w:gridCol w:w="3759"/>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761"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2393"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Cs w:val="21"/>
                <w:highlight w:val="none"/>
                <w:lang w:eastAsia="zh-CN" w:bidi="ar"/>
              </w:rPr>
            </w:pPr>
            <w:r>
              <w:rPr>
                <w:rFonts w:hint="eastAsia" w:ascii="宋体" w:hAnsi="宋体" w:cs="宋体"/>
                <w:b/>
                <w:bCs/>
                <w:color w:val="000000"/>
                <w:kern w:val="0"/>
                <w:szCs w:val="21"/>
                <w:highlight w:val="none"/>
                <w:lang w:val="en-US" w:eastAsia="zh-CN" w:bidi="ar"/>
              </w:rPr>
              <w:t>实施单位</w:t>
            </w:r>
          </w:p>
        </w:tc>
        <w:tc>
          <w:tcPr>
            <w:tcW w:w="1343"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预算金额</w:t>
            </w:r>
          </w:p>
        </w:tc>
        <w:tc>
          <w:tcPr>
            <w:tcW w:w="3759"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4"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color w:val="000000"/>
                <w:kern w:val="0"/>
                <w:sz w:val="21"/>
                <w:szCs w:val="21"/>
                <w:highlight w:val="none"/>
                <w:lang w:val="en-US" w:eastAsia="zh-CN" w:bidi="ar"/>
              </w:rPr>
            </w:pPr>
            <w:r>
              <w:rPr>
                <w:rFonts w:hint="eastAsia" w:ascii="宋体" w:hAnsi="宋体" w:cs="宋体"/>
                <w:color w:val="000000"/>
                <w:kern w:val="0"/>
                <w:sz w:val="21"/>
                <w:szCs w:val="21"/>
                <w:highlight w:val="none"/>
                <w:lang w:val="en-US" w:eastAsia="zh-CN" w:bidi="ar"/>
              </w:rPr>
              <w:t>1</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金昌市中级人民法院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300.00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2</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金川区人民法院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150.00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3</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会宁县人民法院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500.00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4</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秦州区人民法院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300.00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5</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张家川县人民法院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500.00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6</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酒泉市中级人民法院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500.00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7</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武威市中级人民法院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500.00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8</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通渭县人民法院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200.00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9</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华亭县人民法院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10</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崇信县人民法院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200.00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11</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宁县人民法院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12</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康乐县人民法院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300.00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13</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合作市人民法院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14</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临潭县人民法院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200.00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15</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白龙江林区法院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700.00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16</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洮河林区法院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17</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小陇山林区法院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1,000.00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18</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子午岭林区法院</w:t>
            </w:r>
          </w:p>
        </w:tc>
        <w:tc>
          <w:tcPr>
            <w:tcW w:w="1343" w:type="dxa"/>
            <w:noWrap w:val="0"/>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150.00</w:t>
            </w:r>
          </w:p>
        </w:tc>
        <w:tc>
          <w:tcPr>
            <w:tcW w:w="3759"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全省法院“两庭”建设资金</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61"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000000"/>
                <w:kern w:val="0"/>
                <w:szCs w:val="21"/>
                <w:highlight w:val="none"/>
                <w:lang w:bidi="ar"/>
              </w:rPr>
            </w:pPr>
          </w:p>
        </w:tc>
        <w:tc>
          <w:tcPr>
            <w:tcW w:w="2393" w:type="dxa"/>
            <w:shd w:val="clear" w:color="auto" w:fill="C7DAF1"/>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合计</w:t>
            </w:r>
          </w:p>
        </w:tc>
        <w:tc>
          <w:tcPr>
            <w:tcW w:w="1343" w:type="dxa"/>
            <w:shd w:val="clear" w:color="auto" w:fill="C7DAF1"/>
            <w:noWrap w:val="0"/>
            <w:vAlign w:val="top"/>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6,000.00</w:t>
            </w:r>
          </w:p>
        </w:tc>
        <w:tc>
          <w:tcPr>
            <w:tcW w:w="3759" w:type="dxa"/>
            <w:shd w:val="clear" w:color="auto" w:fill="C7DAF1"/>
            <w:noWrap/>
            <w:vAlign w:val="center"/>
          </w:tcPr>
          <w:p>
            <w:pPr>
              <w:keepNext w:val="0"/>
              <w:keepLines w:val="0"/>
              <w:pageBreakBefore w:val="0"/>
              <w:widowControl w:val="0"/>
              <w:kinsoku/>
              <w:wordWrap/>
              <w:overflowPunct w:val="0"/>
              <w:topLinePunct w:val="0"/>
              <w:autoSpaceDE/>
              <w:autoSpaceDN/>
              <w:bidi w:val="0"/>
              <w:adjustRightInd/>
              <w:jc w:val="right"/>
              <w:textAlignment w:val="center"/>
              <w:rPr>
                <w:rFonts w:hint="default" w:ascii="宋体" w:hAnsi="宋体" w:eastAsia="宋体" w:cs="宋体"/>
                <w:b/>
                <w:bCs/>
                <w:color w:val="000000"/>
                <w:kern w:val="0"/>
                <w:szCs w:val="21"/>
                <w:highlight w:val="none"/>
                <w:lang w:val="en-US" w:eastAsia="zh-CN" w:bidi="ar"/>
              </w:rPr>
            </w:pPr>
          </w:p>
        </w:tc>
      </w:tr>
    </w:tbl>
    <w:p>
      <w:pPr>
        <w:pStyle w:val="2"/>
        <w:keepNext w:val="0"/>
        <w:keepLines w:val="0"/>
        <w:pageBreakBefore w:val="0"/>
        <w:widowControl w:val="0"/>
        <w:kinsoku/>
        <w:wordWrap/>
        <w:overflowPunct w:val="0"/>
        <w:topLinePunct w:val="0"/>
        <w:autoSpaceDE/>
        <w:autoSpaceDN/>
        <w:bidi w:val="0"/>
        <w:adjustRightInd/>
        <w:snapToGrid/>
        <w:spacing w:line="54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2.资金使用情况</w:t>
      </w:r>
    </w:p>
    <w:p>
      <w:pPr>
        <w:pStyle w:val="2"/>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截止2022年12月31日，</w:t>
      </w:r>
      <w:r>
        <w:rPr>
          <w:rFonts w:hint="eastAsia" w:ascii="仿宋_GB2312" w:hAnsi="仿宋_GB2312" w:cs="仿宋_GB2312"/>
          <w:highlight w:val="none"/>
          <w:lang w:eastAsia="zh-CN"/>
        </w:rPr>
        <w:t>全省法院“两庭建设”资金项目经费</w:t>
      </w:r>
      <w:r>
        <w:rPr>
          <w:rFonts w:hint="eastAsia" w:ascii="仿宋_GB2312" w:hAnsi="仿宋_GB2312" w:cs="仿宋_GB2312"/>
          <w:highlight w:val="none"/>
          <w:lang w:val="en-US" w:eastAsia="zh-CN"/>
        </w:rPr>
        <w:t>实际支出14,968.04万元，预算执行率79.48%。各法院项目资金使用情况明细如下：</w:t>
      </w:r>
    </w:p>
    <w:tbl>
      <w:tblPr>
        <w:tblStyle w:val="16"/>
        <w:tblpPr w:leftFromText="180" w:rightFromText="180" w:vertAnchor="text" w:horzAnchor="page" w:tblpX="1940" w:tblpY="79"/>
        <w:tblOverlap w:val="never"/>
        <w:tblW w:w="8278" w:type="dxa"/>
        <w:tblInd w:w="0" w:type="dxa"/>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44"/>
        <w:gridCol w:w="2124"/>
        <w:gridCol w:w="1176"/>
        <w:gridCol w:w="1023"/>
        <w:gridCol w:w="1267"/>
        <w:gridCol w:w="1211"/>
        <w:gridCol w:w="1033"/>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vMerge w:val="restar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124" w:type="dxa"/>
            <w:vMerge w:val="restar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实施单位</w:t>
            </w:r>
          </w:p>
        </w:tc>
        <w:tc>
          <w:tcPr>
            <w:tcW w:w="3466" w:type="dxa"/>
            <w:gridSpan w:val="3"/>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全年预算数</w:t>
            </w:r>
          </w:p>
        </w:tc>
        <w:tc>
          <w:tcPr>
            <w:tcW w:w="1211" w:type="dxa"/>
            <w:vMerge w:val="restar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全年</w:t>
            </w:r>
          </w:p>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val="en-US" w:eastAsia="zh-CN" w:bidi="ar"/>
              </w:rPr>
              <w:t>执行数</w:t>
            </w:r>
          </w:p>
        </w:tc>
        <w:tc>
          <w:tcPr>
            <w:tcW w:w="1033" w:type="dxa"/>
            <w:vMerge w:val="restar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预算</w:t>
            </w:r>
          </w:p>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执行率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vMerge w:val="continue"/>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p>
        </w:tc>
        <w:tc>
          <w:tcPr>
            <w:tcW w:w="2124" w:type="dxa"/>
            <w:vMerge w:val="continue"/>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val="en-US" w:eastAsia="zh-CN" w:bidi="ar"/>
              </w:rPr>
            </w:pPr>
          </w:p>
        </w:tc>
        <w:tc>
          <w:tcPr>
            <w:tcW w:w="1176"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当年财</w:t>
            </w:r>
          </w:p>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政拨款</w:t>
            </w:r>
          </w:p>
        </w:tc>
        <w:tc>
          <w:tcPr>
            <w:tcW w:w="1023"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上年结</w:t>
            </w:r>
          </w:p>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转资金</w:t>
            </w:r>
          </w:p>
        </w:tc>
        <w:tc>
          <w:tcPr>
            <w:tcW w:w="1267"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合计</w:t>
            </w:r>
          </w:p>
        </w:tc>
        <w:tc>
          <w:tcPr>
            <w:tcW w:w="1211" w:type="dxa"/>
            <w:vMerge w:val="continue"/>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val="en-US" w:eastAsia="zh-CN" w:bidi="ar"/>
              </w:rPr>
            </w:pPr>
          </w:p>
        </w:tc>
        <w:tc>
          <w:tcPr>
            <w:tcW w:w="1033" w:type="dxa"/>
            <w:vMerge w:val="continue"/>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cs="宋体"/>
                <w:b/>
                <w:bCs/>
                <w:color w:val="auto"/>
                <w:kern w:val="0"/>
                <w:szCs w:val="21"/>
                <w:highlight w:val="none"/>
                <w:lang w:bidi="ar"/>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color w:val="auto"/>
                <w:kern w:val="0"/>
                <w:sz w:val="21"/>
                <w:szCs w:val="21"/>
                <w:u w:val="none"/>
                <w:lang w:val="en-US" w:eastAsia="zh-CN" w:bidi="ar"/>
              </w:rPr>
              <w:t>1</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崇信县人民法院</w:t>
            </w:r>
          </w:p>
        </w:tc>
        <w:tc>
          <w:tcPr>
            <w:tcW w:w="1176" w:type="dxa"/>
            <w:noWrap w:val="0"/>
            <w:vAlign w:val="center"/>
          </w:tcPr>
          <w:p>
            <w:pPr>
              <w:keepNext w:val="0"/>
              <w:keepLines w:val="0"/>
              <w:widowControl/>
              <w:suppressLineNumbers w:val="0"/>
              <w:jc w:val="right"/>
              <w:textAlignment w:val="center"/>
              <w:rPr>
                <w:rFonts w:hint="default" w:ascii="宋体" w:hAnsi="宋体" w:eastAsia="宋体" w:cs="宋体"/>
                <w:color w:val="auto"/>
                <w:kern w:val="0"/>
                <w:sz w:val="21"/>
                <w:szCs w:val="21"/>
                <w:highlight w:val="none"/>
                <w:lang w:val="en-US" w:bidi="ar"/>
              </w:rPr>
            </w:pPr>
            <w:r>
              <w:rPr>
                <w:rFonts w:hint="eastAsia" w:ascii="宋体" w:hAnsi="宋体" w:eastAsia="宋体" w:cs="宋体"/>
                <w:i w:val="0"/>
                <w:iCs w:val="0"/>
                <w:color w:val="auto"/>
                <w:kern w:val="0"/>
                <w:sz w:val="21"/>
                <w:szCs w:val="21"/>
                <w:u w:val="none"/>
                <w:lang w:val="en-US" w:eastAsia="zh-CN" w:bidi="ar"/>
              </w:rPr>
              <w:t>900.00</w:t>
            </w:r>
          </w:p>
        </w:tc>
        <w:tc>
          <w:tcPr>
            <w:tcW w:w="1023" w:type="dxa"/>
            <w:noWrap/>
            <w:vAlign w:val="center"/>
          </w:tcPr>
          <w:p>
            <w:pPr>
              <w:jc w:val="right"/>
              <w:rPr>
                <w:rFonts w:hint="default"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u w:val="none"/>
                <w:lang w:val="en-US" w:eastAsia="zh-CN" w:bidi="ar"/>
              </w:rPr>
              <w:t>900.00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898.97</w:t>
            </w:r>
          </w:p>
        </w:tc>
        <w:tc>
          <w:tcPr>
            <w:tcW w:w="103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99.89%</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cs="宋体"/>
                <w:color w:val="auto"/>
                <w:kern w:val="0"/>
                <w:szCs w:val="21"/>
                <w:highlight w:val="none"/>
                <w:lang w:bidi="ar"/>
              </w:rPr>
            </w:pPr>
            <w:r>
              <w:rPr>
                <w:rFonts w:hint="eastAsia" w:ascii="宋体" w:hAnsi="宋体" w:eastAsia="宋体" w:cs="宋体"/>
                <w:i w:val="0"/>
                <w:iCs w:val="0"/>
                <w:color w:val="auto"/>
                <w:kern w:val="0"/>
                <w:sz w:val="21"/>
                <w:szCs w:val="21"/>
                <w:u w:val="none"/>
                <w:lang w:val="en-US" w:eastAsia="zh-CN" w:bidi="ar"/>
              </w:rPr>
              <w:t>2</w:t>
            </w:r>
          </w:p>
        </w:tc>
        <w:tc>
          <w:tcPr>
            <w:tcW w:w="2124" w:type="dxa"/>
            <w:vMerge w:val="restart"/>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华亭市人民法院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650.00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650.00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650.00</w:t>
            </w:r>
          </w:p>
        </w:tc>
        <w:tc>
          <w:tcPr>
            <w:tcW w:w="103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2124" w:type="dxa"/>
            <w:vMerge w:val="continue"/>
            <w:noWrap w:val="0"/>
            <w:vAlign w:val="center"/>
          </w:tcPr>
          <w:p>
            <w:pPr>
              <w:jc w:val="left"/>
              <w:rPr>
                <w:rFonts w:hint="eastAsia" w:ascii="宋体" w:hAnsi="宋体" w:eastAsia="宋体" w:cs="宋体"/>
                <w:color w:val="auto"/>
                <w:kern w:val="0"/>
                <w:szCs w:val="21"/>
                <w:highlight w:val="none"/>
                <w:lang w:val="en-US" w:eastAsia="zh-CN" w:bidi="ar"/>
              </w:rPr>
            </w:pP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13.74</w:t>
            </w:r>
          </w:p>
        </w:tc>
        <w:tc>
          <w:tcPr>
            <w:tcW w:w="103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13.74%</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会宁县人民法院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1,500.00</w:t>
            </w:r>
          </w:p>
        </w:tc>
        <w:tc>
          <w:tcPr>
            <w:tcW w:w="103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金昌市中级人民法院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1,300.00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489.93</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1,789.93</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1,685.09</w:t>
            </w:r>
          </w:p>
        </w:tc>
        <w:tc>
          <w:tcPr>
            <w:tcW w:w="103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94.14%</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景泰县人民法院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550.00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550.00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538.31</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97.87%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酒泉市中级人民法院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30.81</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1,530.81</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1,530.81</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平凉市中级人民法院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400.00</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Style w:val="28"/>
                <w:color w:val="auto"/>
                <w:lang w:val="en-US" w:eastAsia="zh-CN" w:bidi="ar"/>
              </w:rPr>
              <w:t>洮河林区法院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350.00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140.02</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490.02</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490.02</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武威市中级人民法院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491.78</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49.18%</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西固区人民法院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360.98</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1,360.98</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654.78</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48.11%</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2"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Style w:val="28"/>
                <w:color w:val="auto"/>
                <w:lang w:val="en-US" w:eastAsia="zh-CN" w:bidi="ar"/>
              </w:rPr>
              <w:t>夏河县人民法院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600.00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600.00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474.92</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79.15%</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玉门市人民法院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023" w:type="dxa"/>
            <w:noWrap/>
            <w:vAlign w:val="center"/>
          </w:tcPr>
          <w:p>
            <w:pPr>
              <w:jc w:val="right"/>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835.54</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83.55%</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张家川回族自治县人民法院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950.00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20.00</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970.00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903.13</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93.11%</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子午岭林区法院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1,150.00</w:t>
            </w:r>
          </w:p>
        </w:tc>
        <w:tc>
          <w:tcPr>
            <w:tcW w:w="1023" w:type="dxa"/>
            <w:noWrap/>
            <w:vAlign w:val="center"/>
          </w:tcPr>
          <w:p>
            <w:pPr>
              <w:jc w:val="both"/>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1,150.00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1,150.00</w:t>
            </w:r>
          </w:p>
        </w:tc>
        <w:tc>
          <w:tcPr>
            <w:tcW w:w="1033" w:type="dxa"/>
            <w:noWrap/>
            <w:vAlign w:val="center"/>
          </w:tcPr>
          <w:p>
            <w:pPr>
              <w:keepNext w:val="0"/>
              <w:keepLines w:val="0"/>
              <w:widowControl/>
              <w:suppressLineNumbers w:val="0"/>
              <w:jc w:val="right"/>
              <w:textAlignment w:val="center"/>
              <w:rPr>
                <w:rFonts w:hint="eastAsia" w:ascii="宋体" w:hAnsi="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 w:val="21"/>
                <w:szCs w:val="21"/>
                <w:highlight w:val="none"/>
                <w:lang w:val="en-US" w:eastAsia="zh-CN" w:bidi="ar"/>
              </w:rPr>
            </w:pPr>
            <w:r>
              <w:rPr>
                <w:rStyle w:val="28"/>
                <w:color w:val="auto"/>
                <w:lang w:val="en-US" w:eastAsia="zh-CN" w:bidi="ar"/>
              </w:rPr>
              <w:t>金川区人民法院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023" w:type="dxa"/>
            <w:noWrap/>
            <w:vAlign w:val="center"/>
          </w:tcPr>
          <w:p>
            <w:pPr>
              <w:jc w:val="both"/>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17</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Style w:val="28"/>
                <w:color w:val="auto"/>
                <w:lang w:val="en-US" w:eastAsia="zh-CN" w:bidi="ar"/>
              </w:rPr>
              <w:t>秦州区人民法院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023" w:type="dxa"/>
            <w:noWrap/>
            <w:vAlign w:val="center"/>
          </w:tcPr>
          <w:p>
            <w:pPr>
              <w:jc w:val="both"/>
              <w:rPr>
                <w:rFonts w:hint="eastAsia" w:ascii="宋体" w:hAnsi="宋体" w:eastAsia="宋体" w:cs="宋体"/>
                <w:i w:val="0"/>
                <w:iCs w:val="0"/>
                <w:color w:val="auto"/>
                <w:kern w:val="0"/>
                <w:sz w:val="21"/>
                <w:szCs w:val="21"/>
                <w:highlight w:val="none"/>
                <w:u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18</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通渭县人民法院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200.00</w:t>
            </w:r>
          </w:p>
        </w:tc>
        <w:tc>
          <w:tcPr>
            <w:tcW w:w="1211" w:type="dxa"/>
            <w:noWrap/>
            <w:vAlign w:val="center"/>
          </w:tcPr>
          <w:p>
            <w:pPr>
              <w:keepNext w:val="0"/>
              <w:keepLines w:val="0"/>
              <w:widowControl/>
              <w:suppressLineNumbers w:val="0"/>
              <w:jc w:val="righ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1.90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0.95%</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宁县人民法院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康乐县人民法院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21</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合作市人民法院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22</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临潭县人民法院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23</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白龙江林区法院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700.00</w:t>
            </w:r>
          </w:p>
        </w:tc>
        <w:tc>
          <w:tcPr>
            <w:tcW w:w="1023" w:type="dxa"/>
            <w:noWrap/>
            <w:vAlign w:val="center"/>
          </w:tcPr>
          <w:p>
            <w:pPr>
              <w:keepNext w:val="0"/>
              <w:keepLines w:val="0"/>
              <w:widowControl/>
              <w:suppressLineNumbers w:val="0"/>
              <w:jc w:val="righ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428.49</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1,128.49</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428.49</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37.97%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24</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小陇山林区法院</w:t>
            </w:r>
          </w:p>
        </w:tc>
        <w:tc>
          <w:tcPr>
            <w:tcW w:w="1176" w:type="dxa"/>
            <w:noWrap w:val="0"/>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023" w:type="dxa"/>
            <w:noWrap/>
            <w:vAlign w:val="center"/>
          </w:tcPr>
          <w:p>
            <w:pPr>
              <w:jc w:val="right"/>
              <w:rPr>
                <w:rFonts w:hint="eastAsia" w:ascii="宋体" w:hAnsi="宋体" w:eastAsia="宋体" w:cs="宋体"/>
                <w:color w:val="auto"/>
                <w:kern w:val="0"/>
                <w:szCs w:val="21"/>
                <w:highlight w:val="none"/>
                <w:lang w:val="en-US" w:eastAsia="zh-CN" w:bidi="ar"/>
              </w:rPr>
            </w:pP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1,000.00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155.65</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15.57%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25</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甘肃省法官学院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29.13</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29.13</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29.13</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26</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麦积区人民法院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23.99</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23.99</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23.99</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27</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清水县人民法院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150.00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508"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28</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金塔县人民法院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29</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甘州区人民法院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163.00</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163.00</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163.00</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天祝藏族自治县人民法院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396.43</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396.43</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348.64</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87.94%</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noWrap/>
            <w:vAlign w:val="center"/>
          </w:tcPr>
          <w:p>
            <w:pPr>
              <w:keepNext w:val="0"/>
              <w:keepLines w:val="0"/>
              <w:widowControl/>
              <w:suppressLineNumbers w:val="0"/>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31</w:t>
            </w:r>
          </w:p>
        </w:tc>
        <w:tc>
          <w:tcPr>
            <w:tcW w:w="2124" w:type="dxa"/>
            <w:noWrap w:val="0"/>
            <w:vAlign w:val="center"/>
          </w:tcPr>
          <w:p>
            <w:pPr>
              <w:keepNext w:val="0"/>
              <w:keepLines w:val="0"/>
              <w:widowControl/>
              <w:suppressLineNumbers w:val="0"/>
              <w:jc w:val="left"/>
              <w:textAlignment w:val="center"/>
              <w:rPr>
                <w:rFonts w:hint="eastAsia" w:ascii="宋体" w:hAnsi="宋体" w:eastAsia="宋体" w:cs="宋体"/>
                <w:color w:val="auto"/>
                <w:kern w:val="0"/>
                <w:szCs w:val="21"/>
                <w:highlight w:val="none"/>
                <w:lang w:val="en-US" w:eastAsia="zh-CN" w:bidi="ar"/>
              </w:rPr>
            </w:pPr>
            <w:r>
              <w:rPr>
                <w:rStyle w:val="28"/>
                <w:color w:val="auto"/>
                <w:lang w:val="en-US" w:eastAsia="zh-CN" w:bidi="ar"/>
              </w:rPr>
              <w:t>崆峒区人民法院</w:t>
            </w:r>
          </w:p>
        </w:tc>
        <w:tc>
          <w:tcPr>
            <w:tcW w:w="1176" w:type="dxa"/>
            <w:noWrap w:val="0"/>
            <w:vAlign w:val="center"/>
          </w:tcPr>
          <w:p>
            <w:pPr>
              <w:jc w:val="right"/>
              <w:rPr>
                <w:rFonts w:hint="eastAsia" w:ascii="宋体" w:hAnsi="宋体" w:eastAsia="宋体" w:cs="宋体"/>
                <w:color w:val="auto"/>
                <w:kern w:val="0"/>
                <w:szCs w:val="21"/>
                <w:highlight w:val="none"/>
                <w:lang w:val="en-US" w:eastAsia="zh-CN" w:bidi="ar"/>
              </w:rPr>
            </w:pPr>
          </w:p>
        </w:tc>
        <w:tc>
          <w:tcPr>
            <w:tcW w:w="1023"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300.15</w:t>
            </w:r>
          </w:p>
        </w:tc>
        <w:tc>
          <w:tcPr>
            <w:tcW w:w="1267" w:type="dxa"/>
            <w:noWrap/>
            <w:vAlign w:val="center"/>
          </w:tcPr>
          <w:p>
            <w:pPr>
              <w:keepNext w:val="0"/>
              <w:keepLines w:val="0"/>
              <w:widowControl/>
              <w:suppressLineNumbers w:val="0"/>
              <w:jc w:val="righ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300.15</w:t>
            </w:r>
          </w:p>
        </w:tc>
        <w:tc>
          <w:tcPr>
            <w:tcW w:w="1211" w:type="dxa"/>
            <w:noWrap/>
            <w:vAlign w:val="center"/>
          </w:tcPr>
          <w:p>
            <w:pPr>
              <w:keepNext w:val="0"/>
              <w:keepLines w:val="0"/>
              <w:widowControl/>
              <w:suppressLineNumbers w:val="0"/>
              <w:jc w:val="righ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u w:val="none"/>
                <w:lang w:val="en-US" w:eastAsia="zh-CN" w:bidi="ar"/>
              </w:rPr>
              <w:t>300.15</w:t>
            </w:r>
          </w:p>
        </w:tc>
        <w:tc>
          <w:tcPr>
            <w:tcW w:w="1033" w:type="dxa"/>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100.00%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44" w:type="dxa"/>
            <w:shd w:val="clear" w:color="auto" w:fill="C7DAF1"/>
            <w:noWrap/>
            <w:vAlign w:val="center"/>
          </w:tcPr>
          <w:p>
            <w:pPr>
              <w:jc w:val="center"/>
              <w:rPr>
                <w:rFonts w:hint="eastAsia" w:ascii="宋体" w:hAnsi="宋体" w:eastAsia="宋体" w:cs="宋体"/>
                <w:b/>
                <w:bCs/>
                <w:color w:val="auto"/>
                <w:kern w:val="0"/>
                <w:sz w:val="21"/>
                <w:szCs w:val="21"/>
                <w:highlight w:val="none"/>
                <w:lang w:bidi="ar"/>
              </w:rPr>
            </w:pPr>
          </w:p>
        </w:tc>
        <w:tc>
          <w:tcPr>
            <w:tcW w:w="2124" w:type="dxa"/>
            <w:shd w:val="clear" w:color="auto" w:fill="C7DAF1"/>
            <w:noWrap w:val="0"/>
            <w:vAlign w:val="center"/>
          </w:tcPr>
          <w:p>
            <w:pPr>
              <w:keepNext w:val="0"/>
              <w:keepLines w:val="0"/>
              <w:widowControl/>
              <w:suppressLineNumbers w:val="0"/>
              <w:jc w:val="center"/>
              <w:textAlignment w:val="center"/>
              <w:rPr>
                <w:rFonts w:hint="eastAsia" w:ascii="宋体" w:hAnsi="宋体" w:eastAsia="宋体" w:cs="宋体"/>
                <w:b/>
                <w:bCs/>
                <w:color w:val="auto"/>
                <w:kern w:val="0"/>
                <w:sz w:val="21"/>
                <w:szCs w:val="21"/>
                <w:highlight w:val="none"/>
                <w:lang w:bidi="ar"/>
              </w:rPr>
            </w:pPr>
            <w:r>
              <w:rPr>
                <w:rStyle w:val="29"/>
                <w:color w:val="auto"/>
                <w:lang w:val="en-US" w:eastAsia="zh-CN" w:bidi="ar"/>
              </w:rPr>
              <w:t>合计</w:t>
            </w:r>
          </w:p>
        </w:tc>
        <w:tc>
          <w:tcPr>
            <w:tcW w:w="1176" w:type="dxa"/>
            <w:shd w:val="clear" w:color="auto" w:fill="C7DAF1"/>
            <w:noWrap w:val="0"/>
            <w:vAlign w:val="center"/>
          </w:tcPr>
          <w:p>
            <w:pPr>
              <w:keepNext w:val="0"/>
              <w:keepLines w:val="0"/>
              <w:widowControl/>
              <w:suppressLineNumbers w:val="0"/>
              <w:jc w:val="right"/>
              <w:textAlignment w:val="center"/>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i w:val="0"/>
                <w:iCs w:val="0"/>
                <w:color w:val="auto"/>
                <w:kern w:val="0"/>
                <w:sz w:val="21"/>
                <w:szCs w:val="21"/>
                <w:u w:val="none"/>
                <w:lang w:val="en-US" w:eastAsia="zh-CN" w:bidi="ar"/>
              </w:rPr>
              <w:t>16,000.00</w:t>
            </w:r>
          </w:p>
        </w:tc>
        <w:tc>
          <w:tcPr>
            <w:tcW w:w="1023" w:type="dxa"/>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i w:val="0"/>
                <w:iCs w:val="0"/>
                <w:color w:val="auto"/>
                <w:kern w:val="0"/>
                <w:sz w:val="20"/>
                <w:szCs w:val="20"/>
                <w:u w:val="none"/>
                <w:lang w:val="en-US" w:eastAsia="zh-CN" w:bidi="ar"/>
              </w:rPr>
              <w:t>2,832.93</w:t>
            </w:r>
          </w:p>
        </w:tc>
        <w:tc>
          <w:tcPr>
            <w:tcW w:w="1267" w:type="dxa"/>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i w:val="0"/>
                <w:iCs w:val="0"/>
                <w:color w:val="auto"/>
                <w:kern w:val="0"/>
                <w:sz w:val="21"/>
                <w:szCs w:val="21"/>
                <w:u w:val="none"/>
                <w:lang w:val="en-US" w:eastAsia="zh-CN" w:bidi="ar"/>
              </w:rPr>
              <w:t>18,832.93</w:t>
            </w:r>
          </w:p>
        </w:tc>
        <w:tc>
          <w:tcPr>
            <w:tcW w:w="1211" w:type="dxa"/>
            <w:shd w:val="clear" w:color="auto" w:fill="C7DAF1"/>
            <w:noWrap/>
            <w:vAlign w:val="center"/>
          </w:tcPr>
          <w:p>
            <w:pPr>
              <w:keepNext w:val="0"/>
              <w:keepLines w:val="0"/>
              <w:widowControl/>
              <w:suppressLineNumbers w:val="0"/>
              <w:jc w:val="right"/>
              <w:textAlignment w:val="center"/>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i w:val="0"/>
                <w:iCs w:val="0"/>
                <w:color w:val="auto"/>
                <w:kern w:val="0"/>
                <w:sz w:val="21"/>
                <w:szCs w:val="21"/>
                <w:u w:val="none"/>
                <w:lang w:val="en-US" w:eastAsia="zh-CN" w:bidi="ar"/>
              </w:rPr>
              <w:t>14,968.04</w:t>
            </w:r>
          </w:p>
        </w:tc>
        <w:tc>
          <w:tcPr>
            <w:tcW w:w="1033" w:type="dxa"/>
            <w:shd w:val="clear" w:color="auto" w:fill="C7DAF1"/>
            <w:noWrap/>
            <w:vAlign w:val="center"/>
          </w:tcPr>
          <w:p>
            <w:pPr>
              <w:keepNext w:val="0"/>
              <w:keepLines w:val="0"/>
              <w:widowControl/>
              <w:suppressLineNumbers w:val="0"/>
              <w:jc w:val="right"/>
              <w:textAlignment w:val="center"/>
              <w:rPr>
                <w:rFonts w:hint="default" w:ascii="宋体" w:hAnsi="宋体" w:eastAsia="宋体" w:cs="宋体"/>
                <w:b/>
                <w:bCs/>
                <w:color w:val="auto"/>
                <w:kern w:val="0"/>
                <w:szCs w:val="21"/>
                <w:highlight w:val="none"/>
                <w:lang w:val="en-US" w:eastAsia="zh-CN" w:bidi="ar"/>
              </w:rPr>
            </w:pPr>
            <w:r>
              <w:rPr>
                <w:rFonts w:hint="eastAsia" w:ascii="宋体" w:hAnsi="宋体" w:eastAsia="宋体" w:cs="宋体"/>
                <w:b/>
                <w:bCs/>
                <w:i w:val="0"/>
                <w:iCs w:val="0"/>
                <w:color w:val="auto"/>
                <w:kern w:val="0"/>
                <w:sz w:val="21"/>
                <w:szCs w:val="21"/>
                <w:u w:val="none"/>
                <w:lang w:val="en-US" w:eastAsia="zh-CN" w:bidi="ar"/>
              </w:rPr>
              <w:t>79.48%</w:t>
            </w:r>
          </w:p>
        </w:tc>
      </w:tr>
    </w:tbl>
    <w:p>
      <w:pPr>
        <w:pStyle w:val="3"/>
        <w:rPr>
          <w:rFonts w:hint="eastAsia" w:ascii="仿宋_GB2312" w:hAnsi="仿宋_GB2312" w:cs="仿宋_GB2312"/>
          <w:highlight w:val="none"/>
          <w:lang w:val="en-US" w:eastAsia="zh-CN"/>
        </w:rPr>
      </w:pP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9" w:name="_Toc32586"/>
      <w:bookmarkStart w:id="80" w:name="_Toc14475"/>
      <w:bookmarkStart w:id="81" w:name="_Toc15106"/>
      <w:r>
        <w:rPr>
          <w:rFonts w:hint="eastAsia" w:ascii="楷体" w:hAnsi="楷体" w:eastAsia="楷体" w:cs="楷体"/>
          <w:b/>
          <w:bCs/>
          <w:highlight w:val="none"/>
        </w:rPr>
        <w:t>（三）项目计划内容及实施情况</w:t>
      </w:r>
      <w:bookmarkEnd w:id="79"/>
      <w:bookmarkEnd w:id="80"/>
      <w:bookmarkEnd w:id="81"/>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1.项目计划内容</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为切实加强全省法院“两庭”建设，为人民群众提供一个良好的司法场所，</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申请资金用于全省法院“两庭建设”</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，主要用于审判法庭功能用房装修、室外附属、地下管网等配套设施建设等，并在规定时间内完成验收，保障审判工作有效运行，保证“两庭”工作的有效运转。2022年度</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继续开展省法院诉讼服务中心建设项目，并在规定时间内通过验收，向人民群众提供丰富快捷高效的纠纷解决渠道和一站式高品质诉讼服务。</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2.项目实施情况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eastAsia="zh-CN"/>
        </w:rPr>
        <w:t>全省法院“两庭建设”资金项目</w:t>
      </w:r>
      <w:r>
        <w:rPr>
          <w:rFonts w:hint="eastAsia" w:ascii="仿宋_GB2312" w:hAnsi="仿宋_GB2312" w:eastAsia="仿宋_GB2312" w:cs="仿宋_GB2312"/>
          <w:highlight w:val="none"/>
        </w:rPr>
        <w:t>预算下达后，</w:t>
      </w:r>
      <w:r>
        <w:rPr>
          <w:rFonts w:hint="eastAsia" w:ascii="仿宋_GB2312" w:hAnsi="仿宋_GB2312" w:cs="仿宋_GB2312"/>
          <w:highlight w:val="none"/>
          <w:lang w:val="en-US" w:eastAsia="zh-CN"/>
        </w:rPr>
        <w:t>各项目实施法院及时开展项目，本年度共拨付24个</w:t>
      </w:r>
      <w:r>
        <w:rPr>
          <w:rFonts w:hint="eastAsia" w:ascii="仿宋_GB2312" w:hAnsi="仿宋_GB2312" w:cs="仿宋_GB2312"/>
          <w:highlight w:val="none"/>
          <w:lang w:eastAsia="zh-CN"/>
        </w:rPr>
        <w:t>“两庭建设”</w:t>
      </w:r>
      <w:r>
        <w:rPr>
          <w:rFonts w:hint="eastAsia" w:ascii="仿宋_GB2312" w:hAnsi="仿宋_GB2312" w:cs="仿宋_GB2312"/>
          <w:highlight w:val="none"/>
          <w:lang w:val="en-US" w:eastAsia="zh-CN"/>
        </w:rPr>
        <w:t>项目，截止2022年12月31日，共11个项目已完工并通过验收，3个项目已完工未验收，9个项目尚未完工，1个项目年底未开工。</w:t>
      </w:r>
      <w:bookmarkStart w:id="82" w:name="_Toc4490"/>
      <w:bookmarkStart w:id="83" w:name="_Toc25356"/>
      <w:r>
        <w:rPr>
          <w:rFonts w:hint="eastAsia" w:ascii="仿宋_GB2312" w:hAnsi="仿宋_GB2312" w:eastAsia="仿宋_GB2312" w:cs="仿宋_GB2312"/>
          <w:kern w:val="2"/>
          <w:sz w:val="32"/>
          <w:szCs w:val="32"/>
          <w:highlight w:val="none"/>
          <w:lang w:val="en-US" w:eastAsia="zh-CN" w:bidi="ar-SA"/>
        </w:rPr>
        <w:t>省法院诉讼服务中心建设项目已完成整体工程的约75%。</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4" w:name="_Toc17618"/>
      <w:r>
        <w:rPr>
          <w:rFonts w:hint="eastAsia" w:ascii="楷体" w:hAnsi="楷体" w:eastAsia="楷体" w:cs="楷体"/>
          <w:b/>
          <w:bCs/>
          <w:highlight w:val="none"/>
        </w:rPr>
        <w:t>（四）项目组织管理</w:t>
      </w:r>
      <w:bookmarkEnd w:id="82"/>
      <w:bookmarkEnd w:id="83"/>
      <w:bookmarkEnd w:id="84"/>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1.项目组织情况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预算资金拨付单位</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甘肃省财政厅是本项目预算资金的拨付单位，负责项目预算的审核批复，保证</w:t>
      </w:r>
      <w:r>
        <w:rPr>
          <w:rFonts w:hint="eastAsia" w:ascii="仿宋_GB2312" w:hAnsi="仿宋_GB2312" w:eastAsia="仿宋_GB2312" w:cs="仿宋_GB2312"/>
          <w:highlight w:val="none"/>
        </w:rPr>
        <w:t>全省法院“两庭建设”</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lang w:eastAsia="zh-CN"/>
        </w:rPr>
        <w:t>资金及时、足额拨付到位</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eastAsia="zh-CN"/>
        </w:rPr>
        <w:t>项目主管部门</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省法院是本项目的主管部门，负责开展监督管理和绩效考评等工作，并对资金分配和使用的全过程进行监督、检查、评估、考核及奖惩</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与项目实施法院共同协调解决建设中遇到的问题，确保项目顺利进行，</w:t>
      </w:r>
      <w:r>
        <w:rPr>
          <w:rFonts w:hint="eastAsia" w:ascii="仿宋_GB2312" w:hAnsi="仿宋_GB2312" w:eastAsia="仿宋_GB2312" w:cs="仿宋_GB2312"/>
          <w:highlight w:val="none"/>
          <w:lang w:eastAsia="zh-CN"/>
        </w:rPr>
        <w:t>保证资金有效使用等</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项目组织实施部门</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各项目实施法院作为项目建设的责任主体，严格履行项目建设审批手续，切实加快项目建设进度，加强工程质量监管，对项目建设的组织、管理、实施承担全面责任。</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项目管理情况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 w:eastAsia="仿宋_GB2312" w:cs="仿宋"/>
          <w:sz w:val="32"/>
          <w:szCs w:val="32"/>
          <w:highlight w:val="none"/>
          <w:u w:val="none"/>
          <w:lang w:eastAsia="zh-CN"/>
        </w:rPr>
        <w:t>全省法院“两庭建设”资金</w:t>
      </w:r>
      <w:r>
        <w:rPr>
          <w:rFonts w:hint="default" w:ascii="仿宋_GB2312" w:hAnsi="仿宋_GB2312" w:eastAsia="仿宋_GB2312" w:cs="仿宋_GB2312"/>
          <w:highlight w:val="none"/>
          <w:lang w:val="en-US" w:eastAsia="zh-CN"/>
        </w:rPr>
        <w:t>项目的实施大体分为</w:t>
      </w:r>
      <w:r>
        <w:rPr>
          <w:rFonts w:hint="eastAsia" w:ascii="仿宋_GB2312" w:hAnsi="仿宋_GB2312" w:cs="仿宋_GB2312"/>
          <w:highlight w:val="none"/>
          <w:lang w:val="en-US" w:eastAsia="zh-CN"/>
        </w:rPr>
        <w:t>项目建设规划计划</w:t>
      </w:r>
      <w:r>
        <w:rPr>
          <w:rFonts w:hint="default"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项目实施</w:t>
      </w:r>
      <w:r>
        <w:rPr>
          <w:rFonts w:hint="default" w:ascii="仿宋_GB2312" w:hAnsi="仿宋_GB2312" w:eastAsia="仿宋_GB2312" w:cs="仿宋_GB2312"/>
          <w:highlight w:val="none"/>
          <w:lang w:val="en-US" w:eastAsia="zh-CN"/>
        </w:rPr>
        <w:t>和</w:t>
      </w:r>
      <w:r>
        <w:rPr>
          <w:rFonts w:hint="eastAsia" w:ascii="仿宋_GB2312" w:hAnsi="仿宋_GB2312" w:cs="仿宋_GB2312"/>
          <w:highlight w:val="none"/>
          <w:lang w:val="en-US" w:eastAsia="zh-CN"/>
        </w:rPr>
        <w:t>项目事后监管</w:t>
      </w:r>
      <w:r>
        <w:rPr>
          <w:rFonts w:hint="default" w:ascii="仿宋_GB2312" w:hAnsi="仿宋_GB2312" w:eastAsia="仿宋_GB2312" w:cs="仿宋_GB2312"/>
          <w:highlight w:val="none"/>
          <w:lang w:val="en-US" w:eastAsia="zh-CN"/>
        </w:rPr>
        <w:t>三个阶段。</w:t>
      </w:r>
    </w:p>
    <w:p>
      <w:pPr>
        <w:pStyle w:val="2"/>
        <w:keepNext w:val="0"/>
        <w:keepLines w:val="0"/>
        <w:pageBreakBefore w:val="0"/>
        <w:widowControl w:val="0"/>
        <w:numPr>
          <w:ilvl w:val="0"/>
          <w:numId w:val="2"/>
        </w:numPr>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项目建设规划计划</w:t>
      </w:r>
      <w:r>
        <w:rPr>
          <w:rFonts w:hint="default"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各项目实施法院负责提出政法规划及调整意见，编报年度预算内计划，报省法院汇总审核后，统一报省发展改革委。建设项目按要求登录发改委网站填报更新投资项目申报平台数据，通过可研审批或通过实施方案后，申请中央及省级预算内项目建设资金。</w:t>
      </w:r>
    </w:p>
    <w:p>
      <w:pPr>
        <w:pStyle w:val="2"/>
        <w:keepNext w:val="0"/>
        <w:keepLines w:val="0"/>
        <w:pageBreakBefore w:val="0"/>
        <w:widowControl w:val="0"/>
        <w:numPr>
          <w:ilvl w:val="0"/>
          <w:numId w:val="2"/>
        </w:numPr>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项目实施。</w:t>
      </w:r>
      <w:r>
        <w:rPr>
          <w:rFonts w:hint="default" w:ascii="仿宋_GB2312" w:hAnsi="仿宋_GB2312" w:eastAsia="仿宋_GB2312" w:cs="仿宋_GB2312"/>
          <w:highlight w:val="none"/>
          <w:lang w:val="en-US" w:eastAsia="zh-CN"/>
        </w:rPr>
        <w:t>项目预算和绩效目标批复下达以后，</w:t>
      </w:r>
      <w:r>
        <w:rPr>
          <w:rFonts w:hint="eastAsia" w:ascii="仿宋_GB2312" w:hAnsi="仿宋_GB2312" w:cs="仿宋_GB2312"/>
          <w:highlight w:val="none"/>
          <w:lang w:val="en-US" w:eastAsia="zh-CN"/>
        </w:rPr>
        <w:t>项目实施法院</w:t>
      </w:r>
      <w:r>
        <w:rPr>
          <w:rFonts w:hint="default" w:ascii="仿宋_GB2312" w:hAnsi="仿宋_GB2312" w:eastAsia="仿宋_GB2312" w:cs="仿宋_GB2312"/>
          <w:highlight w:val="none"/>
          <w:lang w:val="en-US" w:eastAsia="zh-CN"/>
        </w:rPr>
        <w:t>按照工作计划、项目预算以及绩效目标组织开展</w:t>
      </w:r>
      <w:r>
        <w:rPr>
          <w:rFonts w:hint="eastAsia" w:ascii="仿宋_GB2312" w:hAnsi="仿宋_GB2312" w:cs="仿宋_GB2312"/>
          <w:highlight w:val="none"/>
          <w:lang w:val="en-US" w:eastAsia="zh-CN"/>
        </w:rPr>
        <w:t>“两庭建设”工作</w:t>
      </w:r>
      <w:r>
        <w:rPr>
          <w:rFonts w:hint="default" w:ascii="仿宋_GB2312" w:hAnsi="仿宋_GB2312" w:eastAsia="仿宋_GB2312" w:cs="仿宋_GB2312"/>
          <w:highlight w:val="none"/>
          <w:lang w:val="en-US" w:eastAsia="zh-CN"/>
        </w:rPr>
        <w:t>，完成年初制定的工作计划</w:t>
      </w:r>
      <w:r>
        <w:rPr>
          <w:rFonts w:hint="eastAsia" w:ascii="仿宋_GB2312" w:hAnsi="仿宋_GB2312" w:cs="仿宋_GB2312"/>
          <w:highlight w:val="none"/>
          <w:lang w:val="en-US" w:eastAsia="zh-CN"/>
        </w:rPr>
        <w:t>。各项目实施法院</w:t>
      </w:r>
      <w:r>
        <w:rPr>
          <w:rFonts w:hint="default" w:ascii="仿宋_GB2312" w:hAnsi="仿宋_GB2312" w:eastAsia="仿宋_GB2312" w:cs="仿宋_GB2312"/>
          <w:highlight w:val="none"/>
          <w:lang w:val="en-US" w:eastAsia="zh-CN"/>
        </w:rPr>
        <w:t>是项目建设的责任主体，对项目建设的组织、管理承担全面责任。严格落实投资计划执行和项目监管的主体责任，积极组织开展项目前期工作，严格按批复组织项目建设，及时准确上报进度数据和信息，如期保质保量完工投用。</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（3）建设项目事后监管</w:t>
      </w:r>
      <w:r>
        <w:rPr>
          <w:rFonts w:hint="default" w:ascii="仿宋_GB2312" w:hAnsi="仿宋_GB2312" w:eastAsia="仿宋_GB2312" w:cs="仿宋_GB2312"/>
          <w:highlight w:val="none"/>
          <w:lang w:val="en-US" w:eastAsia="zh-CN"/>
        </w:rPr>
        <w:t>。省法院是全省法</w:t>
      </w:r>
      <w:r>
        <w:rPr>
          <w:rFonts w:hint="eastAsia" w:ascii="仿宋_GB2312" w:hAnsi="仿宋_GB2312" w:cs="仿宋_GB2312"/>
          <w:highlight w:val="none"/>
          <w:lang w:val="en-US" w:eastAsia="zh-CN"/>
        </w:rPr>
        <w:t>院</w:t>
      </w:r>
      <w:r>
        <w:rPr>
          <w:rFonts w:hint="default" w:ascii="仿宋_GB2312" w:hAnsi="仿宋_GB2312" w:eastAsia="仿宋_GB2312" w:cs="仿宋_GB2312"/>
          <w:highlight w:val="none"/>
          <w:lang w:val="en-US" w:eastAsia="zh-CN"/>
        </w:rPr>
        <w:t>项目建设的主管部门，严格落实投资计划执行和项目实施的日常监管直接责任，压实监管责任，规范监管行为，加强计划实施综合监管</w:t>
      </w:r>
      <w:r>
        <w:rPr>
          <w:rFonts w:hint="eastAsia" w:ascii="仿宋_GB2312" w:hAnsi="仿宋_GB2312" w:cs="仿宋_GB2312"/>
          <w:highlight w:val="none"/>
          <w:lang w:val="en-US" w:eastAsia="zh-CN"/>
        </w:rPr>
        <w:t>。项目实施法院</w:t>
      </w:r>
      <w:r>
        <w:rPr>
          <w:rFonts w:hint="default" w:ascii="仿宋_GB2312" w:hAnsi="仿宋_GB2312" w:eastAsia="仿宋_GB2312" w:cs="仿宋_GB2312"/>
          <w:highlight w:val="none"/>
          <w:lang w:val="en-US" w:eastAsia="zh-CN"/>
        </w:rPr>
        <w:t>自觉接受各级监管部门和监管责任人的监督检查</w:t>
      </w:r>
      <w:r>
        <w:rPr>
          <w:rFonts w:hint="eastAsia" w:ascii="仿宋_GB2312" w:hAnsi="仿宋_GB2312" w:cs="仿宋_GB2312"/>
          <w:highlight w:val="none"/>
          <w:lang w:val="en-US" w:eastAsia="zh-CN"/>
        </w:rPr>
        <w:t>，</w:t>
      </w:r>
      <w:r>
        <w:rPr>
          <w:rFonts w:hint="default" w:ascii="仿宋_GB2312" w:hAnsi="仿宋_GB2312" w:eastAsia="仿宋_GB2312" w:cs="仿宋_GB2312"/>
          <w:highlight w:val="none"/>
          <w:lang w:val="en-US" w:eastAsia="zh-CN"/>
        </w:rPr>
        <w:t>对监管部门指出的问题积极整改。</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财务管理情况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2"/>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《甘肃省法院系统财务统管制度汇编》明确了资金的使用方向、方式和监督管理，从制度上确保专项资金的安全、高效、精准使用</w:t>
      </w:r>
      <w:r>
        <w:rPr>
          <w:rFonts w:hint="eastAsia" w:ascii="仿宋_GB2312" w:hAnsi="仿宋_GB2312" w:eastAsia="仿宋_GB2312" w:cs="仿宋_GB2312"/>
          <w:highlight w:val="none"/>
          <w:lang w:val="en-US" w:eastAsia="zh-CN"/>
        </w:rPr>
        <w:t>，基本原则是执行国家有关法律、法规和财务规章制度遵守</w:t>
      </w:r>
      <w:r>
        <w:rPr>
          <w:rFonts w:hint="eastAsia" w:ascii="仿宋_GB2312" w:hAnsi="仿宋_GB2312" w:cs="仿宋_GB2312"/>
          <w:highlight w:val="none"/>
          <w:lang w:val="en-US" w:eastAsia="zh-CN"/>
        </w:rPr>
        <w:t>政府</w:t>
      </w:r>
      <w:r>
        <w:rPr>
          <w:rFonts w:hint="eastAsia" w:ascii="仿宋_GB2312" w:hAnsi="仿宋_GB2312" w:eastAsia="仿宋_GB2312" w:cs="仿宋_GB2312"/>
          <w:highlight w:val="none"/>
          <w:lang w:val="en-US" w:eastAsia="zh-CN"/>
        </w:rPr>
        <w:t>会计准则，厉行节约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量入为出</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保证重点</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兼顾一般为中心，充分发挥资金的使用效益。</w:t>
      </w:r>
      <w:r>
        <w:rPr>
          <w:rFonts w:hint="eastAsia" w:ascii="仿宋_GB2312" w:hAnsi="仿宋_GB2312" w:cs="仿宋_GB2312"/>
          <w:highlight w:val="none"/>
          <w:lang w:val="en-US" w:eastAsia="zh-CN"/>
        </w:rPr>
        <w:t>资金拨付流程如图所示：</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ascii="黑体" w:eastAsia="黑体"/>
          <w:highlight w:val="none"/>
        </w:rPr>
      </w:pPr>
      <w:bookmarkStart w:id="85" w:name="_Toc319"/>
      <w:bookmarkStart w:id="86" w:name="_Toc29508"/>
      <w:bookmarkStart w:id="87" w:name="_Toc4299"/>
      <w:r>
        <w:rPr>
          <w:rFonts w:ascii="仿宋_GB2312" w:hAnsi="仿宋_GB2312" w:cs="仿宋_GB2312"/>
          <w:highlight w:val="none"/>
        </w:rPr>
        <w:drawing>
          <wp:anchor distT="0" distB="0" distL="114300" distR="114300" simplePos="0" relativeHeight="251666432" behindDoc="0" locked="0" layoutInCell="1" allowOverlap="1">
            <wp:simplePos x="0" y="0"/>
            <wp:positionH relativeFrom="column">
              <wp:posOffset>46990</wp:posOffset>
            </wp:positionH>
            <wp:positionV relativeFrom="paragraph">
              <wp:posOffset>12700</wp:posOffset>
            </wp:positionV>
            <wp:extent cx="5109845" cy="2938145"/>
            <wp:effectExtent l="0" t="0" r="10795" b="3175"/>
            <wp:wrapTopAndBottom/>
            <wp:docPr id="3" name="图片 3" descr="04c1571821a6ed6c8984c2439128f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4c1571821a6ed6c8984c2439128f2b"/>
                    <pic:cNvPicPr>
                      <a:picLocks noChangeAspect="1"/>
                    </pic:cNvPicPr>
                  </pic:nvPicPr>
                  <pic:blipFill>
                    <a:blip r:embed="rId8"/>
                    <a:stretch>
                      <a:fillRect/>
                    </a:stretch>
                  </pic:blipFill>
                  <pic:spPr>
                    <a:xfrm>
                      <a:off x="0" y="0"/>
                      <a:ext cx="5109845" cy="2938145"/>
                    </a:xfrm>
                    <a:prstGeom prst="rect">
                      <a:avLst/>
                    </a:prstGeom>
                  </pic:spPr>
                </pic:pic>
              </a:graphicData>
            </a:graphic>
          </wp:anchor>
        </w:drawing>
      </w:r>
      <w:r>
        <w:rPr>
          <w:rFonts w:hint="eastAsia" w:ascii="黑体" w:eastAsia="黑体"/>
          <w:highlight w:val="none"/>
        </w:rPr>
        <w:t>二、项目绩效目标</w:t>
      </w:r>
      <w:bookmarkEnd w:id="85"/>
      <w:bookmarkEnd w:id="86"/>
      <w:bookmarkEnd w:id="87"/>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8" w:name="_Toc28577"/>
      <w:bookmarkStart w:id="89" w:name="_Toc21140"/>
      <w:bookmarkStart w:id="90" w:name="_Toc22117"/>
      <w:r>
        <w:rPr>
          <w:rFonts w:hint="eastAsia" w:ascii="楷体" w:hAnsi="楷体" w:eastAsia="楷体" w:cs="楷体"/>
          <w:b/>
          <w:bCs/>
          <w:highlight w:val="none"/>
        </w:rPr>
        <w:t>（一）总体目标</w:t>
      </w:r>
      <w:bookmarkEnd w:id="88"/>
      <w:bookmarkEnd w:id="89"/>
      <w:bookmarkEnd w:id="90"/>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全省法院“两庭建设”资金主要用于解决批准建设的全省法院“两庭建设”项目投资缺口，为全省法院基础设施建设项目提供有力资金保障。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1" w:name="_Toc26047"/>
      <w:bookmarkStart w:id="92" w:name="_Toc32085"/>
      <w:bookmarkStart w:id="93" w:name="_Toc21815"/>
      <w:r>
        <w:rPr>
          <w:rFonts w:hint="eastAsia" w:ascii="楷体" w:hAnsi="楷体" w:eastAsia="楷体" w:cs="楷体"/>
          <w:b/>
          <w:bCs/>
          <w:highlight w:val="none"/>
        </w:rPr>
        <w:t>（二）年度目标</w:t>
      </w:r>
      <w:bookmarkEnd w:id="91"/>
      <w:bookmarkEnd w:id="92"/>
      <w:bookmarkEnd w:id="93"/>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highlight w:val="none"/>
        </w:rPr>
      </w:pPr>
      <w:bookmarkStart w:id="94" w:name="_Toc8778"/>
      <w:bookmarkStart w:id="95" w:name="_Toc11016"/>
      <w:bookmarkStart w:id="96" w:name="_Toc24688"/>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为切实加强全省法院审判法庭、人民法庭建设，为人民群众提供一个良好的司法场所，</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申请资金用于全省法院“两庭建设”</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，主要用于审判法庭功能用房装修、室外附属、地下管网等配套设施建设等，并在规定时间内完成验收，保障审判工作有效运行，保证“两庭”工作的有效运转。</w:t>
      </w:r>
      <w:bookmarkEnd w:id="9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highlight w:val="none"/>
        </w:rPr>
      </w:pPr>
      <w:bookmarkStart w:id="97" w:name="_Toc1183"/>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2022年度</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继续开展诉讼服务中心建设项目，并在规定时间内通过验收，向人民群众提供丰富快捷高效的纠纷解决渠道和一站式高品质诉讼服务。</w:t>
      </w:r>
      <w:bookmarkEnd w:id="97"/>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98" w:name="_Toc17743"/>
      <w:r>
        <w:rPr>
          <w:rFonts w:hint="eastAsia" w:ascii="黑体" w:eastAsia="黑体"/>
          <w:highlight w:val="none"/>
        </w:rPr>
        <w:t>三、评价基本情况</w:t>
      </w:r>
      <w:bookmarkEnd w:id="95"/>
      <w:bookmarkEnd w:id="96"/>
      <w:bookmarkEnd w:id="98"/>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9" w:name="_Toc23817"/>
      <w:bookmarkStart w:id="100" w:name="_Toc5301"/>
      <w:r>
        <w:rPr>
          <w:rFonts w:hint="eastAsia" w:ascii="楷体" w:hAnsi="楷体" w:eastAsia="楷体" w:cs="楷体"/>
          <w:b/>
          <w:bCs/>
          <w:highlight w:val="none"/>
        </w:rPr>
        <w:t>（一）评价目的</w:t>
      </w:r>
      <w:bookmarkEnd w:id="99"/>
      <w:bookmarkEnd w:id="100"/>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本次绩效评价工作，</w:t>
      </w:r>
      <w:r>
        <w:rPr>
          <w:rFonts w:hint="eastAsia" w:ascii="仿宋_GB2312" w:hAnsi="仿宋_GB2312" w:eastAsia="仿宋_GB2312" w:cs="仿宋_GB2312"/>
          <w:highlight w:val="none"/>
        </w:rPr>
        <w:t>通过运用规范的绩效评价指标体系和科学的绩效评价方法，全面</w:t>
      </w:r>
      <w:r>
        <w:rPr>
          <w:rFonts w:hint="eastAsia" w:ascii="仿宋_GB2312" w:hAnsi="仿宋_GB2312" w:cs="仿宋_GB2312"/>
          <w:highlight w:val="none"/>
          <w:lang w:eastAsia="zh-CN"/>
        </w:rPr>
        <w:t>客观地评价全省法院“两庭建设”项目</w:t>
      </w:r>
      <w:r>
        <w:rPr>
          <w:rFonts w:hint="eastAsia" w:ascii="仿宋_GB2312" w:hAnsi="仿宋_GB2312" w:eastAsia="仿宋_GB2312" w:cs="仿宋_GB2312"/>
          <w:highlight w:val="none"/>
        </w:rPr>
        <w:t>资金的执行情况、资金使用情况，对项目的绩效情况进行综合分析，与预期绩效目标进行对比，总结全省法院“两庭建设”项目实施的成果与经验，揭示存在的问题与不足，在此基础上进一步优化资金使用、完善项目管理，为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本次绩效评价的侧重点和切入点</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w:t>
      </w:r>
      <w:r>
        <w:rPr>
          <w:rFonts w:hint="eastAsia" w:ascii="仿宋_GB2312" w:hAnsi="仿宋_GB2312" w:cs="仿宋_GB2312"/>
          <w:highlight w:val="none"/>
          <w:lang w:val="en-US" w:eastAsia="zh-CN"/>
        </w:rPr>
        <w:t>制度实施</w:t>
      </w:r>
      <w:r>
        <w:rPr>
          <w:rFonts w:hint="eastAsia" w:ascii="仿宋_GB2312" w:hAnsi="仿宋_GB2312" w:eastAsia="仿宋_GB2312" w:cs="仿宋_GB2312"/>
          <w:highlight w:val="none"/>
        </w:rPr>
        <w:t>的有效性以及通过项目的实施为法院带来的产出与效益。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1" w:name="_Toc2071"/>
      <w:bookmarkStart w:id="102" w:name="_Toc5320"/>
      <w:r>
        <w:rPr>
          <w:rFonts w:hint="eastAsia" w:ascii="楷体" w:hAnsi="楷体" w:eastAsia="楷体" w:cs="楷体"/>
          <w:b/>
          <w:bCs/>
          <w:highlight w:val="none"/>
        </w:rPr>
        <w:t>（二）评价对象与范围</w:t>
      </w:r>
      <w:bookmarkEnd w:id="101"/>
      <w:bookmarkEnd w:id="10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w:t>
      </w:r>
      <w:r>
        <w:rPr>
          <w:rFonts w:hint="eastAsia" w:ascii="仿宋_GB2312" w:hAnsi="仿宋_GB2312" w:cs="仿宋_GB2312"/>
          <w:highlight w:val="none"/>
          <w:lang w:eastAsia="zh-CN"/>
        </w:rPr>
        <w:t>全省法院“两庭建设”资金</w:t>
      </w:r>
      <w:r>
        <w:rPr>
          <w:rFonts w:hint="eastAsia" w:ascii="仿宋_GB2312" w:hAnsi="仿宋_GB2312" w:cs="仿宋_GB2312"/>
          <w:highlight w:val="none"/>
          <w:lang w:val="en-US" w:eastAsia="zh-CN"/>
        </w:rPr>
        <w:t>项目</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cs="仿宋_GB2312"/>
          <w:highlight w:val="none"/>
          <w:lang w:eastAsia="zh-CN"/>
        </w:rPr>
        <w:t>全省法院“两庭建设”</w:t>
      </w:r>
      <w:r>
        <w:rPr>
          <w:rFonts w:hint="eastAsia" w:ascii="仿宋_GB2312" w:hAnsi="仿宋_GB2312" w:cs="仿宋_GB2312"/>
          <w:highlight w:val="none"/>
          <w:lang w:val="en-US" w:eastAsia="zh-CN"/>
        </w:rPr>
        <w:t>项目全年预算资金18,832.93万元</w:t>
      </w:r>
      <w:r>
        <w:rPr>
          <w:rFonts w:hint="eastAsia" w:ascii="仿宋_GB2312" w:hAnsi="仿宋_GB2312" w:cs="仿宋_GB2312"/>
          <w:highlight w:val="none"/>
          <w:lang w:eastAsia="zh-CN"/>
        </w:rPr>
        <w:t>资金</w:t>
      </w:r>
      <w:r>
        <w:rPr>
          <w:rFonts w:hint="eastAsia" w:ascii="仿宋_GB2312" w:hAnsi="仿宋_GB2312" w:eastAsia="仿宋_GB2312" w:cs="仿宋_GB2312"/>
          <w:highlight w:val="none"/>
        </w:rPr>
        <w:t>使用和项目实施效益情况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评价基准日为202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年12月31日。</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3" w:name="_Toc3059"/>
      <w:bookmarkStart w:id="104" w:name="_Toc17041"/>
      <w:r>
        <w:rPr>
          <w:rFonts w:hint="eastAsia" w:ascii="楷体" w:hAnsi="楷体" w:eastAsia="楷体" w:cs="楷体"/>
          <w:b/>
          <w:bCs/>
          <w:highlight w:val="none"/>
        </w:rPr>
        <w:t>（三）评价依据</w:t>
      </w:r>
      <w:bookmarkEnd w:id="103"/>
      <w:bookmarkEnd w:id="10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各项目实施法院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5" w:name="_Toc17840"/>
      <w:bookmarkStart w:id="106" w:name="_Toc14761"/>
      <w:r>
        <w:rPr>
          <w:rFonts w:hint="eastAsia" w:ascii="楷体" w:hAnsi="楷体" w:eastAsia="楷体" w:cs="楷体"/>
          <w:b/>
          <w:bCs/>
          <w:highlight w:val="none"/>
        </w:rPr>
        <w:t>（四）评价原则、评价方法</w:t>
      </w:r>
      <w:bookmarkEnd w:id="105"/>
      <w:bookmarkEnd w:id="106"/>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Fonts w:hint="eastAsia" w:ascii="仿宋_GB2312" w:hAnsi="仿宋_GB2312" w:eastAsia="仿宋_GB2312" w:cs="仿宋_GB2312"/>
          <w:b/>
          <w:bCs w:val="0"/>
          <w:sz w:val="32"/>
          <w:szCs w:val="32"/>
          <w:highlight w:val="none"/>
        </w:rPr>
      </w:pPr>
      <w:bookmarkStart w:id="107" w:name="_Toc26949"/>
      <w:bookmarkStart w:id="108" w:name="_Toc2871"/>
      <w:bookmarkStart w:id="109" w:name="_Toc27543"/>
      <w:bookmarkStart w:id="110" w:name="_Toc7758"/>
      <w:bookmarkStart w:id="111" w:name="_Toc25746"/>
      <w:bookmarkStart w:id="112" w:name="_Toc15393"/>
      <w:bookmarkStart w:id="113" w:name="_Toc32216"/>
      <w:r>
        <w:rPr>
          <w:rStyle w:val="26"/>
          <w:rFonts w:hint="eastAsia" w:ascii="仿宋_GB2312" w:hAnsi="仿宋_GB2312" w:eastAsia="仿宋_GB2312" w:cs="仿宋_GB2312"/>
          <w:b/>
          <w:bCs w:val="0"/>
          <w:sz w:val="32"/>
          <w:szCs w:val="32"/>
          <w:highlight w:val="none"/>
        </w:rPr>
        <w:t>1.评价原则</w:t>
      </w:r>
      <w:bookmarkEnd w:id="107"/>
      <w:bookmarkEnd w:id="108"/>
      <w:bookmarkEnd w:id="109"/>
      <w:bookmarkEnd w:id="110"/>
      <w:bookmarkEnd w:id="111"/>
      <w:bookmarkEnd w:id="112"/>
      <w:bookmarkEnd w:id="113"/>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Style w:val="26"/>
          <w:rFonts w:hint="eastAsia" w:ascii="仿宋_GB2312" w:hAnsi="仿宋_GB2312" w:eastAsia="仿宋_GB2312" w:cs="仿宋_GB2312"/>
          <w:b/>
          <w:bCs w:val="0"/>
          <w:sz w:val="32"/>
          <w:szCs w:val="32"/>
          <w:highlight w:val="none"/>
        </w:rPr>
      </w:pPr>
      <w:bookmarkStart w:id="114" w:name="_Toc15034"/>
      <w:bookmarkStart w:id="115" w:name="_Toc29367"/>
      <w:bookmarkStart w:id="116" w:name="_Toc1742"/>
      <w:bookmarkStart w:id="117" w:name="_Toc9023"/>
      <w:bookmarkStart w:id="118" w:name="_Toc5837"/>
      <w:bookmarkStart w:id="119" w:name="_Toc1676"/>
      <w:r>
        <w:rPr>
          <w:rStyle w:val="26"/>
          <w:rFonts w:hint="eastAsia" w:ascii="仿宋_GB2312" w:hAnsi="仿宋_GB2312" w:eastAsia="仿宋_GB2312" w:cs="仿宋_GB2312"/>
          <w:b/>
          <w:bCs w:val="0"/>
          <w:sz w:val="32"/>
          <w:szCs w:val="32"/>
          <w:highlight w:val="none"/>
        </w:rPr>
        <w:t>2.评价方法</w:t>
      </w:r>
      <w:bookmarkEnd w:id="114"/>
    </w:p>
    <w:bookmarkEnd w:id="115"/>
    <w:bookmarkEnd w:id="116"/>
    <w:bookmarkEnd w:id="117"/>
    <w:bookmarkEnd w:id="118"/>
    <w:bookmarkEnd w:id="119"/>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省法院2022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全省法院“两庭建设”资金</w:t>
      </w:r>
      <w:r>
        <w:rPr>
          <w:rFonts w:hint="eastAsia" w:ascii="仿宋_GB2312" w:hAnsi="仿宋_GB2312" w:eastAsia="仿宋_GB2312" w:cs="仿宋_GB2312"/>
          <w:sz w:val="32"/>
          <w:szCs w:val="32"/>
          <w:highlight w:val="none"/>
        </w:rPr>
        <w:t>预算执行情况的经济性、效率性、效益性进行客观</w:t>
      </w:r>
      <w:r>
        <w:rPr>
          <w:rFonts w:hint="eastAsia" w:ascii="仿宋_GB2312" w:hAnsi="仿宋_GB2312" w:eastAsia="仿宋_GB2312" w:cs="仿宋_GB2312"/>
          <w:sz w:val="32"/>
          <w:szCs w:val="32"/>
          <w:highlight w:val="none"/>
          <w:lang w:eastAsia="zh-CN"/>
        </w:rPr>
        <w:t>公正地分析</w:t>
      </w:r>
      <w:r>
        <w:rPr>
          <w:rFonts w:hint="eastAsia" w:ascii="仿宋_GB2312" w:hAnsi="仿宋_GB2312" w:eastAsia="仿宋_GB2312" w:cs="仿宋_GB2312"/>
          <w:sz w:val="32"/>
          <w:szCs w:val="32"/>
          <w:highlight w:val="none"/>
        </w:rPr>
        <w:t>评价，确保评价结论公正客观，评价意见有效可用。</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申报时确定的绩效目标进行对比，评价绩效目标的实现程度。</w:t>
      </w:r>
    </w:p>
    <w:p>
      <w:pPr>
        <w:pStyle w:val="11"/>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w:t>
      </w:r>
      <w:r>
        <w:rPr>
          <w:rFonts w:hint="eastAsia" w:ascii="仿宋_GB2312" w:hAnsi="仿宋_GB2312" w:eastAsia="仿宋_GB2312" w:cs="仿宋_GB2312"/>
          <w:kern w:val="2"/>
          <w:sz w:val="32"/>
          <w:szCs w:val="32"/>
          <w:highlight w:val="none"/>
          <w:lang w:val="en-US" w:eastAsia="zh-CN" w:bidi="ar-SA"/>
        </w:rPr>
        <w:t>，最终确定项目的效率性和效益性。</w:t>
      </w:r>
    </w:p>
    <w:p>
      <w:pPr>
        <w:keepNext w:val="0"/>
        <w:keepLines w:val="0"/>
        <w:pageBreakBefore w:val="0"/>
        <w:widowControl w:val="0"/>
        <w:kinsoku/>
        <w:wordWrap/>
        <w:overflowPunct w:val="0"/>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w:t>
      </w:r>
      <w:r>
        <w:rPr>
          <w:rFonts w:hint="eastAsia" w:ascii="仿宋_GB2312" w:hAnsi="仿宋_GB2312" w:eastAsia="仿宋_GB2312" w:cs="仿宋_GB2312"/>
          <w:sz w:val="32"/>
          <w:szCs w:val="32"/>
          <w:highlight w:val="none"/>
          <w:lang w:val="en-US" w:eastAsia="zh-CN"/>
        </w:rPr>
        <w:t>是指通过专家评估、公众问卷对财政支出效果进行评判，评价绩效目标实现程度。评价小组对服务对象进行问卷调查，收集整体及项目具体完成情况和效果的相关证据，为绩效分析结论提供有力支撑。</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4</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成本效益分析法。是将投入与产出、效益进行关联性分析的方法。</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5</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访谈法。评价小组现场访谈</w:t>
      </w:r>
      <w:r>
        <w:rPr>
          <w:rFonts w:hint="eastAsia" w:ascii="仿宋_GB2312" w:hAnsi="仿宋_GB2312" w:eastAsia="仿宋_GB2312" w:cs="仿宋_GB2312"/>
          <w:kern w:val="0"/>
          <w:sz w:val="32"/>
          <w:szCs w:val="32"/>
          <w:highlight w:val="none"/>
          <w:lang w:val="en-US" w:eastAsia="zh-CN" w:bidi="ar"/>
        </w:rPr>
        <w:t>项目相关工作人员</w:t>
      </w:r>
      <w:r>
        <w:rPr>
          <w:rFonts w:hint="eastAsia" w:ascii="仿宋_GB2312" w:hAnsi="仿宋_GB2312" w:eastAsia="仿宋_GB2312" w:cs="仿宋_GB2312"/>
          <w:kern w:val="0"/>
          <w:sz w:val="32"/>
          <w:szCs w:val="32"/>
          <w:highlight w:val="none"/>
          <w:lang w:bidi="ar"/>
        </w:rPr>
        <w:t>，根据被询问者的答复收集客观的、不带偏见的事实材料。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20" w:name="_Toc4958"/>
      <w:bookmarkStart w:id="121" w:name="_Toc15772"/>
      <w:r>
        <w:rPr>
          <w:rFonts w:hint="eastAsia" w:ascii="楷体" w:hAnsi="楷体" w:eastAsia="楷体" w:cs="楷体"/>
          <w:b/>
          <w:bCs/>
          <w:highlight w:val="none"/>
        </w:rPr>
        <w:t>（五）绩效评价指标体系</w:t>
      </w:r>
      <w:bookmarkEnd w:id="120"/>
      <w:bookmarkEnd w:id="121"/>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Cs w:val="28"/>
          <w:highlight w:val="none"/>
          <w:lang w:val="en-US" w:eastAsia="zh-CN"/>
        </w:rPr>
      </w:pPr>
      <w:r>
        <w:rPr>
          <w:rFonts w:hint="eastAsia" w:ascii="仿宋_GB2312" w:hAnsi="仿宋_GB2312" w:cs="仿宋_GB2312"/>
          <w:b/>
          <w:bCs/>
          <w:szCs w:val="28"/>
          <w:highlight w:val="none"/>
          <w:lang w:val="en-US" w:eastAsia="zh-CN"/>
        </w:rPr>
        <w:t>1.绩效评价指标体系</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的通知》（财预〔2020〕10号）、</w:t>
      </w:r>
      <w:r>
        <w:rPr>
          <w:rFonts w:hint="eastAsia" w:ascii="仿宋_GB2312" w:hAnsi="仿宋_GB2312" w:eastAsia="仿宋_GB2312" w:cs="仿宋_GB2312"/>
          <w:sz w:val="32"/>
          <w:szCs w:val="32"/>
          <w:highlight w:val="none"/>
        </w:rPr>
        <w:t>《甘肃省财政厅关于开展2022年度省级预算执行情况部门和财政重点绩效评价工作的通知》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项目决策指标</w:t>
      </w:r>
      <w:r>
        <w:rPr>
          <w:rFonts w:hint="eastAsia" w:ascii="仿宋_GB2312" w:hAnsi="仿宋_GB2312" w:eastAsia="仿宋_GB2312" w:cs="仿宋_GB2312"/>
          <w:szCs w:val="28"/>
          <w:highlight w:val="none"/>
          <w:lang w:val="en-US" w:eastAsia="zh-CN"/>
        </w:rPr>
        <w:t>为一级指标</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权重1</w:t>
      </w:r>
      <w:r>
        <w:rPr>
          <w:rFonts w:hint="eastAsia" w:ascii="仿宋_GB2312" w:hAnsi="仿宋_GB2312" w:cs="仿宋_GB2312"/>
          <w:szCs w:val="28"/>
          <w:highlight w:val="none"/>
          <w:lang w:val="en-US" w:eastAsia="zh-CN"/>
        </w:rPr>
        <w:t>6</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从项目的立项、绩效目标和资金投入分析项目前期管理情况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主要包括立项依据充分性、立项程序规范性等</w:t>
      </w:r>
      <w:r>
        <w:rPr>
          <w:rFonts w:hint="eastAsia" w:ascii="仿宋_GB2312" w:hAnsi="仿宋_GB2312" w:eastAsia="仿宋_GB2312" w:cs="仿宋_GB2312"/>
          <w:szCs w:val="28"/>
          <w:highlight w:val="none"/>
          <w:lang w:val="en-US" w:eastAsia="zh-CN"/>
        </w:rPr>
        <w:t>三级</w:t>
      </w:r>
      <w:r>
        <w:rPr>
          <w:rFonts w:hint="eastAsia" w:ascii="仿宋_GB2312" w:hAnsi="仿宋_GB2312" w:eastAsia="仿宋_GB2312" w:cs="仿宋_GB2312"/>
          <w:szCs w:val="28"/>
          <w:highlight w:val="none"/>
        </w:rPr>
        <w:t>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lang w:eastAsia="zh-CN"/>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项目过程指标</w:t>
      </w:r>
      <w:r>
        <w:rPr>
          <w:rFonts w:hint="eastAsia" w:ascii="仿宋_GB2312" w:hAnsi="仿宋_GB2312" w:eastAsia="仿宋_GB2312" w:cs="仿宋_GB2312"/>
          <w:szCs w:val="28"/>
          <w:highlight w:val="none"/>
          <w:lang w:val="en-US" w:eastAsia="zh-CN"/>
        </w:rPr>
        <w:t>为一级指标，权重1</w:t>
      </w:r>
      <w:r>
        <w:rPr>
          <w:rFonts w:hint="eastAsia" w:ascii="仿宋_GB2312" w:hAnsi="仿宋_GB2312" w:cs="仿宋_GB2312"/>
          <w:szCs w:val="28"/>
          <w:highlight w:val="none"/>
          <w:lang w:val="en-US" w:eastAsia="zh-CN"/>
        </w:rPr>
        <w:t>4</w:t>
      </w:r>
      <w:r>
        <w:rPr>
          <w:rFonts w:hint="eastAsia" w:ascii="仿宋_GB2312" w:hAnsi="仿宋_GB2312" w:eastAsia="仿宋_GB2312" w:cs="仿宋_GB2312"/>
          <w:szCs w:val="28"/>
          <w:highlight w:val="none"/>
          <w:lang w:val="en-US" w:eastAsia="zh-CN"/>
        </w:rPr>
        <w:t>分。</w:t>
      </w:r>
      <w:r>
        <w:rPr>
          <w:rFonts w:hint="eastAsia" w:ascii="仿宋_GB2312" w:hAnsi="仿宋_GB2312" w:eastAsia="仿宋_GB2312" w:cs="仿宋_GB2312"/>
          <w:szCs w:val="28"/>
          <w:highlight w:val="none"/>
        </w:rPr>
        <w:t>从项目的资金管理、组织实施两个方面分析项目资金使用、实施过程的管理情况</w:t>
      </w:r>
      <w:r>
        <w:rPr>
          <w:rFonts w:hint="eastAsia" w:ascii="仿宋_GB2312" w:hAnsi="仿宋_GB2312" w:eastAsia="仿宋_GB2312" w:cs="仿宋_GB2312"/>
          <w:szCs w:val="28"/>
          <w:highlight w:val="none"/>
          <w:lang w:eastAsia="zh-CN"/>
        </w:rPr>
        <w:t>，主要包括资金到位率、预算执行率、资金使用合规性、管理制度健全性、制度执行有效性等三级指标。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3</w:t>
      </w:r>
      <w:r>
        <w:rPr>
          <w:rFonts w:hint="eastAsia" w:ascii="仿宋_GB2312" w:hAnsi="仿宋_GB2312" w:eastAsia="仿宋_GB2312" w:cs="仿宋_GB2312"/>
          <w:szCs w:val="28"/>
          <w:highlight w:val="none"/>
          <w:lang w:eastAsia="zh-CN"/>
        </w:rPr>
        <w:t>）项目产出指标</w:t>
      </w:r>
      <w:r>
        <w:rPr>
          <w:rFonts w:hint="eastAsia" w:ascii="仿宋_GB2312" w:hAnsi="仿宋_GB2312" w:eastAsia="仿宋_GB2312" w:cs="仿宋_GB2312"/>
          <w:szCs w:val="28"/>
          <w:highlight w:val="none"/>
          <w:lang w:val="en-US" w:eastAsia="zh-CN"/>
        </w:rPr>
        <w:t>为一级指标，权重40</w:t>
      </w:r>
      <w:r>
        <w:rPr>
          <w:rFonts w:hint="eastAsia" w:ascii="仿宋_GB2312" w:hAnsi="仿宋_GB2312" w:eastAsia="仿宋_GB2312" w:cs="仿宋_GB2312"/>
          <w:szCs w:val="28"/>
          <w:highlight w:val="none"/>
          <w:lang w:eastAsia="zh-CN"/>
        </w:rPr>
        <w:t>分。从数量、质量、时效、成本四个方面分析项目的产出情况，</w:t>
      </w:r>
      <w:r>
        <w:rPr>
          <w:rFonts w:hint="eastAsia" w:ascii="仿宋_GB2312" w:hAnsi="仿宋_GB2312" w:eastAsia="仿宋_GB2312" w:cs="仿宋_GB2312"/>
          <w:szCs w:val="28"/>
          <w:highlight w:val="none"/>
          <w:lang w:val="en-US" w:eastAsia="zh-CN"/>
        </w:rPr>
        <w:t>主要包括</w:t>
      </w:r>
      <w:r>
        <w:rPr>
          <w:rFonts w:hint="eastAsia" w:ascii="仿宋_GB2312" w:hAnsi="仿宋_GB2312" w:eastAsia="仿宋_GB2312" w:cs="仿宋_GB2312"/>
          <w:szCs w:val="28"/>
          <w:highlight w:val="none"/>
          <w:lang w:eastAsia="zh-CN"/>
        </w:rPr>
        <w:t>全省法院“两庭”建设数量、省法院诉讼服务中心建设完成率</w:t>
      </w:r>
      <w:r>
        <w:rPr>
          <w:rFonts w:hint="eastAsia" w:ascii="仿宋_GB2312" w:hAnsi="仿宋_GB2312" w:eastAsia="仿宋_GB2312" w:cs="仿宋_GB2312"/>
          <w:szCs w:val="28"/>
          <w:highlight w:val="none"/>
          <w:lang w:val="en-US" w:eastAsia="zh-CN"/>
        </w:rPr>
        <w:t>等三级指标</w:t>
      </w:r>
      <w:r>
        <w:rPr>
          <w:rFonts w:hint="eastAsia" w:ascii="仿宋_GB2312" w:hAnsi="仿宋_GB2312" w:eastAsia="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项目效益指标</w:t>
      </w:r>
      <w:r>
        <w:rPr>
          <w:rFonts w:hint="eastAsia" w:ascii="仿宋_GB2312" w:hAnsi="仿宋_GB2312" w:eastAsia="仿宋_GB2312" w:cs="仿宋_GB2312"/>
          <w:szCs w:val="28"/>
          <w:highlight w:val="none"/>
          <w:lang w:val="en-US" w:eastAsia="zh-CN"/>
        </w:rPr>
        <w:t>为一级指标，权重2</w:t>
      </w:r>
      <w:r>
        <w:rPr>
          <w:rFonts w:hint="eastAsia" w:ascii="仿宋_GB2312" w:hAnsi="仿宋_GB2312" w:eastAsia="仿宋_GB2312" w:cs="仿宋_GB2312"/>
          <w:szCs w:val="28"/>
          <w:highlight w:val="none"/>
        </w:rPr>
        <w:t>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从社会效益、可持续影响两个方面分析项目实施产生的效益</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主要包括有效保障审判服务、长效管理机制健全性</w:t>
      </w:r>
      <w:r>
        <w:rPr>
          <w:rFonts w:hint="eastAsia" w:ascii="仿宋_GB2312" w:hAnsi="仿宋_GB2312" w:cs="仿宋_GB2312"/>
          <w:szCs w:val="28"/>
          <w:highlight w:val="none"/>
          <w:lang w:val="en-US" w:eastAsia="zh-CN"/>
        </w:rPr>
        <w:t>、</w:t>
      </w:r>
      <w:r>
        <w:rPr>
          <w:rFonts w:hint="eastAsia" w:ascii="仿宋_GB2312" w:hAnsi="仿宋_GB2312" w:eastAsia="仿宋_GB2312" w:cs="仿宋_GB2312"/>
          <w:szCs w:val="28"/>
          <w:highlight w:val="none"/>
          <w:lang w:val="en-US" w:eastAsia="zh-CN"/>
        </w:rPr>
        <w:t>设备管护机制健全性等三级指标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项目满意度指标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eastAsia="仿宋_GB2312" w:cs="仿宋_GB2312"/>
          <w:szCs w:val="28"/>
          <w:highlight w:val="none"/>
        </w:rPr>
        <w:t>10分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分析</w:t>
      </w:r>
      <w:r>
        <w:rPr>
          <w:rFonts w:hint="eastAsia" w:ascii="仿宋_GB2312" w:hAnsi="仿宋_GB2312" w:cs="仿宋_GB2312"/>
          <w:szCs w:val="28"/>
          <w:highlight w:val="none"/>
          <w:lang w:val="en-US" w:eastAsia="zh-CN"/>
        </w:rPr>
        <w:t>法院工作人员</w:t>
      </w:r>
      <w:r>
        <w:rPr>
          <w:rFonts w:hint="eastAsia" w:ascii="仿宋_GB2312" w:hAnsi="仿宋_GB2312" w:eastAsia="仿宋_GB2312" w:cs="仿宋_GB2312"/>
          <w:szCs w:val="28"/>
          <w:highlight w:val="none"/>
        </w:rPr>
        <w:t>对项目实施效果的满意情况。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Cs w:val="28"/>
          <w:highlight w:val="none"/>
        </w:rPr>
      </w:pPr>
      <w:r>
        <w:rPr>
          <w:rFonts w:hint="eastAsia" w:ascii="仿宋_GB2312" w:hAnsi="仿宋_GB2312" w:eastAsia="仿宋_GB2312" w:cs="仿宋_GB2312"/>
          <w:b/>
          <w:bCs/>
          <w:szCs w:val="28"/>
          <w:highlight w:val="none"/>
        </w:rPr>
        <w:t>2</w:t>
      </w:r>
      <w:r>
        <w:rPr>
          <w:rFonts w:hint="eastAsia" w:ascii="仿宋_GB2312" w:hAnsi="仿宋_GB2312" w:cs="仿宋_GB2312"/>
          <w:b/>
          <w:bCs/>
          <w:szCs w:val="28"/>
          <w:highlight w:val="none"/>
          <w:lang w:val="en-US" w:eastAsia="zh-CN"/>
        </w:rPr>
        <w:t>.</w:t>
      </w:r>
      <w:r>
        <w:rPr>
          <w:rFonts w:hint="eastAsia" w:ascii="仿宋_GB2312" w:hAnsi="仿宋_GB2312" w:eastAsia="仿宋_GB2312" w:cs="仿宋_GB2312"/>
          <w:b/>
          <w:bCs/>
          <w:szCs w:val="28"/>
          <w:highlight w:val="none"/>
        </w:rPr>
        <w:t>数据来源及证据收集方式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由</w:t>
      </w:r>
      <w:r>
        <w:rPr>
          <w:rFonts w:hint="eastAsia" w:ascii="仿宋_GB2312" w:hAnsi="仿宋_GB2312" w:cs="仿宋_GB2312"/>
          <w:szCs w:val="28"/>
          <w:highlight w:val="none"/>
          <w:lang w:val="en-US" w:eastAsia="zh-CN"/>
        </w:rPr>
        <w:t>各项目实施法院</w:t>
      </w:r>
      <w:r>
        <w:rPr>
          <w:rFonts w:hint="eastAsia" w:ascii="仿宋_GB2312" w:hAnsi="仿宋_GB2312" w:eastAsia="仿宋_GB2312" w:cs="仿宋_GB2312"/>
          <w:szCs w:val="28"/>
          <w:highlight w:val="none"/>
        </w:rPr>
        <w:t>提供基础数据资料</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现场评价时</w:t>
      </w:r>
      <w:r>
        <w:rPr>
          <w:rFonts w:hint="eastAsia" w:ascii="仿宋_GB2312" w:hAnsi="仿宋_GB2312" w:eastAsia="仿宋_GB2312" w:cs="仿宋_GB2312"/>
          <w:szCs w:val="28"/>
          <w:highlight w:val="none"/>
        </w:rPr>
        <w:t>通过与</w:t>
      </w:r>
      <w:r>
        <w:rPr>
          <w:rFonts w:hint="eastAsia" w:ascii="仿宋_GB2312" w:hAnsi="仿宋_GB2312" w:cs="仿宋_GB2312"/>
          <w:szCs w:val="28"/>
          <w:highlight w:val="none"/>
          <w:lang w:val="en-US" w:eastAsia="zh-CN"/>
        </w:rPr>
        <w:t>项目实施法院相关工作人员</w:t>
      </w:r>
      <w:r>
        <w:rPr>
          <w:rFonts w:hint="eastAsia" w:ascii="仿宋_GB2312" w:hAnsi="仿宋_GB2312" w:eastAsia="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lang w:eastAsia="zh-CN"/>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项目服务对象</w:t>
      </w:r>
      <w:r>
        <w:rPr>
          <w:rFonts w:hint="eastAsia" w:ascii="仿宋_GB2312" w:hAnsi="仿宋_GB2312" w:eastAsia="仿宋_GB2312" w:cs="仿宋_GB2312"/>
          <w:szCs w:val="28"/>
          <w:highlight w:val="none"/>
        </w:rPr>
        <w:t>进行问卷调查，获取满意度数据</w:t>
      </w:r>
      <w:r>
        <w:rPr>
          <w:rFonts w:hint="eastAsia" w:ascii="仿宋_GB2312" w:hAnsi="仿宋_GB2312" w:cs="仿宋_GB2312"/>
          <w:szCs w:val="28"/>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22" w:name="_Toc29203"/>
      <w:bookmarkStart w:id="123" w:name="_Toc6432"/>
      <w:r>
        <w:rPr>
          <w:rFonts w:hint="eastAsia" w:ascii="楷体" w:hAnsi="楷体" w:eastAsia="楷体" w:cs="楷体"/>
          <w:b/>
          <w:bCs/>
          <w:highlight w:val="none"/>
        </w:rPr>
        <w:t>（六）评价人员组成</w:t>
      </w:r>
      <w:bookmarkEnd w:id="122"/>
      <w:bookmarkEnd w:id="123"/>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bookmarkStart w:id="124" w:name="_Toc8104"/>
      <w:r>
        <w:rPr>
          <w:rFonts w:hint="eastAsia" w:ascii="仿宋_GB2312" w:hAnsi="仿宋_GB2312" w:eastAsia="仿宋_GB2312" w:cs="仿宋_GB2312"/>
          <w:szCs w:val="28"/>
          <w:highlight w:val="none"/>
        </w:rPr>
        <w:t>按照绩效评价工作要求</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为了较好地完成本次绩效评价工作，评价工作组人员名单及职责分工情况见下表：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161"/>
        <w:gridCol w:w="1470"/>
        <w:gridCol w:w="2175"/>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7"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25" w:name="_Toc13160"/>
      <w:r>
        <w:rPr>
          <w:rFonts w:hint="eastAsia" w:ascii="楷体" w:hAnsi="楷体" w:eastAsia="楷体" w:cs="楷体"/>
          <w:b/>
          <w:bCs/>
          <w:highlight w:val="none"/>
        </w:rPr>
        <w:t>（七）绩效评价工作过程</w:t>
      </w:r>
      <w:bookmarkEnd w:id="124"/>
      <w:bookmarkEnd w:id="125"/>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bookmarkStart w:id="126" w:name="_Toc1946"/>
      <w:bookmarkStart w:id="127" w:name="_Toc27041"/>
      <w:bookmarkStart w:id="128" w:name="_Toc11049"/>
      <w:bookmarkStart w:id="129" w:name="_Toc31135"/>
      <w:bookmarkStart w:id="130" w:name="_Toc10150"/>
      <w:r>
        <w:rPr>
          <w:rFonts w:hint="eastAsia" w:ascii="仿宋_GB2312" w:hAnsi="仿宋_GB2312" w:eastAsia="仿宋_GB2312" w:cs="仿宋_GB2312"/>
          <w:sz w:val="32"/>
          <w:szCs w:val="32"/>
          <w:highlight w:val="none"/>
        </w:rPr>
        <w:t>绩效评价工作过程主要包括</w:t>
      </w:r>
      <w:r>
        <w:rPr>
          <w:rFonts w:hint="eastAsia" w:ascii="仿宋_GB2312" w:hAnsi="仿宋_GB2312" w:eastAsia="仿宋_GB2312" w:cs="仿宋_GB2312"/>
          <w:sz w:val="32"/>
          <w:szCs w:val="32"/>
          <w:highlight w:val="none"/>
          <w:lang w:val="en-US" w:eastAsia="zh-CN"/>
        </w:rPr>
        <w:t>准备阶段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实施阶段、</w:t>
      </w:r>
      <w:r>
        <w:rPr>
          <w:rFonts w:hint="eastAsia" w:ascii="仿宋_GB2312" w:hAnsi="仿宋_GB2312" w:eastAsia="仿宋_GB2312" w:cs="仿宋_GB2312"/>
          <w:sz w:val="32"/>
          <w:szCs w:val="32"/>
          <w:highlight w:val="none"/>
        </w:rPr>
        <w:t>撰写报告阶段</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个阶段。</w:t>
      </w:r>
      <w:bookmarkEnd w:id="126"/>
      <w:bookmarkEnd w:id="127"/>
      <w:bookmarkEnd w:id="128"/>
      <w:bookmarkEnd w:id="129"/>
      <w:bookmarkEnd w:id="130"/>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准备阶段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确定绩效评价组</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组织召开了</w:t>
      </w:r>
      <w:r>
        <w:rPr>
          <w:rFonts w:hint="eastAsia" w:ascii="仿宋_GB2312" w:hAnsi="仿宋_GB2312" w:eastAsia="仿宋_GB2312" w:cs="仿宋_GB2312"/>
          <w:sz w:val="32"/>
          <w:szCs w:val="32"/>
          <w:highlight w:val="none"/>
        </w:rPr>
        <w:t>绩效评价专题工作会议，安排部署</w:t>
      </w:r>
      <w:r>
        <w:rPr>
          <w:rFonts w:hint="eastAsia" w:ascii="仿宋_GB2312" w:hAnsi="仿宋_GB2312" w:eastAsia="仿宋_GB2312" w:cs="仿宋_GB2312"/>
          <w:sz w:val="32"/>
          <w:szCs w:val="32"/>
          <w:highlight w:val="none"/>
          <w:lang w:val="en-US" w:eastAsia="zh-CN"/>
        </w:rPr>
        <w:t>本次</w:t>
      </w:r>
      <w:r>
        <w:rPr>
          <w:rFonts w:hint="eastAsia" w:ascii="仿宋_GB2312" w:hAnsi="仿宋_GB2312" w:eastAsia="仿宋_GB2312" w:cs="仿宋_GB2312"/>
          <w:sz w:val="32"/>
          <w:szCs w:val="32"/>
          <w:highlight w:val="none"/>
        </w:rPr>
        <w:t>绩效评价工作。绩效评价小组根据评价目的和评价内容，明确</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工作范围和职责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组织评价组人员进行业务培训，认真组织学习了相关政策法规制度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评价指标体系和评价方案，明确评价工作程序及要求，解析评价指标体系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使各参评人员对</w:t>
      </w:r>
      <w:r>
        <w:rPr>
          <w:rFonts w:hint="eastAsia" w:ascii="仿宋_GB2312" w:hAnsi="仿宋_GB2312" w:eastAsia="仿宋_GB2312" w:cs="仿宋_GB2312"/>
          <w:sz w:val="32"/>
          <w:szCs w:val="32"/>
          <w:highlight w:val="none"/>
          <w:lang w:val="en-US" w:eastAsia="zh-CN"/>
        </w:rPr>
        <w:t>绩效评价</w:t>
      </w:r>
      <w:r>
        <w:rPr>
          <w:rFonts w:hint="eastAsia" w:ascii="仿宋_GB2312" w:hAnsi="仿宋_GB2312" w:eastAsia="仿宋_GB2312" w:cs="仿宋_GB2312"/>
          <w:sz w:val="32"/>
          <w:szCs w:val="32"/>
          <w:highlight w:val="none"/>
        </w:rPr>
        <w:t>情况做进一步了解</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评价时间安排</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根据《甘肃省财政厅关于开展2022年度省级预算执行情况部门和财政重点绩效评价工作的通知》（甘财绩〔2023〕3号）文件要求，以及和委托方</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的沟通协调，确定评价时间</w:t>
      </w:r>
      <w:r>
        <w:rPr>
          <w:rFonts w:hint="eastAsia" w:ascii="仿宋_GB2312" w:hAnsi="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2023年4月1日—2023年5月31日</w:t>
      </w:r>
      <w:r>
        <w:rPr>
          <w:rFonts w:hint="eastAsia" w:ascii="仿宋_GB2312" w:hAnsi="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评价方式确定</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本次绩效评价的对象为</w:t>
      </w:r>
      <w:r>
        <w:rPr>
          <w:rFonts w:hint="eastAsia" w:ascii="仿宋_GB2312" w:hAnsi="仿宋_GB2312" w:cs="仿宋_GB2312"/>
          <w:sz w:val="32"/>
          <w:szCs w:val="32"/>
          <w:highlight w:val="none"/>
          <w:lang w:eastAsia="zh-CN"/>
        </w:rPr>
        <w:t>全省法院“两庭建设”资金项目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经与</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沟通决定采取现场评价</w:t>
      </w:r>
      <w:r>
        <w:rPr>
          <w:rFonts w:hint="eastAsia" w:ascii="仿宋_GB2312" w:hAnsi="仿宋_GB2312" w:cs="仿宋_GB2312"/>
          <w:sz w:val="32"/>
          <w:szCs w:val="32"/>
          <w:highlight w:val="none"/>
          <w:lang w:val="en-US" w:eastAsia="zh-CN"/>
        </w:rPr>
        <w:t>与非现场评价相结合</w:t>
      </w:r>
      <w:r>
        <w:rPr>
          <w:rFonts w:hint="eastAsia" w:ascii="仿宋_GB2312" w:hAnsi="仿宋_GB2312" w:eastAsia="仿宋_GB2312" w:cs="仿宋_GB2312"/>
          <w:sz w:val="32"/>
          <w:szCs w:val="32"/>
          <w:highlight w:val="none"/>
        </w:rPr>
        <w:t>的方式进行本次评价。</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2.实施阶段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下达评价通知</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cs="仿宋_GB2312"/>
          <w:highlight w:val="none"/>
        </w:rPr>
        <w:t>省法院给各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法院下发评价通知，绩效评价组在拟开展现场评价的5个工作日前向各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法院发送资料清单，各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法院提前准备评价资料。</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进驻评价单位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现场评价阶段，</w:t>
      </w:r>
      <w:r>
        <w:rPr>
          <w:rFonts w:hint="eastAsia" w:ascii="仿宋_GB2312" w:hAnsi="仿宋_GB2312" w:eastAsia="仿宋_GB2312" w:cs="仿宋_GB2312"/>
          <w:sz w:val="32"/>
          <w:szCs w:val="32"/>
          <w:highlight w:val="none"/>
        </w:rPr>
        <w:t>评价组按</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安排的时间进驻</w:t>
      </w:r>
      <w:r>
        <w:rPr>
          <w:rFonts w:hint="eastAsia" w:ascii="仿宋_GB2312" w:hAnsi="仿宋_GB2312" w:cs="仿宋_GB2312"/>
          <w:highlight w:val="none"/>
        </w:rPr>
        <w:t>各</w:t>
      </w:r>
      <w:r>
        <w:rPr>
          <w:rFonts w:hint="eastAsia" w:ascii="仿宋_GB2312" w:hAnsi="仿宋_GB2312" w:cs="仿宋_GB2312"/>
          <w:highlight w:val="none"/>
          <w:lang w:val="en-US" w:eastAsia="zh-CN"/>
        </w:rPr>
        <w:t>项目实施</w:t>
      </w:r>
      <w:r>
        <w:rPr>
          <w:rFonts w:hint="eastAsia" w:ascii="仿宋_GB2312" w:hAnsi="仿宋_GB2312" w:cs="仿宋_GB2312"/>
          <w:highlight w:val="none"/>
        </w:rPr>
        <w:t>法院</w:t>
      </w:r>
      <w:r>
        <w:rPr>
          <w:rFonts w:hint="eastAsia" w:ascii="仿宋_GB2312" w:hAnsi="仿宋_GB2312" w:eastAsia="仿宋_GB2312" w:cs="仿宋_GB2312"/>
          <w:sz w:val="32"/>
          <w:szCs w:val="32"/>
          <w:highlight w:val="none"/>
        </w:rPr>
        <w:t>，采取访谈</w:t>
      </w:r>
      <w:r>
        <w:rPr>
          <w:rFonts w:hint="eastAsia" w:ascii="仿宋_GB2312" w:hAnsi="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方式了解</w:t>
      </w: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基本情况以及重点工作任务完成情况，听取</w:t>
      </w:r>
      <w:r>
        <w:rPr>
          <w:rFonts w:hint="eastAsia" w:ascii="仿宋_GB2312" w:hAnsi="仿宋_GB2312" w:cs="仿宋_GB2312"/>
          <w:sz w:val="32"/>
          <w:szCs w:val="32"/>
          <w:highlight w:val="none"/>
          <w:lang w:val="en-US" w:eastAsia="zh-CN"/>
        </w:rPr>
        <w:t>项目实施相关工作人员</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的目标设定及完成程度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组织管理制度建立健全及落实情况、预算支出执行情况、财务管理状况、资产管理情况和</w:t>
      </w:r>
      <w:r>
        <w:rPr>
          <w:rFonts w:hint="eastAsia" w:ascii="仿宋_GB2312" w:hAnsi="仿宋_GB2312" w:cs="仿宋_GB2312"/>
          <w:sz w:val="32"/>
          <w:szCs w:val="32"/>
          <w:highlight w:val="none"/>
          <w:lang w:val="en-US" w:eastAsia="zh-CN"/>
        </w:rPr>
        <w:t>项目实施</w:t>
      </w:r>
      <w:r>
        <w:rPr>
          <w:rFonts w:hint="eastAsia" w:ascii="仿宋_GB2312" w:hAnsi="仿宋_GB2312" w:eastAsia="仿宋_GB2312" w:cs="仿宋_GB2312"/>
          <w:sz w:val="32"/>
          <w:szCs w:val="32"/>
          <w:highlight w:val="none"/>
        </w:rPr>
        <w:t>产生的效益效果等情况介绍。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资料分析及复核</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根据访谈了解情况对项目实施</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提供的资料进行核对，核实其真实性，核实</w:t>
      </w:r>
      <w:r>
        <w:rPr>
          <w:rFonts w:hint="eastAsia" w:ascii="仿宋_GB2312" w:hAnsi="仿宋_GB2312" w:eastAsia="仿宋_GB2312" w:cs="仿宋_GB2312"/>
          <w:sz w:val="32"/>
          <w:szCs w:val="32"/>
          <w:highlight w:val="none"/>
          <w:lang w:val="en-US" w:eastAsia="zh-CN"/>
        </w:rPr>
        <w:t>各项重点工作任务的完成情况</w:t>
      </w:r>
      <w:r>
        <w:rPr>
          <w:rFonts w:hint="eastAsia" w:ascii="仿宋_GB2312" w:hAnsi="仿宋_GB2312" w:eastAsia="仿宋_GB2312" w:cs="仿宋_GB2312"/>
          <w:sz w:val="32"/>
          <w:szCs w:val="32"/>
          <w:highlight w:val="none"/>
        </w:rPr>
        <w:t>的真实性和规范性。</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发放调查问卷</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采用调查问卷方式对项目服务对象</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法院工作人员满意度</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进行调查，根据需要收集的</w:t>
      </w:r>
      <w:r>
        <w:rPr>
          <w:rFonts w:hint="eastAsia" w:ascii="仿宋_GB2312" w:hAnsi="仿宋_GB2312" w:eastAsia="仿宋_GB2312" w:cs="仿宋_GB2312"/>
          <w:sz w:val="32"/>
          <w:szCs w:val="32"/>
          <w:highlight w:val="none"/>
          <w:lang w:val="en-US" w:eastAsia="zh-CN"/>
        </w:rPr>
        <w:t>满意度</w:t>
      </w:r>
      <w:r>
        <w:rPr>
          <w:rFonts w:hint="eastAsia" w:ascii="仿宋_GB2312" w:hAnsi="仿宋_GB2312" w:eastAsia="仿宋_GB2312" w:cs="仿宋_GB2312"/>
          <w:sz w:val="32"/>
          <w:szCs w:val="32"/>
          <w:highlight w:val="none"/>
        </w:rPr>
        <w:t>数据设置</w:t>
      </w:r>
      <w:r>
        <w:rPr>
          <w:rFonts w:hint="eastAsia" w:ascii="仿宋_GB2312" w:hAnsi="仿宋_GB2312" w:eastAsia="仿宋_GB2312" w:cs="仿宋_GB2312"/>
          <w:sz w:val="32"/>
          <w:szCs w:val="32"/>
          <w:highlight w:val="none"/>
          <w:lang w:val="en-US" w:eastAsia="zh-CN"/>
        </w:rPr>
        <w:t>调查问卷</w:t>
      </w:r>
      <w:r>
        <w:rPr>
          <w:rFonts w:hint="eastAsia" w:ascii="仿宋_GB2312" w:hAnsi="仿宋_GB2312" w:eastAsia="仿宋_GB2312" w:cs="仿宋_GB2312"/>
          <w:sz w:val="32"/>
          <w:szCs w:val="32"/>
          <w:highlight w:val="none"/>
        </w:rPr>
        <w:t>并认真做好调查表的发放与回收工作。</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5</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进行现场评分</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针对评价中发现的问题与</w:t>
      </w:r>
      <w:r>
        <w:rPr>
          <w:rFonts w:hint="eastAsia" w:ascii="仿宋_GB2312" w:hAnsi="仿宋_GB2312" w:eastAsia="仿宋_GB2312" w:cs="仿宋_GB2312"/>
          <w:sz w:val="32"/>
          <w:szCs w:val="32"/>
          <w:highlight w:val="none"/>
          <w:lang w:val="en-US" w:eastAsia="zh-CN"/>
        </w:rPr>
        <w:t>项目实施法院及时</w:t>
      </w:r>
      <w:r>
        <w:rPr>
          <w:rFonts w:hint="eastAsia" w:ascii="仿宋_GB2312" w:hAnsi="仿宋_GB2312" w:eastAsia="仿宋_GB2312" w:cs="仿宋_GB2312"/>
          <w:sz w:val="32"/>
          <w:szCs w:val="32"/>
          <w:highlight w:val="none"/>
        </w:rPr>
        <w:t>沟通，对各项评价指标进行分析讨论，经反复分析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研究，按预先设计的评价指标体系进行现场评价打分。</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3.撰写报告阶段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撰写绩效评价报告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小组根据现场评价收集的资料，运用科学、合理的绩效评价指标、评价标准和评价方法，对项目支出的经济性、效率性和效益性进行客观、公正的评价，按照财政厅下发的重点项目绩效评价报告模板撰写绩效评价报告，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31" w:name="_Toc22550"/>
      <w:bookmarkStart w:id="132" w:name="_Toc20521"/>
      <w:bookmarkStart w:id="133" w:name="_Toc6529"/>
      <w:r>
        <w:rPr>
          <w:rFonts w:hint="eastAsia" w:ascii="黑体" w:eastAsia="黑体"/>
          <w:highlight w:val="none"/>
        </w:rPr>
        <w:t>四、评价结论及分析</w:t>
      </w:r>
      <w:bookmarkEnd w:id="131"/>
      <w:bookmarkEnd w:id="132"/>
      <w:bookmarkEnd w:id="133"/>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34" w:name="_Toc8446"/>
      <w:bookmarkStart w:id="135" w:name="_Toc20588"/>
      <w:bookmarkStart w:id="136" w:name="_Toc8405"/>
      <w:r>
        <w:rPr>
          <w:rFonts w:hint="eastAsia" w:ascii="楷体" w:hAnsi="楷体" w:eastAsia="楷体" w:cs="楷体"/>
          <w:b/>
          <w:bCs/>
          <w:highlight w:val="none"/>
        </w:rPr>
        <w:t>（一）综合评价情况及评价结论</w:t>
      </w:r>
      <w:bookmarkEnd w:id="134"/>
      <w:bookmarkEnd w:id="135"/>
      <w:bookmarkEnd w:id="136"/>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 w:eastAsia="仿宋_GB2312" w:cs="仿宋"/>
          <w:sz w:val="32"/>
          <w:szCs w:val="32"/>
          <w:highlight w:val="none"/>
          <w:lang w:eastAsia="zh-CN"/>
        </w:rPr>
        <w:t>全省法院“两庭建设”资金项目</w:t>
      </w:r>
      <w:r>
        <w:rPr>
          <w:rFonts w:hint="eastAsia" w:ascii="仿宋_GB2312" w:hAnsi="仿宋_GB2312" w:eastAsia="仿宋_GB2312" w:cs="仿宋_GB2312"/>
          <w:sz w:val="32"/>
          <w:szCs w:val="32"/>
          <w:highlight w:val="none"/>
        </w:rPr>
        <w:t>绩效评分为</w:t>
      </w:r>
      <w:r>
        <w:rPr>
          <w:rFonts w:hint="eastAsia" w:ascii="仿宋_GB2312" w:hAnsi="仿宋_GB2312" w:eastAsia="仿宋_GB2312" w:cs="仿宋_GB2312"/>
          <w:sz w:val="32"/>
          <w:szCs w:val="32"/>
          <w:highlight w:val="none"/>
          <w:lang w:val="en-US" w:eastAsia="zh-CN"/>
        </w:rPr>
        <w:t>86.66</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137" w:name="_Toc12668"/>
      <w:bookmarkStart w:id="138" w:name="_Toc16795"/>
      <w:r>
        <w:rPr>
          <w:rFonts w:hint="eastAsia" w:ascii="仿宋_GB2312" w:hAnsi="仿宋_GB2312" w:eastAsia="仿宋_GB2312" w:cs="仿宋_GB2312"/>
          <w:sz w:val="32"/>
          <w:szCs w:val="32"/>
          <w:highlight w:val="none"/>
        </w:rPr>
        <w:t>全省法院“两庭建设”资金项目立项程序规范，依据充分，项目实施必要。在省级财政资金统一保障下，全省法院“两庭建设”项目顺利开展，项目实施流程严谨，执行管理到位，资金使用效果良好。项目总体组织规范，全省法院“两庭”建设，为人民群众提供一个良好的司法场所，保障了审批工作的顺利运行。但该项目也存在预算执行率有待提高，绩效目标编制的明确性有待进一步提高，资金使用有待规范以及部门“两庭建设”项目进度相对滞后的问题。</w:t>
      </w:r>
    </w:p>
    <w:bookmarkEnd w:id="137"/>
    <w:bookmarkEnd w:id="138"/>
    <w:p>
      <w:pPr>
        <w:keepNext w:val="0"/>
        <w:keepLines w:val="0"/>
        <w:pageBreakBefore w:val="0"/>
        <w:widowControl w:val="0"/>
        <w:suppressLineNumbers w:val="0"/>
        <w:kinsoku/>
        <w:wordWrap/>
        <w:overflowPunct w:val="0"/>
        <w:topLinePunct w:val="0"/>
        <w:autoSpaceDE/>
        <w:autoSpaceDN/>
        <w:bidi w:val="0"/>
        <w:adjustRightInd/>
        <w:snapToGrid/>
        <w:ind w:firstLine="643" w:firstLineChars="200"/>
        <w:jc w:val="left"/>
        <w:textAlignment w:val="auto"/>
        <w:outlineLvl w:val="1"/>
        <w:rPr>
          <w:sz w:val="32"/>
          <w:szCs w:val="32"/>
          <w:highlight w:val="none"/>
        </w:rPr>
      </w:pPr>
      <w:bookmarkStart w:id="139" w:name="_Toc7798"/>
      <w:r>
        <w:rPr>
          <w:rFonts w:ascii="楷体" w:hAnsi="楷体" w:eastAsia="楷体" w:cs="楷体"/>
          <w:b/>
          <w:bCs/>
          <w:color w:val="000000"/>
          <w:kern w:val="0"/>
          <w:sz w:val="32"/>
          <w:szCs w:val="32"/>
          <w:highlight w:val="none"/>
          <w:lang w:val="en-US" w:eastAsia="zh-CN" w:bidi="ar"/>
        </w:rPr>
        <w:t>（二）非现场评价情况分析</w:t>
      </w:r>
      <w:bookmarkEnd w:id="139"/>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前期资料研读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根据调研结果梳理并向项目实施法院发送《资料收集清单》收集业务资料和财务资料，其中包括：部门预算批复文件、资金分配表、项目预算编制明细表、决算表、单位内部管理制度、项目绩效目标申报表、自评表及自评报告等资料。并在资料收集过程中通过网上收集、文献查阅等方式，获取与本项目有关的政策资料，全面了解项目内容，把握评价的重点，明确评价方式、方法，为制定实施方案、绩效评价指标体系奠定基础。</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2.资料整理分析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评价组对项目实施法院提供的资料进行深入研读，将前期资料研读过程中通过各网站收集的资料与项目实施法院提供的资料进行了汇总整合研究，</w:t>
      </w:r>
      <w:r>
        <w:rPr>
          <w:rFonts w:hint="eastAsia" w:ascii="仿宋_GB2312" w:hAnsi="宋体" w:eastAsia="仿宋_GB2312" w:cs="仿宋_GB2312"/>
          <w:color w:val="000000"/>
          <w:kern w:val="0"/>
          <w:sz w:val="32"/>
          <w:szCs w:val="32"/>
          <w:highlight w:val="none"/>
          <w:lang w:bidi="ar"/>
        </w:rPr>
        <w:t>并设立评价指标体系</w:t>
      </w:r>
      <w:r>
        <w:rPr>
          <w:rFonts w:hint="eastAsia" w:ascii="仿宋_GB2312" w:hAnsi="宋体" w:eastAsia="仿宋_GB2312" w:cs="仿宋_GB2312"/>
          <w:color w:val="000000"/>
          <w:kern w:val="0"/>
          <w:sz w:val="32"/>
          <w:szCs w:val="32"/>
          <w:highlight w:val="none"/>
          <w:lang w:val="en-US" w:eastAsia="zh-CN" w:bidi="ar"/>
        </w:rPr>
        <w:t>。对于结果明确的指标直接进行打分，对于结果不明确的指标，评价组在此过程中继续整理缺失的数据，并形成二次数据收集清单，通过线上沟通再次向省法院收集部分评价指标佐证材料，补充完善评价结果，以便全面、真实、客观的形成评价结果。</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left"/>
        <w:textAlignment w:val="auto"/>
        <w:outlineLvl w:val="1"/>
        <w:rPr>
          <w:sz w:val="32"/>
          <w:szCs w:val="32"/>
          <w:highlight w:val="none"/>
        </w:rPr>
      </w:pPr>
      <w:bookmarkStart w:id="140" w:name="_Toc26964"/>
      <w:r>
        <w:rPr>
          <w:rFonts w:hint="eastAsia" w:ascii="楷体" w:hAnsi="楷体" w:eastAsia="楷体" w:cs="楷体"/>
          <w:b/>
          <w:bCs/>
          <w:color w:val="000000"/>
          <w:kern w:val="0"/>
          <w:sz w:val="32"/>
          <w:szCs w:val="32"/>
          <w:highlight w:val="none"/>
          <w:lang w:val="en-US" w:eastAsia="zh-CN" w:bidi="ar"/>
        </w:rPr>
        <w:t>（三）</w:t>
      </w:r>
      <w:r>
        <w:rPr>
          <w:rFonts w:ascii="楷体" w:hAnsi="楷体" w:eastAsia="楷体" w:cs="楷体"/>
          <w:b/>
          <w:bCs/>
          <w:color w:val="000000"/>
          <w:kern w:val="0"/>
          <w:sz w:val="32"/>
          <w:szCs w:val="32"/>
          <w:highlight w:val="none"/>
          <w:lang w:val="en-US" w:eastAsia="zh-CN" w:bidi="ar"/>
        </w:rPr>
        <w:t>现场评价情况分析</w:t>
      </w:r>
      <w:bookmarkEnd w:id="140"/>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前期调研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评价组通过查阅相关文献资料以及在各项目实施法院官网了解到项目情况，自行收集了预决算公开资料，全面了解项目立项、绩效目标设置、预算安排、实施内容、组织管理等情况，为编制指标体系奠定基础。</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2.现场核查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根据项目实际情况，抽取部分法院项目进行现场抽评，本次现场评价小陇山林区法院、会宁县人民法院、景泰县人民法院、兰州市西固区人民法院、崇信县人民法院、华亭市人民法院、子午岭林区法院、天水市秦州区人民法院及武威市中级人民法院9个法院，涉及专项资金8,150.00万元，从项目数量和资金额度上均符合“项目和资金占比均达到30%”的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sz w:val="32"/>
          <w:szCs w:val="32"/>
          <w:highlight w:val="none"/>
        </w:rPr>
      </w:pPr>
      <w:bookmarkStart w:id="141" w:name="_Toc25412"/>
      <w:bookmarkStart w:id="142" w:name="_Toc30293"/>
      <w:bookmarkStart w:id="143" w:name="_Toc17767"/>
      <w:r>
        <w:rPr>
          <w:rFonts w:hint="eastAsia" w:ascii="黑体" w:eastAsia="黑体"/>
          <w:sz w:val="32"/>
          <w:szCs w:val="32"/>
          <w:highlight w:val="none"/>
        </w:rPr>
        <w:t>五、绩效评价指标分析</w:t>
      </w:r>
      <w:bookmarkEnd w:id="141"/>
      <w:bookmarkEnd w:id="142"/>
      <w:bookmarkEnd w:id="143"/>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eastAsia="仿宋_GB2312" w:cs="黑体" w:asciiTheme="minorEastAsia" w:hAnsiTheme="minorEastAsia"/>
          <w:sz w:val="28"/>
          <w:szCs w:val="24"/>
          <w:highlight w:val="none"/>
          <w:lang w:eastAsia="zh-CN"/>
        </w:rPr>
      </w:pPr>
      <w:r>
        <w:rPr>
          <w:rFonts w:hint="eastAsia" w:ascii="仿宋_GB2312" w:hAnsi="仿宋_GB2312" w:eastAsia="仿宋_GB2312" w:cs="仿宋_GB2312"/>
          <w:sz w:val="32"/>
          <w:szCs w:val="32"/>
          <w:highlight w:val="none"/>
          <w:lang w:eastAsia="zh-CN"/>
        </w:rPr>
        <w:t>全省法院“两庭建设”资金项目</w:t>
      </w:r>
      <w:r>
        <w:rPr>
          <w:rFonts w:hint="eastAsia" w:ascii="仿宋_GB2312" w:hAnsi="仿宋_GB2312" w:eastAsia="仿宋_GB2312" w:cs="仿宋_GB2312"/>
          <w:sz w:val="32"/>
          <w:szCs w:val="32"/>
          <w:highlight w:val="none"/>
        </w:rPr>
        <w:t>绩效评价分级设计项目决策、过程、产出、效益、满意度五个一级指标，一级指标具体得分情况</w:t>
      </w:r>
      <w:r>
        <w:rPr>
          <w:rFonts w:hint="eastAsia" w:ascii="仿宋_GB2312" w:hAnsi="仿宋_GB2312" w:eastAsia="仿宋_GB2312" w:cs="仿宋_GB2312"/>
          <w:sz w:val="32"/>
          <w:szCs w:val="32"/>
          <w:highlight w:val="none"/>
          <w:lang w:val="en-US" w:eastAsia="zh-CN"/>
        </w:rPr>
        <w:t>如下</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560" w:firstLineChars="200"/>
        <w:textAlignment w:val="auto"/>
        <w:outlineLvl w:val="1"/>
        <w:rPr>
          <w:rFonts w:ascii="楷体" w:hAnsi="楷体" w:eastAsia="楷体" w:cs="楷体"/>
          <w:b/>
          <w:bCs/>
          <w:highlight w:val="none"/>
        </w:rPr>
      </w:pPr>
      <w:bookmarkStart w:id="144" w:name="_Toc9049"/>
      <w:bookmarkStart w:id="145" w:name="_Toc23689"/>
      <w:bookmarkStart w:id="146" w:name="_Toc30072"/>
      <w:r>
        <w:rPr>
          <w:rFonts w:hint="eastAsia" w:asciiTheme="minorEastAsia" w:hAnsiTheme="minorEastAsia" w:eastAsiaTheme="minorEastAsia" w:cstheme="minorEastAsia"/>
          <w:kern w:val="0"/>
          <w:sz w:val="28"/>
          <w:szCs w:val="28"/>
          <w:highlight w:val="none"/>
          <w:lang w:eastAsia="zh-CN"/>
        </w:rPr>
        <w:drawing>
          <wp:anchor distT="0" distB="0" distL="114300" distR="114300" simplePos="0" relativeHeight="251664384" behindDoc="0" locked="0" layoutInCell="1" allowOverlap="1">
            <wp:simplePos x="0" y="0"/>
            <wp:positionH relativeFrom="column">
              <wp:posOffset>-1905</wp:posOffset>
            </wp:positionH>
            <wp:positionV relativeFrom="paragraph">
              <wp:posOffset>149860</wp:posOffset>
            </wp:positionV>
            <wp:extent cx="5249545" cy="3289300"/>
            <wp:effectExtent l="4445" t="4445" r="19050" b="13335"/>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楷体" w:hAnsi="楷体" w:eastAsia="楷体" w:cs="楷体"/>
          <w:b/>
          <w:bCs/>
          <w:highlight w:val="none"/>
        </w:rPr>
        <w:t>（一）项目决策情况</w:t>
      </w:r>
      <w:bookmarkEnd w:id="144"/>
      <w:bookmarkEnd w:id="145"/>
      <w:bookmarkEnd w:id="146"/>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项目决策指标包括项目立项、绩效目标、资金投入三个二级指标，项目立项指标包括立项依据充分性、立项程序规范性两个三级指标，绩效目标指标为绩效目标合理性</w:t>
      </w:r>
      <w:r>
        <w:rPr>
          <w:rFonts w:hint="eastAsia" w:ascii="仿宋_GB2312" w:hAnsi="仿宋_GB2312" w:eastAsia="仿宋_GB2312" w:cs="仿宋_GB2312"/>
          <w:sz w:val="32"/>
          <w:szCs w:val="32"/>
          <w:highlight w:val="none"/>
          <w:lang w:eastAsia="zh-CN"/>
        </w:rPr>
        <w:t>、绩效指标明确性</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个三级指标，资金投入指标包括预算编制科学性、资金分配合理性两个三级指标。指标分值</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93.75</w:t>
      </w:r>
      <w:r>
        <w:rPr>
          <w:rFonts w:hint="eastAsia" w:ascii="仿宋_GB2312" w:hAnsi="仿宋_GB2312" w:eastAsia="仿宋_GB2312" w:cs="仿宋_GB2312"/>
          <w:sz w:val="32"/>
          <w:szCs w:val="32"/>
          <w:highlight w:val="none"/>
        </w:rPr>
        <w:t>%。</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决策指标二级指标得分情况表</w:t>
      </w:r>
    </w:p>
    <w:tbl>
      <w:tblPr>
        <w:tblStyle w:val="16"/>
        <w:tblW w:w="903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012"/>
        <w:gridCol w:w="1916"/>
        <w:gridCol w:w="1701"/>
        <w:gridCol w:w="241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0" w:type="auto"/>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916"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1701"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2410"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6</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6</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3</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75</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6</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6</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0" w:type="auto"/>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916"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6</w:t>
            </w:r>
          </w:p>
        </w:tc>
        <w:tc>
          <w:tcPr>
            <w:tcW w:w="1701"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5</w:t>
            </w:r>
          </w:p>
        </w:tc>
        <w:tc>
          <w:tcPr>
            <w:tcW w:w="2410"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93.75</w:t>
            </w:r>
            <w:r>
              <w:rPr>
                <w:rFonts w:hint="eastAsia" w:ascii="宋体" w:hAnsi="宋体" w:eastAsia="宋体" w:cs="宋体"/>
                <w:b/>
                <w:bCs/>
                <w:color w:val="000000"/>
                <w:kern w:val="0"/>
                <w:sz w:val="22"/>
                <w:highlight w:val="none"/>
                <w:lang w:bidi="ar"/>
              </w:rPr>
              <w:t>%</w:t>
            </w:r>
          </w:p>
        </w:tc>
      </w:tr>
    </w:tbl>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全省法院“两庭建设”资金</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关于进一步加强新形势下人民法院基层基础建设的若干意见》（法发〔2011〕4号）、《关于做好甘肃省省以下地方法院检察院经费统管改革平稳推进工作的通知》（甘财行〔2018〕3号）等政策依据设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项目立项依据充分，立项符合法规政策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属于专项资金支持范围。</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）绩效目标合理性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分。经查阅分析省法院</w:t>
      </w:r>
      <w:r>
        <w:rPr>
          <w:rFonts w:hint="eastAsia" w:ascii="仿宋_GB2312" w:hAnsi="仿宋_GB2312" w:eastAsia="仿宋_GB2312" w:cs="仿宋_GB2312"/>
          <w:sz w:val="32"/>
          <w:szCs w:val="32"/>
          <w:highlight w:val="none"/>
          <w:lang w:val="en-US" w:eastAsia="zh-CN"/>
        </w:rPr>
        <w:t>及各实施单位项目申报资料及</w:t>
      </w:r>
      <w:r>
        <w:rPr>
          <w:rFonts w:hint="eastAsia" w:ascii="仿宋_GB2312" w:hAnsi="仿宋_GB2312" w:eastAsia="仿宋_GB2312" w:cs="仿宋_GB2312"/>
          <w:sz w:val="32"/>
          <w:szCs w:val="32"/>
          <w:highlight w:val="none"/>
        </w:rPr>
        <w:t>《2022年度</w:t>
      </w:r>
      <w:r>
        <w:rPr>
          <w:rFonts w:hint="eastAsia" w:ascii="仿宋_GB2312" w:hAnsi="仿宋_GB2312" w:eastAsia="仿宋_GB2312" w:cs="仿宋_GB2312"/>
          <w:sz w:val="32"/>
          <w:szCs w:val="32"/>
          <w:highlight w:val="none"/>
          <w:lang w:eastAsia="zh-CN"/>
        </w:rPr>
        <w:t>全省法院“两庭建设”资金项目</w:t>
      </w:r>
      <w:r>
        <w:rPr>
          <w:rFonts w:hint="eastAsia" w:ascii="仿宋_GB2312" w:hAnsi="仿宋_GB2312" w:eastAsia="仿宋_GB2312" w:cs="仿宋_GB2312"/>
          <w:sz w:val="32"/>
          <w:szCs w:val="32"/>
          <w:highlight w:val="none"/>
        </w:rPr>
        <w:t>绩效目标表》，</w:t>
      </w:r>
      <w:r>
        <w:rPr>
          <w:rFonts w:hint="eastAsia" w:ascii="仿宋_GB2312" w:hAnsi="仿宋_GB2312" w:eastAsia="仿宋_GB2312" w:cs="仿宋_GB2312"/>
          <w:sz w:val="32"/>
          <w:szCs w:val="32"/>
          <w:highlight w:val="none"/>
          <w:lang w:val="en-US" w:eastAsia="zh-CN"/>
        </w:rPr>
        <w:t>各法院按照省财政厅《甘肃省省级预算绩效目标管理办法》要求，科学规范设置了绩效目标和评价指标。</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绩效指标明确性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绩效指标明确性指标分值2分，评价得分1分。</w:t>
      </w:r>
      <w:r>
        <w:rPr>
          <w:rFonts w:hint="default" w:ascii="仿宋_GB2312" w:hAnsi="仿宋_GB2312" w:eastAsia="仿宋_GB2312" w:cs="仿宋_GB2312"/>
          <w:sz w:val="32"/>
          <w:szCs w:val="32"/>
          <w:highlight w:val="none"/>
          <w:lang w:val="en-US" w:eastAsia="zh-CN"/>
        </w:rPr>
        <w:t>经核查省法院《202</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年度省级部门</w:t>
      </w:r>
      <w:r>
        <w:rPr>
          <w:rFonts w:hint="eastAsia" w:ascii="仿宋_GB2312" w:hAnsi="仿宋_GB2312" w:eastAsia="仿宋_GB2312" w:cs="仿宋_GB2312"/>
          <w:sz w:val="32"/>
          <w:szCs w:val="32"/>
          <w:highlight w:val="none"/>
          <w:lang w:eastAsia="zh-CN"/>
        </w:rPr>
        <w:t>全省法院“两庭建设”资金</w:t>
      </w:r>
      <w:r>
        <w:rPr>
          <w:rFonts w:hint="default" w:ascii="仿宋_GB2312" w:hAnsi="仿宋_GB2312" w:eastAsia="仿宋_GB2312" w:cs="仿宋_GB2312"/>
          <w:sz w:val="32"/>
          <w:szCs w:val="32"/>
          <w:highlight w:val="none"/>
          <w:lang w:val="en-US" w:eastAsia="zh-CN"/>
        </w:rPr>
        <w:t>项目绩效目标表》</w:t>
      </w:r>
      <w:r>
        <w:rPr>
          <w:rFonts w:hint="eastAsia" w:ascii="仿宋_GB2312" w:hAnsi="仿宋_GB2312" w:eastAsia="仿宋_GB2312" w:cs="仿宋_GB2312"/>
          <w:sz w:val="32"/>
          <w:szCs w:val="32"/>
          <w:highlight w:val="none"/>
          <w:lang w:val="en-US" w:eastAsia="zh-CN"/>
        </w:rPr>
        <w:t>设置的绩效指标能够将项目绩效目标细化分解为具体的绩效指标，指标目标值清晰、可衡量；与项目年度计划相对应；与预算确定的项目投资额或资金量相匹配</w:t>
      </w:r>
      <w:r>
        <w:rPr>
          <w:rFonts w:hint="eastAsia" w:ascii="仿宋_GB2312" w:hAnsi="仿宋_GB2312" w:eastAsia="仿宋_GB2312" w:cs="仿宋_GB2312"/>
          <w:color w:val="auto"/>
          <w:sz w:val="32"/>
          <w:szCs w:val="32"/>
          <w:highlight w:val="none"/>
          <w:lang w:val="en-US" w:eastAsia="zh-CN"/>
        </w:rPr>
        <w:t>。由于年初预算并未下达至各单位，故年初只由省法院在绩效管理系统中填报了目标表，其他中、基层法院未在“甘肃</w:t>
      </w:r>
      <w:r>
        <w:rPr>
          <w:rFonts w:hint="default" w:ascii="仿宋_GB2312" w:hAnsi="仿宋_GB2312" w:eastAsia="仿宋_GB2312" w:cs="仿宋_GB2312"/>
          <w:color w:val="auto"/>
          <w:sz w:val="32"/>
          <w:szCs w:val="32"/>
          <w:highlight w:val="none"/>
          <w:lang w:val="en-US" w:eastAsia="zh-CN"/>
        </w:rPr>
        <w:t>省级预算绩效管理信息系统</w:t>
      </w:r>
      <w:r>
        <w:rPr>
          <w:rFonts w:hint="eastAsia" w:ascii="仿宋_GB2312" w:hAnsi="仿宋_GB2312" w:eastAsia="仿宋_GB2312" w:cs="仿宋_GB2312"/>
          <w:color w:val="auto"/>
          <w:sz w:val="32"/>
          <w:szCs w:val="32"/>
          <w:highlight w:val="none"/>
          <w:lang w:val="en-US" w:eastAsia="zh-CN"/>
        </w:rPr>
        <w:t>”申报绩效目标表，仅在资金下达时在“预算管理一体化系统”填报预算项目绩效表，导致项目无法进行有效监控，且部分法院绩效目标存在设置简</w:t>
      </w:r>
      <w:r>
        <w:rPr>
          <w:rFonts w:hint="eastAsia" w:ascii="仿宋_GB2312" w:hAnsi="仿宋_GB2312" w:eastAsia="仿宋_GB2312" w:cs="仿宋_GB2312"/>
          <w:sz w:val="32"/>
          <w:szCs w:val="32"/>
          <w:highlight w:val="none"/>
          <w:lang w:val="en-US" w:eastAsia="zh-CN"/>
        </w:rPr>
        <w:t>略、表述笼统、未能涵盖项目实施主要内容及预期效益等问题。</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全省法院“两庭建设”资金项目</w:t>
      </w:r>
      <w:r>
        <w:rPr>
          <w:rFonts w:hint="eastAsia" w:ascii="仿宋_GB2312" w:hAnsi="仿宋_GB2312" w:eastAsia="仿宋_GB2312" w:cs="仿宋_GB2312"/>
          <w:sz w:val="32"/>
          <w:szCs w:val="32"/>
          <w:highlight w:val="none"/>
          <w:lang w:val="en-US" w:eastAsia="zh-CN"/>
        </w:rPr>
        <w:t>全年预算资金18,832.93万元，其中当年财政拨款16,000.00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上年结转资金2,832.93万元。</w:t>
      </w:r>
      <w:r>
        <w:rPr>
          <w:rFonts w:hint="eastAsia" w:ascii="仿宋_GB2312" w:hAnsi="仿宋_GB2312" w:eastAsia="仿宋_GB2312" w:cs="仿宋_GB2312"/>
          <w:sz w:val="32"/>
          <w:szCs w:val="32"/>
          <w:highlight w:val="none"/>
        </w:rPr>
        <w:t>项目实施前，各</w:t>
      </w:r>
      <w:r>
        <w:rPr>
          <w:rFonts w:hint="eastAsia" w:ascii="仿宋_GB2312" w:hAnsi="仿宋_GB2312" w:eastAsia="仿宋_GB2312" w:cs="仿宋_GB2312"/>
          <w:sz w:val="32"/>
          <w:szCs w:val="32"/>
          <w:highlight w:val="none"/>
          <w:lang w:val="en-US" w:eastAsia="zh-CN"/>
        </w:rPr>
        <w:t>项目实施法院</w:t>
      </w:r>
      <w:r>
        <w:rPr>
          <w:rFonts w:hint="eastAsia" w:ascii="仿宋_GB2312" w:hAnsi="仿宋_GB2312" w:eastAsia="仿宋_GB2312" w:cs="仿宋_GB2312"/>
          <w:sz w:val="32"/>
          <w:szCs w:val="32"/>
          <w:highlight w:val="none"/>
        </w:rPr>
        <w:t>上报预算申报表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严格按照预算管理制度汇总整合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分析研究并制定</w:t>
      </w:r>
      <w:r>
        <w:rPr>
          <w:rFonts w:hint="eastAsia" w:ascii="仿宋_GB2312" w:hAnsi="仿宋_GB2312" w:eastAsia="仿宋_GB2312" w:cs="仿宋_GB2312"/>
          <w:sz w:val="32"/>
          <w:szCs w:val="32"/>
          <w:highlight w:val="none"/>
          <w:lang w:val="en-US" w:eastAsia="zh-CN"/>
        </w:rPr>
        <w:t>资金安排建议</w:t>
      </w:r>
      <w:r>
        <w:rPr>
          <w:rFonts w:hint="eastAsia" w:ascii="仿宋_GB2312" w:hAnsi="仿宋_GB2312" w:eastAsia="仿宋_GB2312" w:cs="仿宋_GB2312"/>
          <w:sz w:val="32"/>
          <w:szCs w:val="32"/>
          <w:highlight w:val="none"/>
        </w:rPr>
        <w:t>，由财务</w:t>
      </w:r>
      <w:r>
        <w:rPr>
          <w:rFonts w:hint="eastAsia" w:ascii="仿宋_GB2312" w:hAnsi="仿宋_GB2312" w:eastAsia="仿宋_GB2312" w:cs="仿宋_GB2312"/>
          <w:sz w:val="32"/>
          <w:szCs w:val="32"/>
          <w:highlight w:val="none"/>
          <w:lang w:val="en-US" w:eastAsia="zh-CN"/>
        </w:rPr>
        <w:t>主管</w:t>
      </w:r>
      <w:r>
        <w:rPr>
          <w:rFonts w:hint="eastAsia" w:ascii="仿宋_GB2312" w:hAnsi="仿宋_GB2312" w:eastAsia="仿宋_GB2312" w:cs="仿宋_GB2312"/>
          <w:sz w:val="32"/>
          <w:szCs w:val="32"/>
          <w:highlight w:val="none"/>
        </w:rPr>
        <w:t>、分管领导进行审核，最终上会审核通过</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上报至省财政厅</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项目实施中资金严格按照预算执行。依据《关于2022年度全省法院“两庭”建设资金安排建议的报告》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甘高法行装〔2022〕24号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《关于2022年度第二批全省法院“两庭建设”资金安排建议的报告》（甘高法行装〔2022〕79号）</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评价认为，项目</w:t>
      </w:r>
      <w:r>
        <w:rPr>
          <w:rFonts w:hint="eastAsia" w:ascii="仿宋_GB2312" w:hAnsi="仿宋_GB2312" w:eastAsia="仿宋_GB2312" w:cs="仿宋_GB2312"/>
          <w:sz w:val="32"/>
          <w:szCs w:val="32"/>
          <w:highlight w:val="none"/>
        </w:rPr>
        <w:t>预算编制程序合规、要求严格、论证科学，预算内容与项目内容匹配，确定的项目资金量与工作任务相匹配，预算额度测算依据充分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按照标准编制。</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甘肃省财政厅共下达</w:t>
      </w:r>
      <w:r>
        <w:rPr>
          <w:rFonts w:hint="eastAsia" w:ascii="仿宋_GB2312" w:hAnsi="仿宋_GB2312" w:eastAsia="仿宋_GB2312" w:cs="仿宋_GB2312"/>
          <w:sz w:val="32"/>
          <w:szCs w:val="32"/>
          <w:highlight w:val="none"/>
          <w:lang w:eastAsia="zh-CN"/>
        </w:rPr>
        <w:t>全省法院“两庭建设”资金项目经费</w:t>
      </w:r>
      <w:r>
        <w:rPr>
          <w:rFonts w:hint="eastAsia" w:ascii="仿宋_GB2312" w:hAnsi="仿宋_GB2312" w:eastAsia="仿宋_GB2312" w:cs="仿宋_GB2312"/>
          <w:sz w:val="32"/>
          <w:szCs w:val="32"/>
          <w:highlight w:val="none"/>
          <w:lang w:val="en-US" w:eastAsia="zh-CN"/>
        </w:rPr>
        <w:t>16,000.00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专项资金由</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根据各中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基层法院</w:t>
      </w:r>
      <w:r>
        <w:rPr>
          <w:rFonts w:hint="eastAsia" w:ascii="仿宋_GB2312" w:hAnsi="仿宋_GB2312" w:eastAsia="仿宋_GB2312" w:cs="仿宋_GB2312"/>
          <w:sz w:val="32"/>
          <w:szCs w:val="32"/>
          <w:highlight w:val="none"/>
          <w:lang w:val="en-US" w:eastAsia="zh-CN"/>
        </w:rPr>
        <w:t>上报的分项预算明细、</w:t>
      </w:r>
      <w:r>
        <w:rPr>
          <w:rFonts w:hint="eastAsia" w:ascii="仿宋_GB2312" w:hAnsi="仿宋_GB2312" w:eastAsia="仿宋_GB2312" w:cs="仿宋_GB2312"/>
          <w:sz w:val="32"/>
          <w:szCs w:val="32"/>
          <w:highlight w:val="none"/>
        </w:rPr>
        <w:t>实际情况</w:t>
      </w:r>
      <w:r>
        <w:rPr>
          <w:rFonts w:hint="eastAsia" w:ascii="仿宋_GB2312" w:hAnsi="仿宋_GB2312" w:eastAsia="仿宋_GB2312" w:cs="仿宋_GB2312"/>
          <w:sz w:val="32"/>
          <w:szCs w:val="32"/>
          <w:highlight w:val="none"/>
          <w:lang w:val="en-US" w:eastAsia="zh-CN"/>
        </w:rPr>
        <w:t>以及本年需求进行</w:t>
      </w:r>
      <w:r>
        <w:rPr>
          <w:rFonts w:hint="eastAsia" w:ascii="仿宋_GB2312" w:hAnsi="仿宋_GB2312" w:eastAsia="仿宋_GB2312" w:cs="仿宋_GB2312"/>
          <w:sz w:val="32"/>
          <w:szCs w:val="32"/>
          <w:highlight w:val="none"/>
        </w:rPr>
        <w:t>汇总并提出拟安排建议上报</w:t>
      </w:r>
      <w:r>
        <w:rPr>
          <w:rFonts w:hint="eastAsia" w:ascii="仿宋_GB2312" w:hAnsi="仿宋_GB2312" w:eastAsia="仿宋_GB2312" w:cs="仿宋_GB2312"/>
          <w:sz w:val="32"/>
          <w:szCs w:val="32"/>
          <w:highlight w:val="none"/>
          <w:lang w:val="en-US" w:eastAsia="zh-CN"/>
        </w:rPr>
        <w:t>省</w:t>
      </w:r>
      <w:r>
        <w:rPr>
          <w:rFonts w:hint="eastAsia" w:ascii="仿宋_GB2312" w:hAnsi="仿宋_GB2312" w:eastAsia="仿宋_GB2312" w:cs="仿宋_GB2312"/>
          <w:sz w:val="32"/>
          <w:szCs w:val="32"/>
          <w:highlight w:val="none"/>
        </w:rPr>
        <w:t>财政</w:t>
      </w:r>
      <w:r>
        <w:rPr>
          <w:rFonts w:hint="eastAsia" w:ascii="仿宋_GB2312" w:hAnsi="仿宋_GB2312" w:eastAsia="仿宋_GB2312" w:cs="仿宋_GB2312"/>
          <w:sz w:val="32"/>
          <w:szCs w:val="32"/>
          <w:highlight w:val="none"/>
          <w:lang w:val="en-US" w:eastAsia="zh-CN"/>
        </w:rPr>
        <w:t>厅</w:t>
      </w:r>
      <w:r>
        <w:rPr>
          <w:rFonts w:hint="eastAsia" w:ascii="仿宋_GB2312" w:hAnsi="仿宋_GB2312" w:eastAsia="仿宋_GB2312" w:cs="仿宋_GB2312"/>
          <w:sz w:val="32"/>
          <w:szCs w:val="32"/>
          <w:highlight w:val="none"/>
        </w:rPr>
        <w:t>，由</w:t>
      </w:r>
      <w:r>
        <w:rPr>
          <w:rFonts w:hint="eastAsia" w:ascii="仿宋_GB2312" w:hAnsi="仿宋_GB2312" w:eastAsia="仿宋_GB2312" w:cs="仿宋_GB2312"/>
          <w:sz w:val="32"/>
          <w:szCs w:val="32"/>
          <w:highlight w:val="none"/>
          <w:lang w:val="en-US" w:eastAsia="zh-CN"/>
        </w:rPr>
        <w:t>省</w:t>
      </w:r>
      <w:r>
        <w:rPr>
          <w:rFonts w:hint="eastAsia" w:ascii="仿宋_GB2312" w:hAnsi="仿宋_GB2312" w:eastAsia="仿宋_GB2312" w:cs="仿宋_GB2312"/>
          <w:sz w:val="32"/>
          <w:szCs w:val="32"/>
          <w:highlight w:val="none"/>
        </w:rPr>
        <w:t>财政</w:t>
      </w:r>
      <w:r>
        <w:rPr>
          <w:rFonts w:hint="eastAsia" w:ascii="仿宋_GB2312" w:hAnsi="仿宋_GB2312" w:eastAsia="仿宋_GB2312" w:cs="仿宋_GB2312"/>
          <w:sz w:val="32"/>
          <w:szCs w:val="32"/>
          <w:highlight w:val="none"/>
          <w:lang w:val="en-US" w:eastAsia="zh-CN"/>
        </w:rPr>
        <w:t>厅</w:t>
      </w:r>
      <w:r>
        <w:rPr>
          <w:rFonts w:hint="eastAsia" w:ascii="仿宋_GB2312" w:hAnsi="仿宋_GB2312" w:eastAsia="仿宋_GB2312" w:cs="仿宋_GB2312"/>
          <w:sz w:val="32"/>
          <w:szCs w:val="32"/>
          <w:highlight w:val="none"/>
        </w:rPr>
        <w:t>进行统一安排下达资金，依据《关于下达2022年度第一批全省法院“两庭”建设资金的通知》（甘财政法﹝2022﹞12号）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《关于下达2022年度第二批全省法院“两庭建设”资金的通知》（甘财政法﹝2022﹞26号），</w:t>
      </w:r>
      <w:r>
        <w:rPr>
          <w:rFonts w:hint="eastAsia" w:ascii="仿宋_GB2312" w:hAnsi="仿宋_GB2312" w:eastAsia="仿宋_GB2312" w:cs="仿宋_GB2312"/>
          <w:sz w:val="32"/>
          <w:szCs w:val="32"/>
          <w:highlight w:val="none"/>
          <w:lang w:val="en-US" w:eastAsia="zh-CN"/>
        </w:rPr>
        <w:t>分两批次下达24个“两庭建设”项目，</w:t>
      </w:r>
      <w:r>
        <w:rPr>
          <w:rFonts w:hint="eastAsia" w:ascii="仿宋_GB2312" w:hAnsi="仿宋_GB2312" w:eastAsia="仿宋_GB2312" w:cs="仿宋_GB2312"/>
          <w:sz w:val="32"/>
          <w:szCs w:val="32"/>
          <w:highlight w:val="none"/>
        </w:rPr>
        <w:t>我们核对了各分项预算明细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预算资金分配依据充分，资金分配额度合理，与各法院实际情况相适应。</w:t>
      </w:r>
    </w:p>
    <w:p>
      <w:pPr>
        <w:pStyle w:val="2"/>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outlineLvl w:val="1"/>
        <w:rPr>
          <w:rFonts w:ascii="楷体" w:hAnsi="楷体" w:eastAsia="楷体" w:cs="楷体"/>
          <w:b/>
          <w:bCs/>
          <w:highlight w:val="none"/>
        </w:rPr>
      </w:pPr>
      <w:bookmarkStart w:id="147" w:name="_Toc31345"/>
      <w:bookmarkStart w:id="148" w:name="_Toc5353"/>
      <w:bookmarkStart w:id="149" w:name="_Toc22593"/>
      <w:r>
        <w:rPr>
          <w:rFonts w:hint="eastAsia" w:ascii="楷体" w:hAnsi="楷体" w:eastAsia="楷体" w:cs="楷体"/>
          <w:b/>
          <w:bCs/>
          <w:highlight w:val="none"/>
        </w:rPr>
        <w:t>（二）项目过程情况</w:t>
      </w:r>
      <w:bookmarkEnd w:id="147"/>
      <w:bookmarkEnd w:id="148"/>
      <w:bookmarkEnd w:id="149"/>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个三级指标。指标分值</w:t>
      </w:r>
      <w:r>
        <w:rPr>
          <w:rFonts w:hint="eastAsia" w:ascii="仿宋_GB2312" w:hAnsi="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分，评价得分</w:t>
      </w:r>
      <w:r>
        <w:rPr>
          <w:rFonts w:hint="eastAsia" w:ascii="仿宋_GB2312" w:hAnsi="仿宋_GB2312" w:cs="仿宋_GB2312"/>
          <w:sz w:val="32"/>
          <w:szCs w:val="32"/>
          <w:highlight w:val="none"/>
          <w:lang w:val="en-US" w:eastAsia="zh-CN"/>
        </w:rPr>
        <w:t>12.90</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92.14</w:t>
      </w:r>
      <w:r>
        <w:rPr>
          <w:rFonts w:hint="eastAsia" w:ascii="仿宋_GB2312" w:hAnsi="仿宋_GB2312" w:eastAsia="仿宋_GB2312" w:cs="仿宋_GB2312"/>
          <w:sz w:val="32"/>
          <w:szCs w:val="32"/>
          <w:highlight w:val="none"/>
        </w:rPr>
        <w:t>%。</w:t>
      </w:r>
    </w:p>
    <w:p>
      <w:pPr>
        <w:pStyle w:val="3"/>
        <w:rPr>
          <w:rFonts w:hint="eastAsia" w:ascii="仿宋_GB2312" w:hAnsi="仿宋_GB2312" w:eastAsia="仿宋_GB2312" w:cs="仿宋_GB2312"/>
          <w:sz w:val="32"/>
          <w:szCs w:val="32"/>
          <w:highlight w:val="none"/>
        </w:rPr>
      </w:pP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left="0" w:firstLine="560" w:firstLineChars="200"/>
        <w:jc w:val="center"/>
        <w:textAlignment w:val="auto"/>
        <w:rPr>
          <w:rFonts w:cs="仿宋" w:asciiTheme="minorEastAsia" w:hAnsiTheme="minorEastAsia"/>
          <w:highlight w:val="none"/>
        </w:rPr>
      </w:pPr>
      <w:r>
        <w:rPr>
          <w:rFonts w:hint="eastAsia" w:cs="黑体" w:asciiTheme="minorEastAsia" w:hAnsiTheme="minorEastAsia"/>
          <w:bCs/>
          <w:sz w:val="28"/>
          <w:szCs w:val="24"/>
          <w:highlight w:val="none"/>
        </w:rPr>
        <w:t>过程指标二级指标得分情况表</w:t>
      </w:r>
    </w:p>
    <w:tbl>
      <w:tblPr>
        <w:tblStyle w:val="16"/>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8.9</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89</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14</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12.9</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92.14</w:t>
            </w:r>
            <w:r>
              <w:rPr>
                <w:rFonts w:hint="eastAsia" w:ascii="宋体" w:hAnsi="宋体" w:eastAsia="宋体" w:cs="宋体"/>
                <w:b/>
                <w:bCs/>
                <w:color w:val="000000"/>
                <w:kern w:val="0"/>
                <w:sz w:val="22"/>
                <w:highlight w:val="none"/>
                <w:lang w:bidi="ar"/>
              </w:rPr>
              <w:t>%</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1.资金管理</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全省法院“两庭建设”项目</w:t>
      </w:r>
      <w:r>
        <w:rPr>
          <w:rFonts w:hint="eastAsia" w:ascii="仿宋_GB2312" w:hAnsi="仿宋_GB2312" w:eastAsia="仿宋_GB2312" w:cs="仿宋_GB2312"/>
          <w:sz w:val="32"/>
          <w:szCs w:val="32"/>
          <w:highlight w:val="none"/>
          <w:lang w:val="en-US" w:eastAsia="zh-CN"/>
        </w:rPr>
        <w:t>资金年初随部门预算一同下达至省法院，年中省法院分两批将</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val="en-US" w:eastAsia="zh-CN"/>
        </w:rPr>
        <w:t>及时、</w:t>
      </w:r>
      <w:r>
        <w:rPr>
          <w:rFonts w:hint="eastAsia" w:ascii="仿宋_GB2312" w:hAnsi="仿宋_GB2312" w:eastAsia="仿宋_GB2312" w:cs="仿宋_GB2312"/>
          <w:sz w:val="32"/>
          <w:szCs w:val="32"/>
          <w:highlight w:val="none"/>
        </w:rPr>
        <w:t>足额</w:t>
      </w:r>
      <w:r>
        <w:rPr>
          <w:rFonts w:hint="eastAsia" w:ascii="仿宋_GB2312" w:hAnsi="仿宋_GB2312" w:eastAsia="仿宋_GB2312" w:cs="仿宋_GB2312"/>
          <w:sz w:val="32"/>
          <w:szCs w:val="32"/>
          <w:highlight w:val="none"/>
          <w:lang w:val="en-US" w:eastAsia="zh-CN"/>
        </w:rPr>
        <w:t>拨付至各项目实施法院，资金到位及时</w:t>
      </w:r>
      <w:r>
        <w:rPr>
          <w:rFonts w:hint="eastAsia" w:ascii="仿宋_GB2312" w:hAnsi="仿宋_GB2312" w:eastAsia="仿宋_GB2312" w:cs="仿宋_GB2312"/>
          <w:sz w:val="32"/>
          <w:szCs w:val="32"/>
          <w:highlight w:val="none"/>
        </w:rPr>
        <w:t>，到位率</w:t>
      </w:r>
      <w:r>
        <w:rPr>
          <w:rFonts w:hint="eastAsia" w:ascii="仿宋_GB2312" w:hAnsi="仿宋_GB2312" w:eastAsia="仿宋_GB2312" w:cs="仿宋_GB2312"/>
          <w:sz w:val="32"/>
          <w:szCs w:val="32"/>
          <w:highlight w:val="none"/>
          <w:lang w:val="en-US" w:eastAsia="zh-CN"/>
        </w:rPr>
        <w:t>达到</w:t>
      </w:r>
      <w:r>
        <w:rPr>
          <w:rFonts w:hint="eastAsia" w:ascii="仿宋_GB2312" w:hAnsi="仿宋_GB2312" w:eastAsia="仿宋_GB2312" w:cs="仿宋_GB2312"/>
          <w:sz w:val="32"/>
          <w:szCs w:val="32"/>
          <w:highlight w:val="none"/>
        </w:rPr>
        <w:t>100%。</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3.18</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全省法院“两庭建设”资金项目</w:t>
      </w:r>
      <w:r>
        <w:rPr>
          <w:rFonts w:hint="eastAsia" w:ascii="仿宋_GB2312" w:hAnsi="仿宋_GB2312" w:eastAsia="仿宋_GB2312" w:cs="仿宋_GB2312"/>
          <w:sz w:val="32"/>
          <w:szCs w:val="32"/>
          <w:highlight w:val="none"/>
        </w:rPr>
        <w:t>全年预算数</w:t>
      </w:r>
      <w:r>
        <w:rPr>
          <w:rFonts w:hint="eastAsia" w:ascii="仿宋_GB2312" w:hAnsi="仿宋_GB2312" w:eastAsia="仿宋_GB2312" w:cs="仿宋_GB2312"/>
          <w:sz w:val="32"/>
          <w:szCs w:val="32"/>
          <w:highlight w:val="none"/>
          <w:lang w:val="en-US" w:eastAsia="zh-CN"/>
        </w:rPr>
        <w:t>为18,832.93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其中当年财政拨款16,000.00万元，上年结转资金2,832.93万元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截止评价基准日，项目</w:t>
      </w:r>
      <w:r>
        <w:rPr>
          <w:rFonts w:hint="eastAsia" w:ascii="仿宋_GB2312" w:hAnsi="仿宋_GB2312" w:eastAsia="仿宋_GB2312" w:cs="仿宋_GB2312"/>
          <w:sz w:val="32"/>
          <w:szCs w:val="32"/>
          <w:highlight w:val="none"/>
        </w:rPr>
        <w:t>全年执行数</w:t>
      </w:r>
      <w:r>
        <w:rPr>
          <w:rFonts w:hint="eastAsia" w:ascii="仿宋_GB2312" w:hAnsi="仿宋_GB2312" w:eastAsia="仿宋_GB2312" w:cs="仿宋_GB2312"/>
          <w:sz w:val="32"/>
          <w:szCs w:val="32"/>
          <w:highlight w:val="none"/>
          <w:lang w:val="en-US" w:eastAsia="zh-CN"/>
        </w:rPr>
        <w:t>14,968.04</w:t>
      </w:r>
      <w:r>
        <w:rPr>
          <w:rFonts w:hint="eastAsia" w:ascii="仿宋_GB2312" w:hAnsi="仿宋_GB2312" w:eastAsia="仿宋_GB2312" w:cs="仿宋_GB2312"/>
          <w:sz w:val="32"/>
          <w:szCs w:val="32"/>
          <w:highlight w:val="none"/>
        </w:rPr>
        <w:t>万元，预算执行率</w:t>
      </w:r>
      <w:r>
        <w:rPr>
          <w:rFonts w:hint="eastAsia" w:ascii="仿宋_GB2312" w:hAnsi="仿宋_GB2312" w:eastAsia="仿宋_GB2312" w:cs="仿宋_GB2312"/>
          <w:sz w:val="32"/>
          <w:szCs w:val="32"/>
          <w:highlight w:val="none"/>
          <w:lang w:val="en-US" w:eastAsia="zh-CN"/>
        </w:rPr>
        <w:t>79.48</w:t>
      </w:r>
      <w:r>
        <w:rPr>
          <w:rFonts w:hint="eastAsia" w:ascii="仿宋_GB2312" w:hAnsi="仿宋_GB2312" w:eastAsia="仿宋_GB2312" w:cs="仿宋_GB2312"/>
          <w:sz w:val="32"/>
          <w:szCs w:val="32"/>
          <w:highlight w:val="none"/>
        </w:rPr>
        <w:t>%。</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资金使用合规性指标分值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2.72</w:t>
      </w:r>
      <w:r>
        <w:rPr>
          <w:rFonts w:hint="eastAsia" w:ascii="仿宋_GB2312" w:hAnsi="仿宋_GB2312" w:eastAsia="仿宋_GB2312" w:cs="仿宋_GB2312"/>
          <w:sz w:val="32"/>
          <w:szCs w:val="32"/>
          <w:highlight w:val="none"/>
        </w:rPr>
        <w:t>分。评价认为专项资金的使用符合国家财经法规和财务管理制度要求，资金支出的审批程序完整，符合会计制度的规定，财务信息真实、完整，年度例行审计未发现违规支付及超标准开支的情况。但核查相关资料发现，</w:t>
      </w:r>
      <w:r>
        <w:rPr>
          <w:rFonts w:hint="eastAsia" w:ascii="仿宋_GB2312" w:hAnsi="仿宋_GB2312" w:eastAsia="仿宋_GB2312" w:cs="仿宋_GB2312"/>
          <w:sz w:val="32"/>
          <w:szCs w:val="32"/>
          <w:highlight w:val="none"/>
          <w:lang w:val="en-US" w:eastAsia="zh-CN"/>
        </w:rPr>
        <w:t>小陇山林区法院人民法庭建设项目“高压引入”部分、崇信县人民法院审判法庭建设项目未按合同约定付款进度执行付款。</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2.组织实施</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分。为加强和规范省级预算</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经费管理，提高项目工作质量和资金效益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关于进一步做好全省法院检察院系统项目建设管理工作的通知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甘发改投资〔2018〕1035号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关于做好全省法院系统项目建设管理工作的补充通知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甘高法〔2019〕19号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等制度从项目申报、审批、资金保障及监管等流程进行了制度性规范，</w:t>
      </w:r>
      <w:r>
        <w:rPr>
          <w:rFonts w:hint="eastAsia" w:ascii="仿宋_GB2312" w:hAnsi="仿宋_GB2312" w:eastAsia="仿宋_GB2312" w:cs="仿宋_GB2312"/>
          <w:sz w:val="32"/>
          <w:szCs w:val="32"/>
          <w:highlight w:val="none"/>
          <w:lang w:eastAsia="zh-CN"/>
        </w:rPr>
        <w:t>对于</w:t>
      </w:r>
      <w:r>
        <w:rPr>
          <w:rFonts w:hint="eastAsia" w:ascii="仿宋_GB2312" w:hAnsi="仿宋_GB2312" w:eastAsia="仿宋_GB2312" w:cs="仿宋_GB2312"/>
          <w:sz w:val="32"/>
          <w:szCs w:val="32"/>
          <w:highlight w:val="none"/>
          <w:lang w:val="en-US" w:eastAsia="zh-CN"/>
        </w:rPr>
        <w:t>各项目实施法院</w:t>
      </w:r>
      <w:r>
        <w:rPr>
          <w:rFonts w:hint="eastAsia" w:ascii="仿宋_GB2312" w:hAnsi="仿宋_GB2312" w:eastAsia="仿宋_GB2312" w:cs="仿宋_GB2312"/>
          <w:sz w:val="32"/>
          <w:szCs w:val="32"/>
          <w:highlight w:val="none"/>
          <w:lang w:eastAsia="zh-CN"/>
        </w:rPr>
        <w:t>工作的</w:t>
      </w:r>
      <w:r>
        <w:rPr>
          <w:rFonts w:hint="eastAsia" w:ascii="仿宋_GB2312" w:hAnsi="仿宋_GB2312" w:eastAsia="仿宋_GB2312" w:cs="仿宋_GB2312"/>
          <w:sz w:val="32"/>
          <w:szCs w:val="32"/>
          <w:highlight w:val="none"/>
          <w:lang w:val="en-US" w:eastAsia="zh-CN"/>
        </w:rPr>
        <w:t>开展</w:t>
      </w:r>
      <w:r>
        <w:rPr>
          <w:rFonts w:hint="eastAsia" w:ascii="仿宋_GB2312" w:hAnsi="仿宋_GB2312" w:eastAsia="仿宋_GB2312" w:cs="仿宋_GB2312"/>
          <w:sz w:val="32"/>
          <w:szCs w:val="32"/>
          <w:highlight w:val="none"/>
          <w:lang w:eastAsia="zh-CN"/>
        </w:rPr>
        <w:t>提供了强有力的政策制度支撑。</w:t>
      </w:r>
      <w:r>
        <w:rPr>
          <w:rFonts w:hint="eastAsia" w:ascii="仿宋_GB2312" w:hAnsi="仿宋_GB2312" w:eastAsia="仿宋_GB2312" w:cs="仿宋_GB2312"/>
          <w:sz w:val="32"/>
          <w:szCs w:val="32"/>
          <w:highlight w:val="none"/>
          <w:lang w:val="en-US" w:eastAsia="zh-CN"/>
        </w:rPr>
        <w:t>部分法院也制定了适用本单位的项目管理制度，如兰州市西固区人民法院制定了《兰州市西固区人民法院审判法庭建设项目资金支付管理办法》《兰州市西固区人民法院审判法庭建设项目管理办法》，小陇山林区法院制定了《小陇山林区法院建设项目流程手册》，崇信县人民法院制定了《崇信县人民法院项目建设管理制度》。</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省法院及项目实施法院</w:t>
      </w:r>
      <w:r>
        <w:rPr>
          <w:rFonts w:hint="eastAsia" w:ascii="仿宋_GB2312" w:hAnsi="仿宋_GB2312" w:eastAsia="仿宋_GB2312" w:cs="仿宋_GB2312"/>
          <w:sz w:val="32"/>
          <w:szCs w:val="32"/>
          <w:highlight w:val="none"/>
        </w:rPr>
        <w:t>制定了适用于本项目的管理</w:t>
      </w:r>
      <w:r>
        <w:rPr>
          <w:rFonts w:hint="eastAsia" w:ascii="仿宋_GB2312" w:hAnsi="仿宋_GB2312" w:eastAsia="仿宋_GB2312" w:cs="仿宋_GB2312"/>
          <w:sz w:val="32"/>
          <w:szCs w:val="32"/>
          <w:highlight w:val="none"/>
          <w:lang w:val="en-US" w:eastAsia="zh-CN"/>
        </w:rPr>
        <w:t>办法</w:t>
      </w:r>
      <w:r>
        <w:rPr>
          <w:rFonts w:hint="eastAsia" w:ascii="仿宋_GB2312" w:hAnsi="仿宋_GB2312" w:eastAsia="仿宋_GB2312" w:cs="仿宋_GB2312"/>
          <w:sz w:val="32"/>
          <w:szCs w:val="32"/>
          <w:highlight w:val="none"/>
        </w:rPr>
        <w:t>，且符合相关财务及业务制度的规定，制度健全。</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分。项目实施过程中，能够严格按照制度管理进行资金申请和下达、使用、监督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评价认为，制度执行总体有效。</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bCs/>
          <w:highlight w:val="none"/>
        </w:rPr>
      </w:pPr>
      <w:bookmarkStart w:id="150" w:name="_Toc3677"/>
      <w:bookmarkStart w:id="151" w:name="_Toc20113"/>
      <w:bookmarkStart w:id="152" w:name="_Toc3085"/>
      <w:r>
        <w:rPr>
          <w:rFonts w:hint="eastAsia" w:ascii="仿宋_GB2312" w:hAnsi="仿宋_GB2312" w:eastAsia="仿宋_GB2312" w:cs="仿宋_GB2312"/>
          <w:b/>
          <w:bCs/>
          <w:highlight w:val="none"/>
        </w:rPr>
        <w:t>（三）项目产出情况</w:t>
      </w:r>
      <w:bookmarkEnd w:id="150"/>
      <w:bookmarkEnd w:id="151"/>
      <w:bookmarkEnd w:id="152"/>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数量、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质量、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时效、</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成本四个二级指标，指标分值</w:t>
      </w:r>
      <w:r>
        <w:rPr>
          <w:rFonts w:hint="eastAsia" w:ascii="仿宋_GB2312" w:hAnsi="仿宋_GB2312" w:eastAsia="仿宋_GB2312" w:cs="仿宋_GB2312"/>
          <w:sz w:val="32"/>
          <w:szCs w:val="32"/>
          <w:highlight w:val="none"/>
          <w:lang w:val="en-US" w:eastAsia="zh-CN"/>
        </w:rPr>
        <w:t>40分</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29.48</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73.70</w:t>
      </w:r>
      <w:r>
        <w:rPr>
          <w:rFonts w:hint="eastAsia" w:ascii="仿宋_GB2312" w:hAnsi="仿宋_GB2312" w:eastAsia="仿宋_GB2312" w:cs="仿宋_GB2312"/>
          <w:sz w:val="32"/>
          <w:szCs w:val="32"/>
          <w:highlight w:val="none"/>
        </w:rPr>
        <w:t>%。</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6"/>
        <w:tblW w:w="903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012"/>
        <w:gridCol w:w="1916"/>
        <w:gridCol w:w="1701"/>
        <w:gridCol w:w="241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3012"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916"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1701"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2410"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数量指标</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11</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9.63</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87.55</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11</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2.52</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22.91</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11</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10.33</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93.91</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91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7</w:t>
            </w:r>
          </w:p>
        </w:tc>
        <w:tc>
          <w:tcPr>
            <w:tcW w:w="1701"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7</w:t>
            </w:r>
          </w:p>
        </w:tc>
        <w:tc>
          <w:tcPr>
            <w:tcW w:w="2410"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12"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916"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40</w:t>
            </w:r>
          </w:p>
        </w:tc>
        <w:tc>
          <w:tcPr>
            <w:tcW w:w="1701"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29.48</w:t>
            </w:r>
          </w:p>
        </w:tc>
        <w:tc>
          <w:tcPr>
            <w:tcW w:w="2410"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73.70</w:t>
            </w:r>
            <w:r>
              <w:rPr>
                <w:rFonts w:hint="eastAsia" w:ascii="宋体" w:hAnsi="宋体" w:eastAsia="宋体" w:cs="宋体"/>
                <w:b/>
                <w:bCs/>
                <w:color w:val="000000"/>
                <w:kern w:val="0"/>
                <w:sz w:val="22"/>
                <w:highlight w:val="none"/>
                <w:lang w:bidi="ar"/>
              </w:rPr>
              <w:t>%</w:t>
            </w:r>
          </w:p>
        </w:tc>
      </w:tr>
    </w:tbl>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0"/>
          <w:szCs w:val="30"/>
          <w:highlight w:val="none"/>
          <w:lang w:val="en-US" w:eastAsia="zh-CN"/>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全省法院“两庭”建设数量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指标分值5.5分，评价得分5.5分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该项资金支持了全省法院“两庭建设”项目24个，主要用于审判法庭功能用房装修、室外附属、地下管网等配套设施建设等，保障审判工作有效运行，保证“两庭”工作的有效运转。详细如下：</w:t>
      </w:r>
    </w:p>
    <w:tbl>
      <w:tblPr>
        <w:tblStyle w:val="16"/>
        <w:tblW w:w="499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958"/>
        <w:gridCol w:w="3345"/>
        <w:gridCol w:w="4216"/>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562" w:type="pc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000000"/>
                <w:kern w:val="0"/>
                <w:szCs w:val="21"/>
                <w:highlight w:val="none"/>
                <w:lang w:bidi="ar"/>
              </w:rPr>
            </w:pPr>
            <w:r>
              <w:rPr>
                <w:rFonts w:hint="eastAsia" w:ascii="宋体" w:hAnsi="宋体" w:cs="宋体"/>
                <w:b/>
                <w:bCs/>
                <w:color w:val="000000"/>
                <w:kern w:val="0"/>
                <w:szCs w:val="21"/>
                <w:highlight w:val="none"/>
                <w:lang w:bidi="ar"/>
              </w:rPr>
              <w:t>序号</w:t>
            </w:r>
          </w:p>
        </w:tc>
        <w:tc>
          <w:tcPr>
            <w:tcW w:w="1963" w:type="pc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Cs w:val="21"/>
                <w:highlight w:val="none"/>
                <w:lang w:eastAsia="zh-CN" w:bidi="ar"/>
              </w:rPr>
            </w:pPr>
            <w:r>
              <w:rPr>
                <w:rFonts w:hint="eastAsia" w:ascii="宋体" w:hAnsi="宋体" w:cs="宋体"/>
                <w:b/>
                <w:bCs/>
                <w:color w:val="000000"/>
                <w:kern w:val="0"/>
                <w:szCs w:val="21"/>
                <w:highlight w:val="none"/>
                <w:lang w:val="en-US" w:eastAsia="zh-CN" w:bidi="ar"/>
              </w:rPr>
              <w:t>实施单位</w:t>
            </w:r>
          </w:p>
        </w:tc>
        <w:tc>
          <w:tcPr>
            <w:tcW w:w="2474" w:type="pct"/>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b/>
                <w:bCs/>
                <w:color w:val="000000"/>
                <w:kern w:val="0"/>
                <w:szCs w:val="21"/>
                <w:highlight w:val="none"/>
                <w:lang w:val="en-US" w:eastAsia="zh-CN" w:bidi="ar"/>
              </w:rPr>
            </w:pPr>
            <w:r>
              <w:rPr>
                <w:rFonts w:hint="eastAsia" w:ascii="宋体" w:hAnsi="宋体" w:cs="宋体"/>
                <w:b/>
                <w:bCs/>
                <w:color w:val="000000"/>
                <w:kern w:val="0"/>
                <w:szCs w:val="21"/>
                <w:highlight w:val="none"/>
                <w:lang w:val="en-US" w:eastAsia="zh-CN" w:bidi="ar"/>
              </w:rPr>
              <w:t>资金性质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000000"/>
                <w:kern w:val="0"/>
                <w:sz w:val="21"/>
                <w:szCs w:val="21"/>
                <w:highlight w:val="none"/>
                <w:lang w:val="en-US" w:eastAsia="zh-CN" w:bidi="ar"/>
              </w:rPr>
            </w:pPr>
            <w:r>
              <w:rPr>
                <w:rFonts w:hint="eastAsia" w:ascii="宋体" w:hAnsi="宋体" w:cs="宋体"/>
                <w:color w:val="000000"/>
                <w:kern w:val="0"/>
                <w:sz w:val="21"/>
                <w:szCs w:val="21"/>
                <w:highlight w:val="none"/>
                <w:lang w:val="en-US" w:eastAsia="zh-CN" w:bidi="ar"/>
              </w:rPr>
              <w:t>1</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崇信县人民法院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default" w:ascii="宋体" w:hAnsi="宋体" w:eastAsia="宋体" w:cs="宋体"/>
                <w:color w:val="000000"/>
                <w:kern w:val="0"/>
                <w:szCs w:val="21"/>
                <w:highlight w:val="none"/>
                <w:lang w:val="en-US" w:eastAsia="zh-CN" w:bidi="ar"/>
              </w:rPr>
              <w:t>崇信县</w:t>
            </w:r>
            <w:r>
              <w:rPr>
                <w:rFonts w:hint="eastAsia" w:ascii="宋体" w:hAnsi="宋体" w:eastAsia="宋体" w:cs="宋体"/>
                <w:color w:val="000000"/>
                <w:kern w:val="0"/>
                <w:szCs w:val="21"/>
                <w:highlight w:val="none"/>
                <w:lang w:val="en-US" w:eastAsia="zh-CN" w:bidi="ar"/>
              </w:rPr>
              <w:t>人民</w:t>
            </w:r>
            <w:r>
              <w:rPr>
                <w:rFonts w:hint="default" w:ascii="宋体" w:hAnsi="宋体" w:eastAsia="宋体" w:cs="宋体"/>
                <w:color w:val="000000"/>
                <w:kern w:val="0"/>
                <w:szCs w:val="21"/>
                <w:highlight w:val="none"/>
                <w:lang w:val="en-US" w:eastAsia="zh-CN" w:bidi="ar"/>
              </w:rPr>
              <w:t>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cs="宋体"/>
                <w:color w:val="000000"/>
                <w:kern w:val="0"/>
                <w:szCs w:val="21"/>
                <w:highlight w:val="none"/>
                <w:lang w:val="en-US" w:eastAsia="zh-CN" w:bidi="ar"/>
              </w:rPr>
              <w:t>2</w:t>
            </w:r>
          </w:p>
        </w:tc>
        <w:tc>
          <w:tcPr>
            <w:tcW w:w="1963" w:type="pct"/>
            <w:vMerge w:val="restar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华亭市人民法院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华亭县人民法庭审判法庭建设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3</w:t>
            </w:r>
          </w:p>
        </w:tc>
        <w:tc>
          <w:tcPr>
            <w:tcW w:w="1963" w:type="pct"/>
            <w:vMerge w:val="continue"/>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default" w:ascii="宋体" w:hAnsi="宋体" w:eastAsia="宋体" w:cs="宋体"/>
                <w:color w:val="000000"/>
                <w:kern w:val="0"/>
                <w:szCs w:val="21"/>
                <w:highlight w:val="none"/>
                <w:lang w:val="en-US" w:eastAsia="zh-CN" w:bidi="ar"/>
              </w:rPr>
              <w:t>华亭县策底法庭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4</w:t>
            </w:r>
          </w:p>
        </w:tc>
        <w:tc>
          <w:tcPr>
            <w:tcW w:w="1963" w:type="pct"/>
            <w:vMerge w:val="restar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会宁县人民法院</w:t>
            </w:r>
          </w:p>
        </w:tc>
        <w:tc>
          <w:tcPr>
            <w:tcW w:w="2474" w:type="pct"/>
            <w:vMerge w:val="restar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会宁县法院审判法庭建设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5</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金昌市中级人民法院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金昌中院审判法庭建设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6</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景泰县人民法院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景泰县人民法院审判法庭扩建</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7</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甘肃省酒泉市中级人民法院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default" w:ascii="宋体" w:hAnsi="宋体" w:eastAsia="宋体" w:cs="宋体"/>
                <w:color w:val="000000"/>
                <w:kern w:val="0"/>
                <w:szCs w:val="21"/>
                <w:highlight w:val="none"/>
                <w:lang w:val="en-US" w:eastAsia="zh-CN" w:bidi="ar"/>
              </w:rPr>
              <w:t>酒泉中院审判法庭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8</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甘肃省平凉市中级人民法院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平凉中院审判法庭建设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9</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洮河林区法院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default" w:ascii="宋体" w:hAnsi="宋体" w:eastAsia="宋体" w:cs="宋体"/>
                <w:color w:val="000000"/>
                <w:kern w:val="0"/>
                <w:szCs w:val="21"/>
                <w:highlight w:val="none"/>
                <w:lang w:val="en-US" w:eastAsia="zh-CN" w:bidi="ar"/>
              </w:rPr>
              <w:t>洮河林区法院审判法庭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10</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武威市中级人民法院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default" w:ascii="宋体" w:hAnsi="宋体" w:eastAsia="宋体" w:cs="宋体"/>
                <w:color w:val="000000"/>
                <w:kern w:val="0"/>
                <w:szCs w:val="21"/>
                <w:highlight w:val="none"/>
                <w:lang w:val="en-US" w:eastAsia="zh-CN" w:bidi="ar"/>
              </w:rPr>
              <w:t>武威中院审判法庭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11</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兰州市西固区人民法院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兰州市西固区人民法院审判法庭建设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12</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夏河县人民法院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夏河县法院审判法庭建设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13</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玉门市人民法院</w:t>
            </w:r>
          </w:p>
        </w:tc>
        <w:tc>
          <w:tcPr>
            <w:tcW w:w="2474" w:type="pct"/>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玉门市法院审判法庭建设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14</w:t>
            </w:r>
          </w:p>
        </w:tc>
        <w:tc>
          <w:tcPr>
            <w:tcW w:w="1963" w:type="pct"/>
            <w:vMerge w:val="restar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张家川回族自治县人民法院</w:t>
            </w:r>
          </w:p>
        </w:tc>
        <w:tc>
          <w:tcPr>
            <w:tcW w:w="2474" w:type="pct"/>
            <w:vMerge w:val="restar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张家川县法院审判法庭建设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15</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子午岭林区法院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子午岭林区法院审判法庭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16</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金川区人民法院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金川区法院审判法庭建设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17</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秦州区人民法院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秦州区法院审判法庭建设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18</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通渭县人民法院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通渭县李店法庭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19</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宁县人民法院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宁县法院审判法庭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20</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康乐县人民法院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康乐县法院审判法庭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21</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合作市人民法院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合作市法院审判法庭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22</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临潭县人民法院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临潭县法院审判法庭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23</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val="en-US" w:eastAsia="zh-CN" w:bidi="ar"/>
              </w:rPr>
              <w:t>白龙江林区法院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Cs w:val="21"/>
                <w:highlight w:val="none"/>
                <w:lang w:val="en-US" w:eastAsia="zh-CN" w:bidi="ar"/>
              </w:rPr>
              <w:t>白龙江林区法院审判法庭</w:t>
            </w:r>
            <w:r>
              <w:rPr>
                <w:rFonts w:hint="eastAsia" w:ascii="宋体" w:hAnsi="宋体" w:eastAsia="宋体" w:cs="宋体"/>
                <w:color w:val="000000"/>
                <w:kern w:val="0"/>
                <w:szCs w:val="21"/>
                <w:highlight w:val="none"/>
                <w:lang w:val="en-US" w:eastAsia="zh-CN" w:bidi="ar"/>
              </w:rPr>
              <w:t>建设</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562" w:type="pct"/>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000000"/>
                <w:kern w:val="0"/>
                <w:szCs w:val="21"/>
                <w:highlight w:val="none"/>
                <w:lang w:val="en-US" w:eastAsia="zh-CN" w:bidi="ar"/>
              </w:rPr>
            </w:pPr>
            <w:r>
              <w:rPr>
                <w:rFonts w:hint="eastAsia" w:ascii="宋体" w:hAnsi="宋体" w:eastAsia="宋体" w:cs="宋体"/>
                <w:color w:val="000000"/>
                <w:kern w:val="0"/>
                <w:szCs w:val="21"/>
                <w:highlight w:val="none"/>
                <w:lang w:val="en-US" w:eastAsia="zh-CN" w:bidi="ar"/>
              </w:rPr>
              <w:t>24</w:t>
            </w:r>
          </w:p>
        </w:tc>
        <w:tc>
          <w:tcPr>
            <w:tcW w:w="1963" w:type="pc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小陇山林区法院</w:t>
            </w:r>
          </w:p>
        </w:tc>
        <w:tc>
          <w:tcPr>
            <w:tcW w:w="2474" w:type="pct"/>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小陇山林区法院人民法庭建设</w:t>
            </w:r>
          </w:p>
        </w:tc>
      </w:tr>
    </w:tbl>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0"/>
          <w:szCs w:val="30"/>
          <w:highlight w:val="none"/>
          <w:lang w:val="en-US" w:eastAsia="zh-CN"/>
        </w:rPr>
      </w:pPr>
      <w:r>
        <w:rPr>
          <w:rFonts w:hint="default" w:ascii="仿宋_GB2312" w:hAnsi="仿宋_GB2312" w:eastAsia="仿宋_GB2312" w:cs="仿宋_GB2312"/>
          <w:sz w:val="30"/>
          <w:szCs w:val="30"/>
          <w:highlight w:val="none"/>
          <w:lang w:val="en-US" w:eastAsia="zh-CN"/>
        </w:rPr>
        <w:t>省法院诉讼服务中心建设完成率</w:t>
      </w:r>
      <w:r>
        <w:rPr>
          <w:rFonts w:hint="eastAsia" w:ascii="仿宋_GB2312" w:hAnsi="仿宋_GB2312" w:eastAsia="仿宋_GB2312" w:cs="仿宋_GB2312"/>
          <w:sz w:val="30"/>
          <w:szCs w:val="30"/>
          <w:highlight w:val="none"/>
          <w:lang w:val="en-US" w:eastAsia="zh-CN"/>
        </w:rPr>
        <w:t>指标分值5.5分，评价得分4.13分，该项目可行性研究于2020年11月通过省发改委审批，2021年7月通过省住建厅初步设计批复，2021年10月开工建设，开工15个月以来，由于疫情封控等客观因素影响，实际施工仅7个月，目前项目进度相对滞后。</w:t>
      </w:r>
      <w:r>
        <w:rPr>
          <w:rFonts w:hint="eastAsia" w:ascii="仿宋_GB2312" w:eastAsia="仿宋_GB2312"/>
          <w:sz w:val="32"/>
          <w:szCs w:val="32"/>
          <w:highlight w:val="none"/>
        </w:rPr>
        <w:t>建安施工约完成工程总量的75%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外幕墙施工约完成工程总量的65%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通风与空调施工约完成工程总量的10%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配电室施工约完成工程总量的80%</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电梯</w:t>
      </w:r>
      <w:r>
        <w:rPr>
          <w:rFonts w:hint="eastAsia" w:ascii="仿宋_GB2312" w:eastAsia="仿宋_GB2312"/>
          <w:sz w:val="32"/>
          <w:szCs w:val="32"/>
          <w:highlight w:val="none"/>
        </w:rPr>
        <w:t>已完成安装工作，等待设备调试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内装截止2022年底还未施工。</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153" w:name="_Toc27458"/>
      <w:bookmarkStart w:id="154" w:name="_Toc7509"/>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全省法院“两庭”建设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完工验收</w:t>
      </w:r>
      <w:r>
        <w:rPr>
          <w:rFonts w:hint="eastAsia" w:ascii="仿宋_GB2312" w:hAnsi="仿宋_GB2312" w:eastAsia="仿宋_GB2312" w:cs="仿宋_GB2312"/>
          <w:color w:val="000000" w:themeColor="text1"/>
          <w:sz w:val="32"/>
          <w:szCs w:val="32"/>
          <w:highlight w:val="none"/>
          <w14:textFill>
            <w14:solidFill>
              <w14:schemeClr w14:val="tx1"/>
            </w14:solidFill>
          </w14:textFill>
        </w:rPr>
        <w:t>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指标分值5.5分，评价得分2.52分。本年度共批复了24个“两庭”建设项目，其中11个项目已完工并通过验收，3个项目已完工未验收，9个项目尚未完工，1个项目年底未开工，</w:t>
      </w: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全省法院“两庭”建设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项目完工</w:t>
      </w:r>
      <w:r>
        <w:rPr>
          <w:rFonts w:hint="eastAsia" w:ascii="仿宋_GB2312" w:hAnsi="仿宋_GB2312" w:eastAsia="仿宋_GB2312" w:cs="仿宋_GB2312"/>
          <w:color w:val="000000" w:themeColor="text1"/>
          <w:sz w:val="32"/>
          <w:szCs w:val="32"/>
          <w:highlight w:val="none"/>
          <w14:textFill>
            <w14:solidFill>
              <w14:schemeClr w14:val="tx1"/>
            </w14:solidFill>
          </w14:textFill>
        </w:rPr>
        <w:t>验收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率为45.83%。</w:t>
      </w:r>
    </w:p>
    <w:p>
      <w:pPr>
        <w:pStyle w:val="2"/>
        <w:rPr>
          <w:rFonts w:hint="default"/>
          <w:sz w:val="20"/>
          <w:szCs w:val="20"/>
          <w:lang w:val="en-US" w:eastAsia="zh-CN"/>
        </w:rPr>
      </w:pPr>
    </w:p>
    <w:tbl>
      <w:tblPr>
        <w:tblStyle w:val="16"/>
        <w:tblW w:w="8492"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4"/>
        <w:gridCol w:w="2760"/>
        <w:gridCol w:w="3600"/>
        <w:gridCol w:w="1408"/>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724"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序号</w:t>
            </w:r>
          </w:p>
        </w:tc>
        <w:tc>
          <w:tcPr>
            <w:tcW w:w="2760"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实施单位</w:t>
            </w:r>
          </w:p>
        </w:tc>
        <w:tc>
          <w:tcPr>
            <w:tcW w:w="3600"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eastAsiaTheme="minorEastAsia"/>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资金性质</w:t>
            </w:r>
          </w:p>
        </w:tc>
        <w:tc>
          <w:tcPr>
            <w:tcW w:w="1408" w:type="dxa"/>
            <w:shd w:val="clear" w:color="auto" w:fill="B8CCE4"/>
            <w:noWrap w:val="0"/>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实施进度</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1</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崇信县人民法院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崇信县法院审判法庭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cs="宋体"/>
                <w:color w:val="auto"/>
                <w:kern w:val="0"/>
                <w:szCs w:val="21"/>
                <w:highlight w:val="none"/>
                <w:lang w:val="en-US" w:eastAsia="zh-CN" w:bidi="ar"/>
              </w:rPr>
              <w:t>2</w:t>
            </w:r>
          </w:p>
        </w:tc>
        <w:tc>
          <w:tcPr>
            <w:tcW w:w="2760" w:type="dxa"/>
            <w:vMerge w:val="restart"/>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华亭市人民法院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华亭县人民法院审判法庭建设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3</w:t>
            </w:r>
          </w:p>
        </w:tc>
        <w:tc>
          <w:tcPr>
            <w:tcW w:w="2760" w:type="dxa"/>
            <w:vMerge w:val="continue"/>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华亭县策底法庭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4</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会宁县人民法院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会宁县法院审判法庭建设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5</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金昌市中级人民法院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金昌中院审判法庭建设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6</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景泰县人民法院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景泰县人民法院审判法庭扩建</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7</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酒泉市中级人民法院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酒泉中院审判法庭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8</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平凉市中级人民法院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平凉中院审判法庭建设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9</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洮河林区法院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洮河林区法院审判法庭建设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10</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武威市中级人民法院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武威中院审判法庭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11</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西固区人民法院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兰州市西固区人民法院审判法庭建设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12</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夏河县人民法院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夏河县人民法院审判法庭建设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13</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玉门市人民法院</w:t>
            </w:r>
          </w:p>
        </w:tc>
        <w:tc>
          <w:tcPr>
            <w:tcW w:w="3600"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玉门市人民法院审判法院建设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完工待验</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14</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张家川回族自治县人民法院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张家川县法院审判法庭建设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15</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子午岭林区法院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子午岭林区法院审判法庭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16</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金川区人民法院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金川区法院审判法庭建设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17</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秦州区人民法院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秦州区法院审判法庭建设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18</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通渭县人民法院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通渭县李店法庭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19</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宁县人民法院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宁县法院审判法庭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20</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康乐县人民法院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康乐县法院审判法庭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21</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合作市人民法院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合作市法院审判法庭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通过验收</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22</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临潭县人民法院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临潭县法院审判法庭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23</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白龙江林区法院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白龙江林区法院审判法庭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未开工</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724" w:type="dxa"/>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24</w:t>
            </w:r>
          </w:p>
        </w:tc>
        <w:tc>
          <w:tcPr>
            <w:tcW w:w="2760" w:type="dxa"/>
            <w:noWrap w:val="0"/>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val="en-US" w:eastAsia="zh-CN" w:bidi="ar"/>
              </w:rPr>
              <w:t>小陇山林区法院</w:t>
            </w:r>
          </w:p>
        </w:tc>
        <w:tc>
          <w:tcPr>
            <w:tcW w:w="3600" w:type="dxa"/>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color w:val="auto"/>
                <w:kern w:val="0"/>
                <w:sz w:val="21"/>
                <w:szCs w:val="21"/>
                <w:highlight w:val="none"/>
                <w:lang w:val="en-US" w:eastAsia="zh-CN" w:bidi="ar"/>
              </w:rPr>
            </w:pPr>
            <w:r>
              <w:rPr>
                <w:rFonts w:hint="default" w:ascii="宋体" w:hAnsi="宋体" w:eastAsia="宋体" w:cs="宋体"/>
                <w:color w:val="auto"/>
                <w:kern w:val="0"/>
                <w:szCs w:val="21"/>
                <w:highlight w:val="none"/>
                <w:lang w:val="en-US" w:eastAsia="zh-CN" w:bidi="ar"/>
              </w:rPr>
              <w:t>小陇山林区法院审判法庭</w:t>
            </w:r>
            <w:r>
              <w:rPr>
                <w:rFonts w:hint="eastAsia" w:ascii="宋体" w:hAnsi="宋体" w:eastAsia="宋体" w:cs="宋体"/>
                <w:color w:val="auto"/>
                <w:kern w:val="0"/>
                <w:szCs w:val="21"/>
                <w:highlight w:val="none"/>
                <w:lang w:val="en-US" w:eastAsia="zh-CN" w:bidi="ar"/>
              </w:rPr>
              <w:t>建设</w:t>
            </w:r>
          </w:p>
        </w:tc>
        <w:tc>
          <w:tcPr>
            <w:tcW w:w="1408" w:type="dxa"/>
            <w:noWrap/>
            <w:vAlign w:val="center"/>
          </w:tcPr>
          <w:p>
            <w:pPr>
              <w:keepNext w:val="0"/>
              <w:keepLines w:val="0"/>
              <w:pageBreakBefore w:val="0"/>
              <w:widowControl w:val="0"/>
              <w:suppressLineNumbers w:val="0"/>
              <w:kinsoku/>
              <w:wordWrap/>
              <w:overflowPunct w:val="0"/>
              <w:topLinePunct w:val="0"/>
              <w:autoSpaceDE/>
              <w:autoSpaceDN/>
              <w:bidi w:val="0"/>
              <w:adjustRightInd/>
              <w:jc w:val="left"/>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未完工</w:t>
            </w:r>
          </w:p>
        </w:tc>
      </w:tr>
    </w:tbl>
    <w:p>
      <w:pPr>
        <w:pStyle w:val="11"/>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省法院诉讼服务中心年度计划建设验收合格率指标分值5.5分，评价得分0分。由于疫情封控等客观因素影响，实际施工仅7个月，目前项目进度相对滞后，据项目负责人介绍</w:t>
      </w:r>
      <w:r>
        <w:rPr>
          <w:rFonts w:hint="eastAsia" w:ascii="仿宋_GB2312" w:hAnsi="仿宋_GB2312" w:eastAsia="仿宋_GB2312" w:cs="仿宋_GB2312"/>
          <w:sz w:val="32"/>
          <w:szCs w:val="32"/>
          <w:highlight w:val="none"/>
        </w:rPr>
        <w:t>预计2023年10月</w:t>
      </w:r>
      <w:r>
        <w:rPr>
          <w:rFonts w:hint="eastAsia" w:ascii="Times New Roman" w:hAnsi="Times New Roman" w:eastAsia="仿宋_GB2312"/>
          <w:sz w:val="32"/>
          <w:szCs w:val="32"/>
          <w:highlight w:val="none"/>
        </w:rPr>
        <w:t>前能完成全部建设任务</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并及时组织验收。</w:t>
      </w:r>
    </w:p>
    <w:bookmarkEnd w:id="153"/>
    <w:bookmarkEnd w:id="154"/>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年度计划“两庭建设”及时性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5.5分，评价得分5.33分。为保障全省法院审判大楼基础设施建设，确保两庭审判工作的正常运转，保证基层人民法庭审判工作人员的正常工作，省法院及时提出资金安排建议并报省财政厅，省财政厅及时向各项目实施法院下拨了资金，各项目实施法院及时组织实施“两庭建设”项目。截止2022年底，白龙江林区法院项目受疫情影响未启动，其他法院均已开工建设。</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省法院诉讼服务中心建设及时性指标分值5.5分，评价得分5分。根据最高人民法院《关于建设一站式多元解纷机制一站式诉讼服务中心的意见》精神，要求全国法院全面建成一站式诉讼服务中心，为人民群众提供丰富快捷的纠纷解决渠道和一站式高品质的诉讼服务。而省法院现有诉讼服务大厅既无法有效满足相应业务需要，也未达到“一站式建设”的技术标准和功能需求。省法院经过研究，向省政府汇报争取，与省发改委、财政厅、住建厅、自然资源厅等职能部门就各类审批手续持续沟通衔接，与兰州市政府、安宁区政府就用地划拨、征拆工作反复商谈后，于2021年10月开工建设，开工建设以来受疫情防控等因素的影响，</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实际施工仅7个月，目前项目进度相对滞后，本次评价考虑疫情等客观因素，扣分0.5分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1"/>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成本控制情况</w:t>
      </w:r>
      <w:r>
        <w:rPr>
          <w:rFonts w:hint="eastAsia"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rPr>
        <w:t>分值</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本年度受疫情等客观因素的影响，部分项目未完工验收，评价组通过核查已完工并验收的项目相关资料，项目成本均控制在预算范围内。评价认为，</w:t>
      </w:r>
      <w:r>
        <w:rPr>
          <w:rFonts w:hint="eastAsia" w:ascii="仿宋_GB2312" w:hAnsi="仿宋_GB2312" w:eastAsia="仿宋_GB2312" w:cs="仿宋_GB2312"/>
          <w:sz w:val="32"/>
          <w:szCs w:val="32"/>
          <w:highlight w:val="none"/>
        </w:rPr>
        <w:t>省法院</w:t>
      </w:r>
      <w:r>
        <w:rPr>
          <w:rFonts w:hint="eastAsia" w:ascii="仿宋_GB2312" w:hAnsi="仿宋_GB2312" w:eastAsia="仿宋_GB2312" w:cs="仿宋_GB2312"/>
          <w:sz w:val="32"/>
          <w:szCs w:val="32"/>
          <w:highlight w:val="none"/>
          <w:lang w:val="en-US" w:eastAsia="zh-CN"/>
        </w:rPr>
        <w:t>及各项目实施法院</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w:t>
      </w:r>
      <w:r>
        <w:rPr>
          <w:rFonts w:hint="eastAsia" w:ascii="仿宋_GB2312" w:hAnsi="仿宋_GB2312" w:eastAsia="仿宋_GB2312" w:cs="仿宋_GB2312"/>
          <w:sz w:val="32"/>
          <w:szCs w:val="32"/>
          <w:highlight w:val="none"/>
          <w:lang w:val="en-US" w:eastAsia="zh-CN"/>
        </w:rPr>
        <w:t>避免财政资金、国有资产浪费，确保把钱花在“刀刃上”</w:t>
      </w:r>
      <w:r>
        <w:rPr>
          <w:rFonts w:hint="eastAsia" w:ascii="仿宋_GB2312" w:hAnsi="仿宋_GB2312" w:eastAsia="仿宋_GB2312" w:cs="仿宋_GB2312"/>
          <w:sz w:val="32"/>
          <w:szCs w:val="3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55" w:name="_Toc19675"/>
      <w:bookmarkStart w:id="156" w:name="_Toc4582"/>
      <w:bookmarkStart w:id="157" w:name="_Toc5502"/>
      <w:r>
        <w:rPr>
          <w:rFonts w:hint="eastAsia" w:ascii="楷体" w:hAnsi="楷体" w:eastAsia="楷体" w:cs="楷体"/>
          <w:b/>
          <w:bCs/>
          <w:highlight w:val="none"/>
        </w:rPr>
        <w:t>（四）项目效益情况</w:t>
      </w:r>
      <w:bookmarkEnd w:id="155"/>
      <w:bookmarkEnd w:id="156"/>
      <w:bookmarkEnd w:id="157"/>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项目效益指标包括社会效益</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、可持续影响</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两个二级指标，</w:t>
      </w:r>
      <w:r>
        <w:rPr>
          <w:rFonts w:hint="eastAsia" w:ascii="仿宋_GB2312" w:hAnsi="仿宋_GB2312" w:cs="仿宋_GB2312"/>
          <w:highlight w:val="none"/>
          <w:lang w:val="en-US" w:eastAsia="zh-CN"/>
        </w:rPr>
        <w:t>下设三个三级指标，</w:t>
      </w:r>
      <w:r>
        <w:rPr>
          <w:rFonts w:hint="eastAsia" w:ascii="仿宋_GB2312" w:hAnsi="仿宋_GB2312" w:eastAsia="仿宋_GB2312" w:cs="仿宋_GB2312"/>
          <w:highlight w:val="none"/>
        </w:rPr>
        <w:t>指标分值20分，评价得分20分，得分率100%。</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560" w:firstLineChars="20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6"/>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7</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7</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13</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8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1.社会效益指标</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有效保障审判服务</w:t>
      </w:r>
      <w:r>
        <w:rPr>
          <w:rFonts w:hint="eastAsia" w:ascii="仿宋_GB2312" w:hAnsi="仿宋_GB2312" w:cs="仿宋_GB2312"/>
          <w:highlight w:val="none"/>
          <w:lang w:val="en-US" w:eastAsia="zh-CN"/>
        </w:rPr>
        <w:t>指标分值7分，评价得分7分。通过实施项目，对“两庭”基础设施老旧的法院给予补助，切实改善执法办案基础设施条件，为基层法庭干警营造良好的工作和生活环境，为进一步促进全省法院审判体系和审判能力现代化提供基础保障，保障了审判及执行业务的顺利开展，促进了司法效率的提升，确保全省法院发挥“四大职能”，维护了司法公正，产生了良好的社会效益。经分析法院工作人员满意度情况，全省法院“两庭”建设项目对审执工作满足程度达到82.74%。评价认为，项目的实施有效保障了法院的审判服务。</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8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2.可持续影响指标</w:t>
      </w:r>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textAlignment w:val="auto"/>
        <w:outlineLvl w:val="9"/>
        <w:rPr>
          <w:rFonts w:hint="default" w:ascii="仿宋_GB2312" w:hAnsi="仿宋_GB2312" w:eastAsia="仿宋_GB2312" w:cs="仿宋_GB2312"/>
          <w:kern w:val="2"/>
          <w:sz w:val="32"/>
          <w:szCs w:val="32"/>
          <w:highlight w:val="none"/>
          <w:lang w:val="en-US" w:eastAsia="zh-CN" w:bidi="ar-SA"/>
        </w:rPr>
      </w:pPr>
      <w:bookmarkStart w:id="158" w:name="_Toc31732"/>
      <w:bookmarkStart w:id="159" w:name="_Toc7892"/>
      <w:r>
        <w:rPr>
          <w:rFonts w:hint="eastAsia" w:ascii="仿宋_GB2312" w:hAnsi="仿宋_GB2312" w:eastAsia="仿宋_GB2312" w:cs="仿宋_GB2312"/>
          <w:kern w:val="2"/>
          <w:sz w:val="32"/>
          <w:szCs w:val="32"/>
          <w:highlight w:val="none"/>
          <w:lang w:val="en-US" w:eastAsia="zh-CN" w:bidi="ar-SA"/>
        </w:rPr>
        <w:t>长效管理机制健全性指标分值6.5分，评价得分6.5分。为加强和规范省级预算项目经费管理，提高项目工作质量和资金效益，《关于进一步做好全省法院检察院系统项目建设管理工作的通知》（甘发改投资〔2018〕1035号）、《关于做好全省法院系统项目建设管理工作的补充通知》（甘高法〔2019〕19号）等通知，从项目申报、审批、资金保障及监管等流程进行了制度性规范，对于各法院工作的实施提供了强有力的政策制度支撑。经分析法院工作人员满意度情况，“两庭”建设项目必要程度达到85.06%，评价认为，项目的实施具有长效性，且通过制度的完善，项目长效管理机制逐步健全。</w:t>
      </w:r>
    </w:p>
    <w:p>
      <w:pPr>
        <w:pStyle w:val="2"/>
        <w:keepNext w:val="0"/>
        <w:keepLines w:val="0"/>
        <w:pageBreakBefore w:val="0"/>
        <w:widowControl w:val="0"/>
        <w:kinsoku/>
        <w:wordWrap/>
        <w:overflowPunct w:val="0"/>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设备管护机制健全性指标分值</w:t>
      </w:r>
      <w:r>
        <w:rPr>
          <w:rFonts w:hint="eastAsia" w:ascii="仿宋_GB2312" w:hAnsi="仿宋_GB2312" w:cs="仿宋_GB2312"/>
          <w:kern w:val="2"/>
          <w:sz w:val="32"/>
          <w:szCs w:val="32"/>
          <w:highlight w:val="none"/>
          <w:lang w:val="en-US" w:eastAsia="zh-CN" w:bidi="ar-SA"/>
        </w:rPr>
        <w:t>6.5</w:t>
      </w:r>
      <w:r>
        <w:rPr>
          <w:rFonts w:hint="eastAsia" w:ascii="仿宋_GB2312" w:hAnsi="仿宋_GB2312" w:eastAsia="仿宋_GB2312" w:cs="仿宋_GB2312"/>
          <w:kern w:val="2"/>
          <w:sz w:val="32"/>
          <w:szCs w:val="32"/>
          <w:highlight w:val="none"/>
          <w:lang w:val="en-US" w:eastAsia="zh-CN" w:bidi="ar-SA"/>
        </w:rPr>
        <w:t>分，评价得分</w:t>
      </w:r>
      <w:r>
        <w:rPr>
          <w:rFonts w:hint="eastAsia" w:ascii="仿宋_GB2312" w:hAnsi="仿宋_GB2312" w:cs="仿宋_GB2312"/>
          <w:kern w:val="2"/>
          <w:sz w:val="32"/>
          <w:szCs w:val="32"/>
          <w:highlight w:val="none"/>
          <w:lang w:val="en-US" w:eastAsia="zh-CN" w:bidi="ar-SA"/>
        </w:rPr>
        <w:t>6.5</w:t>
      </w:r>
      <w:r>
        <w:rPr>
          <w:rFonts w:hint="eastAsia" w:ascii="仿宋_GB2312" w:hAnsi="仿宋_GB2312" w:eastAsia="仿宋_GB2312" w:cs="仿宋_GB2312"/>
          <w:kern w:val="2"/>
          <w:sz w:val="32"/>
          <w:szCs w:val="32"/>
          <w:highlight w:val="none"/>
          <w:lang w:val="en-US" w:eastAsia="zh-CN" w:bidi="ar-SA"/>
        </w:rPr>
        <w:t>分。《关于印发</w:t>
      </w:r>
      <w:r>
        <w:rPr>
          <w:rFonts w:hint="eastAsia" w:ascii="仿宋_GB2312" w:hAnsi="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省法院装备资产配备管理规程</w:t>
      </w:r>
      <w:r>
        <w:rPr>
          <w:rFonts w:hint="eastAsia" w:ascii="仿宋_GB2312" w:hAnsi="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的通知》（甘高法〔2017〕353号）对于设备资产的配备、管理维修维护等工作有了制度支撑，</w:t>
      </w:r>
      <w:r>
        <w:rPr>
          <w:rFonts w:hint="eastAsia" w:ascii="仿宋_GB2312" w:hAnsi="仿宋_GB2312" w:cs="仿宋_GB2312"/>
          <w:kern w:val="2"/>
          <w:sz w:val="32"/>
          <w:szCs w:val="32"/>
          <w:highlight w:val="none"/>
          <w:lang w:val="en-US" w:eastAsia="zh-CN" w:bidi="ar-SA"/>
        </w:rPr>
        <w:t>各项目实施</w:t>
      </w:r>
      <w:r>
        <w:rPr>
          <w:rFonts w:hint="eastAsia" w:ascii="仿宋_GB2312" w:hAnsi="仿宋_GB2312" w:eastAsia="仿宋_GB2312" w:cs="仿宋_GB2312"/>
          <w:kern w:val="2"/>
          <w:sz w:val="32"/>
          <w:szCs w:val="32"/>
          <w:highlight w:val="none"/>
          <w:lang w:val="en-US" w:eastAsia="zh-CN" w:bidi="ar-SA"/>
        </w:rPr>
        <w:t>法院在本项目中购置设备和维修项目后期的管养维护严格按照制度汇编中有关固定资产的管理规定执行，且在购置合同中约定了相关的售后服务，以此保障装备的正常使用。经分析法院工作人员满意度情况，</w:t>
      </w:r>
      <w:r>
        <w:rPr>
          <w:rFonts w:hint="eastAsia" w:ascii="仿宋_GB2312" w:hAnsi="仿宋_GB2312" w:cs="仿宋_GB2312"/>
          <w:kern w:val="2"/>
          <w:sz w:val="32"/>
          <w:szCs w:val="32"/>
          <w:highlight w:val="none"/>
          <w:lang w:val="en-US" w:eastAsia="zh-CN" w:bidi="ar-SA"/>
        </w:rPr>
        <w:t>工作人员对法院</w:t>
      </w:r>
      <w:r>
        <w:rPr>
          <w:rFonts w:hint="eastAsia" w:ascii="仿宋_GB2312" w:hAnsi="仿宋_GB2312" w:cs="仿宋_GB2312"/>
          <w:sz w:val="32"/>
          <w:szCs w:val="32"/>
          <w:highlight w:val="none"/>
          <w:lang w:val="en-US" w:eastAsia="zh-CN"/>
        </w:rPr>
        <w:t>基础设施、设备配套的满意程度</w:t>
      </w:r>
      <w:r>
        <w:rPr>
          <w:rFonts w:hint="eastAsia" w:ascii="仿宋_GB2312" w:hAnsi="仿宋_GB2312" w:eastAsia="仿宋_GB2312" w:cs="仿宋_GB2312"/>
          <w:kern w:val="2"/>
          <w:sz w:val="32"/>
          <w:szCs w:val="32"/>
          <w:highlight w:val="none"/>
          <w:lang w:val="en-US" w:eastAsia="zh-CN" w:bidi="ar-SA"/>
        </w:rPr>
        <w:t>达到85.06%，评价认为，项目的实施</w:t>
      </w:r>
      <w:r>
        <w:rPr>
          <w:rFonts w:hint="eastAsia" w:ascii="仿宋_GB2312" w:hAnsi="仿宋_GB2312" w:cs="仿宋_GB2312"/>
          <w:kern w:val="2"/>
          <w:sz w:val="32"/>
          <w:szCs w:val="32"/>
          <w:highlight w:val="none"/>
          <w:lang w:val="en-US" w:eastAsia="zh-CN" w:bidi="ar-SA"/>
        </w:rPr>
        <w:t>及制度的完善，法院设备管护机制逐步健全</w:t>
      </w:r>
      <w:r>
        <w:rPr>
          <w:rFonts w:hint="eastAsia" w:ascii="仿宋_GB2312" w:hAnsi="仿宋_GB2312" w:eastAsia="仿宋_GB2312" w:cs="仿宋_GB2312"/>
          <w:kern w:val="2"/>
          <w:sz w:val="32"/>
          <w:szCs w:val="32"/>
          <w:highlight w:val="none"/>
          <w:lang w:val="en-US" w:eastAsia="zh-CN" w:bidi="ar-SA"/>
        </w:rPr>
        <w:t>。</w:t>
      </w:r>
    </w:p>
    <w:bookmarkEnd w:id="158"/>
    <w:bookmarkEnd w:id="159"/>
    <w:p>
      <w:pPr>
        <w:pStyle w:val="2"/>
        <w:keepNext w:val="0"/>
        <w:keepLines w:val="0"/>
        <w:pageBreakBefore w:val="0"/>
        <w:widowControl w:val="0"/>
        <w:kinsoku/>
        <w:wordWrap/>
        <w:overflowPunct w:val="0"/>
        <w:topLinePunct w:val="0"/>
        <w:autoSpaceDE/>
        <w:autoSpaceDN/>
        <w:bidi w:val="0"/>
        <w:adjustRightInd/>
        <w:snapToGrid/>
        <w:spacing w:line="580" w:lineRule="exact"/>
        <w:ind w:firstLine="643" w:firstLineChars="200"/>
        <w:textAlignment w:val="auto"/>
        <w:outlineLvl w:val="1"/>
        <w:rPr>
          <w:rFonts w:ascii="楷体" w:hAnsi="楷体" w:eastAsia="楷体" w:cs="楷体"/>
          <w:b/>
          <w:bCs/>
          <w:highlight w:val="none"/>
        </w:rPr>
      </w:pPr>
      <w:bookmarkStart w:id="160" w:name="_Toc30096"/>
      <w:r>
        <w:rPr>
          <w:rFonts w:hint="eastAsia" w:ascii="楷体" w:hAnsi="楷体" w:eastAsia="楷体" w:cs="楷体"/>
          <w:b/>
          <w:bCs/>
          <w:highlight w:val="none"/>
        </w:rPr>
        <w:t>（五）满意度情况</w:t>
      </w:r>
      <w:bookmarkEnd w:id="160"/>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textAlignment w:val="auto"/>
        <w:outlineLvl w:val="9"/>
        <w:rPr>
          <w:rFonts w:hint="eastAsia" w:cs="黑体" w:asciiTheme="minorEastAsia" w:hAnsiTheme="minorEastAsia"/>
          <w:bCs/>
          <w:sz w:val="28"/>
          <w:szCs w:val="24"/>
          <w:highlight w:val="none"/>
        </w:rPr>
      </w:pPr>
      <w:bookmarkStart w:id="161" w:name="_Toc63435075"/>
      <w:bookmarkStart w:id="162" w:name="_Toc65235686"/>
      <w:bookmarkStart w:id="163" w:name="_Toc64731198"/>
      <w:bookmarkStart w:id="164" w:name="_Toc4285"/>
      <w:bookmarkStart w:id="165" w:name="_Toc2918"/>
      <w:bookmarkStart w:id="166" w:name="_Toc5674"/>
      <w:bookmarkStart w:id="167" w:name="_Toc23326"/>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法院工作人员</w:t>
      </w:r>
      <w:r>
        <w:rPr>
          <w:rFonts w:hint="eastAsia" w:ascii="仿宋_GB2312" w:hAnsi="仿宋_GB2312" w:eastAsia="仿宋_GB2312" w:cs="仿宋_GB2312"/>
          <w:color w:val="000000" w:themeColor="text1"/>
          <w:sz w:val="32"/>
          <w:szCs w:val="32"/>
          <w:highlight w:val="none"/>
          <w14:textFill>
            <w14:solidFill>
              <w14:schemeClr w14:val="tx1"/>
            </w14:solidFill>
          </w14:textFill>
        </w:rPr>
        <w:t>满意度，指标分值10分，评价得分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9.28</w:t>
      </w:r>
      <w:r>
        <w:rPr>
          <w:rFonts w:hint="eastAsia" w:ascii="仿宋_GB2312" w:hAnsi="仿宋_GB2312" w:eastAsia="仿宋_GB2312" w:cs="仿宋_GB2312"/>
          <w:color w:val="000000" w:themeColor="text1"/>
          <w:sz w:val="32"/>
          <w:szCs w:val="32"/>
          <w:highlight w:val="none"/>
          <w14:textFill>
            <w14:solidFill>
              <w14:schemeClr w14:val="tx1"/>
            </w14:solidFill>
          </w14:textFill>
        </w:rPr>
        <w:t>分，得分率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92.80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61"/>
      <w:bookmarkEnd w:id="162"/>
      <w:bookmarkEnd w:id="163"/>
      <w:bookmarkEnd w:id="164"/>
      <w:bookmarkEnd w:id="165"/>
      <w:bookmarkEnd w:id="166"/>
      <w:bookmarkEnd w:id="167"/>
    </w:p>
    <w:p>
      <w:pPr>
        <w:keepNext w:val="0"/>
        <w:keepLines w:val="0"/>
        <w:pageBreakBefore w:val="0"/>
        <w:widowControl w:val="0"/>
        <w:kinsoku/>
        <w:wordWrap/>
        <w:overflowPunct w:val="0"/>
        <w:topLinePunct w:val="0"/>
        <w:autoSpaceDE/>
        <w:autoSpaceDN/>
        <w:bidi w:val="0"/>
        <w:adjustRightInd/>
        <w:snapToGrid/>
        <w:spacing w:line="560" w:lineRule="exact"/>
        <w:ind w:firstLine="560" w:firstLineChars="200"/>
        <w:jc w:val="center"/>
        <w:textAlignment w:val="auto"/>
        <w:outlineLvl w:val="9"/>
        <w:rPr>
          <w:rFonts w:hint="eastAsia" w:cs="黑体" w:asciiTheme="minorEastAsia" w:hAnsiTheme="minorEastAsia"/>
          <w:bCs/>
          <w:sz w:val="28"/>
          <w:szCs w:val="24"/>
          <w:highlight w:val="none"/>
        </w:rPr>
      </w:pPr>
    </w:p>
    <w:p>
      <w:pPr>
        <w:keepNext w:val="0"/>
        <w:keepLines w:val="0"/>
        <w:pageBreakBefore w:val="0"/>
        <w:widowControl w:val="0"/>
        <w:kinsoku/>
        <w:wordWrap/>
        <w:overflowPunct w:val="0"/>
        <w:topLinePunct w:val="0"/>
        <w:autoSpaceDE/>
        <w:autoSpaceDN/>
        <w:bidi w:val="0"/>
        <w:adjustRightInd/>
        <w:snapToGrid/>
        <w:spacing w:line="560" w:lineRule="exact"/>
        <w:ind w:firstLine="560" w:firstLineChars="200"/>
        <w:jc w:val="center"/>
        <w:textAlignment w:val="auto"/>
        <w:outlineLvl w:val="9"/>
        <w:rPr>
          <w:rFonts w:hint="eastAsia" w:cs="黑体" w:asciiTheme="minorEastAsia" w:hAnsiTheme="minorEastAsia"/>
          <w:bCs/>
          <w:sz w:val="28"/>
          <w:szCs w:val="24"/>
          <w:highlight w:val="none"/>
        </w:rPr>
      </w:pPr>
      <w:r>
        <w:rPr>
          <w:rFonts w:hint="eastAsia" w:cs="黑体" w:asciiTheme="minorEastAsia" w:hAnsiTheme="minorEastAsia"/>
          <w:bCs/>
          <w:sz w:val="28"/>
          <w:szCs w:val="24"/>
          <w:highlight w:val="none"/>
        </w:rPr>
        <w:t>满意度指标二级指标得分情况表</w:t>
      </w:r>
    </w:p>
    <w:tbl>
      <w:tblPr>
        <w:tblStyle w:val="16"/>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9.28</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92.80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9.28</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val="en-US" w:eastAsia="zh-CN" w:bidi="ar"/>
              </w:rPr>
              <w:t>92.80</w:t>
            </w:r>
            <w:r>
              <w:rPr>
                <w:rFonts w:hint="eastAsia" w:ascii="宋体" w:hAnsi="宋体" w:eastAsia="宋体" w:cs="宋体"/>
                <w:b/>
                <w:color w:val="000000"/>
                <w:kern w:val="0"/>
                <w:sz w:val="22"/>
                <w:highlight w:val="none"/>
                <w:lang w:bidi="ar"/>
              </w:rPr>
              <w:t>%</w:t>
            </w:r>
          </w:p>
        </w:tc>
      </w:tr>
    </w:tbl>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评价组针对</w:t>
      </w:r>
      <w:r>
        <w:rPr>
          <w:rFonts w:hint="eastAsia" w:ascii="仿宋_GB2312" w:hAnsi="仿宋_GB2312" w:cs="仿宋_GB2312"/>
          <w:sz w:val="32"/>
          <w:szCs w:val="32"/>
          <w:highlight w:val="none"/>
          <w:lang w:val="en-US" w:eastAsia="zh-CN"/>
        </w:rPr>
        <w:t>全省法院“两庭建设”资金</w:t>
      </w:r>
      <w:r>
        <w:rPr>
          <w:rFonts w:hint="eastAsia" w:ascii="仿宋_GB2312" w:hAnsi="仿宋_GB2312" w:eastAsia="仿宋_GB2312" w:cs="仿宋_GB2312"/>
          <w:sz w:val="32"/>
          <w:szCs w:val="32"/>
          <w:highlight w:val="none"/>
          <w:lang w:val="en-US" w:eastAsia="zh-CN"/>
        </w:rPr>
        <w:t>项目服务对象“</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lang w:val="en-US" w:eastAsia="zh-CN"/>
        </w:rPr>
        <w:t>工作人员满意度”制作调查问卷，共发放调查问卷样本</w:t>
      </w:r>
      <w:r>
        <w:rPr>
          <w:rFonts w:hint="eastAsia" w:ascii="仿宋_GB2312" w:hAnsi="仿宋_GB2312" w:cs="仿宋_GB2312"/>
          <w:sz w:val="32"/>
          <w:szCs w:val="32"/>
          <w:highlight w:val="none"/>
          <w:lang w:val="en-US" w:eastAsia="zh-CN"/>
        </w:rPr>
        <w:t>323</w:t>
      </w:r>
      <w:r>
        <w:rPr>
          <w:rFonts w:hint="eastAsia" w:ascii="仿宋_GB2312" w:hAnsi="仿宋_GB2312" w:eastAsia="仿宋_GB2312" w:cs="仿宋_GB2312"/>
          <w:sz w:val="32"/>
          <w:szCs w:val="32"/>
          <w:highlight w:val="none"/>
          <w:lang w:val="en-US" w:eastAsia="zh-CN"/>
        </w:rPr>
        <w:t>份，回收调查问卷</w:t>
      </w:r>
      <w:r>
        <w:rPr>
          <w:rFonts w:hint="eastAsia" w:ascii="仿宋_GB2312" w:hAnsi="仿宋_GB2312" w:cs="仿宋_GB2312"/>
          <w:sz w:val="32"/>
          <w:szCs w:val="32"/>
          <w:highlight w:val="none"/>
          <w:lang w:val="en-US" w:eastAsia="zh-CN"/>
        </w:rPr>
        <w:t>323</w:t>
      </w:r>
      <w:r>
        <w:rPr>
          <w:rFonts w:hint="eastAsia" w:ascii="仿宋_GB2312" w:hAnsi="仿宋_GB2312" w:eastAsia="仿宋_GB2312" w:cs="仿宋_GB2312"/>
          <w:sz w:val="32"/>
          <w:szCs w:val="32"/>
          <w:highlight w:val="none"/>
          <w:lang w:val="en-US" w:eastAsia="zh-CN"/>
        </w:rPr>
        <w:t>份</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此调查问卷共设置了</w:t>
      </w:r>
      <w:r>
        <w:rPr>
          <w:rFonts w:hint="eastAsia" w:ascii="仿宋_GB2312" w:hAnsi="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US" w:eastAsia="zh-CN"/>
        </w:rPr>
        <w:t>个</w:t>
      </w:r>
      <w:r>
        <w:rPr>
          <w:rFonts w:hint="eastAsia" w:ascii="仿宋_GB2312" w:hAnsi="仿宋_GB2312" w:cs="仿宋_GB2312"/>
          <w:sz w:val="32"/>
          <w:szCs w:val="32"/>
          <w:highlight w:val="none"/>
          <w:lang w:val="en-US" w:eastAsia="zh-CN"/>
        </w:rPr>
        <w:t>满意度</w:t>
      </w:r>
      <w:r>
        <w:rPr>
          <w:rFonts w:hint="eastAsia" w:ascii="仿宋_GB2312" w:hAnsi="仿宋_GB2312" w:eastAsia="仿宋_GB2312" w:cs="仿宋_GB2312"/>
          <w:sz w:val="32"/>
          <w:szCs w:val="32"/>
          <w:highlight w:val="none"/>
          <w:lang w:val="en-US" w:eastAsia="zh-CN"/>
        </w:rPr>
        <w:t>问题，主要了解</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lang w:val="en-US" w:eastAsia="zh-CN"/>
        </w:rPr>
        <w:t>工作人员</w:t>
      </w:r>
      <w:r>
        <w:rPr>
          <w:rFonts w:hint="eastAsia" w:ascii="仿宋_GB2312" w:hAnsi="仿宋_GB2312" w:cs="仿宋_GB2312"/>
          <w:sz w:val="32"/>
          <w:szCs w:val="32"/>
          <w:highlight w:val="none"/>
          <w:lang w:val="en-US" w:eastAsia="zh-CN"/>
        </w:rPr>
        <w:t>对“两庭建设”项目实施效果</w:t>
      </w:r>
      <w:r>
        <w:rPr>
          <w:rFonts w:hint="eastAsia" w:ascii="仿宋_GB2312" w:hAnsi="仿宋_GB2312" w:eastAsia="仿宋_GB2312" w:cs="仿宋_GB2312"/>
          <w:sz w:val="32"/>
          <w:szCs w:val="32"/>
          <w:highlight w:val="none"/>
          <w:lang w:val="en-US" w:eastAsia="zh-CN"/>
        </w:rPr>
        <w:t>的满意度。满意度调查结果如下：</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您认为本院现有“两庭建设”数量是否充足</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楷体" w:hAnsi="楷体" w:eastAsia="楷体" w:cs="仿宋"/>
          <w:b/>
          <w:bCs/>
          <w:sz w:val="32"/>
          <w:szCs w:val="32"/>
          <w:highlight w:val="none"/>
        </w:rPr>
      </w:pP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认为非常充足的79</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认为比较充足</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127</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认为基本足够的98</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严重不足的19人。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认为本院现有“两庭建设”数量基本充足</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70.59</w:t>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60288" behindDoc="0" locked="0" layoutInCell="1" allowOverlap="1">
            <wp:simplePos x="0" y="0"/>
            <wp:positionH relativeFrom="column">
              <wp:posOffset>487045</wp:posOffset>
            </wp:positionH>
            <wp:positionV relativeFrom="paragraph">
              <wp:posOffset>104775</wp:posOffset>
            </wp:positionV>
            <wp:extent cx="4314825" cy="2464435"/>
            <wp:effectExtent l="4445" t="4445" r="11430" b="7620"/>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：您认为本</w:t>
      </w:r>
      <w:r>
        <w:rPr>
          <w:rFonts w:hint="eastAsia" w:ascii="仿宋_GB2312" w:hAnsi="仿宋_GB2312" w:cs="仿宋_GB2312"/>
          <w:sz w:val="32"/>
          <w:szCs w:val="32"/>
          <w:highlight w:val="none"/>
          <w:lang w:val="en-US" w:eastAsia="zh-CN"/>
        </w:rPr>
        <w:t>院新建“两庭”能否满足审执工作需要</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此问题没有无效问卷，认为</w:t>
      </w:r>
      <w:r>
        <w:rPr>
          <w:rFonts w:hint="eastAsia" w:ascii="仿宋_GB2312" w:hAnsi="仿宋_GB2312" w:cs="仿宋_GB2312"/>
          <w:sz w:val="32"/>
          <w:szCs w:val="32"/>
          <w:highlight w:val="none"/>
          <w:lang w:val="en-US" w:eastAsia="zh-CN"/>
        </w:rPr>
        <w:t>可以满足</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150</w:t>
      </w:r>
      <w:r>
        <w:rPr>
          <w:rFonts w:hint="eastAsia" w:ascii="仿宋_GB2312" w:hAnsi="仿宋_GB2312" w:eastAsia="仿宋_GB2312" w:cs="仿宋_GB2312"/>
          <w:sz w:val="32"/>
          <w:szCs w:val="32"/>
          <w:highlight w:val="none"/>
          <w:lang w:val="en-US" w:eastAsia="zh-CN"/>
        </w:rPr>
        <w:t>人，认为</w:t>
      </w:r>
      <w:r>
        <w:rPr>
          <w:rFonts w:hint="eastAsia" w:ascii="仿宋_GB2312" w:hAnsi="仿宋_GB2312" w:cs="仿宋_GB2312"/>
          <w:sz w:val="32"/>
          <w:szCs w:val="32"/>
          <w:highlight w:val="none"/>
          <w:lang w:val="en-US" w:eastAsia="zh-CN"/>
        </w:rPr>
        <w:t>基</w:t>
      </w:r>
      <w:r>
        <w:rPr>
          <w:rFonts w:hint="default" w:ascii="仿宋" w:hAnsi="仿宋" w:eastAsia="仿宋" w:cs="仿宋"/>
          <w:sz w:val="32"/>
          <w:szCs w:val="32"/>
          <w:highlight w:val="none"/>
          <w:lang w:val="en-US" w:eastAsia="zh-CN"/>
        </w:rPr>
        <w:drawing>
          <wp:anchor distT="0" distB="0" distL="114300" distR="114300" simplePos="0" relativeHeight="251661312" behindDoc="0" locked="0" layoutInCell="1" allowOverlap="1">
            <wp:simplePos x="0" y="0"/>
            <wp:positionH relativeFrom="column">
              <wp:posOffset>594360</wp:posOffset>
            </wp:positionH>
            <wp:positionV relativeFrom="page">
              <wp:posOffset>2625725</wp:posOffset>
            </wp:positionV>
            <wp:extent cx="4256405" cy="2409825"/>
            <wp:effectExtent l="4445" t="4445" r="6350" b="1143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_GB2312" w:hAnsi="仿宋_GB2312" w:cs="仿宋_GB2312"/>
          <w:sz w:val="32"/>
          <w:szCs w:val="32"/>
          <w:highlight w:val="none"/>
          <w:lang w:val="en-US" w:eastAsia="zh-CN"/>
        </w:rPr>
        <w:t>本满足</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134</w:t>
      </w:r>
      <w:r>
        <w:rPr>
          <w:rFonts w:hint="eastAsia" w:ascii="仿宋_GB2312" w:hAnsi="仿宋_GB2312" w:eastAsia="仿宋_GB2312" w:cs="仿宋_GB2312"/>
          <w:sz w:val="32"/>
          <w:szCs w:val="32"/>
          <w:highlight w:val="none"/>
          <w:lang w:val="en-US" w:eastAsia="zh-CN"/>
        </w:rPr>
        <w:t>人，认为</w:t>
      </w:r>
      <w:r>
        <w:rPr>
          <w:rFonts w:hint="eastAsia" w:ascii="仿宋_GB2312" w:hAnsi="仿宋_GB2312" w:cs="仿宋_GB2312"/>
          <w:sz w:val="32"/>
          <w:szCs w:val="32"/>
          <w:highlight w:val="none"/>
          <w:lang w:val="en-US" w:eastAsia="zh-CN"/>
        </w:rPr>
        <w:t>一般</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28</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认为不能满足的11人。</w:t>
      </w:r>
      <w:r>
        <w:rPr>
          <w:rFonts w:hint="eastAsia" w:ascii="仿宋_GB2312" w:hAnsi="仿宋_GB2312" w:eastAsia="仿宋_GB2312" w:cs="仿宋_GB2312"/>
          <w:sz w:val="32"/>
          <w:szCs w:val="32"/>
          <w:highlight w:val="none"/>
          <w:lang w:val="en-US" w:eastAsia="zh-CN"/>
        </w:rPr>
        <w:t>通过数据处理分析，工作人员认为本</w:t>
      </w:r>
      <w:r>
        <w:rPr>
          <w:rFonts w:hint="eastAsia" w:ascii="仿宋_GB2312" w:hAnsi="仿宋_GB2312" w:cs="仿宋_GB2312"/>
          <w:sz w:val="32"/>
          <w:szCs w:val="32"/>
          <w:highlight w:val="none"/>
          <w:lang w:val="en-US" w:eastAsia="zh-CN"/>
        </w:rPr>
        <w:t>院新建“两庭”基本可以满足审执工作需要</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82</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74</w:t>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：您</w:t>
      </w:r>
      <w:r>
        <w:rPr>
          <w:rFonts w:hint="eastAsia" w:ascii="仿宋_GB2312" w:hAnsi="仿宋_GB2312" w:cs="仿宋_GB2312"/>
          <w:sz w:val="32"/>
          <w:szCs w:val="32"/>
          <w:highlight w:val="none"/>
          <w:lang w:val="en-US" w:eastAsia="zh-CN"/>
        </w:rPr>
        <w:t>对本院“两庭”基础设施、设备配套情况是否满意</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outlineLvl w:val="9"/>
        <w:rPr>
          <w:rFonts w:hint="eastAsia" w:ascii="仿宋_GB2312" w:hAnsi="仿宋_GB2312" w:eastAsia="仿宋_GB2312" w:cs="仿宋_GB2312"/>
          <w:sz w:val="32"/>
          <w:szCs w:val="32"/>
          <w:highlight w:val="none"/>
          <w:lang w:val="en-US" w:eastAsia="zh-CN"/>
        </w:rPr>
      </w:pPr>
      <w:r>
        <w:rPr>
          <w:rFonts w:hint="default" w:ascii="仿宋" w:hAnsi="仿宋" w:eastAsia="仿宋" w:cs="仿宋"/>
          <w:sz w:val="32"/>
          <w:szCs w:val="32"/>
          <w:highlight w:val="none"/>
          <w:lang w:val="en-US" w:eastAsia="zh-CN"/>
        </w:rPr>
        <w:drawing>
          <wp:anchor distT="0" distB="0" distL="114300" distR="114300" simplePos="0" relativeHeight="251662336" behindDoc="0" locked="0" layoutInCell="1" allowOverlap="1">
            <wp:simplePos x="0" y="0"/>
            <wp:positionH relativeFrom="column">
              <wp:posOffset>648970</wp:posOffset>
            </wp:positionH>
            <wp:positionV relativeFrom="paragraph">
              <wp:posOffset>1459230</wp:posOffset>
            </wp:positionV>
            <wp:extent cx="4290695" cy="2353310"/>
            <wp:effectExtent l="4445" t="4445" r="17780" b="19685"/>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非常满意的107</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129</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基本满意的70</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不太满意的17人。</w:t>
      </w:r>
      <w:r>
        <w:rPr>
          <w:rFonts w:hint="eastAsia" w:ascii="仿宋_GB2312" w:hAnsi="仿宋_GB2312" w:eastAsia="仿宋_GB2312" w:cs="仿宋_GB2312"/>
          <w:sz w:val="32"/>
          <w:szCs w:val="32"/>
          <w:highlight w:val="none"/>
          <w:lang w:val="en-US" w:eastAsia="zh-CN"/>
        </w:rPr>
        <w:t>通过数据处理分析，工作人员</w:t>
      </w:r>
      <w:r>
        <w:rPr>
          <w:rFonts w:hint="eastAsia" w:ascii="仿宋_GB2312" w:hAnsi="仿宋_GB2312" w:cs="仿宋_GB2312"/>
          <w:sz w:val="32"/>
          <w:szCs w:val="32"/>
          <w:highlight w:val="none"/>
          <w:lang w:val="en-US" w:eastAsia="zh-CN"/>
        </w:rPr>
        <w:t>对本院“两庭”基础设施、设备配套情况基本满意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75.23</w:t>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：您认为</w:t>
      </w:r>
      <w:r>
        <w:rPr>
          <w:rFonts w:hint="eastAsia" w:ascii="仿宋_GB2312" w:hAnsi="仿宋_GB2312" w:cs="仿宋_GB2312"/>
          <w:sz w:val="32"/>
          <w:szCs w:val="32"/>
          <w:highlight w:val="none"/>
          <w:lang w:val="en-US" w:eastAsia="zh-CN"/>
        </w:rPr>
        <w:t>本院“两庭建设”项目有继续实施的必要吗</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此问题没有无效问卷，认为</w:t>
      </w:r>
      <w:r>
        <w:rPr>
          <w:rFonts w:hint="eastAsia" w:ascii="仿宋_GB2312" w:hAnsi="仿宋_GB2312" w:cs="仿宋_GB2312"/>
          <w:sz w:val="32"/>
          <w:szCs w:val="32"/>
          <w:highlight w:val="none"/>
          <w:lang w:val="en-US" w:eastAsia="zh-CN"/>
        </w:rPr>
        <w:t>非常必要</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166</w:t>
      </w:r>
      <w:r>
        <w:rPr>
          <w:rFonts w:hint="eastAsia" w:ascii="仿宋_GB2312" w:hAnsi="仿宋_GB2312" w:eastAsia="仿宋_GB2312" w:cs="仿宋_GB2312"/>
          <w:sz w:val="32"/>
          <w:szCs w:val="32"/>
          <w:highlight w:val="none"/>
          <w:lang w:val="en-US" w:eastAsia="zh-CN"/>
        </w:rPr>
        <w:t>人，认为</w:t>
      </w:r>
      <w:r>
        <w:rPr>
          <w:rFonts w:hint="eastAsia" w:ascii="仿宋_GB2312" w:hAnsi="仿宋_GB2312" w:cs="仿宋_GB2312"/>
          <w:sz w:val="32"/>
          <w:szCs w:val="32"/>
          <w:highlight w:val="none"/>
          <w:lang w:val="en-US" w:eastAsia="zh-CN"/>
        </w:rPr>
        <w:t>有必要</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129</w:t>
      </w:r>
      <w:r>
        <w:rPr>
          <w:rFonts w:hint="eastAsia" w:ascii="仿宋_GB2312" w:hAnsi="仿宋_GB2312" w:eastAsia="仿宋_GB2312" w:cs="仿宋_GB2312"/>
          <w:sz w:val="32"/>
          <w:szCs w:val="32"/>
          <w:highlight w:val="none"/>
          <w:lang w:val="en-US" w:eastAsia="zh-CN"/>
        </w:rPr>
        <w:t>人，认为</w:t>
      </w:r>
      <w:r>
        <w:rPr>
          <w:rFonts w:hint="eastAsia" w:ascii="仿宋_GB2312" w:hAnsi="仿宋_GB2312" w:cs="仿宋_GB2312"/>
          <w:sz w:val="32"/>
          <w:szCs w:val="32"/>
          <w:highlight w:val="none"/>
          <w:lang w:val="en-US" w:eastAsia="zh-CN"/>
        </w:rPr>
        <w:t>一般</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认为没必要的8人。</w:t>
      </w:r>
      <w:r>
        <w:rPr>
          <w:rFonts w:hint="eastAsia" w:ascii="仿宋_GB2312" w:hAnsi="仿宋_GB2312" w:eastAsia="仿宋_GB2312" w:cs="仿宋_GB2312"/>
          <w:sz w:val="32"/>
          <w:szCs w:val="32"/>
          <w:highlight w:val="none"/>
          <w:lang w:val="en-US" w:eastAsia="zh-CN"/>
        </w:rPr>
        <w:t>通过数据处理分析，工作人员认为</w:t>
      </w:r>
      <w:r>
        <w:rPr>
          <w:rFonts w:hint="eastAsia" w:ascii="仿宋_GB2312" w:hAnsi="仿宋_GB2312" w:cs="仿宋_GB2312"/>
          <w:sz w:val="32"/>
          <w:szCs w:val="32"/>
          <w:highlight w:val="none"/>
          <w:lang w:val="en-US" w:eastAsia="zh-CN"/>
        </w:rPr>
        <w:t>本院“两庭建设”项目有继续实施的必要</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85.06</w:t>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drawing>
          <wp:anchor distT="0" distB="0" distL="114300" distR="114300" simplePos="0" relativeHeight="251663360" behindDoc="0" locked="0" layoutInCell="1" allowOverlap="1">
            <wp:simplePos x="0" y="0"/>
            <wp:positionH relativeFrom="column">
              <wp:posOffset>485775</wp:posOffset>
            </wp:positionH>
            <wp:positionV relativeFrom="paragraph">
              <wp:posOffset>41910</wp:posOffset>
            </wp:positionV>
            <wp:extent cx="4369435" cy="2390140"/>
            <wp:effectExtent l="5080" t="4445" r="14605" b="1333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_GB2312" w:hAnsi="仿宋_GB2312" w:eastAsia="仿宋_GB2312" w:cs="仿宋_GB2312"/>
          <w:sz w:val="32"/>
          <w:szCs w:val="32"/>
          <w:highlight w:val="none"/>
          <w:lang w:val="en-US" w:eastAsia="zh-CN"/>
        </w:rPr>
        <w:t>问题</w:t>
      </w:r>
      <w:r>
        <w:rPr>
          <w:rFonts w:hint="eastAsia" w:ascii="仿宋_GB2312" w:hAnsi="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US" w:eastAsia="zh-CN"/>
        </w:rPr>
        <w:t>：您</w:t>
      </w:r>
      <w:r>
        <w:rPr>
          <w:rFonts w:hint="eastAsia" w:ascii="仿宋_GB2312" w:hAnsi="仿宋_GB2312" w:cs="仿宋_GB2312"/>
          <w:sz w:val="32"/>
          <w:szCs w:val="32"/>
          <w:highlight w:val="none"/>
          <w:lang w:val="en-US" w:eastAsia="zh-CN"/>
        </w:rPr>
        <w:t>对本年度法院“两庭建设”工作整体是否满意</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bookmarkStart w:id="235" w:name="_GoBack"/>
      <w:r>
        <w:rPr>
          <w:rFonts w:hint="eastAsia" w:ascii="仿宋_GB2312" w:hAnsi="仿宋_GB2312" w:eastAsia="仿宋_GB2312" w:cs="仿宋_GB2312"/>
          <w:sz w:val="32"/>
          <w:szCs w:val="32"/>
          <w:highlight w:val="none"/>
          <w:lang w:val="en-US" w:eastAsia="zh-CN"/>
        </w:rPr>
        <w:drawing>
          <wp:anchor distT="0" distB="0" distL="114300" distR="114300" simplePos="0" relativeHeight="251665408" behindDoc="0" locked="0" layoutInCell="1" allowOverlap="1">
            <wp:simplePos x="0" y="0"/>
            <wp:positionH relativeFrom="column">
              <wp:posOffset>522605</wp:posOffset>
            </wp:positionH>
            <wp:positionV relativeFrom="paragraph">
              <wp:posOffset>1393825</wp:posOffset>
            </wp:positionV>
            <wp:extent cx="4316095" cy="1957070"/>
            <wp:effectExtent l="4445" t="4445" r="7620" b="19685"/>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bookmarkEnd w:id="235"/>
      <w:r>
        <w:rPr>
          <w:rFonts w:hint="eastAsia" w:ascii="仿宋_GB2312" w:hAnsi="仿宋_GB2312" w:eastAsia="仿宋_GB2312" w:cs="仿宋_GB2312"/>
          <w:sz w:val="32"/>
          <w:szCs w:val="32"/>
          <w:highlight w:val="none"/>
          <w:lang w:val="en-US" w:eastAsia="zh-CN"/>
        </w:rPr>
        <w:t>此问题没有无效问卷，</w:t>
      </w:r>
      <w:r>
        <w:rPr>
          <w:rFonts w:hint="eastAsia" w:ascii="仿宋_GB2312" w:hAnsi="仿宋_GB2312" w:cs="仿宋_GB2312"/>
          <w:sz w:val="32"/>
          <w:szCs w:val="32"/>
          <w:highlight w:val="none"/>
          <w:lang w:val="en-US" w:eastAsia="zh-CN"/>
        </w:rPr>
        <w:t>非常满意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138</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比较满意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127</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基本满意</w:t>
      </w:r>
      <w:r>
        <w:rPr>
          <w:rFonts w:hint="eastAsia" w:ascii="仿宋_GB2312" w:hAnsi="仿宋_GB2312" w:eastAsia="仿宋_GB2312" w:cs="仿宋_GB2312"/>
          <w:sz w:val="32"/>
          <w:szCs w:val="32"/>
          <w:highlight w:val="none"/>
          <w:lang w:val="en-US" w:eastAsia="zh-CN"/>
        </w:rPr>
        <w:t>的</w:t>
      </w:r>
      <w:r>
        <w:rPr>
          <w:rFonts w:hint="eastAsia" w:ascii="仿宋_GB2312" w:hAnsi="仿宋_GB2312" w:cs="仿宋_GB2312"/>
          <w:sz w:val="32"/>
          <w:szCs w:val="32"/>
          <w:highlight w:val="none"/>
          <w:lang w:val="en-US" w:eastAsia="zh-CN"/>
        </w:rPr>
        <w:t>53</w:t>
      </w:r>
      <w:r>
        <w:rPr>
          <w:rFonts w:hint="eastAsia" w:ascii="仿宋_GB2312" w:hAnsi="仿宋_GB2312" w:eastAsia="仿宋_GB2312" w:cs="仿宋_GB2312"/>
          <w:sz w:val="32"/>
          <w:szCs w:val="32"/>
          <w:highlight w:val="none"/>
          <w:lang w:val="en-US" w:eastAsia="zh-CN"/>
        </w:rPr>
        <w:t>人，</w:t>
      </w:r>
      <w:r>
        <w:rPr>
          <w:rFonts w:hint="eastAsia" w:ascii="仿宋_GB2312" w:hAnsi="仿宋_GB2312" w:cs="仿宋_GB2312"/>
          <w:sz w:val="32"/>
          <w:szCs w:val="32"/>
          <w:highlight w:val="none"/>
          <w:lang w:val="en-US" w:eastAsia="zh-CN"/>
        </w:rPr>
        <w:t>不太满意的5人。</w:t>
      </w:r>
      <w:r>
        <w:rPr>
          <w:rFonts w:hint="eastAsia" w:ascii="仿宋_GB2312" w:hAnsi="仿宋_GB2312" w:eastAsia="仿宋_GB2312" w:cs="仿宋_GB2312"/>
          <w:sz w:val="32"/>
          <w:szCs w:val="32"/>
          <w:highlight w:val="none"/>
          <w:lang w:val="en-US" w:eastAsia="zh-CN"/>
        </w:rPr>
        <w:t>通过数据处理分析，</w:t>
      </w:r>
      <w:r>
        <w:rPr>
          <w:rFonts w:hint="eastAsia" w:ascii="仿宋_GB2312" w:hAnsi="仿宋_GB2312" w:cs="仿宋_GB2312"/>
          <w:sz w:val="32"/>
          <w:szCs w:val="32"/>
          <w:highlight w:val="none"/>
          <w:lang w:val="en-US" w:eastAsia="zh-CN"/>
        </w:rPr>
        <w:t>工作人员对本年度法院“两庭建设”工作整体基本满意</w:t>
      </w:r>
      <w:r>
        <w:rPr>
          <w:rFonts w:hint="eastAsia" w:ascii="仿宋_GB2312" w:hAnsi="仿宋_GB2312" w:eastAsia="仿宋_GB2312" w:cs="仿宋_GB2312"/>
          <w:sz w:val="32"/>
          <w:szCs w:val="32"/>
          <w:highlight w:val="none"/>
          <w:lang w:val="en-US" w:eastAsia="zh-CN"/>
        </w:rPr>
        <w:t>，为</w:t>
      </w:r>
      <w:r>
        <w:rPr>
          <w:rFonts w:hint="eastAsia" w:ascii="仿宋_GB2312" w:hAnsi="仿宋_GB2312" w:cs="仿宋_GB2312"/>
          <w:sz w:val="32"/>
          <w:szCs w:val="32"/>
          <w:highlight w:val="none"/>
          <w:lang w:val="en-US" w:eastAsia="zh-CN"/>
        </w:rPr>
        <w:t>80.80</w:t>
      </w:r>
      <w:r>
        <w:rPr>
          <w:rFonts w:hint="eastAsia" w:ascii="仿宋_GB2312" w:hAnsi="仿宋_GB2312" w:eastAsia="仿宋_GB2312" w:cs="仿宋_GB2312"/>
          <w:sz w:val="32"/>
          <w:szCs w:val="32"/>
          <w:highlight w:val="none"/>
          <w:lang w:val="en-US" w:eastAsia="zh-CN"/>
        </w:rPr>
        <w:t>%。问题5满意度具体数据如图所示：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bookmarkStart w:id="168" w:name="_Toc14909"/>
      <w:bookmarkStart w:id="169" w:name="_Toc27911"/>
      <w:r>
        <w:rPr>
          <w:rFonts w:hint="eastAsia" w:ascii="仿宋_GB2312" w:hAnsi="仿宋_GB2312" w:eastAsia="仿宋_GB2312" w:cs="仿宋_GB2312"/>
          <w:sz w:val="32"/>
          <w:szCs w:val="32"/>
          <w:highlight w:val="none"/>
          <w:lang w:val="en-US" w:eastAsia="zh-CN"/>
        </w:rPr>
        <w:t>经过数据汇总处理，</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lang w:val="en-US" w:eastAsia="zh-CN"/>
        </w:rPr>
        <w:t>工作人员对</w:t>
      </w:r>
      <w:r>
        <w:rPr>
          <w:rFonts w:hint="eastAsia" w:ascii="仿宋_GB2312" w:hAnsi="仿宋_GB2312" w:cs="仿宋_GB2312"/>
          <w:sz w:val="32"/>
          <w:szCs w:val="32"/>
          <w:highlight w:val="none"/>
          <w:lang w:val="en-US" w:eastAsia="zh-CN"/>
        </w:rPr>
        <w:t>“两庭建设”</w:t>
      </w:r>
      <w:r>
        <w:rPr>
          <w:rFonts w:hint="eastAsia" w:ascii="仿宋_GB2312" w:hAnsi="仿宋_GB2312" w:eastAsia="仿宋_GB2312" w:cs="仿宋_GB2312"/>
          <w:sz w:val="32"/>
          <w:szCs w:val="32"/>
          <w:highlight w:val="none"/>
          <w:lang w:val="en-US" w:eastAsia="zh-CN"/>
        </w:rPr>
        <w:t>项目2022年度工作总体的满意度为</w:t>
      </w:r>
      <w:r>
        <w:rPr>
          <w:rFonts w:hint="eastAsia" w:ascii="仿宋_GB2312" w:hAnsi="仿宋_GB2312" w:cs="仿宋_GB2312"/>
          <w:sz w:val="32"/>
          <w:szCs w:val="32"/>
          <w:highlight w:val="none"/>
          <w:lang w:val="en-US" w:eastAsia="zh-CN"/>
        </w:rPr>
        <w:t>78.88</w:t>
      </w:r>
      <w:r>
        <w:rPr>
          <w:rFonts w:hint="eastAsia" w:ascii="仿宋_GB2312" w:hAnsi="仿宋_GB2312" w:eastAsia="仿宋_GB2312" w:cs="仿宋_GB2312"/>
          <w:sz w:val="32"/>
          <w:szCs w:val="32"/>
          <w:highlight w:val="none"/>
          <w:lang w:val="en-US" w:eastAsia="zh-CN"/>
        </w:rPr>
        <w:t>%，总体来说满意度</w:t>
      </w:r>
      <w:r>
        <w:rPr>
          <w:rFonts w:hint="eastAsia" w:ascii="仿宋_GB2312" w:hAnsi="仿宋_GB2312" w:cs="仿宋_GB2312"/>
          <w:sz w:val="32"/>
          <w:szCs w:val="32"/>
          <w:highlight w:val="none"/>
          <w:lang w:val="en-US" w:eastAsia="zh-CN"/>
        </w:rPr>
        <w:t>良好</w:t>
      </w:r>
      <w:r>
        <w:rPr>
          <w:rFonts w:hint="eastAsia" w:ascii="仿宋_GB2312" w:hAnsi="仿宋_GB2312" w:eastAsia="仿宋_GB2312" w:cs="仿宋_GB2312"/>
          <w:sz w:val="32"/>
          <w:szCs w:val="32"/>
          <w:highlight w:val="none"/>
          <w:lang w:val="en-US" w:eastAsia="zh-CN"/>
        </w:rPr>
        <w:t>。据评分标准，本指标分值10分，评价得分</w:t>
      </w:r>
      <w:r>
        <w:rPr>
          <w:rFonts w:hint="eastAsia" w:ascii="仿宋_GB2312" w:hAnsi="仿宋_GB2312" w:cs="仿宋_GB2312"/>
          <w:sz w:val="32"/>
          <w:szCs w:val="32"/>
          <w:highlight w:val="none"/>
          <w:lang w:val="en-US" w:eastAsia="zh-CN"/>
        </w:rPr>
        <w:t>9.28</w:t>
      </w:r>
      <w:r>
        <w:rPr>
          <w:rFonts w:hint="eastAsia" w:ascii="仿宋_GB2312" w:hAnsi="仿宋_GB2312" w:eastAsia="仿宋_GB2312" w:cs="仿宋_GB2312"/>
          <w:sz w:val="32"/>
          <w:szCs w:val="32"/>
          <w:highlight w:val="none"/>
          <w:lang w:val="en-US" w:eastAsia="zh-CN"/>
        </w:rPr>
        <w:t>分。</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70" w:name="_Toc31391"/>
      <w:r>
        <w:rPr>
          <w:rFonts w:hint="eastAsia" w:ascii="黑体" w:hAnsi="黑体" w:eastAsia="黑体" w:cs="仿宋"/>
          <w:b w:val="0"/>
          <w:bCs w:val="0"/>
          <w:highlight w:val="none"/>
        </w:rPr>
        <w:t>六、项目主要经验及做法</w:t>
      </w:r>
      <w:bookmarkEnd w:id="168"/>
      <w:bookmarkEnd w:id="169"/>
      <w:bookmarkEnd w:id="170"/>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lang w:val="en-US" w:eastAsia="zh-CN"/>
        </w:rPr>
      </w:pPr>
      <w:bookmarkStart w:id="171" w:name="_Toc25847"/>
      <w:bookmarkStart w:id="172" w:name="_Toc31693"/>
      <w:bookmarkStart w:id="173" w:name="_Toc27732"/>
      <w:bookmarkStart w:id="174" w:name="_Toc3658"/>
      <w:r>
        <w:rPr>
          <w:rFonts w:hint="eastAsia" w:ascii="楷体" w:hAnsi="楷体" w:eastAsia="楷体" w:cs="楷体"/>
          <w:b/>
          <w:bCs/>
          <w:highlight w:val="none"/>
        </w:rPr>
        <w:t>（一）</w:t>
      </w:r>
      <w:bookmarkEnd w:id="171"/>
      <w:bookmarkEnd w:id="172"/>
      <w:bookmarkEnd w:id="173"/>
      <w:bookmarkEnd w:id="174"/>
      <w:r>
        <w:rPr>
          <w:rFonts w:hint="eastAsia" w:ascii="楷体" w:hAnsi="楷体" w:eastAsia="楷体" w:cs="楷体"/>
          <w:b/>
          <w:bCs/>
          <w:highlight w:val="none"/>
        </w:rPr>
        <w:t>《甘肃省法院司法保障工作“十四五”实施方案》</w:t>
      </w:r>
      <w:r>
        <w:rPr>
          <w:rFonts w:hint="eastAsia" w:ascii="楷体" w:hAnsi="楷体" w:eastAsia="楷体" w:cs="楷体"/>
          <w:b/>
          <w:bCs/>
          <w:highlight w:val="none"/>
          <w:lang w:val="en-US" w:eastAsia="zh-CN"/>
        </w:rPr>
        <w:t>获得</w:t>
      </w:r>
      <w:r>
        <w:rPr>
          <w:rFonts w:hint="eastAsia" w:ascii="楷体" w:hAnsi="楷体" w:eastAsia="楷体" w:cs="楷体"/>
          <w:b/>
          <w:bCs/>
          <w:highlight w:val="none"/>
        </w:rPr>
        <w:t>人民法院司法保障工作“十四五”规划优秀实施方案</w:t>
      </w:r>
      <w:r>
        <w:rPr>
          <w:rFonts w:hint="eastAsia" w:ascii="楷体" w:hAnsi="楷体" w:eastAsia="楷体" w:cs="楷体"/>
          <w:b/>
          <w:bCs/>
          <w:highlight w:val="none"/>
          <w:lang w:val="en-US" w:eastAsia="zh-CN"/>
        </w:rPr>
        <w:t>二等奖</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yellow"/>
          <w:lang w:val="en-US" w:eastAsia="zh-CN"/>
        </w:rPr>
      </w:pPr>
      <w:r>
        <w:rPr>
          <w:rFonts w:hint="eastAsia" w:ascii="仿宋_GB2312" w:hAnsi="仿宋_GB2312" w:eastAsia="仿宋_GB2312" w:cs="仿宋_GB2312"/>
          <w:highlight w:val="none"/>
        </w:rPr>
        <w:t>为全面贯彻落实习近平新时代中国特色社会主义思想和习近平法治思想</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深入学习贯彻党的十九大和十九届历次全会精神</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进一步提升人民法院计划财务工作理论水平</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提高人民法院计划财务工作质量</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促进人民法院计划财务工作不断发展</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根据《最高人民法院关于在全国法院开展优秀业务成果评选活动暂行办法》</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法办发</w:t>
      </w:r>
      <w:r>
        <w:rPr>
          <w:rFonts w:hint="eastAsia" w:ascii="宋体" w:hAnsi="宋体" w:eastAsia="宋体" w:cs="宋体"/>
          <w:highlight w:val="none"/>
        </w:rPr>
        <w:t>〔</w:t>
      </w:r>
      <w:r>
        <w:rPr>
          <w:rFonts w:hint="eastAsia" w:ascii="仿宋_GB2312" w:hAnsi="仿宋_GB2312" w:eastAsia="仿宋_GB2312" w:cs="仿宋_GB2312"/>
          <w:highlight w:val="none"/>
        </w:rPr>
        <w:t>2011</w:t>
      </w:r>
      <w:r>
        <w:rPr>
          <w:rFonts w:hint="eastAsia" w:ascii="宋体" w:hAnsi="宋体" w:eastAsia="宋体" w:cs="宋体"/>
          <w:highlight w:val="none"/>
        </w:rPr>
        <w:t>〕</w:t>
      </w:r>
      <w:r>
        <w:rPr>
          <w:rFonts w:hint="eastAsia" w:ascii="仿宋_GB2312" w:hAnsi="仿宋_GB2312" w:eastAsia="仿宋_GB2312" w:cs="仿宋_GB2312"/>
          <w:highlight w:val="none"/>
        </w:rPr>
        <w:t>9号</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有关要求</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最高人民法院组织开展了2021年全国法院计划财务优秀业务成果评选活动。经过各高级人民法院、计划单列市中级人民法院初评报送</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最高人民法院司法行政装备管理局组成评审委员会</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按照公平、公正、公开的原则进行评选最终评选出人民法院司法保障工作“十四五</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规划优秀实施方案19篇。</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《甘肃省法院司法保障工作“十四五”实施方案》</w:t>
      </w:r>
      <w:r>
        <w:rPr>
          <w:rFonts w:hint="eastAsia" w:ascii="仿宋_GB2312" w:hAnsi="仿宋_GB2312" w:cs="仿宋_GB2312"/>
          <w:highlight w:val="none"/>
          <w:lang w:val="en-US" w:eastAsia="zh-CN"/>
        </w:rPr>
        <w:t>获得人民法院司法保障工作“十四五”规划优秀实施方案二等奖。</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sz w:val="32"/>
          <w:szCs w:val="32"/>
          <w:highlight w:val="none"/>
          <w:lang w:val="en-US" w:eastAsia="zh-CN"/>
        </w:rPr>
      </w:pPr>
      <w:bookmarkStart w:id="175" w:name="_Toc10680"/>
      <w:bookmarkStart w:id="176" w:name="_Toc30472"/>
      <w:bookmarkStart w:id="177" w:name="_Toc635"/>
      <w:bookmarkStart w:id="178" w:name="_Toc16172"/>
      <w:r>
        <w:rPr>
          <w:rFonts w:hint="eastAsia" w:ascii="楷体" w:hAnsi="楷体" w:eastAsia="楷体" w:cs="楷体"/>
          <w:b/>
          <w:bCs/>
          <w:sz w:val="32"/>
          <w:szCs w:val="32"/>
          <w:highlight w:val="none"/>
          <w:lang w:val="en-US" w:eastAsia="zh-CN"/>
        </w:rPr>
        <w:t>（二）党委重视、政府支持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楷体" w:hAnsi="楷体" w:eastAsia="楷体" w:cs="楷体"/>
          <w:b/>
          <w:bCs/>
          <w:sz w:val="32"/>
          <w:szCs w:val="32"/>
          <w:highlight w:val="none"/>
          <w:lang w:eastAsia="zh-CN"/>
        </w:rPr>
      </w:pPr>
      <w:r>
        <w:rPr>
          <w:rFonts w:hint="eastAsia" w:ascii="仿宋_GB2312" w:hAnsi="仿宋_GB2312" w:eastAsia="仿宋_GB2312" w:cs="仿宋_GB2312"/>
          <w:sz w:val="32"/>
          <w:szCs w:val="32"/>
          <w:highlight w:val="none"/>
          <w:lang w:val="en-US" w:eastAsia="zh-CN"/>
        </w:rPr>
        <w:t>地方党委和政府的支持使</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“两庭”建设获得了充分的财政援助。</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党组在争取当地党委和政府的支持方面，主要的做法是院领导经常性与地方党委和政府领导座谈协商，加强沟通交流，寻求共识。院领导定期到各法庭检查和指导工作、了解情况时，同时与当地党委和政府领导会面座谈。一方面了解法庭工作在地方建设中的作用以及地方对法庭工作的意见和建议；另一方面也及时向当地通报法庭建设和工作中面临的一些问题和困难以及希望当地党委和政府提供的配合与协助。</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“两庭”建设涉及政府土地、规划、财政等方面的工作，党委和政府给予了大力支持。在审判大楼建设中</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简化办事程序</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使审判大楼建设工作中的有关问题得到了及时有效解决。</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lang w:val="en-US" w:eastAsia="zh-CN"/>
        </w:rPr>
        <w:t>三</w:t>
      </w:r>
      <w:r>
        <w:rPr>
          <w:rFonts w:hint="eastAsia" w:ascii="楷体" w:hAnsi="楷体" w:eastAsia="楷体" w:cs="楷体"/>
          <w:b/>
          <w:bCs/>
          <w:sz w:val="32"/>
          <w:szCs w:val="32"/>
          <w:highlight w:val="none"/>
          <w:lang w:eastAsia="zh-CN"/>
        </w:rPr>
        <w:t>）</w:t>
      </w:r>
      <w:bookmarkEnd w:id="175"/>
      <w:bookmarkEnd w:id="176"/>
      <w:bookmarkEnd w:id="177"/>
      <w:bookmarkEnd w:id="178"/>
      <w:r>
        <w:rPr>
          <w:rFonts w:hint="eastAsia" w:ascii="楷体" w:hAnsi="楷体" w:eastAsia="楷体" w:cs="楷体"/>
          <w:b/>
          <w:bCs/>
          <w:sz w:val="32"/>
          <w:szCs w:val="32"/>
          <w:highlight w:val="none"/>
          <w:lang w:val="en-US" w:eastAsia="zh-CN"/>
        </w:rPr>
        <w:t>措施得力， 制度落实</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甘肃省发展和改革委员会印发了《关于进一步做好全省法院检察院系统项目建设管理工作的通知》（甘发改投资〔2018〕1035号），省法院印发了《关于做好全省法院系统项目建设管理工作的补充通知》（甘高法〔2019〕19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以制度明确了各级单位的职责，</w:t>
      </w:r>
      <w:r>
        <w:rPr>
          <w:rFonts w:hint="eastAsia" w:ascii="仿宋_GB2312" w:hAnsi="仿宋_GB2312" w:eastAsia="仿宋_GB2312" w:cs="仿宋_GB2312"/>
          <w:color w:val="000000"/>
          <w:kern w:val="0"/>
          <w:sz w:val="32"/>
          <w:szCs w:val="32"/>
          <w:highlight w:val="none"/>
          <w:lang w:val="en-US" w:eastAsia="zh-CN" w:bidi="ar"/>
        </w:rPr>
        <w:t>以完善的项目组织机制、科学的项目管理制度保障了项目顺利运行。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各级法院是项目建设的责任主体，对项目建设的组织、管理承担全面责任。严格落实投资计划执行和项目监管的主体责任，积极组织开展项目前期工作，严格按批复组织项目建设，及时准确上报进度数据和信息，如期保质保量完工投用。自觉接受各级监管部门和监管责任人的监督检查。对监管部门指出的问题要积极整改，并及时向有关部门报送整改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省法院是项目建设的主管部门，严格落实投资计划执行和项目实施的日常监管直接责任，列出责任清单，压实监管责任，规范监管行为，加强计划实施综合监管，定期检查，全程跟踪化解控制各类矛盾隐患，及时协调解决突出问题，确保建设项目平稳落地、顺利实施。</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项目全过程责任基本落实到位，确保项目依法依规有序开展，提高了项目进度和工作效率。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（四）科学规划，节约建设</w:t>
      </w:r>
    </w:p>
    <w:p>
      <w:pPr>
        <w:pStyle w:val="3"/>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各项目实施法院按照可持续建设、科学发展的要求，既反对浮夸作风，又反对保守行为，即立足当前，着眼长远，量力而行，尽力而为。树立精品意识，长远意识，在选址、设计、施工三个方面进行科学决策把关，特别在决策上讲究科学性，不仅仅是经验决策和拍脑袋决策。</w:t>
      </w:r>
    </w:p>
    <w:p>
      <w:pPr>
        <w:pStyle w:val="2"/>
        <w:keepNext w:val="0"/>
        <w:keepLines w:val="0"/>
        <w:pageBreakBefore w:val="0"/>
        <w:widowControl w:val="0"/>
        <w:kinsoku/>
        <w:wordWrap/>
        <w:overflowPunct w:val="0"/>
        <w:topLinePunct w:val="0"/>
        <w:autoSpaceDE/>
        <w:autoSpaceDN/>
        <w:bidi w:val="0"/>
        <w:adjustRightInd/>
        <w:snapToGrid/>
        <w:spacing w:line="540" w:lineRule="exact"/>
        <w:ind w:firstLine="640" w:firstLineChars="200"/>
        <w:textAlignment w:val="auto"/>
        <w:outlineLvl w:val="0"/>
        <w:rPr>
          <w:rFonts w:ascii="黑体" w:hAnsi="黑体" w:eastAsia="黑体" w:cs="仿宋"/>
          <w:b w:val="0"/>
          <w:bCs w:val="0"/>
          <w:sz w:val="32"/>
          <w:szCs w:val="32"/>
          <w:highlight w:val="none"/>
        </w:rPr>
      </w:pPr>
      <w:bookmarkStart w:id="179" w:name="_Toc29792"/>
      <w:bookmarkStart w:id="180" w:name="_Toc15152"/>
      <w:bookmarkStart w:id="181" w:name="_Toc25717"/>
      <w:r>
        <w:rPr>
          <w:rFonts w:hint="eastAsia" w:ascii="黑体" w:hAnsi="黑体" w:eastAsia="黑体" w:cs="仿宋"/>
          <w:b w:val="0"/>
          <w:bCs w:val="0"/>
          <w:sz w:val="32"/>
          <w:szCs w:val="32"/>
          <w:highlight w:val="none"/>
        </w:rPr>
        <w:t>七、存在的问题及原因分析</w:t>
      </w:r>
      <w:bookmarkEnd w:id="179"/>
      <w:bookmarkEnd w:id="180"/>
      <w:bookmarkEnd w:id="181"/>
    </w:p>
    <w:p>
      <w:pPr>
        <w:keepNext w:val="0"/>
        <w:keepLines w:val="0"/>
        <w:pageBreakBefore w:val="0"/>
        <w:widowControl w:val="0"/>
        <w:kinsoku/>
        <w:wordWrap/>
        <w:overflowPunct w:val="0"/>
        <w:topLinePunct w:val="0"/>
        <w:autoSpaceDE/>
        <w:autoSpaceDN/>
        <w:bidi w:val="0"/>
        <w:adjustRightInd/>
        <w:snapToGrid/>
        <w:spacing w:line="540" w:lineRule="exact"/>
        <w:ind w:firstLine="643" w:firstLineChars="200"/>
        <w:textAlignment w:val="auto"/>
        <w:outlineLvl w:val="1"/>
        <w:rPr>
          <w:rStyle w:val="26"/>
          <w:rFonts w:hint="default" w:ascii="楷体" w:hAnsi="楷体" w:eastAsia="楷体" w:cs="楷体"/>
          <w:sz w:val="32"/>
          <w:szCs w:val="32"/>
          <w:highlight w:val="none"/>
          <w:lang w:val="en-US"/>
        </w:rPr>
      </w:pPr>
      <w:bookmarkStart w:id="182" w:name="_Toc30862"/>
      <w:bookmarkStart w:id="183" w:name="_Toc27415"/>
      <w:bookmarkStart w:id="184" w:name="_Toc24344"/>
      <w:bookmarkStart w:id="185" w:name="_Toc10454"/>
      <w:bookmarkStart w:id="186" w:name="_Toc22822"/>
      <w:bookmarkStart w:id="187" w:name="_Toc2874"/>
      <w:bookmarkStart w:id="188" w:name="_Toc15618"/>
      <w:bookmarkStart w:id="189" w:name="_Toc14622"/>
      <w:bookmarkStart w:id="190" w:name="_Toc28102"/>
      <w:bookmarkStart w:id="191" w:name="_Toc19507"/>
      <w:bookmarkStart w:id="192" w:name="_Toc13907"/>
      <w:bookmarkStart w:id="193" w:name="_Toc15596"/>
      <w:r>
        <w:rPr>
          <w:rStyle w:val="26"/>
          <w:rFonts w:hint="eastAsia" w:ascii="楷体" w:hAnsi="楷体" w:eastAsia="楷体" w:cs="楷体"/>
          <w:sz w:val="32"/>
          <w:szCs w:val="32"/>
          <w:highlight w:val="none"/>
        </w:rPr>
        <w:t>（一）项目支出预算执行率</w:t>
      </w:r>
      <w:bookmarkEnd w:id="182"/>
      <w:bookmarkEnd w:id="183"/>
      <w:bookmarkEnd w:id="184"/>
      <w:bookmarkEnd w:id="185"/>
      <w:bookmarkEnd w:id="186"/>
      <w:r>
        <w:rPr>
          <w:rStyle w:val="26"/>
          <w:rFonts w:hint="eastAsia" w:ascii="楷体" w:hAnsi="楷体" w:eastAsia="楷体" w:cs="楷体"/>
          <w:sz w:val="32"/>
          <w:szCs w:val="32"/>
          <w:highlight w:val="none"/>
          <w:lang w:val="en-US" w:eastAsia="zh-CN"/>
        </w:rPr>
        <w:t>有待提高</w:t>
      </w:r>
    </w:p>
    <w:bookmarkEnd w:id="187"/>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40" w:lineRule="exact"/>
        <w:ind w:firstLine="640" w:firstLineChars="200"/>
        <w:textAlignment w:val="auto"/>
        <w:rPr>
          <w:rFonts w:hint="eastAsia" w:ascii="仿宋_GB2312" w:hAnsi="仿宋_GB2312" w:cs="仿宋_GB2312"/>
          <w:sz w:val="32"/>
          <w:szCs w:val="32"/>
          <w:highlight w:val="none"/>
          <w:lang w:val="en-US" w:eastAsia="zh-CN"/>
        </w:rPr>
      </w:pPr>
      <w:bookmarkStart w:id="194" w:name="_Toc3633"/>
      <w:bookmarkStart w:id="195" w:name="_Toc3824"/>
      <w:bookmarkStart w:id="196" w:name="_Toc32093"/>
      <w:r>
        <w:rPr>
          <w:rFonts w:hint="eastAsia" w:ascii="仿宋_GB2312" w:hAnsi="仿宋_GB2312" w:cs="仿宋_GB2312"/>
          <w:sz w:val="32"/>
          <w:szCs w:val="32"/>
          <w:highlight w:val="none"/>
          <w:lang w:val="en-US" w:eastAsia="zh-CN"/>
        </w:rPr>
        <w:t>全省法院“两庭建设”资金全年</w:t>
      </w:r>
      <w:r>
        <w:rPr>
          <w:rFonts w:hint="eastAsia" w:ascii="仿宋_GB2312" w:hAnsi="仿宋_GB2312" w:eastAsia="仿宋_GB2312" w:cs="仿宋_GB2312"/>
          <w:sz w:val="32"/>
          <w:szCs w:val="32"/>
          <w:highlight w:val="none"/>
          <w:lang w:val="en-US" w:eastAsia="zh-CN"/>
        </w:rPr>
        <w:t>预算</w:t>
      </w:r>
      <w:r>
        <w:rPr>
          <w:rFonts w:hint="eastAsia" w:ascii="仿宋_GB2312" w:hAnsi="仿宋_GB2312" w:cs="仿宋_GB2312"/>
          <w:sz w:val="32"/>
          <w:szCs w:val="32"/>
          <w:highlight w:val="none"/>
          <w:lang w:val="en-US" w:eastAsia="zh-CN"/>
        </w:rPr>
        <w:t>数为18,832.93万元，其中当年财政拨款16,000.00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cs="仿宋_GB2312"/>
          <w:sz w:val="32"/>
          <w:szCs w:val="32"/>
          <w:highlight w:val="none"/>
          <w:lang w:val="en-US" w:eastAsia="zh-CN"/>
        </w:rPr>
        <w:t>上年结转资金2,832.93万元，截止2022年12月31日，项目实际</w:t>
      </w:r>
      <w:r>
        <w:rPr>
          <w:rFonts w:hint="eastAsia" w:ascii="仿宋_GB2312" w:hAnsi="仿宋_GB2312" w:eastAsia="仿宋_GB2312" w:cs="仿宋_GB2312"/>
          <w:sz w:val="32"/>
          <w:szCs w:val="32"/>
          <w:highlight w:val="none"/>
          <w:lang w:val="en-US" w:eastAsia="zh-CN"/>
        </w:rPr>
        <w:t>支出</w:t>
      </w:r>
      <w:r>
        <w:rPr>
          <w:rFonts w:hint="eastAsia" w:ascii="仿宋_GB2312" w:hAnsi="仿宋_GB2312" w:cs="仿宋_GB2312"/>
          <w:sz w:val="32"/>
          <w:szCs w:val="32"/>
          <w:highlight w:val="none"/>
          <w:lang w:val="en-US" w:eastAsia="zh-CN"/>
        </w:rPr>
        <w:t>14,968.04</w:t>
      </w:r>
      <w:r>
        <w:rPr>
          <w:rFonts w:hint="eastAsia" w:ascii="仿宋_GB2312" w:hAnsi="仿宋_GB2312" w:eastAsia="仿宋_GB2312" w:cs="仿宋_GB2312"/>
          <w:sz w:val="32"/>
          <w:szCs w:val="32"/>
          <w:highlight w:val="none"/>
          <w:lang w:val="en-US" w:eastAsia="zh-CN"/>
        </w:rPr>
        <w:t>万元，预算执行率</w:t>
      </w:r>
      <w:r>
        <w:rPr>
          <w:rFonts w:hint="eastAsia" w:ascii="仿宋_GB2312" w:hAnsi="仿宋_GB2312" w:cs="仿宋_GB2312"/>
          <w:sz w:val="32"/>
          <w:szCs w:val="32"/>
          <w:highlight w:val="none"/>
          <w:lang w:val="en-US" w:eastAsia="zh-CN"/>
        </w:rPr>
        <w:t>79.48</w:t>
      </w:r>
      <w:r>
        <w:rPr>
          <w:rFonts w:hint="eastAsia" w:ascii="仿宋_GB2312" w:hAnsi="仿宋_GB2312" w:eastAsia="仿宋_GB2312" w:cs="仿宋_GB2312"/>
          <w:sz w:val="32"/>
          <w:szCs w:val="32"/>
          <w:highlight w:val="none"/>
          <w:lang w:val="en-US" w:eastAsia="zh-CN"/>
        </w:rPr>
        <w:t>%。</w:t>
      </w:r>
      <w:bookmarkEnd w:id="194"/>
      <w:bookmarkEnd w:id="195"/>
      <w:r>
        <w:rPr>
          <w:rFonts w:hint="eastAsia" w:ascii="仿宋_GB2312" w:hAnsi="仿宋_GB2312" w:cs="仿宋_GB2312"/>
          <w:sz w:val="32"/>
          <w:szCs w:val="32"/>
          <w:highlight w:val="none"/>
          <w:lang w:val="en-US" w:eastAsia="zh-CN"/>
        </w:rPr>
        <w:t>主要原因为2022年度受疫情影响，各项工作无法正常开展，导致项目进度滞后，加之第二批全省法院“两庭建设”资金下达较晚，同时临近春节假期，部分法院项目未开展，无法形成支出，导致资金执行率较低。项目支出预算执行率低于全年预算90%的法院如下：</w:t>
      </w:r>
    </w:p>
    <w:tbl>
      <w:tblPr>
        <w:tblStyle w:val="16"/>
        <w:tblpPr w:leftFromText="180" w:rightFromText="180" w:vertAnchor="text" w:horzAnchor="page" w:tblpX="1857" w:tblpY="229"/>
        <w:tblOverlap w:val="never"/>
        <w:tblW w:w="83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55"/>
        <w:gridCol w:w="2482"/>
        <w:gridCol w:w="981"/>
        <w:gridCol w:w="726"/>
        <w:gridCol w:w="2517"/>
        <w:gridCol w:w="1064"/>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659" w:hRule="atLeast"/>
        </w:trPr>
        <w:tc>
          <w:tcPr>
            <w:tcW w:w="555" w:type="dxa"/>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序号</w:t>
            </w:r>
          </w:p>
        </w:tc>
        <w:tc>
          <w:tcPr>
            <w:tcW w:w="2482"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单位名称</w:t>
            </w:r>
          </w:p>
        </w:tc>
        <w:tc>
          <w:tcPr>
            <w:tcW w:w="981"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预算执行率</w:t>
            </w:r>
          </w:p>
        </w:tc>
        <w:tc>
          <w:tcPr>
            <w:tcW w:w="726"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序号</w:t>
            </w:r>
          </w:p>
        </w:tc>
        <w:tc>
          <w:tcPr>
            <w:tcW w:w="2517"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单位名称</w:t>
            </w:r>
          </w:p>
        </w:tc>
        <w:tc>
          <w:tcPr>
            <w:tcW w:w="1064" w:type="dxa"/>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color w:val="000000"/>
                <w:kern w:val="0"/>
                <w:sz w:val="22"/>
                <w:highlight w:val="none"/>
                <w:lang w:val="en-US" w:eastAsia="zh-CN" w:bidi="ar"/>
              </w:rPr>
            </w:pPr>
            <w:r>
              <w:rPr>
                <w:rFonts w:hint="eastAsia" w:ascii="宋体" w:hAnsi="宋体" w:eastAsia="宋体" w:cs="宋体"/>
                <w:b/>
                <w:color w:val="000000"/>
                <w:kern w:val="0"/>
                <w:sz w:val="22"/>
                <w:highlight w:val="none"/>
                <w:lang w:val="en-US" w:eastAsia="zh-CN" w:bidi="ar"/>
              </w:rPr>
              <w:t>预算执行率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bidi="ar"/>
              </w:rPr>
              <w:t>华亭市人民法院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88.50%</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7</w:t>
            </w: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临潭县人民法院</w:t>
            </w: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2</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bidi="ar"/>
              </w:rPr>
              <w:t>武威市中级人民法院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49.18%</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8</w:t>
            </w: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白龙江林区法院</w:t>
            </w: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37.97%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3</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bidi="ar"/>
              </w:rPr>
              <w:t>兰州市西固区人民法院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48.11%</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9</w:t>
            </w: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小陇山林区法院</w:t>
            </w: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15.57%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4</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bidi="ar"/>
              </w:rPr>
              <w:t>夏河县人民法院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79.15%</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10</w:t>
            </w: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eastAsia="zh-CN" w:bidi="ar"/>
              </w:rPr>
            </w:pPr>
            <w:r>
              <w:rPr>
                <w:rFonts w:hint="eastAsia" w:ascii="宋体" w:hAnsi="宋体" w:eastAsia="宋体" w:cs="宋体"/>
                <w:bCs/>
                <w:color w:val="000000"/>
                <w:kern w:val="0"/>
                <w:sz w:val="21"/>
                <w:szCs w:val="21"/>
                <w:highlight w:val="none"/>
                <w:lang w:bidi="ar"/>
              </w:rPr>
              <w:t>宁县人民法院</w:t>
            </w: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5</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bidi="ar"/>
              </w:rPr>
            </w:pPr>
            <w:r>
              <w:rPr>
                <w:rFonts w:hint="eastAsia" w:ascii="宋体" w:hAnsi="宋体" w:eastAsia="宋体" w:cs="宋体"/>
                <w:bCs/>
                <w:color w:val="000000"/>
                <w:kern w:val="0"/>
                <w:sz w:val="21"/>
                <w:szCs w:val="21"/>
                <w:highlight w:val="none"/>
                <w:lang w:bidi="ar"/>
              </w:rPr>
              <w:t>通渭县人民法院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0.95%</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1"/>
                <w:szCs w:val="21"/>
                <w:highlight w:val="none"/>
                <w:lang w:val="en-US" w:eastAsia="zh-CN" w:bidi="ar"/>
              </w:rPr>
              <w:t>11</w:t>
            </w: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eastAsia="宋体" w:cs="宋体"/>
                <w:bCs/>
                <w:color w:val="000000"/>
                <w:kern w:val="0"/>
                <w:sz w:val="20"/>
                <w:szCs w:val="20"/>
                <w:highlight w:val="none"/>
                <w:lang w:eastAsia="zh-CN" w:bidi="ar"/>
              </w:rPr>
              <w:t>天祝藏族自治县人民法院</w:t>
            </w: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87.94%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10" w:hRule="atLeast"/>
        </w:trPr>
        <w:tc>
          <w:tcPr>
            <w:tcW w:w="555" w:type="dxa"/>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default" w:ascii="宋体" w:hAnsi="宋体" w:eastAsia="宋体" w:cs="宋体"/>
                <w:bCs/>
                <w:color w:val="000000"/>
                <w:kern w:val="0"/>
                <w:sz w:val="21"/>
                <w:szCs w:val="21"/>
                <w:highlight w:val="none"/>
                <w:lang w:val="en-US" w:eastAsia="zh-CN" w:bidi="ar"/>
              </w:rPr>
            </w:pPr>
            <w:bookmarkStart w:id="197" w:name="_Toc10778"/>
            <w:bookmarkStart w:id="198" w:name="_Toc8095"/>
            <w:bookmarkStart w:id="199" w:name="_Toc11954"/>
            <w:bookmarkStart w:id="200" w:name="_Toc11781"/>
            <w:bookmarkStart w:id="201" w:name="_Toc1389"/>
            <w:r>
              <w:rPr>
                <w:rFonts w:hint="eastAsia" w:ascii="宋体" w:hAnsi="宋体" w:eastAsia="宋体" w:cs="宋体"/>
                <w:bCs/>
                <w:color w:val="000000"/>
                <w:kern w:val="0"/>
                <w:sz w:val="21"/>
                <w:szCs w:val="21"/>
                <w:highlight w:val="none"/>
                <w:lang w:val="en-US" w:eastAsia="zh-CN" w:bidi="ar"/>
              </w:rPr>
              <w:t>6</w:t>
            </w:r>
          </w:p>
        </w:tc>
        <w:tc>
          <w:tcPr>
            <w:tcW w:w="2482"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bidi="ar"/>
              </w:rPr>
            </w:pPr>
            <w:r>
              <w:rPr>
                <w:rFonts w:hint="eastAsia" w:ascii="宋体" w:hAnsi="宋体" w:eastAsia="宋体" w:cs="宋体"/>
                <w:bCs/>
                <w:color w:val="000000"/>
                <w:kern w:val="0"/>
                <w:sz w:val="21"/>
                <w:szCs w:val="21"/>
                <w:highlight w:val="none"/>
                <w:lang w:bidi="ar"/>
              </w:rPr>
              <w:t>玉门市人民法院</w:t>
            </w:r>
          </w:p>
        </w:tc>
        <w:tc>
          <w:tcPr>
            <w:tcW w:w="981"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83.55%</w:t>
            </w:r>
          </w:p>
        </w:tc>
        <w:tc>
          <w:tcPr>
            <w:tcW w:w="726"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1"/>
                <w:szCs w:val="21"/>
                <w:highlight w:val="none"/>
                <w:lang w:val="en-US" w:eastAsia="zh-CN" w:bidi="ar"/>
              </w:rPr>
            </w:pPr>
          </w:p>
        </w:tc>
        <w:tc>
          <w:tcPr>
            <w:tcW w:w="2517" w:type="dxa"/>
            <w:shd w:val="clear" w:color="auto" w:fill="auto"/>
            <w:noWrap/>
            <w:vAlign w:val="center"/>
          </w:tcPr>
          <w:p>
            <w:pPr>
              <w:keepNext w:val="0"/>
              <w:keepLines w:val="0"/>
              <w:pageBreakBefore w:val="0"/>
              <w:widowControl w:val="0"/>
              <w:kinsoku/>
              <w:wordWrap/>
              <w:overflowPunct w:val="0"/>
              <w:topLinePunct w:val="0"/>
              <w:autoSpaceDE/>
              <w:autoSpaceDN/>
              <w:bidi w:val="0"/>
              <w:adjustRightInd/>
              <w:jc w:val="left"/>
              <w:textAlignment w:val="center"/>
              <w:rPr>
                <w:rFonts w:hint="eastAsia" w:ascii="宋体" w:hAnsi="宋体" w:eastAsia="宋体" w:cs="宋体"/>
                <w:bCs/>
                <w:color w:val="000000"/>
                <w:kern w:val="0"/>
                <w:sz w:val="21"/>
                <w:szCs w:val="21"/>
                <w:highlight w:val="none"/>
                <w:lang w:eastAsia="zh-CN" w:bidi="ar"/>
              </w:rPr>
            </w:pPr>
          </w:p>
        </w:tc>
        <w:tc>
          <w:tcPr>
            <w:tcW w:w="1064" w:type="dxa"/>
            <w:shd w:val="clear" w:color="auto" w:fill="auto"/>
            <w:noWrap/>
            <w:vAlign w:val="center"/>
          </w:tcPr>
          <w:p>
            <w:pPr>
              <w:keepNext w:val="0"/>
              <w:keepLines w:val="0"/>
              <w:pageBreakBefore w:val="0"/>
              <w:widowControl w:val="0"/>
              <w:suppressLineNumbers w:val="0"/>
              <w:kinsoku/>
              <w:wordWrap/>
              <w:overflowPunct w:val="0"/>
              <w:topLinePunct w:val="0"/>
              <w:autoSpaceDE/>
              <w:autoSpaceDN/>
              <w:bidi w:val="0"/>
              <w:adjustRightInd/>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bookmarkEnd w:id="196"/>
    </w:tbl>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default" w:ascii="楷体" w:hAnsi="楷体" w:eastAsia="楷体" w:cs="楷体"/>
          <w:szCs w:val="32"/>
          <w:highlight w:val="none"/>
          <w:lang w:val="en-US" w:eastAsia="zh-CN"/>
        </w:rPr>
      </w:pPr>
      <w:r>
        <w:rPr>
          <w:rStyle w:val="26"/>
          <w:rFonts w:hint="eastAsia" w:ascii="楷体" w:hAnsi="楷体" w:eastAsia="楷体" w:cs="楷体"/>
          <w:szCs w:val="32"/>
          <w:highlight w:val="none"/>
        </w:rPr>
        <w:t>（二）</w:t>
      </w:r>
      <w:bookmarkEnd w:id="197"/>
      <w:bookmarkEnd w:id="198"/>
      <w:r>
        <w:rPr>
          <w:rStyle w:val="26"/>
          <w:rFonts w:hint="eastAsia" w:ascii="楷体" w:hAnsi="楷体" w:eastAsia="楷体" w:cs="楷体"/>
          <w:szCs w:val="32"/>
          <w:highlight w:val="none"/>
          <w:lang w:val="en-US" w:eastAsia="zh-CN"/>
        </w:rPr>
        <w:t>绩效目标编制的明确性有待进一步提高</w:t>
      </w:r>
      <w:bookmarkEnd w:id="199"/>
      <w:bookmarkEnd w:id="200"/>
      <w:bookmarkEnd w:id="201"/>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kern w:val="2"/>
          <w:sz w:val="32"/>
          <w:szCs w:val="32"/>
          <w:highlight w:val="yellow"/>
          <w:lang w:val="en-US" w:eastAsia="zh-CN" w:bidi="ar-SA"/>
        </w:rPr>
      </w:pPr>
      <w:bookmarkStart w:id="202" w:name="_Toc12328"/>
      <w:bookmarkStart w:id="203" w:name="_Toc17195"/>
      <w:r>
        <w:rPr>
          <w:rFonts w:hint="eastAsia" w:ascii="仿宋_GB2312" w:hAnsi="仿宋_GB2312" w:eastAsia="仿宋_GB2312" w:cs="仿宋_GB2312"/>
          <w:color w:val="auto"/>
          <w:kern w:val="2"/>
          <w:sz w:val="32"/>
          <w:szCs w:val="32"/>
          <w:highlight w:val="none"/>
          <w:lang w:val="en-US" w:eastAsia="zh-CN" w:bidi="ar-SA"/>
        </w:rPr>
        <w:t>该项目资金年初预算下达至省法院，年中下达资金至各项目单位时中、基层法院未在“甘肃省级预算绩效管理信息系统”及时申报绩效目标表，仅</w:t>
      </w:r>
      <w:r>
        <w:rPr>
          <w:rFonts w:hint="eastAsia" w:ascii="仿宋_GB2312" w:hAnsi="仿宋_GB2312" w:eastAsia="仿宋_GB2312" w:cs="仿宋_GB2312"/>
          <w:color w:val="auto"/>
          <w:sz w:val="32"/>
          <w:szCs w:val="32"/>
          <w:highlight w:val="none"/>
          <w:lang w:val="en-US" w:eastAsia="zh-CN"/>
        </w:rPr>
        <w:t>在资金下达时</w:t>
      </w:r>
      <w:r>
        <w:rPr>
          <w:rFonts w:hint="eastAsia" w:ascii="仿宋_GB2312" w:hAnsi="仿宋_GB2312" w:eastAsia="仿宋_GB2312" w:cs="仿宋_GB2312"/>
          <w:color w:val="auto"/>
          <w:kern w:val="2"/>
          <w:sz w:val="32"/>
          <w:szCs w:val="32"/>
          <w:highlight w:val="none"/>
          <w:lang w:val="en-US" w:eastAsia="zh-CN" w:bidi="ar-SA"/>
        </w:rPr>
        <w:t>在“预算管理一体化系统”填报预算</w:t>
      </w:r>
      <w:r>
        <w:rPr>
          <w:rFonts w:hint="eastAsia" w:ascii="仿宋_GB2312" w:hAnsi="仿宋_GB2312" w:eastAsia="仿宋_GB2312" w:cs="仿宋_GB2312"/>
          <w:kern w:val="2"/>
          <w:sz w:val="32"/>
          <w:szCs w:val="32"/>
          <w:highlight w:val="none"/>
          <w:lang w:val="en-US" w:eastAsia="zh-CN" w:bidi="ar-SA"/>
        </w:rPr>
        <w:t>项目绩效表，导致项目无法进行有效监控，且部分法院绩效目标存在设置简略、表述笼统、未能涵盖项目实施主要内容及预期效益等问题。</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eastAsia" w:ascii="楷体" w:hAnsi="楷体" w:eastAsia="楷体" w:cs="楷体"/>
          <w:szCs w:val="32"/>
          <w:highlight w:val="none"/>
          <w:lang w:val="en-US" w:eastAsia="zh-CN"/>
        </w:rPr>
      </w:pPr>
      <w:bookmarkStart w:id="204" w:name="_Toc10213"/>
      <w:bookmarkStart w:id="205" w:name="_Toc1165"/>
      <w:bookmarkStart w:id="206" w:name="_Toc25530"/>
      <w:r>
        <w:rPr>
          <w:rStyle w:val="26"/>
          <w:rFonts w:hint="eastAsia" w:ascii="楷体" w:hAnsi="楷体" w:eastAsia="楷体" w:cs="楷体"/>
          <w:szCs w:val="32"/>
          <w:highlight w:val="none"/>
          <w:lang w:val="en-US" w:eastAsia="zh-CN"/>
        </w:rPr>
        <w:t>（三）财务制度未严格执行，个别项目资金使用有待规范</w:t>
      </w:r>
      <w:bookmarkEnd w:id="204"/>
      <w:bookmarkEnd w:id="205"/>
      <w:bookmarkEnd w:id="20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color w:val="0000FF"/>
          <w:highlight w:val="none"/>
          <w:lang w:val="en-US" w:eastAsia="zh-CN"/>
        </w:rPr>
      </w:pPr>
      <w:bookmarkStart w:id="207" w:name="_Toc26240"/>
      <w:bookmarkStart w:id="208" w:name="_Toc4931"/>
      <w:bookmarkStart w:id="209" w:name="_Toc25925"/>
      <w:r>
        <w:rPr>
          <w:rFonts w:hint="eastAsia" w:ascii="仿宋_GB2312" w:hAnsi="仿宋_GB2312" w:eastAsia="仿宋_GB2312" w:cs="仿宋_GB2312"/>
          <w:kern w:val="2"/>
          <w:sz w:val="32"/>
          <w:szCs w:val="32"/>
          <w:highlight w:val="none"/>
          <w:lang w:val="en-US" w:eastAsia="zh-CN" w:bidi="ar-SA"/>
        </w:rPr>
        <w:t>经查看各项目财务相关资料发现，小陇山林区法院人民法庭建设项目“高压引入”部分、崇信县人民法院审判法庭建设项目未按合同约定付款进度执行付款。合同约定分批次付款，实际均在合同签订后欠付第一笔款项，项目完工后一次性支付全部合同款。</w:t>
      </w:r>
      <w:bookmarkEnd w:id="202"/>
      <w:bookmarkEnd w:id="203"/>
      <w:bookmarkEnd w:id="207"/>
      <w:bookmarkEnd w:id="208"/>
      <w:bookmarkEnd w:id="209"/>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default" w:ascii="楷体" w:hAnsi="楷体" w:eastAsia="楷体" w:cs="楷体"/>
          <w:szCs w:val="32"/>
          <w:highlight w:val="none"/>
          <w:lang w:val="en-US" w:eastAsia="zh-CN"/>
        </w:rPr>
      </w:pPr>
      <w:r>
        <w:rPr>
          <w:rStyle w:val="26"/>
          <w:rFonts w:hint="eastAsia" w:ascii="楷体" w:hAnsi="楷体" w:eastAsia="楷体" w:cs="楷体"/>
          <w:szCs w:val="32"/>
          <w:highlight w:val="none"/>
        </w:rPr>
        <w:t>（</w:t>
      </w:r>
      <w:r>
        <w:rPr>
          <w:rStyle w:val="26"/>
          <w:rFonts w:hint="eastAsia" w:ascii="楷体" w:hAnsi="楷体" w:eastAsia="楷体" w:cs="楷体"/>
          <w:szCs w:val="32"/>
          <w:highlight w:val="none"/>
          <w:lang w:val="en-US" w:eastAsia="zh-CN"/>
        </w:rPr>
        <w:t>四</w:t>
      </w:r>
      <w:r>
        <w:rPr>
          <w:rStyle w:val="26"/>
          <w:rFonts w:hint="eastAsia" w:ascii="楷体" w:hAnsi="楷体" w:eastAsia="楷体" w:cs="楷体"/>
          <w:szCs w:val="32"/>
          <w:highlight w:val="none"/>
        </w:rPr>
        <w:t>）</w:t>
      </w:r>
      <w:r>
        <w:rPr>
          <w:rStyle w:val="26"/>
          <w:rFonts w:hint="eastAsia" w:ascii="楷体" w:hAnsi="楷体" w:eastAsia="楷体" w:cs="楷体"/>
          <w:szCs w:val="32"/>
          <w:highlight w:val="none"/>
          <w:lang w:val="en-US" w:eastAsia="zh-CN"/>
        </w:rPr>
        <w:t>部分法院“两庭建设”项目及省法院诉讼服务中心建设项目进度滞后</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两批次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共拨付</w:t>
      </w:r>
      <w:r>
        <w:rPr>
          <w:rFonts w:hint="eastAsia" w:ascii="仿宋_GB2312" w:hAnsi="仿宋_GB2312" w:cs="仿宋_GB2312"/>
          <w:highlight w:val="none"/>
          <w:lang w:val="en-US" w:eastAsia="zh-CN"/>
        </w:rPr>
        <w:t>全省法院“两庭建设”资金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截止评价基准日，其中11个项目已完工并通过验收，3个项目已完工未验收，9个项目尚未完工，1个项目年底未开工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，全省法院“两庭建设”</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项目进度滞后。主要原因为：一是受疫情防控的客观因素影响，部分项目开工时间延后或施工进度缓慢，导致项目整体进度滞后，二是第二批次预算财政资金到位时间较晚，截止年底部分法院无法形成支出。</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诉讼服务中心项目</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于</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2021年10月开工建设</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，项目</w:t>
      </w:r>
      <w:r>
        <w:rPr>
          <w:rFonts w:hint="eastAsia" w:ascii="Times New Roman" w:hAnsi="Times New Roman" w:eastAsia="仿宋_GB2312"/>
          <w:sz w:val="32"/>
          <w:szCs w:val="32"/>
          <w:highlight w:val="none"/>
        </w:rPr>
        <w:t>开工以来，由于疫情封控等客观因素影响，实际施工仅7个月，</w:t>
      </w:r>
      <w:r>
        <w:rPr>
          <w:rFonts w:hint="eastAsia" w:ascii="Times New Roman" w:hAnsi="Times New Roman"/>
          <w:sz w:val="32"/>
          <w:szCs w:val="32"/>
          <w:highlight w:val="none"/>
          <w:lang w:val="en-US" w:eastAsia="zh-CN"/>
        </w:rPr>
        <w:t>截止年底诉讼服务中心整体施工进度约为75%，</w:t>
      </w:r>
      <w:r>
        <w:rPr>
          <w:rFonts w:hint="eastAsia" w:ascii="Times New Roman" w:hAnsi="Times New Roman" w:eastAsia="仿宋_GB2312"/>
          <w:sz w:val="32"/>
          <w:szCs w:val="32"/>
          <w:highlight w:val="none"/>
        </w:rPr>
        <w:t>项目进度相对滞后</w:t>
      </w:r>
      <w:r>
        <w:rPr>
          <w:rFonts w:hint="eastAsia" w:ascii="仿宋_GB2312" w:eastAsia="仿宋_GB2312"/>
          <w:sz w:val="32"/>
          <w:szCs w:val="32"/>
          <w:highlight w:val="none"/>
          <w:lang w:val="en-US" w:eastAsia="zh-CN"/>
        </w:rPr>
        <w:t>。</w:t>
      </w:r>
    </w:p>
    <w:bookmarkEnd w:id="188"/>
    <w:bookmarkEnd w:id="189"/>
    <w:bookmarkEnd w:id="190"/>
    <w:bookmarkEnd w:id="191"/>
    <w:bookmarkEnd w:id="192"/>
    <w:bookmarkEnd w:id="193"/>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210" w:name="_Toc20992"/>
      <w:bookmarkStart w:id="211" w:name="_Toc20282"/>
      <w:bookmarkStart w:id="212" w:name="_Toc15149"/>
      <w:r>
        <w:rPr>
          <w:rFonts w:hint="eastAsia" w:ascii="黑体" w:hAnsi="黑体" w:eastAsia="黑体" w:cs="仿宋"/>
          <w:b w:val="0"/>
          <w:bCs w:val="0"/>
          <w:highlight w:val="none"/>
        </w:rPr>
        <w:t>八、有关建议</w:t>
      </w:r>
      <w:bookmarkEnd w:id="210"/>
      <w:bookmarkEnd w:id="211"/>
      <w:bookmarkEnd w:id="212"/>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ascii="楷体" w:hAnsi="楷体" w:eastAsia="楷体" w:cs="楷体"/>
          <w:szCs w:val="32"/>
          <w:highlight w:val="none"/>
        </w:rPr>
      </w:pPr>
      <w:bookmarkStart w:id="213" w:name="_Toc14800"/>
      <w:bookmarkStart w:id="214" w:name="_Toc28880"/>
      <w:bookmarkStart w:id="215" w:name="_Toc5096"/>
      <w:bookmarkStart w:id="216" w:name="_Toc14595"/>
      <w:bookmarkStart w:id="217" w:name="_Toc16017"/>
      <w:r>
        <w:rPr>
          <w:rStyle w:val="26"/>
          <w:rFonts w:hint="eastAsia" w:ascii="楷体" w:hAnsi="楷体" w:eastAsia="楷体" w:cs="楷体"/>
          <w:szCs w:val="32"/>
          <w:highlight w:val="none"/>
        </w:rPr>
        <w:t>（一）细化预算编制，加快资金执行进度</w:t>
      </w:r>
      <w:bookmarkEnd w:id="213"/>
      <w:bookmarkEnd w:id="214"/>
      <w:bookmarkEnd w:id="215"/>
      <w:bookmarkEnd w:id="216"/>
      <w:bookmarkEnd w:id="217"/>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 w:hAnsi="仿宋" w:eastAsia="仿宋" w:cs="仿宋"/>
          <w:highlight w:val="none"/>
        </w:rPr>
      </w:pPr>
      <w:r>
        <w:rPr>
          <w:rFonts w:hint="eastAsia" w:ascii="仿宋_GB2312" w:hAnsi="仿宋_GB2312" w:eastAsia="仿宋_GB2312" w:cs="仿宋_GB2312"/>
          <w:highlight w:val="none"/>
          <w:lang w:val="en-US" w:eastAsia="zh-CN"/>
        </w:rPr>
        <w:t>一是加强预算编制的前瞻性，按照《预算法》及其实施条例的相关规定、政策规定及项目的实施计划，结合上一年度预算执行情况和本年度预算收支变化因素，科学、合理地编制项目预算。二是落实预算执行分析，及时了解预算执行差异，合理调整、纠正预算执行偏差，切实提高部门预算收支管理水平。</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eastAsia" w:ascii="楷体" w:hAnsi="楷体" w:eastAsia="楷体" w:cs="楷体"/>
          <w:szCs w:val="32"/>
          <w:highlight w:val="none"/>
          <w:lang w:val="en-US" w:eastAsia="zh-CN"/>
        </w:rPr>
      </w:pPr>
      <w:bookmarkStart w:id="218" w:name="_Toc27734"/>
      <w:bookmarkStart w:id="219" w:name="_Toc2978"/>
      <w:bookmarkStart w:id="220" w:name="_Toc5281"/>
      <w:bookmarkStart w:id="221" w:name="_Toc26807"/>
      <w:bookmarkStart w:id="222" w:name="_Toc19966"/>
      <w:r>
        <w:rPr>
          <w:rStyle w:val="26"/>
          <w:rFonts w:hint="eastAsia" w:ascii="楷体" w:hAnsi="楷体" w:eastAsia="楷体" w:cs="楷体"/>
          <w:szCs w:val="32"/>
          <w:highlight w:val="none"/>
          <w:lang w:eastAsia="zh-CN"/>
        </w:rPr>
        <w:t>（</w:t>
      </w:r>
      <w:r>
        <w:rPr>
          <w:rStyle w:val="26"/>
          <w:rFonts w:hint="eastAsia" w:ascii="楷体" w:hAnsi="楷体" w:eastAsia="楷体" w:cs="楷体"/>
          <w:szCs w:val="32"/>
          <w:highlight w:val="none"/>
          <w:lang w:val="en-US" w:eastAsia="zh-CN"/>
        </w:rPr>
        <w:t>二</w:t>
      </w:r>
      <w:r>
        <w:rPr>
          <w:rStyle w:val="26"/>
          <w:rFonts w:hint="eastAsia" w:ascii="楷体" w:hAnsi="楷体" w:eastAsia="楷体" w:cs="楷体"/>
          <w:szCs w:val="32"/>
          <w:highlight w:val="none"/>
          <w:lang w:eastAsia="zh-CN"/>
        </w:rPr>
        <w:t>）</w:t>
      </w:r>
      <w:r>
        <w:rPr>
          <w:rStyle w:val="26"/>
          <w:rFonts w:hint="eastAsia" w:ascii="楷体" w:hAnsi="楷体" w:eastAsia="楷体" w:cs="楷体"/>
          <w:szCs w:val="32"/>
          <w:highlight w:val="none"/>
          <w:lang w:val="en-US" w:eastAsia="zh-CN"/>
        </w:rPr>
        <w:t>加强预算绩效目标管理，提升绩效指标完整性、合理性和科学性</w:t>
      </w:r>
    </w:p>
    <w:bookmarkEnd w:id="218"/>
    <w:bookmarkEnd w:id="219"/>
    <w:bookmarkEnd w:id="220"/>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val="en-US" w:eastAsia="zh-CN"/>
        </w:rPr>
        <w:t>一是强化绩效目标管理，提高预算项目绩效目标填报的完整性、合理性、科学性。项目所设定的绩效目标要依据充分，符合客观实际工作内容。绩效指标要与项目目标任务数或政府投资计划相对应，确保绩效目标的完整性、合理性、科学性。二是</w:t>
      </w:r>
      <w:r>
        <w:rPr>
          <w:rFonts w:hint="eastAsia" w:ascii="仿宋_GB2312" w:hAnsi="仿宋_GB2312" w:eastAsia="仿宋_GB2312" w:cs="仿宋_GB2312"/>
          <w:highlight w:val="none"/>
          <w:lang w:eastAsia="zh-CN"/>
        </w:rPr>
        <w:t>项目</w:t>
      </w:r>
      <w:r>
        <w:rPr>
          <w:rFonts w:hint="eastAsia" w:ascii="仿宋_GB2312" w:hAnsi="仿宋_GB2312" w:cs="仿宋_GB2312"/>
          <w:highlight w:val="none"/>
          <w:lang w:val="en-US" w:eastAsia="zh-CN"/>
        </w:rPr>
        <w:t>实施</w:t>
      </w:r>
      <w:r>
        <w:rPr>
          <w:rFonts w:hint="eastAsia" w:ascii="仿宋_GB2312" w:hAnsi="仿宋_GB2312" w:eastAsia="仿宋_GB2312" w:cs="仿宋_GB2312"/>
          <w:highlight w:val="none"/>
          <w:lang w:eastAsia="zh-CN"/>
        </w:rPr>
        <w:t>单位应</w:t>
      </w:r>
      <w:r>
        <w:rPr>
          <w:rFonts w:hint="eastAsia" w:ascii="仿宋_GB2312" w:hAnsi="仿宋_GB2312" w:cs="仿宋_GB2312"/>
          <w:highlight w:val="none"/>
          <w:lang w:eastAsia="zh-CN"/>
        </w:rPr>
        <w:t>增强</w:t>
      </w:r>
      <w:r>
        <w:rPr>
          <w:rFonts w:hint="eastAsia" w:ascii="仿宋_GB2312" w:hAnsi="仿宋_GB2312" w:eastAsia="仿宋_GB2312" w:cs="仿宋_GB2312"/>
          <w:highlight w:val="none"/>
          <w:lang w:eastAsia="zh-CN"/>
        </w:rPr>
        <w:t>绩效意识，增强绩效目标设定的科学性、合理性和可实现性。加强财政专项资金管理，强化支出责任，建立科学、合理的资金绩效评价管理体系，提高财政专项资金使用效益</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eastAsia" w:ascii="楷体" w:hAnsi="楷体" w:eastAsia="楷体" w:cs="楷体"/>
          <w:szCs w:val="32"/>
          <w:highlight w:val="none"/>
          <w:lang w:val="en-US" w:eastAsia="zh-CN"/>
        </w:rPr>
      </w:pPr>
      <w:bookmarkStart w:id="223" w:name="_Toc14500"/>
      <w:bookmarkStart w:id="224" w:name="_Toc30384"/>
      <w:bookmarkStart w:id="225" w:name="_Toc19499"/>
      <w:r>
        <w:rPr>
          <w:rStyle w:val="26"/>
          <w:rFonts w:hint="eastAsia" w:ascii="楷体" w:hAnsi="楷体" w:eastAsia="楷体" w:cs="楷体"/>
          <w:szCs w:val="32"/>
          <w:highlight w:val="none"/>
        </w:rPr>
        <w:t>（</w:t>
      </w:r>
      <w:r>
        <w:rPr>
          <w:rStyle w:val="26"/>
          <w:rFonts w:hint="eastAsia" w:ascii="楷体" w:hAnsi="楷体" w:eastAsia="楷体" w:cs="楷体"/>
          <w:szCs w:val="32"/>
          <w:highlight w:val="none"/>
          <w:lang w:val="en-US" w:eastAsia="zh-CN"/>
        </w:rPr>
        <w:t>三</w:t>
      </w:r>
      <w:r>
        <w:rPr>
          <w:rStyle w:val="26"/>
          <w:rFonts w:hint="eastAsia" w:ascii="楷体" w:hAnsi="楷体" w:eastAsia="楷体" w:cs="楷体"/>
          <w:szCs w:val="32"/>
          <w:highlight w:val="none"/>
        </w:rPr>
        <w:t>）</w:t>
      </w:r>
      <w:bookmarkEnd w:id="221"/>
      <w:bookmarkEnd w:id="222"/>
      <w:bookmarkEnd w:id="223"/>
      <w:bookmarkEnd w:id="224"/>
      <w:r>
        <w:rPr>
          <w:rStyle w:val="26"/>
          <w:rFonts w:hint="eastAsia" w:ascii="楷体" w:hAnsi="楷体" w:eastAsia="楷体" w:cs="楷体"/>
          <w:szCs w:val="32"/>
          <w:highlight w:val="none"/>
          <w:lang w:val="en-US" w:eastAsia="zh-CN"/>
        </w:rPr>
        <w:t>加强支付审批流程，严格按照合同约定执行付款</w:t>
      </w:r>
    </w:p>
    <w:bookmarkEnd w:id="225"/>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w:t>
      </w:r>
      <w:r>
        <w:rPr>
          <w:rFonts w:hint="eastAsia" w:ascii="仿宋_GB2312" w:hAnsi="仿宋_GB2312" w:cs="仿宋_GB2312"/>
          <w:highlight w:val="none"/>
          <w:lang w:val="en-US" w:eastAsia="zh-CN"/>
        </w:rPr>
        <w:t>实施</w:t>
      </w:r>
      <w:r>
        <w:rPr>
          <w:rFonts w:hint="eastAsia" w:ascii="仿宋_GB2312" w:hAnsi="仿宋_GB2312" w:eastAsia="仿宋_GB2312" w:cs="仿宋_GB2312"/>
          <w:highlight w:val="none"/>
          <w:lang w:val="en-US" w:eastAsia="zh-CN"/>
        </w:rPr>
        <w:t>单位在签订项目合同时，根据项目预计执行情况，合理地设定资金支付时间，并严格按照合同规定时间支付资金，确保资金使用的安全、合规。制定更为严谨科学的《专项资金管理办法》，专款专用，提高资金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6"/>
          <w:rFonts w:hint="default" w:ascii="楷体" w:hAnsi="楷体" w:eastAsia="楷体" w:cs="楷体"/>
          <w:kern w:val="2"/>
          <w:szCs w:val="32"/>
          <w:highlight w:val="none"/>
          <w:lang w:val="en-US" w:eastAsia="zh-CN" w:bidi="ar-SA"/>
        </w:rPr>
      </w:pPr>
      <w:bookmarkStart w:id="226" w:name="_Toc25257"/>
      <w:bookmarkStart w:id="227" w:name="_Toc18984"/>
      <w:bookmarkStart w:id="228" w:name="_Toc9549"/>
      <w:bookmarkStart w:id="229" w:name="_Toc26382"/>
      <w:r>
        <w:rPr>
          <w:rStyle w:val="26"/>
          <w:rFonts w:hint="eastAsia" w:ascii="楷体" w:hAnsi="楷体" w:eastAsia="楷体" w:cs="楷体"/>
          <w:kern w:val="2"/>
          <w:szCs w:val="32"/>
          <w:highlight w:val="none"/>
          <w:lang w:val="en-US" w:eastAsia="zh-CN" w:bidi="ar-SA"/>
        </w:rPr>
        <w:t>（四）加强项目管理，确保项目实施进度</w:t>
      </w:r>
      <w:bookmarkEnd w:id="226"/>
      <w:bookmarkEnd w:id="227"/>
      <w:bookmarkEnd w:id="228"/>
      <w:bookmarkEnd w:id="22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一是规范项目管理，加强项目实施过程中的进度控制，对于影响项目进度的不确定因素，尽快采取相应的解决措施和方法，从而保障项目按计划实施，避免项目开工拖延和时效缺陷。二是</w:t>
      </w:r>
      <w:r>
        <w:rPr>
          <w:rFonts w:hint="eastAsia" w:ascii="仿宋_GB2312" w:hAnsi="仿宋_GB2312" w:eastAsia="仿宋_GB2312" w:cs="仿宋_GB2312"/>
          <w:highlight w:val="none"/>
          <w:lang w:val="en-US" w:eastAsia="zh-CN"/>
        </w:rPr>
        <w:t>加强部门</w:t>
      </w:r>
      <w:r>
        <w:rPr>
          <w:rFonts w:hint="eastAsia" w:ascii="仿宋_GB2312" w:hAnsi="仿宋_GB2312" w:cs="仿宋_GB2312"/>
          <w:highlight w:val="none"/>
          <w:lang w:val="en-US" w:eastAsia="zh-CN"/>
        </w:rPr>
        <w:t>监督</w:t>
      </w:r>
      <w:r>
        <w:rPr>
          <w:rFonts w:hint="eastAsia" w:ascii="仿宋_GB2312" w:hAnsi="仿宋_GB2312" w:eastAsia="仿宋_GB2312" w:cs="仿宋_GB2312"/>
          <w:highlight w:val="none"/>
          <w:lang w:val="en-US" w:eastAsia="zh-CN"/>
        </w:rPr>
        <w:t>，严格执行</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lang w:val="en-US" w:eastAsia="zh-CN"/>
        </w:rPr>
        <w:t>建设程序和监管制度，督促相关</w:t>
      </w:r>
      <w:r>
        <w:rPr>
          <w:rFonts w:hint="eastAsia" w:ascii="仿宋_GB2312" w:hAnsi="仿宋_GB2312" w:cs="仿宋_GB2312"/>
          <w:highlight w:val="none"/>
          <w:lang w:val="en-US" w:eastAsia="zh-CN"/>
        </w:rPr>
        <w:t>项目实施单位</w:t>
      </w:r>
      <w:r>
        <w:rPr>
          <w:rFonts w:hint="eastAsia" w:ascii="仿宋_GB2312" w:hAnsi="仿宋_GB2312" w:eastAsia="仿宋_GB2312" w:cs="仿宋_GB2312"/>
          <w:highlight w:val="none"/>
          <w:lang w:val="en-US" w:eastAsia="zh-CN"/>
        </w:rPr>
        <w:t>加快进度，</w:t>
      </w:r>
      <w:r>
        <w:rPr>
          <w:rFonts w:hint="eastAsia" w:ascii="仿宋_GB2312" w:hAnsi="仿宋_GB2312" w:cs="仿宋_GB2312"/>
          <w:highlight w:val="none"/>
          <w:lang w:val="en-US" w:eastAsia="zh-CN"/>
        </w:rPr>
        <w:t>加快推进项目实施进度</w:t>
      </w:r>
      <w:r>
        <w:rPr>
          <w:rFonts w:hint="eastAsia" w:ascii="仿宋_GB2312" w:hAnsi="仿宋_GB2312" w:eastAsia="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0"/>
        <w:rPr>
          <w:rFonts w:hint="eastAsia" w:ascii="黑体" w:hAnsi="黑体" w:eastAsia="黑体" w:cs="仿宋"/>
          <w:b/>
          <w:bCs/>
          <w:highlight w:val="none"/>
        </w:rPr>
      </w:pPr>
      <w:bookmarkStart w:id="230" w:name="_Toc18465"/>
      <w:bookmarkStart w:id="231" w:name="_Toc14765"/>
      <w:bookmarkStart w:id="232" w:name="_Toc8653"/>
      <w:r>
        <w:rPr>
          <w:rFonts w:hint="eastAsia" w:ascii="黑体" w:hAnsi="黑体" w:eastAsia="黑体" w:cs="仿宋"/>
          <w:b/>
          <w:bCs/>
          <w:highlight w:val="none"/>
        </w:rPr>
        <w:t>九、需要说明的问题</w:t>
      </w:r>
      <w:bookmarkEnd w:id="230"/>
      <w:bookmarkEnd w:id="231"/>
      <w:bookmarkEnd w:id="23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无。</w:t>
      </w:r>
    </w:p>
    <w:p>
      <w:pPr>
        <w:pStyle w:val="2"/>
        <w:keepNext w:val="0"/>
        <w:keepLines w:val="0"/>
        <w:pageBreakBefore w:val="0"/>
        <w:widowControl w:val="0"/>
        <w:kinsoku/>
        <w:wordWrap/>
        <w:overflowPunct w:val="0"/>
        <w:topLinePunct w:val="0"/>
        <w:autoSpaceDE/>
        <w:autoSpaceDN/>
        <w:bidi w:val="0"/>
        <w:adjustRightInd/>
        <w:spacing w:line="660" w:lineRule="exact"/>
        <w:ind w:left="111" w:right="125" w:firstLine="639"/>
        <w:rPr>
          <w:rFonts w:hint="eastAsia" w:ascii="仿宋" w:hAnsi="仿宋" w:eastAsia="仿宋" w:cs="仿宋"/>
          <w:highlight w:val="none"/>
        </w:rPr>
      </w:pPr>
      <w:r>
        <w:rPr>
          <w:rFonts w:hint="eastAsia" w:ascii="仿宋" w:hAnsi="仿宋" w:eastAsia="仿宋" w:cs="仿宋"/>
          <w:highlight w:val="none"/>
        </w:rPr>
        <w:t xml:space="preserve">                    </w:t>
      </w:r>
      <w:bookmarkStart w:id="233" w:name="_Toc28005"/>
      <w:r>
        <w:rPr>
          <w:rFonts w:hint="eastAsia" w:ascii="仿宋" w:hAnsi="仿宋" w:eastAsia="仿宋" w:cs="仿宋"/>
          <w:highlight w:val="none"/>
        </w:rPr>
        <w:br w:type="page"/>
      </w:r>
    </w:p>
    <w:p>
      <w:pPr>
        <w:pStyle w:val="2"/>
        <w:keepNext w:val="0"/>
        <w:keepLines w:val="0"/>
        <w:pageBreakBefore w:val="0"/>
        <w:widowControl w:val="0"/>
        <w:kinsoku/>
        <w:wordWrap/>
        <w:overflowPunct w:val="0"/>
        <w:topLinePunct w:val="0"/>
        <w:autoSpaceDE/>
        <w:autoSpaceDN/>
        <w:bidi w:val="0"/>
        <w:adjustRightInd/>
        <w:snapToGrid/>
        <w:spacing w:line="660" w:lineRule="exact"/>
        <w:ind w:left="0" w:right="0" w:firstLine="0"/>
        <w:textAlignment w:val="auto"/>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本页无正文</w:t>
      </w:r>
      <w:r>
        <w:rPr>
          <w:rFonts w:hint="eastAsia" w:ascii="仿宋" w:hAnsi="仿宋" w:eastAsia="仿宋" w:cs="仿宋"/>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660" w:lineRule="exact"/>
        <w:ind w:left="0" w:right="0" w:firstLine="0"/>
        <w:textAlignment w:val="auto"/>
        <w:rPr>
          <w:rFonts w:ascii="仿宋" w:hAnsi="仿宋" w:eastAsia="仿宋" w:cs="仿宋"/>
          <w:highlight w:val="none"/>
        </w:rPr>
      </w:pPr>
      <w:r>
        <w:rPr>
          <w:rFonts w:hint="eastAsia" w:ascii="仿宋" w:hAnsi="仿宋" w:eastAsia="仿宋" w:cs="仿宋"/>
          <w:highlight w:val="none"/>
        </w:rPr>
        <w:t>附表：1.</w:t>
      </w:r>
      <w:bookmarkEnd w:id="233"/>
      <w:r>
        <w:rPr>
          <w:rFonts w:hint="eastAsia" w:ascii="仿宋" w:hAnsi="仿宋" w:eastAsia="仿宋" w:cs="仿宋"/>
          <w:highlight w:val="none"/>
        </w:rPr>
        <w:t>全省法院“两庭建设”资金项目支出绩效评价评分表</w:t>
      </w:r>
    </w:p>
    <w:p>
      <w:pPr>
        <w:pStyle w:val="2"/>
        <w:keepNext w:val="0"/>
        <w:keepLines w:val="0"/>
        <w:pageBreakBefore w:val="0"/>
        <w:widowControl w:val="0"/>
        <w:kinsoku/>
        <w:wordWrap/>
        <w:overflowPunct w:val="0"/>
        <w:topLinePunct w:val="0"/>
        <w:autoSpaceDE/>
        <w:autoSpaceDN/>
        <w:bidi w:val="0"/>
        <w:adjustRightInd/>
        <w:snapToGrid/>
        <w:spacing w:line="660" w:lineRule="exact"/>
        <w:ind w:firstLine="960" w:firstLineChars="300"/>
        <w:jc w:val="left"/>
        <w:textAlignment w:val="auto"/>
        <w:outlineLvl w:val="9"/>
        <w:rPr>
          <w:rFonts w:ascii="仿宋" w:hAnsi="仿宋" w:eastAsia="仿宋" w:cs="仿宋"/>
          <w:highlight w:val="none"/>
        </w:rPr>
      </w:pPr>
      <w:bookmarkStart w:id="234" w:name="_Toc15958"/>
      <w:r>
        <w:rPr>
          <w:rFonts w:hint="eastAsia" w:ascii="仿宋" w:hAnsi="仿宋" w:eastAsia="仿宋" w:cs="仿宋"/>
          <w:highlight w:val="none"/>
        </w:rPr>
        <w:t>2.全省法院“两庭建设”资金项目问题清单</w:t>
      </w:r>
    </w:p>
    <w:bookmarkEnd w:id="234"/>
    <w:p>
      <w:pPr>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3"/>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3"/>
        <w:keepNext w:val="0"/>
        <w:keepLines w:val="0"/>
        <w:pageBreakBefore w:val="0"/>
        <w:widowControl w:val="0"/>
        <w:kinsoku/>
        <w:wordWrap/>
        <w:overflowPunct w:val="0"/>
        <w:topLinePunct w:val="0"/>
        <w:autoSpaceDE/>
        <w:autoSpaceDN/>
        <w:bidi w:val="0"/>
        <w:adjustRightInd/>
        <w:ind w:firstLine="5120" w:firstLineChars="1600"/>
        <w:rPr>
          <w:rFonts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29</w:t>
      </w:r>
      <w:r>
        <w:rPr>
          <w:rFonts w:hint="eastAsia" w:ascii="仿宋" w:hAnsi="仿宋" w:eastAsia="仿宋" w:cs="仿宋"/>
          <w:sz w:val="32"/>
          <w:szCs w:val="32"/>
          <w:highlight w:val="none"/>
        </w:rPr>
        <w:t>日</w:t>
      </w: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78EA5F-A210-420A-A453-1AAEB60CF7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B264F7A2-F543-4F4D-BD04-3E8561731AA9}"/>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6064665D-1705-4D47-ACE5-6EA8981CBDD8}"/>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embedRegular r:id="rId4" w:fontKey="{CBF200D6-835E-49E9-92EC-FF914143D4EC}"/>
  </w:font>
  <w:font w:name="楷体">
    <w:panose1 w:val="02010609060101010101"/>
    <w:charset w:val="86"/>
    <w:family w:val="modern"/>
    <w:pitch w:val="default"/>
    <w:sig w:usb0="800002BF" w:usb1="38CF7CFA" w:usb2="00000016" w:usb3="00000000" w:csb0="00040001" w:csb1="00000000"/>
    <w:embedRegular r:id="rId5" w:fontKey="{C66DAA46-A421-491F-9865-47FE6F334D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rFonts w:hint="eastAsia" w:ascii="黑体" w:hAnsi="黑体" w:eastAsia="黑体"/>
      </w:rPr>
      <w:t>地址：甘肃省兰州市</w:t>
    </w:r>
    <w:r>
      <w:rPr>
        <w:rFonts w:ascii="黑体" w:hAnsi="黑体" w:eastAsia="黑体"/>
      </w:rPr>
      <w:t>城关区</w:t>
    </w:r>
    <w:r>
      <w:rPr>
        <w:rFonts w:hint="eastAsia" w:ascii="黑体" w:hAnsi="黑体" w:eastAsia="黑体"/>
        <w:lang w:val="en-US" w:eastAsia="zh-CN"/>
      </w:rPr>
      <w:t>南滨河</w:t>
    </w:r>
    <w:r>
      <w:rPr>
        <w:rFonts w:ascii="黑体" w:hAnsi="黑体" w:eastAsia="黑体"/>
      </w:rPr>
      <w:t>东路</w:t>
    </w:r>
    <w:r>
      <w:rPr>
        <w:rFonts w:hint="eastAsia" w:ascii="黑体" w:hAnsi="黑体" w:eastAsia="黑体"/>
        <w:lang w:val="en-US" w:eastAsia="zh-CN"/>
      </w:rPr>
      <w:t>5148</w:t>
    </w:r>
    <w:r>
      <w:rPr>
        <w:rFonts w:hint="eastAsia" w:ascii="黑体" w:hAnsi="黑体" w:eastAsia="黑体"/>
      </w:rPr>
      <w:t>号</w:t>
    </w:r>
    <w:r>
      <w:rPr>
        <w:rFonts w:hint="eastAsia" w:ascii="黑体" w:hAnsi="黑体" w:eastAsia="黑体"/>
        <w:lang w:val="en-US" w:eastAsia="zh-CN"/>
      </w:rPr>
      <w:t>名城广场1栋1单元20</w:t>
    </w:r>
    <w:r>
      <w:rPr>
        <w:rFonts w:hint="eastAsia" w:ascii="黑体" w:hAnsi="黑体" w:eastAsia="黑体"/>
      </w:rPr>
      <w:t>层</w:t>
    </w:r>
    <w:r>
      <w:rPr>
        <w:rFonts w:hint="eastAsia" w:ascii="黑体" w:hAnsi="黑体" w:eastAsia="黑体"/>
        <w:lang w:val="en-US" w:eastAsia="zh-CN"/>
      </w:rPr>
      <w:t>2016室</w:t>
    </w:r>
    <w:r>
      <w:rPr>
        <w:rFonts w:ascii="黑体" w:hAnsi="黑体" w:eastAsia="黑体"/>
      </w:rPr>
      <w:t xml:space="preserve">  </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2453640</wp:posOffset>
              </wp:positionH>
              <wp:positionV relativeFrom="paragraph">
                <wp:posOffset>329565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3.2pt;margin-top:25.95pt;height:144pt;width:144pt;mso-position-horizontal-relative:margin;mso-wrap-style:none;z-index:251659264;mso-width-relative:page;mso-height-relative:page;" filled="f" stroked="f" coordsize="21600,21600" o:gfxdata="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ZxGwr1wAAAAoBAAAPAAAAAAAAAAEAIAAAACIAAABkcnMvZG93bnJldi54bWxQ&#10;SwECFAAUAAAACACHTuJAJIJGtDECAABhBAAADgAAAAAAAAABACAAAAAmAQAAZHJzL2Uyb0RvYy54&#10;bWxQSwUGAAAAAAYABgBZAQAAy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rPr>
      <w:t>地址：甘肃省兰州市</w:t>
    </w:r>
    <w:r>
      <w:rPr>
        <w:rFonts w:ascii="黑体" w:hAnsi="黑体" w:eastAsia="黑体"/>
      </w:rPr>
      <w:t>城关区</w:t>
    </w:r>
    <w:r>
      <w:rPr>
        <w:rFonts w:hint="eastAsia" w:ascii="黑体" w:hAnsi="黑体" w:eastAsia="黑体"/>
        <w:lang w:val="en-US" w:eastAsia="zh-CN"/>
      </w:rPr>
      <w:t>南滨河</w:t>
    </w:r>
    <w:r>
      <w:rPr>
        <w:rFonts w:ascii="黑体" w:hAnsi="黑体" w:eastAsia="黑体"/>
      </w:rPr>
      <w:t>东路</w:t>
    </w:r>
    <w:r>
      <w:rPr>
        <w:rFonts w:hint="eastAsia" w:ascii="黑体" w:hAnsi="黑体" w:eastAsia="黑体"/>
        <w:lang w:val="en-US" w:eastAsia="zh-CN"/>
      </w:rPr>
      <w:t>5148</w:t>
    </w:r>
    <w:r>
      <w:rPr>
        <w:rFonts w:hint="eastAsia" w:ascii="黑体" w:hAnsi="黑体" w:eastAsia="黑体"/>
      </w:rPr>
      <w:t>号</w:t>
    </w:r>
    <w:r>
      <w:rPr>
        <w:rFonts w:hint="eastAsia" w:ascii="黑体" w:hAnsi="黑体" w:eastAsia="黑体"/>
        <w:lang w:val="en-US" w:eastAsia="zh-CN"/>
      </w:rPr>
      <w:t>名城广场1栋1单元20</w:t>
    </w:r>
    <w:r>
      <w:rPr>
        <w:rFonts w:hint="eastAsia" w:ascii="黑体" w:hAnsi="黑体" w:eastAsia="黑体"/>
      </w:rPr>
      <w:t>层</w:t>
    </w:r>
    <w:r>
      <w:rPr>
        <w:rFonts w:hint="eastAsia" w:ascii="黑体" w:hAnsi="黑体" w:eastAsia="黑体"/>
        <w:lang w:val="en-US" w:eastAsia="zh-CN"/>
      </w:rPr>
      <w:t>2016室</w:t>
    </w:r>
    <w:r>
      <w:rPr>
        <w:rFonts w:ascii="黑体" w:hAnsi="黑体" w:eastAsia="黑体"/>
      </w:rPr>
      <w:t xml:space="preserve">  </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4" name="图片 14"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D1ACB"/>
    <w:multiLevelType w:val="singleLevel"/>
    <w:tmpl w:val="1A7D1ACB"/>
    <w:lvl w:ilvl="0" w:tentative="0">
      <w:start w:val="5"/>
      <w:numFmt w:val="chineseCounting"/>
      <w:suff w:val="nothing"/>
      <w:lvlText w:val="%1、"/>
      <w:lvlJc w:val="left"/>
      <w:rPr>
        <w:rFonts w:hint="eastAsia"/>
      </w:rPr>
    </w:lvl>
  </w:abstractNum>
  <w:abstractNum w:abstractNumId="1">
    <w:nsid w:val="67D489BD"/>
    <w:multiLevelType w:val="singleLevel"/>
    <w:tmpl w:val="67D489B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789A"/>
    <w:rsid w:val="002D79DD"/>
    <w:rsid w:val="002E3891"/>
    <w:rsid w:val="002E3A80"/>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D1277"/>
    <w:rsid w:val="00FD6444"/>
    <w:rsid w:val="02BD28A4"/>
    <w:rsid w:val="03BC3D8A"/>
    <w:rsid w:val="03E97283"/>
    <w:rsid w:val="045645C0"/>
    <w:rsid w:val="04AB18D2"/>
    <w:rsid w:val="04EA2A73"/>
    <w:rsid w:val="05BB0250"/>
    <w:rsid w:val="07DB3C43"/>
    <w:rsid w:val="08273D7A"/>
    <w:rsid w:val="08CD16FF"/>
    <w:rsid w:val="08E1406C"/>
    <w:rsid w:val="08F22909"/>
    <w:rsid w:val="0A8D1298"/>
    <w:rsid w:val="0AB94B2B"/>
    <w:rsid w:val="0C1741FF"/>
    <w:rsid w:val="0E945792"/>
    <w:rsid w:val="0F9473FE"/>
    <w:rsid w:val="0FF03D3B"/>
    <w:rsid w:val="10D37F86"/>
    <w:rsid w:val="10D92909"/>
    <w:rsid w:val="1221240D"/>
    <w:rsid w:val="13071A5B"/>
    <w:rsid w:val="132B66D6"/>
    <w:rsid w:val="142D5185"/>
    <w:rsid w:val="158C54DA"/>
    <w:rsid w:val="17795D6E"/>
    <w:rsid w:val="178E68E1"/>
    <w:rsid w:val="18105EEC"/>
    <w:rsid w:val="187769F1"/>
    <w:rsid w:val="189E07A9"/>
    <w:rsid w:val="18F449AC"/>
    <w:rsid w:val="19871A5C"/>
    <w:rsid w:val="1B50328A"/>
    <w:rsid w:val="1BB328E7"/>
    <w:rsid w:val="1D6D4477"/>
    <w:rsid w:val="1DA57F9D"/>
    <w:rsid w:val="1E454E43"/>
    <w:rsid w:val="1EAF02C7"/>
    <w:rsid w:val="1F037124"/>
    <w:rsid w:val="20934552"/>
    <w:rsid w:val="211803A6"/>
    <w:rsid w:val="21843C8D"/>
    <w:rsid w:val="226D6F9C"/>
    <w:rsid w:val="22B834CC"/>
    <w:rsid w:val="22BA6C58"/>
    <w:rsid w:val="22F977E7"/>
    <w:rsid w:val="24B3368D"/>
    <w:rsid w:val="24FF4DBF"/>
    <w:rsid w:val="256D300D"/>
    <w:rsid w:val="25A16BBC"/>
    <w:rsid w:val="26C47DB8"/>
    <w:rsid w:val="26DB245B"/>
    <w:rsid w:val="26DE3F04"/>
    <w:rsid w:val="277C2B6C"/>
    <w:rsid w:val="280C100C"/>
    <w:rsid w:val="29A7676B"/>
    <w:rsid w:val="2B9132EB"/>
    <w:rsid w:val="2CB02D9F"/>
    <w:rsid w:val="2D637948"/>
    <w:rsid w:val="2E3A29A3"/>
    <w:rsid w:val="2EBC2148"/>
    <w:rsid w:val="2ECC23EA"/>
    <w:rsid w:val="2EDC036D"/>
    <w:rsid w:val="32A46ECB"/>
    <w:rsid w:val="32B1544F"/>
    <w:rsid w:val="336851BD"/>
    <w:rsid w:val="363C7702"/>
    <w:rsid w:val="373B0166"/>
    <w:rsid w:val="375B3B33"/>
    <w:rsid w:val="383D6C90"/>
    <w:rsid w:val="38830D8A"/>
    <w:rsid w:val="38C45C47"/>
    <w:rsid w:val="3A8D195C"/>
    <w:rsid w:val="3B414D4C"/>
    <w:rsid w:val="3BC267EB"/>
    <w:rsid w:val="3BF42446"/>
    <w:rsid w:val="3C6E1044"/>
    <w:rsid w:val="3E1D2536"/>
    <w:rsid w:val="3F3A324D"/>
    <w:rsid w:val="3FDA3A9E"/>
    <w:rsid w:val="40692574"/>
    <w:rsid w:val="40F956A6"/>
    <w:rsid w:val="42C321E3"/>
    <w:rsid w:val="43D079C6"/>
    <w:rsid w:val="43DA0771"/>
    <w:rsid w:val="44CF424F"/>
    <w:rsid w:val="44FE7ACA"/>
    <w:rsid w:val="455707BA"/>
    <w:rsid w:val="45706814"/>
    <w:rsid w:val="46F96E62"/>
    <w:rsid w:val="47207120"/>
    <w:rsid w:val="48095375"/>
    <w:rsid w:val="483B5A4C"/>
    <w:rsid w:val="48A227C7"/>
    <w:rsid w:val="49F22E5E"/>
    <w:rsid w:val="4A4879D7"/>
    <w:rsid w:val="4A7A052A"/>
    <w:rsid w:val="4BCA2C89"/>
    <w:rsid w:val="4C5E7F06"/>
    <w:rsid w:val="4C7D53DD"/>
    <w:rsid w:val="4CD859A4"/>
    <w:rsid w:val="4CDF4C95"/>
    <w:rsid w:val="4E5F20DC"/>
    <w:rsid w:val="51534738"/>
    <w:rsid w:val="527A5B41"/>
    <w:rsid w:val="528B6A42"/>
    <w:rsid w:val="531A233B"/>
    <w:rsid w:val="54AA7074"/>
    <w:rsid w:val="54E52762"/>
    <w:rsid w:val="552A5942"/>
    <w:rsid w:val="55C85553"/>
    <w:rsid w:val="55EB5D70"/>
    <w:rsid w:val="56360516"/>
    <w:rsid w:val="57114DA6"/>
    <w:rsid w:val="57266671"/>
    <w:rsid w:val="57A53D4A"/>
    <w:rsid w:val="57BA3C8B"/>
    <w:rsid w:val="587A4EC7"/>
    <w:rsid w:val="5BC50B37"/>
    <w:rsid w:val="5BCB1ABD"/>
    <w:rsid w:val="5BE80399"/>
    <w:rsid w:val="5D4D151D"/>
    <w:rsid w:val="5D5C1A81"/>
    <w:rsid w:val="5EAD3211"/>
    <w:rsid w:val="5EF872DF"/>
    <w:rsid w:val="61CC1ACA"/>
    <w:rsid w:val="62D957B2"/>
    <w:rsid w:val="630755A9"/>
    <w:rsid w:val="64582D6A"/>
    <w:rsid w:val="650F6DA9"/>
    <w:rsid w:val="65527A8B"/>
    <w:rsid w:val="66E15384"/>
    <w:rsid w:val="67746BAD"/>
    <w:rsid w:val="68807C45"/>
    <w:rsid w:val="69C53AC8"/>
    <w:rsid w:val="69F80C3A"/>
    <w:rsid w:val="6A8B1F10"/>
    <w:rsid w:val="6B9D61A3"/>
    <w:rsid w:val="6C045BF5"/>
    <w:rsid w:val="6CAD71C1"/>
    <w:rsid w:val="6E2C310F"/>
    <w:rsid w:val="6ED83431"/>
    <w:rsid w:val="6F3B77E2"/>
    <w:rsid w:val="6F8473B0"/>
    <w:rsid w:val="6FC00ECA"/>
    <w:rsid w:val="6FCA5E2A"/>
    <w:rsid w:val="701A2DBF"/>
    <w:rsid w:val="704A2F79"/>
    <w:rsid w:val="70593D8C"/>
    <w:rsid w:val="70D40212"/>
    <w:rsid w:val="712B4B58"/>
    <w:rsid w:val="72091EDD"/>
    <w:rsid w:val="724F50E7"/>
    <w:rsid w:val="73EA6AF1"/>
    <w:rsid w:val="745F62F8"/>
    <w:rsid w:val="7521549D"/>
    <w:rsid w:val="760D4365"/>
    <w:rsid w:val="76AE5273"/>
    <w:rsid w:val="77871883"/>
    <w:rsid w:val="77AA195C"/>
    <w:rsid w:val="79AB0441"/>
    <w:rsid w:val="79BD4E91"/>
    <w:rsid w:val="7B296B6F"/>
    <w:rsid w:val="7B5F3D7C"/>
    <w:rsid w:val="7BD20EBC"/>
    <w:rsid w:val="7BE944F5"/>
    <w:rsid w:val="7C367028"/>
    <w:rsid w:val="7D757D1D"/>
    <w:rsid w:val="7DA168CE"/>
    <w:rsid w:val="7DAB58E2"/>
    <w:rsid w:val="7F042647"/>
    <w:rsid w:val="7F3D0469"/>
    <w:rsid w:val="7F4071C4"/>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6"/>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paragraph" w:styleId="8">
    <w:name w:val="heading 7"/>
    <w:basedOn w:val="1"/>
    <w:next w:val="1"/>
    <w:unhideWhenUsed/>
    <w:qFormat/>
    <w:uiPriority w:val="0"/>
    <w:pPr>
      <w:keepNext/>
      <w:keepLines/>
      <w:spacing w:before="240" w:beforeLines="0" w:beforeAutospacing="0" w:after="64" w:afterLines="0" w:afterAutospacing="0" w:line="317" w:lineRule="auto"/>
      <w:outlineLvl w:val="6"/>
    </w:pPr>
    <w:rPr>
      <w:b/>
      <w:sz w:val="2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asciiTheme="minorAscii" w:hAnsiTheme="minorAscii"/>
      <w:sz w:val="32"/>
      <w:szCs w:val="32"/>
    </w:rPr>
  </w:style>
  <w:style w:type="paragraph" w:styleId="3">
    <w:name w:val="footer"/>
    <w:basedOn w:val="1"/>
    <w:link w:val="27"/>
    <w:qFormat/>
    <w:uiPriority w:val="99"/>
    <w:pPr>
      <w:tabs>
        <w:tab w:val="center" w:pos="4153"/>
        <w:tab w:val="right" w:pos="8306"/>
      </w:tabs>
      <w:snapToGrid w:val="0"/>
      <w:jc w:val="left"/>
    </w:pPr>
    <w:rPr>
      <w:sz w:val="18"/>
    </w:rPr>
  </w:style>
  <w:style w:type="paragraph" w:styleId="9">
    <w:name w:val="annotation text"/>
    <w:basedOn w:val="1"/>
    <w:qFormat/>
    <w:uiPriority w:val="0"/>
    <w:pPr>
      <w:jc w:val="left"/>
    </w:pPr>
  </w:style>
  <w:style w:type="paragraph" w:styleId="10">
    <w:name w:val="toc 3"/>
    <w:basedOn w:val="1"/>
    <w:next w:val="1"/>
    <w:qFormat/>
    <w:uiPriority w:val="0"/>
    <w:pPr>
      <w:ind w:left="840" w:leftChars="400"/>
    </w:pPr>
  </w:style>
  <w:style w:type="paragraph" w:styleId="11">
    <w:name w:val="Body Text Indent 2"/>
    <w:basedOn w:val="1"/>
    <w:next w:val="12"/>
    <w:qFormat/>
    <w:uiPriority w:val="0"/>
    <w:pPr>
      <w:spacing w:after="120" w:line="480" w:lineRule="auto"/>
      <w:ind w:left="420" w:leftChars="200"/>
    </w:pPr>
    <w:rPr>
      <w:rFonts w:ascii="Calibri" w:hAnsi="Calibri" w:eastAsia="宋体"/>
    </w:rPr>
  </w:style>
  <w:style w:type="paragraph" w:styleId="12">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正文文本缩进 21"/>
    <w:basedOn w:val="1"/>
    <w:next w:val="13"/>
    <w:qFormat/>
    <w:uiPriority w:val="0"/>
    <w:pPr>
      <w:spacing w:line="480" w:lineRule="auto"/>
      <w:ind w:left="420" w:leftChars="200"/>
    </w:pPr>
  </w:style>
  <w:style w:type="paragraph" w:customStyle="1" w:styleId="20">
    <w:name w:val="样式  + 首行缩进:  2 字符"/>
    <w:basedOn w:val="1"/>
    <w:qFormat/>
    <w:uiPriority w:val="0"/>
    <w:pPr>
      <w:adjustRightInd w:val="0"/>
      <w:snapToGrid w:val="0"/>
      <w:ind w:firstLine="480"/>
    </w:pPr>
    <w:rPr>
      <w:kern w:val="0"/>
      <w:sz w:val="24"/>
    </w:rPr>
  </w:style>
  <w:style w:type="paragraph" w:styleId="21">
    <w:name w:val="List Paragraph"/>
    <w:basedOn w:val="1"/>
    <w:qFormat/>
    <w:uiPriority w:val="99"/>
    <w:pPr>
      <w:ind w:firstLine="420" w:firstLineChars="200"/>
    </w:p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5">
    <w:name w:val="标题 1 字符"/>
    <w:basedOn w:val="18"/>
    <w:link w:val="4"/>
    <w:qFormat/>
    <w:uiPriority w:val="0"/>
    <w:rPr>
      <w:rFonts w:asciiTheme="minorHAnsi" w:hAnsiTheme="minorHAnsi" w:eastAsiaTheme="minorEastAsia" w:cstheme="minorBidi"/>
      <w:b/>
      <w:bCs/>
      <w:kern w:val="44"/>
      <w:sz w:val="44"/>
      <w:szCs w:val="44"/>
    </w:rPr>
  </w:style>
  <w:style w:type="character" w:customStyle="1" w:styleId="26">
    <w:name w:val="标题 2 字符"/>
    <w:link w:val="5"/>
    <w:qFormat/>
    <w:uiPriority w:val="0"/>
    <w:rPr>
      <w:rFonts w:ascii="Arial" w:hAnsi="Arial" w:eastAsia="仿宋"/>
      <w:b/>
      <w:sz w:val="32"/>
    </w:rPr>
  </w:style>
  <w:style w:type="character" w:customStyle="1" w:styleId="27">
    <w:name w:val="页脚 字符"/>
    <w:basedOn w:val="18"/>
    <w:link w:val="3"/>
    <w:qFormat/>
    <w:uiPriority w:val="99"/>
    <w:rPr>
      <w:rFonts w:asciiTheme="minorHAnsi" w:hAnsiTheme="minorHAnsi" w:eastAsiaTheme="minorEastAsia" w:cstheme="minorBidi"/>
      <w:kern w:val="2"/>
      <w:sz w:val="18"/>
      <w:szCs w:val="22"/>
    </w:rPr>
  </w:style>
  <w:style w:type="character" w:customStyle="1" w:styleId="28">
    <w:name w:val="font11"/>
    <w:basedOn w:val="18"/>
    <w:qFormat/>
    <w:uiPriority w:val="0"/>
    <w:rPr>
      <w:rFonts w:hint="eastAsia" w:ascii="宋体" w:hAnsi="宋体" w:eastAsia="宋体" w:cs="宋体"/>
      <w:color w:val="000000"/>
      <w:sz w:val="21"/>
      <w:szCs w:val="21"/>
      <w:u w:val="none"/>
    </w:rPr>
  </w:style>
  <w:style w:type="character" w:customStyle="1" w:styleId="29">
    <w:name w:val="font21"/>
    <w:basedOn w:val="18"/>
    <w:qFormat/>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80" b="0" i="0" u="none" strike="noStrike" kern="1200" spc="0" baseline="0">
                <a:solidFill>
                  <a:schemeClr val="tx1"/>
                </a:solidFill>
                <a:latin typeface="+mn-lt"/>
                <a:ea typeface="+mn-ea"/>
                <a:cs typeface="+mn-cs"/>
              </a:defRPr>
            </a:pPr>
            <a:r>
              <a:rPr lang="en-US" altLang="zh-CN" sz="1080"/>
              <a:t>         </a:t>
            </a:r>
            <a:r>
              <a:rPr lang="en-US" altLang="zh-CN" sz="1400"/>
              <a:t> </a:t>
            </a:r>
            <a:r>
              <a:rPr altLang="en-US" sz="1200"/>
              <a:t>全省法院</a:t>
            </a:r>
            <a:r>
              <a:rPr lang="en-US" altLang="zh-CN" sz="1200"/>
              <a:t>“</a:t>
            </a:r>
            <a:r>
              <a:rPr altLang="en-US" sz="1200"/>
              <a:t>两庭建设</a:t>
            </a:r>
            <a:r>
              <a:rPr lang="en-US" altLang="zh-CN" sz="1200"/>
              <a:t>”</a:t>
            </a:r>
            <a:r>
              <a:rPr altLang="en-US" sz="1200"/>
              <a:t>资金项目绩效评价指标得分情况</a:t>
            </a:r>
            <a:endParaRPr lang="en-US" altLang="en-US" sz="1200"/>
          </a:p>
        </c:rich>
      </c:tx>
      <c:layout>
        <c:manualLayout>
          <c:xMode val="edge"/>
          <c:yMode val="edge"/>
          <c:x val="0.118242289963582"/>
          <c:y val="0.0264140059787203"/>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16</c:v>
                </c:pt>
                <c:pt idx="1">
                  <c:v>14</c:v>
                </c:pt>
                <c:pt idx="2">
                  <c:v>40</c:v>
                </c:pt>
                <c:pt idx="3">
                  <c:v>20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15</c:v>
                </c:pt>
                <c:pt idx="1">
                  <c:v>12.9</c:v>
                </c:pt>
                <c:pt idx="2">
                  <c:v>29.48</c:v>
                </c:pt>
                <c:pt idx="3">
                  <c:v>20</c:v>
                </c:pt>
                <c:pt idx="4">
                  <c:v>9.28</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20418652473690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725"/>
                  <c:y val="-0.004166666666666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875"/>
                  <c:y val="-0.0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3175"/>
                  <c:y val="-0.00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30639893552679"/>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0.9375</c:v>
                </c:pt>
                <c:pt idx="1">
                  <c:v>0.921428571428571</c:v>
                </c:pt>
                <c:pt idx="2">
                  <c:v>0.737</c:v>
                </c:pt>
                <c:pt idx="3">
                  <c:v>1</c:v>
                </c:pt>
                <c:pt idx="4">
                  <c:v>0.928</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sz="900">
          <a:solidFill>
            <a:schemeClr val="tx1"/>
          </a:solid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1</a:t>
            </a:r>
            <a:r>
              <a:t>满意度调查结果统计图</a:t>
            </a:r>
          </a:p>
        </c:rich>
      </c:tx>
      <c:layout>
        <c:manualLayout>
          <c:xMode val="edge"/>
          <c:yMode val="edge"/>
          <c:x val="0.20763178599528"/>
          <c:y val="0.0395573345891217"/>
        </c:manualLayout>
      </c:layout>
      <c:overlay val="0"/>
      <c:spPr>
        <a:noFill/>
        <a:ln>
          <a:noFill/>
        </a:ln>
        <a:effectLst/>
      </c:spPr>
    </c:title>
    <c:autoTitleDeleted val="0"/>
    <c:plotArea>
      <c:layout>
        <c:manualLayout>
          <c:layoutTarget val="inner"/>
          <c:xMode val="edge"/>
          <c:yMode val="edge"/>
          <c:x val="0.303625491738788"/>
          <c:y val="0.219811631740052"/>
          <c:w val="0.388972462627852"/>
          <c:h val="0.582039086413939"/>
        </c:manualLayout>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bg2">
                  <a:lumMod val="50000"/>
                </a:schemeClr>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715971675845791"/>
                  <c:y val="-0.0051801271485754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140047206923682"/>
                  <c:y val="0.020955968919237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02832415420928"/>
                  <c:y val="-0.013185778196373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45476003147128"/>
                  <c:y val="-0.023546032493524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非常充足</c:v>
                </c:pt>
                <c:pt idx="1">
                  <c:v>比较充足</c:v>
                </c:pt>
                <c:pt idx="2">
                  <c:v>基本足够</c:v>
                </c:pt>
                <c:pt idx="3" c:formatCode="0.00%">
                  <c:v>严重不足</c:v>
                </c:pt>
              </c:strCache>
            </c:strRef>
          </c:cat>
          <c:val>
            <c:numRef>
              <c:f>Sheet1!$B$2:$B$5</c:f>
              <c:numCache>
                <c:formatCode>0.00%</c:formatCode>
                <c:ptCount val="4"/>
                <c:pt idx="0">
                  <c:v>0.2446</c:v>
                </c:pt>
                <c:pt idx="1">
                  <c:v>0.3932</c:v>
                </c:pt>
                <c:pt idx="2">
                  <c:v>0.3034</c:v>
                </c:pt>
                <c:pt idx="3">
                  <c:v>0.0588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86488249828753"/>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2</a:t>
            </a:r>
            <a:r>
              <a:t>满意度调查结果统计图</a:t>
            </a:r>
          </a:p>
        </c:rich>
      </c:tx>
      <c:layout>
        <c:manualLayout>
          <c:xMode val="edge"/>
          <c:yMode val="edge"/>
          <c:x val="0.217387883556255"/>
          <c:y val="0.0282552389922298"/>
        </c:manualLayout>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332022029897718"/>
                  <c:y val="-0.010595714622086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8552321007081"/>
                  <c:y val="0.041911937838474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20141620771046"/>
                  <c:y val="-0.015775841770661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506687647521636"/>
                  <c:y val="-0.023546032493524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可以满足</c:v>
                </c:pt>
                <c:pt idx="1">
                  <c:v>基本满足</c:v>
                </c:pt>
                <c:pt idx="2">
                  <c:v>一般</c:v>
                </c:pt>
                <c:pt idx="3">
                  <c:v>不能满足</c:v>
                </c:pt>
              </c:strCache>
            </c:strRef>
          </c:cat>
          <c:val>
            <c:numRef>
              <c:f>Sheet1!$B$2:$B$5</c:f>
              <c:numCache>
                <c:formatCode>0.00%</c:formatCode>
                <c:ptCount val="4"/>
                <c:pt idx="0">
                  <c:v>0.4644</c:v>
                </c:pt>
                <c:pt idx="1">
                  <c:v>0.4149</c:v>
                </c:pt>
                <c:pt idx="2">
                  <c:v>0.0341</c:v>
                </c:pt>
                <c:pt idx="3">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96795094832687"/>
          <c:y val="0.8853502053416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3</a:t>
            </a:r>
            <a:r>
              <a:t>满意度调查结果统计图</a:t>
            </a:r>
          </a:p>
        </c:rich>
      </c:tx>
      <c:layout>
        <c:manualLayout>
          <c:xMode val="edge"/>
          <c:yMode val="edge"/>
          <c:x val="0.215462636704034"/>
          <c:y val="0.0482693666117259"/>
        </c:manualLayout>
      </c:layout>
      <c:overlay val="0"/>
      <c:spPr>
        <a:noFill/>
        <a:ln>
          <a:noFill/>
        </a:ln>
        <a:effectLst/>
      </c:spPr>
    </c:title>
    <c:autoTitleDeleted val="0"/>
    <c:plotArea>
      <c:layout>
        <c:manualLayout>
          <c:layoutTarget val="inner"/>
          <c:xMode val="edge"/>
          <c:yMode val="edge"/>
          <c:x val="0.305513768686074"/>
          <c:y val="0.217221568165764"/>
          <c:w val="0.388972462627852"/>
          <c:h val="0.582039086413939"/>
        </c:manualLayout>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22816679779701"/>
                  <c:y val="-0.0758182246291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147128245476"/>
                  <c:y val="0.0054155874735107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97403619197482"/>
                  <c:y val="-0.018365905344949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18961447678993"/>
                  <c:y val="0.0287261596421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一般</c:v>
                </c:pt>
                <c:pt idx="3">
                  <c:v>不能实现</c:v>
                </c:pt>
              </c:strCache>
            </c:strRef>
          </c:cat>
          <c:val>
            <c:numRef>
              <c:f>Sheet1!$B$2:$B$5</c:f>
              <c:numCache>
                <c:formatCode>0.00%</c:formatCode>
                <c:ptCount val="4"/>
                <c:pt idx="0">
                  <c:v>0.3313</c:v>
                </c:pt>
                <c:pt idx="1">
                  <c:v>0.3994</c:v>
                </c:pt>
                <c:pt idx="2">
                  <c:v>0.2167</c:v>
                </c:pt>
                <c:pt idx="3">
                  <c:v>0.0526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34167242747714"/>
          <c:y val="0.86863252227128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4</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0366640440597954"/>
                  <c:y val="-0.0103602542971509"/>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非常必要</c:v>
                </c:pt>
                <c:pt idx="1">
                  <c:v>有必要</c:v>
                </c:pt>
                <c:pt idx="2">
                  <c:v>一般</c:v>
                </c:pt>
                <c:pt idx="3">
                  <c:v>没必要</c:v>
                </c:pt>
              </c:strCache>
            </c:strRef>
          </c:cat>
          <c:val>
            <c:numRef>
              <c:f>Sheet1!$B$2:$B$5</c:f>
              <c:numCache>
                <c:formatCode>0.00%</c:formatCode>
                <c:ptCount val="4"/>
                <c:pt idx="0">
                  <c:v>0.5139</c:v>
                </c:pt>
                <c:pt idx="1">
                  <c:v>0.3994</c:v>
                </c:pt>
                <c:pt idx="2">
                  <c:v>0.0619</c:v>
                </c:pt>
                <c:pt idx="3">
                  <c:v>0.0248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问题</a:t>
            </a:r>
            <a:r>
              <a:rPr lang="en-US" altLang="zh-CN"/>
              <a:t>5</a:t>
            </a:r>
            <a:r>
              <a:t>满意度调查结果统计图</a:t>
            </a:r>
          </a:p>
        </c:rich>
      </c:tx>
      <c:layout/>
      <c:overlay val="0"/>
      <c:spPr>
        <a:noFill/>
        <a:ln>
          <a:noFill/>
        </a:ln>
        <a:effectLst/>
      </c:spPr>
    </c:title>
    <c:autoTitleDeleted val="0"/>
    <c:plotArea>
      <c:layout/>
      <c:pieChart>
        <c:varyColors val="1"/>
        <c:ser>
          <c:idx val="0"/>
          <c:order val="0"/>
          <c:tx>
            <c:strRef>
              <c:f>Sheet1!$B$1</c:f>
              <c:strCache>
                <c:ptCount val="1"/>
                <c:pt idx="0">
                  <c:v>满意度</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684636118598383"/>
                  <c:y val="-0.0204081632653061"/>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0733153638814016"/>
                  <c:y val="0"/>
                </c:manualLayout>
              </c:layout>
              <c:dLblPos val="bestFit"/>
              <c:showLegendKey val="1"/>
              <c:showVal val="1"/>
              <c:showCatName val="0"/>
              <c:showSerName val="0"/>
              <c:showPercent val="0"/>
              <c:showBubbleSize val="0"/>
              <c:extLst>
                <c:ext xmlns:c15="http://schemas.microsoft.com/office/drawing/2012/chart" uri="{CE6537A1-D6FC-4f65-9D91-7224C49458BB}">
                  <c15:layout/>
                </c:ext>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非常满意</c:v>
                </c:pt>
                <c:pt idx="1">
                  <c:v>比较满意</c:v>
                </c:pt>
                <c:pt idx="2">
                  <c:v>基本满意</c:v>
                </c:pt>
                <c:pt idx="3">
                  <c:v>不太满意</c:v>
                </c:pt>
              </c:strCache>
            </c:strRef>
          </c:cat>
          <c:val>
            <c:numRef>
              <c:f>Sheet1!$B$2:$B$5</c:f>
              <c:numCache>
                <c:formatCode>0.00%</c:formatCode>
                <c:ptCount val="4"/>
                <c:pt idx="0">
                  <c:v>0.4272</c:v>
                </c:pt>
                <c:pt idx="1">
                  <c:v>0.3932</c:v>
                </c:pt>
                <c:pt idx="2">
                  <c:v>0.1641</c:v>
                </c:pt>
                <c:pt idx="3">
                  <c:v>0.0155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204898950064788"/>
          <c:y val="0.852385759850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21130</Words>
  <Characters>23125</Characters>
  <Lines>40</Lines>
  <Paragraphs>35</Paragraphs>
  <TotalTime>5</TotalTime>
  <ScaleCrop>false</ScaleCrop>
  <LinksUpToDate>false</LinksUpToDate>
  <CharactersWithSpaces>23452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2023-05-29T10:45:00Z</cp:lastPrinted>
  <dcterms:modified xsi:type="dcterms:W3CDTF">2023-06-19T05:53:21Z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B22A455276C347D0A1E27F751ED9AF91_13</vt:lpwstr>
  </property>
</Properties>
</file>