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80" w:lineRule="exact"/>
        <w:ind w:left="113"/>
        <w:rPr>
          <w:rFonts w:ascii="仿宋_GB2312" w:eastAsia="仿宋_GB2312"/>
          <w:highlight w:val="none"/>
        </w:rPr>
      </w:pPr>
      <w:r>
        <w:rPr>
          <w:rFonts w:hint="eastAsia" w:ascii="仿宋_GB2312" w:eastAsia="仿宋_GB2312"/>
        </w:rPr>
        <w:t xml:space="preserve"> </w:t>
      </w:r>
    </w:p>
    <w:p>
      <w:pPr>
        <w:spacing w:line="680" w:lineRule="exact"/>
        <w:ind w:left="6" w:right="4"/>
        <w:jc w:val="center"/>
        <w:rPr>
          <w:rFonts w:ascii="宋体" w:hAnsi="宋体" w:eastAsia="宋体" w:cs="Times New Roman"/>
          <w:b/>
          <w:sz w:val="44"/>
          <w:szCs w:val="44"/>
          <w:highlight w:val="none"/>
        </w:rPr>
      </w:pPr>
    </w:p>
    <w:p>
      <w:pPr>
        <w:spacing w:line="680" w:lineRule="exact"/>
        <w:ind w:left="6" w:right="4"/>
        <w:jc w:val="center"/>
        <w:rPr>
          <w:rFonts w:ascii="宋体" w:hAnsi="宋体" w:eastAsia="宋体" w:cs="Times New Roman"/>
          <w:b/>
          <w:sz w:val="44"/>
          <w:szCs w:val="44"/>
          <w:highlight w:val="none"/>
        </w:rPr>
      </w:pPr>
    </w:p>
    <w:p>
      <w:pPr>
        <w:spacing w:line="680" w:lineRule="exact"/>
        <w:ind w:left="6" w:right="4"/>
        <w:jc w:val="center"/>
        <w:rPr>
          <w:rFonts w:ascii="方正小标宋简体" w:hAnsi="方正小标宋简体" w:eastAsia="方正小标宋简体" w:cs="方正小标宋简体"/>
          <w:b/>
          <w:bCs/>
          <w:sz w:val="44"/>
          <w:szCs w:val="44"/>
          <w:highlight w:val="none"/>
        </w:rPr>
      </w:pPr>
      <w:bookmarkStart w:id="0" w:name="_Toc16957"/>
      <w:bookmarkStart w:id="1" w:name="_Toc30170"/>
      <w:bookmarkStart w:id="2" w:name="_Toc73915926"/>
      <w:bookmarkStart w:id="3" w:name="_Toc17249"/>
      <w:bookmarkStart w:id="4" w:name="_Toc818"/>
      <w:bookmarkStart w:id="5" w:name="_Toc21198"/>
      <w:bookmarkStart w:id="6" w:name="_Toc29616"/>
      <w:bookmarkStart w:id="7" w:name="_Toc24322"/>
      <w:bookmarkStart w:id="8" w:name="_Toc24122"/>
      <w:bookmarkStart w:id="9" w:name="_Toc3655"/>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甘肃省高级人民法院</w:t>
      </w:r>
      <w:r>
        <w:rPr>
          <w:rFonts w:hint="eastAsia" w:ascii="方正小标宋简体" w:hAnsi="方正小标宋简体" w:eastAsia="方正小标宋简体" w:cs="方正小标宋简体"/>
          <w:sz w:val="44"/>
          <w:szCs w:val="44"/>
          <w:highlight w:val="none"/>
        </w:rPr>
        <w:t>重点</w:t>
      </w:r>
      <w:bookmarkEnd w:id="0"/>
      <w:bookmarkEnd w:id="1"/>
      <w:bookmarkEnd w:id="2"/>
      <w:bookmarkEnd w:id="3"/>
      <w:bookmarkEnd w:id="4"/>
      <w:bookmarkEnd w:id="5"/>
      <w:bookmarkEnd w:id="6"/>
      <w:bookmarkEnd w:id="7"/>
      <w:bookmarkEnd w:id="8"/>
      <w:bookmarkEnd w:id="9"/>
      <w:r>
        <w:rPr>
          <w:rFonts w:hint="eastAsia" w:ascii="方正小标宋简体" w:hAnsi="方正小标宋简体" w:eastAsia="方正小标宋简体" w:cs="方正小标宋简体"/>
          <w:sz w:val="44"/>
          <w:szCs w:val="44"/>
          <w:highlight w:val="none"/>
        </w:rPr>
        <w:t>项目</w:t>
      </w:r>
    </w:p>
    <w:p>
      <w:pPr>
        <w:spacing w:line="680" w:lineRule="exact"/>
        <w:ind w:left="6" w:right="4"/>
        <w:jc w:val="center"/>
        <w:rPr>
          <w:rFonts w:ascii="宋体" w:hAnsi="宋体" w:eastAsia="宋体"/>
          <w:b/>
          <w:sz w:val="44"/>
          <w:szCs w:val="44"/>
          <w:highlight w:val="none"/>
        </w:rPr>
      </w:pPr>
      <w:r>
        <w:rPr>
          <w:rFonts w:hint="eastAsia" w:ascii="方正小标宋简体" w:hAnsi="方正小标宋简体" w:eastAsia="方正小标宋简体" w:cs="方正小标宋简体"/>
          <w:sz w:val="44"/>
          <w:szCs w:val="44"/>
          <w:highlight w:val="none"/>
        </w:rPr>
        <w:t>——</w:t>
      </w:r>
      <w:r>
        <w:rPr>
          <w:rFonts w:hint="eastAsia" w:ascii="方正小标宋简体" w:hAnsi="方正小标宋简体" w:eastAsia="方正小标宋简体" w:cs="方正小标宋简体"/>
          <w:sz w:val="44"/>
          <w:szCs w:val="44"/>
          <w:highlight w:val="none"/>
          <w:lang w:eastAsia="zh-CN"/>
        </w:rPr>
        <w:t>物业费</w:t>
      </w:r>
      <w:r>
        <w:rPr>
          <w:rFonts w:hint="eastAsia" w:ascii="方正小标宋简体" w:hAnsi="方正小标宋简体" w:eastAsia="方正小标宋简体" w:cs="方正小标宋简体"/>
          <w:sz w:val="44"/>
          <w:szCs w:val="44"/>
          <w:highlight w:val="none"/>
        </w:rPr>
        <w:t>绩效评价报告</w:t>
      </w:r>
    </w:p>
    <w:p>
      <w:pPr>
        <w:pStyle w:val="2"/>
        <w:spacing w:line="680" w:lineRule="exact"/>
        <w:rPr>
          <w:sz w:val="56"/>
          <w:highlight w:val="none"/>
        </w:rPr>
      </w:pPr>
    </w:p>
    <w:p>
      <w:pPr>
        <w:pStyle w:val="2"/>
        <w:spacing w:line="680" w:lineRule="exact"/>
        <w:rPr>
          <w:sz w:val="56"/>
          <w:highlight w:val="none"/>
        </w:rPr>
      </w:pPr>
    </w:p>
    <w:p>
      <w:pPr>
        <w:spacing w:line="578" w:lineRule="exact"/>
        <w:ind w:left="1600" w:hanging="1600" w:hangingChars="500"/>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 xml:space="preserve">    </w:t>
      </w:r>
    </w:p>
    <w:p>
      <w:pPr>
        <w:pStyle w:val="12"/>
        <w:rPr>
          <w:highlight w:val="none"/>
        </w:rPr>
      </w:pPr>
    </w:p>
    <w:p>
      <w:pPr>
        <w:spacing w:line="578" w:lineRule="exact"/>
        <w:ind w:firstLine="300" w:firstLineChars="100"/>
        <w:rPr>
          <w:rFonts w:hint="eastAsia" w:ascii="仿宋_GB2312" w:hAnsi="仿宋" w:eastAsia="仿宋_GB2312" w:cs="仿宋"/>
          <w:sz w:val="30"/>
          <w:szCs w:val="32"/>
          <w:highlight w:val="none"/>
          <w:u w:val="single"/>
        </w:rPr>
      </w:pPr>
      <w:r>
        <w:rPr>
          <w:rFonts w:hint="eastAsia" w:ascii="仿宋_GB2312" w:hAnsi="仿宋" w:eastAsia="仿宋_GB2312" w:cs="仿宋"/>
          <w:sz w:val="30"/>
          <w:szCs w:val="32"/>
          <w:highlight w:val="none"/>
        </w:rPr>
        <w:t>评价类型：</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实施过程评价</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完成结果评价</w:t>
      </w:r>
    </w:p>
    <w:p>
      <w:pPr>
        <w:spacing w:line="578" w:lineRule="exact"/>
        <w:ind w:left="1800" w:right="456" w:rightChars="217" w:hanging="1800" w:hangingChars="600"/>
        <w:jc w:val="left"/>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项目名称：</w:t>
      </w:r>
      <w:r>
        <w:rPr>
          <w:rFonts w:hint="eastAsia" w:ascii="仿宋_GB2312" w:hAnsi="仿宋" w:eastAsia="仿宋_GB2312" w:cs="仿宋"/>
          <w:sz w:val="30"/>
          <w:szCs w:val="32"/>
          <w:highlight w:val="none"/>
          <w:u w:val="single"/>
          <w:lang w:eastAsia="zh-CN"/>
        </w:rPr>
        <w:t>物业费</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lang w:val="en-US" w:eastAsia="zh-CN"/>
        </w:rPr>
        <w:t xml:space="preserve">                              </w:t>
      </w:r>
      <w:r>
        <w:rPr>
          <w:rFonts w:hint="eastAsia" w:ascii="仿宋_GB2312" w:hAnsi="仿宋" w:eastAsia="仿宋_GB2312" w:cs="仿宋"/>
          <w:sz w:val="30"/>
          <w:szCs w:val="32"/>
          <w:highlight w:val="none"/>
          <w:u w:val="single"/>
        </w:rPr>
        <w:t xml:space="preserve"> </w:t>
      </w:r>
    </w:p>
    <w:p>
      <w:pPr>
        <w:spacing w:line="578" w:lineRule="exact"/>
        <w:ind w:left="1800" w:right="456" w:rightChars="217" w:hanging="1800" w:hangingChars="600"/>
        <w:jc w:val="left"/>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主管部门：</w:t>
      </w:r>
      <w:r>
        <w:rPr>
          <w:rFonts w:hint="eastAsia" w:ascii="仿宋_GB2312" w:hAnsi="仿宋" w:eastAsia="仿宋_GB2312" w:cs="仿宋"/>
          <w:sz w:val="30"/>
          <w:szCs w:val="32"/>
          <w:highlight w:val="none"/>
          <w:u w:val="single"/>
          <w:lang w:val="en-US" w:eastAsia="zh-CN"/>
        </w:rPr>
        <w:t xml:space="preserve">甘肃省高级人民法院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rPr>
        <w:t xml:space="preserve"> </w:t>
      </w:r>
    </w:p>
    <w:p>
      <w:pPr>
        <w:spacing w:line="578" w:lineRule="exact"/>
        <w:ind w:left="1800" w:right="456" w:rightChars="217" w:hanging="1800" w:hangingChars="600"/>
        <w:jc w:val="left"/>
        <w:rPr>
          <w:rFonts w:hint="default"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评价时间：</w:t>
      </w:r>
      <w:r>
        <w:rPr>
          <w:rFonts w:hint="eastAsia" w:ascii="仿宋_GB2312" w:hAnsi="仿宋" w:eastAsia="仿宋_GB2312" w:cs="仿宋"/>
          <w:sz w:val="30"/>
          <w:szCs w:val="32"/>
          <w:highlight w:val="none"/>
          <w:u w:val="single"/>
        </w:rPr>
        <w:t>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年01月01日至 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年12月31日</w:t>
      </w:r>
      <w:r>
        <w:rPr>
          <w:rFonts w:hint="eastAsia" w:ascii="仿宋_GB2312" w:hAnsi="仿宋" w:eastAsia="仿宋_GB2312" w:cs="仿宋"/>
          <w:sz w:val="30"/>
          <w:szCs w:val="32"/>
          <w:highlight w:val="none"/>
          <w:u w:val="single"/>
          <w:lang w:val="en-US" w:eastAsia="zh-CN"/>
        </w:rPr>
        <w:t xml:space="preserve">  </w:t>
      </w:r>
    </w:p>
    <w:p>
      <w:pPr>
        <w:spacing w:line="578" w:lineRule="exact"/>
        <w:ind w:left="1800" w:right="456" w:rightChars="217" w:hanging="1800" w:hangingChars="600"/>
        <w:jc w:val="left"/>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组织方式：</w:t>
      </w:r>
      <w:r>
        <w:rPr>
          <w:rFonts w:hint="eastAsia" w:ascii="仿宋_GB2312" w:hAnsi="仿宋" w:eastAsia="仿宋_GB2312" w:cs="仿宋"/>
          <w:sz w:val="30"/>
          <w:szCs w:val="32"/>
          <w:highlight w:val="none"/>
          <w:u w:val="single"/>
        </w:rPr>
        <w:t>□财政部门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主管部门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项目单位</w:t>
      </w:r>
      <w:r>
        <w:rPr>
          <w:rFonts w:hint="eastAsia" w:ascii="仿宋_GB2312" w:hAnsi="仿宋" w:eastAsia="仿宋_GB2312" w:cs="仿宋"/>
          <w:sz w:val="30"/>
          <w:szCs w:val="32"/>
          <w:highlight w:val="none"/>
        </w:rPr>
        <w:t xml:space="preserve"> </w:t>
      </w:r>
    </w:p>
    <w:p>
      <w:pPr>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评价机构：</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中介机构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□专家组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□项目单位评价组</w:t>
      </w:r>
    </w:p>
    <w:p>
      <w:pPr>
        <w:spacing w:line="578" w:lineRule="exact"/>
        <w:rPr>
          <w:rFonts w:ascii="仿宋_GB2312" w:hAnsi="仿宋" w:eastAsia="仿宋_GB2312" w:cs="仿宋"/>
          <w:sz w:val="30"/>
          <w:szCs w:val="32"/>
          <w:highlight w:val="none"/>
        </w:rPr>
      </w:pPr>
    </w:p>
    <w:p>
      <w:pPr>
        <w:spacing w:line="578" w:lineRule="exact"/>
        <w:ind w:left="4800" w:hanging="4800" w:hangingChars="1600"/>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spacing w:line="578" w:lineRule="exact"/>
        <w:ind w:left="4800" w:hanging="4800" w:hangingChars="1600"/>
        <w:rPr>
          <w:rFonts w:hint="eastAsia" w:ascii="仿宋_GB2312" w:hAnsi="仿宋" w:eastAsia="仿宋_GB2312" w:cs="仿宋"/>
          <w:sz w:val="30"/>
          <w:szCs w:val="32"/>
          <w:highlight w:val="none"/>
        </w:rPr>
      </w:pPr>
    </w:p>
    <w:p>
      <w:pPr>
        <w:spacing w:line="578" w:lineRule="exact"/>
        <w:ind w:left="4800" w:hanging="4800" w:hangingChars="1600"/>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spacing w:line="578" w:lineRule="exact"/>
        <w:ind w:right="456" w:rightChars="217" w:firstLine="300" w:firstLineChars="100"/>
        <w:jc w:val="left"/>
        <w:rPr>
          <w:rFonts w:hint="eastAsia" w:ascii="宋体" w:hAnsi="宋体" w:eastAsia="宋体" w:cs="宋体"/>
          <w:sz w:val="30"/>
          <w:szCs w:val="32"/>
          <w:highlight w:val="none"/>
        </w:rPr>
      </w:pPr>
      <w:r>
        <w:rPr>
          <w:rFonts w:hint="eastAsia" w:ascii="宋体" w:hAnsi="宋体" w:eastAsia="宋体" w:cs="宋体"/>
          <w:sz w:val="30"/>
          <w:szCs w:val="32"/>
          <w:highlight w:val="none"/>
          <w:lang w:val="en-US" w:eastAsia="zh-CN"/>
        </w:rPr>
        <w:t>评价</w:t>
      </w:r>
      <w:r>
        <w:rPr>
          <w:rFonts w:hint="eastAsia" w:ascii="宋体" w:hAnsi="宋体" w:eastAsia="宋体" w:cs="宋体"/>
          <w:sz w:val="30"/>
          <w:szCs w:val="32"/>
          <w:highlight w:val="none"/>
        </w:rPr>
        <w:t>单位：甘肃卓诚财务咨询有限公司</w:t>
      </w:r>
    </w:p>
    <w:p>
      <w:pPr>
        <w:spacing w:line="578" w:lineRule="exact"/>
        <w:ind w:right="456" w:rightChars="217" w:firstLine="300" w:firstLineChars="100"/>
        <w:jc w:val="left"/>
        <w:rPr>
          <w:rFonts w:hint="eastAsia" w:ascii="宋体" w:hAnsi="宋体" w:eastAsia="宋体" w:cs="宋体"/>
          <w:sz w:val="30"/>
          <w:szCs w:val="32"/>
          <w:highlight w:val="none"/>
        </w:rPr>
        <w:sectPr>
          <w:headerReference r:id="rId3" w:type="default"/>
          <w:footerReference r:id="rId4" w:type="default"/>
          <w:pgSz w:w="11906" w:h="16838"/>
          <w:pgMar w:top="1440" w:right="1800" w:bottom="1440" w:left="1800" w:header="851" w:footer="992" w:gutter="0"/>
          <w:cols w:space="720" w:num="1"/>
          <w:titlePg/>
          <w:docGrid w:type="lines" w:linePitch="312" w:charSpace="0"/>
        </w:sectPr>
      </w:pPr>
      <w:r>
        <w:rPr>
          <w:rFonts w:hint="eastAsia" w:ascii="宋体" w:hAnsi="宋体" w:eastAsia="宋体" w:cs="宋体"/>
          <w:sz w:val="30"/>
          <w:szCs w:val="32"/>
          <w:highlight w:val="none"/>
          <w:lang w:val="en-US" w:eastAsia="zh-CN"/>
        </w:rPr>
        <w:t>上报</w:t>
      </w:r>
      <w:r>
        <w:rPr>
          <w:rFonts w:hint="eastAsia" w:ascii="宋体" w:hAnsi="宋体" w:eastAsia="宋体" w:cs="宋体"/>
          <w:sz w:val="30"/>
          <w:szCs w:val="32"/>
          <w:highlight w:val="none"/>
        </w:rPr>
        <w:t>日期：202</w:t>
      </w:r>
      <w:r>
        <w:rPr>
          <w:rFonts w:hint="eastAsia" w:ascii="宋体" w:hAnsi="宋体" w:eastAsia="宋体" w:cs="宋体"/>
          <w:sz w:val="30"/>
          <w:szCs w:val="32"/>
          <w:highlight w:val="none"/>
          <w:lang w:val="en-US" w:eastAsia="zh-CN"/>
        </w:rPr>
        <w:t>3</w:t>
      </w:r>
      <w:r>
        <w:rPr>
          <w:rFonts w:hint="eastAsia" w:ascii="宋体" w:hAnsi="宋体" w:eastAsia="宋体" w:cs="宋体"/>
          <w:sz w:val="30"/>
          <w:szCs w:val="32"/>
          <w:highlight w:val="none"/>
        </w:rPr>
        <w:t>年0</w:t>
      </w:r>
      <w:r>
        <w:rPr>
          <w:rFonts w:hint="eastAsia" w:ascii="宋体" w:hAnsi="宋体" w:eastAsia="宋体" w:cs="宋体"/>
          <w:sz w:val="30"/>
          <w:szCs w:val="32"/>
          <w:highlight w:val="none"/>
          <w:lang w:val="en-US" w:eastAsia="zh-CN"/>
        </w:rPr>
        <w:t>5</w:t>
      </w:r>
      <w:r>
        <w:rPr>
          <w:rFonts w:hint="eastAsia" w:ascii="宋体" w:hAnsi="宋体" w:eastAsia="宋体" w:cs="宋体"/>
          <w:sz w:val="30"/>
          <w:szCs w:val="32"/>
          <w:highlight w:val="none"/>
        </w:rPr>
        <w:t>月</w:t>
      </w:r>
      <w:r>
        <w:rPr>
          <w:rFonts w:hint="eastAsia" w:ascii="宋体" w:hAnsi="宋体" w:eastAsia="宋体" w:cs="宋体"/>
          <w:sz w:val="30"/>
          <w:szCs w:val="32"/>
          <w:highlight w:val="none"/>
          <w:lang w:val="en-US" w:eastAsia="zh-CN"/>
        </w:rPr>
        <w:t>29</w:t>
      </w:r>
      <w:r>
        <w:rPr>
          <w:rFonts w:hint="eastAsia" w:ascii="宋体" w:hAnsi="宋体" w:eastAsia="宋体" w:cs="宋体"/>
          <w:sz w:val="30"/>
          <w:szCs w:val="32"/>
          <w:highlight w:val="none"/>
        </w:rPr>
        <w:t>日</w:t>
      </w:r>
    </w:p>
    <w:p>
      <w:pPr>
        <w:jc w:val="center"/>
        <w:rPr>
          <w:rFonts w:ascii="宋体" w:hAnsi="宋体" w:eastAsia="宋体" w:cs="宋体"/>
          <w:b/>
          <w:bCs/>
          <w:sz w:val="36"/>
          <w:szCs w:val="36"/>
          <w:highlight w:val="none"/>
        </w:rPr>
      </w:pPr>
      <w:r>
        <w:rPr>
          <w:rFonts w:hint="eastAsia" w:ascii="宋体" w:hAnsi="宋体" w:eastAsia="宋体" w:cs="宋体"/>
          <w:b/>
          <w:bCs/>
          <w:sz w:val="36"/>
          <w:szCs w:val="36"/>
          <w:highlight w:val="none"/>
        </w:rPr>
        <w:t>目  录</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TOC \o "1-2" \h \u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_Toc27346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摘   要</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_Toc27346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_Toc23492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 xml:space="preserve">一、 </w:t>
      </w:r>
      <w:r>
        <w:rPr>
          <w:rFonts w:hint="eastAsia" w:ascii="仿宋" w:hAnsi="仿宋" w:eastAsia="仿宋" w:cs="仿宋"/>
          <w:bCs/>
          <w:sz w:val="28"/>
          <w:szCs w:val="28"/>
          <w:highlight w:val="none"/>
        </w:rPr>
        <w:t>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_Toc23492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_Toc16569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（一）项目立项背景及实施目的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_Toc16569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_Toc28141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（二）项目预算安排和支出情况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_Toc28141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_Toc1996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（三）项目主要内容和实施情况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_Toc1996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_Toc29868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 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_Toc29868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_Toc25023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_Toc25023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_Toc5599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（二）202</w:t>
      </w: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年度绩效目标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_Toc5599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_Toc1063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w:t>
      </w:r>
      <w:r>
        <w:rPr>
          <w:rFonts w:hint="eastAsia" w:ascii="仿宋" w:hAnsi="仿宋" w:eastAsia="仿宋" w:cs="仿宋"/>
          <w:bCs/>
          <w:sz w:val="28"/>
          <w:szCs w:val="28"/>
          <w:highlight w:val="none"/>
        </w:rPr>
        <w:t>、评价基本情况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_Toc1063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_Toc25411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（一）评价目的、对象和范围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_Toc25411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_Toc10821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（二）评价原则、评价方法、评价指标体系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_Toc10821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_Toc16809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_Toc16809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_Toc10738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四、评价结论和绩效分析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_Toc10738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_Toc1287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五、 存在问题及原因分析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_Toc1287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_Toc4687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lang w:val="en-US" w:eastAsia="zh-CN"/>
        </w:rPr>
        <w:t>六</w:t>
      </w:r>
      <w:r>
        <w:rPr>
          <w:rFonts w:hint="eastAsia" w:ascii="仿宋" w:hAnsi="仿宋" w:eastAsia="仿宋" w:cs="仿宋"/>
          <w:sz w:val="28"/>
          <w:szCs w:val="28"/>
          <w:highlight w:val="none"/>
        </w:rPr>
        <w:t>、有关建议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_Toc4687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_Toc24242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202</w:t>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rPr>
        <w:t>年度</w:t>
      </w:r>
      <w:r>
        <w:rPr>
          <w:rFonts w:hint="eastAsia" w:ascii="仿宋" w:hAnsi="仿宋" w:eastAsia="仿宋" w:cs="仿宋"/>
          <w:b/>
          <w:bCs/>
          <w:sz w:val="28"/>
          <w:szCs w:val="28"/>
          <w:highlight w:val="none"/>
          <w:lang w:val="en-US" w:eastAsia="zh-CN"/>
        </w:rPr>
        <w:t>甘肃省高级人民法院</w:t>
      </w:r>
      <w:r>
        <w:rPr>
          <w:rFonts w:hint="eastAsia" w:ascii="仿宋" w:hAnsi="仿宋" w:eastAsia="仿宋" w:cs="仿宋"/>
          <w:b/>
          <w:bCs/>
          <w:sz w:val="28"/>
          <w:szCs w:val="28"/>
          <w:highlight w:val="none"/>
        </w:rPr>
        <w:t>重点项目</w:t>
      </w:r>
      <w:r>
        <w:rPr>
          <w:rFonts w:hint="eastAsia" w:ascii="仿宋" w:hAnsi="仿宋" w:eastAsia="仿宋" w:cs="仿宋"/>
          <w:b/>
          <w:bCs/>
          <w:sz w:val="28"/>
          <w:szCs w:val="28"/>
          <w:highlight w:val="none"/>
          <w:lang w:eastAsia="zh-CN"/>
        </w:rPr>
        <w:t>物业费</w:t>
      </w:r>
      <w:r>
        <w:rPr>
          <w:rFonts w:hint="eastAsia" w:ascii="仿宋" w:hAnsi="仿宋" w:eastAsia="仿宋" w:cs="仿宋"/>
          <w:b/>
          <w:bCs/>
          <w:sz w:val="28"/>
          <w:szCs w:val="28"/>
          <w:highlight w:val="none"/>
        </w:rPr>
        <w:t>绩效评价报告</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_Toc24242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5</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_Toc3504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一、项目基本情况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_Toc3504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_Toc31917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_Toc31917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_Toc24825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（二）项目预算安排及使用情况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_Toc24825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_Toc9661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（三）项目计划内容及实施情况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_Toc9661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_Toc12841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（四）项目组织管理</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_Toc12841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_Toc11695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_Toc11695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_Toc1519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（二）年度目标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_Toc1519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_Toc21797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_Toc21797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_Toc30288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_Toc30288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_Toc25173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（二）评价对象与范围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_Toc25173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_Toc31718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（三）评价依据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_Toc31718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_Toc29125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（四）评价原则、评价方法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_Toc29125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_Toc4875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（五）绩效评价指标体系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_Toc4875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_Toc27872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（六）评价人员组成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_Toc27872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_Toc30833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（七）绩效评价工作过程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_Toc30833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_Toc26174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四、评价结论及分析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_Toc26174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_Toc26797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（一）综合评价情况及评价结论</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_Toc26797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_Toc32283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val="en-US" w:eastAsia="zh-CN" w:bidi="ar"/>
        </w:rPr>
        <w:t>（二）非现场评价情况分析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_Toc32283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_Toc25744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val="en-US" w:eastAsia="zh-CN" w:bidi="ar"/>
        </w:rPr>
        <w:t>（三）现场评价情况分析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_Toc25744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_Toc1569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五、绩效评价指标分析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_Toc1569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_Toc1810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（一）项目决策情况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_Toc1810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_Toc26113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（三）项目产出情况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_Toc26113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_Toc11232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（四）项目效益情况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_Toc11232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_Toc23151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（五）满意度情况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_Toc23151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_Toc5551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六、项目主要经验及做法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_Toc5551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_Toc11664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七、存在的问题及原因分析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_Toc11664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_Toc5738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八、有关建议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_Toc5738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_Toc20052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九、需要说明的问题</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_Toc20052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rPr>
        <w:sectPr>
          <w:headerReference r:id="rId6" w:type="first"/>
          <w:footerReference r:id="rId7" w:type="first"/>
          <w:headerReference r:id="rId5" w:type="default"/>
          <w:pgSz w:w="11906" w:h="16838"/>
          <w:pgMar w:top="1440" w:right="1800" w:bottom="1440" w:left="1800" w:header="851" w:footer="992" w:gutter="0"/>
          <w:pgNumType w:start="1"/>
          <w:cols w:space="425" w:num="1"/>
          <w:titlePg/>
          <w:docGrid w:type="lines" w:linePitch="312" w:charSpace="0"/>
        </w:sectPr>
      </w:pPr>
      <w:r>
        <w:rPr>
          <w:rFonts w:hint="eastAsia" w:ascii="仿宋" w:hAnsi="仿宋" w:eastAsia="仿宋" w:cs="仿宋"/>
          <w:bCs/>
          <w:sz w:val="28"/>
          <w:szCs w:val="28"/>
          <w:highlight w:val="none"/>
        </w:rPr>
        <w:fldChar w:fldCharType="end"/>
      </w:r>
    </w:p>
    <w:p>
      <w:pPr>
        <w:pStyle w:val="2"/>
        <w:spacing w:line="560" w:lineRule="exact"/>
        <w:ind w:firstLine="880" w:firstLineChars="200"/>
        <w:jc w:val="center"/>
        <w:outlineLvl w:val="0"/>
        <w:rPr>
          <w:rFonts w:ascii="方正小标宋简体" w:hAnsi="宋体" w:eastAsia="方正小标宋简体"/>
          <w:sz w:val="44"/>
          <w:szCs w:val="44"/>
          <w:highlight w:val="none"/>
        </w:rPr>
      </w:pPr>
      <w:bookmarkStart w:id="10" w:name="_Toc27346"/>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10"/>
    </w:p>
    <w:p>
      <w:pPr>
        <w:spacing w:line="560" w:lineRule="exact"/>
        <w:ind w:firstLine="420" w:firstLineChars="200"/>
        <w:jc w:val="center"/>
        <w:rPr>
          <w:highlight w:val="none"/>
        </w:rPr>
      </w:pPr>
    </w:p>
    <w:p>
      <w:pPr>
        <w:keepNext w:val="0"/>
        <w:keepLines w:val="0"/>
        <w:pageBreakBefore w:val="0"/>
        <w:widowControl w:val="0"/>
        <w:numPr>
          <w:ilvl w:val="0"/>
          <w:numId w:val="1"/>
        </w:numPr>
        <w:tabs>
          <w:tab w:val="left" w:pos="849"/>
        </w:tabs>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sz w:val="32"/>
          <w:szCs w:val="32"/>
          <w:highlight w:val="none"/>
        </w:rPr>
      </w:pPr>
      <w:bookmarkStart w:id="11" w:name="_Toc23492"/>
      <w:bookmarkStart w:id="12" w:name="_Toc13873"/>
      <w:r>
        <w:rPr>
          <w:rFonts w:hint="eastAsia" w:ascii="黑体" w:hAnsi="黑体" w:eastAsia="黑体" w:cs="黑体"/>
          <w:b w:val="0"/>
          <w:bCs w:val="0"/>
          <w:sz w:val="32"/>
          <w:szCs w:val="32"/>
          <w:highlight w:val="none"/>
        </w:rPr>
        <w:t>项目基本情况</w:t>
      </w:r>
      <w:bookmarkEnd w:id="11"/>
      <w:bookmarkEnd w:id="12"/>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3" w:name="_Toc30374"/>
      <w:bookmarkStart w:id="14" w:name="_Toc16569"/>
      <w:r>
        <w:rPr>
          <w:rFonts w:hint="eastAsia" w:ascii="楷体" w:hAnsi="楷体" w:eastAsia="楷体" w:cs="楷体"/>
          <w:b/>
          <w:bCs/>
          <w:highlight w:val="none"/>
        </w:rPr>
        <w:t>（一）项目立项背景及实施目的</w:t>
      </w:r>
      <w:bookmarkEnd w:id="13"/>
      <w:bookmarkEnd w:id="14"/>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bookmarkStart w:id="15" w:name="_Toc24239"/>
      <w:r>
        <w:rPr>
          <w:rFonts w:hint="eastAsia" w:ascii="仿宋_GB2312" w:hAnsi="仿宋_GB2312" w:eastAsia="仿宋_GB2312" w:cs="仿宋_GB2312"/>
          <w:highlight w:val="none"/>
        </w:rPr>
        <w:t>人民法院是中华人民共和国的国家审判机关，依照法律规定代表国家独立行使审判权，</w:t>
      </w:r>
      <w:r>
        <w:rPr>
          <w:rFonts w:hint="eastAsia" w:ascii="仿宋_GB2312" w:hAnsi="仿宋_GB2312" w:cs="仿宋_GB2312"/>
          <w:highlight w:val="none"/>
          <w:lang w:val="en-US" w:eastAsia="zh-CN"/>
        </w:rPr>
        <w:t>工作</w:t>
      </w:r>
      <w:r>
        <w:rPr>
          <w:rFonts w:hint="eastAsia" w:ascii="仿宋_GB2312" w:hAnsi="仿宋_GB2312" w:eastAsia="仿宋_GB2312" w:cs="仿宋_GB2312"/>
          <w:highlight w:val="none"/>
        </w:rPr>
        <w:t>任务是审判刑事案件、民事案件和行政案件，并且通过审判活动，惩办一切犯罪分子，解决民商事纠纷，以保卫无产阶级专政制度，维护社会主义法制和社会秩序，保护社会主义的全民所有的财产以及劳动群众集体所有的财产，保护公民私人所有的合法财产，保护公民的人身权利、民主权利和其他权利，保障国家的社会主义革命和社会主义建设事业的顺利进行。为了优化良好的工作环境，确保审判场地的安全，提升后勤保障的能力，特设立此项目。</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6" w:name="_Toc28141"/>
      <w:r>
        <w:rPr>
          <w:rFonts w:hint="eastAsia" w:ascii="楷体" w:hAnsi="楷体" w:eastAsia="楷体" w:cs="楷体"/>
          <w:b/>
          <w:bCs/>
          <w:highlight w:val="none"/>
        </w:rPr>
        <w:t>（二）项目预算安排和支出情况</w:t>
      </w:r>
      <w:bookmarkEnd w:id="15"/>
      <w:bookmarkEnd w:id="16"/>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eastAsia="zh-CN"/>
        </w:rPr>
        <w:t>物业费</w:t>
      </w:r>
      <w:r>
        <w:rPr>
          <w:rFonts w:hint="eastAsia" w:ascii="仿宋_GB2312" w:hAnsi="仿宋_GB2312" w:eastAsia="仿宋_GB2312" w:cs="仿宋_GB2312"/>
          <w:highlight w:val="none"/>
        </w:rPr>
        <w:t>项目</w:t>
      </w:r>
      <w:r>
        <w:rPr>
          <w:rFonts w:hint="eastAsia" w:ascii="仿宋_GB2312" w:hAnsi="仿宋_GB2312" w:cs="仿宋_GB2312"/>
          <w:highlight w:val="none"/>
          <w:lang w:val="en-US" w:eastAsia="zh-CN"/>
        </w:rPr>
        <w:t>全年</w:t>
      </w:r>
      <w:r>
        <w:rPr>
          <w:rFonts w:hint="eastAsia" w:ascii="仿宋_GB2312" w:hAnsi="仿宋_GB2312" w:eastAsia="仿宋_GB2312" w:cs="仿宋_GB2312"/>
          <w:highlight w:val="none"/>
        </w:rPr>
        <w:t>预算资金</w:t>
      </w:r>
      <w:r>
        <w:rPr>
          <w:rFonts w:hint="eastAsia" w:ascii="仿宋_GB2312" w:hAnsi="仿宋_GB2312" w:cs="仿宋_GB2312"/>
          <w:highlight w:val="none"/>
          <w:lang w:val="en-US" w:eastAsia="zh-CN"/>
        </w:rPr>
        <w:t>957.54</w:t>
      </w:r>
      <w:r>
        <w:rPr>
          <w:rFonts w:hint="eastAsia" w:ascii="仿宋_GB2312" w:hAnsi="仿宋_GB2312" w:eastAsia="仿宋_GB2312" w:cs="仿宋_GB2312"/>
          <w:highlight w:val="none"/>
        </w:rPr>
        <w:t>万元</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其中当年财政拨款858.00万元，上年结转资金99.54万元</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截止2022年12月31日，实际支出839.42万元。</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rPr>
      </w:pPr>
      <w:bookmarkStart w:id="17" w:name="_Toc1996"/>
      <w:bookmarkStart w:id="18" w:name="_Toc22406"/>
      <w:r>
        <w:rPr>
          <w:rFonts w:hint="eastAsia" w:ascii="楷体" w:hAnsi="楷体" w:eastAsia="楷体" w:cs="楷体"/>
          <w:b/>
          <w:bCs/>
          <w:highlight w:val="none"/>
        </w:rPr>
        <w:t>（三）项目主要内容和实施情况</w:t>
      </w:r>
      <w:bookmarkEnd w:id="17"/>
      <w:bookmarkEnd w:id="18"/>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本年度</w:t>
      </w:r>
      <w:r>
        <w:rPr>
          <w:rFonts w:hint="eastAsia" w:ascii="仿宋_GB2312" w:hAnsi="仿宋_GB2312" w:cs="仿宋_GB2312"/>
          <w:highlight w:val="none"/>
          <w:lang w:val="en-US" w:eastAsia="zh-CN"/>
        </w:rPr>
        <w:t>省法院及直属单位</w:t>
      </w:r>
      <w:r>
        <w:rPr>
          <w:rFonts w:hint="eastAsia" w:ascii="仿宋_GB2312" w:hAnsi="仿宋_GB2312" w:eastAsia="仿宋_GB2312" w:cs="仿宋_GB2312"/>
          <w:highlight w:val="none"/>
          <w:lang w:eastAsia="zh-CN"/>
        </w:rPr>
        <w:t>雇佣</w:t>
      </w:r>
      <w:r>
        <w:rPr>
          <w:rFonts w:hint="eastAsia" w:ascii="仿宋_GB2312" w:hAnsi="仿宋_GB2312" w:cs="仿宋_GB2312"/>
          <w:highlight w:val="none"/>
          <w:lang w:val="en-US" w:eastAsia="zh-CN"/>
        </w:rPr>
        <w:t>物业</w:t>
      </w:r>
      <w:r>
        <w:rPr>
          <w:rFonts w:hint="eastAsia" w:ascii="仿宋_GB2312" w:hAnsi="仿宋_GB2312" w:eastAsia="仿宋_GB2312" w:cs="仿宋_GB2312"/>
          <w:highlight w:val="none"/>
          <w:lang w:eastAsia="zh-CN"/>
        </w:rPr>
        <w:t>服务人员，对水电暖供应系统、保洁、安防、环境绿化、锅炉运行、房屋养护、公共设施运行、公共秩序等进行维护，物业保障及时，服务率达100%，给工作人员提供了安全、良好的司法工作环境，确保法院审判场所的安全以及法院工作的正常运行。</w:t>
      </w:r>
    </w:p>
    <w:p>
      <w:pPr>
        <w:keepNext w:val="0"/>
        <w:keepLines w:val="0"/>
        <w:pageBreakBefore w:val="0"/>
        <w:widowControl w:val="0"/>
        <w:numPr>
          <w:ilvl w:val="0"/>
          <w:numId w:val="1"/>
        </w:numPr>
        <w:tabs>
          <w:tab w:val="left" w:pos="849"/>
        </w:tabs>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sz w:val="32"/>
          <w:szCs w:val="32"/>
          <w:highlight w:val="none"/>
        </w:rPr>
      </w:pPr>
      <w:bookmarkStart w:id="19" w:name="_Toc4760"/>
      <w:bookmarkStart w:id="20" w:name="_Toc29868"/>
      <w:r>
        <w:rPr>
          <w:rFonts w:hint="eastAsia" w:ascii="黑体" w:hAnsi="黑体" w:eastAsia="黑体" w:cs="黑体"/>
          <w:b w:val="0"/>
          <w:bCs w:val="0"/>
          <w:sz w:val="32"/>
          <w:szCs w:val="32"/>
          <w:highlight w:val="none"/>
        </w:rPr>
        <w:t>项目绩效目标</w:t>
      </w:r>
      <w:bookmarkEnd w:id="19"/>
      <w:bookmarkEnd w:id="20"/>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仿宋" w:hAnsi="仿宋" w:eastAsia="仿宋" w:cs="仿宋"/>
          <w:b/>
          <w:bCs/>
          <w:highlight w:val="none"/>
        </w:rPr>
      </w:pPr>
      <w:bookmarkStart w:id="21" w:name="_Toc25023"/>
      <w:bookmarkStart w:id="22" w:name="_Toc1873"/>
      <w:r>
        <w:rPr>
          <w:rFonts w:hint="eastAsia" w:ascii="楷体" w:hAnsi="楷体" w:eastAsia="楷体" w:cs="楷体"/>
          <w:b/>
          <w:bCs/>
          <w:highlight w:val="none"/>
        </w:rPr>
        <w:t>（一）总体绩效目标</w:t>
      </w:r>
      <w:bookmarkEnd w:id="21"/>
      <w:bookmarkEnd w:id="22"/>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bookmarkStart w:id="23" w:name="_Toc13132"/>
      <w:r>
        <w:rPr>
          <w:rFonts w:hint="eastAsia" w:ascii="仿宋_GB2312" w:hAnsi="仿宋_GB2312" w:eastAsia="仿宋_GB2312" w:cs="仿宋_GB2312"/>
          <w:highlight w:val="none"/>
        </w:rPr>
        <w:t>通过物业费的实施，完成水</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电</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暖供应系统维护、保洁、安防、环境绿化、锅炉运行、房屋养护、公共设施运行、公共秩序等工作，保障12个</w:t>
      </w:r>
      <w:r>
        <w:rPr>
          <w:rFonts w:hint="eastAsia" w:ascii="仿宋_GB2312" w:hAnsi="仿宋_GB2312" w:cs="仿宋_GB2312"/>
          <w:highlight w:val="none"/>
          <w:lang w:val="en-US" w:eastAsia="zh-CN"/>
        </w:rPr>
        <w:t>法院</w:t>
      </w:r>
      <w:r>
        <w:rPr>
          <w:rFonts w:hint="eastAsia" w:ascii="仿宋_GB2312" w:hAnsi="仿宋_GB2312" w:eastAsia="仿宋_GB2312" w:cs="仿宋_GB2312"/>
          <w:highlight w:val="none"/>
        </w:rPr>
        <w:t>审判办案场所的日常运行，使得案件审判工作能够顺利开展，工作环境得到优化改善，后勤保障能力得到提升。</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4" w:name="_Toc5599"/>
      <w:r>
        <w:rPr>
          <w:rFonts w:hint="eastAsia" w:ascii="楷体" w:hAnsi="楷体" w:eastAsia="楷体" w:cs="楷体"/>
          <w:b/>
          <w:bCs/>
          <w:highlight w:val="none"/>
        </w:rPr>
        <w:t>（二）202</w:t>
      </w:r>
      <w:r>
        <w:rPr>
          <w:rFonts w:hint="eastAsia" w:ascii="楷体" w:hAnsi="楷体" w:eastAsia="楷体" w:cs="楷体"/>
          <w:b/>
          <w:bCs/>
          <w:highlight w:val="none"/>
          <w:lang w:val="en-US" w:eastAsia="zh-CN"/>
        </w:rPr>
        <w:t>2</w:t>
      </w:r>
      <w:r>
        <w:rPr>
          <w:rFonts w:hint="eastAsia" w:ascii="楷体" w:hAnsi="楷体" w:eastAsia="楷体" w:cs="楷体"/>
          <w:b/>
          <w:bCs/>
          <w:highlight w:val="none"/>
        </w:rPr>
        <w:t>年度绩效目标</w:t>
      </w:r>
      <w:bookmarkEnd w:id="23"/>
      <w:bookmarkEnd w:id="24"/>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案件审判能够顺利开展，工作环境得到优化改善，后勤保障能力得到提升，确保2022年度</w:t>
      </w:r>
      <w:r>
        <w:rPr>
          <w:rFonts w:hint="eastAsia" w:ascii="仿宋_GB2312" w:hAnsi="仿宋_GB2312" w:cs="仿宋_GB2312"/>
          <w:highlight w:val="none"/>
          <w:lang w:val="en-US" w:eastAsia="zh-CN"/>
        </w:rPr>
        <w:t>省法院及直属单位</w:t>
      </w:r>
      <w:r>
        <w:rPr>
          <w:rFonts w:hint="eastAsia" w:ascii="仿宋_GB2312" w:hAnsi="仿宋_GB2312" w:eastAsia="仿宋_GB2312" w:cs="仿宋_GB2312"/>
          <w:highlight w:val="none"/>
        </w:rPr>
        <w:t>审判场地的安全以及法院工作的正常运行。</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highlight w:val="none"/>
        </w:rPr>
      </w:pPr>
      <w:bookmarkStart w:id="25" w:name="_Toc23835"/>
      <w:bookmarkStart w:id="26" w:name="_Toc1063"/>
      <w:r>
        <w:rPr>
          <w:rFonts w:hint="eastAsia" w:ascii="黑体" w:hAnsi="黑体" w:eastAsia="黑体" w:cs="黑体"/>
          <w:b w:val="0"/>
          <w:bCs w:val="0"/>
          <w:highlight w:val="none"/>
        </w:rPr>
        <w:t>三、评价基本情况</w:t>
      </w:r>
      <w:bookmarkEnd w:id="25"/>
      <w:bookmarkEnd w:id="26"/>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7" w:name="_Toc25411"/>
      <w:bookmarkStart w:id="28" w:name="_Toc12764"/>
      <w:r>
        <w:rPr>
          <w:rFonts w:hint="eastAsia" w:ascii="楷体" w:hAnsi="楷体" w:eastAsia="楷体" w:cs="楷体"/>
          <w:b/>
          <w:bCs/>
          <w:highlight w:val="none"/>
        </w:rPr>
        <w:t>（一）评价目的、对象和范围</w:t>
      </w:r>
      <w:bookmarkEnd w:id="27"/>
      <w:bookmarkEnd w:id="28"/>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绩效评价的目的是对预算资金的执行情况、资金使用情况、项目的绩效情况进行综合分析，与预期绩效目标进行对比评价，优化资金使用、完善资金管理，为该项目下一步的预算安排提供参考，不断提高资金的使用效益。</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w:t>
      </w:r>
      <w:r>
        <w:rPr>
          <w:rFonts w:hint="eastAsia" w:ascii="仿宋_GB2312" w:hAnsi="仿宋_GB2312" w:cs="仿宋_GB2312"/>
          <w:highlight w:val="none"/>
          <w:lang w:val="en-US" w:eastAsia="zh-CN"/>
        </w:rPr>
        <w:t>物业费</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；评价范围为202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w:t>
      </w:r>
      <w:r>
        <w:rPr>
          <w:rFonts w:hint="eastAsia" w:ascii="仿宋_GB2312" w:hAnsi="仿宋_GB2312" w:cs="仿宋_GB2312"/>
          <w:highlight w:val="none"/>
          <w:lang w:val="en-US" w:eastAsia="zh-CN"/>
        </w:rPr>
        <w:t>物业费</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项目全年预算资金957.54万元的</w:t>
      </w:r>
      <w:r>
        <w:rPr>
          <w:rFonts w:hint="eastAsia" w:ascii="仿宋_GB2312" w:hAnsi="仿宋_GB2312" w:eastAsia="仿宋_GB2312" w:cs="仿宋_GB2312"/>
          <w:highlight w:val="none"/>
        </w:rPr>
        <w:t>资金使用和项目实施效益情况。</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9" w:name="_Toc861"/>
      <w:bookmarkStart w:id="30" w:name="_Toc10821"/>
      <w:r>
        <w:rPr>
          <w:rFonts w:hint="eastAsia" w:ascii="楷体" w:hAnsi="楷体" w:eastAsia="楷体" w:cs="楷体"/>
          <w:b/>
          <w:bCs/>
          <w:highlight w:val="none"/>
        </w:rPr>
        <w:t>（二）评价原则、评价方法、评价指标体系</w:t>
      </w:r>
      <w:bookmarkEnd w:id="29"/>
      <w:bookmarkEnd w:id="3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本次绩效评价遵循</w:t>
      </w:r>
      <w:r>
        <w:rPr>
          <w:rFonts w:hint="eastAsia" w:ascii="仿宋_GB2312" w:hAnsi="仿宋_GB2312" w:eastAsia="仿宋_GB2312" w:cs="仿宋_GB2312"/>
          <w:color w:val="000000" w:themeColor="text1"/>
          <w:sz w:val="32"/>
          <w:szCs w:val="32"/>
          <w:highlight w:val="none"/>
          <w14:textFill>
            <w14:solidFill>
              <w14:schemeClr w14:val="tx1"/>
            </w14:solidFill>
          </w14:textFill>
        </w:rPr>
        <w:t>科学规范、绩效相关、公开透明、激励约束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的原</w:t>
      </w:r>
      <w:r>
        <w:rPr>
          <w:rFonts w:hint="eastAsia" w:ascii="仿宋_GB2312" w:hAnsi="仿宋_GB2312" w:eastAsia="仿宋_GB2312" w:cs="仿宋_GB2312"/>
          <w:sz w:val="32"/>
          <w:szCs w:val="32"/>
          <w:highlight w:val="none"/>
        </w:rPr>
        <w:t>则。</w:t>
      </w:r>
      <w:r>
        <w:rPr>
          <w:rFonts w:hint="eastAsia" w:ascii="仿宋_GB2312" w:hAnsi="仿宋_GB2312" w:eastAsia="仿宋_GB2312" w:cs="仿宋_GB2312"/>
          <w:color w:val="000000" w:themeColor="text1"/>
          <w:sz w:val="32"/>
          <w:szCs w:val="32"/>
          <w:highlight w:val="none"/>
          <w14:textFill>
            <w14:solidFill>
              <w14:schemeClr w14:val="tx1"/>
            </w14:solidFill>
          </w14:textFill>
        </w:rPr>
        <w:t>采用定量和定性分析相结合，第三方评价机构现场核实、资料评审相结合，综合运用比较法、因素分析法和专家评议等方法进行评价。</w:t>
      </w:r>
      <w:r>
        <w:rPr>
          <w:rFonts w:hint="eastAsia" w:ascii="仿宋_GB2312" w:hAnsi="仿宋_GB2312" w:eastAsia="仿宋_GB2312" w:cs="仿宋_GB2312"/>
          <w:sz w:val="32"/>
          <w:szCs w:val="32"/>
          <w:highlight w:val="none"/>
        </w:rPr>
        <w:t>根据相关文件规定，绩效评价指标划分为三级，一级指标主要包括：项目决策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过程、产出、效益、服务对象满意度情况，二级指标和三级指标根据项目情况量化、细化。</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31" w:name="_Toc7306"/>
      <w:bookmarkStart w:id="32" w:name="_Toc16809"/>
      <w:r>
        <w:rPr>
          <w:rFonts w:hint="eastAsia" w:ascii="楷体" w:hAnsi="楷体" w:eastAsia="楷体" w:cs="楷体"/>
          <w:b/>
          <w:bCs/>
          <w:highlight w:val="none"/>
        </w:rPr>
        <w:t>（三）绩效评价工作过程</w:t>
      </w:r>
      <w:bookmarkEnd w:id="31"/>
      <w:bookmarkEnd w:id="3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33" w:name="_Toc29824"/>
      <w:r>
        <w:rPr>
          <w:rFonts w:hint="eastAsia" w:ascii="仿宋_GB2312" w:hAnsi="仿宋_GB2312" w:eastAsia="仿宋_GB2312" w:cs="仿宋_GB2312"/>
          <w:sz w:val="32"/>
          <w:szCs w:val="32"/>
          <w:highlight w:val="none"/>
        </w:rPr>
        <w:t>本次评价由</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委托甘肃卓诚财务咨询有限公司组成评价工作组，按照《甘肃省财政厅关于开展2022年度省级预算执行情况部门和财政重点绩效评价工作的通知》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要求，在充分开展前期调研的基础上，收集评价资料、开展现场评价、进行综合分析、撰写评价报告。</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 w:hAnsi="仿宋" w:eastAsia="仿宋" w:cs="仿宋"/>
          <w:b w:val="0"/>
          <w:bCs w:val="0"/>
          <w:highlight w:val="none"/>
        </w:rPr>
      </w:pPr>
      <w:bookmarkStart w:id="34" w:name="_Toc10738"/>
      <w:r>
        <w:rPr>
          <w:rFonts w:hint="eastAsia" w:ascii="黑体" w:hAnsi="黑体" w:eastAsia="黑体" w:cs="黑体"/>
          <w:b w:val="0"/>
          <w:bCs w:val="0"/>
          <w:highlight w:val="none"/>
        </w:rPr>
        <w:t>四、评价结论和绩效分析</w:t>
      </w:r>
      <w:bookmarkEnd w:id="33"/>
      <w:bookmarkEnd w:id="3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依据项目支出绩效评价指标体系和评分标准，综合评定202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项目绩效评分为</w:t>
      </w:r>
      <w:r>
        <w:rPr>
          <w:rFonts w:hint="eastAsia" w:ascii="仿宋_GB2312" w:hAnsi="仿宋_GB2312" w:eastAsia="仿宋_GB2312" w:cs="仿宋_GB2312"/>
          <w:sz w:val="32"/>
          <w:szCs w:val="32"/>
          <w:highlight w:val="none"/>
          <w:lang w:val="en-US" w:eastAsia="zh-CN"/>
        </w:rPr>
        <w:t>92.67</w:t>
      </w:r>
      <w:r>
        <w:rPr>
          <w:rFonts w:hint="eastAsia" w:ascii="仿宋_GB2312" w:hAnsi="仿宋_GB2312" w:eastAsia="仿宋_GB2312" w:cs="仿宋_GB2312"/>
          <w:sz w:val="32"/>
          <w:szCs w:val="32"/>
          <w:highlight w:val="none"/>
        </w:rPr>
        <w:t>分，绩效等级为“</w:t>
      </w:r>
      <w:r>
        <w:rPr>
          <w:rFonts w:hint="eastAsia" w:ascii="仿宋_GB2312" w:hAnsi="仿宋_GB2312" w:eastAsia="仿宋_GB2312" w:cs="仿宋_GB2312"/>
          <w:sz w:val="32"/>
          <w:szCs w:val="32"/>
          <w:highlight w:val="none"/>
          <w:lang w:val="en-US" w:eastAsia="zh-CN"/>
        </w:rPr>
        <w:t>优</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评价认为，202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项目立项依据充分，立项程序规范，预算编制科学，资金及时到位，管理制度较为健全，资金分配合理，</w:t>
      </w:r>
      <w:r>
        <w:rPr>
          <w:rFonts w:hint="eastAsia" w:ascii="仿宋_GB2312" w:hAnsi="仿宋_GB2312" w:eastAsia="仿宋_GB2312" w:cs="仿宋_GB2312"/>
          <w:sz w:val="32"/>
          <w:szCs w:val="32"/>
          <w:highlight w:val="none"/>
          <w:lang w:val="en-US" w:eastAsia="zh-CN"/>
        </w:rPr>
        <w:t>项目的实施优化了工作环境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确保了审批场地的安全，项目</w:t>
      </w:r>
      <w:r>
        <w:rPr>
          <w:rFonts w:hint="eastAsia" w:ascii="仿宋_GB2312" w:hAnsi="仿宋_GB2312" w:eastAsia="仿宋_GB2312" w:cs="仿宋_GB2312"/>
          <w:sz w:val="32"/>
          <w:szCs w:val="32"/>
          <w:highlight w:val="none"/>
        </w:rPr>
        <w:t>效益显著，服务对象满意度良好。</w:t>
      </w:r>
      <w:r>
        <w:rPr>
          <w:rFonts w:hint="eastAsia" w:ascii="仿宋_GB2312" w:hAnsi="仿宋_GB2312" w:eastAsia="仿宋_GB2312" w:cs="仿宋_GB2312"/>
          <w:sz w:val="32"/>
          <w:szCs w:val="32"/>
          <w:highlight w:val="none"/>
          <w:lang w:val="en-US" w:eastAsia="zh-CN"/>
        </w:rPr>
        <w:t>但该项目预算执行率有待提高，绩效目标编制有待进一步规范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公共设施运行维护完成率指标未达到年度目标。</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firstLine="640" w:firstLineChars="200"/>
        <w:textAlignment w:val="auto"/>
        <w:rPr>
          <w:rFonts w:ascii="黑体" w:hAnsi="黑体" w:eastAsia="黑体" w:cs="黑体"/>
          <w:b w:val="0"/>
          <w:bCs/>
          <w:sz w:val="32"/>
          <w:szCs w:val="32"/>
          <w:highlight w:val="none"/>
        </w:rPr>
      </w:pPr>
      <w:bookmarkStart w:id="35" w:name="_Toc1287"/>
      <w:bookmarkStart w:id="36" w:name="_Toc16038"/>
      <w:r>
        <w:rPr>
          <w:rFonts w:hint="eastAsia" w:ascii="黑体" w:hAnsi="黑体" w:eastAsia="黑体" w:cs="黑体"/>
          <w:b w:val="0"/>
          <w:bCs/>
          <w:sz w:val="32"/>
          <w:szCs w:val="32"/>
          <w:highlight w:val="none"/>
        </w:rPr>
        <w:t>存在问题及原因分析</w:t>
      </w:r>
      <w:bookmarkEnd w:id="35"/>
      <w:bookmarkEnd w:id="3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bookmarkStart w:id="37" w:name="_Toc23173"/>
      <w:bookmarkStart w:id="38" w:name="_Toc16824"/>
      <w:bookmarkStart w:id="39" w:name="_Toc22377"/>
      <w:bookmarkStart w:id="40" w:name="_Toc9017"/>
      <w:r>
        <w:rPr>
          <w:rFonts w:hint="eastAsia" w:ascii="仿宋_GB2312" w:hAnsi="仿宋_GB2312" w:eastAsia="仿宋_GB2312" w:cs="仿宋_GB2312"/>
          <w:sz w:val="32"/>
          <w:szCs w:val="32"/>
          <w:highlight w:val="none"/>
          <w:lang w:val="en-US" w:eastAsia="zh-CN"/>
        </w:rPr>
        <w:t>（一）项目支出预算执行率</w:t>
      </w:r>
      <w:bookmarkEnd w:id="37"/>
      <w:bookmarkEnd w:id="38"/>
      <w:bookmarkEnd w:id="39"/>
      <w:r>
        <w:rPr>
          <w:rFonts w:hint="eastAsia" w:ascii="仿宋_GB2312" w:hAnsi="仿宋_GB2312" w:eastAsia="仿宋_GB2312" w:cs="仿宋_GB2312"/>
          <w:sz w:val="32"/>
          <w:szCs w:val="32"/>
          <w:highlight w:val="none"/>
          <w:lang w:val="en-US" w:eastAsia="zh-CN"/>
        </w:rPr>
        <w:t>有待提高。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bookmarkStart w:id="41" w:name="_Toc28963"/>
      <w:bookmarkStart w:id="42" w:name="_Toc21985"/>
      <w:bookmarkStart w:id="43" w:name="_Toc28970"/>
      <w:r>
        <w:rPr>
          <w:rFonts w:hint="eastAsia" w:ascii="仿宋_GB2312" w:hAnsi="仿宋_GB2312" w:eastAsia="仿宋_GB2312" w:cs="仿宋_GB2312"/>
          <w:sz w:val="32"/>
          <w:szCs w:val="32"/>
          <w:highlight w:val="none"/>
          <w:lang w:val="en-US" w:eastAsia="zh-CN"/>
        </w:rPr>
        <w:t>（二）</w:t>
      </w:r>
      <w:bookmarkEnd w:id="41"/>
      <w:r>
        <w:rPr>
          <w:rFonts w:hint="eastAsia" w:ascii="仿宋_GB2312" w:hAnsi="仿宋_GB2312" w:eastAsia="仿宋_GB2312" w:cs="仿宋_GB2312"/>
          <w:sz w:val="32"/>
          <w:szCs w:val="32"/>
          <w:highlight w:val="none"/>
          <w:lang w:val="en-US" w:eastAsia="zh-CN"/>
        </w:rPr>
        <w:t>绩效目标编制有待进一步规范</w:t>
      </w:r>
      <w:bookmarkEnd w:id="42"/>
      <w:bookmarkEnd w:id="43"/>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bookmarkStart w:id="44" w:name="_Toc21730"/>
      <w:bookmarkStart w:id="45" w:name="_Toc17547"/>
      <w:bookmarkStart w:id="46" w:name="_Toc22544"/>
      <w:r>
        <w:rPr>
          <w:rFonts w:hint="eastAsia" w:ascii="仿宋_GB2312" w:hAnsi="仿宋_GB2312" w:eastAsia="仿宋_GB2312" w:cs="仿宋_GB2312"/>
          <w:sz w:val="32"/>
          <w:szCs w:val="32"/>
          <w:highlight w:val="none"/>
          <w:lang w:val="en-US" w:eastAsia="zh-CN"/>
        </w:rPr>
        <w:t>（三）</w:t>
      </w:r>
      <w:bookmarkEnd w:id="44"/>
      <w:r>
        <w:rPr>
          <w:rFonts w:hint="eastAsia" w:ascii="仿宋_GB2312" w:hAnsi="仿宋_GB2312" w:eastAsia="仿宋_GB2312" w:cs="仿宋_GB2312"/>
          <w:sz w:val="32"/>
          <w:szCs w:val="32"/>
          <w:highlight w:val="none"/>
          <w:lang w:val="en-US" w:eastAsia="zh-CN"/>
        </w:rPr>
        <w:t>公共设施运行维护完成率指标未</w:t>
      </w:r>
      <w:bookmarkEnd w:id="45"/>
      <w:bookmarkEnd w:id="46"/>
      <w:r>
        <w:rPr>
          <w:rFonts w:hint="eastAsia" w:ascii="仿宋_GB2312" w:hAnsi="仿宋_GB2312" w:eastAsia="仿宋_GB2312" w:cs="仿宋_GB2312"/>
          <w:sz w:val="32"/>
          <w:szCs w:val="32"/>
          <w:highlight w:val="none"/>
          <w:lang w:val="en-US" w:eastAsia="zh-CN"/>
        </w:rPr>
        <w:t>达到年度目标。</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cs="黑体"/>
          <w:b w:val="0"/>
          <w:bCs/>
          <w:sz w:val="32"/>
          <w:szCs w:val="32"/>
          <w:highlight w:val="none"/>
        </w:rPr>
      </w:pPr>
      <w:bookmarkStart w:id="47" w:name="_Toc4687"/>
      <w:r>
        <w:rPr>
          <w:rFonts w:hint="eastAsia" w:ascii="黑体" w:hAnsi="黑体" w:eastAsia="黑体" w:cs="黑体"/>
          <w:b w:val="0"/>
          <w:bCs/>
          <w:sz w:val="32"/>
          <w:szCs w:val="32"/>
          <w:highlight w:val="none"/>
        </w:rPr>
        <w:t>有关建议</w:t>
      </w:r>
      <w:bookmarkEnd w:id="4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bookmarkStart w:id="48" w:name="_Toc2159"/>
      <w:bookmarkStart w:id="49" w:name="_Toc13137"/>
      <w:bookmarkStart w:id="50" w:name="_Toc29193"/>
      <w:r>
        <w:rPr>
          <w:rFonts w:hint="eastAsia" w:ascii="仿宋_GB2312" w:hAnsi="仿宋_GB2312" w:eastAsia="仿宋_GB2312" w:cs="仿宋_GB2312"/>
          <w:sz w:val="32"/>
          <w:szCs w:val="32"/>
          <w:highlight w:val="none"/>
          <w:lang w:val="en-US" w:eastAsia="zh-CN"/>
        </w:rPr>
        <w:t>（一）细化预算编制，加快资金执行进度</w:t>
      </w:r>
      <w:bookmarkEnd w:id="48"/>
      <w:bookmarkEnd w:id="49"/>
      <w:bookmarkEnd w:id="50"/>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bookmarkStart w:id="51" w:name="_Toc16121"/>
      <w:bookmarkStart w:id="52" w:name="_Toc26825"/>
      <w:bookmarkStart w:id="53" w:name="_Toc8805"/>
      <w:r>
        <w:rPr>
          <w:rFonts w:hint="eastAsia" w:ascii="仿宋_GB2312" w:hAnsi="仿宋_GB2312" w:eastAsia="仿宋_GB2312" w:cs="仿宋_GB2312"/>
          <w:sz w:val="32"/>
          <w:szCs w:val="32"/>
          <w:highlight w:val="none"/>
          <w:lang w:val="en-US" w:eastAsia="zh-CN"/>
        </w:rPr>
        <w:t>（二）</w:t>
      </w:r>
      <w:bookmarkEnd w:id="51"/>
      <w:bookmarkEnd w:id="52"/>
      <w:r>
        <w:rPr>
          <w:rFonts w:hint="eastAsia" w:ascii="仿宋_GB2312" w:hAnsi="仿宋_GB2312" w:eastAsia="仿宋_GB2312" w:cs="仿宋_GB2312"/>
          <w:sz w:val="32"/>
          <w:szCs w:val="32"/>
          <w:highlight w:val="none"/>
          <w:lang w:val="en-US" w:eastAsia="zh-CN"/>
        </w:rPr>
        <w:t>以提高资金使用效益为目标，合理设定绩效指标</w:t>
      </w:r>
      <w:bookmarkEnd w:id="53"/>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sectPr>
          <w:footerReference r:id="rId8" w:type="default"/>
          <w:pgSz w:w="11906" w:h="16838"/>
          <w:pgMar w:top="1440" w:right="1800" w:bottom="1440" w:left="1800" w:header="851" w:footer="992" w:gutter="0"/>
          <w:pgNumType w:start="1"/>
          <w:cols w:space="425" w:num="1"/>
          <w:docGrid w:type="lines" w:linePitch="312" w:charSpace="0"/>
        </w:sectPr>
      </w:pPr>
    </w:p>
    <w:p>
      <w:pPr>
        <w:pStyle w:val="2"/>
        <w:rPr>
          <w:rFonts w:hint="eastAsia"/>
          <w:highlight w:val="none"/>
          <w:lang w:val="en-US" w:eastAsia="zh-CN"/>
        </w:rPr>
      </w:pPr>
    </w:p>
    <w:bookmarkEnd w:id="40"/>
    <w:p>
      <w:pPr>
        <w:spacing w:line="560" w:lineRule="exact"/>
        <w:jc w:val="center"/>
        <w:outlineLvl w:val="0"/>
        <w:rPr>
          <w:rFonts w:ascii="方正小标宋简体" w:hAnsi="宋体" w:eastAsia="方正小标宋简体"/>
          <w:sz w:val="44"/>
          <w:szCs w:val="44"/>
          <w:highlight w:val="none"/>
        </w:rPr>
      </w:pPr>
      <w:bookmarkStart w:id="54" w:name="_Toc24242"/>
      <w:bookmarkStart w:id="55" w:name="_Toc2283"/>
      <w:bookmarkStart w:id="56" w:name="_Toc1784"/>
      <w:r>
        <w:rPr>
          <w:rFonts w:hint="eastAsia" w:ascii="方正小标宋简体" w:hAnsi="宋体" w:eastAsia="方正小标宋简体"/>
          <w:sz w:val="44"/>
          <w:szCs w:val="44"/>
          <w:highlight w:val="none"/>
        </w:rPr>
        <w:t>202</w:t>
      </w:r>
      <w:r>
        <w:rPr>
          <w:rFonts w:hint="eastAsia" w:ascii="方正小标宋简体" w:hAnsi="宋体" w:eastAsia="方正小标宋简体"/>
          <w:sz w:val="44"/>
          <w:szCs w:val="44"/>
          <w:highlight w:val="none"/>
          <w:lang w:val="en-US" w:eastAsia="zh-CN"/>
        </w:rPr>
        <w:t>2</w:t>
      </w:r>
      <w:r>
        <w:rPr>
          <w:rFonts w:hint="eastAsia" w:ascii="方正小标宋简体" w:hAnsi="宋体" w:eastAsia="方正小标宋简体"/>
          <w:sz w:val="44"/>
          <w:szCs w:val="44"/>
          <w:highlight w:val="none"/>
        </w:rPr>
        <w:t>年度</w:t>
      </w:r>
      <w:r>
        <w:rPr>
          <w:rFonts w:hint="eastAsia" w:ascii="方正小标宋简体" w:hAnsi="宋体" w:eastAsia="方正小标宋简体"/>
          <w:sz w:val="44"/>
          <w:szCs w:val="44"/>
          <w:highlight w:val="none"/>
          <w:lang w:val="en-US" w:eastAsia="zh-CN"/>
        </w:rPr>
        <w:t>甘肃省高级人民法院</w:t>
      </w:r>
      <w:r>
        <w:rPr>
          <w:rFonts w:hint="eastAsia" w:ascii="方正小标宋简体" w:hAnsi="宋体" w:eastAsia="方正小标宋简体"/>
          <w:sz w:val="44"/>
          <w:szCs w:val="44"/>
          <w:highlight w:val="none"/>
        </w:rPr>
        <w:t>重点项目</w:t>
      </w:r>
      <w:bookmarkEnd w:id="54"/>
    </w:p>
    <w:p>
      <w:pPr>
        <w:spacing w:line="560" w:lineRule="exact"/>
        <w:jc w:val="center"/>
        <w:outlineLvl w:val="0"/>
        <w:rPr>
          <w:rFonts w:ascii="方正小标宋简体" w:hAnsi="宋体" w:eastAsia="方正小标宋简体"/>
          <w:sz w:val="44"/>
          <w:szCs w:val="44"/>
          <w:highlight w:val="none"/>
        </w:rPr>
      </w:pPr>
      <w:bookmarkStart w:id="57" w:name="_Toc9311"/>
      <w:bookmarkStart w:id="58" w:name="_Toc21731"/>
      <w:bookmarkStart w:id="59" w:name="_Toc19889"/>
      <w:bookmarkStart w:id="60" w:name="_Toc10434"/>
      <w:bookmarkStart w:id="61" w:name="_Toc25608"/>
      <w:r>
        <w:rPr>
          <w:rFonts w:hint="eastAsia" w:ascii="方正小标宋简体" w:hAnsi="宋体" w:eastAsia="方正小标宋简体"/>
          <w:sz w:val="44"/>
          <w:szCs w:val="44"/>
          <w:highlight w:val="none"/>
        </w:rPr>
        <w:t>—</w:t>
      </w:r>
      <w:r>
        <w:rPr>
          <w:rFonts w:hint="eastAsia" w:ascii="方正小标宋简体" w:hAnsi="宋体" w:eastAsia="方正小标宋简体"/>
          <w:sz w:val="44"/>
          <w:szCs w:val="44"/>
          <w:highlight w:val="none"/>
          <w:lang w:eastAsia="zh-CN"/>
        </w:rPr>
        <w:t>物业费</w:t>
      </w:r>
      <w:bookmarkEnd w:id="57"/>
      <w:bookmarkStart w:id="62" w:name="_Toc18534"/>
      <w:r>
        <w:rPr>
          <w:rFonts w:hint="eastAsia" w:ascii="方正小标宋简体" w:hAnsi="宋体" w:eastAsia="方正小标宋简体"/>
          <w:sz w:val="44"/>
          <w:szCs w:val="44"/>
          <w:highlight w:val="none"/>
        </w:rPr>
        <w:t>绩效评价报告</w:t>
      </w:r>
      <w:bookmarkEnd w:id="58"/>
      <w:bookmarkEnd w:id="59"/>
      <w:bookmarkEnd w:id="60"/>
      <w:bookmarkEnd w:id="61"/>
      <w:bookmarkEnd w:id="62"/>
    </w:p>
    <w:p>
      <w:pPr>
        <w:pStyle w:val="2"/>
        <w:spacing w:line="560" w:lineRule="exact"/>
        <w:ind w:firstLine="4480" w:firstLineChars="1600"/>
        <w:outlineLvl w:val="9"/>
        <w:rPr>
          <w:rFonts w:ascii="宋体" w:hAnsi="宋体" w:eastAsia="宋体"/>
          <w:b/>
          <w:bCs/>
          <w:sz w:val="28"/>
          <w:szCs w:val="28"/>
          <w:highlight w:val="none"/>
        </w:rPr>
      </w:pPr>
      <w:r>
        <w:rPr>
          <w:rFonts w:hint="eastAsia" w:ascii="楷体" w:hAnsi="楷体" w:eastAsia="楷体" w:cs="楷体"/>
          <w:sz w:val="28"/>
          <w:szCs w:val="28"/>
        </w:rPr>
        <w:t>甘卓诚咨字【2023】第01</w:t>
      </w:r>
      <w:r>
        <w:rPr>
          <w:rFonts w:hint="eastAsia" w:ascii="楷体" w:hAnsi="楷体" w:eastAsia="楷体" w:cs="楷体"/>
          <w:sz w:val="28"/>
          <w:szCs w:val="28"/>
          <w:lang w:val="en-US" w:eastAsia="zh-CN"/>
        </w:rPr>
        <w:t>5</w:t>
      </w:r>
      <w:r>
        <w:rPr>
          <w:rFonts w:hint="eastAsia" w:ascii="楷体" w:hAnsi="楷体" w:eastAsia="楷体" w:cs="楷体"/>
          <w:sz w:val="28"/>
          <w:szCs w:val="28"/>
        </w:rPr>
        <w:t>号</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63" w:name="_Toc28166"/>
      <w:bookmarkStart w:id="64" w:name="_Toc3504"/>
      <w:r>
        <w:rPr>
          <w:rFonts w:hint="eastAsia" w:ascii="黑体" w:eastAsia="黑体"/>
          <w:highlight w:val="none"/>
        </w:rPr>
        <w:t>一、项目基本情况</w:t>
      </w:r>
      <w:bookmarkEnd w:id="55"/>
      <w:bookmarkEnd w:id="56"/>
      <w:bookmarkEnd w:id="63"/>
      <w:bookmarkEnd w:id="64"/>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65" w:name="_Toc11404"/>
      <w:bookmarkStart w:id="66" w:name="_Toc21843"/>
      <w:bookmarkStart w:id="67" w:name="_Toc31917"/>
      <w:r>
        <w:rPr>
          <w:rFonts w:hint="eastAsia" w:ascii="楷体" w:hAnsi="楷体" w:eastAsia="楷体" w:cs="楷体"/>
          <w:b/>
          <w:bCs/>
          <w:highlight w:val="none"/>
        </w:rPr>
        <w:t>（一）项目立项背景</w:t>
      </w:r>
      <w:bookmarkEnd w:id="65"/>
      <w:bookmarkEnd w:id="66"/>
      <w:bookmarkEnd w:id="67"/>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68" w:name="_Hlk107005708"/>
      <w:bookmarkStart w:id="69" w:name="_Toc10699"/>
      <w:bookmarkStart w:id="70" w:name="_Toc27159"/>
      <w:r>
        <w:rPr>
          <w:rFonts w:hint="eastAsia" w:ascii="仿宋_GB2312" w:hAnsi="仿宋_GB2312" w:eastAsia="仿宋_GB2312" w:cs="仿宋_GB2312"/>
          <w:highlight w:val="none"/>
        </w:rPr>
        <w:t>人民法院是中华人民共和国的国家审判机关，依照法律规定代表国家独立行使审判权，</w:t>
      </w:r>
      <w:r>
        <w:rPr>
          <w:rFonts w:hint="eastAsia" w:ascii="仿宋_GB2312" w:hAnsi="仿宋_GB2312" w:cs="仿宋_GB2312"/>
          <w:highlight w:val="none"/>
          <w:lang w:val="en-US" w:eastAsia="zh-CN"/>
        </w:rPr>
        <w:t>工作</w:t>
      </w:r>
      <w:r>
        <w:rPr>
          <w:rFonts w:hint="eastAsia" w:ascii="仿宋_GB2312" w:hAnsi="仿宋_GB2312" w:eastAsia="仿宋_GB2312" w:cs="仿宋_GB2312"/>
          <w:highlight w:val="none"/>
        </w:rPr>
        <w:t>任务是审判刑事案件、民事案件和行政案件，并且通过审判活动，惩办一切犯罪分子，解决民商事纠纷，以保卫无产阶级专政制度，维护社会主义法制和社会秩序，保护社会主义的全民所有的财产以及劳动群众集体所有的财产，保护公民私人所有的合法财产，保护公民的人身权利、民主权利和其他权利，保障国家的社会主义革命和社会主义建设事业的顺利进行。为了优化良好的工作环境，确保审判场地的安全，提升后勤保障的能力，特设立此项目。</w:t>
      </w:r>
    </w:p>
    <w:bookmarkEnd w:id="68"/>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1" w:name="_Toc24825"/>
      <w:r>
        <w:rPr>
          <w:rFonts w:hint="eastAsia" w:ascii="楷体" w:hAnsi="楷体" w:eastAsia="楷体" w:cs="楷体"/>
          <w:b/>
          <w:bCs/>
          <w:highlight w:val="none"/>
        </w:rPr>
        <w:t>（二）项目预算安排及使用情况</w:t>
      </w:r>
      <w:bookmarkEnd w:id="69"/>
      <w:bookmarkEnd w:id="70"/>
      <w:bookmarkEnd w:id="71"/>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2"/>
        <w:rPr>
          <w:rFonts w:hint="default"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1.预算安排情况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eastAsia="zh-CN"/>
        </w:rPr>
        <w:t>根据甘肃省财政厅2022年度预算安排</w:t>
      </w:r>
      <w:r>
        <w:rPr>
          <w:rFonts w:hint="eastAsia" w:ascii="仿宋_GB2312" w:hAnsi="仿宋_GB2312" w:eastAsia="仿宋_GB2312" w:cs="仿宋_GB2312"/>
          <w:highlight w:val="none"/>
        </w:rPr>
        <w:t>，该项目</w:t>
      </w:r>
      <w:r>
        <w:rPr>
          <w:rFonts w:hint="eastAsia" w:ascii="仿宋_GB2312" w:hAnsi="仿宋_GB2312" w:cs="仿宋_GB2312"/>
          <w:highlight w:val="none"/>
          <w:lang w:val="en-US" w:eastAsia="zh-CN"/>
        </w:rPr>
        <w:t>全年</w:t>
      </w:r>
      <w:r>
        <w:rPr>
          <w:rFonts w:hint="eastAsia" w:ascii="仿宋_GB2312" w:hAnsi="仿宋_GB2312" w:eastAsia="仿宋_GB2312" w:cs="仿宋_GB2312"/>
          <w:highlight w:val="none"/>
        </w:rPr>
        <w:t>预算资金</w:t>
      </w:r>
      <w:r>
        <w:rPr>
          <w:rFonts w:hint="eastAsia" w:ascii="仿宋_GB2312" w:hAnsi="仿宋_GB2312" w:cs="仿宋_GB2312"/>
          <w:highlight w:val="none"/>
          <w:lang w:val="en-US" w:eastAsia="zh-CN"/>
        </w:rPr>
        <w:t>957.54</w:t>
      </w:r>
      <w:r>
        <w:rPr>
          <w:rFonts w:hint="eastAsia" w:ascii="仿宋_GB2312" w:hAnsi="仿宋_GB2312" w:eastAsia="仿宋_GB2312" w:cs="仿宋_GB2312"/>
          <w:highlight w:val="none"/>
        </w:rPr>
        <w:t>万元</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其中当年财政拨款858.00万元，上年结转结余资金99.54万元</w:t>
      </w:r>
      <w:r>
        <w:rPr>
          <w:rFonts w:hint="eastAsia" w:ascii="仿宋_GB2312" w:hAnsi="仿宋_GB2312" w:eastAsia="仿宋_GB2312" w:cs="仿宋_GB2312"/>
          <w:highlight w:val="none"/>
        </w:rPr>
        <w:t>。</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2.资金使用情况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截止2022年12月31日，</w:t>
      </w:r>
      <w:r>
        <w:rPr>
          <w:rFonts w:hint="eastAsia" w:ascii="仿宋_GB2312" w:hAnsi="仿宋_GB2312" w:cs="仿宋_GB2312"/>
          <w:highlight w:val="none"/>
          <w:lang w:eastAsia="zh-CN"/>
        </w:rPr>
        <w:t>物业费</w:t>
      </w:r>
      <w:r>
        <w:rPr>
          <w:rFonts w:hint="eastAsia" w:ascii="仿宋_GB2312" w:hAnsi="仿宋_GB2312" w:eastAsia="仿宋_GB2312" w:cs="仿宋_GB2312"/>
          <w:highlight w:val="none"/>
        </w:rPr>
        <w:t>项目</w:t>
      </w:r>
      <w:r>
        <w:rPr>
          <w:rFonts w:hint="eastAsia" w:ascii="仿宋_GB2312" w:hAnsi="仿宋_GB2312" w:cs="仿宋_GB2312"/>
          <w:highlight w:val="none"/>
          <w:lang w:val="en-US" w:eastAsia="zh-CN"/>
        </w:rPr>
        <w:t>实际支出839.42万元。</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2" w:name="_Toc15106"/>
      <w:bookmarkStart w:id="73" w:name="_Toc32586"/>
      <w:bookmarkStart w:id="74" w:name="_Toc9661"/>
      <w:r>
        <w:rPr>
          <w:rFonts w:hint="eastAsia" w:ascii="楷体" w:hAnsi="楷体" w:eastAsia="楷体" w:cs="楷体"/>
          <w:b/>
          <w:bCs/>
          <w:highlight w:val="none"/>
        </w:rPr>
        <w:t>（三）项目计划内容及实施情况</w:t>
      </w:r>
      <w:bookmarkEnd w:id="72"/>
      <w:bookmarkEnd w:id="73"/>
      <w:bookmarkEnd w:id="74"/>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1.项目计划内容</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物业费主要用于</w:t>
      </w:r>
      <w:r>
        <w:rPr>
          <w:rFonts w:hint="eastAsia" w:ascii="仿宋_GB2312" w:hAnsi="仿宋_GB2312" w:cs="仿宋_GB2312"/>
          <w:highlight w:val="none"/>
          <w:lang w:val="en-US" w:eastAsia="zh-CN"/>
        </w:rPr>
        <w:t>省法院及直属单位</w:t>
      </w:r>
      <w:r>
        <w:rPr>
          <w:rFonts w:hint="eastAsia" w:ascii="仿宋_GB2312" w:hAnsi="仿宋_GB2312" w:eastAsia="仿宋_GB2312" w:cs="仿宋_GB2312"/>
          <w:highlight w:val="none"/>
        </w:rPr>
        <w:t>开展日常业务等，包括但不限于水电暖供应系统、保洁、安防、环境绿化、锅炉运行、房屋养护维修、公共设施运行维护、会议服务、审判保障服务、公共秩序维护等业务。</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2.项目实施情况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eastAsia="zh-CN"/>
        </w:rPr>
        <w:t>本年度</w:t>
      </w:r>
      <w:r>
        <w:rPr>
          <w:rFonts w:hint="eastAsia" w:ascii="仿宋_GB2312" w:hAnsi="仿宋_GB2312" w:cs="仿宋_GB2312"/>
          <w:highlight w:val="none"/>
          <w:lang w:val="en-US" w:eastAsia="zh-CN"/>
        </w:rPr>
        <w:t>省法院及直属单位</w:t>
      </w:r>
      <w:r>
        <w:rPr>
          <w:rFonts w:hint="eastAsia" w:ascii="仿宋_GB2312" w:hAnsi="仿宋_GB2312" w:cs="仿宋_GB2312"/>
          <w:highlight w:val="none"/>
          <w:lang w:eastAsia="zh-CN"/>
        </w:rPr>
        <w:t>雇佣</w:t>
      </w:r>
      <w:r>
        <w:rPr>
          <w:rFonts w:hint="eastAsia" w:ascii="仿宋_GB2312" w:hAnsi="仿宋_GB2312" w:cs="仿宋_GB2312"/>
          <w:highlight w:val="none"/>
          <w:lang w:val="en-US" w:eastAsia="zh-CN"/>
        </w:rPr>
        <w:t>物业</w:t>
      </w:r>
      <w:r>
        <w:rPr>
          <w:rFonts w:hint="eastAsia" w:ascii="仿宋_GB2312" w:hAnsi="仿宋_GB2312" w:cs="仿宋_GB2312"/>
          <w:highlight w:val="none"/>
          <w:lang w:eastAsia="zh-CN"/>
        </w:rPr>
        <w:t>服务人员，对水电暖供应系统、保洁、安防、环境绿化、锅炉运行、房屋养护、公共设施运行、公共秩序等进行维护，物业保障及时，服务率达100%，给工作人员提供了安全、良好的司法工作环境，确保法院机关审判场所的安全以及法院工作的正常运行。</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5" w:name="_Toc12841"/>
      <w:bookmarkStart w:id="76" w:name="_Toc25356"/>
      <w:bookmarkStart w:id="77" w:name="_Toc4490"/>
      <w:r>
        <w:rPr>
          <w:rFonts w:hint="eastAsia" w:ascii="楷体" w:hAnsi="楷体" w:eastAsia="楷体" w:cs="楷体"/>
          <w:b/>
          <w:bCs/>
          <w:highlight w:val="none"/>
        </w:rPr>
        <w:t>（四）项目组织管理</w:t>
      </w:r>
      <w:bookmarkEnd w:id="75"/>
      <w:bookmarkEnd w:id="76"/>
      <w:bookmarkEnd w:id="77"/>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1.项目组织情况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预算资金拨付单位</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甘肃省财政厅是本项目预算资金的拨付单位，负责项目预算的审核批复，保证</w:t>
      </w:r>
      <w:r>
        <w:rPr>
          <w:rFonts w:hint="eastAsia" w:ascii="仿宋_GB2312" w:hAnsi="仿宋_GB2312" w:cs="仿宋_GB2312"/>
          <w:highlight w:val="none"/>
          <w:lang w:eastAsia="zh-CN"/>
        </w:rPr>
        <w:t>物业费</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lang w:eastAsia="zh-CN"/>
        </w:rPr>
        <w:t>资金及时、足额拨付到位</w:t>
      </w:r>
      <w:r>
        <w:rPr>
          <w:rFonts w:hint="eastAsia" w:ascii="仿宋_GB2312" w:hAnsi="仿宋_GB2312" w:cs="仿宋_GB2312"/>
          <w:highlight w:val="none"/>
          <w:lang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项目主管部门</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省法院是本项目的主管部门，负责开展监督管理和绩效考评等工作，并对资金分配和使用的全过程进行监督、检查、评估、考核及奖惩，保证资金有效使用等</w:t>
      </w:r>
      <w:r>
        <w:rPr>
          <w:rFonts w:hint="eastAsia" w:ascii="仿宋_GB2312" w:hAnsi="仿宋_GB2312" w:cs="仿宋_GB2312"/>
          <w:highlight w:val="none"/>
          <w:lang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eastAsia="仿宋_GB2312" w:cs="仿宋_GB2312"/>
          <w:highlight w:val="none"/>
          <w:lang w:eastAsia="zh-CN"/>
        </w:rPr>
        <w:t>预算执行单位</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省法院及直属单位作为项目的责任主体，对项目的组织、管理、实施承担全面责任，严格履行项目审批手续，切实加快项目进度。</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项目管理情况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物业费</w:t>
      </w:r>
      <w:r>
        <w:rPr>
          <w:rFonts w:hint="default" w:ascii="仿宋_GB2312" w:hAnsi="仿宋_GB2312" w:eastAsia="仿宋_GB2312" w:cs="仿宋_GB2312"/>
          <w:highlight w:val="none"/>
          <w:lang w:val="en-US" w:eastAsia="zh-CN"/>
        </w:rPr>
        <w:t>项目的实施大体分为制定年度工作计划、项目执行和资金支付三个阶段。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（1）</w:t>
      </w:r>
      <w:r>
        <w:rPr>
          <w:rFonts w:hint="default" w:ascii="仿宋_GB2312" w:hAnsi="仿宋_GB2312" w:eastAsia="仿宋_GB2312" w:cs="仿宋_GB2312"/>
          <w:highlight w:val="none"/>
          <w:lang w:val="en-US" w:eastAsia="zh-CN"/>
        </w:rPr>
        <w:t>制定年度工作计划。预算执行</w:t>
      </w:r>
      <w:r>
        <w:rPr>
          <w:rFonts w:hint="eastAsia" w:ascii="仿宋_GB2312" w:hAnsi="仿宋_GB2312" w:cs="仿宋_GB2312"/>
          <w:highlight w:val="none"/>
          <w:lang w:val="en-US" w:eastAsia="zh-CN"/>
        </w:rPr>
        <w:t>部门</w:t>
      </w:r>
      <w:r>
        <w:rPr>
          <w:rFonts w:hint="default" w:ascii="仿宋_GB2312" w:hAnsi="仿宋_GB2312" w:eastAsia="仿宋_GB2312" w:cs="仿宋_GB2312"/>
          <w:highlight w:val="none"/>
          <w:lang w:val="en-US" w:eastAsia="zh-CN"/>
        </w:rPr>
        <w:t>制定年度工作计划，编制项目预算和绩效目标。在编制下一年度项目预算之前，</w:t>
      </w:r>
      <w:r>
        <w:rPr>
          <w:rFonts w:hint="eastAsia" w:ascii="仿宋_GB2312" w:hAnsi="仿宋_GB2312" w:cs="仿宋_GB2312"/>
          <w:highlight w:val="none"/>
          <w:lang w:val="en-US" w:eastAsia="zh-CN"/>
        </w:rPr>
        <w:t>项目实施法院</w:t>
      </w:r>
      <w:r>
        <w:rPr>
          <w:rFonts w:hint="default" w:ascii="仿宋_GB2312" w:hAnsi="仿宋_GB2312" w:eastAsia="仿宋_GB2312" w:cs="仿宋_GB2312"/>
          <w:highlight w:val="none"/>
          <w:lang w:val="en-US" w:eastAsia="zh-CN"/>
        </w:rPr>
        <w:t>首先制定下一年度的</w:t>
      </w:r>
      <w:r>
        <w:rPr>
          <w:rFonts w:hint="eastAsia" w:ascii="仿宋_GB2312" w:hAnsi="仿宋_GB2312" w:cs="仿宋_GB2312"/>
          <w:highlight w:val="none"/>
          <w:lang w:val="en-US" w:eastAsia="zh-CN"/>
        </w:rPr>
        <w:t>物业保障服务</w:t>
      </w:r>
      <w:r>
        <w:rPr>
          <w:rFonts w:hint="default" w:ascii="仿宋_GB2312" w:hAnsi="仿宋_GB2312" w:eastAsia="仿宋_GB2312" w:cs="仿宋_GB2312"/>
          <w:highlight w:val="none"/>
          <w:lang w:val="en-US" w:eastAsia="zh-CN"/>
        </w:rPr>
        <w:t>及相应的资金使用计划，在初步明确下一年度工作计划和资金使用计划的基础上，依据工作计划和资金使用计划、有关年度预算编制要求以及往年项目预算和经费支出情况合理测算和编制项目经费预算和绩效目标，经审核通过后报省财政厅审批，省财政厅按规定程序批复下达项目预算</w:t>
      </w:r>
      <w:r>
        <w:rPr>
          <w:rFonts w:hint="eastAsia" w:ascii="仿宋_GB2312" w:hAnsi="仿宋_GB2312" w:cs="仿宋_GB2312"/>
          <w:highlight w:val="none"/>
          <w:lang w:val="en-US"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（2）</w:t>
      </w:r>
      <w:r>
        <w:rPr>
          <w:rFonts w:hint="default" w:ascii="仿宋_GB2312" w:hAnsi="仿宋_GB2312" w:eastAsia="仿宋_GB2312" w:cs="仿宋_GB2312"/>
          <w:highlight w:val="none"/>
          <w:lang w:val="en-US" w:eastAsia="zh-CN"/>
        </w:rPr>
        <w:t>项目执行。项目预算和绩效目标批复下达以后，</w:t>
      </w:r>
      <w:r>
        <w:rPr>
          <w:rFonts w:hint="eastAsia" w:ascii="仿宋_GB2312" w:hAnsi="仿宋_GB2312" w:cs="仿宋_GB2312"/>
          <w:highlight w:val="none"/>
          <w:lang w:val="en-US" w:eastAsia="zh-CN"/>
        </w:rPr>
        <w:t>各项目实施法院</w:t>
      </w:r>
      <w:r>
        <w:rPr>
          <w:rFonts w:hint="default" w:ascii="仿宋_GB2312" w:hAnsi="仿宋_GB2312" w:eastAsia="仿宋_GB2312" w:cs="仿宋_GB2312"/>
          <w:highlight w:val="none"/>
          <w:lang w:val="en-US" w:eastAsia="zh-CN"/>
        </w:rPr>
        <w:t>按照工作计划、项目预算以及绩效目标组织开展</w:t>
      </w:r>
      <w:r>
        <w:rPr>
          <w:rFonts w:hint="eastAsia" w:ascii="仿宋_GB2312" w:hAnsi="仿宋_GB2312" w:cs="仿宋_GB2312"/>
          <w:highlight w:val="none"/>
          <w:lang w:val="en-US" w:eastAsia="zh-CN"/>
        </w:rPr>
        <w:t>物业保障</w:t>
      </w:r>
      <w:r>
        <w:rPr>
          <w:rFonts w:hint="default" w:ascii="仿宋_GB2312" w:hAnsi="仿宋_GB2312" w:eastAsia="仿宋_GB2312" w:cs="仿宋_GB2312"/>
          <w:highlight w:val="none"/>
          <w:lang w:val="en-US" w:eastAsia="zh-CN"/>
        </w:rPr>
        <w:t>工作，完成年初制定的工作计划</w:t>
      </w:r>
      <w:r>
        <w:rPr>
          <w:rFonts w:hint="eastAsia" w:ascii="仿宋_GB2312" w:hAnsi="仿宋_GB2312" w:cs="仿宋_GB2312"/>
          <w:highlight w:val="none"/>
          <w:lang w:val="en-US"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（3）</w:t>
      </w:r>
      <w:r>
        <w:rPr>
          <w:rFonts w:hint="default" w:ascii="仿宋_GB2312" w:hAnsi="仿宋_GB2312" w:eastAsia="仿宋_GB2312" w:cs="仿宋_GB2312"/>
          <w:highlight w:val="none"/>
          <w:lang w:val="en-US" w:eastAsia="zh-CN"/>
        </w:rPr>
        <w:t>资金支付。在组织正常开展</w:t>
      </w:r>
      <w:r>
        <w:rPr>
          <w:rFonts w:hint="eastAsia" w:ascii="仿宋_GB2312" w:hAnsi="仿宋_GB2312" w:cs="仿宋_GB2312"/>
          <w:highlight w:val="none"/>
          <w:lang w:val="en-US" w:eastAsia="zh-CN"/>
        </w:rPr>
        <w:t>项目</w:t>
      </w:r>
      <w:r>
        <w:rPr>
          <w:rFonts w:hint="default" w:ascii="仿宋_GB2312" w:hAnsi="仿宋_GB2312" w:eastAsia="仿宋_GB2312" w:cs="仿宋_GB2312"/>
          <w:highlight w:val="none"/>
          <w:lang w:val="en-US" w:eastAsia="zh-CN"/>
        </w:rPr>
        <w:t>实施工作的基础上，严格按照项目预算、内部管理制度流程以及项目进度要求完成项目经费支付以及相应的会计核算工作</w:t>
      </w:r>
      <w:r>
        <w:rPr>
          <w:rFonts w:hint="eastAsia" w:ascii="仿宋_GB2312" w:hAnsi="仿宋_GB2312" w:cs="仿宋_GB2312"/>
          <w:highlight w:val="none"/>
          <w:lang w:val="en-US" w:eastAsia="zh-CN"/>
        </w:rPr>
        <w:t>。</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财务管理情况</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《甘肃省法院系统财物统管制度汇编》</w:t>
      </w:r>
      <w:r>
        <w:rPr>
          <w:rFonts w:hint="eastAsia" w:ascii="仿宋_GB2312" w:hAnsi="仿宋_GB2312" w:eastAsia="仿宋_GB2312" w:cs="仿宋_GB2312"/>
          <w:highlight w:val="none"/>
          <w:lang w:val="en-US" w:eastAsia="zh-CN"/>
        </w:rPr>
        <w:t>明确规定了经费报销实行统一审核，分级审批制度，基本原则是执行国家有关法律、法规和财务规章制度</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遵守</w:t>
      </w:r>
      <w:r>
        <w:rPr>
          <w:rFonts w:hint="eastAsia" w:ascii="仿宋_GB2312" w:hAnsi="仿宋_GB2312" w:cs="仿宋_GB2312"/>
          <w:highlight w:val="none"/>
          <w:lang w:val="en-US" w:eastAsia="zh-CN"/>
        </w:rPr>
        <w:t>政府</w:t>
      </w:r>
      <w:r>
        <w:rPr>
          <w:rFonts w:hint="eastAsia" w:ascii="仿宋_GB2312" w:hAnsi="仿宋_GB2312" w:eastAsia="仿宋_GB2312" w:cs="仿宋_GB2312"/>
          <w:highlight w:val="none"/>
          <w:lang w:val="en-US" w:eastAsia="zh-CN"/>
        </w:rPr>
        <w:t>会计准则，厉行节约</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量入为出</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保证重点</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兼顾一般为中心，充分发挥资金的使用效益。</w:t>
      </w:r>
      <w:r>
        <w:rPr>
          <w:rFonts w:hint="eastAsia" w:ascii="仿宋_GB2312" w:hAnsi="仿宋_GB2312" w:cs="仿宋_GB2312"/>
          <w:highlight w:val="none"/>
          <w:lang w:val="en-US" w:eastAsia="zh-CN"/>
        </w:rPr>
        <w:t>资金拨付流程如图所示：</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eastAsia="黑体"/>
          <w:highlight w:val="none"/>
        </w:rPr>
      </w:pPr>
      <w:bookmarkStart w:id="78" w:name="_Toc29508"/>
      <w:bookmarkStart w:id="79" w:name="_Toc319"/>
      <w:r>
        <w:rPr>
          <w:rFonts w:hint="eastAsia" w:ascii="黑体" w:eastAsia="黑体"/>
          <w:highlight w:val="none"/>
          <w:lang w:eastAsia="zh-CN"/>
        </w:rPr>
        <w:drawing>
          <wp:anchor distT="0" distB="0" distL="114300" distR="114300" simplePos="0" relativeHeight="251665408" behindDoc="0" locked="0" layoutInCell="1" allowOverlap="1">
            <wp:simplePos x="0" y="0"/>
            <wp:positionH relativeFrom="column">
              <wp:posOffset>38735</wp:posOffset>
            </wp:positionH>
            <wp:positionV relativeFrom="paragraph">
              <wp:posOffset>6985</wp:posOffset>
            </wp:positionV>
            <wp:extent cx="5109845" cy="3239770"/>
            <wp:effectExtent l="0" t="0" r="10795" b="6350"/>
            <wp:wrapTopAndBottom/>
            <wp:docPr id="11" name="图片 11" descr="04c1571821a6ed6c8984c2439128f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4c1571821a6ed6c8984c2439128f2b"/>
                    <pic:cNvPicPr>
                      <a:picLocks noChangeAspect="1"/>
                    </pic:cNvPicPr>
                  </pic:nvPicPr>
                  <pic:blipFill>
                    <a:blip r:embed="rId10"/>
                    <a:stretch>
                      <a:fillRect/>
                    </a:stretch>
                  </pic:blipFill>
                  <pic:spPr>
                    <a:xfrm>
                      <a:off x="0" y="0"/>
                      <a:ext cx="5109845" cy="3239770"/>
                    </a:xfrm>
                    <a:prstGeom prst="rect">
                      <a:avLst/>
                    </a:prstGeom>
                  </pic:spPr>
                </pic:pic>
              </a:graphicData>
            </a:graphic>
          </wp:anchor>
        </w:drawing>
      </w:r>
      <w:r>
        <w:rPr>
          <w:rFonts w:hint="eastAsia" w:ascii="黑体" w:eastAsia="黑体"/>
          <w:highlight w:val="none"/>
        </w:rPr>
        <w:t>二、项目绩效目标</w:t>
      </w:r>
      <w:bookmarkEnd w:id="78"/>
      <w:bookmarkEnd w:id="79"/>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0" w:name="_Toc21140"/>
      <w:bookmarkStart w:id="81" w:name="_Toc28577"/>
      <w:bookmarkStart w:id="82" w:name="_Toc11695"/>
      <w:r>
        <w:rPr>
          <w:rFonts w:hint="eastAsia" w:ascii="楷体" w:hAnsi="楷体" w:eastAsia="楷体" w:cs="楷体"/>
          <w:b/>
          <w:bCs/>
          <w:highlight w:val="none"/>
        </w:rPr>
        <w:t>（一）总体目标</w:t>
      </w:r>
      <w:bookmarkEnd w:id="80"/>
      <w:bookmarkEnd w:id="81"/>
      <w:bookmarkEnd w:id="82"/>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通过物业费的实施，完成水</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电</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暖供应系统维护、保洁、安防、环境绿化、锅炉运行、房屋养护、公共设施运行、公共秩序等工作，保障12个</w:t>
      </w:r>
      <w:r>
        <w:rPr>
          <w:rFonts w:hint="eastAsia" w:ascii="仿宋_GB2312" w:hAnsi="仿宋_GB2312" w:cs="仿宋_GB2312"/>
          <w:highlight w:val="none"/>
          <w:lang w:val="en-US" w:eastAsia="zh-CN"/>
        </w:rPr>
        <w:t>法院</w:t>
      </w:r>
      <w:r>
        <w:rPr>
          <w:rFonts w:hint="eastAsia" w:ascii="仿宋_GB2312" w:hAnsi="仿宋_GB2312" w:eastAsia="仿宋_GB2312" w:cs="仿宋_GB2312"/>
          <w:highlight w:val="none"/>
        </w:rPr>
        <w:t>审判办案场所的日常运行，使得案件审判工作能够顺利开展，工作环境得到优化改善，后勤保障能力得到提升。</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3" w:name="_Toc32085"/>
      <w:bookmarkStart w:id="84" w:name="_Toc26047"/>
      <w:bookmarkStart w:id="85" w:name="_Toc1519"/>
      <w:r>
        <w:rPr>
          <w:rFonts w:hint="eastAsia" w:ascii="楷体" w:hAnsi="楷体" w:eastAsia="楷体" w:cs="楷体"/>
          <w:b/>
          <w:bCs/>
          <w:highlight w:val="none"/>
        </w:rPr>
        <w:t>（二）年度目标</w:t>
      </w:r>
      <w:bookmarkEnd w:id="83"/>
      <w:bookmarkEnd w:id="84"/>
      <w:bookmarkEnd w:id="85"/>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案件审判</w:t>
      </w:r>
      <w:r>
        <w:rPr>
          <w:rFonts w:hint="eastAsia" w:ascii="仿宋_GB2312" w:hAnsi="仿宋_GB2312" w:cs="仿宋_GB2312"/>
          <w:highlight w:val="none"/>
          <w:lang w:val="en-US" w:eastAsia="zh-CN"/>
        </w:rPr>
        <w:t>工作</w:t>
      </w:r>
      <w:r>
        <w:rPr>
          <w:rFonts w:hint="eastAsia" w:ascii="仿宋_GB2312" w:hAnsi="仿宋_GB2312" w:eastAsia="仿宋_GB2312" w:cs="仿宋_GB2312"/>
          <w:highlight w:val="none"/>
        </w:rPr>
        <w:t>顺利开展，工作环境得到优化改善，后勤保障能力得到提升，确保2022年度</w:t>
      </w:r>
      <w:r>
        <w:rPr>
          <w:rFonts w:hint="eastAsia" w:ascii="仿宋_GB2312" w:hAnsi="仿宋_GB2312" w:cs="仿宋_GB2312"/>
          <w:highlight w:val="none"/>
          <w:lang w:val="en-US" w:eastAsia="zh-CN"/>
        </w:rPr>
        <w:t>省法院及直属单位</w:t>
      </w:r>
      <w:r>
        <w:rPr>
          <w:rFonts w:hint="eastAsia" w:ascii="仿宋_GB2312" w:hAnsi="仿宋_GB2312" w:eastAsia="仿宋_GB2312" w:cs="仿宋_GB2312"/>
          <w:highlight w:val="none"/>
        </w:rPr>
        <w:t>审判场地的安全以及</w:t>
      </w:r>
      <w:r>
        <w:rPr>
          <w:rFonts w:hint="eastAsia" w:ascii="仿宋_GB2312" w:hAnsi="仿宋_GB2312" w:cs="仿宋_GB2312"/>
          <w:highlight w:val="none"/>
          <w:lang w:val="en-US" w:eastAsia="zh-CN"/>
        </w:rPr>
        <w:t>各项</w:t>
      </w:r>
      <w:r>
        <w:rPr>
          <w:rFonts w:hint="eastAsia" w:ascii="仿宋_GB2312" w:hAnsi="仿宋_GB2312" w:eastAsia="仿宋_GB2312" w:cs="仿宋_GB2312"/>
          <w:highlight w:val="none"/>
        </w:rPr>
        <w:t>工作的正常运行。</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86" w:name="_Toc11016"/>
      <w:bookmarkStart w:id="87" w:name="_Toc21797"/>
      <w:bookmarkStart w:id="88" w:name="_Toc24688"/>
      <w:r>
        <w:rPr>
          <w:rFonts w:hint="eastAsia" w:ascii="黑体" w:eastAsia="黑体"/>
          <w:highlight w:val="none"/>
        </w:rPr>
        <w:t>三、评价基本情况</w:t>
      </w:r>
      <w:bookmarkEnd w:id="86"/>
      <w:bookmarkEnd w:id="87"/>
      <w:bookmarkEnd w:id="88"/>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9" w:name="_Toc5301"/>
      <w:bookmarkStart w:id="90" w:name="_Toc30288"/>
      <w:r>
        <w:rPr>
          <w:rFonts w:hint="eastAsia" w:ascii="楷体" w:hAnsi="楷体" w:eastAsia="楷体" w:cs="楷体"/>
          <w:b/>
          <w:bCs/>
          <w:highlight w:val="none"/>
        </w:rPr>
        <w:t>（一）评价目的</w:t>
      </w:r>
      <w:bookmarkEnd w:id="89"/>
      <w:bookmarkEnd w:id="90"/>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本次绩效评价工作，</w:t>
      </w:r>
      <w:r>
        <w:rPr>
          <w:rFonts w:hint="eastAsia" w:ascii="仿宋_GB2312" w:hAnsi="仿宋_GB2312" w:eastAsia="仿宋_GB2312" w:cs="仿宋_GB2312"/>
          <w:highlight w:val="none"/>
        </w:rPr>
        <w:t>通过运用规范的绩效评价指标体系和科学的绩效评价方法，全面</w:t>
      </w:r>
      <w:r>
        <w:rPr>
          <w:rFonts w:hint="eastAsia" w:ascii="仿宋_GB2312" w:hAnsi="仿宋_GB2312" w:cs="仿宋_GB2312"/>
          <w:highlight w:val="none"/>
          <w:lang w:eastAsia="zh-CN"/>
        </w:rPr>
        <w:t>客观地评价物业费</w:t>
      </w:r>
      <w:r>
        <w:rPr>
          <w:rFonts w:hint="eastAsia" w:ascii="仿宋_GB2312" w:hAnsi="仿宋_GB2312" w:eastAsia="仿宋_GB2312" w:cs="仿宋_GB2312"/>
          <w:highlight w:val="none"/>
        </w:rPr>
        <w:t>项目资金的执行情况、资金使用情况，对项目的绩效情况进行综合分析，与预期绩效目标进行对比，总结</w:t>
      </w:r>
      <w:r>
        <w:rPr>
          <w:rFonts w:hint="eastAsia" w:ascii="仿宋_GB2312" w:hAnsi="仿宋_GB2312" w:cs="仿宋_GB2312"/>
          <w:highlight w:val="none"/>
          <w:lang w:val="en-US" w:eastAsia="zh-CN"/>
        </w:rPr>
        <w:t>物业费</w:t>
      </w:r>
      <w:r>
        <w:rPr>
          <w:rFonts w:hint="eastAsia" w:ascii="仿宋_GB2312" w:hAnsi="仿宋_GB2312" w:eastAsia="仿宋_GB2312" w:cs="仿宋_GB2312"/>
          <w:highlight w:val="none"/>
        </w:rPr>
        <w:t>项目实施的成果与经验，揭示存在的问题与不足，在此基础上进一步优化资金使用、完善项目管理，为下一步的预算安排提供参考，不断提高资金的使用效益。</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本次绩效评价的侧重点和切入点</w:t>
      </w:r>
      <w:r>
        <w:rPr>
          <w:rFonts w:hint="eastAsia" w:ascii="仿宋_GB2312" w:hAnsi="仿宋_GB2312" w:cs="仿宋_GB2312"/>
          <w:highlight w:val="none"/>
          <w:lang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重点关注项目资金使用管理以及保障项目预期绩效目标实现的相关措施</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重点关注采购流程规范性、资金使用合规性、</w:t>
      </w:r>
      <w:r>
        <w:rPr>
          <w:rFonts w:hint="eastAsia" w:ascii="仿宋_GB2312" w:hAnsi="仿宋_GB2312" w:cs="仿宋_GB2312"/>
          <w:highlight w:val="none"/>
          <w:lang w:val="en-US" w:eastAsia="zh-CN"/>
        </w:rPr>
        <w:t>制度实施</w:t>
      </w:r>
      <w:r>
        <w:rPr>
          <w:rFonts w:hint="eastAsia" w:ascii="仿宋_GB2312" w:hAnsi="仿宋_GB2312" w:eastAsia="仿宋_GB2312" w:cs="仿宋_GB2312"/>
          <w:highlight w:val="none"/>
        </w:rPr>
        <w:t>的有效性以及通过项目的实施为法院带来的产出与效益。</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1" w:name="_Toc2071"/>
      <w:bookmarkStart w:id="92" w:name="_Toc25173"/>
      <w:r>
        <w:rPr>
          <w:rFonts w:hint="eastAsia" w:ascii="楷体" w:hAnsi="楷体" w:eastAsia="楷体" w:cs="楷体"/>
          <w:b/>
          <w:bCs/>
          <w:highlight w:val="none"/>
        </w:rPr>
        <w:t>（二）评价对象与范围</w:t>
      </w:r>
      <w:bookmarkEnd w:id="91"/>
      <w:bookmarkEnd w:id="92"/>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w:t>
      </w:r>
      <w:r>
        <w:rPr>
          <w:rFonts w:hint="eastAsia" w:ascii="仿宋_GB2312" w:hAnsi="仿宋_GB2312" w:cs="仿宋_GB2312"/>
          <w:highlight w:val="none"/>
          <w:lang w:eastAsia="zh-CN"/>
        </w:rPr>
        <w:t>物业费</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项目</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评价范围为202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w:t>
      </w:r>
      <w:r>
        <w:rPr>
          <w:rFonts w:hint="eastAsia" w:ascii="仿宋_GB2312" w:hAnsi="仿宋_GB2312" w:cs="仿宋_GB2312"/>
          <w:highlight w:val="none"/>
          <w:lang w:eastAsia="zh-CN"/>
        </w:rPr>
        <w:t>物业费</w:t>
      </w:r>
      <w:r>
        <w:rPr>
          <w:rFonts w:hint="eastAsia" w:ascii="仿宋_GB2312" w:hAnsi="仿宋_GB2312" w:eastAsia="仿宋_GB2312" w:cs="仿宋_GB2312"/>
          <w:highlight w:val="none"/>
        </w:rPr>
        <w:t>”项目</w:t>
      </w:r>
      <w:r>
        <w:rPr>
          <w:rFonts w:hint="eastAsia" w:ascii="仿宋_GB2312" w:hAnsi="仿宋_GB2312" w:cs="仿宋_GB2312"/>
          <w:highlight w:val="none"/>
          <w:lang w:val="en-US" w:eastAsia="zh-CN"/>
        </w:rPr>
        <w:t>预算资金957.54万元的</w:t>
      </w:r>
      <w:r>
        <w:rPr>
          <w:rFonts w:hint="eastAsia" w:ascii="仿宋_GB2312" w:hAnsi="仿宋_GB2312" w:eastAsia="仿宋_GB2312" w:cs="仿宋_GB2312"/>
          <w:highlight w:val="none"/>
        </w:rPr>
        <w:t>资金使用和项目实施效益情况</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评价基准日为202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年12月31日。</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3" w:name="_Toc31718"/>
      <w:bookmarkStart w:id="94" w:name="_Toc17041"/>
      <w:r>
        <w:rPr>
          <w:rFonts w:hint="eastAsia" w:ascii="楷体" w:hAnsi="楷体" w:eastAsia="楷体" w:cs="楷体"/>
          <w:b/>
          <w:bCs/>
          <w:highlight w:val="none"/>
        </w:rPr>
        <w:t>（三）评价依据</w:t>
      </w:r>
      <w:bookmarkEnd w:id="93"/>
      <w:bookmarkEnd w:id="9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95" w:name="_Toc29125"/>
      <w:bookmarkStart w:id="96" w:name="_Toc17840"/>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《中华人民共和国预算法》；</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2.《中华人民共和国预算法实施条例》；</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3.《中共中央 国务院关于全面实施预算绩效管理的意见》（中发〔2018〕34号）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《财政部关于印发〈项目支出绩效评价管理办法〉的通知》（财预〔2021〕10号）；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5.财政部《关于委托第三方机构参与预算绩效管理的指导意见》（财预〔2021〕6号）；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6.财政部关于印发《第三方机构预算绩效评价业务监督管理暂行办法》的通知（财监〔2021〕4号）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《中共甘肃省委 甘肃省人民政府关于全面实施预算绩效管理的实施意见》（甘发〔2018〕32号）；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甘肃省财政厅关于印发《甘肃省省级预算绩效管理办法》等6个办法和规程的通知（甘财绩〔2020〕5号）；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《甘肃省省级项目支出绩效部门评价和财政评价工作规程》（甘财绩〔2021〕5号）；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《甘肃省财政厅关于开展2022年度省级预算执行情况部门和财政重点绩效评价工作的通知》（甘财绩〔2023〕3号）；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11</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各项目实施法院</w:t>
      </w:r>
      <w:r>
        <w:rPr>
          <w:rFonts w:hint="eastAsia" w:ascii="仿宋_GB2312" w:hAnsi="仿宋_GB2312" w:eastAsia="仿宋_GB2312" w:cs="仿宋_GB2312"/>
          <w:highlight w:val="none"/>
        </w:rPr>
        <w:t>职责相关规定；</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12</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行业相关政策、行业标准及专业技术规范；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13</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eastAsia="zh-CN"/>
        </w:rPr>
        <w:t>被评价单位提供的立项背景、实施方案、预算批复相关文件、绩效目标、自评价相关资料、财政资金拨付凭证、工程全过程资料和项目实施效果等资料</w:t>
      </w:r>
      <w:r>
        <w:rPr>
          <w:rFonts w:hint="eastAsia" w:ascii="仿宋_GB2312" w:hAnsi="仿宋_GB2312" w:eastAsia="仿宋_GB2312" w:cs="仿宋_GB231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本级人大审查结果报告、审计报告及决定，财政监督稽核报告等；</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评价组收集、调研、访谈、问卷调查获取的</w:t>
      </w:r>
      <w:r>
        <w:rPr>
          <w:rFonts w:hint="eastAsia" w:ascii="仿宋_GB2312" w:hAnsi="仿宋_GB2312" w:cs="仿宋_GB2312"/>
          <w:highlight w:val="none"/>
          <w:lang w:val="en-US" w:eastAsia="zh-CN"/>
        </w:rPr>
        <w:t>其他</w:t>
      </w:r>
      <w:r>
        <w:rPr>
          <w:rFonts w:hint="eastAsia" w:ascii="仿宋_GB2312" w:hAnsi="仿宋_GB2312" w:eastAsia="仿宋_GB2312" w:cs="仿宋_GB2312"/>
          <w:highlight w:val="none"/>
        </w:rPr>
        <w:t>相关资料。</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r>
        <w:rPr>
          <w:rFonts w:hint="eastAsia" w:ascii="楷体" w:hAnsi="楷体" w:eastAsia="楷体" w:cs="楷体"/>
          <w:b/>
          <w:bCs/>
          <w:highlight w:val="none"/>
        </w:rPr>
        <w:t>（四）评价原则、评价方法</w:t>
      </w:r>
      <w:bookmarkEnd w:id="95"/>
      <w:bookmarkEnd w:id="96"/>
    </w:p>
    <w:p>
      <w:pPr>
        <w:keepNext w:val="0"/>
        <w:keepLines w:val="0"/>
        <w:pageBreakBefore w:val="0"/>
        <w:kinsoku/>
        <w:wordWrap/>
        <w:overflowPunct/>
        <w:topLinePunct w:val="0"/>
        <w:autoSpaceDE/>
        <w:autoSpaceDN/>
        <w:bidi w:val="0"/>
        <w:adjustRightInd/>
        <w:snapToGrid/>
        <w:spacing w:before="0" w:line="560" w:lineRule="exact"/>
        <w:ind w:firstLine="643" w:firstLineChars="200"/>
        <w:jc w:val="both"/>
        <w:textAlignment w:val="auto"/>
        <w:outlineLvl w:val="2"/>
        <w:rPr>
          <w:rFonts w:hint="eastAsia" w:ascii="仿宋_GB2312" w:hAnsi="仿宋_GB2312" w:eastAsia="仿宋_GB2312" w:cs="仿宋_GB2312"/>
          <w:b/>
          <w:bCs w:val="0"/>
          <w:sz w:val="32"/>
          <w:szCs w:val="32"/>
          <w:highlight w:val="none"/>
        </w:rPr>
      </w:pPr>
      <w:bookmarkStart w:id="97" w:name="_Toc1623"/>
      <w:bookmarkStart w:id="98" w:name="_Toc2871"/>
      <w:bookmarkStart w:id="99" w:name="_Toc32216"/>
      <w:bookmarkStart w:id="100" w:name="_Toc25746"/>
      <w:bookmarkStart w:id="101" w:name="_Toc30248"/>
      <w:r>
        <w:rPr>
          <w:rStyle w:val="25"/>
          <w:rFonts w:hint="eastAsia" w:ascii="仿宋_GB2312" w:hAnsi="仿宋_GB2312" w:eastAsia="仿宋_GB2312" w:cs="仿宋_GB2312"/>
          <w:b/>
          <w:bCs w:val="0"/>
          <w:sz w:val="32"/>
          <w:szCs w:val="32"/>
          <w:highlight w:val="none"/>
        </w:rPr>
        <w:t>1.评价原则</w:t>
      </w:r>
      <w:bookmarkEnd w:id="97"/>
      <w:bookmarkEnd w:id="98"/>
      <w:bookmarkEnd w:id="99"/>
      <w:bookmarkEnd w:id="100"/>
      <w:bookmarkEnd w:id="101"/>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实现情况以及预算支出和绩效之间的对应关系。以绩效为核心导向，将事前绩效评估、绩效目标管理、绩效运行监控、绩效评价、评价结果反馈及应用深度融入预算管理的全过程，实现财政资金使用效益最大化。</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 </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pPr>
        <w:keepNext w:val="0"/>
        <w:keepLines w:val="0"/>
        <w:pageBreakBefore w:val="0"/>
        <w:kinsoku/>
        <w:wordWrap/>
        <w:overflowPunct/>
        <w:topLinePunct w:val="0"/>
        <w:autoSpaceDE/>
        <w:autoSpaceDN/>
        <w:bidi w:val="0"/>
        <w:adjustRightInd/>
        <w:snapToGrid/>
        <w:spacing w:before="0" w:line="560" w:lineRule="exact"/>
        <w:ind w:firstLine="643" w:firstLineChars="200"/>
        <w:jc w:val="both"/>
        <w:textAlignment w:val="auto"/>
        <w:outlineLvl w:val="2"/>
        <w:rPr>
          <w:rStyle w:val="25"/>
          <w:rFonts w:hint="eastAsia" w:ascii="仿宋_GB2312" w:hAnsi="仿宋_GB2312" w:eastAsia="仿宋_GB2312" w:cs="仿宋_GB2312"/>
          <w:b/>
          <w:bCs w:val="0"/>
          <w:sz w:val="32"/>
          <w:szCs w:val="32"/>
          <w:highlight w:val="none"/>
        </w:rPr>
      </w:pPr>
      <w:bookmarkStart w:id="102" w:name="_Toc15034"/>
      <w:bookmarkStart w:id="103" w:name="_Toc1176"/>
      <w:bookmarkStart w:id="104" w:name="_Toc1742"/>
      <w:bookmarkStart w:id="105" w:name="_Toc28139"/>
      <w:r>
        <w:rPr>
          <w:rStyle w:val="25"/>
          <w:rFonts w:hint="eastAsia" w:ascii="仿宋_GB2312" w:hAnsi="仿宋_GB2312" w:eastAsia="仿宋_GB2312" w:cs="仿宋_GB2312"/>
          <w:b/>
          <w:bCs w:val="0"/>
          <w:sz w:val="32"/>
          <w:szCs w:val="32"/>
          <w:highlight w:val="none"/>
        </w:rPr>
        <w:t>2.评价方法</w:t>
      </w:r>
      <w:bookmarkEnd w:id="102"/>
    </w:p>
    <w:bookmarkEnd w:id="103"/>
    <w:bookmarkEnd w:id="104"/>
    <w:bookmarkEnd w:id="105"/>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预算执行情况的经济性、效率性、效益性进行客观</w:t>
      </w:r>
      <w:r>
        <w:rPr>
          <w:rFonts w:hint="eastAsia" w:ascii="仿宋_GB2312" w:hAnsi="仿宋_GB2312" w:eastAsia="仿宋_GB2312" w:cs="仿宋_GB2312"/>
          <w:sz w:val="32"/>
          <w:szCs w:val="32"/>
          <w:highlight w:val="none"/>
          <w:lang w:eastAsia="zh-CN"/>
        </w:rPr>
        <w:t>公正地分析</w:t>
      </w:r>
      <w:r>
        <w:rPr>
          <w:rFonts w:hint="eastAsia" w:ascii="仿宋_GB2312" w:hAnsi="仿宋_GB2312" w:eastAsia="仿宋_GB2312" w:cs="仿宋_GB2312"/>
          <w:sz w:val="32"/>
          <w:szCs w:val="32"/>
          <w:highlight w:val="none"/>
        </w:rPr>
        <w:t>评价，确保评价结论公正客观，评价意见有效可用。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r>
        <w:rPr>
          <w:rFonts w:hint="eastAsia" w:ascii="仿宋_GB2312" w:hAnsi="仿宋_GB2312" w:eastAsia="仿宋_GB2312" w:cs="仿宋_GB2312"/>
          <w:sz w:val="32"/>
          <w:szCs w:val="32"/>
          <w:highlight w:val="none"/>
          <w:lang w:val="en-US" w:eastAsia="zh-CN"/>
        </w:rPr>
        <w:t>评价</w:t>
      </w:r>
      <w:r>
        <w:rPr>
          <w:rFonts w:hint="eastAsia" w:ascii="仿宋_GB2312" w:hAnsi="仿宋_GB2312" w:eastAsia="仿宋_GB2312" w:cs="仿宋_GB2312"/>
          <w:sz w:val="32"/>
          <w:szCs w:val="32"/>
          <w:highlight w:val="none"/>
        </w:rPr>
        <w:t>小组根据收集的资料和现场核查，了解</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实际情况，与</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支出申报时确定的绩效目标进行对比，评价绩效目标的实现程度。</w:t>
      </w:r>
    </w:p>
    <w:p>
      <w:pPr>
        <w:pStyle w:val="10"/>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rPr>
        <w:t>（2）因素分析法。将影响投入和产出各项因素罗列出来进行分析，通过不同因素的权重评比，进行综合评分</w:t>
      </w:r>
      <w:r>
        <w:rPr>
          <w:rFonts w:hint="eastAsia" w:ascii="仿宋_GB2312" w:hAnsi="仿宋_GB2312" w:eastAsia="仿宋_GB2312" w:cs="仿宋_GB2312"/>
          <w:kern w:val="2"/>
          <w:sz w:val="32"/>
          <w:szCs w:val="32"/>
          <w:highlight w:val="none"/>
          <w:lang w:val="en-US" w:eastAsia="zh-CN" w:bidi="ar-SA"/>
        </w:rPr>
        <w:t>，最终确定项目的效率性和效益性。</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w:t>
      </w:r>
      <w:r>
        <w:rPr>
          <w:rFonts w:hint="eastAsia" w:ascii="仿宋_GB2312" w:hAnsi="仿宋_GB2312" w:eastAsia="仿宋_GB2312" w:cs="仿宋_GB2312"/>
          <w:sz w:val="32"/>
          <w:szCs w:val="32"/>
          <w:highlight w:val="none"/>
          <w:lang w:val="en-US" w:eastAsia="zh-CN"/>
        </w:rPr>
        <w:t>是指通过专家评估、公众问卷对财政支出效果进行评判，评价绩效目标实现程度。评价小组对服务对象进行问卷调查，收集整体及项目具体完成情况和效果的相关证据，为绩效分析结论提供有力支撑。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4</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成本效益分析法。是将投入与产出、效益进行关联性分析的方法。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5</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访谈法。评价小组现场访谈</w:t>
      </w:r>
      <w:r>
        <w:rPr>
          <w:rFonts w:hint="eastAsia" w:ascii="仿宋_GB2312" w:hAnsi="仿宋_GB2312" w:eastAsia="仿宋_GB2312" w:cs="仿宋_GB2312"/>
          <w:kern w:val="0"/>
          <w:sz w:val="32"/>
          <w:szCs w:val="32"/>
          <w:highlight w:val="none"/>
          <w:lang w:val="en-US" w:eastAsia="zh-CN" w:bidi="ar"/>
        </w:rPr>
        <w:t>项目相关工作</w:t>
      </w:r>
      <w:r>
        <w:rPr>
          <w:rFonts w:hint="eastAsia" w:ascii="仿宋_GB2312" w:hAnsi="仿宋_GB2312" w:eastAsia="仿宋_GB2312" w:cs="仿宋_GB2312"/>
          <w:kern w:val="0"/>
          <w:sz w:val="32"/>
          <w:szCs w:val="32"/>
          <w:highlight w:val="none"/>
          <w:lang w:bidi="ar"/>
        </w:rPr>
        <w:t>人员，根据被询问者的答复收集客观的、不带偏见的事实材料。</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06" w:name="_Toc4875"/>
      <w:bookmarkStart w:id="107" w:name="_Toc4958"/>
      <w:r>
        <w:rPr>
          <w:rFonts w:hint="eastAsia" w:ascii="楷体" w:hAnsi="楷体" w:eastAsia="楷体" w:cs="楷体"/>
          <w:b/>
          <w:bCs/>
          <w:highlight w:val="none"/>
        </w:rPr>
        <w:t>（五）绩效评价指标体系</w:t>
      </w:r>
      <w:bookmarkEnd w:id="106"/>
      <w:bookmarkEnd w:id="107"/>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Cs w:val="28"/>
          <w:highlight w:val="none"/>
          <w:lang w:val="en-US" w:eastAsia="zh-CN"/>
        </w:rPr>
      </w:pPr>
      <w:r>
        <w:rPr>
          <w:rFonts w:hint="eastAsia" w:ascii="仿宋_GB2312" w:hAnsi="仿宋_GB2312" w:cs="仿宋_GB2312"/>
          <w:b/>
          <w:bCs/>
          <w:szCs w:val="28"/>
          <w:highlight w:val="none"/>
          <w:lang w:val="en-US" w:eastAsia="zh-CN"/>
        </w:rPr>
        <w:t>1.绩效评价指标体系</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根据《财政部关于印发</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项目支出绩效评价管理办法</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的通知》（财预〔2020〕10号）、</w:t>
      </w:r>
      <w:r>
        <w:rPr>
          <w:rFonts w:hint="eastAsia" w:ascii="仿宋_GB2312" w:hAnsi="仿宋_GB2312" w:eastAsia="仿宋_GB2312" w:cs="仿宋_GB2312"/>
          <w:sz w:val="32"/>
          <w:szCs w:val="32"/>
          <w:highlight w:val="none"/>
        </w:rPr>
        <w:t>《甘肃省财政厅关于开展2022年度省级预算执行情况部门和财政重点绩效评价工作的通知》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Cs w:val="28"/>
          <w:highlight w:val="none"/>
        </w:rPr>
        <w:t>要求，本次绩效评价内容包括：项目决策情况、资金管理和使用情况、相关管理制度的健全性和执行情况，项目实现的产出情况，取得的效益情况和其他相关内容，重点评价项目的产出和效益。</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项目评价指标划分为三级，综合评价一级指标包括项目决策指标、过程指标、产出指标、效益指标、满意度指标。二、三级评价指标根据项目实际情况制定了可量化、可操作的细化绩效目标，指标分值根据项目指标重要程度、项目实施阶段等因素综合确定（项目评价指标体系详见附表1）。</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项目决策指标</w:t>
      </w:r>
      <w:r>
        <w:rPr>
          <w:rFonts w:hint="eastAsia" w:ascii="仿宋_GB2312" w:hAnsi="仿宋_GB2312" w:eastAsia="仿宋_GB2312" w:cs="仿宋_GB2312"/>
          <w:szCs w:val="28"/>
          <w:highlight w:val="none"/>
          <w:lang w:val="en-US" w:eastAsia="zh-CN"/>
        </w:rPr>
        <w:t>为一级指标</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权重1</w:t>
      </w:r>
      <w:r>
        <w:rPr>
          <w:rFonts w:hint="eastAsia" w:ascii="仿宋_GB2312" w:hAnsi="仿宋_GB2312" w:cs="仿宋_GB2312"/>
          <w:szCs w:val="28"/>
          <w:highlight w:val="none"/>
          <w:lang w:val="en-US" w:eastAsia="zh-CN"/>
        </w:rPr>
        <w:t>2</w:t>
      </w:r>
      <w:r>
        <w:rPr>
          <w:rFonts w:hint="eastAsia" w:ascii="仿宋_GB2312" w:hAnsi="仿宋_GB2312" w:eastAsia="仿宋_GB2312" w:cs="仿宋_GB2312"/>
          <w:szCs w:val="28"/>
          <w:highlight w:val="none"/>
        </w:rPr>
        <w:t>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从项目的立项、绩效目标和资金投入分析项目前期管理情况</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主要包括立项依据充分性、立项程序规范性等</w:t>
      </w:r>
      <w:r>
        <w:rPr>
          <w:rFonts w:hint="eastAsia" w:ascii="仿宋_GB2312" w:hAnsi="仿宋_GB2312" w:eastAsia="仿宋_GB2312" w:cs="仿宋_GB2312"/>
          <w:szCs w:val="28"/>
          <w:highlight w:val="none"/>
          <w:lang w:val="en-US" w:eastAsia="zh-CN"/>
        </w:rPr>
        <w:t>三级</w:t>
      </w:r>
      <w:r>
        <w:rPr>
          <w:rFonts w:hint="eastAsia" w:ascii="仿宋_GB2312" w:hAnsi="仿宋_GB2312" w:eastAsia="仿宋_GB2312" w:cs="仿宋_GB2312"/>
          <w:szCs w:val="28"/>
          <w:highlight w:val="none"/>
        </w:rPr>
        <w:t>指标。</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项目过程指标</w:t>
      </w:r>
      <w:r>
        <w:rPr>
          <w:rFonts w:hint="eastAsia" w:ascii="仿宋_GB2312" w:hAnsi="仿宋_GB2312" w:eastAsia="仿宋_GB2312" w:cs="仿宋_GB2312"/>
          <w:szCs w:val="28"/>
          <w:highlight w:val="none"/>
          <w:lang w:val="en-US" w:eastAsia="zh-CN"/>
        </w:rPr>
        <w:t>为一级指标，权重1</w:t>
      </w:r>
      <w:r>
        <w:rPr>
          <w:rFonts w:hint="eastAsia" w:ascii="仿宋_GB2312" w:hAnsi="仿宋_GB2312" w:cs="仿宋_GB2312"/>
          <w:szCs w:val="28"/>
          <w:highlight w:val="none"/>
          <w:lang w:val="en-US" w:eastAsia="zh-CN"/>
        </w:rPr>
        <w:t>8</w:t>
      </w:r>
      <w:r>
        <w:rPr>
          <w:rFonts w:hint="eastAsia" w:ascii="仿宋_GB2312" w:hAnsi="仿宋_GB2312" w:eastAsia="仿宋_GB2312" w:cs="仿宋_GB2312"/>
          <w:szCs w:val="28"/>
          <w:highlight w:val="none"/>
          <w:lang w:val="en-US" w:eastAsia="zh-CN"/>
        </w:rPr>
        <w:t>分。</w:t>
      </w:r>
      <w:r>
        <w:rPr>
          <w:rFonts w:hint="eastAsia" w:ascii="仿宋_GB2312" w:hAnsi="仿宋_GB2312" w:eastAsia="仿宋_GB2312" w:cs="仿宋_GB2312"/>
          <w:szCs w:val="28"/>
          <w:highlight w:val="none"/>
        </w:rPr>
        <w:t>从项目的资金管理、组织实施两个方面分析项目资金使用、实施过程的管理情况</w:t>
      </w:r>
      <w:r>
        <w:rPr>
          <w:rFonts w:hint="eastAsia" w:ascii="仿宋_GB2312" w:hAnsi="仿宋_GB2312" w:eastAsia="仿宋_GB2312" w:cs="仿宋_GB2312"/>
          <w:szCs w:val="28"/>
          <w:highlight w:val="none"/>
          <w:lang w:eastAsia="zh-CN"/>
        </w:rPr>
        <w:t>，主要包括资金到位率、预算执行率、资金使用合规性、管理制度健全性、制度执行有效性等三级指标</w:t>
      </w:r>
      <w:r>
        <w:rPr>
          <w:rFonts w:hint="eastAsia" w:ascii="仿宋_GB2312" w:hAnsi="仿宋_GB2312" w:eastAsia="仿宋_GB2312" w:cs="仿宋_GB2312"/>
          <w:szCs w:val="28"/>
          <w:highlight w:val="none"/>
        </w:rPr>
        <w:t>。</w:t>
      </w:r>
    </w:p>
    <w:p>
      <w:pPr>
        <w:pStyle w:val="8"/>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28"/>
          <w:highlight w:val="none"/>
          <w:lang w:val="en-US" w:eastAsia="zh-CN" w:bidi="ar-SA"/>
        </w:rPr>
      </w:pPr>
      <w:r>
        <w:rPr>
          <w:rFonts w:hint="eastAsia" w:ascii="仿宋_GB2312" w:hAnsi="仿宋_GB2312" w:eastAsia="仿宋_GB2312" w:cs="仿宋_GB2312"/>
          <w:kern w:val="2"/>
          <w:sz w:val="32"/>
          <w:szCs w:val="28"/>
          <w:highlight w:val="none"/>
          <w:lang w:val="en-US" w:eastAsia="zh-CN" w:bidi="ar-SA"/>
        </w:rPr>
        <w:t>（3）项目产出指标为一级指标，权重50分。从数量、质量、时效、成本四个方面分析项目的产出情况，主要包括保障</w:t>
      </w:r>
      <w:r>
        <w:rPr>
          <w:rFonts w:hint="eastAsia" w:ascii="仿宋_GB2312" w:hAnsi="仿宋_GB2312" w:eastAsia="仿宋_GB2312" w:cs="仿宋_GB2312"/>
          <w:sz w:val="32"/>
          <w:szCs w:val="32"/>
          <w:highlight w:val="none"/>
          <w:lang w:val="en-US" w:eastAsia="zh-CN"/>
        </w:rPr>
        <w:t>省法院及直属单位</w:t>
      </w:r>
      <w:r>
        <w:rPr>
          <w:rFonts w:hint="eastAsia" w:ascii="仿宋_GB2312" w:hAnsi="仿宋_GB2312" w:eastAsia="仿宋_GB2312" w:cs="仿宋_GB2312"/>
          <w:kern w:val="2"/>
          <w:sz w:val="32"/>
          <w:szCs w:val="28"/>
          <w:highlight w:val="none"/>
          <w:lang w:val="en-US" w:eastAsia="zh-CN" w:bidi="ar-SA"/>
        </w:rPr>
        <w:t>数量、公共设施运行维护完成率、绿化养护完成率等三级指标。</w:t>
      </w:r>
    </w:p>
    <w:p>
      <w:pPr>
        <w:pStyle w:val="8"/>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28"/>
          <w:highlight w:val="none"/>
          <w:lang w:val="en-US" w:eastAsia="zh-CN" w:bidi="ar-SA"/>
        </w:rPr>
      </w:pPr>
      <w:r>
        <w:rPr>
          <w:rFonts w:hint="eastAsia" w:ascii="仿宋_GB2312" w:hAnsi="仿宋_GB2312" w:eastAsia="仿宋_GB2312" w:cs="仿宋_GB2312"/>
          <w:kern w:val="2"/>
          <w:sz w:val="32"/>
          <w:szCs w:val="28"/>
          <w:highlight w:val="none"/>
          <w:lang w:val="en-US" w:eastAsia="zh-CN" w:bidi="ar-SA"/>
        </w:rPr>
        <w:t>（4）项目效益指标为一级指标，权重10分。从社会效益、可持续影响两个方面分析项目实施产生的效益，主要包括物业有效投诉处理率、有效保障审判服务等三级指标。</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项目满意度指标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eastAsia="仿宋_GB2312" w:cs="仿宋_GB2312"/>
          <w:szCs w:val="28"/>
          <w:highlight w:val="none"/>
        </w:rPr>
        <w:t>10分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分析</w:t>
      </w:r>
      <w:r>
        <w:rPr>
          <w:rFonts w:hint="eastAsia" w:ascii="仿宋_GB2312" w:hAnsi="仿宋_GB2312" w:cs="仿宋_GB2312"/>
          <w:szCs w:val="28"/>
          <w:highlight w:val="none"/>
          <w:lang w:val="en-US" w:eastAsia="zh-CN"/>
        </w:rPr>
        <w:t>法院工作人员</w:t>
      </w:r>
      <w:r>
        <w:rPr>
          <w:rFonts w:hint="eastAsia" w:ascii="仿宋_GB2312" w:hAnsi="仿宋_GB2312" w:eastAsia="仿宋_GB2312" w:cs="仿宋_GB2312"/>
          <w:szCs w:val="28"/>
          <w:highlight w:val="none"/>
        </w:rPr>
        <w:t>对项目实施效果的满意情况。</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Cs w:val="28"/>
          <w:highlight w:val="none"/>
        </w:rPr>
      </w:pPr>
      <w:r>
        <w:rPr>
          <w:rFonts w:hint="eastAsia" w:ascii="仿宋_GB2312" w:hAnsi="仿宋_GB2312" w:eastAsia="仿宋_GB2312" w:cs="仿宋_GB2312"/>
          <w:b/>
          <w:bCs/>
          <w:szCs w:val="28"/>
          <w:highlight w:val="none"/>
        </w:rPr>
        <w:t>2</w:t>
      </w:r>
      <w:r>
        <w:rPr>
          <w:rFonts w:hint="eastAsia" w:ascii="仿宋_GB2312" w:hAnsi="仿宋_GB2312" w:cs="仿宋_GB2312"/>
          <w:b/>
          <w:bCs/>
          <w:szCs w:val="28"/>
          <w:highlight w:val="none"/>
          <w:lang w:val="en-US" w:eastAsia="zh-CN"/>
        </w:rPr>
        <w:t>.</w:t>
      </w:r>
      <w:r>
        <w:rPr>
          <w:rFonts w:hint="eastAsia" w:ascii="仿宋_GB2312" w:hAnsi="仿宋_GB2312" w:eastAsia="仿宋_GB2312" w:cs="仿宋_GB2312"/>
          <w:b/>
          <w:bCs/>
          <w:szCs w:val="28"/>
          <w:highlight w:val="none"/>
        </w:rPr>
        <w:t>数据来源及证据收集方式</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评价组在前期调研的基础上，按照资料清单，收集法规文件、会议记录、财务凭证等资料，并通过发放调查问卷等方式收集佐证材料证据，全面考察项目执行情况。</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本次绩效评价的证据收集途径主要有</w:t>
      </w:r>
      <w:r>
        <w:rPr>
          <w:rFonts w:hint="eastAsia" w:ascii="仿宋_GB2312" w:hAnsi="仿宋_GB2312" w:cs="仿宋_GB2312"/>
          <w:szCs w:val="28"/>
          <w:highlight w:val="none"/>
          <w:lang w:eastAsia="zh-CN"/>
        </w:rPr>
        <w:t>：</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由</w:t>
      </w:r>
      <w:r>
        <w:rPr>
          <w:rFonts w:hint="eastAsia" w:ascii="仿宋_GB2312" w:hAnsi="仿宋_GB2312" w:cs="仿宋_GB2312"/>
          <w:szCs w:val="28"/>
          <w:highlight w:val="none"/>
          <w:lang w:val="en-US" w:eastAsia="zh-CN"/>
        </w:rPr>
        <w:t>省法院及直属单位</w:t>
      </w:r>
      <w:r>
        <w:rPr>
          <w:rFonts w:hint="eastAsia" w:ascii="仿宋_GB2312" w:hAnsi="仿宋_GB2312" w:eastAsia="仿宋_GB2312" w:cs="仿宋_GB2312"/>
          <w:szCs w:val="28"/>
          <w:highlight w:val="none"/>
        </w:rPr>
        <w:t>提供基础数据资料</w:t>
      </w:r>
      <w:r>
        <w:rPr>
          <w:rFonts w:hint="eastAsia" w:ascii="仿宋_GB2312" w:hAnsi="仿宋_GB2312" w:cs="仿宋_GB2312"/>
          <w:szCs w:val="28"/>
          <w:highlight w:val="none"/>
          <w:lang w:eastAsia="zh-CN"/>
        </w:rPr>
        <w:t>；</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通过与</w:t>
      </w:r>
      <w:r>
        <w:rPr>
          <w:rFonts w:hint="eastAsia" w:ascii="仿宋_GB2312" w:hAnsi="仿宋_GB2312" w:cs="仿宋_GB2312"/>
          <w:szCs w:val="28"/>
          <w:highlight w:val="none"/>
          <w:lang w:val="en-US" w:eastAsia="zh-CN"/>
        </w:rPr>
        <w:t>部分现场评价法院</w:t>
      </w:r>
      <w:r>
        <w:rPr>
          <w:rFonts w:hint="eastAsia" w:ascii="仿宋_GB2312" w:hAnsi="仿宋_GB2312" w:eastAsia="仿宋_GB2312" w:cs="仿宋_GB2312"/>
          <w:szCs w:val="28"/>
          <w:highlight w:val="none"/>
        </w:rPr>
        <w:t>相关</w:t>
      </w:r>
      <w:r>
        <w:rPr>
          <w:rFonts w:hint="eastAsia" w:ascii="仿宋_GB2312" w:hAnsi="仿宋_GB2312" w:cs="仿宋_GB2312"/>
          <w:szCs w:val="28"/>
          <w:highlight w:val="none"/>
          <w:lang w:val="en-US" w:eastAsia="zh-CN"/>
        </w:rPr>
        <w:t>工作人员</w:t>
      </w:r>
      <w:r>
        <w:rPr>
          <w:rFonts w:hint="eastAsia" w:ascii="仿宋_GB2312" w:hAnsi="仿宋_GB2312" w:eastAsia="仿宋_GB2312" w:cs="仿宋_GB2312"/>
          <w:szCs w:val="28"/>
          <w:highlight w:val="none"/>
        </w:rPr>
        <w:t>交流，获取信息，了解项目的成效</w:t>
      </w:r>
      <w:r>
        <w:rPr>
          <w:rFonts w:hint="eastAsia" w:ascii="仿宋_GB2312" w:hAnsi="仿宋_GB2312" w:cs="仿宋_GB2312"/>
          <w:szCs w:val="28"/>
          <w:highlight w:val="none"/>
          <w:lang w:eastAsia="zh-CN"/>
        </w:rPr>
        <w:t>；</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lang w:eastAsia="zh-CN"/>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对</w:t>
      </w:r>
      <w:r>
        <w:rPr>
          <w:rFonts w:hint="eastAsia" w:ascii="仿宋_GB2312" w:hAnsi="仿宋_GB2312" w:cs="仿宋_GB2312"/>
          <w:szCs w:val="28"/>
          <w:highlight w:val="none"/>
          <w:lang w:val="en-US" w:eastAsia="zh-CN"/>
        </w:rPr>
        <w:t>项目服务对象</w:t>
      </w:r>
      <w:r>
        <w:rPr>
          <w:rFonts w:hint="eastAsia" w:ascii="仿宋_GB2312" w:hAnsi="仿宋_GB2312" w:eastAsia="仿宋_GB2312" w:cs="仿宋_GB2312"/>
          <w:szCs w:val="28"/>
          <w:highlight w:val="none"/>
        </w:rPr>
        <w:t>进行问卷调查，获取满意度数据</w:t>
      </w:r>
      <w:r>
        <w:rPr>
          <w:rFonts w:hint="eastAsia" w:ascii="仿宋_GB2312" w:hAnsi="仿宋_GB2312" w:cs="仿宋_GB2312"/>
          <w:szCs w:val="28"/>
          <w:highlight w:val="none"/>
          <w:lang w:eastAsia="zh-CN"/>
        </w:rPr>
        <w:t>。</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08" w:name="_Toc27872"/>
      <w:bookmarkStart w:id="109" w:name="_Toc6432"/>
      <w:r>
        <w:rPr>
          <w:rFonts w:hint="eastAsia" w:ascii="楷体" w:hAnsi="楷体" w:eastAsia="楷体" w:cs="楷体"/>
          <w:b/>
          <w:bCs/>
          <w:highlight w:val="none"/>
        </w:rPr>
        <w:t>（六）评价人员组成</w:t>
      </w:r>
      <w:bookmarkEnd w:id="108"/>
      <w:bookmarkEnd w:id="109"/>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bookmarkStart w:id="110" w:name="_Toc8104"/>
      <w:r>
        <w:rPr>
          <w:rFonts w:hint="eastAsia" w:ascii="仿宋_GB2312" w:hAnsi="仿宋_GB2312" w:eastAsia="仿宋_GB2312" w:cs="仿宋_GB2312"/>
          <w:szCs w:val="28"/>
          <w:highlight w:val="none"/>
        </w:rPr>
        <w:t>按照绩效评价工作要求</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为了较好地完成本次绩效评价工作，评价工作组人员名单及职责分工情况见下表：</w:t>
      </w:r>
    </w:p>
    <w:tbl>
      <w:tblPr>
        <w:tblStyle w:val="16"/>
        <w:tblpPr w:leftFromText="180" w:rightFromText="180" w:vertAnchor="text" w:horzAnchor="page" w:tblpX="1836" w:tblpY="1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161"/>
        <w:gridCol w:w="1470"/>
        <w:gridCol w:w="2175"/>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序号</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姓名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职务</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职称和职业资格</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1</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郑生伟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复核人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绩效评价指导、复核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2</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刘燕</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vMerge w:val="restart"/>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制定评价方案、评价报告撰写、现场及非现场评价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3</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eastAsia="宋体" w:cs="Times New Roman"/>
                <w:color w:val="auto"/>
                <w:kern w:val="2"/>
                <w:sz w:val="24"/>
                <w:szCs w:val="24"/>
                <w:highlight w:val="none"/>
                <w:shd w:val="clear" w:color="auto" w:fill="FFFFFF"/>
                <w:vertAlign w:val="baseline"/>
                <w:lang w:val="en-US" w:eastAsia="zh-CN" w:bidi="ar-SA"/>
              </w:rPr>
              <w:t>刘淑萍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高级会计师</w:t>
            </w:r>
          </w:p>
        </w:tc>
        <w:tc>
          <w:tcPr>
            <w:tcW w:w="2767" w:type="dxa"/>
            <w:vMerge w:val="continue"/>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4</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向文霞</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restart"/>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资料收集、审核、整理分析、现场及非现场评价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5</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吕晓芳</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6</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肖涵</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7</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张振勇</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8</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赵悦江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9</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李乐乐</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bl>
    <w:p>
      <w:pPr>
        <w:pStyle w:val="3"/>
        <w:rPr>
          <w:rFonts w:hint="eastAsia" w:ascii="仿宋_GB2312" w:hAnsi="仿宋_GB2312" w:eastAsia="仿宋_GB2312" w:cs="仿宋_GB2312"/>
          <w:szCs w:val="28"/>
          <w:highlight w:val="non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11" w:name="_Toc30833"/>
      <w:r>
        <w:rPr>
          <w:rFonts w:hint="eastAsia" w:ascii="楷体" w:hAnsi="楷体" w:eastAsia="楷体" w:cs="楷体"/>
          <w:b/>
          <w:bCs/>
          <w:highlight w:val="none"/>
        </w:rPr>
        <w:t>（七）绩效评价工作过程</w:t>
      </w:r>
      <w:bookmarkEnd w:id="110"/>
      <w:bookmarkEnd w:id="111"/>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sz w:val="32"/>
          <w:szCs w:val="32"/>
          <w:highlight w:val="none"/>
        </w:rPr>
      </w:pPr>
      <w:bookmarkStart w:id="112" w:name="_Toc1946"/>
      <w:bookmarkStart w:id="113" w:name="_Toc27041"/>
      <w:bookmarkStart w:id="114" w:name="_Toc10150"/>
      <w:bookmarkStart w:id="115" w:name="_Toc27777"/>
      <w:bookmarkStart w:id="116" w:name="_Toc7873"/>
      <w:bookmarkStart w:id="117" w:name="_Toc31135"/>
      <w:r>
        <w:rPr>
          <w:rFonts w:hint="eastAsia" w:ascii="仿宋_GB2312" w:hAnsi="仿宋_GB2312" w:eastAsia="仿宋_GB2312" w:cs="仿宋_GB2312"/>
          <w:sz w:val="32"/>
          <w:szCs w:val="32"/>
          <w:highlight w:val="none"/>
        </w:rPr>
        <w:t>绩效评价工作过程主要包括</w:t>
      </w:r>
      <w:r>
        <w:rPr>
          <w:rFonts w:hint="eastAsia" w:ascii="仿宋_GB2312" w:hAnsi="仿宋_GB2312" w:eastAsia="仿宋_GB2312" w:cs="仿宋_GB2312"/>
          <w:sz w:val="32"/>
          <w:szCs w:val="32"/>
          <w:highlight w:val="none"/>
          <w:lang w:val="en-US" w:eastAsia="zh-CN"/>
        </w:rPr>
        <w:t>准备阶段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实施阶段、</w:t>
      </w:r>
      <w:r>
        <w:rPr>
          <w:rFonts w:hint="eastAsia" w:ascii="仿宋_GB2312" w:hAnsi="仿宋_GB2312" w:eastAsia="仿宋_GB2312" w:cs="仿宋_GB2312"/>
          <w:sz w:val="32"/>
          <w:szCs w:val="32"/>
          <w:highlight w:val="none"/>
        </w:rPr>
        <w:t>撰写报告阶段</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个阶段。</w:t>
      </w:r>
      <w:bookmarkEnd w:id="112"/>
      <w:bookmarkEnd w:id="113"/>
      <w:bookmarkEnd w:id="114"/>
      <w:bookmarkEnd w:id="115"/>
      <w:bookmarkEnd w:id="116"/>
      <w:bookmarkEnd w:id="117"/>
    </w:p>
    <w:p>
      <w:pPr>
        <w:pStyle w:val="6"/>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准备阶段</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确定绩效评价组</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组织召开了</w:t>
      </w:r>
      <w:r>
        <w:rPr>
          <w:rFonts w:hint="eastAsia" w:ascii="仿宋_GB2312" w:hAnsi="仿宋_GB2312" w:eastAsia="仿宋_GB2312" w:cs="仿宋_GB2312"/>
          <w:sz w:val="32"/>
          <w:szCs w:val="32"/>
          <w:highlight w:val="none"/>
        </w:rPr>
        <w:t>绩效评价专题工作会议，安排部署</w:t>
      </w:r>
      <w:r>
        <w:rPr>
          <w:rFonts w:hint="eastAsia" w:ascii="仿宋_GB2312" w:hAnsi="仿宋_GB2312" w:eastAsia="仿宋_GB2312" w:cs="仿宋_GB2312"/>
          <w:sz w:val="32"/>
          <w:szCs w:val="32"/>
          <w:highlight w:val="none"/>
          <w:lang w:val="en-US" w:eastAsia="zh-CN"/>
        </w:rPr>
        <w:t>本次</w:t>
      </w:r>
      <w:r>
        <w:rPr>
          <w:rFonts w:hint="eastAsia" w:ascii="仿宋_GB2312" w:hAnsi="仿宋_GB2312" w:eastAsia="仿宋_GB2312" w:cs="仿宋_GB2312"/>
          <w:sz w:val="32"/>
          <w:szCs w:val="32"/>
          <w:highlight w:val="none"/>
        </w:rPr>
        <w:t>绩效评价工作。绩效评价小组根据评价目的和评价内容，明确</w:t>
      </w:r>
      <w:r>
        <w:rPr>
          <w:rFonts w:hint="eastAsia" w:ascii="仿宋_GB2312" w:hAnsi="仿宋_GB2312" w:eastAsia="仿宋_GB2312" w:cs="仿宋_GB2312"/>
          <w:sz w:val="32"/>
          <w:szCs w:val="32"/>
          <w:highlight w:val="none"/>
          <w:lang w:eastAsia="zh-CN"/>
        </w:rPr>
        <w:t>了</w:t>
      </w:r>
      <w:r>
        <w:rPr>
          <w:rFonts w:hint="eastAsia" w:ascii="仿宋_GB2312" w:hAnsi="仿宋_GB2312" w:eastAsia="仿宋_GB2312" w:cs="仿宋_GB2312"/>
          <w:sz w:val="32"/>
          <w:szCs w:val="32"/>
          <w:highlight w:val="none"/>
        </w:rPr>
        <w:t>工作范围和职责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组织评价组人员进行业务培训，认真组织学习了相关政策法规制度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评价指标体系和评价方案，明确评价工作程序及要求，解析评价指标体系</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使各参评人员对</w:t>
      </w:r>
      <w:r>
        <w:rPr>
          <w:rFonts w:hint="eastAsia" w:ascii="仿宋_GB2312" w:hAnsi="仿宋_GB2312" w:eastAsia="仿宋_GB2312" w:cs="仿宋_GB2312"/>
          <w:sz w:val="32"/>
          <w:szCs w:val="32"/>
          <w:highlight w:val="none"/>
          <w:lang w:val="en-US" w:eastAsia="zh-CN"/>
        </w:rPr>
        <w:t>绩效评价</w:t>
      </w:r>
      <w:r>
        <w:rPr>
          <w:rFonts w:hint="eastAsia" w:ascii="仿宋_GB2312" w:hAnsi="仿宋_GB2312" w:eastAsia="仿宋_GB2312" w:cs="仿宋_GB2312"/>
          <w:sz w:val="32"/>
          <w:szCs w:val="32"/>
          <w:highlight w:val="none"/>
        </w:rPr>
        <w:t>情况做进一步了解</w:t>
      </w:r>
      <w:r>
        <w:rPr>
          <w:rFonts w:hint="eastAsia" w:ascii="仿宋_GB2312" w:hAnsi="仿宋_GB2312" w:eastAsia="仿宋_GB2312" w:cs="仿宋_GB2312"/>
          <w:sz w:val="32"/>
          <w:szCs w:val="32"/>
          <w:highlight w:val="none"/>
          <w:lang w:eastAsia="zh-CN"/>
        </w:rPr>
        <w:t>。</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评价时间安排</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根据《甘肃省财政厅关于开展2022年度省级预算执行情况部门和财政重点绩效评价工作的通知》（甘财绩〔2023〕3号）文件要求，以及和</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的沟通协调，确定评价时间</w:t>
      </w:r>
      <w:r>
        <w:rPr>
          <w:rFonts w:hint="eastAsia" w:ascii="仿宋_GB2312" w:hAnsi="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2023年4月1日—2023年5月31日</w:t>
      </w:r>
      <w:r>
        <w:rPr>
          <w:rFonts w:hint="eastAsia" w:ascii="仿宋_GB2312" w:hAnsi="仿宋_GB2312" w:cs="仿宋_GB2312"/>
          <w:sz w:val="32"/>
          <w:szCs w:val="32"/>
          <w:highlight w:val="none"/>
          <w:lang w:eastAsia="zh-CN"/>
        </w:rPr>
        <w:t>。</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评价方式确定</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本次绩效评价的对象为</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物业费</w:t>
      </w:r>
      <w:r>
        <w:rPr>
          <w:rFonts w:hint="eastAsia" w:ascii="仿宋_GB2312" w:hAnsi="仿宋_GB2312" w:cs="仿宋_GB2312"/>
          <w:highlight w:val="none"/>
          <w:lang w:eastAsia="zh-CN"/>
        </w:rPr>
        <w:t>”</w:t>
      </w:r>
      <w:r>
        <w:rPr>
          <w:rFonts w:hint="eastAsia" w:ascii="仿宋_GB2312" w:hAnsi="仿宋_GB2312" w:cs="仿宋_GB2312"/>
          <w:highlight w:val="none"/>
        </w:rPr>
        <w:t>项目，经与省法院沟通决定采取现场评价与非现场评价相结合的方式进行本次评价。</w:t>
      </w:r>
    </w:p>
    <w:p>
      <w:pPr>
        <w:pStyle w:val="6"/>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2.实施阶段</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下达评价通知</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省法院下发评价通知，绩效评价组在拟开展现场评价的5个工作日前向各项目实施法院发送资料清单，提前准备评价资料</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进驻评价单位</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评价组按安排的时间进驻</w:t>
      </w:r>
      <w:r>
        <w:rPr>
          <w:rFonts w:hint="eastAsia" w:ascii="仿宋_GB2312" w:hAnsi="仿宋_GB2312" w:cs="仿宋_GB2312"/>
          <w:sz w:val="32"/>
          <w:szCs w:val="32"/>
          <w:highlight w:val="none"/>
          <w:lang w:val="en-US" w:eastAsia="zh-CN"/>
        </w:rPr>
        <w:t>抽取</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val="en-US" w:eastAsia="zh-CN"/>
        </w:rPr>
        <w:t>2023</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rPr>
        <w:t>月</w:t>
      </w:r>
      <w:r>
        <w:rPr>
          <w:rFonts w:hint="eastAsia" w:ascii="仿宋_GB2312" w:hAnsi="仿宋_GB2312" w:cs="仿宋_GB2312"/>
          <w:sz w:val="32"/>
          <w:szCs w:val="32"/>
          <w:highlight w:val="none"/>
          <w:lang w:val="en-US" w:eastAsia="zh-CN"/>
        </w:rPr>
        <w:t>24-28</w:t>
      </w:r>
      <w:r>
        <w:rPr>
          <w:rFonts w:hint="eastAsia" w:ascii="仿宋_GB2312" w:hAnsi="仿宋_GB2312" w:eastAsia="仿宋_GB2312" w:cs="仿宋_GB2312"/>
          <w:sz w:val="32"/>
          <w:szCs w:val="32"/>
          <w:highlight w:val="none"/>
        </w:rPr>
        <w:t>日，根据工作方案，评价</w:t>
      </w:r>
      <w:r>
        <w:rPr>
          <w:rFonts w:hint="eastAsia" w:ascii="仿宋_GB2312" w:hAnsi="仿宋_GB2312" w:cs="仿宋_GB2312"/>
          <w:sz w:val="32"/>
          <w:szCs w:val="32"/>
          <w:highlight w:val="none"/>
          <w:lang w:val="en-US" w:eastAsia="zh-CN"/>
        </w:rPr>
        <w:t>组部分法院</w:t>
      </w:r>
      <w:r>
        <w:rPr>
          <w:rFonts w:hint="eastAsia" w:ascii="仿宋_GB2312" w:hAnsi="仿宋_GB2312" w:eastAsia="仿宋_GB2312" w:cs="仿宋_GB2312"/>
          <w:sz w:val="32"/>
          <w:szCs w:val="32"/>
          <w:highlight w:val="none"/>
        </w:rPr>
        <w:t>相关工作人员进行了访谈，本次绩效评价访谈旨在通过与</w:t>
      </w:r>
      <w:r>
        <w:rPr>
          <w:rFonts w:hint="eastAsia" w:ascii="仿宋_GB2312" w:hAnsi="仿宋_GB2312" w:cs="仿宋_GB2312"/>
          <w:highlight w:val="none"/>
          <w:lang w:val="en-US" w:eastAsia="zh-CN"/>
        </w:rPr>
        <w:t>相关</w:t>
      </w:r>
      <w:r>
        <w:rPr>
          <w:rFonts w:hint="eastAsia" w:ascii="仿宋_GB2312" w:hAnsi="仿宋_GB2312" w:cs="仿宋_GB2312"/>
          <w:highlight w:val="none"/>
        </w:rPr>
        <w:t>工作人员</w:t>
      </w:r>
      <w:r>
        <w:rPr>
          <w:rFonts w:hint="eastAsia" w:ascii="仿宋_GB2312" w:hAnsi="仿宋_GB2312" w:eastAsia="仿宋_GB2312" w:cs="仿宋_GB2312"/>
          <w:sz w:val="32"/>
          <w:szCs w:val="32"/>
          <w:highlight w:val="none"/>
        </w:rPr>
        <w:t>进行沟通，了解项目组织、实施、管理的具体情况，以评估财政资金使用的效率和效果，发现项目投入和管理中的问题。</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①访谈对象</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省法院、甘肃省矿区人民法院、甘肃省法院学院分院、甘肃省林区中级人民法院及小陇山林区法院</w:t>
      </w:r>
      <w:r>
        <w:rPr>
          <w:rFonts w:hint="eastAsia" w:ascii="仿宋_GB2312" w:hAnsi="仿宋_GB2312" w:eastAsia="仿宋_GB2312" w:cs="仿宋_GB2312"/>
          <w:sz w:val="32"/>
          <w:szCs w:val="32"/>
          <w:highlight w:val="none"/>
        </w:rPr>
        <w:t>的相关工作人员。</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②具体访谈的主要内容</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相关工作人员介绍预算安排、</w:t>
      </w:r>
      <w:r>
        <w:rPr>
          <w:rFonts w:hint="eastAsia" w:ascii="仿宋_GB2312" w:hAnsi="仿宋_GB2312" w:cs="仿宋_GB2312"/>
          <w:sz w:val="32"/>
          <w:szCs w:val="32"/>
          <w:highlight w:val="none"/>
          <w:lang w:val="en-US" w:eastAsia="zh-CN"/>
        </w:rPr>
        <w:t>项目实施计划</w:t>
      </w:r>
      <w:r>
        <w:rPr>
          <w:rFonts w:hint="eastAsia" w:ascii="仿宋_GB2312" w:hAnsi="仿宋_GB2312" w:eastAsia="仿宋_GB2312" w:cs="仿宋_GB2312"/>
          <w:sz w:val="32"/>
          <w:szCs w:val="32"/>
          <w:highlight w:val="none"/>
        </w:rPr>
        <w:t>等方面的实际情况；项目考核、监督中发现的经验、问题、建议等；对项目开展的实际工作情况等进行调研。比如：具体的实施完成情况、经费使用情况等。</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③访谈类型</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标准化访谈。</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④访谈实施方式</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现场访谈。</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资料分析及复核</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根据访谈了解情况对项目实施</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提供的资料进行核对，核实其真实性。结合资料</w:t>
      </w:r>
      <w:r>
        <w:rPr>
          <w:rFonts w:hint="eastAsia" w:ascii="仿宋_GB2312" w:hAnsi="仿宋_GB2312" w:eastAsia="仿宋_GB2312" w:cs="仿宋_GB2312"/>
          <w:sz w:val="32"/>
          <w:szCs w:val="32"/>
          <w:highlight w:val="none"/>
          <w:lang w:val="en-US" w:eastAsia="zh-CN"/>
        </w:rPr>
        <w:t>进行现场查看</w:t>
      </w:r>
      <w:r>
        <w:rPr>
          <w:rFonts w:hint="eastAsia" w:ascii="仿宋_GB2312" w:hAnsi="仿宋_GB2312" w:eastAsia="仿宋_GB2312" w:cs="仿宋_GB2312"/>
          <w:sz w:val="32"/>
          <w:szCs w:val="32"/>
          <w:highlight w:val="none"/>
        </w:rPr>
        <w:t>，核实</w:t>
      </w:r>
      <w:r>
        <w:rPr>
          <w:rFonts w:hint="eastAsia" w:ascii="仿宋_GB2312" w:hAnsi="仿宋_GB2312" w:eastAsia="仿宋_GB2312" w:cs="仿宋_GB2312"/>
          <w:sz w:val="32"/>
          <w:szCs w:val="32"/>
          <w:highlight w:val="none"/>
          <w:lang w:val="en-US" w:eastAsia="zh-CN"/>
        </w:rPr>
        <w:t>各项重点工作任务的完成情况</w:t>
      </w:r>
      <w:r>
        <w:rPr>
          <w:rFonts w:hint="eastAsia" w:ascii="仿宋_GB2312" w:hAnsi="仿宋_GB2312" w:eastAsia="仿宋_GB2312" w:cs="仿宋_GB2312"/>
          <w:sz w:val="32"/>
          <w:szCs w:val="32"/>
          <w:highlight w:val="none"/>
        </w:rPr>
        <w:t>的真实性和规范性。</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发放调查问卷</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采用调查问卷方式对项目服务对象</w:t>
      </w:r>
      <w:r>
        <w:rPr>
          <w:rFonts w:hint="eastAsia" w:ascii="仿宋_GB2312" w:hAnsi="仿宋_GB2312" w:eastAsia="仿宋_GB2312" w:cs="仿宋_GB2312"/>
          <w:sz w:val="32"/>
          <w:szCs w:val="32"/>
          <w:highlight w:val="none"/>
          <w:lang w:val="en-US" w:eastAsia="zh-CN"/>
        </w:rPr>
        <w:t>“工作人员满意度”</w:t>
      </w:r>
      <w:r>
        <w:rPr>
          <w:rFonts w:hint="eastAsia" w:ascii="仿宋_GB2312" w:hAnsi="仿宋_GB2312" w:eastAsia="仿宋_GB2312" w:cs="仿宋_GB2312"/>
          <w:sz w:val="32"/>
          <w:szCs w:val="32"/>
          <w:highlight w:val="none"/>
        </w:rPr>
        <w:t>进行调查，根据需要收集的</w:t>
      </w:r>
      <w:r>
        <w:rPr>
          <w:rFonts w:hint="eastAsia" w:ascii="仿宋_GB2312" w:hAnsi="仿宋_GB2312" w:eastAsia="仿宋_GB2312" w:cs="仿宋_GB2312"/>
          <w:sz w:val="32"/>
          <w:szCs w:val="32"/>
          <w:highlight w:val="none"/>
          <w:lang w:val="en-US" w:eastAsia="zh-CN"/>
        </w:rPr>
        <w:t>满意度</w:t>
      </w:r>
      <w:r>
        <w:rPr>
          <w:rFonts w:hint="eastAsia" w:ascii="仿宋_GB2312" w:hAnsi="仿宋_GB2312" w:eastAsia="仿宋_GB2312" w:cs="仿宋_GB2312"/>
          <w:sz w:val="32"/>
          <w:szCs w:val="32"/>
          <w:highlight w:val="none"/>
        </w:rPr>
        <w:t>数据设置</w:t>
      </w:r>
      <w:r>
        <w:rPr>
          <w:rFonts w:hint="eastAsia" w:ascii="仿宋_GB2312" w:hAnsi="仿宋_GB2312" w:eastAsia="仿宋_GB2312" w:cs="仿宋_GB2312"/>
          <w:sz w:val="32"/>
          <w:szCs w:val="32"/>
          <w:highlight w:val="none"/>
          <w:lang w:val="en-US" w:eastAsia="zh-CN"/>
        </w:rPr>
        <w:t>调查问卷</w:t>
      </w:r>
      <w:r>
        <w:rPr>
          <w:rFonts w:hint="eastAsia" w:ascii="仿宋_GB2312" w:hAnsi="仿宋_GB2312" w:eastAsia="仿宋_GB2312" w:cs="仿宋_GB2312"/>
          <w:sz w:val="32"/>
          <w:szCs w:val="32"/>
          <w:highlight w:val="none"/>
        </w:rPr>
        <w:t>并认真做好调查表的发放与回收工作。</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5</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进行现场评分</w:t>
      </w:r>
    </w:p>
    <w:p>
      <w:pPr>
        <w:pStyle w:val="2"/>
        <w:keepNext w:val="0"/>
        <w:keepLines w:val="0"/>
        <w:pageBreakBefore w:val="0"/>
        <w:tabs>
          <w:tab w:val="left" w:pos="510"/>
          <w:tab w:val="left" w:pos="675"/>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针对评价中发现的问题与</w:t>
      </w:r>
      <w:r>
        <w:rPr>
          <w:rFonts w:hint="eastAsia" w:ascii="仿宋_GB2312" w:hAnsi="仿宋_GB2312" w:eastAsia="仿宋_GB2312" w:cs="仿宋_GB2312"/>
          <w:sz w:val="32"/>
          <w:szCs w:val="32"/>
          <w:highlight w:val="none"/>
          <w:lang w:val="en-US" w:eastAsia="zh-CN"/>
        </w:rPr>
        <w:t>项目实施法院及时</w:t>
      </w:r>
      <w:r>
        <w:rPr>
          <w:rFonts w:hint="eastAsia" w:ascii="仿宋_GB2312" w:hAnsi="仿宋_GB2312" w:eastAsia="仿宋_GB2312" w:cs="仿宋_GB2312"/>
          <w:sz w:val="32"/>
          <w:szCs w:val="32"/>
          <w:highlight w:val="none"/>
        </w:rPr>
        <w:t>沟通，对各项评价指标进行分析讨论，经反复分析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研究，按预先设计的评价指标体系进行现场评价打分。</w:t>
      </w:r>
    </w:p>
    <w:p>
      <w:pPr>
        <w:pStyle w:val="6"/>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3.撰写报告阶段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撰写绩效评价报告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小组根据现场评价收集的资料，运用科学、合理的绩效评价指标、评价标准和评价方法，对项目支出的经济性、效率性和效益性进行客观、公正的评价，按照财政厅下发的重点项目绩效评价报告模板撰写绩效评价报告，并做到依据充分、数据真实、内容完整、客观公正、结论明确、建议可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绩效评价报告征求意见</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绩效评价报告初稿完成后，征</w:t>
      </w:r>
      <w:r>
        <w:rPr>
          <w:rFonts w:hint="eastAsia" w:ascii="仿宋_GB2312" w:hAnsi="仿宋_GB2312" w:eastAsia="仿宋_GB2312" w:cs="仿宋_GB2312"/>
          <w:sz w:val="32"/>
          <w:szCs w:val="32"/>
          <w:highlight w:val="none"/>
          <w:lang w:val="en-US" w:eastAsia="zh-CN"/>
        </w:rPr>
        <w:t>求省法院</w:t>
      </w:r>
      <w:r>
        <w:rPr>
          <w:rFonts w:hint="eastAsia" w:ascii="仿宋_GB2312" w:hAnsi="仿宋_GB2312" w:eastAsia="仿宋_GB2312" w:cs="仿宋_GB2312"/>
          <w:sz w:val="32"/>
          <w:szCs w:val="32"/>
          <w:highlight w:val="none"/>
        </w:rPr>
        <w:t>的意见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根据反馈的有效意见对评价报告进行修改。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提交绩效评价报告</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绩效评价报告经绩效评价负责人和</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确定，在规定时间内、按照规定的格式、要求，提交</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及财政部门</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118" w:name="_Toc6529"/>
      <w:bookmarkStart w:id="119" w:name="_Toc22550"/>
      <w:bookmarkStart w:id="120" w:name="_Toc26174"/>
      <w:r>
        <w:rPr>
          <w:rFonts w:hint="eastAsia" w:ascii="黑体" w:eastAsia="黑体"/>
          <w:highlight w:val="none"/>
        </w:rPr>
        <w:t>四、评价结论及分析</w:t>
      </w:r>
      <w:bookmarkEnd w:id="118"/>
      <w:bookmarkEnd w:id="119"/>
      <w:bookmarkEnd w:id="120"/>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21" w:name="_Toc26797"/>
      <w:bookmarkStart w:id="122" w:name="_Toc8446"/>
      <w:bookmarkStart w:id="123" w:name="_Toc20588"/>
      <w:r>
        <w:rPr>
          <w:rFonts w:hint="eastAsia" w:ascii="楷体" w:hAnsi="楷体" w:eastAsia="楷体" w:cs="楷体"/>
          <w:b/>
          <w:bCs/>
          <w:highlight w:val="none"/>
        </w:rPr>
        <w:t>（一）综合评价情况及评价结论</w:t>
      </w:r>
      <w:bookmarkEnd w:id="121"/>
      <w:bookmarkEnd w:id="122"/>
      <w:bookmarkEnd w:id="12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依据项目支出绩效评价指标体系和评分标准，总分设置为100分，分值和对应等级划分为四档：90分（含）-100分为“优”、80分（含）-90分为“良”、60分（含）-80分为“中”、60分以下为“差”。综合评定202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 w:eastAsia="仿宋_GB2312" w:cs="仿宋"/>
          <w:sz w:val="32"/>
          <w:szCs w:val="32"/>
          <w:highlight w:val="none"/>
          <w:lang w:eastAsia="zh-CN"/>
        </w:rPr>
        <w:t>物业费项目</w:t>
      </w:r>
      <w:r>
        <w:rPr>
          <w:rFonts w:hint="eastAsia" w:ascii="仿宋_GB2312" w:hAnsi="仿宋_GB2312" w:eastAsia="仿宋_GB2312" w:cs="仿宋_GB2312"/>
          <w:sz w:val="32"/>
          <w:szCs w:val="32"/>
          <w:highlight w:val="none"/>
        </w:rPr>
        <w:t>绩效评分为</w:t>
      </w:r>
      <w:r>
        <w:rPr>
          <w:rFonts w:hint="eastAsia" w:ascii="仿宋_GB2312" w:hAnsi="仿宋_GB2312" w:eastAsia="仿宋_GB2312" w:cs="仿宋_GB2312"/>
          <w:sz w:val="32"/>
          <w:szCs w:val="32"/>
          <w:highlight w:val="none"/>
          <w:lang w:val="en-US" w:eastAsia="zh-CN"/>
        </w:rPr>
        <w:t>92.67</w:t>
      </w:r>
      <w:r>
        <w:rPr>
          <w:rFonts w:hint="eastAsia" w:ascii="仿宋_GB2312" w:hAnsi="仿宋_GB2312" w:eastAsia="仿宋_GB2312" w:cs="仿宋_GB2312"/>
          <w:sz w:val="32"/>
          <w:szCs w:val="32"/>
          <w:highlight w:val="none"/>
        </w:rPr>
        <w:t>分，绩效等级为“</w:t>
      </w:r>
      <w:r>
        <w:rPr>
          <w:rFonts w:hint="eastAsia" w:ascii="仿宋_GB2312" w:hAnsi="仿宋_GB2312" w:eastAsia="仿宋_GB2312" w:cs="仿宋_GB2312"/>
          <w:sz w:val="32"/>
          <w:szCs w:val="32"/>
          <w:highlight w:val="none"/>
          <w:lang w:val="en-US" w:eastAsia="zh-CN"/>
        </w:rPr>
        <w:t>优</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yellow"/>
        </w:rPr>
      </w:pPr>
      <w:bookmarkStart w:id="124" w:name="_Toc12668"/>
      <w:bookmarkStart w:id="125" w:name="_Toc16795"/>
      <w:r>
        <w:rPr>
          <w:rFonts w:hint="eastAsia" w:ascii="仿宋_GB2312" w:hAnsi="仿宋_GB2312" w:eastAsia="仿宋_GB2312" w:cs="仿宋_GB2312"/>
          <w:sz w:val="32"/>
          <w:szCs w:val="32"/>
          <w:highlight w:val="none"/>
        </w:rPr>
        <w:t>评价认为，202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项目立项依据充分，立项程序规范，预算编制科学，资金及时到位，管理制度较为健全，资金分配合理，</w:t>
      </w:r>
      <w:r>
        <w:rPr>
          <w:rFonts w:hint="eastAsia" w:ascii="仿宋_GB2312" w:hAnsi="仿宋_GB2312" w:eastAsia="仿宋_GB2312" w:cs="仿宋_GB2312"/>
          <w:sz w:val="32"/>
          <w:szCs w:val="32"/>
          <w:highlight w:val="none"/>
          <w:lang w:val="en-US" w:eastAsia="zh-CN"/>
        </w:rPr>
        <w:t>项目的实施优化了工作环境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确保了审批场地的安全，项目</w:t>
      </w:r>
      <w:r>
        <w:rPr>
          <w:rFonts w:hint="eastAsia" w:ascii="仿宋_GB2312" w:hAnsi="仿宋_GB2312" w:eastAsia="仿宋_GB2312" w:cs="仿宋_GB2312"/>
          <w:sz w:val="32"/>
          <w:szCs w:val="32"/>
          <w:highlight w:val="none"/>
        </w:rPr>
        <w:t>效益显著，服务对象满意度良好。</w:t>
      </w:r>
      <w:r>
        <w:rPr>
          <w:rFonts w:hint="eastAsia" w:ascii="仿宋_GB2312" w:hAnsi="仿宋_GB2312" w:eastAsia="仿宋_GB2312" w:cs="仿宋_GB2312"/>
          <w:sz w:val="32"/>
          <w:szCs w:val="32"/>
          <w:highlight w:val="none"/>
          <w:lang w:val="en-US" w:eastAsia="zh-CN"/>
        </w:rPr>
        <w:t>但该项目预算执行率有待提高，绩效目标编制有待进一步规范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公共设施运行维护完成率指标未达到年度目标。</w:t>
      </w:r>
    </w:p>
    <w:bookmarkEnd w:id="124"/>
    <w:bookmarkEnd w:id="125"/>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outlineLvl w:val="1"/>
        <w:rPr>
          <w:sz w:val="32"/>
          <w:szCs w:val="32"/>
          <w:highlight w:val="none"/>
        </w:rPr>
      </w:pPr>
      <w:bookmarkStart w:id="126" w:name="_Toc32283"/>
      <w:r>
        <w:rPr>
          <w:rFonts w:ascii="楷体" w:hAnsi="楷体" w:eastAsia="楷体" w:cs="楷体"/>
          <w:b/>
          <w:bCs/>
          <w:color w:val="000000"/>
          <w:kern w:val="0"/>
          <w:sz w:val="32"/>
          <w:szCs w:val="32"/>
          <w:highlight w:val="none"/>
          <w:lang w:val="en-US" w:eastAsia="zh-CN" w:bidi="ar"/>
        </w:rPr>
        <w:t>（二）非现场评价情况分析</w:t>
      </w:r>
      <w:bookmarkEnd w:id="126"/>
      <w:r>
        <w:rPr>
          <w:rFonts w:ascii="楷体" w:hAnsi="楷体" w:eastAsia="楷体" w:cs="楷体"/>
          <w:b/>
          <w:bCs/>
          <w:color w:val="000000"/>
          <w:kern w:val="0"/>
          <w:sz w:val="32"/>
          <w:szCs w:val="32"/>
          <w:highlight w:val="none"/>
          <w:lang w:val="en-US" w:eastAsia="zh-CN" w:bidi="ar"/>
        </w:rPr>
        <w:t xml:space="preserve"> </w:t>
      </w:r>
    </w:p>
    <w:p>
      <w:pPr>
        <w:pStyle w:val="6"/>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1.前期资料研读 </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根据调研结果梳理并向省法院及直属单位发送《资料收集清单》收集业务资料和财务资料，其中包括：部门预算批复文件、资金分配表、项目预算编制明细表、决算表、单位内部管理制度、项目绩效目标申报表、自评表及自评报告等资料。并在资料收集过程中通过网上收集、文献查阅等方式，获取与本项目有关的政策资料，全面了解项目内容，把握评价的重点，明确评价方式、方法，为制定实施方案、绩效评价指标体系奠定基础。</w:t>
      </w:r>
    </w:p>
    <w:p>
      <w:pPr>
        <w:pStyle w:val="6"/>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2.资料整理分析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对省法院及直属单位提供的资料进行深入研读，将前期资料研读过程中通过各网站收集的资料与提供的资料进行了汇总整合研究，并设立评价指标体系。对于结果明确的指标直接进行打分，对于结果不明确的指标，评价组在此过程中继续整理缺失的数据，并形成二次数据收集清单，通过线上沟通再次向各项目实施法院收集部分评价指标佐证材料，补充完善评价结果，以便全面、真实、客观的形成评价结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outlineLvl w:val="1"/>
        <w:rPr>
          <w:sz w:val="32"/>
          <w:szCs w:val="32"/>
          <w:highlight w:val="none"/>
        </w:rPr>
      </w:pPr>
      <w:bookmarkStart w:id="127" w:name="_Toc25744"/>
      <w:r>
        <w:rPr>
          <w:rFonts w:hint="eastAsia" w:ascii="楷体" w:hAnsi="楷体" w:eastAsia="楷体" w:cs="楷体"/>
          <w:b/>
          <w:bCs/>
          <w:color w:val="000000"/>
          <w:kern w:val="0"/>
          <w:sz w:val="32"/>
          <w:szCs w:val="32"/>
          <w:highlight w:val="none"/>
          <w:lang w:val="en-US" w:eastAsia="zh-CN" w:bidi="ar"/>
        </w:rPr>
        <w:t>（三）</w:t>
      </w:r>
      <w:r>
        <w:rPr>
          <w:rFonts w:ascii="楷体" w:hAnsi="楷体" w:eastAsia="楷体" w:cs="楷体"/>
          <w:b/>
          <w:bCs/>
          <w:color w:val="000000"/>
          <w:kern w:val="0"/>
          <w:sz w:val="32"/>
          <w:szCs w:val="32"/>
          <w:highlight w:val="none"/>
          <w:lang w:val="en-US" w:eastAsia="zh-CN" w:bidi="ar"/>
        </w:rPr>
        <w:t>现场评价情况分析</w:t>
      </w:r>
      <w:bookmarkEnd w:id="127"/>
      <w:r>
        <w:rPr>
          <w:rFonts w:ascii="楷体" w:hAnsi="楷体" w:eastAsia="楷体" w:cs="楷体"/>
          <w:b/>
          <w:bCs/>
          <w:color w:val="000000"/>
          <w:kern w:val="0"/>
          <w:sz w:val="32"/>
          <w:szCs w:val="32"/>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color w:val="000000" w:themeColor="text1"/>
          <w:kern w:val="2"/>
          <w:sz w:val="32"/>
          <w:szCs w:val="32"/>
          <w:highlight w:val="none"/>
          <w:lang w:val="en-US" w:eastAsia="zh-CN" w:bidi="ar-SA"/>
          <w14:textFill>
            <w14:solidFill>
              <w14:schemeClr w14:val="tx1"/>
            </w14:solidFill>
          </w14:textFill>
        </w:rPr>
        <w:t xml:space="preserve">1.前期调研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 xml:space="preserve">评价组通过查阅相关文献资料以及在省法院及直属单位官网了解到被评价项目情况，自行收集了预决算公开资料，全面了解项目立项、绩效目标设置、预算安排、实施内容、组织管理等情况，为编制指标体系奠定基础。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color w:val="000000" w:themeColor="text1"/>
          <w:kern w:val="2"/>
          <w:sz w:val="32"/>
          <w:szCs w:val="32"/>
          <w:highlight w:val="none"/>
          <w:lang w:val="en-US" w:eastAsia="zh-CN" w:bidi="ar-SA"/>
          <w14:textFill>
            <w14:solidFill>
              <w14:schemeClr w14:val="tx1"/>
            </w14:solidFill>
          </w14:textFill>
        </w:rPr>
        <w:t xml:space="preserve">2.现场核查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sz w:val="32"/>
          <w:szCs w:val="32"/>
          <w:highlight w:val="yellow"/>
        </w:rPr>
      </w:pPr>
      <w:r>
        <w:rPr>
          <w:rFonts w:hint="eastAsia" w:ascii="仿宋_GB2312" w:hAnsi="宋体" w:eastAsia="仿宋_GB2312" w:cs="仿宋_GB2312"/>
          <w:color w:val="000000"/>
          <w:kern w:val="0"/>
          <w:sz w:val="32"/>
          <w:szCs w:val="32"/>
          <w:highlight w:val="none"/>
          <w:lang w:val="en-US" w:eastAsia="zh-CN" w:bidi="ar"/>
        </w:rPr>
        <w:t xml:space="preserve">评价组根据项目实际情况，抽取部分法院物业费项目进行现场抽评，本次现场评价省法院、甘肃省矿区人民法院、甘肃省法院学院分院、甘肃省林区中级人民法院及小陇山林区法院5个法院，涉及专项资金632.00万元，占项目资金总额的73.66%。 </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128" w:name="_Toc30293"/>
      <w:bookmarkStart w:id="129" w:name="_Toc25412"/>
      <w:bookmarkStart w:id="130" w:name="_Toc1569"/>
      <w:r>
        <w:rPr>
          <w:rFonts w:hint="eastAsia" w:ascii="黑体" w:eastAsia="黑体"/>
          <w:highlight w:val="none"/>
        </w:rPr>
        <w:t>五、绩效评价指标分析</w:t>
      </w:r>
      <w:bookmarkEnd w:id="128"/>
      <w:bookmarkEnd w:id="129"/>
      <w:bookmarkEnd w:id="13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cs="黑体" w:asciiTheme="minorEastAsia" w:hAnsiTheme="minorEastAsia"/>
          <w:sz w:val="28"/>
          <w:szCs w:val="24"/>
          <w:highlight w:val="none"/>
        </w:rPr>
      </w:pPr>
      <w:r>
        <w:rPr>
          <w:rFonts w:hint="eastAsia" w:ascii="仿宋_GB2312" w:hAnsi="仿宋_GB2312" w:eastAsia="仿宋_GB2312" w:cs="仿宋_GB2312"/>
          <w:sz w:val="32"/>
          <w:szCs w:val="32"/>
          <w:highlight w:val="none"/>
          <w:lang w:eastAsia="zh-CN"/>
        </w:rPr>
        <w:t>物业费</w:t>
      </w:r>
      <w:r>
        <w:rPr>
          <w:rFonts w:hint="eastAsia" w:ascii="仿宋_GB2312" w:hAnsi="仿宋_GB2312" w:eastAsia="仿宋_GB2312" w:cs="仿宋_GB2312"/>
          <w:sz w:val="32"/>
          <w:szCs w:val="32"/>
          <w:highlight w:val="none"/>
        </w:rPr>
        <w:t>项目绩效评价分级设计项目决策、过程、产出、效益、满意度五个一级指标，一级指标具体得分情况见</w:t>
      </w:r>
      <w:r>
        <w:rPr>
          <w:rFonts w:hint="eastAsia" w:ascii="仿宋_GB2312" w:hAnsi="仿宋_GB2312" w:eastAsia="仿宋_GB2312" w:cs="仿宋_GB2312"/>
          <w:sz w:val="32"/>
          <w:szCs w:val="32"/>
          <w:highlight w:val="none"/>
          <w:lang w:val="en-US" w:eastAsia="zh-CN"/>
        </w:rPr>
        <w:t>下</w:t>
      </w:r>
      <w:r>
        <w:rPr>
          <w:rFonts w:hint="eastAsia" w:ascii="仿宋_GB2312" w:hAnsi="仿宋_GB2312" w:eastAsia="仿宋_GB2312" w:cs="仿宋_GB2312"/>
          <w:sz w:val="32"/>
          <w:szCs w:val="32"/>
          <w:highlight w:val="none"/>
        </w:rPr>
        <w:t>表。</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ascii="楷体" w:hAnsi="楷体" w:eastAsia="楷体" w:cs="楷体"/>
          <w:b/>
          <w:bCs/>
          <w:highlight w:val="none"/>
        </w:rPr>
      </w:pPr>
      <w:bookmarkStart w:id="131" w:name="_Toc23689"/>
      <w:bookmarkStart w:id="132" w:name="_Toc30072"/>
      <w:bookmarkStart w:id="133" w:name="_Toc1810"/>
      <w:r>
        <w:rPr>
          <w:rFonts w:hint="eastAsia" w:asciiTheme="minorEastAsia" w:hAnsiTheme="minorEastAsia" w:eastAsiaTheme="minorEastAsia" w:cstheme="minorEastAsia"/>
          <w:kern w:val="0"/>
          <w:sz w:val="28"/>
          <w:szCs w:val="28"/>
          <w:highlight w:val="none"/>
          <w:lang w:eastAsia="zh-CN"/>
        </w:rPr>
        <w:drawing>
          <wp:anchor distT="0" distB="0" distL="114300" distR="114300" simplePos="0" relativeHeight="251666432" behindDoc="0" locked="0" layoutInCell="1" allowOverlap="1">
            <wp:simplePos x="0" y="0"/>
            <wp:positionH relativeFrom="column">
              <wp:posOffset>-11430</wp:posOffset>
            </wp:positionH>
            <wp:positionV relativeFrom="paragraph">
              <wp:posOffset>67310</wp:posOffset>
            </wp:positionV>
            <wp:extent cx="5184775" cy="2974340"/>
            <wp:effectExtent l="4445" t="4445" r="7620" b="8255"/>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楷体" w:hAnsi="楷体" w:eastAsia="楷体" w:cs="楷体"/>
          <w:b/>
          <w:bCs/>
          <w:highlight w:val="none"/>
        </w:rPr>
        <w:t>（一）项目决策情况</w:t>
      </w:r>
      <w:bookmarkEnd w:id="131"/>
      <w:bookmarkEnd w:id="132"/>
      <w:bookmarkEnd w:id="133"/>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cs="黑体" w:asciiTheme="minorEastAsia" w:hAnsiTheme="minorEastAsia"/>
          <w:bCs/>
          <w:sz w:val="28"/>
          <w:szCs w:val="24"/>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w:t>
      </w:r>
      <w:r>
        <w:rPr>
          <w:rFonts w:hint="eastAsia" w:ascii="仿宋_GB2312" w:hAnsi="仿宋_GB2312" w:eastAsia="仿宋_GB2312" w:cs="仿宋_GB2312"/>
          <w:sz w:val="32"/>
          <w:szCs w:val="32"/>
          <w:highlight w:val="none"/>
          <w:lang w:val="en-US" w:eastAsia="zh-CN"/>
        </w:rPr>
        <w:t>包括</w:t>
      </w:r>
      <w:r>
        <w:rPr>
          <w:rFonts w:hint="eastAsia" w:ascii="仿宋_GB2312" w:hAnsi="仿宋_GB2312" w:eastAsia="仿宋_GB2312" w:cs="仿宋_GB2312"/>
          <w:sz w:val="32"/>
          <w:szCs w:val="32"/>
          <w:highlight w:val="none"/>
        </w:rPr>
        <w:t>绩效目标合理性</w:t>
      </w:r>
      <w:r>
        <w:rPr>
          <w:rFonts w:hint="eastAsia" w:ascii="仿宋_GB2312" w:hAnsi="仿宋_GB2312" w:eastAsia="仿宋_GB2312" w:cs="仿宋_GB2312"/>
          <w:sz w:val="32"/>
          <w:szCs w:val="32"/>
          <w:highlight w:val="none"/>
          <w:lang w:eastAsia="zh-CN"/>
        </w:rPr>
        <w:t>、绩效指标明确性</w:t>
      </w:r>
      <w:r>
        <w:rPr>
          <w:rFonts w:hint="eastAsia" w:ascii="仿宋_GB2312" w:hAnsi="仿宋_GB2312" w:eastAsia="仿宋_GB2312" w:cs="仿宋_GB2312"/>
          <w:sz w:val="32"/>
          <w:szCs w:val="32"/>
          <w:highlight w:val="none"/>
          <w:lang w:val="en-US" w:eastAsia="zh-CN"/>
        </w:rPr>
        <w:t>两</w:t>
      </w:r>
      <w:r>
        <w:rPr>
          <w:rFonts w:hint="eastAsia" w:ascii="仿宋_GB2312" w:hAnsi="仿宋_GB2312" w:eastAsia="仿宋_GB2312" w:cs="仿宋_GB2312"/>
          <w:sz w:val="32"/>
          <w:szCs w:val="32"/>
          <w:highlight w:val="none"/>
        </w:rPr>
        <w:t>个三级指标，资金投入指标包括预算编制科学性、资金分配合理性两个三级指标。指标分值</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83.33</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决策指标二级指标得分情况表</w:t>
      </w:r>
    </w:p>
    <w:tbl>
      <w:tblPr>
        <w:tblStyle w:val="15"/>
        <w:tblW w:w="903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3012"/>
        <w:gridCol w:w="1916"/>
        <w:gridCol w:w="1701"/>
        <w:gridCol w:w="241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0" w:type="auto"/>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916"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1701"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2410"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0" w:type="auto"/>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项目立项</w:t>
            </w:r>
          </w:p>
        </w:tc>
        <w:tc>
          <w:tcPr>
            <w:tcW w:w="1916" w:type="dxa"/>
            <w:shd w:val="clear" w:color="auto" w:fill="auto"/>
            <w:noWrap/>
            <w:vAlign w:val="center"/>
          </w:tcPr>
          <w:p>
            <w:pPr>
              <w:widowControl/>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1701"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4</w:t>
            </w:r>
          </w:p>
        </w:tc>
        <w:tc>
          <w:tcPr>
            <w:tcW w:w="2410"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0" w:type="auto"/>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绩效目标</w:t>
            </w:r>
          </w:p>
        </w:tc>
        <w:tc>
          <w:tcPr>
            <w:tcW w:w="1916" w:type="dxa"/>
            <w:shd w:val="clear" w:color="auto" w:fill="auto"/>
            <w:noWrap/>
            <w:vAlign w:val="center"/>
          </w:tcPr>
          <w:p>
            <w:pPr>
              <w:widowControl/>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1701" w:type="dxa"/>
            <w:shd w:val="clear" w:color="auto" w:fill="auto"/>
            <w:noWrap/>
            <w:vAlign w:val="center"/>
          </w:tcPr>
          <w:p>
            <w:pPr>
              <w:widowControl/>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2</w:t>
            </w:r>
          </w:p>
        </w:tc>
        <w:tc>
          <w:tcPr>
            <w:tcW w:w="2410"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50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0" w:type="auto"/>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资金投入</w:t>
            </w:r>
          </w:p>
        </w:tc>
        <w:tc>
          <w:tcPr>
            <w:tcW w:w="1916" w:type="dxa"/>
            <w:shd w:val="clear" w:color="auto" w:fill="auto"/>
            <w:noWrap/>
            <w:vAlign w:val="center"/>
          </w:tcPr>
          <w:p>
            <w:pPr>
              <w:widowControl/>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1701"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4</w:t>
            </w:r>
          </w:p>
        </w:tc>
        <w:tc>
          <w:tcPr>
            <w:tcW w:w="2410"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PrEx>
        <w:trPr>
          <w:trHeight w:val="397" w:hRule="atLeast"/>
        </w:trPr>
        <w:tc>
          <w:tcPr>
            <w:tcW w:w="0" w:type="auto"/>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916" w:type="dxa"/>
            <w:shd w:val="clear" w:color="auto" w:fill="BDD6EE" w:themeFill="accent1" w:themeFillTint="66"/>
            <w:vAlign w:val="center"/>
          </w:tcPr>
          <w:p>
            <w:pPr>
              <w:widowControl/>
              <w:jc w:val="center"/>
              <w:textAlignment w:val="center"/>
              <w:rPr>
                <w:rFonts w:hint="eastAsia" w:ascii="宋体" w:hAnsi="宋体" w:eastAsia="宋体" w:cs="宋体"/>
                <w:b/>
                <w:bCs/>
                <w:color w:val="000000"/>
                <w:kern w:val="0"/>
                <w:sz w:val="22"/>
                <w:highlight w:val="none"/>
                <w:lang w:eastAsia="zh-CN" w:bidi="ar"/>
              </w:rPr>
            </w:pPr>
            <w:r>
              <w:rPr>
                <w:rFonts w:hint="eastAsia" w:ascii="宋体" w:hAnsi="宋体" w:eastAsia="宋体" w:cs="宋体"/>
                <w:b/>
                <w:bCs/>
                <w:color w:val="000000"/>
                <w:kern w:val="0"/>
                <w:sz w:val="22"/>
                <w:highlight w:val="none"/>
                <w:lang w:bidi="ar"/>
              </w:rPr>
              <w:t>1</w:t>
            </w:r>
            <w:r>
              <w:rPr>
                <w:rFonts w:hint="eastAsia" w:ascii="宋体" w:hAnsi="宋体" w:eastAsia="宋体" w:cs="宋体"/>
                <w:b/>
                <w:bCs/>
                <w:color w:val="000000"/>
                <w:kern w:val="0"/>
                <w:sz w:val="22"/>
                <w:highlight w:val="none"/>
                <w:lang w:val="en-US" w:eastAsia="zh-CN" w:bidi="ar"/>
              </w:rPr>
              <w:t>2</w:t>
            </w:r>
          </w:p>
        </w:tc>
        <w:tc>
          <w:tcPr>
            <w:tcW w:w="1701" w:type="dxa"/>
            <w:shd w:val="clear" w:color="auto" w:fill="BDD6EE" w:themeFill="accent1" w:themeFillTint="66"/>
            <w:vAlign w:val="center"/>
          </w:tcPr>
          <w:p>
            <w:pPr>
              <w:widowControl/>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10</w:t>
            </w:r>
          </w:p>
        </w:tc>
        <w:tc>
          <w:tcPr>
            <w:tcW w:w="2410" w:type="dxa"/>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83.33</w:t>
            </w:r>
            <w:r>
              <w:rPr>
                <w:rFonts w:hint="eastAsia" w:ascii="宋体" w:hAnsi="宋体" w:eastAsia="宋体" w:cs="宋体"/>
                <w:b/>
                <w:bCs/>
                <w:color w:val="000000"/>
                <w:kern w:val="0"/>
                <w:sz w:val="22"/>
                <w:highlight w:val="none"/>
                <w:lang w:bidi="ar"/>
              </w:rPr>
              <w:t>%</w:t>
            </w:r>
          </w:p>
        </w:tc>
      </w:tr>
    </w:tbl>
    <w:p>
      <w:pPr>
        <w:pStyle w:val="20"/>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项目严格按照预算绩效制度管理流程履行了项目立项手续，项目立项依据充分、立项程序规范，立项工作达到预期目标。</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分，评价得分为</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目根据《物业服务收费管理办法》《甘肃省物业管理暂行办法》《甘肃省物业服务收费管理实施办法》《甘肃省关于进一步促进物业行业健康发展的实施意见》（甘政办发〔2014〕52号）《甘肃省人民政府办公厅关于政府向社会力量购买服务的实施意见》（甘政办发〔2014〕85号）等政策依据设立</w:t>
      </w:r>
      <w:r>
        <w:rPr>
          <w:rFonts w:hint="eastAsia" w:ascii="仿宋_GB2312" w:hAnsi="仿宋_GB2312" w:eastAsia="仿宋_GB2312" w:cs="仿宋_GB2312"/>
          <w:sz w:val="32"/>
          <w:szCs w:val="32"/>
          <w:highlight w:val="none"/>
        </w:rPr>
        <w:t>，项目立项依据充分，立项符合法规政策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属于专项资金支持范围。</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该项目根据《全省法院系统项目预算资金申报使用管理规程（试行）》（甘高法〔2018〕269号）申报并通过省财政厅、省法院批复设立</w:t>
      </w:r>
      <w:r>
        <w:rPr>
          <w:rFonts w:hint="eastAsia" w:ascii="仿宋_GB2312" w:hAnsi="仿宋_GB2312" w:eastAsia="仿宋_GB2312" w:cs="仿宋_GB2312"/>
          <w:sz w:val="32"/>
          <w:szCs w:val="32"/>
          <w:highlight w:val="none"/>
        </w:rPr>
        <w:t>，项目事前已经过必要的集体决策并按照规定的程序申请设立，审批文件、材料符合相关要求。</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项目立项程序规范，预算、审批材料齐全。</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 绩效目标</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）绩效目标合理性</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分。经查阅分析省法院及直属单位《202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绩效目标表》，</w:t>
      </w:r>
      <w:r>
        <w:rPr>
          <w:rFonts w:hint="eastAsia" w:ascii="仿宋_GB2312" w:hAnsi="仿宋_GB2312" w:eastAsia="仿宋_GB2312" w:cs="仿宋_GB2312"/>
          <w:sz w:val="32"/>
          <w:szCs w:val="32"/>
          <w:highlight w:val="none"/>
          <w:lang w:val="en-US" w:eastAsia="zh-CN"/>
        </w:rPr>
        <w:t>省法院及直属单位</w:t>
      </w:r>
      <w:r>
        <w:rPr>
          <w:rFonts w:hint="eastAsia" w:ascii="仿宋_GB2312" w:hAnsi="仿宋_GB2312" w:eastAsia="仿宋_GB2312" w:cs="仿宋_GB2312"/>
          <w:sz w:val="32"/>
          <w:szCs w:val="32"/>
          <w:highlight w:val="none"/>
        </w:rPr>
        <w:t>严格按照省财政厅《甘肃省省级预算绩效目标管理办法》要求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编制了</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的绩效目标，经过梳理</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家法院的绩效目标，绩效目标和评价指标设置</w:t>
      </w:r>
      <w:r>
        <w:rPr>
          <w:rFonts w:hint="eastAsia" w:ascii="仿宋_GB2312" w:hAnsi="仿宋_GB2312" w:eastAsia="仿宋_GB2312" w:cs="仿宋_GB2312"/>
          <w:sz w:val="32"/>
          <w:szCs w:val="32"/>
          <w:highlight w:val="none"/>
          <w:lang w:val="en-US" w:eastAsia="zh-CN"/>
        </w:rPr>
        <w:t>总体较为</w:t>
      </w:r>
      <w:r>
        <w:rPr>
          <w:rFonts w:hint="eastAsia" w:ascii="仿宋_GB2312" w:hAnsi="仿宋_GB2312" w:eastAsia="仿宋_GB2312" w:cs="仿宋_GB2312"/>
          <w:sz w:val="32"/>
          <w:szCs w:val="32"/>
          <w:highlight w:val="none"/>
        </w:rPr>
        <w:t>科学规范，与实际工作内容有相关性，符合正常的业绩水平，年初绩效目标符合项目计划内容，但</w:t>
      </w:r>
      <w:r>
        <w:rPr>
          <w:rFonts w:hint="eastAsia" w:ascii="仿宋_GB2312" w:hAnsi="仿宋_GB2312" w:eastAsia="仿宋_GB2312" w:cs="仿宋_GB2312"/>
          <w:sz w:val="32"/>
          <w:szCs w:val="32"/>
          <w:highlight w:val="none"/>
          <w:lang w:val="en-US" w:eastAsia="zh-CN"/>
        </w:rPr>
        <w:t>还存在绩效指标及目标值设置不合理的情况。二级项目绩效目标表中如数量指标“保障全省法院数量”，目标值为112家，该指标目标值设置有误，应为12家；经济效益指标“物业有效投诉处理率、有效保障审判服务”属于社会效益指标。</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绩效指标明确性</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绩效指标明确性指标分值2分，评价得分1分。</w:t>
      </w:r>
      <w:r>
        <w:rPr>
          <w:rFonts w:hint="eastAsia" w:ascii="仿宋_GB2312" w:hAnsi="仿宋_GB2312" w:eastAsia="仿宋_GB2312" w:cs="仿宋_GB2312"/>
          <w:sz w:val="32"/>
          <w:szCs w:val="32"/>
          <w:highlight w:val="none"/>
        </w:rPr>
        <w:t>经查阅分析省法院及直属单位《202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绩效目标表》</w:t>
      </w:r>
      <w:r>
        <w:rPr>
          <w:rFonts w:hint="default" w:ascii="仿宋_GB2312" w:hAnsi="仿宋_GB2312" w:eastAsia="仿宋_GB2312" w:cs="仿宋_GB2312"/>
          <w:sz w:val="32"/>
          <w:szCs w:val="32"/>
          <w:highlight w:val="none"/>
          <w:lang w:val="en-US" w:eastAsia="zh-CN"/>
        </w:rPr>
        <w:t>，设置的绩效指标能够将项目绩效目标细化分解为具体的绩效指标，指标目标值清晰、可衡量</w:t>
      </w:r>
      <w:r>
        <w:rPr>
          <w:rFonts w:hint="eastAsia" w:ascii="仿宋_GB2312" w:hAnsi="仿宋_GB2312" w:eastAsia="仿宋_GB2312" w:cs="仿宋_GB2312"/>
          <w:sz w:val="32"/>
          <w:szCs w:val="32"/>
          <w:highlight w:val="none"/>
          <w:lang w:val="en-US" w:eastAsia="zh-CN"/>
        </w:rPr>
        <w:t>；与预算确定的项目投资额或资金量相匹配；11家法院绩效目标表与项目年度计划相对应，但武威铁路运输法院物业费绩效目标表中产出指标设置为：参加培训期数、审理各类案件完成情况、法制宣传效果、专用设备采购及时性、受理案件及时性等指标，指标设置与项目计划实施内容不相符。</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项目资金投入方向符合政策规定，按照年度预算合理分配。</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分。项目实施前，</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严格按照预算管理制度，分析研究并制定项目专项资金使用计划，项目实施中专项资金严格按照预算执行。评价认为，项目预算编制科学、合理、规范。</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物业费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年初申报预算858.00万元，主要由12家法院使用，</w:t>
      </w:r>
      <w:r>
        <w:rPr>
          <w:rFonts w:hint="eastAsia" w:ascii="仿宋_GB2312" w:hAnsi="仿宋_GB2312" w:eastAsia="仿宋_GB2312" w:cs="仿宋_GB2312"/>
          <w:sz w:val="32"/>
          <w:szCs w:val="32"/>
          <w:highlight w:val="none"/>
        </w:rPr>
        <w:t>预算资金分配依据充分，资金分配额度合理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与项目单位实际相适应。</w:t>
      </w:r>
      <w:r>
        <w:rPr>
          <w:rFonts w:hint="eastAsia" w:ascii="仿宋_GB2312" w:hAnsi="仿宋_GB2312" w:eastAsia="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rPr>
        <w:t>项目预算资金分配占比情况如下图所示：</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9"/>
        <w:rPr>
          <w:rFonts w:ascii="楷体" w:hAnsi="楷体" w:eastAsia="楷体" w:cs="楷体"/>
          <w:b/>
          <w:bCs/>
          <w:highlight w:val="none"/>
        </w:rPr>
      </w:pPr>
      <w:bookmarkStart w:id="134" w:name="_Toc22593"/>
      <w:bookmarkStart w:id="135" w:name="_Toc5353"/>
      <w:r>
        <w:rPr>
          <w:rFonts w:hint="eastAsia" w:ascii="仿宋" w:hAnsi="仿宋" w:eastAsia="仿宋" w:cs="仿宋"/>
          <w:sz w:val="32"/>
          <w:szCs w:val="32"/>
          <w:highlight w:val="none"/>
          <w:lang w:eastAsia="zh-CN"/>
        </w:rPr>
        <w:drawing>
          <wp:anchor distT="0" distB="0" distL="114300" distR="114300" simplePos="0" relativeHeight="251664384" behindDoc="0" locked="0" layoutInCell="1" allowOverlap="1">
            <wp:simplePos x="0" y="0"/>
            <wp:positionH relativeFrom="column">
              <wp:posOffset>296545</wp:posOffset>
            </wp:positionH>
            <wp:positionV relativeFrom="paragraph">
              <wp:posOffset>20955</wp:posOffset>
            </wp:positionV>
            <wp:extent cx="4827270" cy="2277745"/>
            <wp:effectExtent l="4445" t="4445" r="14605" b="1905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楷体" w:hAnsi="楷体" w:eastAsia="楷体" w:cs="楷体"/>
          <w:b/>
          <w:bCs/>
          <w:highlight w:val="none"/>
          <w:lang w:eastAsia="zh-CN"/>
        </w:rPr>
        <w:t>（</w:t>
      </w:r>
      <w:r>
        <w:rPr>
          <w:rFonts w:hint="eastAsia" w:ascii="楷体" w:hAnsi="楷体" w:eastAsia="楷体" w:cs="楷体"/>
          <w:b/>
          <w:bCs/>
          <w:highlight w:val="none"/>
        </w:rPr>
        <w:t>二）项目过程情况</w:t>
      </w:r>
      <w:bookmarkEnd w:id="134"/>
      <w:bookmarkEnd w:id="135"/>
    </w:p>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left="0" w:firstLine="640" w:firstLineChars="200"/>
        <w:jc w:val="center"/>
        <w:textAlignment w:val="auto"/>
        <w:rPr>
          <w:rFonts w:cs="仿宋" w:asciiTheme="minorEastAsia" w:hAnsiTheme="minorEastAsia"/>
          <w:highlight w:val="none"/>
        </w:rPr>
      </w:pPr>
      <w:r>
        <w:rPr>
          <w:rFonts w:hint="eastAsia" w:ascii="仿宋_GB2312" w:hAnsi="仿宋_GB2312" w:eastAsia="仿宋_GB2312" w:cs="仿宋_GB2312"/>
          <w:sz w:val="32"/>
          <w:szCs w:val="3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sz w:val="32"/>
          <w:szCs w:val="32"/>
          <w:highlight w:val="none"/>
          <w:lang w:eastAsia="zh-CN"/>
        </w:rPr>
        <w:t>、采购管理规范性、合同管理完备性</w:t>
      </w:r>
      <w:r>
        <w:rPr>
          <w:rFonts w:hint="eastAsia" w:ascii="仿宋_GB2312" w:hAnsi="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个三级指标。指标分值</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分，评价得分</w:t>
      </w:r>
      <w:r>
        <w:rPr>
          <w:rFonts w:hint="eastAsia" w:ascii="仿宋_GB2312" w:hAnsi="仿宋_GB2312" w:cs="仿宋_GB2312"/>
          <w:sz w:val="32"/>
          <w:szCs w:val="32"/>
          <w:highlight w:val="none"/>
          <w:lang w:val="en-US" w:eastAsia="zh-CN"/>
        </w:rPr>
        <w:t>16.77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93.17</w:t>
      </w:r>
      <w:r>
        <w:rPr>
          <w:rFonts w:hint="eastAsia" w:ascii="仿宋_GB2312" w:hAnsi="仿宋_GB2312" w:eastAsia="仿宋_GB2312" w:cs="仿宋_GB2312"/>
          <w:sz w:val="32"/>
          <w:szCs w:val="32"/>
          <w:highlight w:val="none"/>
        </w:rPr>
        <w:t>%。</w:t>
      </w:r>
      <w:r>
        <w:rPr>
          <w:rFonts w:hint="eastAsia" w:cs="黑体" w:asciiTheme="minorEastAsia" w:hAnsiTheme="minorEastAsia"/>
          <w:bCs/>
          <w:sz w:val="28"/>
          <w:szCs w:val="24"/>
          <w:highlight w:val="none"/>
        </w:rPr>
        <w:t>过程指标二级指标得分情况表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资金管理</w:t>
            </w:r>
          </w:p>
        </w:tc>
        <w:tc>
          <w:tcPr>
            <w:tcW w:w="1059"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8.77</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87.70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组织实施</w:t>
            </w:r>
          </w:p>
        </w:tc>
        <w:tc>
          <w:tcPr>
            <w:tcW w:w="1059" w:type="pct"/>
            <w:shd w:val="clear" w:color="auto" w:fill="auto"/>
            <w:noWrap/>
            <w:vAlign w:val="center"/>
          </w:tcPr>
          <w:p>
            <w:pPr>
              <w:widowControl/>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8</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8</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widowControl/>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18</w:t>
            </w:r>
          </w:p>
        </w:tc>
        <w:tc>
          <w:tcPr>
            <w:tcW w:w="940" w:type="pct"/>
            <w:shd w:val="clear" w:color="auto" w:fill="BDD6EE" w:themeFill="accent1" w:themeFillTint="66"/>
            <w:vAlign w:val="center"/>
          </w:tcPr>
          <w:p>
            <w:pPr>
              <w:widowControl/>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16.77</w:t>
            </w:r>
          </w:p>
        </w:tc>
        <w:tc>
          <w:tcPr>
            <w:tcW w:w="1333"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93.17</w:t>
            </w:r>
            <w:r>
              <w:rPr>
                <w:rFonts w:hint="eastAsia" w:ascii="宋体" w:hAnsi="宋体" w:eastAsia="宋体" w:cs="宋体"/>
                <w:b/>
                <w:bCs/>
                <w:color w:val="000000"/>
                <w:kern w:val="0"/>
                <w:sz w:val="22"/>
                <w:highlight w:val="none"/>
                <w:lang w:bidi="ar"/>
              </w:rPr>
              <w:t>%</w:t>
            </w:r>
          </w:p>
        </w:tc>
      </w:tr>
    </w:tbl>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1.资金管理</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物业费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资金随2022年部门预算一同下达，</w:t>
      </w:r>
      <w:r>
        <w:rPr>
          <w:rFonts w:hint="eastAsia" w:ascii="仿宋_GB2312" w:hAnsi="仿宋_GB2312" w:eastAsia="仿宋_GB2312" w:cs="仿宋_GB2312"/>
          <w:sz w:val="32"/>
          <w:szCs w:val="32"/>
          <w:highlight w:val="none"/>
        </w:rPr>
        <w:t>资金及时足额到位，到位率100%。</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预算执行率指标分值</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2.77</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物业费</w:t>
      </w:r>
      <w:r>
        <w:rPr>
          <w:rFonts w:hint="eastAsia" w:ascii="仿宋_GB2312" w:hAnsi="仿宋_GB2312" w:eastAsia="仿宋_GB2312" w:cs="仿宋_GB2312"/>
          <w:sz w:val="32"/>
          <w:szCs w:val="32"/>
          <w:highlight w:val="none"/>
        </w:rPr>
        <w:t>项目全年预算数</w:t>
      </w:r>
      <w:r>
        <w:rPr>
          <w:rFonts w:hint="eastAsia" w:ascii="仿宋_GB2312" w:hAnsi="仿宋_GB2312" w:eastAsia="仿宋_GB2312" w:cs="仿宋_GB2312"/>
          <w:sz w:val="32"/>
          <w:szCs w:val="32"/>
          <w:highlight w:val="none"/>
          <w:lang w:val="en-US" w:eastAsia="zh-CN"/>
        </w:rPr>
        <w:t>957.54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其中当年财政拨款858.00万元，上年结转资金99.54万元，截止2022年12月31日，</w:t>
      </w:r>
      <w:r>
        <w:rPr>
          <w:rFonts w:hint="eastAsia" w:ascii="仿宋_GB2312" w:hAnsi="仿宋_GB2312" w:eastAsia="仿宋_GB2312" w:cs="仿宋_GB2312"/>
          <w:sz w:val="32"/>
          <w:szCs w:val="32"/>
          <w:highlight w:val="none"/>
        </w:rPr>
        <w:t>全年执行数</w:t>
      </w:r>
      <w:r>
        <w:rPr>
          <w:rFonts w:hint="eastAsia" w:ascii="仿宋_GB2312" w:hAnsi="仿宋_GB2312" w:eastAsia="仿宋_GB2312" w:cs="仿宋_GB2312"/>
          <w:sz w:val="32"/>
          <w:szCs w:val="32"/>
          <w:highlight w:val="none"/>
          <w:lang w:val="en-US" w:eastAsia="zh-CN"/>
        </w:rPr>
        <w:t>839.42</w:t>
      </w:r>
      <w:r>
        <w:rPr>
          <w:rFonts w:hint="eastAsia" w:ascii="仿宋_GB2312" w:hAnsi="仿宋_GB2312" w:eastAsia="仿宋_GB2312" w:cs="仿宋_GB2312"/>
          <w:sz w:val="32"/>
          <w:szCs w:val="32"/>
          <w:highlight w:val="none"/>
        </w:rPr>
        <w:t>万元，预算执行率</w:t>
      </w:r>
      <w:r>
        <w:rPr>
          <w:rFonts w:hint="eastAsia" w:ascii="仿宋_GB2312" w:hAnsi="仿宋_GB2312" w:eastAsia="仿宋_GB2312" w:cs="仿宋_GB2312"/>
          <w:sz w:val="32"/>
          <w:szCs w:val="32"/>
          <w:highlight w:val="none"/>
          <w:lang w:val="en-US" w:eastAsia="zh-CN"/>
        </w:rPr>
        <w:t>87.66</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各项目资金支出明细如下</w:t>
      </w:r>
      <w:r>
        <w:rPr>
          <w:rFonts w:hint="eastAsia" w:ascii="仿宋_GB2312" w:hAnsi="仿宋_GB2312" w:eastAsia="仿宋_GB2312" w:cs="仿宋_GB2312"/>
          <w:sz w:val="32"/>
          <w:szCs w:val="32"/>
          <w:highlight w:val="none"/>
          <w:lang w:eastAsia="zh-CN"/>
        </w:rPr>
        <w:t>：</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jc w:val="right"/>
        <w:textAlignment w:val="auto"/>
        <w:rPr>
          <w:rFonts w:hint="default" w:ascii="仿宋_GB2312" w:hAnsi="仿宋_GB2312" w:eastAsia="仿宋_GB2312" w:cs="仿宋_GB2312"/>
          <w:sz w:val="22"/>
          <w:szCs w:val="22"/>
          <w:highlight w:val="none"/>
          <w:lang w:val="en-US" w:eastAsia="zh-CN"/>
        </w:rPr>
      </w:pPr>
      <w:r>
        <w:rPr>
          <w:rFonts w:hint="eastAsia" w:ascii="仿宋_GB2312" w:hAnsi="仿宋_GB2312" w:eastAsia="仿宋_GB2312" w:cs="仿宋_GB2312"/>
          <w:sz w:val="22"/>
          <w:szCs w:val="22"/>
          <w:highlight w:val="none"/>
          <w:lang w:val="en-US" w:eastAsia="zh-CN"/>
        </w:rPr>
        <w:t>单位：万元</w:t>
      </w:r>
    </w:p>
    <w:tbl>
      <w:tblPr>
        <w:tblStyle w:val="15"/>
        <w:tblW w:w="4998" w:type="pct"/>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735"/>
        <w:gridCol w:w="2141"/>
        <w:gridCol w:w="1100"/>
        <w:gridCol w:w="1067"/>
        <w:gridCol w:w="1139"/>
        <w:gridCol w:w="1321"/>
        <w:gridCol w:w="1016"/>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PrEx>
        <w:trPr>
          <w:trHeight w:val="340" w:hRule="atLeast"/>
          <w:tblHeader/>
          <w:jc w:val="center"/>
        </w:trPr>
        <w:tc>
          <w:tcPr>
            <w:tcW w:w="431" w:type="pct"/>
            <w:vMerge w:val="restart"/>
            <w:shd w:val="clear" w:color="auto" w:fill="B8CCE4"/>
            <w:noWrap w:val="0"/>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1256" w:type="pct"/>
            <w:vMerge w:val="restart"/>
            <w:shd w:val="clear" w:color="auto" w:fill="B8CCE4"/>
            <w:noWrap w:val="0"/>
            <w:vAlign w:val="center"/>
          </w:tcPr>
          <w:p>
            <w:pPr>
              <w:widowControl/>
              <w:jc w:val="center"/>
              <w:textAlignment w:val="center"/>
              <w:rPr>
                <w:rFonts w:hint="eastAsia" w:ascii="宋体" w:hAnsi="宋体" w:eastAsia="宋体" w:cs="宋体"/>
                <w:b/>
                <w:bCs/>
                <w:color w:val="000000"/>
                <w:kern w:val="0"/>
                <w:szCs w:val="21"/>
                <w:highlight w:val="none"/>
                <w:lang w:eastAsia="zh-CN" w:bidi="ar"/>
              </w:rPr>
            </w:pPr>
            <w:r>
              <w:rPr>
                <w:rFonts w:hint="eastAsia" w:ascii="宋体" w:hAnsi="宋体" w:cs="宋体"/>
                <w:b/>
                <w:bCs/>
                <w:color w:val="000000"/>
                <w:kern w:val="0"/>
                <w:szCs w:val="21"/>
                <w:highlight w:val="none"/>
                <w:lang w:val="en-US" w:eastAsia="zh-CN" w:bidi="ar"/>
              </w:rPr>
              <w:t>实施单位</w:t>
            </w:r>
          </w:p>
        </w:tc>
        <w:tc>
          <w:tcPr>
            <w:tcW w:w="1939" w:type="pct"/>
            <w:gridSpan w:val="3"/>
            <w:shd w:val="clear" w:color="auto" w:fill="B8CCE4"/>
            <w:noWrap w:val="0"/>
            <w:vAlign w:val="center"/>
          </w:tcPr>
          <w:p>
            <w:pPr>
              <w:widowControl/>
              <w:jc w:val="center"/>
              <w:textAlignment w:val="center"/>
              <w:rPr>
                <w:rFonts w:hint="default" w:ascii="宋体" w:hAnsi="宋体" w:cs="宋体"/>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全年预算数</w:t>
            </w:r>
          </w:p>
        </w:tc>
        <w:tc>
          <w:tcPr>
            <w:tcW w:w="775" w:type="pct"/>
            <w:vMerge w:val="restart"/>
            <w:shd w:val="clear" w:color="auto" w:fill="B8CCE4"/>
            <w:noWrap w:val="0"/>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val="en-US" w:eastAsia="zh-CN" w:bidi="ar"/>
              </w:rPr>
              <w:t>全年执行数</w:t>
            </w:r>
          </w:p>
        </w:tc>
        <w:tc>
          <w:tcPr>
            <w:tcW w:w="596" w:type="pct"/>
            <w:vMerge w:val="restart"/>
            <w:shd w:val="clear" w:color="auto" w:fill="B8CCE4"/>
            <w:noWrap w:val="0"/>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预算执行率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431" w:type="pct"/>
            <w:vMerge w:val="continue"/>
            <w:shd w:val="clear" w:color="auto" w:fill="B8CCE4"/>
            <w:noWrap w:val="0"/>
            <w:vAlign w:val="center"/>
          </w:tcPr>
          <w:p>
            <w:pPr>
              <w:widowControl/>
              <w:jc w:val="center"/>
              <w:textAlignment w:val="center"/>
              <w:rPr>
                <w:rFonts w:hint="eastAsia" w:ascii="宋体" w:hAnsi="宋体" w:cs="宋体"/>
                <w:b/>
                <w:bCs/>
                <w:color w:val="000000"/>
                <w:kern w:val="0"/>
                <w:szCs w:val="21"/>
                <w:highlight w:val="none"/>
                <w:lang w:bidi="ar"/>
              </w:rPr>
            </w:pPr>
          </w:p>
        </w:tc>
        <w:tc>
          <w:tcPr>
            <w:tcW w:w="1256" w:type="pct"/>
            <w:vMerge w:val="continue"/>
            <w:shd w:val="clear" w:color="auto" w:fill="B8CCE4"/>
            <w:noWrap w:val="0"/>
            <w:vAlign w:val="center"/>
          </w:tcPr>
          <w:p>
            <w:pPr>
              <w:widowControl/>
              <w:jc w:val="center"/>
              <w:textAlignment w:val="center"/>
              <w:rPr>
                <w:rFonts w:hint="eastAsia" w:ascii="宋体" w:hAnsi="宋体" w:cs="宋体"/>
                <w:b/>
                <w:bCs/>
                <w:color w:val="000000"/>
                <w:kern w:val="0"/>
                <w:szCs w:val="21"/>
                <w:highlight w:val="none"/>
                <w:lang w:val="en-US" w:eastAsia="zh-CN" w:bidi="ar"/>
              </w:rPr>
            </w:pPr>
          </w:p>
        </w:tc>
        <w:tc>
          <w:tcPr>
            <w:tcW w:w="645" w:type="pct"/>
            <w:shd w:val="clear" w:color="auto" w:fill="B8CCE4"/>
            <w:noWrap w:val="0"/>
            <w:vAlign w:val="center"/>
          </w:tcPr>
          <w:p>
            <w:pPr>
              <w:widowControl/>
              <w:jc w:val="center"/>
              <w:textAlignment w:val="center"/>
              <w:rPr>
                <w:rFonts w:hint="default" w:ascii="宋体" w:hAnsi="宋体" w:cs="宋体" w:eastAsiaTheme="minorEastAsia"/>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当年财政拨款</w:t>
            </w:r>
          </w:p>
        </w:tc>
        <w:tc>
          <w:tcPr>
            <w:tcW w:w="626" w:type="pct"/>
            <w:shd w:val="clear" w:color="auto" w:fill="B8CCE4"/>
            <w:noWrap w:val="0"/>
            <w:vAlign w:val="center"/>
          </w:tcPr>
          <w:p>
            <w:pPr>
              <w:widowControl/>
              <w:jc w:val="center"/>
              <w:textAlignment w:val="center"/>
              <w:rPr>
                <w:rFonts w:hint="default" w:ascii="宋体" w:hAnsi="宋体" w:cs="宋体"/>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上年结转资金</w:t>
            </w:r>
          </w:p>
        </w:tc>
        <w:tc>
          <w:tcPr>
            <w:tcW w:w="666" w:type="pct"/>
            <w:shd w:val="clear" w:color="auto" w:fill="B8CCE4"/>
            <w:noWrap w:val="0"/>
            <w:vAlign w:val="center"/>
          </w:tcPr>
          <w:p>
            <w:pPr>
              <w:widowControl/>
              <w:jc w:val="center"/>
              <w:textAlignment w:val="center"/>
              <w:rPr>
                <w:rFonts w:hint="default" w:ascii="宋体" w:hAnsi="宋体" w:cs="宋体"/>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合计</w:t>
            </w:r>
          </w:p>
        </w:tc>
        <w:tc>
          <w:tcPr>
            <w:tcW w:w="775" w:type="pct"/>
            <w:vMerge w:val="continue"/>
            <w:shd w:val="clear" w:color="auto" w:fill="B8CCE4"/>
            <w:noWrap w:val="0"/>
            <w:vAlign w:val="center"/>
          </w:tcPr>
          <w:p>
            <w:pPr>
              <w:widowControl/>
              <w:jc w:val="center"/>
              <w:textAlignment w:val="center"/>
              <w:rPr>
                <w:rFonts w:hint="eastAsia" w:ascii="宋体" w:hAnsi="宋体" w:cs="宋体"/>
                <w:b/>
                <w:bCs/>
                <w:color w:val="000000"/>
                <w:kern w:val="0"/>
                <w:szCs w:val="21"/>
                <w:highlight w:val="none"/>
                <w:lang w:val="en-US" w:eastAsia="zh-CN" w:bidi="ar"/>
              </w:rPr>
            </w:pPr>
          </w:p>
        </w:tc>
        <w:tc>
          <w:tcPr>
            <w:tcW w:w="596" w:type="pct"/>
            <w:vMerge w:val="continue"/>
            <w:shd w:val="clear" w:color="auto" w:fill="B8CCE4"/>
            <w:noWrap w:val="0"/>
            <w:vAlign w:val="center"/>
          </w:tcPr>
          <w:p>
            <w:pPr>
              <w:widowControl/>
              <w:jc w:val="center"/>
              <w:textAlignment w:val="center"/>
              <w:rPr>
                <w:rFonts w:hint="eastAsia" w:ascii="宋体" w:hAnsi="宋体" w:cs="宋体"/>
                <w:b/>
                <w:bCs/>
                <w:color w:val="000000"/>
                <w:kern w:val="0"/>
                <w:szCs w:val="21"/>
                <w:highlight w:val="none"/>
                <w:lang w:bidi="ar"/>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1256" w:type="pct"/>
            <w:noWrap w:val="0"/>
            <w:vAlign w:val="center"/>
          </w:tcPr>
          <w:p>
            <w:pPr>
              <w:widowControl/>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甘肃省高级人民法院</w:t>
            </w:r>
          </w:p>
        </w:tc>
        <w:tc>
          <w:tcPr>
            <w:tcW w:w="645" w:type="pct"/>
            <w:noWrap w:val="0"/>
            <w:vAlign w:val="center"/>
          </w:tcPr>
          <w:p>
            <w:pPr>
              <w:widowControl/>
              <w:jc w:val="righ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450</w:t>
            </w:r>
            <w:r>
              <w:rPr>
                <w:rFonts w:hint="eastAsia" w:ascii="宋体" w:hAnsi="宋体" w:cs="宋体"/>
                <w:color w:val="000000"/>
                <w:kern w:val="0"/>
                <w:szCs w:val="21"/>
                <w:highlight w:val="none"/>
                <w:lang w:bidi="ar"/>
              </w:rPr>
              <w:t xml:space="preserve">.00 </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85.24</w:t>
            </w:r>
          </w:p>
        </w:tc>
        <w:tc>
          <w:tcPr>
            <w:tcW w:w="66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 xml:space="preserve">535.24 </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 xml:space="preserve">451.56 </w:t>
            </w:r>
          </w:p>
        </w:tc>
        <w:tc>
          <w:tcPr>
            <w:tcW w:w="596" w:type="pct"/>
            <w:noWrap/>
            <w:vAlign w:val="center"/>
          </w:tcPr>
          <w:p>
            <w:pPr>
              <w:keepNext w:val="0"/>
              <w:keepLines w:val="0"/>
              <w:widowControl/>
              <w:suppressLineNumbers w:val="0"/>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84.37%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2</w:t>
            </w:r>
          </w:p>
        </w:tc>
        <w:tc>
          <w:tcPr>
            <w:tcW w:w="1256" w:type="pct"/>
            <w:noWrap w:val="0"/>
            <w:vAlign w:val="center"/>
          </w:tcPr>
          <w:p>
            <w:pPr>
              <w:widowControl/>
              <w:jc w:val="lef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甘肃省法官学院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100.00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100.00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 xml:space="preserve">100.00 </w:t>
            </w:r>
          </w:p>
        </w:tc>
        <w:tc>
          <w:tcPr>
            <w:tcW w:w="596" w:type="pct"/>
            <w:noWrap/>
            <w:vAlign w:val="center"/>
          </w:tcPr>
          <w:p>
            <w:pPr>
              <w:keepNext w:val="0"/>
              <w:keepLines w:val="0"/>
              <w:widowControl/>
              <w:suppressLineNumbers w:val="0"/>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w:t>
            </w:r>
          </w:p>
        </w:tc>
        <w:tc>
          <w:tcPr>
            <w:tcW w:w="1256" w:type="pct"/>
            <w:noWrap w:val="0"/>
            <w:vAlign w:val="center"/>
          </w:tcPr>
          <w:p>
            <w:pPr>
              <w:widowControl/>
              <w:jc w:val="lef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甘肃省法官学院分院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129.00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129.00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 xml:space="preserve">115.44 </w:t>
            </w:r>
          </w:p>
        </w:tc>
        <w:tc>
          <w:tcPr>
            <w:tcW w:w="596" w:type="pct"/>
            <w:noWrap/>
            <w:vAlign w:val="center"/>
          </w:tcPr>
          <w:p>
            <w:pPr>
              <w:keepNext w:val="0"/>
              <w:keepLines w:val="0"/>
              <w:widowControl/>
              <w:suppressLineNumbers w:val="0"/>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89.49%</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4</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甘肃省林区中级法院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30.00</w:t>
            </w:r>
          </w:p>
        </w:tc>
        <w:tc>
          <w:tcPr>
            <w:tcW w:w="626" w:type="pct"/>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14.30</w:t>
            </w:r>
          </w:p>
        </w:tc>
        <w:tc>
          <w:tcPr>
            <w:tcW w:w="666" w:type="pct"/>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44.30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 xml:space="preserve">23.42 </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52.87%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5</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祁连山林区法院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6</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小陇山林区法院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7</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白龙江林区法院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8</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洮河林区法院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8.00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9</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甘肃矿区人民法院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15.00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15.00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15.00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10</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兰州铁路运输中级法院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52.00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52.00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52.00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11</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兰州铁路运输法院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30.00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30.00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30.00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12</w:t>
            </w:r>
          </w:p>
        </w:tc>
        <w:tc>
          <w:tcPr>
            <w:tcW w:w="1256" w:type="pct"/>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武威铁路运输法院</w:t>
            </w:r>
          </w:p>
        </w:tc>
        <w:tc>
          <w:tcPr>
            <w:tcW w:w="645" w:type="pct"/>
            <w:noWrap w:val="0"/>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20.00</w:t>
            </w:r>
          </w:p>
        </w:tc>
        <w:tc>
          <w:tcPr>
            <w:tcW w:w="626" w:type="pct"/>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666" w:type="pct"/>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20.00</w:t>
            </w:r>
          </w:p>
        </w:tc>
        <w:tc>
          <w:tcPr>
            <w:tcW w:w="775" w:type="pct"/>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20.00</w:t>
            </w:r>
          </w:p>
        </w:tc>
        <w:tc>
          <w:tcPr>
            <w:tcW w:w="596" w:type="pct"/>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1" w:type="pct"/>
            <w:shd w:val="clear" w:color="auto" w:fill="C7DAF1"/>
            <w:noWrap/>
            <w:vAlign w:val="center"/>
          </w:tcPr>
          <w:p>
            <w:pPr>
              <w:widowControl/>
              <w:jc w:val="center"/>
              <w:textAlignment w:val="center"/>
              <w:rPr>
                <w:rFonts w:hint="eastAsia" w:ascii="宋体" w:hAnsi="宋体" w:cs="宋体"/>
                <w:b/>
                <w:bCs/>
                <w:color w:val="000000"/>
                <w:kern w:val="0"/>
                <w:szCs w:val="21"/>
                <w:highlight w:val="none"/>
                <w:lang w:bidi="ar"/>
              </w:rPr>
            </w:pPr>
          </w:p>
        </w:tc>
        <w:tc>
          <w:tcPr>
            <w:tcW w:w="1256" w:type="pct"/>
            <w:shd w:val="clear" w:color="auto" w:fill="C7DAF1"/>
            <w:noWrap w:val="0"/>
            <w:vAlign w:val="center"/>
          </w:tcPr>
          <w:p>
            <w:pPr>
              <w:widowControl/>
              <w:jc w:val="center"/>
              <w:textAlignment w:val="center"/>
              <w:rPr>
                <w:rFonts w:hint="eastAsia"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合计</w:t>
            </w:r>
          </w:p>
        </w:tc>
        <w:tc>
          <w:tcPr>
            <w:tcW w:w="645" w:type="pct"/>
            <w:shd w:val="clear" w:color="auto" w:fill="C7DAF1"/>
            <w:noWrap w:val="0"/>
            <w:vAlign w:val="center"/>
          </w:tcPr>
          <w:p>
            <w:pPr>
              <w:keepNext w:val="0"/>
              <w:keepLines w:val="0"/>
              <w:widowControl/>
              <w:suppressLineNumbers w:val="0"/>
              <w:jc w:val="right"/>
              <w:textAlignment w:val="center"/>
              <w:rPr>
                <w:rFonts w:hint="default"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858，00</w:t>
            </w:r>
          </w:p>
        </w:tc>
        <w:tc>
          <w:tcPr>
            <w:tcW w:w="626" w:type="pct"/>
            <w:shd w:val="clear" w:color="auto" w:fill="C7DAF1"/>
            <w:noWrap/>
            <w:vAlign w:val="center"/>
          </w:tcPr>
          <w:p>
            <w:pPr>
              <w:keepNext w:val="0"/>
              <w:keepLines w:val="0"/>
              <w:widowControl/>
              <w:suppressLineNumbers w:val="0"/>
              <w:jc w:val="right"/>
              <w:textAlignment w:val="center"/>
              <w:rPr>
                <w:rFonts w:hint="eastAsia"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99.54</w:t>
            </w:r>
          </w:p>
        </w:tc>
        <w:tc>
          <w:tcPr>
            <w:tcW w:w="666" w:type="pct"/>
            <w:shd w:val="clear" w:color="auto" w:fill="C7DAF1"/>
            <w:noWrap/>
            <w:vAlign w:val="center"/>
          </w:tcPr>
          <w:p>
            <w:pPr>
              <w:keepNext w:val="0"/>
              <w:keepLines w:val="0"/>
              <w:widowControl/>
              <w:suppressLineNumbers w:val="0"/>
              <w:jc w:val="right"/>
              <w:textAlignment w:val="center"/>
              <w:rPr>
                <w:rFonts w:hint="eastAsia"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957.54</w:t>
            </w:r>
          </w:p>
        </w:tc>
        <w:tc>
          <w:tcPr>
            <w:tcW w:w="775" w:type="pct"/>
            <w:shd w:val="clear" w:color="auto" w:fill="C7DAF1"/>
            <w:noWrap/>
            <w:vAlign w:val="center"/>
          </w:tcPr>
          <w:p>
            <w:pPr>
              <w:keepNext w:val="0"/>
              <w:keepLines w:val="0"/>
              <w:widowControl/>
              <w:suppressLineNumbers w:val="0"/>
              <w:jc w:val="right"/>
              <w:textAlignment w:val="center"/>
              <w:rPr>
                <w:rFonts w:hint="default"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839.42</w:t>
            </w:r>
          </w:p>
        </w:tc>
        <w:tc>
          <w:tcPr>
            <w:tcW w:w="596" w:type="pct"/>
            <w:shd w:val="clear" w:color="auto" w:fill="C7DAF1"/>
            <w:noWrap/>
            <w:vAlign w:val="center"/>
          </w:tcPr>
          <w:p>
            <w:pPr>
              <w:keepNext w:val="0"/>
              <w:keepLines w:val="0"/>
              <w:widowControl/>
              <w:suppressLineNumbers w:val="0"/>
              <w:jc w:val="right"/>
              <w:textAlignment w:val="center"/>
              <w:rPr>
                <w:rFonts w:hint="default"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87.66%</w:t>
            </w:r>
          </w:p>
        </w:tc>
      </w:tr>
    </w:tbl>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资金使用合规性指标分值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分。评价认为资金的使用符合国家财经法规和财务管理制度要求，资金支出的审批程序完整，符合会计制度的规定，财务信息真实、完整，资金支出、会计核算方面</w:t>
      </w:r>
      <w:r>
        <w:rPr>
          <w:rFonts w:hint="eastAsia" w:ascii="仿宋_GB2312" w:hAnsi="仿宋_GB2312" w:eastAsia="仿宋_GB2312" w:cs="仿宋_GB2312"/>
          <w:sz w:val="32"/>
          <w:szCs w:val="32"/>
          <w:highlight w:val="none"/>
          <w:lang w:val="en-US" w:eastAsia="zh-CN"/>
        </w:rPr>
        <w:t>基本</w:t>
      </w:r>
      <w:r>
        <w:rPr>
          <w:rFonts w:hint="eastAsia" w:ascii="仿宋_GB2312" w:hAnsi="仿宋_GB2312" w:eastAsia="仿宋_GB2312" w:cs="仿宋_GB2312"/>
          <w:sz w:val="32"/>
          <w:szCs w:val="32"/>
          <w:highlight w:val="none"/>
        </w:rPr>
        <w:t>规范，年度例行审计未发现违规支付及超标准开支的情况。符合项目预算批复或项目规定的用途，不存在虚列支出情况。</w:t>
      </w:r>
    </w:p>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2.组织实施</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管理制度健全性指标分值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分。为加强和规范省级预算</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经费管理，提高项目工作质量和资金效益</w:t>
      </w:r>
      <w:r>
        <w:rPr>
          <w:rFonts w:hint="eastAsia" w:ascii="仿宋_GB2312" w:hAnsi="仿宋_GB2312" w:eastAsia="仿宋_GB2312" w:cs="仿宋_GB2312"/>
          <w:sz w:val="32"/>
          <w:szCs w:val="32"/>
          <w:highlight w:val="none"/>
          <w:lang w:eastAsia="zh-CN"/>
        </w:rPr>
        <w:t>，省法院</w:t>
      </w:r>
      <w:r>
        <w:rPr>
          <w:rFonts w:hint="eastAsia" w:ascii="仿宋_GB2312" w:hAnsi="仿宋_GB2312" w:eastAsia="仿宋_GB2312" w:cs="仿宋_GB2312"/>
          <w:sz w:val="32"/>
          <w:szCs w:val="32"/>
          <w:highlight w:val="none"/>
          <w:lang w:val="en-US" w:eastAsia="zh-CN"/>
        </w:rPr>
        <w:t>印发</w:t>
      </w:r>
      <w:r>
        <w:rPr>
          <w:rFonts w:hint="eastAsia" w:ascii="仿宋_GB2312" w:hAnsi="仿宋_GB2312" w:eastAsia="仿宋_GB2312" w:cs="仿宋_GB2312"/>
          <w:sz w:val="32"/>
          <w:szCs w:val="32"/>
          <w:highlight w:val="none"/>
          <w:lang w:eastAsia="zh-CN"/>
        </w:rPr>
        <w:t>了《甘肃省高级人民法院收支管理制度》《甘肃省高级人民法院后勤管理制度》《甘肃省高级人民法院资产管理制度》《甘肃省高级人民法院财务管理制度》《甘肃省高级人民法院合同管理制度》《办公楼正常运行经费管理办法等》《全省法院财务管理制度》</w:t>
      </w:r>
      <w:r>
        <w:rPr>
          <w:rFonts w:hint="eastAsia" w:ascii="仿宋_GB2312" w:hAnsi="仿宋_GB2312" w:eastAsia="仿宋_GB2312" w:cs="仿宋_GB2312"/>
          <w:sz w:val="32"/>
          <w:szCs w:val="32"/>
          <w:highlight w:val="none"/>
          <w:lang w:val="en-US" w:eastAsia="zh-CN"/>
        </w:rPr>
        <w:t>等相关制度或办法，</w:t>
      </w:r>
      <w:r>
        <w:rPr>
          <w:rFonts w:hint="eastAsia" w:ascii="仿宋_GB2312" w:hAnsi="仿宋_GB2312" w:eastAsia="仿宋_GB2312" w:cs="仿宋_GB2312"/>
          <w:sz w:val="32"/>
          <w:szCs w:val="32"/>
          <w:highlight w:val="none"/>
          <w:lang w:eastAsia="zh-CN"/>
        </w:rPr>
        <w:t>对</w:t>
      </w:r>
      <w:r>
        <w:rPr>
          <w:rFonts w:hint="eastAsia" w:ascii="仿宋_GB2312" w:hAnsi="仿宋_GB2312" w:eastAsia="仿宋_GB2312" w:cs="仿宋_GB2312"/>
          <w:sz w:val="32"/>
          <w:szCs w:val="32"/>
          <w:highlight w:val="none"/>
          <w:lang w:val="en-US" w:eastAsia="zh-CN"/>
        </w:rPr>
        <w:t>物业费项目</w:t>
      </w:r>
      <w:r>
        <w:rPr>
          <w:rFonts w:hint="eastAsia" w:ascii="仿宋_GB2312" w:hAnsi="仿宋_GB2312" w:eastAsia="仿宋_GB2312" w:cs="仿宋_GB2312"/>
          <w:sz w:val="32"/>
          <w:szCs w:val="32"/>
          <w:highlight w:val="none"/>
          <w:lang w:eastAsia="zh-CN"/>
        </w:rPr>
        <w:t>各项工作的实施提供了强有力的政策制度支撑。</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各项目实施法院</w:t>
      </w:r>
      <w:r>
        <w:rPr>
          <w:rFonts w:hint="eastAsia" w:ascii="仿宋_GB2312" w:hAnsi="仿宋_GB2312" w:eastAsia="仿宋_GB2312" w:cs="仿宋_GB2312"/>
          <w:sz w:val="32"/>
          <w:szCs w:val="32"/>
          <w:highlight w:val="none"/>
        </w:rPr>
        <w:t>制定了适用于本项目的财务管理制度及业务管理制度，且符合相关财务及业务制度的规定，制度健全。</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制度执行有效性指标分值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分。项目实施过程中，能够严格按照制度管理进行资金申请和下达、使用、监督，评价认为，制度执行总体有效。</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）采购管理规范性</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采购管理规范性指标分值2分，评价得分2分。经核查采购合同、采购工作会议记录等资料，省法院及直属单位采购方式符合甘肃省财政厅、甘肃省高级人民法院、甘肃省人民检察院《关于甘肃省省以下地方法院检察院政府采购活动有关事项的通知》（甘财采〔2018〕12号）的要求。</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（4）合同管理完备性</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合同管理完备性指标分值2分，评价得分2分。经查验省法院及直属单位物业服务合同，合同中有明确、清晰、完整的质量标准、付款方式和履约期限，且物业服务能够按照合同中的约定执行。</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仿宋_GB2312" w:hAnsi="仿宋_GB2312" w:eastAsia="仿宋_GB2312" w:cs="仿宋_GB2312"/>
          <w:b/>
          <w:bCs/>
          <w:highlight w:val="none"/>
        </w:rPr>
      </w:pPr>
      <w:bookmarkStart w:id="136" w:name="_Toc26113"/>
      <w:bookmarkStart w:id="137" w:name="_Toc3677"/>
      <w:bookmarkStart w:id="138" w:name="_Toc20113"/>
      <w:r>
        <w:rPr>
          <w:rFonts w:hint="eastAsia" w:ascii="仿宋_GB2312" w:hAnsi="仿宋_GB2312" w:eastAsia="仿宋_GB2312" w:cs="仿宋_GB2312"/>
          <w:b/>
          <w:bCs/>
          <w:highlight w:val="none"/>
        </w:rPr>
        <w:t>（三）项目产出情况</w:t>
      </w:r>
      <w:bookmarkEnd w:id="136"/>
      <w:bookmarkEnd w:id="137"/>
      <w:bookmarkEnd w:id="138"/>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数量、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质量、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时效、</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成本四个二级指标，指标分值</w:t>
      </w:r>
      <w:r>
        <w:rPr>
          <w:rFonts w:hint="eastAsia" w:ascii="仿宋_GB2312" w:hAnsi="仿宋_GB2312" w:eastAsia="仿宋_GB2312" w:cs="仿宋_GB2312"/>
          <w:sz w:val="32"/>
          <w:szCs w:val="32"/>
          <w:highlight w:val="none"/>
          <w:lang w:val="en-US" w:eastAsia="zh-CN"/>
        </w:rPr>
        <w:t>50分</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46.3</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92.60</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产出指标二级指标得分情况表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highlight w:val="none"/>
              </w:rPr>
            </w:pPr>
            <w:r>
              <w:rPr>
                <w:rFonts w:hint="eastAsia" w:ascii="宋体" w:hAnsi="宋体" w:eastAsia="宋体" w:cs="宋体"/>
                <w:bCs/>
                <w:color w:val="000000"/>
                <w:kern w:val="0"/>
                <w:sz w:val="22"/>
                <w:highlight w:val="none"/>
                <w:lang w:bidi="ar"/>
              </w:rPr>
              <w:t>数量指标</w:t>
            </w:r>
          </w:p>
        </w:tc>
        <w:tc>
          <w:tcPr>
            <w:tcW w:w="1059"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17.5</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14.09</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80.51</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质量指标</w:t>
            </w:r>
          </w:p>
        </w:tc>
        <w:tc>
          <w:tcPr>
            <w:tcW w:w="1059"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14</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13.71</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79.83</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时效指标</w:t>
            </w:r>
          </w:p>
        </w:tc>
        <w:tc>
          <w:tcPr>
            <w:tcW w:w="1059"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14</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14</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w:t>
            </w:r>
            <w:r>
              <w:rPr>
                <w:rFonts w:hint="eastAsia" w:ascii="宋体" w:hAnsi="宋体" w:eastAsia="宋体" w:cs="宋体"/>
                <w:bCs/>
                <w:color w:val="000000"/>
                <w:kern w:val="0"/>
                <w:sz w:val="22"/>
                <w:highlight w:val="none"/>
                <w:lang w:bidi="ar"/>
              </w:rPr>
              <w:t>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成本指标</w:t>
            </w:r>
          </w:p>
        </w:tc>
        <w:tc>
          <w:tcPr>
            <w:tcW w:w="1059"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4.5</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4.5</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widowControl/>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50</w:t>
            </w:r>
          </w:p>
        </w:tc>
        <w:tc>
          <w:tcPr>
            <w:tcW w:w="940" w:type="pct"/>
            <w:shd w:val="clear" w:color="auto" w:fill="BDD6EE" w:themeFill="accent1" w:themeFillTint="66"/>
            <w:vAlign w:val="center"/>
          </w:tcPr>
          <w:p>
            <w:pPr>
              <w:widowControl/>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46.3</w:t>
            </w:r>
          </w:p>
        </w:tc>
        <w:tc>
          <w:tcPr>
            <w:tcW w:w="1333"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92.60</w:t>
            </w:r>
            <w:r>
              <w:rPr>
                <w:rFonts w:hint="eastAsia" w:ascii="宋体" w:hAnsi="宋体" w:eastAsia="宋体" w:cs="宋体"/>
                <w:b/>
                <w:bCs/>
                <w:color w:val="000000"/>
                <w:kern w:val="0"/>
                <w:sz w:val="22"/>
                <w:highlight w:val="none"/>
                <w:lang w:bidi="ar"/>
              </w:rPr>
              <w:t>%</w:t>
            </w:r>
          </w:p>
        </w:tc>
      </w:tr>
    </w:tbl>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保障全省法院数量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指标分值3.5分，评价得分0.38分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物业费保障了省法院、甘肃省法官学院、甘肃省法官学院分院、甘肃省林区中级法院、祁连山林区法院、小陇山林区法院、白龙江林区法院、洮河林区法院、甘肃矿区人民法院、兰州铁路运输中级法院、兰州铁路运输法院、武威铁路运输法院共12家法院，指标年度目标值设置存在偏差，导致指标未达到年度目标。</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房屋养护维修完成率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指标分值3.5分，评价得分3.5分。为保障法院房屋的完好及正常使用，省法院及直属单位及时进行房屋建筑日常管理维护，保障了审判工作正常开展。</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公共设施运行维护完成率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3.21分。物业及时进行公共设施安全及故障检查，存在故障的及时进行维修维护。受疫情影响，甘肃省法院学院分院楼体被征用为疫情点，物业未及时完成维修维护项目，待物业完成维修维护后支付款项。</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绿化养护完成率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指标分值3.5分，评价得分3.5分。及时开展草坪养护和花灌木养护，如拔除明显杂草、修剪草坪、病虫害消杀及松土除草等工作，有效提升了法院绿化环境品质。</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物业日常覆盖率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指标分值3.5分，评价得分3.5分。物业服务保障了</w:t>
      </w:r>
      <w:r>
        <w:rPr>
          <w:rFonts w:hint="eastAsia" w:ascii="仿宋_GB2312" w:hAnsi="仿宋_GB2312" w:eastAsia="仿宋_GB2312" w:cs="仿宋_GB2312"/>
          <w:sz w:val="32"/>
          <w:szCs w:val="32"/>
          <w:highlight w:val="none"/>
          <w:lang w:val="en-US" w:eastAsia="zh-CN"/>
        </w:rPr>
        <w:t>省法院及直属单位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审判综合楼水电暖供应、保洁、安防、环境绿化等工作的正常开展，物业日常覆盖率达到100%。</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bookmarkStart w:id="139" w:name="_Toc27458"/>
      <w:bookmarkStart w:id="140" w:name="_Toc7509"/>
      <w:r>
        <w:rPr>
          <w:rFonts w:hint="eastAsia" w:ascii="仿宋_GB2312" w:hAnsi="仿宋_GB2312" w:eastAsia="仿宋_GB2312" w:cs="仿宋_GB2312"/>
          <w:color w:val="000000" w:themeColor="text1"/>
          <w:sz w:val="32"/>
          <w:szCs w:val="32"/>
          <w:highlight w:val="none"/>
          <w14:textFill>
            <w14:solidFill>
              <w14:schemeClr w14:val="tx1"/>
            </w14:solidFill>
          </w14:textFill>
        </w:rPr>
        <w:t>公共设施完好率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指标分值3.5分，评价得分3.5分。物业费项目及时保障公共设施维修养护，公共设施完好率达到100%。</w:t>
      </w:r>
    </w:p>
    <w:p>
      <w:pPr>
        <w:pStyle w:val="10"/>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维修维护验收合格率指标分值3.5分，评价得分3.5分。</w:t>
      </w:r>
      <w:r>
        <w:rPr>
          <w:rFonts w:hint="eastAsia" w:ascii="仿宋_GB2312" w:hAnsi="仿宋_GB2312" w:eastAsia="仿宋_GB2312" w:cs="仿宋_GB2312"/>
          <w:sz w:val="32"/>
          <w:szCs w:val="32"/>
          <w:highlight w:val="none"/>
          <w:lang w:val="en-US" w:eastAsia="zh-CN"/>
        </w:rPr>
        <w:t>省法院及直属单位</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及时对维修维护项目组织验收，验收合格率达到100%。</w:t>
      </w:r>
    </w:p>
    <w:p>
      <w:pPr>
        <w:pStyle w:val="11"/>
        <w:keepNext w:val="0"/>
        <w:keepLines w:val="0"/>
        <w:pageBreakBefore w:val="0"/>
        <w:widowControl w:val="0"/>
        <w:kinsoku/>
        <w:wordWrap w:val="0"/>
        <w:overflowPunct/>
        <w:topLinePunct w:val="0"/>
        <w:autoSpaceDE/>
        <w:autoSpaceDN/>
        <w:bidi w:val="0"/>
        <w:adjustRightInd/>
        <w:snapToGrid/>
        <w:ind w:left="0" w:firstLine="608" w:firstLineChars="200"/>
        <w:jc w:val="both"/>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w w:val="95"/>
          <w:kern w:val="2"/>
          <w:sz w:val="32"/>
          <w:szCs w:val="32"/>
          <w:highlight w:val="none"/>
          <w:lang w:val="en-US" w:eastAsia="zh-CN" w:bidi="ar-SA"/>
          <w14:textFill>
            <w14:solidFill>
              <w14:schemeClr w14:val="tx1"/>
            </w14:solidFill>
          </w14:textFill>
        </w:rPr>
        <w:t>物业服务保障工作达标率指标分值3.5分，评价得分3.5分。物业服务保障了水电暖</w:t>
      </w:r>
      <w:bookmarkStart w:id="204" w:name="_GoBack"/>
      <w:bookmarkEnd w:id="204"/>
      <w:r>
        <w:rPr>
          <w:rFonts w:hint="eastAsia" w:ascii="仿宋_GB2312" w:hAnsi="仿宋_GB2312" w:eastAsia="仿宋_GB2312" w:cs="仿宋_GB2312"/>
          <w:color w:val="000000" w:themeColor="text1"/>
          <w:w w:val="95"/>
          <w:kern w:val="2"/>
          <w:sz w:val="32"/>
          <w:szCs w:val="32"/>
          <w:highlight w:val="none"/>
          <w:lang w:val="en-US" w:eastAsia="zh-CN" w:bidi="ar-SA"/>
          <w14:textFill>
            <w14:solidFill>
              <w14:schemeClr w14:val="tx1"/>
            </w14:solidFill>
          </w14:textFill>
        </w:rPr>
        <w:t>供应系统、保洁、安防、环境绿化、锅炉运行、房屋养护维修、公共设施运行维护、会议服务、审判保障服务、公共秩序维护等业务，物业服务保障工作达标率达到100%。</w:t>
      </w:r>
    </w:p>
    <w:p>
      <w:pPr>
        <w:keepNext w:val="0"/>
        <w:keepLines w:val="0"/>
        <w:pageBreakBefore w:val="0"/>
        <w:kinsoku/>
        <w:overflowPunct/>
        <w:topLinePunct w:val="0"/>
        <w:autoSpaceDE/>
        <w:autoSpaceDN/>
        <w:bidi w:val="0"/>
        <w:adjustRightInd/>
        <w:snapToGrid/>
        <w:ind w:left="0" w:firstLine="640" w:firstLineChars="200"/>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消防系统验收合格率</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指标分值3.5分，评价得分3.5分。本年度</w:t>
      </w:r>
      <w:r>
        <w:rPr>
          <w:rFonts w:hint="eastAsia" w:ascii="仿宋_GB2312" w:hAnsi="仿宋_GB2312" w:eastAsia="仿宋_GB2312" w:cs="仿宋_GB2312"/>
          <w:sz w:val="32"/>
          <w:szCs w:val="32"/>
          <w:highlight w:val="none"/>
          <w:lang w:val="en-US" w:eastAsia="zh-CN"/>
        </w:rPr>
        <w:t>省法院及直属单位</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及时对消防系统进行验收，验收合格率达到100%。</w:t>
      </w:r>
    </w:p>
    <w:bookmarkEnd w:id="139"/>
    <w:bookmarkEnd w:id="140"/>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保洁工作完成及时性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指标分值3.5分，评价得分3.5分。保障法院有效运转，保洁每日及时巡查楼内楼梯通道及其他公共部位的门窗玻璃等，做好巡查记录，做好公共区域内公共设施的清洁卫生，办公楼的垃圾清运工作。</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公共设施运行维护及时性指标分值3.5分，评价得分3.5分。为保障公共设施安全运行，物业公司及时进行维修保养。</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绿化养护完成及时性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指标分值3.5分，评价得分3.5分。及时完成绿化养护工作，保障工作环境得到优化改善。</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业主维修申报处理及时性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指标分值3.5分，评价得分3.5分。按时完成物业管理工作，对业主申报的维修需求及时处理，保障日常审判工作正常开展。</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4.成本指标</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成本控制情况</w:t>
      </w:r>
      <w:r>
        <w:rPr>
          <w:rFonts w:hint="eastAsia" w:ascii="仿宋_GB2312" w:hAnsi="仿宋_GB2312" w:eastAsia="仿宋_GB2312" w:cs="仿宋_GB2312"/>
          <w:sz w:val="32"/>
          <w:szCs w:val="32"/>
          <w:highlight w:val="none"/>
          <w:lang w:val="en-US" w:eastAsia="zh-CN"/>
        </w:rPr>
        <w:t>指标</w:t>
      </w:r>
      <w:r>
        <w:rPr>
          <w:rFonts w:hint="eastAsia" w:ascii="仿宋_GB2312" w:hAnsi="仿宋_GB2312" w:eastAsia="仿宋_GB2312" w:cs="仿宋_GB2312"/>
          <w:sz w:val="32"/>
          <w:szCs w:val="32"/>
          <w:highlight w:val="none"/>
        </w:rPr>
        <w:t>分值</w:t>
      </w:r>
      <w:r>
        <w:rPr>
          <w:rFonts w:hint="eastAsia" w:ascii="仿宋_GB2312" w:hAnsi="仿宋_GB2312" w:eastAsia="仿宋_GB2312" w:cs="仿宋_GB2312"/>
          <w:sz w:val="32"/>
          <w:szCs w:val="32"/>
          <w:highlight w:val="none"/>
          <w:lang w:val="en-US" w:eastAsia="zh-CN"/>
        </w:rPr>
        <w:t>4.5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4.5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省法院及直属单位</w:t>
      </w:r>
      <w:r>
        <w:rPr>
          <w:rFonts w:hint="eastAsia" w:ascii="仿宋_GB2312" w:hAnsi="仿宋_GB2312" w:eastAsia="仿宋_GB2312" w:cs="仿宋_GB2312"/>
          <w:sz w:val="32"/>
          <w:szCs w:val="32"/>
          <w:highlight w:val="none"/>
        </w:rPr>
        <w:t>积极响应国家相关政策，坚持节约资金的原则，严格控制项目预算金额，在提高服务质量水平的同时，降低成本开支，该项目开支均未超出预算。</w:t>
      </w:r>
      <w:r>
        <w:rPr>
          <w:rFonts w:hint="eastAsia" w:ascii="仿宋_GB2312" w:hAnsi="仿宋_GB2312" w:eastAsia="仿宋_GB2312" w:cs="仿宋_GB2312"/>
          <w:sz w:val="32"/>
          <w:szCs w:val="32"/>
          <w:highlight w:val="none"/>
          <w:lang w:eastAsia="zh-CN"/>
        </w:rPr>
        <w:t>物业费</w:t>
      </w:r>
      <w:r>
        <w:rPr>
          <w:rFonts w:hint="eastAsia" w:ascii="仿宋_GB2312" w:hAnsi="仿宋_GB2312" w:eastAsia="仿宋_GB2312" w:cs="仿宋_GB2312"/>
          <w:sz w:val="32"/>
          <w:szCs w:val="32"/>
          <w:highlight w:val="none"/>
        </w:rPr>
        <w:t>项目成本控制在</w:t>
      </w:r>
      <w:r>
        <w:rPr>
          <w:rFonts w:hint="eastAsia" w:ascii="仿宋_GB2312" w:hAnsi="仿宋_GB2312" w:eastAsia="仿宋_GB2312" w:cs="仿宋_GB2312"/>
          <w:sz w:val="32"/>
          <w:szCs w:val="32"/>
          <w:highlight w:val="none"/>
          <w:lang w:val="en-US" w:eastAsia="zh-CN"/>
        </w:rPr>
        <w:t>预算资金内</w:t>
      </w:r>
      <w:r>
        <w:rPr>
          <w:rFonts w:hint="eastAsia" w:ascii="仿宋_GB2312" w:hAnsi="仿宋_GB2312" w:eastAsia="仿宋_GB2312" w:cs="仿宋_GB2312"/>
          <w:sz w:val="32"/>
          <w:szCs w:val="32"/>
          <w:highlight w:val="none"/>
        </w:rPr>
        <w:t>以内，</w:t>
      </w:r>
      <w:r>
        <w:rPr>
          <w:rFonts w:hint="eastAsia" w:ascii="仿宋_GB2312" w:hAnsi="仿宋_GB2312" w:eastAsia="仿宋_GB2312" w:cs="仿宋_GB2312"/>
          <w:sz w:val="32"/>
          <w:szCs w:val="32"/>
          <w:highlight w:val="none"/>
          <w:lang w:val="en-US" w:eastAsia="zh-CN"/>
        </w:rPr>
        <w:t>未超预算。</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41" w:name="_Toc11232"/>
      <w:bookmarkStart w:id="142" w:name="_Toc19675"/>
      <w:bookmarkStart w:id="143" w:name="_Toc4582"/>
      <w:r>
        <w:rPr>
          <w:rFonts w:hint="eastAsia" w:ascii="楷体" w:hAnsi="楷体" w:eastAsia="楷体" w:cs="楷体"/>
          <w:b/>
          <w:bCs/>
          <w:highlight w:val="none"/>
        </w:rPr>
        <w:t>（四）项目效益情况</w:t>
      </w:r>
      <w:bookmarkEnd w:id="141"/>
      <w:bookmarkEnd w:id="142"/>
      <w:bookmarkEnd w:id="143"/>
    </w:p>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项目效益指标包括社会效益</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、可持续影响</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两个二级指标，</w:t>
      </w:r>
      <w:r>
        <w:rPr>
          <w:rFonts w:hint="eastAsia" w:ascii="仿宋_GB2312" w:hAnsi="仿宋_GB2312" w:cs="仿宋_GB2312"/>
          <w:highlight w:val="none"/>
          <w:lang w:val="en-US" w:eastAsia="zh-CN"/>
        </w:rPr>
        <w:t>下设三个三级指标，</w:t>
      </w:r>
      <w:r>
        <w:rPr>
          <w:rFonts w:hint="eastAsia" w:ascii="仿宋_GB2312" w:hAnsi="仿宋_GB2312" w:eastAsia="仿宋_GB2312" w:cs="仿宋_GB2312"/>
          <w:highlight w:val="none"/>
        </w:rPr>
        <w:t>指标分值</w:t>
      </w: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0分，评价得分</w:t>
      </w: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0分，得分率100%。</w:t>
      </w:r>
    </w:p>
    <w:p>
      <w:pPr>
        <w:pStyle w:val="20"/>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效益指标二级指标得分情况表</w:t>
      </w:r>
    </w:p>
    <w:tbl>
      <w:tblPr>
        <w:tblStyle w:val="15"/>
        <w:tblW w:w="903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3012"/>
        <w:gridCol w:w="1916"/>
        <w:gridCol w:w="1701"/>
        <w:gridCol w:w="241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3012" w:type="dxa"/>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916"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1701"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2410"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auto"/>
            <w:vAlign w:val="center"/>
          </w:tcPr>
          <w:p>
            <w:pPr>
              <w:widowControl/>
              <w:jc w:val="left"/>
              <w:textAlignment w:val="center"/>
              <w:rPr>
                <w:highlight w:val="none"/>
              </w:rPr>
            </w:pPr>
            <w:r>
              <w:rPr>
                <w:rFonts w:hint="eastAsia" w:ascii="宋体" w:hAnsi="宋体" w:eastAsia="宋体" w:cs="宋体"/>
                <w:bCs/>
                <w:color w:val="000000"/>
                <w:kern w:val="0"/>
                <w:sz w:val="22"/>
                <w:highlight w:val="none"/>
                <w:lang w:bidi="ar"/>
              </w:rPr>
              <w:t>社会效益指标</w:t>
            </w:r>
          </w:p>
        </w:tc>
        <w:tc>
          <w:tcPr>
            <w:tcW w:w="1916" w:type="dxa"/>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6</w:t>
            </w:r>
          </w:p>
        </w:tc>
        <w:tc>
          <w:tcPr>
            <w:tcW w:w="1701" w:type="dxa"/>
            <w:shd w:val="clear" w:color="auto" w:fill="auto"/>
            <w:noWrap/>
            <w:vAlign w:val="center"/>
          </w:tcPr>
          <w:p>
            <w:pPr>
              <w:widowControl/>
              <w:jc w:val="center"/>
              <w:textAlignment w:val="center"/>
              <w:rPr>
                <w:rFonts w:hint="default" w:ascii="宋体" w:hAnsi="宋体" w:eastAsia="宋体" w:cs="宋体"/>
                <w:bCs/>
                <w:color w:val="000000"/>
                <w:kern w:val="0"/>
                <w:sz w:val="22"/>
                <w:szCs w:val="22"/>
                <w:highlight w:val="none"/>
                <w:lang w:val="en-US" w:eastAsia="zh-CN" w:bidi="ar"/>
              </w:rPr>
            </w:pPr>
            <w:r>
              <w:rPr>
                <w:rFonts w:hint="eastAsia" w:ascii="宋体" w:hAnsi="宋体" w:eastAsia="宋体" w:cs="宋体"/>
                <w:bCs/>
                <w:color w:val="000000"/>
                <w:kern w:val="0"/>
                <w:sz w:val="22"/>
                <w:highlight w:val="none"/>
                <w:lang w:val="en-US" w:eastAsia="zh-CN" w:bidi="ar"/>
              </w:rPr>
              <w:t>6</w:t>
            </w:r>
          </w:p>
        </w:tc>
        <w:tc>
          <w:tcPr>
            <w:tcW w:w="2410"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可持续影响指标</w:t>
            </w:r>
          </w:p>
        </w:tc>
        <w:tc>
          <w:tcPr>
            <w:tcW w:w="1916" w:type="dxa"/>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4</w:t>
            </w:r>
          </w:p>
        </w:tc>
        <w:tc>
          <w:tcPr>
            <w:tcW w:w="1701" w:type="dxa"/>
            <w:shd w:val="clear" w:color="auto" w:fill="auto"/>
            <w:noWrap/>
            <w:vAlign w:val="center"/>
          </w:tcPr>
          <w:p>
            <w:pPr>
              <w:widowControl/>
              <w:jc w:val="center"/>
              <w:textAlignment w:val="center"/>
              <w:rPr>
                <w:rFonts w:hint="default" w:ascii="宋体" w:hAnsi="宋体" w:eastAsia="宋体" w:cs="宋体"/>
                <w:bCs/>
                <w:color w:val="000000"/>
                <w:kern w:val="0"/>
                <w:sz w:val="22"/>
                <w:szCs w:val="22"/>
                <w:highlight w:val="none"/>
                <w:lang w:val="en-US" w:eastAsia="zh-CN" w:bidi="ar"/>
              </w:rPr>
            </w:pPr>
            <w:r>
              <w:rPr>
                <w:rFonts w:hint="eastAsia" w:ascii="宋体" w:hAnsi="宋体" w:eastAsia="宋体" w:cs="宋体"/>
                <w:bCs/>
                <w:color w:val="000000"/>
                <w:kern w:val="0"/>
                <w:sz w:val="22"/>
                <w:highlight w:val="none"/>
                <w:lang w:val="en-US" w:eastAsia="zh-CN" w:bidi="ar"/>
              </w:rPr>
              <w:t>4</w:t>
            </w:r>
          </w:p>
        </w:tc>
        <w:tc>
          <w:tcPr>
            <w:tcW w:w="2410"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916" w:type="dxa"/>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1</w:t>
            </w:r>
            <w:r>
              <w:rPr>
                <w:rFonts w:hint="eastAsia" w:ascii="宋体" w:hAnsi="宋体" w:eastAsia="宋体" w:cs="宋体"/>
                <w:b/>
                <w:bCs/>
                <w:color w:val="000000"/>
                <w:kern w:val="0"/>
                <w:sz w:val="22"/>
                <w:highlight w:val="none"/>
                <w:lang w:bidi="ar"/>
              </w:rPr>
              <w:t>0</w:t>
            </w:r>
          </w:p>
        </w:tc>
        <w:tc>
          <w:tcPr>
            <w:tcW w:w="1701" w:type="dxa"/>
            <w:shd w:val="clear" w:color="auto" w:fill="BDD6EE" w:themeFill="accent1" w:themeFillTint="66"/>
            <w:vAlign w:val="center"/>
          </w:tcPr>
          <w:p>
            <w:pPr>
              <w:widowControl/>
              <w:jc w:val="center"/>
              <w:textAlignment w:val="center"/>
              <w:rPr>
                <w:rFonts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highlight w:val="none"/>
                <w:lang w:val="en-US" w:eastAsia="zh-CN" w:bidi="ar"/>
              </w:rPr>
              <w:t>1</w:t>
            </w:r>
            <w:r>
              <w:rPr>
                <w:rFonts w:hint="eastAsia" w:ascii="宋体" w:hAnsi="宋体" w:eastAsia="宋体" w:cs="宋体"/>
                <w:b/>
                <w:bCs/>
                <w:color w:val="000000"/>
                <w:kern w:val="0"/>
                <w:sz w:val="22"/>
                <w:highlight w:val="none"/>
                <w:lang w:bidi="ar"/>
              </w:rPr>
              <w:t>0</w:t>
            </w:r>
          </w:p>
        </w:tc>
        <w:tc>
          <w:tcPr>
            <w:tcW w:w="2410" w:type="dxa"/>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100%</w:t>
            </w:r>
          </w:p>
        </w:tc>
      </w:tr>
    </w:tbl>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1.社会效益指标</w:t>
      </w:r>
    </w:p>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物业有效投诉处理率</w:t>
      </w:r>
      <w:r>
        <w:rPr>
          <w:rFonts w:hint="eastAsia" w:ascii="仿宋_GB2312" w:hAnsi="仿宋_GB2312" w:cs="仿宋_GB2312"/>
          <w:highlight w:val="none"/>
          <w:lang w:val="en-US" w:eastAsia="zh-CN"/>
        </w:rPr>
        <w:t>指标分值3分，评价得分3分。</w:t>
      </w:r>
      <w:r>
        <w:rPr>
          <w:rFonts w:hint="eastAsia" w:ascii="仿宋_GB2312" w:hAnsi="仿宋_GB2312" w:eastAsia="仿宋_GB2312" w:cs="仿宋_GB2312"/>
          <w:highlight w:val="none"/>
        </w:rPr>
        <w:t>对业主申报的维修需求及时处理，物业有效投诉处理率达到100%。</w:t>
      </w:r>
    </w:p>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highlight w:val="none"/>
          <w:lang w:val="en-US" w:eastAsia="zh-CN"/>
        </w:rPr>
        <w:t>有效保障审判服务</w:t>
      </w:r>
      <w:r>
        <w:rPr>
          <w:rFonts w:hint="eastAsia" w:ascii="仿宋_GB2312" w:hAnsi="仿宋_GB2312" w:cs="仿宋_GB2312"/>
          <w:highlight w:val="none"/>
          <w:lang w:val="en-US" w:eastAsia="zh-CN"/>
        </w:rPr>
        <w:t>指标分值3分，评价得分3分。</w:t>
      </w:r>
      <w:r>
        <w:rPr>
          <w:rFonts w:hint="eastAsia" w:ascii="仿宋_GB2312" w:hAnsi="仿宋_GB2312" w:eastAsia="仿宋_GB2312" w:cs="仿宋_GB2312"/>
          <w:sz w:val="32"/>
          <w:szCs w:val="32"/>
          <w:highlight w:val="none"/>
          <w:lang w:val="en-US" w:eastAsia="zh-CN"/>
        </w:rPr>
        <w:t>省法院及直属单位</w:t>
      </w:r>
      <w:r>
        <w:rPr>
          <w:rFonts w:hint="eastAsia"/>
          <w:highlight w:val="none"/>
          <w:lang w:val="en-US" w:eastAsia="zh-CN"/>
        </w:rPr>
        <w:t>雇佣物业服务人员，按照合同要求完成环境绿化、锅炉运行、房屋养护、公共设施运行、维护公共秩序等工作，</w:t>
      </w:r>
      <w:r>
        <w:rPr>
          <w:rFonts w:hint="eastAsia" w:ascii="仿宋_GB2312" w:hAnsi="仿宋_GB2312" w:eastAsia="仿宋_GB2312" w:cs="仿宋_GB2312"/>
          <w:highlight w:val="none"/>
        </w:rPr>
        <w:t>保障法院有效运转，每日巡查楼内楼梯通道及其他公共部位的门窗玻璃等，做好巡查记录，做好公共区域内公共设施的清洁卫生，办公楼的垃圾清运工作；门卫做好管理进出人员及物品登记检查、办公区域的安全巡逻，做好防火、防盗等</w:t>
      </w:r>
      <w:r>
        <w:rPr>
          <w:rFonts w:hint="eastAsia" w:ascii="仿宋_GB2312" w:hAnsi="仿宋_GB2312" w:cs="仿宋_GB2312"/>
          <w:highlight w:val="none"/>
          <w:lang w:eastAsia="zh-CN"/>
        </w:rPr>
        <w:t>，</w:t>
      </w:r>
      <w:r>
        <w:rPr>
          <w:rFonts w:hint="eastAsia"/>
          <w:highlight w:val="none"/>
          <w:lang w:val="en-US" w:eastAsia="zh-CN"/>
        </w:rPr>
        <w:t>法院审判工作得到有效保障。</w:t>
      </w:r>
    </w:p>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2.可持续影响指标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kern w:val="2"/>
          <w:sz w:val="32"/>
          <w:szCs w:val="32"/>
          <w:highlight w:val="none"/>
          <w:lang w:val="en-US" w:eastAsia="zh-CN" w:bidi="ar-SA"/>
        </w:rPr>
      </w:pPr>
      <w:bookmarkStart w:id="144" w:name="_Toc7892"/>
      <w:bookmarkStart w:id="145" w:name="_Toc31732"/>
      <w:r>
        <w:rPr>
          <w:rFonts w:hint="eastAsia" w:ascii="仿宋_GB2312" w:hAnsi="仿宋_GB2312" w:eastAsia="仿宋_GB2312" w:cs="仿宋_GB2312"/>
          <w:kern w:val="2"/>
          <w:sz w:val="32"/>
          <w:szCs w:val="32"/>
          <w:highlight w:val="none"/>
          <w:lang w:val="en-US" w:eastAsia="zh-CN" w:bidi="ar-SA"/>
        </w:rPr>
        <w:t>物业考核机制健全性指标分值4分，评价得分4分。省法院及直属单位年初制定了工作考核表，逐项与物业公司对接检查，并对服务情况进行跟踪问卷，发现问题及时整改，年终进行总结，扬长避短，工作环境得到优化改善，后勤保障能力得到提升，逐步健全了物业考核机制。</w:t>
      </w:r>
    </w:p>
    <w:bookmarkEnd w:id="144"/>
    <w:bookmarkEnd w:id="145"/>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46" w:name="_Toc23151"/>
      <w:r>
        <w:rPr>
          <w:rFonts w:hint="eastAsia" w:ascii="楷体" w:hAnsi="楷体" w:eastAsia="楷体" w:cs="楷体"/>
          <w:b/>
          <w:bCs/>
          <w:highlight w:val="none"/>
        </w:rPr>
        <w:t>（五）满意度情况</w:t>
      </w:r>
      <w:bookmarkEnd w:id="14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bookmarkStart w:id="147" w:name="_Toc2918"/>
      <w:bookmarkStart w:id="148" w:name="_Toc4285"/>
      <w:bookmarkStart w:id="149" w:name="_Toc63435075"/>
      <w:bookmarkStart w:id="150" w:name="_Toc64731198"/>
      <w:bookmarkStart w:id="151" w:name="_Toc5674"/>
      <w:bookmarkStart w:id="152" w:name="_Toc23326"/>
      <w:bookmarkStart w:id="153" w:name="_Toc65235686"/>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法院工作人员满意度</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，指标分值10分，评价得分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9.6</w:t>
      </w:r>
      <w:r>
        <w:rPr>
          <w:rFonts w:hint="eastAsia" w:ascii="仿宋_GB2312" w:hAnsi="仿宋_GB2312" w:eastAsia="仿宋_GB2312" w:cs="仿宋_GB2312"/>
          <w:color w:val="000000" w:themeColor="text1"/>
          <w:sz w:val="32"/>
          <w:szCs w:val="32"/>
          <w:highlight w:val="none"/>
          <w14:textFill>
            <w14:solidFill>
              <w14:schemeClr w14:val="tx1"/>
            </w14:solidFill>
          </w14:textFill>
        </w:rPr>
        <w:t>分，得分率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147"/>
      <w:bookmarkEnd w:id="148"/>
      <w:bookmarkEnd w:id="149"/>
      <w:bookmarkEnd w:id="150"/>
      <w:bookmarkEnd w:id="151"/>
      <w:bookmarkEnd w:id="152"/>
      <w:bookmarkEnd w:id="153"/>
    </w:p>
    <w:p>
      <w:pPr>
        <w:pStyle w:val="20"/>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cs="黑体" w:asciiTheme="minorEastAsia" w:hAnsiTheme="minorEastAsia"/>
          <w:bCs/>
          <w:sz w:val="28"/>
          <w:szCs w:val="24"/>
          <w:highlight w:val="none"/>
        </w:rPr>
      </w:pPr>
    </w:p>
    <w:p>
      <w:pPr>
        <w:pStyle w:val="20"/>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满意度指标二级指标得分情况表</w:t>
      </w:r>
    </w:p>
    <w:tbl>
      <w:tblPr>
        <w:tblStyle w:val="15"/>
        <w:tblW w:w="903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3012"/>
        <w:gridCol w:w="1916"/>
        <w:gridCol w:w="1701"/>
        <w:gridCol w:w="241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916"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1701"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2410"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auto"/>
            <w:vAlign w:val="center"/>
          </w:tcPr>
          <w:p>
            <w:pPr>
              <w:widowControl/>
              <w:jc w:val="left"/>
              <w:textAlignment w:val="center"/>
              <w:rPr>
                <w:highlight w:val="none"/>
              </w:rPr>
            </w:pPr>
            <w:r>
              <w:rPr>
                <w:rFonts w:hint="eastAsia" w:ascii="宋体" w:hAnsi="宋体" w:eastAsia="宋体" w:cs="宋体"/>
                <w:bCs/>
                <w:color w:val="000000"/>
                <w:kern w:val="0"/>
                <w:sz w:val="22"/>
                <w:highlight w:val="none"/>
                <w:lang w:bidi="ar"/>
              </w:rPr>
              <w:t>服务对象满意度指标</w:t>
            </w:r>
          </w:p>
        </w:tc>
        <w:tc>
          <w:tcPr>
            <w:tcW w:w="1916"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1701" w:type="dxa"/>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9.6</w:t>
            </w:r>
          </w:p>
        </w:tc>
        <w:tc>
          <w:tcPr>
            <w:tcW w:w="2410" w:type="dxa"/>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96</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916" w:type="dxa"/>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1701" w:type="dxa"/>
            <w:shd w:val="clear" w:color="auto" w:fill="BDD6EE" w:themeFill="accent1" w:themeFillTint="66"/>
            <w:vAlign w:val="center"/>
          </w:tcPr>
          <w:p>
            <w:pPr>
              <w:widowControl/>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9.6</w:t>
            </w:r>
          </w:p>
        </w:tc>
        <w:tc>
          <w:tcPr>
            <w:tcW w:w="2410" w:type="dxa"/>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val="en-US" w:eastAsia="zh-CN" w:bidi="ar"/>
              </w:rPr>
              <w:t>96</w:t>
            </w:r>
            <w:r>
              <w:rPr>
                <w:rFonts w:hint="eastAsia" w:ascii="宋体" w:hAnsi="宋体" w:eastAsia="宋体" w:cs="宋体"/>
                <w:b/>
                <w:color w:val="000000"/>
                <w:kern w:val="0"/>
                <w:sz w:val="22"/>
                <w:highlight w:val="none"/>
                <w:lang w:bidi="ar"/>
              </w:rPr>
              <w:t>%</w:t>
            </w:r>
          </w:p>
        </w:tc>
      </w:tr>
    </w:tbl>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评价组针对</w:t>
      </w:r>
      <w:r>
        <w:rPr>
          <w:rFonts w:hint="eastAsia" w:ascii="仿宋_GB2312" w:hAnsi="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lang w:val="en-US" w:eastAsia="zh-CN"/>
        </w:rPr>
        <w:t>项目服务对象“</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lang w:val="en-US" w:eastAsia="zh-CN"/>
        </w:rPr>
        <w:t>工作人员满意度”制作调查问卷，共发放调查问卷样本</w:t>
      </w:r>
      <w:r>
        <w:rPr>
          <w:rFonts w:hint="eastAsia" w:ascii="仿宋_GB2312" w:hAnsi="仿宋_GB2312" w:cs="仿宋_GB2312"/>
          <w:sz w:val="32"/>
          <w:szCs w:val="32"/>
          <w:highlight w:val="none"/>
          <w:lang w:val="en-US" w:eastAsia="zh-CN"/>
        </w:rPr>
        <w:t>82份</w:t>
      </w:r>
      <w:r>
        <w:rPr>
          <w:rFonts w:hint="eastAsia" w:ascii="仿宋_GB2312" w:hAnsi="仿宋_GB2312" w:eastAsia="仿宋_GB2312" w:cs="仿宋_GB2312"/>
          <w:sz w:val="32"/>
          <w:szCs w:val="32"/>
          <w:highlight w:val="none"/>
          <w:lang w:val="en-US" w:eastAsia="zh-CN"/>
        </w:rPr>
        <w:t>，回收调查问卷</w:t>
      </w:r>
      <w:r>
        <w:rPr>
          <w:rFonts w:hint="eastAsia" w:ascii="仿宋_GB2312" w:hAnsi="仿宋_GB2312" w:cs="仿宋_GB2312"/>
          <w:sz w:val="32"/>
          <w:szCs w:val="32"/>
          <w:highlight w:val="none"/>
          <w:lang w:val="en-US" w:eastAsia="zh-CN"/>
        </w:rPr>
        <w:t>82</w:t>
      </w:r>
      <w:r>
        <w:rPr>
          <w:rFonts w:hint="eastAsia" w:ascii="仿宋_GB2312" w:hAnsi="仿宋_GB2312" w:eastAsia="仿宋_GB2312" w:cs="仿宋_GB2312"/>
          <w:sz w:val="32"/>
          <w:szCs w:val="32"/>
          <w:highlight w:val="none"/>
          <w:lang w:val="en-US" w:eastAsia="zh-CN"/>
        </w:rPr>
        <w:t>份</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此调查问卷共设置了</w:t>
      </w:r>
      <w:r>
        <w:rPr>
          <w:rFonts w:hint="eastAsia" w:ascii="仿宋_GB2312" w:hAnsi="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US" w:eastAsia="zh-CN"/>
        </w:rPr>
        <w:t>个满意度问题，主要了解</w:t>
      </w:r>
      <w:r>
        <w:rPr>
          <w:rFonts w:hint="eastAsia" w:ascii="仿宋_GB2312" w:hAnsi="仿宋_GB2312" w:cs="仿宋_GB2312"/>
          <w:sz w:val="32"/>
          <w:szCs w:val="32"/>
          <w:highlight w:val="none"/>
          <w:lang w:val="en-US" w:eastAsia="zh-CN"/>
        </w:rPr>
        <w:t>法院工作人员对物业费项目实施效果</w:t>
      </w:r>
      <w:r>
        <w:rPr>
          <w:rFonts w:hint="eastAsia" w:ascii="仿宋_GB2312" w:hAnsi="仿宋_GB2312" w:eastAsia="仿宋_GB2312" w:cs="仿宋_GB2312"/>
          <w:sz w:val="32"/>
          <w:szCs w:val="32"/>
          <w:highlight w:val="none"/>
          <w:lang w:val="en-US" w:eastAsia="zh-CN"/>
        </w:rPr>
        <w:t>的满意度。满意度调查结果如下：</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问题1：您</w:t>
      </w:r>
      <w:r>
        <w:rPr>
          <w:rFonts w:hint="eastAsia" w:ascii="仿宋_GB2312" w:hAnsi="仿宋_GB2312" w:cs="仿宋_GB2312"/>
          <w:sz w:val="32"/>
          <w:szCs w:val="32"/>
          <w:highlight w:val="none"/>
          <w:lang w:val="en-US" w:eastAsia="zh-CN"/>
        </w:rPr>
        <w:t>对本单位业务用房养护维修工作是否满意</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此问题没有无效问卷，</w:t>
      </w:r>
      <w:r>
        <w:rPr>
          <w:rFonts w:hint="eastAsia" w:ascii="仿宋_GB2312" w:hAnsi="仿宋_GB2312" w:cs="仿宋_GB2312"/>
          <w:sz w:val="32"/>
          <w:szCs w:val="32"/>
          <w:highlight w:val="none"/>
          <w:lang w:val="en-US" w:eastAsia="zh-CN"/>
        </w:rPr>
        <w:t>非常满意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46</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比较满意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基本满意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12</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不太满意的6人。</w:t>
      </w:r>
      <w:r>
        <w:rPr>
          <w:rFonts w:hint="eastAsia" w:ascii="仿宋_GB2312" w:hAnsi="仿宋_GB2312" w:eastAsia="仿宋_GB2312" w:cs="仿宋_GB2312"/>
          <w:sz w:val="32"/>
          <w:szCs w:val="32"/>
          <w:highlight w:val="none"/>
          <w:lang w:val="en-US" w:eastAsia="zh-CN"/>
        </w:rPr>
        <w:t>通过数据处理分析，工作人员</w:t>
      </w:r>
      <w:r>
        <w:rPr>
          <w:rFonts w:hint="eastAsia" w:ascii="仿宋_GB2312" w:hAnsi="仿宋_GB2312" w:cs="仿宋_GB2312"/>
          <w:sz w:val="32"/>
          <w:szCs w:val="32"/>
          <w:highlight w:val="none"/>
          <w:lang w:val="en-US" w:eastAsia="zh-CN"/>
        </w:rPr>
        <w:t>对本单位业务用房养护维修基本满意</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82.71</w:t>
      </w:r>
      <w:r>
        <w:rPr>
          <w:rFonts w:hint="eastAsia" w:ascii="仿宋_GB2312" w:hAnsi="仿宋_GB2312" w:eastAsia="仿宋_GB2312" w:cs="仿宋_GB2312"/>
          <w:sz w:val="32"/>
          <w:szCs w:val="32"/>
          <w:highlight w:val="none"/>
          <w:lang w:val="en-US" w:eastAsia="zh-CN"/>
        </w:rPr>
        <w:t>%。问题1满意度具体数据如图所示：</w:t>
      </w:r>
    </w:p>
    <w:p>
      <w:pPr>
        <w:pStyle w:val="2"/>
        <w:tabs>
          <w:tab w:val="left" w:pos="510"/>
          <w:tab w:val="left" w:pos="675"/>
        </w:tabs>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default" w:ascii="仿宋" w:hAnsi="仿宋" w:eastAsia="仿宋" w:cs="仿宋"/>
          <w:sz w:val="32"/>
          <w:szCs w:val="32"/>
          <w:highlight w:val="none"/>
          <w:lang w:val="en-US" w:eastAsia="zh-CN"/>
        </w:rPr>
        <w:drawing>
          <wp:anchor distT="0" distB="0" distL="114300" distR="114300" simplePos="0" relativeHeight="251659264" behindDoc="0" locked="0" layoutInCell="1" allowOverlap="1">
            <wp:simplePos x="0" y="0"/>
            <wp:positionH relativeFrom="column">
              <wp:posOffset>465455</wp:posOffset>
            </wp:positionH>
            <wp:positionV relativeFrom="paragraph">
              <wp:posOffset>16510</wp:posOffset>
            </wp:positionV>
            <wp:extent cx="4636135" cy="2435860"/>
            <wp:effectExtent l="5080" t="5080" r="6985" b="1270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hint="eastAsia" w:ascii="仿宋_GB2312" w:hAnsi="仿宋_GB2312" w:eastAsia="仿宋_GB2312" w:cs="仿宋_GB2312"/>
          <w:sz w:val="32"/>
          <w:szCs w:val="32"/>
          <w:highlight w:val="none"/>
          <w:lang w:val="en-US" w:eastAsia="zh-CN"/>
        </w:rPr>
        <w:t>问题2：</w:t>
      </w:r>
      <w:r>
        <w:rPr>
          <w:rFonts w:hint="eastAsia" w:ascii="仿宋_GB2312" w:hAnsi="仿宋_GB2312" w:cs="仿宋_GB2312"/>
          <w:sz w:val="32"/>
          <w:szCs w:val="32"/>
          <w:highlight w:val="none"/>
          <w:lang w:val="en-US" w:eastAsia="zh-CN"/>
        </w:rPr>
        <w:t>您对本单位公共设施运行维护是否满意</w:t>
      </w:r>
      <w:r>
        <w:rPr>
          <w:rFonts w:hint="eastAsia" w:ascii="仿宋_GB2312" w:hAnsi="仿宋_GB2312" w:eastAsia="仿宋_GB2312" w:cs="仿宋_GB2312"/>
          <w:sz w:val="32"/>
          <w:szCs w:val="32"/>
          <w:highlight w:val="none"/>
          <w:lang w:val="en-US" w:eastAsia="zh-CN"/>
        </w:rPr>
        <w:t>？</w:t>
      </w:r>
    </w:p>
    <w:p>
      <w:pPr>
        <w:pStyle w:val="2"/>
        <w:tabs>
          <w:tab w:val="left" w:pos="510"/>
          <w:tab w:val="left" w:pos="675"/>
        </w:tabs>
        <w:spacing w:line="560" w:lineRule="exact"/>
        <w:ind w:firstLine="640"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此问题没有无效问卷，</w:t>
      </w:r>
      <w:r>
        <w:rPr>
          <w:rFonts w:hint="eastAsia" w:ascii="仿宋_GB2312" w:hAnsi="仿宋_GB2312" w:cs="仿宋_GB2312"/>
          <w:sz w:val="32"/>
          <w:szCs w:val="32"/>
          <w:highlight w:val="none"/>
          <w:lang w:val="en-US" w:eastAsia="zh-CN"/>
        </w:rPr>
        <w:t>非常满意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47</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比较满意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19</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基本满意的12</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不太满意的4人。</w:t>
      </w:r>
      <w:r>
        <w:rPr>
          <w:rFonts w:hint="eastAsia" w:ascii="仿宋_GB2312" w:hAnsi="仿宋_GB2312" w:eastAsia="仿宋_GB2312" w:cs="仿宋_GB2312"/>
          <w:sz w:val="32"/>
          <w:szCs w:val="32"/>
          <w:highlight w:val="none"/>
          <w:lang w:val="en-US" w:eastAsia="zh-CN"/>
        </w:rPr>
        <w:t>通过数据处理分析，工作人员</w:t>
      </w:r>
      <w:r>
        <w:rPr>
          <w:rFonts w:hint="eastAsia" w:ascii="仿宋_GB2312" w:hAnsi="仿宋_GB2312" w:cs="仿宋_GB2312"/>
          <w:sz w:val="32"/>
          <w:szCs w:val="32"/>
          <w:highlight w:val="none"/>
          <w:lang w:val="en-US" w:eastAsia="zh-CN"/>
        </w:rPr>
        <w:t>对本单位公共设施运行维护比较满意</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83.23</w:t>
      </w:r>
      <w:r>
        <w:rPr>
          <w:rFonts w:hint="eastAsia" w:ascii="仿宋_GB2312" w:hAnsi="仿宋_GB2312" w:eastAsia="仿宋_GB2312" w:cs="仿宋_GB2312"/>
          <w:sz w:val="32"/>
          <w:szCs w:val="32"/>
          <w:highlight w:val="none"/>
          <w:lang w:val="en-US" w:eastAsia="zh-CN"/>
        </w:rPr>
        <w:t>%。问题2满意度具体数据如图所示：</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default" w:ascii="仿宋" w:hAnsi="仿宋" w:eastAsia="仿宋" w:cs="仿宋"/>
          <w:sz w:val="32"/>
          <w:szCs w:val="32"/>
          <w:highlight w:val="none"/>
          <w:lang w:val="en-US" w:eastAsia="zh-CN"/>
        </w:rPr>
        <w:drawing>
          <wp:anchor distT="0" distB="0" distL="114300" distR="114300" simplePos="0" relativeHeight="251660288" behindDoc="0" locked="0" layoutInCell="1" allowOverlap="1">
            <wp:simplePos x="0" y="0"/>
            <wp:positionH relativeFrom="column">
              <wp:posOffset>511175</wp:posOffset>
            </wp:positionH>
            <wp:positionV relativeFrom="paragraph">
              <wp:posOffset>43180</wp:posOffset>
            </wp:positionV>
            <wp:extent cx="4496435" cy="2689225"/>
            <wp:effectExtent l="4445" t="4445" r="10160" b="19050"/>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hint="eastAsia" w:ascii="仿宋_GB2312" w:hAnsi="仿宋_GB2312" w:eastAsia="仿宋_GB2312" w:cs="仿宋_GB2312"/>
          <w:sz w:val="32"/>
          <w:szCs w:val="32"/>
          <w:highlight w:val="none"/>
          <w:lang w:val="en-US" w:eastAsia="zh-CN"/>
        </w:rPr>
        <w:t>问题3：您</w:t>
      </w:r>
      <w:r>
        <w:rPr>
          <w:rFonts w:hint="eastAsia" w:ascii="仿宋_GB2312" w:hAnsi="仿宋_GB2312" w:cs="仿宋_GB2312"/>
          <w:sz w:val="32"/>
          <w:szCs w:val="32"/>
          <w:highlight w:val="none"/>
          <w:lang w:val="en-US" w:eastAsia="zh-CN"/>
        </w:rPr>
        <w:t>对本单位绿化养护覆盖面积是否满意</w:t>
      </w:r>
      <w:r>
        <w:rPr>
          <w:rFonts w:hint="eastAsia" w:ascii="仿宋_GB2312" w:hAnsi="仿宋_GB2312" w:eastAsia="仿宋_GB2312" w:cs="仿宋_GB2312"/>
          <w:sz w:val="32"/>
          <w:szCs w:val="32"/>
          <w:highlight w:val="none"/>
          <w:lang w:val="en-US" w:eastAsia="zh-CN"/>
        </w:rPr>
        <w:t>？</w:t>
      </w:r>
    </w:p>
    <w:p>
      <w:pPr>
        <w:pStyle w:val="2"/>
        <w:tabs>
          <w:tab w:val="left" w:pos="510"/>
          <w:tab w:val="left" w:pos="675"/>
        </w:tabs>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此问题没有无效问卷，</w:t>
      </w:r>
      <w:r>
        <w:rPr>
          <w:rFonts w:hint="eastAsia" w:ascii="仿宋_GB2312" w:hAnsi="仿宋_GB2312" w:cs="仿宋_GB2312"/>
          <w:sz w:val="32"/>
          <w:szCs w:val="32"/>
          <w:highlight w:val="none"/>
          <w:lang w:val="en-US" w:eastAsia="zh-CN"/>
        </w:rPr>
        <w:t>非常满意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44</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比较满意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16</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基本满意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13</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不太满意9人。</w:t>
      </w:r>
      <w:r>
        <w:rPr>
          <w:rFonts w:hint="eastAsia" w:ascii="仿宋_GB2312" w:hAnsi="仿宋_GB2312" w:eastAsia="仿宋_GB2312" w:cs="仿宋_GB2312"/>
          <w:sz w:val="32"/>
          <w:szCs w:val="32"/>
          <w:highlight w:val="none"/>
          <w:lang w:val="en-US" w:eastAsia="zh-CN"/>
        </w:rPr>
        <w:t>通过数据处理分析，工作人员</w:t>
      </w:r>
      <w:r>
        <w:rPr>
          <w:rFonts w:hint="eastAsia" w:ascii="仿宋_GB2312" w:hAnsi="仿宋_GB2312" w:cs="仿宋_GB2312"/>
          <w:sz w:val="32"/>
          <w:szCs w:val="32"/>
          <w:highlight w:val="none"/>
          <w:lang w:val="en-US" w:eastAsia="zh-CN"/>
        </w:rPr>
        <w:t>对本单位绿化养护覆盖面积基本满意</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78.96</w:t>
      </w:r>
      <w:r>
        <w:rPr>
          <w:rFonts w:hint="eastAsia" w:ascii="仿宋_GB2312" w:hAnsi="仿宋_GB2312" w:eastAsia="仿宋_GB2312" w:cs="仿宋_GB2312"/>
          <w:sz w:val="32"/>
          <w:szCs w:val="32"/>
          <w:highlight w:val="none"/>
          <w:lang w:val="en-US" w:eastAsia="zh-CN"/>
        </w:rPr>
        <w:t>%。问题3满意度具体数据如图所示：</w:t>
      </w:r>
    </w:p>
    <w:p>
      <w:pPr>
        <w:pStyle w:val="2"/>
        <w:tabs>
          <w:tab w:val="left" w:pos="510"/>
          <w:tab w:val="left" w:pos="675"/>
        </w:tabs>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default" w:ascii="仿宋" w:hAnsi="仿宋" w:eastAsia="仿宋" w:cs="仿宋"/>
          <w:sz w:val="32"/>
          <w:szCs w:val="32"/>
          <w:highlight w:val="none"/>
          <w:lang w:val="en-US" w:eastAsia="zh-CN"/>
        </w:rPr>
        <w:drawing>
          <wp:anchor distT="0" distB="0" distL="114300" distR="114300" simplePos="0" relativeHeight="251661312" behindDoc="0" locked="0" layoutInCell="1" allowOverlap="1">
            <wp:simplePos x="0" y="0"/>
            <wp:positionH relativeFrom="column">
              <wp:posOffset>633095</wp:posOffset>
            </wp:positionH>
            <wp:positionV relativeFrom="paragraph">
              <wp:posOffset>111125</wp:posOffset>
            </wp:positionV>
            <wp:extent cx="4260215" cy="2543175"/>
            <wp:effectExtent l="4445" t="4445" r="17780" b="1270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hint="eastAsia" w:ascii="仿宋_GB2312" w:hAnsi="仿宋_GB2312" w:eastAsia="仿宋_GB2312" w:cs="仿宋_GB2312"/>
          <w:sz w:val="32"/>
          <w:szCs w:val="32"/>
          <w:highlight w:val="none"/>
          <w:lang w:val="en-US" w:eastAsia="zh-CN"/>
        </w:rPr>
        <w:t>问题4：您认为本单位</w:t>
      </w:r>
      <w:r>
        <w:rPr>
          <w:rFonts w:hint="eastAsia" w:ascii="仿宋_GB2312" w:hAnsi="仿宋_GB2312" w:cs="仿宋_GB2312"/>
          <w:sz w:val="32"/>
          <w:szCs w:val="32"/>
          <w:highlight w:val="none"/>
          <w:lang w:val="en-US" w:eastAsia="zh-CN"/>
        </w:rPr>
        <w:t>维修维护工作是否及时</w:t>
      </w:r>
      <w:r>
        <w:rPr>
          <w:rFonts w:hint="eastAsia" w:ascii="仿宋_GB2312" w:hAnsi="仿宋_GB2312" w:eastAsia="仿宋_GB2312" w:cs="仿宋_GB2312"/>
          <w:sz w:val="32"/>
          <w:szCs w:val="32"/>
          <w:highlight w:val="none"/>
          <w:lang w:val="en-US" w:eastAsia="zh-CN"/>
        </w:rPr>
        <w:t>？</w:t>
      </w:r>
    </w:p>
    <w:p>
      <w:pPr>
        <w:pStyle w:val="2"/>
        <w:tabs>
          <w:tab w:val="left" w:pos="510"/>
          <w:tab w:val="left" w:pos="675"/>
        </w:tabs>
        <w:spacing w:line="560" w:lineRule="exact"/>
        <w:ind w:firstLine="640" w:firstLineChars="200"/>
        <w:outlineLvl w:val="9"/>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此问题没有无效问卷，认为</w:t>
      </w:r>
      <w:r>
        <w:rPr>
          <w:rFonts w:hint="eastAsia" w:ascii="仿宋_GB2312" w:hAnsi="仿宋_GB2312" w:cs="仿宋_GB2312"/>
          <w:sz w:val="32"/>
          <w:szCs w:val="32"/>
          <w:highlight w:val="none"/>
          <w:lang w:val="en-US" w:eastAsia="zh-CN"/>
        </w:rPr>
        <w:t>非常及时</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46</w:t>
      </w:r>
      <w:r>
        <w:rPr>
          <w:rFonts w:hint="eastAsia" w:ascii="仿宋_GB2312" w:hAnsi="仿宋_GB2312" w:eastAsia="仿宋_GB2312" w:cs="仿宋_GB2312"/>
          <w:sz w:val="32"/>
          <w:szCs w:val="32"/>
          <w:highlight w:val="none"/>
          <w:lang w:val="en-US" w:eastAsia="zh-CN"/>
        </w:rPr>
        <w:t>人，认为比较</w:t>
      </w:r>
      <w:r>
        <w:rPr>
          <w:rFonts w:hint="eastAsia" w:ascii="仿宋_GB2312" w:hAnsi="仿宋_GB2312" w:cs="仿宋_GB2312"/>
          <w:sz w:val="32"/>
          <w:szCs w:val="32"/>
          <w:highlight w:val="none"/>
          <w:lang w:val="en-US" w:eastAsia="zh-CN"/>
        </w:rPr>
        <w:t>及时</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lang w:val="en-US" w:eastAsia="zh-CN"/>
        </w:rPr>
        <w:t>人，认为</w:t>
      </w:r>
      <w:r>
        <w:rPr>
          <w:rFonts w:hint="eastAsia" w:ascii="仿宋_GB2312" w:hAnsi="仿宋_GB2312" w:cs="仿宋_GB2312"/>
          <w:sz w:val="32"/>
          <w:szCs w:val="32"/>
          <w:highlight w:val="none"/>
          <w:lang w:val="en-US" w:eastAsia="zh-CN"/>
        </w:rPr>
        <w:t>基本及时</w:t>
      </w:r>
      <w:r>
        <w:rPr>
          <w:rFonts w:hint="eastAsia" w:ascii="仿宋_GB2312" w:hAnsi="仿宋_GB2312" w:eastAsia="仿宋_GB2312" w:cs="仿宋_GB2312"/>
          <w:sz w:val="32"/>
          <w:szCs w:val="32"/>
          <w:highlight w:val="none"/>
          <w:lang w:val="en-US" w:eastAsia="zh-CN"/>
        </w:rPr>
        <w:t>1</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认为不太及时的6人。</w:t>
      </w:r>
      <w:r>
        <w:rPr>
          <w:rFonts w:hint="eastAsia" w:ascii="仿宋_GB2312" w:hAnsi="仿宋_GB2312" w:eastAsia="仿宋_GB2312" w:cs="仿宋_GB2312"/>
          <w:sz w:val="32"/>
          <w:szCs w:val="32"/>
          <w:highlight w:val="none"/>
          <w:lang w:val="en-US" w:eastAsia="zh-CN"/>
        </w:rPr>
        <w:t>通过数据处理分析，工作人员认为</w:t>
      </w:r>
      <w:r>
        <w:rPr>
          <w:rFonts w:hint="eastAsia" w:ascii="仿宋_GB2312" w:hAnsi="仿宋_GB2312" w:cs="仿宋_GB2312"/>
          <w:sz w:val="32"/>
          <w:szCs w:val="32"/>
          <w:highlight w:val="none"/>
          <w:lang w:val="en-US" w:eastAsia="zh-CN"/>
        </w:rPr>
        <w:t>本单位维修维护工作比较及时</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81.71</w:t>
      </w:r>
      <w:r>
        <w:rPr>
          <w:rFonts w:hint="eastAsia" w:ascii="仿宋_GB2312" w:hAnsi="仿宋_GB2312" w:eastAsia="仿宋_GB2312" w:cs="仿宋_GB2312"/>
          <w:sz w:val="32"/>
          <w:szCs w:val="32"/>
          <w:highlight w:val="none"/>
          <w:lang w:val="en-US" w:eastAsia="zh-CN"/>
        </w:rPr>
        <w:t>%。问题4满意度具体数据如图所示：</w:t>
      </w:r>
    </w:p>
    <w:p>
      <w:pPr>
        <w:pStyle w:val="2"/>
        <w:tabs>
          <w:tab w:val="left" w:pos="510"/>
          <w:tab w:val="left" w:pos="675"/>
        </w:tabs>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default" w:ascii="仿宋" w:hAnsi="仿宋" w:eastAsia="仿宋" w:cs="仿宋"/>
          <w:sz w:val="32"/>
          <w:szCs w:val="32"/>
          <w:highlight w:val="none"/>
          <w:lang w:val="en-US" w:eastAsia="zh-CN"/>
        </w:rPr>
        <w:drawing>
          <wp:anchor distT="0" distB="0" distL="114300" distR="114300" simplePos="0" relativeHeight="251662336" behindDoc="0" locked="0" layoutInCell="1" allowOverlap="1">
            <wp:simplePos x="0" y="0"/>
            <wp:positionH relativeFrom="column">
              <wp:posOffset>649605</wp:posOffset>
            </wp:positionH>
            <wp:positionV relativeFrom="paragraph">
              <wp:posOffset>76200</wp:posOffset>
            </wp:positionV>
            <wp:extent cx="4158615" cy="2453640"/>
            <wp:effectExtent l="4445" t="4445" r="12700" b="10795"/>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rFonts w:hint="eastAsia" w:ascii="仿宋_GB2312" w:hAnsi="仿宋_GB2312" w:eastAsia="仿宋_GB2312" w:cs="仿宋_GB2312"/>
          <w:sz w:val="32"/>
          <w:szCs w:val="32"/>
          <w:highlight w:val="none"/>
          <w:lang w:val="en-US" w:eastAsia="zh-CN"/>
        </w:rPr>
        <w:t>问题5：您</w:t>
      </w:r>
      <w:r>
        <w:rPr>
          <w:rFonts w:hint="eastAsia" w:ascii="仿宋_GB2312" w:hAnsi="仿宋_GB2312" w:cs="仿宋_GB2312"/>
          <w:sz w:val="32"/>
          <w:szCs w:val="32"/>
          <w:highlight w:val="none"/>
          <w:lang w:val="en-US" w:eastAsia="zh-CN"/>
        </w:rPr>
        <w:t>对本单位物业管理整体工作是否满意</w:t>
      </w:r>
      <w:r>
        <w:rPr>
          <w:rFonts w:hint="eastAsia" w:ascii="仿宋_GB2312" w:hAnsi="仿宋_GB2312" w:eastAsia="仿宋_GB2312" w:cs="仿宋_GB2312"/>
          <w:sz w:val="32"/>
          <w:szCs w:val="32"/>
          <w:highlight w:val="none"/>
          <w:lang w:val="en-US" w:eastAsia="zh-CN"/>
        </w:rPr>
        <w:t>？</w:t>
      </w:r>
    </w:p>
    <w:p>
      <w:pPr>
        <w:pStyle w:val="2"/>
        <w:tabs>
          <w:tab w:val="left" w:pos="510"/>
          <w:tab w:val="left" w:pos="675"/>
        </w:tabs>
        <w:spacing w:line="560" w:lineRule="exact"/>
        <w:ind w:firstLine="640" w:firstLineChars="200"/>
        <w:outlineLvl w:val="9"/>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此问题没有无效问卷，</w:t>
      </w:r>
      <w:r>
        <w:rPr>
          <w:rFonts w:hint="eastAsia" w:ascii="仿宋_GB2312" w:hAnsi="仿宋_GB2312" w:cs="仿宋_GB2312"/>
          <w:sz w:val="32"/>
          <w:szCs w:val="32"/>
          <w:highlight w:val="none"/>
          <w:lang w:val="en-US" w:eastAsia="zh-CN"/>
        </w:rPr>
        <w:t>非常满意44</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比较满意21人</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基本满意11</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不太满意6人。</w:t>
      </w:r>
      <w:r>
        <w:rPr>
          <w:rFonts w:hint="eastAsia" w:ascii="仿宋_GB2312" w:hAnsi="仿宋_GB2312" w:eastAsia="仿宋_GB2312" w:cs="仿宋_GB2312"/>
          <w:sz w:val="32"/>
          <w:szCs w:val="32"/>
          <w:highlight w:val="none"/>
          <w:lang w:val="en-US" w:eastAsia="zh-CN"/>
        </w:rPr>
        <w:t>通过数据处理分析，工作人员</w:t>
      </w:r>
      <w:r>
        <w:rPr>
          <w:rFonts w:hint="eastAsia" w:ascii="仿宋_GB2312" w:hAnsi="仿宋_GB2312" w:cs="仿宋_GB2312"/>
          <w:sz w:val="32"/>
          <w:szCs w:val="32"/>
          <w:highlight w:val="none"/>
          <w:lang w:val="en-US" w:eastAsia="zh-CN"/>
        </w:rPr>
        <w:t>对本单位物业管理整体工作基本满意</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81.40</w:t>
      </w:r>
      <w:r>
        <w:rPr>
          <w:rFonts w:hint="eastAsia" w:ascii="仿宋_GB2312" w:hAnsi="仿宋_GB2312" w:eastAsia="仿宋_GB2312" w:cs="仿宋_GB2312"/>
          <w:sz w:val="32"/>
          <w:szCs w:val="32"/>
          <w:highlight w:val="none"/>
          <w:lang w:val="en-US" w:eastAsia="zh-CN"/>
        </w:rPr>
        <w:t>%。问题5满意度具体数据如图所示：</w:t>
      </w:r>
    </w:p>
    <w:p>
      <w:pPr>
        <w:pStyle w:val="2"/>
        <w:tabs>
          <w:tab w:val="left" w:pos="510"/>
          <w:tab w:val="left" w:pos="675"/>
        </w:tabs>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drawing>
          <wp:anchor distT="0" distB="0" distL="114300" distR="114300" simplePos="0" relativeHeight="251663360" behindDoc="0" locked="0" layoutInCell="1" allowOverlap="1">
            <wp:simplePos x="0" y="0"/>
            <wp:positionH relativeFrom="column">
              <wp:posOffset>588010</wp:posOffset>
            </wp:positionH>
            <wp:positionV relativeFrom="paragraph">
              <wp:posOffset>84455</wp:posOffset>
            </wp:positionV>
            <wp:extent cx="4165600" cy="2229485"/>
            <wp:effectExtent l="5080" t="4445" r="5080" b="635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Pr>
          <w:rFonts w:hint="eastAsia" w:ascii="仿宋_GB2312" w:hAnsi="仿宋_GB2312" w:eastAsia="仿宋_GB2312" w:cs="仿宋_GB2312"/>
          <w:sz w:val="32"/>
          <w:szCs w:val="32"/>
          <w:highlight w:val="none"/>
          <w:lang w:val="en-US" w:eastAsia="zh-CN"/>
        </w:rPr>
        <w:t>经过数据汇总处理，</w:t>
      </w:r>
      <w:r>
        <w:rPr>
          <w:rFonts w:hint="eastAsia" w:ascii="仿宋_GB2312" w:hAnsi="仿宋_GB2312" w:cs="仿宋_GB2312"/>
          <w:sz w:val="32"/>
          <w:szCs w:val="32"/>
          <w:highlight w:val="none"/>
          <w:lang w:val="en-US" w:eastAsia="zh-CN"/>
        </w:rPr>
        <w:t>法院工作人员</w:t>
      </w:r>
      <w:r>
        <w:rPr>
          <w:rFonts w:hint="eastAsia" w:ascii="仿宋_GB2312" w:hAnsi="仿宋_GB2312" w:eastAsia="仿宋_GB2312" w:cs="仿宋_GB2312"/>
          <w:sz w:val="32"/>
          <w:szCs w:val="32"/>
          <w:highlight w:val="none"/>
          <w:lang w:val="en-US" w:eastAsia="zh-CN"/>
        </w:rPr>
        <w:t>对省法院及直属单位</w:t>
      </w:r>
      <w:r>
        <w:rPr>
          <w:rFonts w:hint="eastAsia" w:ascii="仿宋_GB2312" w:hAnsi="仿宋_GB2312" w:cs="仿宋_GB2312"/>
          <w:sz w:val="32"/>
          <w:szCs w:val="32"/>
          <w:highlight w:val="none"/>
          <w:lang w:val="en-US" w:eastAsia="zh-CN"/>
        </w:rPr>
        <w:t>物业费</w:t>
      </w:r>
      <w:r>
        <w:rPr>
          <w:rFonts w:hint="eastAsia" w:ascii="仿宋_GB2312" w:hAnsi="仿宋_GB2312" w:eastAsia="仿宋_GB2312" w:cs="仿宋_GB2312"/>
          <w:sz w:val="32"/>
          <w:szCs w:val="32"/>
          <w:highlight w:val="none"/>
          <w:lang w:val="en-US" w:eastAsia="zh-CN"/>
        </w:rPr>
        <w:t>项目2022年度工作总体的满意度为</w:t>
      </w:r>
      <w:r>
        <w:rPr>
          <w:rFonts w:hint="eastAsia" w:ascii="仿宋_GB2312" w:hAnsi="仿宋_GB2312" w:cs="仿宋_GB2312"/>
          <w:sz w:val="32"/>
          <w:szCs w:val="32"/>
          <w:highlight w:val="none"/>
          <w:lang w:val="en-US" w:eastAsia="zh-CN"/>
        </w:rPr>
        <w:t>81.60</w:t>
      </w:r>
      <w:r>
        <w:rPr>
          <w:rFonts w:hint="eastAsia" w:ascii="仿宋_GB2312" w:hAnsi="仿宋_GB2312" w:eastAsia="仿宋_GB2312" w:cs="仿宋_GB2312"/>
          <w:sz w:val="32"/>
          <w:szCs w:val="32"/>
          <w:highlight w:val="none"/>
          <w:lang w:val="en-US" w:eastAsia="zh-CN"/>
        </w:rPr>
        <w:t>%，总体来说满意度</w:t>
      </w:r>
      <w:r>
        <w:rPr>
          <w:rFonts w:hint="eastAsia" w:ascii="仿宋_GB2312" w:hAnsi="仿宋_GB2312" w:cs="仿宋_GB2312"/>
          <w:sz w:val="32"/>
          <w:szCs w:val="32"/>
          <w:highlight w:val="none"/>
          <w:lang w:val="en-US" w:eastAsia="zh-CN"/>
        </w:rPr>
        <w:t>良好</w:t>
      </w:r>
      <w:r>
        <w:rPr>
          <w:rFonts w:hint="eastAsia" w:ascii="仿宋_GB2312" w:hAnsi="仿宋_GB2312" w:eastAsia="仿宋_GB2312" w:cs="仿宋_GB2312"/>
          <w:sz w:val="32"/>
          <w:szCs w:val="32"/>
          <w:highlight w:val="none"/>
          <w:lang w:val="en-US" w:eastAsia="zh-CN"/>
        </w:rPr>
        <w:t>。据评分标准，本指标分值10分，评价得分</w:t>
      </w:r>
      <w:r>
        <w:rPr>
          <w:rFonts w:hint="eastAsia" w:ascii="仿宋_GB2312" w:hAnsi="仿宋_GB2312" w:cs="仿宋_GB2312"/>
          <w:sz w:val="32"/>
          <w:szCs w:val="32"/>
          <w:highlight w:val="none"/>
          <w:lang w:val="en-US" w:eastAsia="zh-CN"/>
        </w:rPr>
        <w:t>9.6</w:t>
      </w:r>
      <w:r>
        <w:rPr>
          <w:rFonts w:hint="eastAsia" w:ascii="仿宋_GB2312" w:hAnsi="仿宋_GB2312" w:eastAsia="仿宋_GB2312" w:cs="仿宋_GB2312"/>
          <w:sz w:val="32"/>
          <w:szCs w:val="32"/>
          <w:highlight w:val="none"/>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bookmarkStart w:id="154" w:name="_Toc5551"/>
      <w:bookmarkStart w:id="155" w:name="_Toc14909"/>
      <w:bookmarkStart w:id="156" w:name="_Toc27911"/>
      <w:r>
        <w:rPr>
          <w:rFonts w:hint="eastAsia" w:ascii="黑体" w:hAnsi="黑体" w:eastAsia="黑体" w:cs="仿宋"/>
          <w:b w:val="0"/>
          <w:bCs w:val="0"/>
          <w:highlight w:val="none"/>
        </w:rPr>
        <w:t>六、项目主要经验及做法</w:t>
      </w:r>
      <w:bookmarkEnd w:id="154"/>
      <w:bookmarkEnd w:id="155"/>
      <w:bookmarkEnd w:id="156"/>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rPr>
      </w:pPr>
      <w:bookmarkStart w:id="157" w:name="_Toc10726"/>
      <w:bookmarkStart w:id="158" w:name="_Toc31693"/>
      <w:bookmarkStart w:id="159" w:name="_Toc30932"/>
      <w:r>
        <w:rPr>
          <w:rFonts w:hint="eastAsia" w:ascii="楷体" w:hAnsi="楷体" w:eastAsia="楷体" w:cs="楷体"/>
          <w:b/>
          <w:bCs/>
          <w:highlight w:val="none"/>
        </w:rPr>
        <w:t>（一</w:t>
      </w:r>
      <w:r>
        <w:rPr>
          <w:rFonts w:hint="eastAsia" w:ascii="楷体" w:hAnsi="楷体" w:eastAsia="楷体" w:cs="楷体"/>
          <w:b/>
          <w:bCs/>
          <w:highlight w:val="none"/>
          <w:lang w:val="en-US" w:eastAsia="zh-CN"/>
        </w:rPr>
        <w:t>）</w:t>
      </w:r>
      <w:bookmarkEnd w:id="157"/>
      <w:bookmarkEnd w:id="158"/>
      <w:bookmarkEnd w:id="159"/>
      <w:r>
        <w:rPr>
          <w:rFonts w:hint="eastAsia" w:ascii="楷体" w:hAnsi="楷体" w:eastAsia="楷体" w:cs="楷体"/>
          <w:b/>
          <w:bCs/>
          <w:highlight w:val="none"/>
          <w:lang w:val="en-US" w:eastAsia="zh-CN"/>
        </w:rPr>
        <w:t>甘肃省高级人民法院获评“国家节约型机关”</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2022年1月14日，在全国后勤保障会议上，省法院作为西北组组长进行发言，并由国家机关事务局、中直管理局、国家发改委、国家财政部授予</w:t>
      </w:r>
      <w:r>
        <w:rPr>
          <w:rFonts w:hint="eastAsia" w:ascii="仿宋_GB2312" w:hAnsi="仿宋_GB2312" w:eastAsia="仿宋_GB2312" w:cs="仿宋_GB2312"/>
          <w:color w:val="auto"/>
          <w:sz w:val="32"/>
          <w:szCs w:val="32"/>
          <w:lang w:val="en-US" w:eastAsia="zh-CN"/>
        </w:rPr>
        <w:t>甘肃省高级人民法院</w:t>
      </w:r>
      <w:r>
        <w:rPr>
          <w:rFonts w:hint="eastAsia" w:ascii="仿宋_GB2312" w:hAnsi="仿宋_GB2312" w:cs="仿宋_GB2312"/>
          <w:color w:val="auto"/>
          <w:sz w:val="32"/>
          <w:szCs w:val="32"/>
          <w:lang w:val="en-US" w:eastAsia="zh-CN"/>
        </w:rPr>
        <w:t>“</w:t>
      </w:r>
      <w:r>
        <w:rPr>
          <w:rFonts w:hint="eastAsia" w:ascii="仿宋_GB2312" w:eastAsia="仿宋_GB2312"/>
          <w:color w:val="auto"/>
          <w:sz w:val="32"/>
          <w:szCs w:val="32"/>
          <w:lang w:val="en-US" w:eastAsia="zh-CN"/>
        </w:rPr>
        <w:t>国家节约型机关</w:t>
      </w:r>
      <w:r>
        <w:rPr>
          <w:rFonts w:hint="eastAsia" w:ascii="仿宋_GB2312" w:hAnsi="仿宋_GB2312" w:cs="仿宋_GB2312"/>
          <w:color w:val="auto"/>
          <w:sz w:val="32"/>
          <w:szCs w:val="32"/>
          <w:lang w:val="en-US" w:eastAsia="zh-CN"/>
        </w:rPr>
        <w:t>”。</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3" w:firstLineChars="200"/>
        <w:textAlignment w:val="auto"/>
        <w:outlineLvl w:val="1"/>
        <w:rPr>
          <w:rFonts w:hint="default" w:ascii="仿宋" w:hAnsi="仿宋" w:eastAsia="仿宋" w:cs="仿宋"/>
          <w:highlight w:val="none"/>
          <w:lang w:val="en-US" w:eastAsia="zh-CN"/>
        </w:rPr>
      </w:pPr>
      <w:bookmarkStart w:id="160" w:name="_Toc16172"/>
      <w:bookmarkStart w:id="161" w:name="_Toc10104"/>
      <w:bookmarkStart w:id="162" w:name="_Toc5032"/>
      <w:r>
        <w:rPr>
          <w:rFonts w:hint="eastAsia" w:ascii="楷体" w:hAnsi="楷体" w:eastAsia="楷体" w:cs="楷体"/>
          <w:b/>
          <w:bCs/>
          <w:highlight w:val="none"/>
          <w:lang w:eastAsia="zh-CN"/>
        </w:rPr>
        <w:t>（</w:t>
      </w:r>
      <w:r>
        <w:rPr>
          <w:rFonts w:hint="eastAsia" w:ascii="楷体" w:hAnsi="楷体" w:eastAsia="楷体" w:cs="楷体"/>
          <w:b/>
          <w:bCs/>
          <w:highlight w:val="none"/>
          <w:lang w:val="en-US" w:eastAsia="zh-CN"/>
        </w:rPr>
        <w:t>二</w:t>
      </w:r>
      <w:r>
        <w:rPr>
          <w:rFonts w:hint="eastAsia" w:ascii="楷体" w:hAnsi="楷体" w:eastAsia="楷体" w:cs="楷体"/>
          <w:b/>
          <w:bCs/>
          <w:highlight w:val="none"/>
          <w:lang w:eastAsia="zh-CN"/>
        </w:rPr>
        <w:t>）</w:t>
      </w:r>
      <w:bookmarkEnd w:id="160"/>
      <w:r>
        <w:rPr>
          <w:rFonts w:hint="eastAsia" w:ascii="楷体" w:hAnsi="楷体" w:eastAsia="楷体" w:cs="楷体"/>
          <w:b/>
          <w:bCs/>
          <w:highlight w:val="none"/>
          <w:lang w:val="en-US" w:eastAsia="zh-CN"/>
        </w:rPr>
        <w:t>建立健全物业考核机制，有效保障了物业服务</w:t>
      </w:r>
      <w:bookmarkEnd w:id="161"/>
      <w:bookmarkEnd w:id="162"/>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省法院对物业服务公司的工作内容制定了严格的考核标准，健全了物业服务考核机制。通过考核水电暖供应系统、保洁、安防、环境绿化、审判保证服务等方面，考核组按时进行客观、公正的考核，并以此作为物业费付款依据，有效地提高了物业服务水平，确保了审判场地的安全以及法院工作的正常运行。</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bookmarkStart w:id="163" w:name="_Toc15152"/>
      <w:bookmarkStart w:id="164" w:name="_Toc11664"/>
      <w:bookmarkStart w:id="165" w:name="_Toc25717"/>
      <w:r>
        <w:rPr>
          <w:rFonts w:hint="eastAsia" w:ascii="黑体" w:hAnsi="黑体" w:eastAsia="黑体" w:cs="仿宋"/>
          <w:b w:val="0"/>
          <w:bCs w:val="0"/>
          <w:highlight w:val="none"/>
        </w:rPr>
        <w:t>七、存在的问题及原因分析</w:t>
      </w:r>
      <w:bookmarkEnd w:id="163"/>
      <w:bookmarkEnd w:id="164"/>
      <w:bookmarkEnd w:id="165"/>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Style w:val="25"/>
          <w:rFonts w:hint="eastAsia" w:ascii="楷体" w:hAnsi="楷体" w:eastAsia="楷体" w:cs="楷体"/>
          <w:szCs w:val="32"/>
          <w:highlight w:val="none"/>
          <w:lang w:eastAsia="zh-CN"/>
        </w:rPr>
      </w:pPr>
      <w:bookmarkStart w:id="166" w:name="_Toc15134"/>
      <w:bookmarkStart w:id="167" w:name="_Toc27415"/>
      <w:bookmarkStart w:id="168" w:name="_Toc10454"/>
      <w:bookmarkStart w:id="169" w:name="_Toc32412"/>
      <w:bookmarkStart w:id="170" w:name="_Toc2874"/>
      <w:bookmarkStart w:id="171" w:name="_Toc14622"/>
      <w:bookmarkStart w:id="172" w:name="_Toc19507"/>
      <w:r>
        <w:rPr>
          <w:rStyle w:val="25"/>
          <w:rFonts w:hint="eastAsia" w:ascii="楷体" w:hAnsi="楷体" w:eastAsia="楷体" w:cs="楷体"/>
          <w:szCs w:val="32"/>
          <w:highlight w:val="none"/>
        </w:rPr>
        <w:t>（一）项目支出预算执行率</w:t>
      </w:r>
      <w:bookmarkEnd w:id="166"/>
      <w:bookmarkEnd w:id="167"/>
      <w:bookmarkEnd w:id="168"/>
      <w:bookmarkEnd w:id="169"/>
      <w:r>
        <w:rPr>
          <w:rStyle w:val="25"/>
          <w:rFonts w:hint="eastAsia" w:ascii="楷体" w:hAnsi="楷体" w:eastAsia="楷体" w:cs="楷体"/>
          <w:szCs w:val="32"/>
          <w:highlight w:val="none"/>
          <w:lang w:val="en-US" w:eastAsia="zh-CN"/>
        </w:rPr>
        <w:t>有待提高</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none"/>
          <w:lang w:val="en-US" w:eastAsia="zh-CN"/>
        </w:rPr>
      </w:pPr>
      <w:bookmarkStart w:id="173" w:name="_Toc3633"/>
      <w:bookmarkStart w:id="174" w:name="_Toc3824"/>
      <w:bookmarkStart w:id="175" w:name="_Toc32093"/>
      <w:r>
        <w:rPr>
          <w:rFonts w:hint="eastAsia" w:ascii="仿宋_GB2312" w:hAnsi="仿宋_GB2312" w:cs="仿宋_GB2312"/>
          <w:highlight w:val="none"/>
          <w:lang w:val="en-US" w:eastAsia="zh-CN"/>
        </w:rPr>
        <w:t>物业费</w:t>
      </w:r>
      <w:r>
        <w:rPr>
          <w:rFonts w:hint="eastAsia" w:ascii="仿宋_GB2312" w:hAnsi="仿宋_GB2312" w:eastAsia="仿宋_GB2312" w:cs="仿宋_GB2312"/>
          <w:highlight w:val="none"/>
          <w:lang w:val="en-US" w:eastAsia="zh-CN"/>
        </w:rPr>
        <w:t>项目</w:t>
      </w:r>
      <w:r>
        <w:rPr>
          <w:rFonts w:hint="eastAsia" w:ascii="仿宋_GB2312" w:hAnsi="仿宋_GB2312" w:cs="仿宋_GB2312"/>
          <w:highlight w:val="none"/>
          <w:lang w:val="en-US" w:eastAsia="zh-CN"/>
        </w:rPr>
        <w:t>全年</w:t>
      </w:r>
      <w:r>
        <w:rPr>
          <w:rFonts w:hint="eastAsia" w:ascii="仿宋_GB2312" w:hAnsi="仿宋_GB2312" w:eastAsia="仿宋_GB2312" w:cs="仿宋_GB2312"/>
          <w:highlight w:val="none"/>
          <w:lang w:val="en-US" w:eastAsia="zh-CN"/>
        </w:rPr>
        <w:t>预算资金</w:t>
      </w:r>
      <w:r>
        <w:rPr>
          <w:rFonts w:hint="eastAsia" w:ascii="仿宋_GB2312" w:hAnsi="仿宋_GB2312" w:cs="仿宋_GB2312"/>
          <w:highlight w:val="none"/>
          <w:lang w:val="en-US" w:eastAsia="zh-CN"/>
        </w:rPr>
        <w:t>957.54</w:t>
      </w:r>
      <w:r>
        <w:rPr>
          <w:rFonts w:hint="eastAsia" w:ascii="仿宋_GB2312" w:hAnsi="仿宋_GB2312" w:eastAsia="仿宋_GB2312" w:cs="仿宋_GB2312"/>
          <w:highlight w:val="none"/>
          <w:lang w:val="en-US" w:eastAsia="zh-CN"/>
        </w:rPr>
        <w:t>万元，</w:t>
      </w:r>
      <w:r>
        <w:rPr>
          <w:rFonts w:hint="eastAsia" w:ascii="仿宋_GB2312" w:hAnsi="仿宋_GB2312" w:cs="仿宋_GB2312"/>
          <w:highlight w:val="none"/>
          <w:lang w:val="en-US" w:eastAsia="zh-CN"/>
        </w:rPr>
        <w:t>其中当年财政拨款858.00万元，上年结转资金99.54万元，截止2022年12月31日，实际支出839.42万元，</w:t>
      </w:r>
      <w:r>
        <w:rPr>
          <w:rFonts w:hint="eastAsia" w:ascii="仿宋_GB2312" w:hAnsi="仿宋_GB2312" w:eastAsia="仿宋_GB2312" w:cs="仿宋_GB2312"/>
          <w:highlight w:val="none"/>
          <w:lang w:val="en-US" w:eastAsia="zh-CN"/>
        </w:rPr>
        <w:t>预算执行率</w:t>
      </w:r>
      <w:r>
        <w:rPr>
          <w:rFonts w:hint="eastAsia" w:ascii="仿宋_GB2312" w:hAnsi="仿宋_GB2312" w:cs="仿宋_GB2312"/>
          <w:highlight w:val="none"/>
          <w:lang w:val="en-US" w:eastAsia="zh-CN"/>
        </w:rPr>
        <w:t>87.66</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预算执行率有待提高</w:t>
      </w:r>
      <w:r>
        <w:rPr>
          <w:rFonts w:hint="eastAsia" w:ascii="仿宋_GB2312" w:hAnsi="仿宋_GB2312" w:eastAsia="仿宋_GB2312" w:cs="仿宋_GB2312"/>
          <w:highlight w:val="none"/>
          <w:lang w:val="en-US" w:eastAsia="zh-CN"/>
        </w:rPr>
        <w:t>。</w:t>
      </w:r>
      <w:bookmarkEnd w:id="170"/>
      <w:bookmarkEnd w:id="173"/>
      <w:bookmarkEnd w:id="174"/>
      <w:r>
        <w:rPr>
          <w:rFonts w:hint="eastAsia" w:ascii="仿宋_GB2312" w:hAnsi="仿宋_GB2312" w:cs="仿宋_GB2312"/>
          <w:highlight w:val="none"/>
          <w:lang w:val="en-US" w:eastAsia="zh-CN"/>
        </w:rPr>
        <w:t>预算执行率低于全年预算90%的法院如下：</w:t>
      </w:r>
    </w:p>
    <w:p>
      <w:pPr>
        <w:pStyle w:val="3"/>
        <w:rPr>
          <w:rFonts w:hint="eastAsia"/>
          <w:lang w:val="en-US" w:eastAsia="zh-CN"/>
        </w:rPr>
      </w:pPr>
    </w:p>
    <w:tbl>
      <w:tblPr>
        <w:tblStyle w:val="15"/>
        <w:tblW w:w="9055"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52"/>
        <w:gridCol w:w="1682"/>
        <w:gridCol w:w="1333"/>
        <w:gridCol w:w="1317"/>
        <w:gridCol w:w="1283"/>
        <w:gridCol w:w="2688"/>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2" w:hRule="atLeast"/>
          <w:tblHeader/>
          <w:jc w:val="center"/>
        </w:trPr>
        <w:tc>
          <w:tcPr>
            <w:tcW w:w="752" w:type="dxa"/>
            <w:shd w:val="clear" w:color="auto" w:fill="B8CCE4"/>
            <w:noWrap w:val="0"/>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1682" w:type="dxa"/>
            <w:shd w:val="clear" w:color="auto" w:fill="B8CCE4"/>
            <w:noWrap w:val="0"/>
            <w:vAlign w:val="center"/>
          </w:tcPr>
          <w:p>
            <w:pPr>
              <w:widowControl/>
              <w:jc w:val="center"/>
              <w:textAlignment w:val="center"/>
              <w:rPr>
                <w:rFonts w:hint="eastAsia" w:ascii="宋体" w:hAnsi="宋体" w:eastAsia="宋体" w:cs="宋体"/>
                <w:b/>
                <w:bCs/>
                <w:color w:val="000000"/>
                <w:kern w:val="0"/>
                <w:szCs w:val="21"/>
                <w:highlight w:val="none"/>
                <w:lang w:eastAsia="zh-CN" w:bidi="ar"/>
              </w:rPr>
            </w:pPr>
            <w:r>
              <w:rPr>
                <w:rFonts w:hint="eastAsia" w:ascii="宋体" w:hAnsi="宋体" w:cs="宋体"/>
                <w:b/>
                <w:bCs/>
                <w:color w:val="000000"/>
                <w:kern w:val="0"/>
                <w:szCs w:val="21"/>
                <w:highlight w:val="none"/>
                <w:lang w:val="en-US" w:eastAsia="zh-CN" w:bidi="ar"/>
              </w:rPr>
              <w:t>实施单位</w:t>
            </w:r>
          </w:p>
        </w:tc>
        <w:tc>
          <w:tcPr>
            <w:tcW w:w="1333" w:type="dxa"/>
            <w:tcBorders>
              <w:bottom w:val="nil"/>
              <w:right w:val="dotted" w:color="auto" w:sz="4" w:space="0"/>
            </w:tcBorders>
            <w:shd w:val="clear" w:color="auto" w:fill="B8CCE4"/>
            <w:noWrap w:val="0"/>
            <w:vAlign w:val="center"/>
          </w:tcPr>
          <w:p>
            <w:pPr>
              <w:widowControl/>
              <w:jc w:val="center"/>
              <w:textAlignment w:val="center"/>
              <w:rPr>
                <w:rFonts w:hint="default" w:ascii="宋体" w:hAnsi="宋体" w:cs="宋体" w:eastAsiaTheme="minorEastAsia"/>
                <w:b/>
                <w:bCs/>
                <w:color w:val="000000"/>
                <w:kern w:val="0"/>
                <w:sz w:val="21"/>
                <w:szCs w:val="21"/>
                <w:highlight w:val="none"/>
                <w:lang w:val="en-US" w:eastAsia="zh-CN" w:bidi="ar"/>
              </w:rPr>
            </w:pPr>
            <w:r>
              <w:rPr>
                <w:rFonts w:hint="eastAsia" w:ascii="宋体" w:hAnsi="宋体" w:cs="宋体"/>
                <w:b/>
                <w:bCs/>
                <w:color w:val="000000"/>
                <w:kern w:val="0"/>
                <w:szCs w:val="21"/>
                <w:highlight w:val="none"/>
                <w:lang w:val="en-US" w:eastAsia="zh-CN" w:bidi="ar"/>
              </w:rPr>
              <w:t>全年预算数</w:t>
            </w:r>
          </w:p>
        </w:tc>
        <w:tc>
          <w:tcPr>
            <w:tcW w:w="1317" w:type="dxa"/>
            <w:tcBorders>
              <w:left w:val="dotted" w:color="auto" w:sz="4" w:space="0"/>
              <w:bottom w:val="nil"/>
            </w:tcBorders>
            <w:shd w:val="clear" w:color="auto" w:fill="B8CCE4"/>
            <w:noWrap w:val="0"/>
            <w:vAlign w:val="center"/>
          </w:tcPr>
          <w:p>
            <w:pPr>
              <w:widowControl/>
              <w:jc w:val="center"/>
              <w:textAlignment w:val="center"/>
              <w:rPr>
                <w:rFonts w:hint="default" w:ascii="宋体" w:hAnsi="宋体" w:cs="宋体" w:eastAsiaTheme="minorEastAsia"/>
                <w:b/>
                <w:bCs/>
                <w:color w:val="000000"/>
                <w:kern w:val="0"/>
                <w:sz w:val="21"/>
                <w:szCs w:val="21"/>
                <w:highlight w:val="none"/>
                <w:lang w:val="en-US" w:eastAsia="zh-CN" w:bidi="ar"/>
              </w:rPr>
            </w:pPr>
            <w:r>
              <w:rPr>
                <w:rFonts w:hint="eastAsia" w:ascii="宋体" w:hAnsi="宋体" w:cs="宋体"/>
                <w:b/>
                <w:bCs/>
                <w:color w:val="000000"/>
                <w:kern w:val="0"/>
                <w:szCs w:val="21"/>
                <w:highlight w:val="none"/>
                <w:lang w:val="en-US" w:eastAsia="zh-CN" w:bidi="ar"/>
              </w:rPr>
              <w:t>全年支出数</w:t>
            </w:r>
          </w:p>
        </w:tc>
        <w:tc>
          <w:tcPr>
            <w:tcW w:w="1283" w:type="dxa"/>
            <w:shd w:val="clear" w:color="auto" w:fill="B8CCE4"/>
            <w:noWrap w:val="0"/>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预算执行率</w:t>
            </w:r>
          </w:p>
        </w:tc>
        <w:tc>
          <w:tcPr>
            <w:tcW w:w="2688" w:type="dxa"/>
            <w:shd w:val="clear" w:color="auto" w:fill="B8CCE4"/>
            <w:noWrap w:val="0"/>
            <w:vAlign w:val="center"/>
          </w:tcPr>
          <w:p>
            <w:pPr>
              <w:widowControl/>
              <w:jc w:val="center"/>
              <w:textAlignment w:val="center"/>
              <w:rPr>
                <w:rFonts w:hint="default" w:ascii="宋体" w:hAnsi="宋体" w:cs="宋体" w:eastAsiaTheme="minorEastAsia"/>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偏差原因分析</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52" w:type="dxa"/>
            <w:noWrap/>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1682" w:type="dxa"/>
            <w:noWrap w:val="0"/>
            <w:vAlign w:val="center"/>
          </w:tcPr>
          <w:p>
            <w:pPr>
              <w:widowControl/>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甘肃省高级人民法院</w:t>
            </w:r>
          </w:p>
        </w:tc>
        <w:tc>
          <w:tcPr>
            <w:tcW w:w="1333" w:type="dxa"/>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 xml:space="preserve">535.24 </w:t>
            </w:r>
          </w:p>
        </w:tc>
        <w:tc>
          <w:tcPr>
            <w:tcW w:w="1317" w:type="dxa"/>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 xml:space="preserve">451.56 </w:t>
            </w:r>
          </w:p>
        </w:tc>
        <w:tc>
          <w:tcPr>
            <w:tcW w:w="1283" w:type="dxa"/>
            <w:noWrap/>
            <w:vAlign w:val="center"/>
          </w:tcPr>
          <w:p>
            <w:pPr>
              <w:keepNext w:val="0"/>
              <w:keepLines w:val="0"/>
              <w:widowControl/>
              <w:suppressLineNumbers w:val="0"/>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84.37%</w:t>
            </w:r>
          </w:p>
        </w:tc>
        <w:tc>
          <w:tcPr>
            <w:tcW w:w="2688" w:type="dxa"/>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highlight w:val="none"/>
                <w:lang w:val="en-US" w:eastAsia="zh-CN"/>
              </w:rPr>
              <w:t>物业安保人员工资下一年度进行发放，因此导致项目资金有所结余。</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52" w:type="dxa"/>
            <w:noWrap/>
            <w:vAlign w:val="center"/>
          </w:tcPr>
          <w:p>
            <w:pPr>
              <w:widowControl/>
              <w:jc w:val="center"/>
              <w:textAlignment w:val="center"/>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2</w:t>
            </w:r>
          </w:p>
        </w:tc>
        <w:tc>
          <w:tcPr>
            <w:tcW w:w="1682" w:type="dxa"/>
            <w:noWrap w:val="0"/>
            <w:vAlign w:val="center"/>
          </w:tcPr>
          <w:p>
            <w:pPr>
              <w:widowControl/>
              <w:jc w:val="lef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甘肃省法官学院分院</w:t>
            </w:r>
          </w:p>
        </w:tc>
        <w:tc>
          <w:tcPr>
            <w:tcW w:w="1333" w:type="dxa"/>
            <w:noWrap/>
            <w:vAlign w:val="center"/>
          </w:tcPr>
          <w:p>
            <w:pPr>
              <w:widowControl/>
              <w:jc w:val="right"/>
              <w:textAlignment w:val="center"/>
              <w:rPr>
                <w:rFonts w:hint="eastAsia"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129.00</w:t>
            </w:r>
          </w:p>
        </w:tc>
        <w:tc>
          <w:tcPr>
            <w:tcW w:w="1317" w:type="dxa"/>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 xml:space="preserve">115.44 </w:t>
            </w:r>
          </w:p>
        </w:tc>
        <w:tc>
          <w:tcPr>
            <w:tcW w:w="1283" w:type="dxa"/>
            <w:noWrap/>
            <w:vAlign w:val="center"/>
          </w:tcPr>
          <w:p>
            <w:pPr>
              <w:keepNext w:val="0"/>
              <w:keepLines w:val="0"/>
              <w:widowControl/>
              <w:suppressLineNumbers w:val="0"/>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89.49%</w:t>
            </w:r>
          </w:p>
        </w:tc>
        <w:tc>
          <w:tcPr>
            <w:tcW w:w="2688" w:type="dxa"/>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highlight w:val="none"/>
                <w:lang w:val="en-US" w:eastAsia="zh-CN"/>
              </w:rPr>
              <w:t>办公楼被征用为疫情点，物业未及时完成维修维护项目，待物业完成维修维护项目后支付款项。</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52" w:type="dxa"/>
            <w:noWrap/>
            <w:vAlign w:val="center"/>
          </w:tcPr>
          <w:p>
            <w:pPr>
              <w:widowControl/>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w:t>
            </w:r>
          </w:p>
        </w:tc>
        <w:tc>
          <w:tcPr>
            <w:tcW w:w="1682" w:type="dxa"/>
            <w:noWrap w:val="0"/>
            <w:vAlign w:val="center"/>
          </w:tcPr>
          <w:p>
            <w:pPr>
              <w:widowControl/>
              <w:jc w:val="left"/>
              <w:textAlignment w:val="center"/>
              <w:rPr>
                <w:rFonts w:hint="eastAsia"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甘肃省林区中级法院</w:t>
            </w:r>
          </w:p>
        </w:tc>
        <w:tc>
          <w:tcPr>
            <w:tcW w:w="1333" w:type="dxa"/>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44.30</w:t>
            </w:r>
          </w:p>
        </w:tc>
        <w:tc>
          <w:tcPr>
            <w:tcW w:w="1317" w:type="dxa"/>
            <w:noWrap/>
            <w:vAlign w:val="center"/>
          </w:tcPr>
          <w:p>
            <w:pPr>
              <w:widowControl/>
              <w:jc w:val="right"/>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 xml:space="preserve">23.42 </w:t>
            </w:r>
          </w:p>
        </w:tc>
        <w:tc>
          <w:tcPr>
            <w:tcW w:w="1283" w:type="dxa"/>
            <w:noWrap/>
            <w:vAlign w:val="center"/>
          </w:tcPr>
          <w:p>
            <w:pPr>
              <w:keepNext w:val="0"/>
              <w:keepLines w:val="0"/>
              <w:widowControl/>
              <w:suppressLineNumbers w:val="0"/>
              <w:jc w:val="right"/>
              <w:textAlignment w:val="center"/>
              <w:rPr>
                <w:rFonts w:hint="eastAsia" w:ascii="宋体" w:hAnsi="宋体" w:cs="宋体"/>
                <w:color w:val="000000"/>
                <w:kern w:val="0"/>
                <w:szCs w:val="21"/>
                <w:highlight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52.87%</w:t>
            </w:r>
          </w:p>
        </w:tc>
        <w:tc>
          <w:tcPr>
            <w:tcW w:w="2688" w:type="dxa"/>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本年度四季度物业费年末未支付，为次年1月份支出。</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52" w:type="dxa"/>
            <w:shd w:val="clear" w:color="auto" w:fill="C7DAF1"/>
            <w:noWrap/>
            <w:vAlign w:val="center"/>
          </w:tcPr>
          <w:p>
            <w:pPr>
              <w:widowControl/>
              <w:jc w:val="center"/>
              <w:textAlignment w:val="center"/>
              <w:rPr>
                <w:rFonts w:hint="eastAsia" w:ascii="宋体" w:hAnsi="宋体" w:cs="宋体"/>
                <w:b/>
                <w:bCs/>
                <w:color w:val="000000"/>
                <w:kern w:val="0"/>
                <w:szCs w:val="21"/>
                <w:highlight w:val="none"/>
                <w:lang w:bidi="ar"/>
              </w:rPr>
            </w:pPr>
          </w:p>
        </w:tc>
        <w:tc>
          <w:tcPr>
            <w:tcW w:w="1682" w:type="dxa"/>
            <w:shd w:val="clear" w:color="auto" w:fill="C7DAF1"/>
            <w:noWrap w:val="0"/>
            <w:vAlign w:val="center"/>
          </w:tcPr>
          <w:p>
            <w:pPr>
              <w:widowControl/>
              <w:jc w:val="center"/>
              <w:textAlignment w:val="center"/>
              <w:rPr>
                <w:rFonts w:hint="eastAsia"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合计</w:t>
            </w:r>
          </w:p>
        </w:tc>
        <w:tc>
          <w:tcPr>
            <w:tcW w:w="1333" w:type="dxa"/>
            <w:shd w:val="clear" w:color="auto" w:fill="C7DAF1"/>
            <w:noWrap/>
            <w:vAlign w:val="center"/>
          </w:tcPr>
          <w:p>
            <w:pPr>
              <w:keepNext w:val="0"/>
              <w:keepLines w:val="0"/>
              <w:widowControl/>
              <w:suppressLineNumbers w:val="0"/>
              <w:jc w:val="right"/>
              <w:textAlignment w:val="center"/>
              <w:rPr>
                <w:rFonts w:hint="eastAsia"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708.54</w:t>
            </w:r>
          </w:p>
        </w:tc>
        <w:tc>
          <w:tcPr>
            <w:tcW w:w="1317" w:type="dxa"/>
            <w:shd w:val="clear" w:color="auto" w:fill="C7DAF1"/>
            <w:noWrap/>
            <w:vAlign w:val="center"/>
          </w:tcPr>
          <w:p>
            <w:pPr>
              <w:keepNext w:val="0"/>
              <w:keepLines w:val="0"/>
              <w:widowControl/>
              <w:suppressLineNumbers w:val="0"/>
              <w:jc w:val="right"/>
              <w:textAlignment w:val="center"/>
              <w:rPr>
                <w:rFonts w:hint="default"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590.42</w:t>
            </w:r>
          </w:p>
        </w:tc>
        <w:tc>
          <w:tcPr>
            <w:tcW w:w="1283" w:type="dxa"/>
            <w:shd w:val="clear" w:color="auto" w:fill="C7DAF1"/>
            <w:noWrap/>
            <w:vAlign w:val="center"/>
          </w:tcPr>
          <w:p>
            <w:pPr>
              <w:keepNext w:val="0"/>
              <w:keepLines w:val="0"/>
              <w:widowControl/>
              <w:suppressLineNumbers w:val="0"/>
              <w:jc w:val="right"/>
              <w:textAlignment w:val="center"/>
              <w:rPr>
                <w:rFonts w:hint="default" w:ascii="宋体" w:hAnsi="宋体" w:eastAsia="宋体" w:cs="宋体"/>
                <w:b/>
                <w:bCs/>
                <w:color w:val="000000"/>
                <w:kern w:val="0"/>
                <w:szCs w:val="21"/>
                <w:highlight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83.33%</w:t>
            </w:r>
          </w:p>
        </w:tc>
        <w:tc>
          <w:tcPr>
            <w:tcW w:w="2688" w:type="dxa"/>
            <w:shd w:val="clear" w:color="auto" w:fill="C7DAF1"/>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1"/>
                <w:szCs w:val="21"/>
                <w:highlight w:val="none"/>
                <w:u w:val="none"/>
                <w:lang w:val="en-US" w:eastAsia="zh-CN" w:bidi="ar"/>
              </w:rPr>
            </w:pPr>
          </w:p>
        </w:tc>
      </w:tr>
      <w:bookmarkEnd w:id="175"/>
    </w:tbl>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3" w:firstLineChars="200"/>
        <w:textAlignment w:val="auto"/>
        <w:outlineLvl w:val="1"/>
        <w:rPr>
          <w:rStyle w:val="25"/>
          <w:rFonts w:hint="eastAsia" w:ascii="楷体" w:hAnsi="楷体" w:eastAsia="楷体" w:cs="楷体"/>
          <w:szCs w:val="32"/>
          <w:highlight w:val="none"/>
          <w:lang w:val="en-US" w:eastAsia="zh-CN"/>
        </w:rPr>
      </w:pPr>
      <w:bookmarkStart w:id="176" w:name="_Toc29013"/>
      <w:bookmarkStart w:id="177" w:name="_Toc4290"/>
      <w:bookmarkStart w:id="178" w:name="_Toc10778"/>
      <w:bookmarkStart w:id="179" w:name="_Toc8095"/>
      <w:r>
        <w:rPr>
          <w:rStyle w:val="25"/>
          <w:rFonts w:hint="eastAsia" w:ascii="楷体" w:hAnsi="楷体" w:eastAsia="楷体" w:cs="楷体"/>
          <w:szCs w:val="32"/>
          <w:highlight w:val="none"/>
          <w:lang w:val="en-US" w:eastAsia="zh-CN"/>
        </w:rPr>
        <w:t>绩效目标编制有待进一步规范</w:t>
      </w:r>
      <w:bookmarkEnd w:id="176"/>
      <w:bookmarkEnd w:id="177"/>
    </w:p>
    <w:p>
      <w:pPr>
        <w:pStyle w:val="20"/>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highlight w:val="none"/>
          <w:lang w:val="en-US" w:eastAsia="zh-CN"/>
        </w:rPr>
      </w:pPr>
      <w:r>
        <w:rPr>
          <w:rFonts w:hint="eastAsia" w:ascii="仿宋_GB2312" w:hAnsi="仿宋_GB2312" w:eastAsia="仿宋_GB2312" w:cs="仿宋_GB2312"/>
          <w:sz w:val="32"/>
          <w:szCs w:val="32"/>
          <w:highlight w:val="none"/>
          <w:lang w:val="en-US" w:eastAsia="zh-CN"/>
        </w:rPr>
        <w:t>经查看省法院及直属单位12家法院绩效目标表，主要存在以下两个问题：一是存在绩效指标及目标值设置不合理的情况。二级项目绩效目标表中数量指标“保障全省法院数量”，目标值为112家，该指标目标值设置有误，实际应保障12家；经济效益指标“物业有效投诉处理率、有效保障审判服务”属于社会效益指标。二是武威铁路运输法院指标设置与项目计划实施内容不符，物业费绩效目标表中产出指标设置为：参加培训期数、审理各类案件完成情况、法制宣传效果、专用设备采购及时性、受理案件及时性等指标，指标设置与项目实际内容不符。</w:t>
      </w:r>
    </w:p>
    <w:bookmarkEnd w:id="178"/>
    <w:bookmarkEnd w:id="179"/>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szCs w:val="32"/>
          <w:highlight w:val="none"/>
          <w:lang w:val="en-US" w:eastAsia="zh-CN"/>
        </w:rPr>
      </w:pPr>
      <w:bookmarkStart w:id="180" w:name="_Toc12328"/>
      <w:bookmarkStart w:id="181" w:name="_Toc31905"/>
      <w:bookmarkStart w:id="182" w:name="_Toc17195"/>
      <w:bookmarkStart w:id="183" w:name="_Toc8184"/>
      <w:bookmarkStart w:id="184" w:name="_Toc15618"/>
      <w:r>
        <w:rPr>
          <w:rStyle w:val="25"/>
          <w:rFonts w:hint="eastAsia" w:ascii="楷体" w:hAnsi="楷体" w:eastAsia="楷体" w:cs="楷体"/>
          <w:szCs w:val="32"/>
          <w:highlight w:val="none"/>
        </w:rPr>
        <w:t>（</w:t>
      </w:r>
      <w:r>
        <w:rPr>
          <w:rStyle w:val="25"/>
          <w:rFonts w:hint="eastAsia" w:ascii="楷体" w:hAnsi="楷体" w:eastAsia="楷体" w:cs="楷体"/>
          <w:szCs w:val="32"/>
          <w:highlight w:val="none"/>
          <w:lang w:val="en-US" w:eastAsia="zh-CN"/>
        </w:rPr>
        <w:t>三</w:t>
      </w:r>
      <w:r>
        <w:rPr>
          <w:rStyle w:val="25"/>
          <w:rFonts w:hint="eastAsia" w:ascii="楷体" w:hAnsi="楷体" w:eastAsia="楷体" w:cs="楷体"/>
          <w:szCs w:val="32"/>
          <w:highlight w:val="none"/>
        </w:rPr>
        <w:t>）</w:t>
      </w:r>
      <w:bookmarkEnd w:id="180"/>
      <w:r>
        <w:rPr>
          <w:rStyle w:val="25"/>
          <w:rFonts w:hint="eastAsia" w:ascii="楷体" w:hAnsi="楷体" w:eastAsia="楷体" w:cs="楷体"/>
          <w:szCs w:val="32"/>
          <w:highlight w:val="none"/>
        </w:rPr>
        <w:t>指标未</w:t>
      </w:r>
      <w:bookmarkEnd w:id="181"/>
      <w:bookmarkEnd w:id="182"/>
      <w:bookmarkEnd w:id="183"/>
      <w:r>
        <w:rPr>
          <w:rStyle w:val="25"/>
          <w:rFonts w:hint="eastAsia" w:ascii="楷体" w:hAnsi="楷体" w:eastAsia="楷体" w:cs="楷体"/>
          <w:szCs w:val="32"/>
          <w:highlight w:val="none"/>
          <w:lang w:val="en-US" w:eastAsia="zh-CN"/>
        </w:rPr>
        <w:t>达到年度目标</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bookmarkStart w:id="185" w:name="_Toc15596"/>
      <w:bookmarkStart w:id="186" w:name="_Toc28102"/>
      <w:bookmarkStart w:id="187" w:name="_Toc13907"/>
      <w:r>
        <w:rPr>
          <w:rFonts w:hint="eastAsia" w:ascii="仿宋_GB2312" w:hAnsi="仿宋_GB2312" w:cs="仿宋_GB2312"/>
          <w:highlight w:val="none"/>
          <w:lang w:val="en-US" w:eastAsia="zh-CN"/>
        </w:rPr>
        <w:t>公共设施运行维护完成率指标未达到年度目标值。受疫情影响，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甘肃省法院学院分院楼体被征用为疫情点，物业未及时完成维修维护项目，待物业完成维修维护后支付款项。</w:t>
      </w:r>
    </w:p>
    <w:bookmarkEnd w:id="171"/>
    <w:bookmarkEnd w:id="172"/>
    <w:bookmarkEnd w:id="184"/>
    <w:bookmarkEnd w:id="185"/>
    <w:bookmarkEnd w:id="186"/>
    <w:bookmarkEnd w:id="187"/>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cs="仿宋"/>
          <w:highlight w:val="none"/>
        </w:rPr>
      </w:pPr>
      <w:bookmarkStart w:id="188" w:name="_Toc15149"/>
      <w:bookmarkStart w:id="189" w:name="_Toc20992"/>
      <w:bookmarkStart w:id="190" w:name="_Toc5738"/>
      <w:r>
        <w:rPr>
          <w:rFonts w:hint="eastAsia" w:ascii="黑体" w:hAnsi="黑体" w:eastAsia="黑体" w:cs="仿宋"/>
          <w:highlight w:val="none"/>
        </w:rPr>
        <w:t>八、有关建议</w:t>
      </w:r>
      <w:bookmarkEnd w:id="188"/>
      <w:bookmarkEnd w:id="189"/>
      <w:bookmarkEnd w:id="190"/>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szCs w:val="32"/>
          <w:highlight w:val="none"/>
          <w:lang w:val="en-US" w:eastAsia="zh-CN"/>
        </w:rPr>
      </w:pPr>
      <w:bookmarkStart w:id="191" w:name="_Toc14595"/>
      <w:bookmarkStart w:id="192" w:name="_Toc2425"/>
      <w:bookmarkStart w:id="193" w:name="_Toc5096"/>
      <w:bookmarkStart w:id="194" w:name="_Toc10522"/>
      <w:r>
        <w:rPr>
          <w:rStyle w:val="25"/>
          <w:rFonts w:hint="eastAsia" w:ascii="楷体" w:hAnsi="楷体" w:eastAsia="楷体" w:cs="楷体"/>
          <w:szCs w:val="32"/>
          <w:highlight w:val="none"/>
        </w:rPr>
        <w:t>（一）细化预算编制，</w:t>
      </w:r>
      <w:bookmarkEnd w:id="191"/>
      <w:bookmarkEnd w:id="192"/>
      <w:bookmarkEnd w:id="193"/>
      <w:bookmarkEnd w:id="194"/>
      <w:r>
        <w:rPr>
          <w:rStyle w:val="25"/>
          <w:rFonts w:hint="eastAsia" w:ascii="楷体" w:hAnsi="楷体" w:eastAsia="楷体" w:cs="楷体"/>
          <w:szCs w:val="32"/>
          <w:highlight w:val="none"/>
          <w:lang w:val="en-US" w:eastAsia="zh-CN"/>
        </w:rPr>
        <w:t>提高预算资金使用效益</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highlight w:val="none"/>
        </w:rPr>
      </w:pPr>
      <w:r>
        <w:rPr>
          <w:rFonts w:hint="eastAsia" w:ascii="仿宋_GB2312" w:hAnsi="仿宋_GB2312" w:eastAsia="仿宋_GB2312" w:cs="仿宋_GB2312"/>
          <w:highlight w:val="none"/>
          <w:lang w:val="en-US" w:eastAsia="zh-CN"/>
        </w:rPr>
        <w:t>一是按照《预算法》及其实施条例的相关规定、政策规定及项目的实施计划，结合上一年度预算执行情况和本年度预算收支变化因素，科学、合理地编制项目预算。二是落实预算执行分析，及时了解预算执行差异，合理调整、纠正预算执行偏差，切实提高部门预算收支管理水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szCs w:val="32"/>
          <w:highlight w:val="none"/>
          <w:lang w:val="en-US" w:eastAsia="zh-CN"/>
        </w:rPr>
      </w:pPr>
      <w:bookmarkStart w:id="195" w:name="_Toc26807"/>
      <w:bookmarkStart w:id="196" w:name="_Toc5135"/>
      <w:bookmarkStart w:id="197" w:name="_Toc19966"/>
      <w:bookmarkStart w:id="198" w:name="_Toc21704"/>
      <w:r>
        <w:rPr>
          <w:rStyle w:val="25"/>
          <w:rFonts w:hint="eastAsia" w:ascii="楷体" w:hAnsi="楷体" w:eastAsia="楷体" w:cs="楷体"/>
          <w:szCs w:val="32"/>
          <w:highlight w:val="none"/>
        </w:rPr>
        <w:t>（二）</w:t>
      </w:r>
      <w:bookmarkEnd w:id="195"/>
      <w:bookmarkEnd w:id="196"/>
      <w:bookmarkEnd w:id="197"/>
      <w:r>
        <w:rPr>
          <w:rStyle w:val="25"/>
          <w:rFonts w:hint="eastAsia" w:ascii="楷体" w:hAnsi="楷体" w:eastAsia="楷体" w:cs="楷体"/>
          <w:szCs w:val="32"/>
          <w:highlight w:val="none"/>
          <w:lang w:eastAsia="zh-CN"/>
        </w:rPr>
        <w:t>加强绩效管理，</w:t>
      </w:r>
      <w:bookmarkEnd w:id="198"/>
      <w:r>
        <w:rPr>
          <w:rStyle w:val="25"/>
          <w:rFonts w:hint="eastAsia" w:ascii="楷体" w:hAnsi="楷体" w:eastAsia="楷体" w:cs="楷体"/>
          <w:szCs w:val="32"/>
          <w:highlight w:val="none"/>
          <w:lang w:val="en-US" w:eastAsia="zh-CN"/>
        </w:rPr>
        <w:t>提高绩效目标设置的合理性、明确性</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一是</w:t>
      </w:r>
      <w:r>
        <w:rPr>
          <w:rFonts w:hint="eastAsia" w:ascii="仿宋_GB2312" w:hAnsi="仿宋_GB2312" w:eastAsia="仿宋_GB2312" w:cs="仿宋_GB2312"/>
          <w:highlight w:val="none"/>
          <w:lang w:eastAsia="zh-CN"/>
        </w:rPr>
        <w:t>项目实施单位在编制预算时，应根据项目立项依据文件和实施方案，明确项目建设总绩效目标与分年度绩效目标，详细描述项目产出，对项目产生的效益进行科学论证分析，制定切合实际的绩效指标。</w:t>
      </w:r>
      <w:r>
        <w:rPr>
          <w:rFonts w:hint="eastAsia" w:ascii="仿宋_GB2312" w:hAnsi="仿宋_GB2312" w:cs="仿宋_GB2312"/>
          <w:highlight w:val="none"/>
          <w:lang w:val="en-US" w:eastAsia="zh-CN"/>
        </w:rPr>
        <w:t>二是组织开展预算绩效管理相关业务知识和技能培训，帮助项目实施单位相关的业务人员掌握编制绩效目标的原理和方法，从而提高绩效目标编制的水平和质量。三是</w:t>
      </w:r>
      <w:r>
        <w:rPr>
          <w:rFonts w:hint="eastAsia" w:ascii="仿宋_GB2312" w:hAnsi="仿宋_GB2312" w:eastAsia="仿宋_GB2312" w:cs="仿宋_GB2312"/>
          <w:highlight w:val="none"/>
          <w:lang w:eastAsia="zh-CN"/>
        </w:rPr>
        <w:t>项目单位应</w:t>
      </w:r>
      <w:r>
        <w:rPr>
          <w:rFonts w:hint="eastAsia" w:ascii="仿宋_GB2312" w:hAnsi="仿宋_GB2312" w:cs="仿宋_GB2312"/>
          <w:highlight w:val="none"/>
          <w:lang w:eastAsia="zh-CN"/>
        </w:rPr>
        <w:t>增强</w:t>
      </w:r>
      <w:r>
        <w:rPr>
          <w:rFonts w:hint="eastAsia" w:ascii="仿宋_GB2312" w:hAnsi="仿宋_GB2312" w:eastAsia="仿宋_GB2312" w:cs="仿宋_GB2312"/>
          <w:highlight w:val="none"/>
          <w:lang w:eastAsia="zh-CN"/>
        </w:rPr>
        <w:t>绩效意识，增强绩效目标设定的科学性、合理性和可实现性。加强财政专项资金管理，强化支出责任，建立科学、合理的资金绩效评价管理体系，提高财政专项资金使用效益</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仿宋"/>
          <w:highlight w:val="none"/>
        </w:rPr>
      </w:pPr>
      <w:bookmarkStart w:id="199" w:name="_Toc20052"/>
      <w:bookmarkStart w:id="200" w:name="_Toc14765"/>
      <w:bookmarkStart w:id="201" w:name="_Toc8653"/>
      <w:r>
        <w:rPr>
          <w:rFonts w:hint="eastAsia" w:ascii="黑体" w:hAnsi="黑体" w:eastAsia="黑体" w:cs="仿宋"/>
          <w:highlight w:val="none"/>
        </w:rPr>
        <w:t>九、需要说明的问题</w:t>
      </w:r>
      <w:bookmarkEnd w:id="199"/>
      <w:bookmarkEnd w:id="200"/>
      <w:bookmarkEnd w:id="201"/>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无。</w:t>
      </w:r>
    </w:p>
    <w:p>
      <w:pPr>
        <w:pStyle w:val="2"/>
        <w:spacing w:line="660" w:lineRule="exact"/>
        <w:ind w:left="111" w:right="125" w:firstLine="639"/>
        <w:rPr>
          <w:rFonts w:ascii="仿宋" w:hAnsi="仿宋" w:eastAsia="仿宋" w:cs="仿宋"/>
          <w:highlight w:val="none"/>
        </w:rPr>
      </w:pPr>
      <w:r>
        <w:rPr>
          <w:rFonts w:hint="eastAsia" w:ascii="仿宋" w:hAnsi="仿宋" w:eastAsia="仿宋" w:cs="仿宋"/>
          <w:highlight w:val="none"/>
        </w:rPr>
        <w:t xml:space="preserve">                    </w:t>
      </w:r>
      <w:bookmarkStart w:id="202" w:name="_Toc28005"/>
    </w:p>
    <w:p>
      <w:pPr>
        <w:rPr>
          <w:rFonts w:hint="eastAsia" w:ascii="仿宋" w:hAnsi="仿宋" w:eastAsia="仿宋" w:cs="仿宋"/>
          <w:highlight w:val="none"/>
        </w:rPr>
      </w:pPr>
      <w:r>
        <w:rPr>
          <w:rFonts w:hint="eastAsia" w:ascii="仿宋" w:hAnsi="仿宋" w:eastAsia="仿宋" w:cs="仿宋"/>
          <w:highlight w:val="none"/>
        </w:rPr>
        <w:br w:type="page"/>
      </w:r>
    </w:p>
    <w:p>
      <w:pPr>
        <w:pStyle w:val="2"/>
        <w:spacing w:line="660" w:lineRule="exact"/>
        <w:outlineLvl w:val="9"/>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本页无正文</w:t>
      </w:r>
      <w:r>
        <w:rPr>
          <w:rFonts w:hint="eastAsia" w:ascii="仿宋" w:hAnsi="仿宋" w:eastAsia="仿宋" w:cs="仿宋"/>
          <w:highlight w:val="none"/>
          <w:lang w:eastAsia="zh-CN"/>
        </w:rPr>
        <w:t>）</w:t>
      </w:r>
    </w:p>
    <w:p>
      <w:pPr>
        <w:pStyle w:val="2"/>
        <w:spacing w:line="660" w:lineRule="exact"/>
        <w:outlineLvl w:val="9"/>
        <w:rPr>
          <w:rFonts w:ascii="仿宋" w:hAnsi="仿宋" w:eastAsia="仿宋" w:cs="仿宋"/>
          <w:highlight w:val="none"/>
        </w:rPr>
      </w:pPr>
      <w:r>
        <w:rPr>
          <w:rFonts w:hint="eastAsia" w:ascii="仿宋" w:hAnsi="仿宋" w:eastAsia="仿宋" w:cs="仿宋"/>
          <w:highlight w:val="none"/>
        </w:rPr>
        <w:t>附表：1.</w:t>
      </w:r>
      <w:bookmarkEnd w:id="202"/>
      <w:r>
        <w:rPr>
          <w:rFonts w:hint="eastAsia" w:ascii="仿宋" w:hAnsi="仿宋" w:eastAsia="仿宋" w:cs="仿宋"/>
          <w:highlight w:val="none"/>
        </w:rPr>
        <w:t>物业费项目支出绩效评价评分表</w:t>
      </w:r>
    </w:p>
    <w:p>
      <w:pPr>
        <w:pStyle w:val="2"/>
        <w:keepNext w:val="0"/>
        <w:keepLines w:val="0"/>
        <w:pageBreakBefore w:val="0"/>
        <w:widowControl w:val="0"/>
        <w:kinsoku/>
        <w:wordWrap/>
        <w:overflowPunct/>
        <w:topLinePunct w:val="0"/>
        <w:autoSpaceDE/>
        <w:autoSpaceDN/>
        <w:bidi w:val="0"/>
        <w:adjustRightInd w:val="0"/>
        <w:snapToGrid w:val="0"/>
        <w:spacing w:line="660" w:lineRule="exact"/>
        <w:ind w:firstLine="960" w:firstLineChars="300"/>
        <w:jc w:val="left"/>
        <w:textAlignment w:val="auto"/>
        <w:outlineLvl w:val="9"/>
        <w:rPr>
          <w:rFonts w:ascii="仿宋" w:hAnsi="仿宋" w:eastAsia="仿宋" w:cs="仿宋"/>
          <w:highlight w:val="none"/>
        </w:rPr>
      </w:pPr>
      <w:bookmarkStart w:id="203" w:name="_Toc15958"/>
      <w:r>
        <w:rPr>
          <w:rFonts w:hint="eastAsia" w:ascii="仿宋" w:hAnsi="仿宋" w:eastAsia="仿宋" w:cs="仿宋"/>
          <w:highlight w:val="none"/>
        </w:rPr>
        <w:t>2.物业费项目问题清单</w:t>
      </w:r>
    </w:p>
    <w:bookmarkEnd w:id="203"/>
    <w:p>
      <w:pPr>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r>
        <w:rPr>
          <w:rFonts w:hint="eastAsia" w:ascii="仿宋" w:hAnsi="仿宋" w:eastAsia="仿宋" w:cs="仿宋"/>
          <w:sz w:val="32"/>
          <w:szCs w:val="32"/>
          <w:highlight w:val="none"/>
        </w:rPr>
        <w:t xml:space="preserve">                           甘肃卓诚财务咨询有限公司</w:t>
      </w:r>
    </w:p>
    <w:p>
      <w:pPr>
        <w:pStyle w:val="12"/>
        <w:rPr>
          <w:rFonts w:ascii="仿宋" w:hAnsi="仿宋" w:eastAsia="仿宋" w:cs="仿宋"/>
          <w:sz w:val="32"/>
          <w:szCs w:val="32"/>
          <w:highlight w:val="none"/>
        </w:rPr>
      </w:pPr>
      <w:r>
        <w:rPr>
          <w:rFonts w:hint="eastAsia" w:ascii="仿宋" w:hAnsi="仿宋" w:eastAsia="仿宋" w:cs="仿宋"/>
          <w:sz w:val="32"/>
          <w:szCs w:val="32"/>
          <w:highlight w:val="none"/>
        </w:rPr>
        <w:t xml:space="preserve">                                     </w:t>
      </w:r>
    </w:p>
    <w:p>
      <w:pPr>
        <w:pStyle w:val="12"/>
        <w:ind w:firstLine="5120" w:firstLineChars="1600"/>
        <w:rPr>
          <w:rFonts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29</w:t>
      </w:r>
      <w:r>
        <w:rPr>
          <w:rFonts w:hint="eastAsia" w:ascii="仿宋" w:hAnsi="仿宋" w:eastAsia="仿宋" w:cs="仿宋"/>
          <w:sz w:val="32"/>
          <w:szCs w:val="3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175363F-5B48-4481-851D-D9BBC2A6AF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177DFA89-B78A-40A0-98A7-0DFD17108777}"/>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7CE6FB26-79B5-4F0C-AF6F-7C0119A5FDC3}"/>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embedRegular r:id="rId4" w:fontKey="{81DEC332-F9A1-49BA-8A93-55AA82CD7A1B}"/>
  </w:font>
  <w:font w:name="楷体">
    <w:panose1 w:val="02010609060101010101"/>
    <w:charset w:val="86"/>
    <w:family w:val="modern"/>
    <w:pitch w:val="default"/>
    <w:sig w:usb0="800002BF" w:usb1="38CF7CFA" w:usb2="00000016" w:usb3="00000000" w:csb0="00040001" w:csb1="00000000"/>
    <w:embedRegular r:id="rId5" w:fontKey="{9AE4ABEF-DEFB-4841-B2ED-19CB66D57AC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rPr>
        <w:rFonts w:hint="eastAsia" w:ascii="黑体" w:hAnsi="黑体" w:eastAsia="黑体" w:cs="黑体"/>
        <w:b w:val="0"/>
        <w:bCs w:val="0"/>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rPr>
        <w:rFonts w:hint="eastAsia" w:ascii="黑体" w:hAnsi="黑体" w:eastAsia="黑体" w:cs="黑体"/>
        <w:b w:val="0"/>
        <w:bCs w:val="0"/>
      </w:rP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rPr>
        <w:rFonts w:hint="eastAsia" w:ascii="黑体" w:hAnsi="黑体" w:eastAsia="黑体" w:cs="黑体"/>
        <w:b w:val="0"/>
        <w:bCs w:val="0"/>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rPr>
        <w:rFonts w:hint="eastAsia" w:ascii="黑体" w:hAnsi="黑体" w:eastAsia="黑体" w:cs="黑体"/>
        <w:b w:val="0"/>
        <w:bCs w:val="0"/>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p>
    <w:pPr>
      <w:pStyle w:val="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87246988"/>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487246988"/>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18"/>
                    </w:pP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13335"/>
          <wp:docPr id="9" name="图片 9"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绩效评价报告</w:t>
    </w:r>
  </w:p>
  <w:p>
    <w:pPr>
      <w:pStyle w:val="12"/>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13335"/>
          <wp:docPr id="10" name="图片 10"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绩效评价报告</w:t>
    </w:r>
  </w:p>
  <w:p>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359D87"/>
    <w:multiLevelType w:val="singleLevel"/>
    <w:tmpl w:val="CB359D87"/>
    <w:lvl w:ilvl="0" w:tentative="0">
      <w:start w:val="2"/>
      <w:numFmt w:val="chineseCounting"/>
      <w:suff w:val="nothing"/>
      <w:lvlText w:val="（%1）"/>
      <w:lvlJc w:val="left"/>
      <w:rPr>
        <w:rFonts w:hint="eastAsia"/>
      </w:rPr>
    </w:lvl>
  </w:abstractNum>
  <w:abstractNum w:abstractNumId="1">
    <w:nsid w:val="1A7D1ACB"/>
    <w:multiLevelType w:val="singleLevel"/>
    <w:tmpl w:val="1A7D1ACB"/>
    <w:lvl w:ilvl="0" w:tentative="0">
      <w:start w:val="5"/>
      <w:numFmt w:val="chineseCounting"/>
      <w:suff w:val="nothing"/>
      <w:lvlText w:val="%1、"/>
      <w:lvlJc w:val="left"/>
      <w:rPr>
        <w:rFonts w:hint="eastAsia"/>
      </w:rPr>
    </w:lvl>
  </w:abstractNum>
  <w:abstractNum w:abstractNumId="2">
    <w:nsid w:val="7B6D6B77"/>
    <w:multiLevelType w:val="singleLevel"/>
    <w:tmpl w:val="7B6D6B77"/>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lYmY1MTgwOGU5Yjc1ZjhiNGE5NWFhODQxN2YyNjIifQ=="/>
  </w:docVars>
  <w:rsids>
    <w:rsidRoot w:val="0F9473FE"/>
    <w:rsid w:val="0000216A"/>
    <w:rsid w:val="00037090"/>
    <w:rsid w:val="00046BCA"/>
    <w:rsid w:val="00051C05"/>
    <w:rsid w:val="00064326"/>
    <w:rsid w:val="000643BA"/>
    <w:rsid w:val="000753A4"/>
    <w:rsid w:val="000A4E2C"/>
    <w:rsid w:val="000C1B1E"/>
    <w:rsid w:val="000F2060"/>
    <w:rsid w:val="000F34E0"/>
    <w:rsid w:val="00100C77"/>
    <w:rsid w:val="001104A4"/>
    <w:rsid w:val="001105B7"/>
    <w:rsid w:val="00112EEC"/>
    <w:rsid w:val="001318C8"/>
    <w:rsid w:val="00137C9D"/>
    <w:rsid w:val="00140940"/>
    <w:rsid w:val="0014363A"/>
    <w:rsid w:val="001531B6"/>
    <w:rsid w:val="0015398F"/>
    <w:rsid w:val="00170334"/>
    <w:rsid w:val="00172CD5"/>
    <w:rsid w:val="00172DFF"/>
    <w:rsid w:val="001B6342"/>
    <w:rsid w:val="00203DC9"/>
    <w:rsid w:val="00232042"/>
    <w:rsid w:val="002324DF"/>
    <w:rsid w:val="00246D16"/>
    <w:rsid w:val="002555FD"/>
    <w:rsid w:val="00256EBC"/>
    <w:rsid w:val="00267454"/>
    <w:rsid w:val="002967A9"/>
    <w:rsid w:val="00296D38"/>
    <w:rsid w:val="002A7299"/>
    <w:rsid w:val="002D1330"/>
    <w:rsid w:val="002D789A"/>
    <w:rsid w:val="002D79DD"/>
    <w:rsid w:val="002E3891"/>
    <w:rsid w:val="002E6422"/>
    <w:rsid w:val="002F33E7"/>
    <w:rsid w:val="00307F85"/>
    <w:rsid w:val="0031439E"/>
    <w:rsid w:val="00351E08"/>
    <w:rsid w:val="00355885"/>
    <w:rsid w:val="00355CF4"/>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900CD"/>
    <w:rsid w:val="0079033E"/>
    <w:rsid w:val="007A100D"/>
    <w:rsid w:val="007C2CDD"/>
    <w:rsid w:val="007C7458"/>
    <w:rsid w:val="007D441F"/>
    <w:rsid w:val="007E3DA4"/>
    <w:rsid w:val="0080585C"/>
    <w:rsid w:val="00822FBE"/>
    <w:rsid w:val="00831664"/>
    <w:rsid w:val="00832BAA"/>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68A7"/>
    <w:rsid w:val="008F3CDC"/>
    <w:rsid w:val="0092595D"/>
    <w:rsid w:val="00951D57"/>
    <w:rsid w:val="009522FA"/>
    <w:rsid w:val="00952A97"/>
    <w:rsid w:val="009532AE"/>
    <w:rsid w:val="009556AA"/>
    <w:rsid w:val="00962C53"/>
    <w:rsid w:val="00984208"/>
    <w:rsid w:val="009A5F10"/>
    <w:rsid w:val="009C488C"/>
    <w:rsid w:val="009C7579"/>
    <w:rsid w:val="00A0647F"/>
    <w:rsid w:val="00A130AA"/>
    <w:rsid w:val="00A4749D"/>
    <w:rsid w:val="00A50ACF"/>
    <w:rsid w:val="00A65C51"/>
    <w:rsid w:val="00A779D6"/>
    <w:rsid w:val="00A94859"/>
    <w:rsid w:val="00A95371"/>
    <w:rsid w:val="00AA7F7A"/>
    <w:rsid w:val="00AE6EF7"/>
    <w:rsid w:val="00AF3AD7"/>
    <w:rsid w:val="00B07904"/>
    <w:rsid w:val="00B07C4B"/>
    <w:rsid w:val="00B14C20"/>
    <w:rsid w:val="00B2231F"/>
    <w:rsid w:val="00B31FF4"/>
    <w:rsid w:val="00B570AE"/>
    <w:rsid w:val="00B61F9A"/>
    <w:rsid w:val="00B77331"/>
    <w:rsid w:val="00B9317B"/>
    <w:rsid w:val="00B95E7C"/>
    <w:rsid w:val="00BC1290"/>
    <w:rsid w:val="00BD3CCA"/>
    <w:rsid w:val="00BD632C"/>
    <w:rsid w:val="00C010A7"/>
    <w:rsid w:val="00C34C1C"/>
    <w:rsid w:val="00C4547F"/>
    <w:rsid w:val="00C63032"/>
    <w:rsid w:val="00C84D69"/>
    <w:rsid w:val="00CA5249"/>
    <w:rsid w:val="00CB64D6"/>
    <w:rsid w:val="00CE12D1"/>
    <w:rsid w:val="00D37060"/>
    <w:rsid w:val="00D40F23"/>
    <w:rsid w:val="00D42B30"/>
    <w:rsid w:val="00D71E50"/>
    <w:rsid w:val="00D71E6D"/>
    <w:rsid w:val="00D7279D"/>
    <w:rsid w:val="00D76F46"/>
    <w:rsid w:val="00D97669"/>
    <w:rsid w:val="00DC76C2"/>
    <w:rsid w:val="00DD753B"/>
    <w:rsid w:val="00DE6582"/>
    <w:rsid w:val="00E070C6"/>
    <w:rsid w:val="00E35CB0"/>
    <w:rsid w:val="00E67E6B"/>
    <w:rsid w:val="00E7278C"/>
    <w:rsid w:val="00EB0813"/>
    <w:rsid w:val="00ED264E"/>
    <w:rsid w:val="00ED2CC9"/>
    <w:rsid w:val="00ED629E"/>
    <w:rsid w:val="00EE1878"/>
    <w:rsid w:val="00EE1E54"/>
    <w:rsid w:val="00EE2984"/>
    <w:rsid w:val="00F1037C"/>
    <w:rsid w:val="00F12EF7"/>
    <w:rsid w:val="00F613D1"/>
    <w:rsid w:val="00F62C47"/>
    <w:rsid w:val="00F772C2"/>
    <w:rsid w:val="00F80F07"/>
    <w:rsid w:val="00F835CD"/>
    <w:rsid w:val="00FA6867"/>
    <w:rsid w:val="00FD1277"/>
    <w:rsid w:val="00FD6444"/>
    <w:rsid w:val="028221E3"/>
    <w:rsid w:val="03A55E36"/>
    <w:rsid w:val="03E97283"/>
    <w:rsid w:val="045645C0"/>
    <w:rsid w:val="08F22909"/>
    <w:rsid w:val="09412D13"/>
    <w:rsid w:val="0A0319A4"/>
    <w:rsid w:val="0AE56961"/>
    <w:rsid w:val="0F9473FE"/>
    <w:rsid w:val="0FF03D3B"/>
    <w:rsid w:val="10D92909"/>
    <w:rsid w:val="13071A5B"/>
    <w:rsid w:val="136B21AB"/>
    <w:rsid w:val="142D5185"/>
    <w:rsid w:val="15114352"/>
    <w:rsid w:val="155B54FD"/>
    <w:rsid w:val="178E68E1"/>
    <w:rsid w:val="17AC7E0C"/>
    <w:rsid w:val="17ED6A80"/>
    <w:rsid w:val="187769F1"/>
    <w:rsid w:val="19871A5C"/>
    <w:rsid w:val="19F11392"/>
    <w:rsid w:val="1AF50048"/>
    <w:rsid w:val="1D3061C4"/>
    <w:rsid w:val="1F037124"/>
    <w:rsid w:val="21122935"/>
    <w:rsid w:val="226D6F9C"/>
    <w:rsid w:val="22B834CC"/>
    <w:rsid w:val="22BA6C58"/>
    <w:rsid w:val="22F977E7"/>
    <w:rsid w:val="24B3368D"/>
    <w:rsid w:val="24FF4DBF"/>
    <w:rsid w:val="256D300D"/>
    <w:rsid w:val="26AD333E"/>
    <w:rsid w:val="26C47DB8"/>
    <w:rsid w:val="277C2B6C"/>
    <w:rsid w:val="29D3737E"/>
    <w:rsid w:val="2C311F48"/>
    <w:rsid w:val="2CB02D9F"/>
    <w:rsid w:val="2D355136"/>
    <w:rsid w:val="2D637948"/>
    <w:rsid w:val="2DE11507"/>
    <w:rsid w:val="2E3A29A3"/>
    <w:rsid w:val="2E5073D1"/>
    <w:rsid w:val="323B4EED"/>
    <w:rsid w:val="32861DCE"/>
    <w:rsid w:val="32B1544F"/>
    <w:rsid w:val="332A60C3"/>
    <w:rsid w:val="336851BD"/>
    <w:rsid w:val="34534729"/>
    <w:rsid w:val="38830D8A"/>
    <w:rsid w:val="38C45C47"/>
    <w:rsid w:val="39116BAB"/>
    <w:rsid w:val="3B486CE4"/>
    <w:rsid w:val="3BF42446"/>
    <w:rsid w:val="3C6E1044"/>
    <w:rsid w:val="3CFA7AC8"/>
    <w:rsid w:val="3E1D2536"/>
    <w:rsid w:val="40692574"/>
    <w:rsid w:val="40BC78CC"/>
    <w:rsid w:val="426104F4"/>
    <w:rsid w:val="42C321E3"/>
    <w:rsid w:val="42D561EF"/>
    <w:rsid w:val="44CF424F"/>
    <w:rsid w:val="44FE7ACA"/>
    <w:rsid w:val="45706814"/>
    <w:rsid w:val="46F96E62"/>
    <w:rsid w:val="47207120"/>
    <w:rsid w:val="483B5A4C"/>
    <w:rsid w:val="49F22E5E"/>
    <w:rsid w:val="4A7A052A"/>
    <w:rsid w:val="4E5D0156"/>
    <w:rsid w:val="50B309F0"/>
    <w:rsid w:val="531A233B"/>
    <w:rsid w:val="54AA7074"/>
    <w:rsid w:val="54E52762"/>
    <w:rsid w:val="55EB5D70"/>
    <w:rsid w:val="57114DA6"/>
    <w:rsid w:val="57B7551B"/>
    <w:rsid w:val="57BA3C8B"/>
    <w:rsid w:val="583A6878"/>
    <w:rsid w:val="587A4EC7"/>
    <w:rsid w:val="5C182E58"/>
    <w:rsid w:val="5C553C81"/>
    <w:rsid w:val="5D4D151D"/>
    <w:rsid w:val="5D5C1A81"/>
    <w:rsid w:val="5EF872DF"/>
    <w:rsid w:val="62A32A18"/>
    <w:rsid w:val="62D957B2"/>
    <w:rsid w:val="63FC52A4"/>
    <w:rsid w:val="65527A8B"/>
    <w:rsid w:val="67746BAD"/>
    <w:rsid w:val="68651803"/>
    <w:rsid w:val="68807C45"/>
    <w:rsid w:val="69310E31"/>
    <w:rsid w:val="6A2B4273"/>
    <w:rsid w:val="6A8178A2"/>
    <w:rsid w:val="6B9D61A3"/>
    <w:rsid w:val="6DCF13B9"/>
    <w:rsid w:val="6DD77B11"/>
    <w:rsid w:val="6DDD6CBB"/>
    <w:rsid w:val="6E2C310F"/>
    <w:rsid w:val="6ED83431"/>
    <w:rsid w:val="6FC00ECA"/>
    <w:rsid w:val="6FCA5E2A"/>
    <w:rsid w:val="701B79BB"/>
    <w:rsid w:val="70593D8C"/>
    <w:rsid w:val="70D40212"/>
    <w:rsid w:val="71D677F2"/>
    <w:rsid w:val="72AC21EE"/>
    <w:rsid w:val="73292D9C"/>
    <w:rsid w:val="746D72D9"/>
    <w:rsid w:val="74B75993"/>
    <w:rsid w:val="760D4365"/>
    <w:rsid w:val="78B24878"/>
    <w:rsid w:val="7937605C"/>
    <w:rsid w:val="79AB0441"/>
    <w:rsid w:val="79BD47BC"/>
    <w:rsid w:val="7B5F3D7C"/>
    <w:rsid w:val="7BE944F5"/>
    <w:rsid w:val="7C367028"/>
    <w:rsid w:val="7D99109C"/>
    <w:rsid w:val="7E6661BF"/>
    <w:rsid w:val="7F042647"/>
    <w:rsid w:val="7F3D0469"/>
    <w:rsid w:val="7F4C67EC"/>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25"/>
    <w:unhideWhenUsed/>
    <w:qFormat/>
    <w:uiPriority w:val="0"/>
    <w:pPr>
      <w:keepNext/>
      <w:keepLines/>
      <w:spacing w:line="360" w:lineRule="auto"/>
      <w:ind w:firstLine="200" w:firstLineChars="200"/>
      <w:outlineLvl w:val="1"/>
    </w:pPr>
    <w:rPr>
      <w:rFonts w:ascii="Arial" w:hAnsi="Arial" w:eastAsia="仿宋"/>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eastAsia="仿宋_GB2312" w:asciiTheme="minorAscii" w:hAnsiTheme="minorAscii"/>
      <w:sz w:val="32"/>
      <w:szCs w:val="32"/>
    </w:rPr>
  </w:style>
  <w:style w:type="paragraph" w:styleId="3">
    <w:name w:val="footer"/>
    <w:basedOn w:val="1"/>
    <w:link w:val="26"/>
    <w:qFormat/>
    <w:uiPriority w:val="99"/>
    <w:pPr>
      <w:tabs>
        <w:tab w:val="center" w:pos="4153"/>
        <w:tab w:val="right" w:pos="8306"/>
      </w:tabs>
      <w:snapToGrid w:val="0"/>
      <w:jc w:val="left"/>
    </w:pPr>
    <w:rPr>
      <w:sz w:val="18"/>
    </w:rPr>
  </w:style>
  <w:style w:type="paragraph" w:styleId="8">
    <w:name w:val="annotation text"/>
    <w:basedOn w:val="1"/>
    <w:qFormat/>
    <w:uiPriority w:val="0"/>
    <w:pPr>
      <w:jc w:val="left"/>
    </w:pPr>
  </w:style>
  <w:style w:type="paragraph" w:styleId="9">
    <w:name w:val="toc 3"/>
    <w:basedOn w:val="1"/>
    <w:next w:val="1"/>
    <w:qFormat/>
    <w:uiPriority w:val="0"/>
    <w:pPr>
      <w:ind w:left="840" w:leftChars="400"/>
    </w:pPr>
  </w:style>
  <w:style w:type="paragraph" w:styleId="10">
    <w:name w:val="Body Text Indent 2"/>
    <w:basedOn w:val="1"/>
    <w:next w:val="11"/>
    <w:qFormat/>
    <w:uiPriority w:val="0"/>
    <w:pPr>
      <w:spacing w:after="120" w:line="480" w:lineRule="auto"/>
      <w:ind w:left="420" w:leftChars="200"/>
    </w:pPr>
    <w:rPr>
      <w:rFonts w:ascii="Calibri" w:hAnsi="Calibri" w:eastAsia="宋体"/>
    </w:rPr>
  </w:style>
  <w:style w:type="paragraph" w:styleId="11">
    <w:name w:val="toc 9"/>
    <w:next w:val="1"/>
    <w:qFormat/>
    <w:uiPriority w:val="0"/>
    <w:pPr>
      <w:wordWrap w:val="0"/>
      <w:ind w:left="2975"/>
      <w:jc w:val="both"/>
    </w:pPr>
    <w:rPr>
      <w:rFonts w:ascii="Calibri" w:hAnsi="Calibri" w:eastAsia="宋体" w:cs="Times New Roman"/>
      <w:sz w:val="21"/>
      <w:szCs w:val="22"/>
      <w:lang w:val="en-US" w:eastAsia="zh-CN"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文本缩进 21"/>
    <w:basedOn w:val="1"/>
    <w:next w:val="12"/>
    <w:qFormat/>
    <w:uiPriority w:val="0"/>
    <w:pPr>
      <w:spacing w:line="480" w:lineRule="auto"/>
      <w:ind w:left="420" w:leftChars="200"/>
    </w:pPr>
  </w:style>
  <w:style w:type="paragraph" w:customStyle="1" w:styleId="19">
    <w:name w:val="样式  + 首行缩进:  2 字符"/>
    <w:basedOn w:val="1"/>
    <w:qFormat/>
    <w:uiPriority w:val="0"/>
    <w:pPr>
      <w:adjustRightInd w:val="0"/>
      <w:snapToGrid w:val="0"/>
      <w:ind w:firstLine="480"/>
    </w:pPr>
    <w:rPr>
      <w:kern w:val="0"/>
      <w:sz w:val="24"/>
    </w:rPr>
  </w:style>
  <w:style w:type="paragraph" w:styleId="20">
    <w:name w:val="List Paragraph"/>
    <w:basedOn w:val="1"/>
    <w:qFormat/>
    <w:uiPriority w:val="99"/>
    <w:pPr>
      <w:ind w:firstLine="420" w:firstLineChars="200"/>
    </w:p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3">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4">
    <w:name w:val="标题 1 字符"/>
    <w:basedOn w:val="17"/>
    <w:link w:val="4"/>
    <w:qFormat/>
    <w:uiPriority w:val="0"/>
    <w:rPr>
      <w:rFonts w:asciiTheme="minorHAnsi" w:hAnsiTheme="minorHAnsi" w:eastAsiaTheme="minorEastAsia" w:cstheme="minorBidi"/>
      <w:b/>
      <w:bCs/>
      <w:kern w:val="44"/>
      <w:sz w:val="44"/>
      <w:szCs w:val="44"/>
    </w:rPr>
  </w:style>
  <w:style w:type="character" w:customStyle="1" w:styleId="25">
    <w:name w:val="标题 2 字符"/>
    <w:link w:val="5"/>
    <w:qFormat/>
    <w:uiPriority w:val="0"/>
    <w:rPr>
      <w:rFonts w:ascii="Arial" w:hAnsi="Arial" w:eastAsia="仿宋"/>
      <w:b/>
      <w:sz w:val="32"/>
    </w:rPr>
  </w:style>
  <w:style w:type="character" w:customStyle="1" w:styleId="26">
    <w:name w:val="页脚 字符"/>
    <w:basedOn w:val="17"/>
    <w:link w:val="3"/>
    <w:qFormat/>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chart" Target="charts/chart7.xml"/><Relationship Id="rId16" Type="http://schemas.openxmlformats.org/officeDocument/2006/relationships/chart" Target="charts/chart6.xml"/><Relationship Id="rId15" Type="http://schemas.openxmlformats.org/officeDocument/2006/relationships/chart" Target="charts/chart5.xml"/><Relationship Id="rId14" Type="http://schemas.openxmlformats.org/officeDocument/2006/relationships/chart" Target="charts/chart4.xml"/><Relationship Id="rId13" Type="http://schemas.openxmlformats.org/officeDocument/2006/relationships/chart" Target="charts/chart3.xml"/><Relationship Id="rId12" Type="http://schemas.openxmlformats.org/officeDocument/2006/relationships/chart" Target="charts/chart2.xml"/><Relationship Id="rId11" Type="http://schemas.openxmlformats.org/officeDocument/2006/relationships/chart" Target="charts/chart1.xml"/><Relationship Id="rId10" Type="http://schemas.openxmlformats.org/officeDocument/2006/relationships/image" Target="media/image2.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4.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6.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7.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en-US" altLang="zh-CN"/>
              <a:t>          2022</a:t>
            </a:r>
            <a:r>
              <a:rPr altLang="en-US"/>
              <a:t>年度物业费项目绩效评价指标得分情况</a:t>
            </a:r>
            <a:endParaRPr lang="en-US" altLang="zh-CN"/>
          </a:p>
        </c:rich>
      </c:tx>
      <c:layout>
        <c:manualLayout>
          <c:xMode val="edge"/>
          <c:yMode val="edge"/>
          <c:x val="0.144024102361631"/>
          <c:y val="0.031936127744511"/>
        </c:manualLayout>
      </c:layout>
      <c:overlay val="0"/>
      <c:spPr>
        <a:noFill/>
        <a:ln>
          <a:noFill/>
        </a:ln>
        <a:effectLst/>
      </c:spPr>
    </c:title>
    <c:autoTitleDeleted val="0"/>
    <c:plotArea>
      <c:layout>
        <c:manualLayout>
          <c:layoutTarget val="inner"/>
          <c:xMode val="edge"/>
          <c:yMode val="edge"/>
          <c:x val="0.126675"/>
          <c:y val="0.127"/>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Sheet1!$B$2:$B$6</c:f>
              <c:numCache>
                <c:formatCode>General</c:formatCode>
                <c:ptCount val="5"/>
                <c:pt idx="0">
                  <c:v>12</c:v>
                </c:pt>
                <c:pt idx="1">
                  <c:v>18</c:v>
                </c:pt>
                <c:pt idx="2">
                  <c:v>50</c:v>
                </c:pt>
                <c:pt idx="3">
                  <c:v>10</c:v>
                </c:pt>
                <c:pt idx="4">
                  <c:v>10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Sheet1!$C$2:$C$6</c:f>
              <c:numCache>
                <c:formatCode>General</c:formatCode>
                <c:ptCount val="5"/>
                <c:pt idx="0">
                  <c:v>10</c:v>
                </c:pt>
                <c:pt idx="1">
                  <c:v>16.77</c:v>
                </c:pt>
                <c:pt idx="2">
                  <c:v>46.3</c:v>
                </c:pt>
                <c:pt idx="3">
                  <c:v>10</c:v>
                </c:pt>
                <c:pt idx="4">
                  <c:v>9.6</c:v>
                </c:pt>
              </c:numCache>
            </c:numRef>
          </c:val>
        </c:ser>
        <c:ser>
          <c:idx val="2"/>
          <c:order val="2"/>
          <c:tx>
            <c:strRef>
              <c:f>Sheet1!$D$1</c:f>
              <c:strCache>
                <c:ptCount val="1"/>
                <c:pt idx="0">
                  <c:v>得分率</c:v>
                </c:pt>
              </c:strCache>
            </c:strRef>
          </c:tx>
          <c:spPr>
            <a:noFill/>
            <a:ln>
              <a:noFill/>
            </a:ln>
            <a:effectLst/>
          </c:spPr>
          <c:invertIfNegative val="0"/>
          <c:dLbls>
            <c:dLbl>
              <c:idx val="0"/>
              <c:layout>
                <c:manualLayout>
                  <c:x val="0.0199014084507042"/>
                  <c:y val="-0.0052687038988408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725"/>
                  <c:y val="-0.0041666666666666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875"/>
                  <c:y val="-0.00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3175"/>
                  <c:y val="-0.00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83710961420698"/>
                  <c:y val="-0.0052687038988408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Sheet1!$D$2:$D$6</c:f>
              <c:numCache>
                <c:formatCode>0.00%</c:formatCode>
                <c:ptCount val="5"/>
                <c:pt idx="0">
                  <c:v>0.833333333333333</c:v>
                </c:pt>
                <c:pt idx="1">
                  <c:v>0.931666666666667</c:v>
                </c:pt>
                <c:pt idx="2">
                  <c:v>0.926</c:v>
                </c:pt>
                <c:pt idx="3">
                  <c:v>1</c:v>
                </c:pt>
                <c:pt idx="4">
                  <c:v>0.96</c:v>
                </c:pt>
              </c:numCache>
            </c:numRef>
          </c:val>
        </c:ser>
        <c:dLbls>
          <c:showLegendKey val="0"/>
          <c:showVal val="1"/>
          <c:showCatName val="0"/>
          <c:showSerName val="0"/>
          <c:showPercent val="0"/>
          <c:showBubbleSize val="0"/>
        </c:dLbls>
        <c:gapWidth val="219"/>
        <c:overlap val="-27"/>
        <c:axId val="33121172"/>
        <c:axId val="262562026"/>
      </c:barChart>
      <c:catAx>
        <c:axId val="3312117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262562026"/>
        <c:crosses val="autoZero"/>
        <c:auto val="1"/>
        <c:lblAlgn val="ctr"/>
        <c:lblOffset val="100"/>
        <c:noMultiLvlLbl val="0"/>
      </c:catAx>
      <c:valAx>
        <c:axId val="262562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331211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dTable>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manualLayout>
          <c:xMode val="edge"/>
          <c:yMode val="edge"/>
          <c:x val="0.370177587262707"/>
          <c:y val="0.92244467860906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chemeClr val="bg1">
        <a:alpha val="91000"/>
      </a:schemeClr>
    </a:solidFill>
    <a:ln w="9525" cap="flat" cmpd="sng" algn="ctr">
      <a:solidFill>
        <a:schemeClr val="tx1">
          <a:lumMod val="15000"/>
          <a:lumOff val="85000"/>
        </a:schemeClr>
      </a:solidFill>
      <a:round/>
    </a:ln>
    <a:effectLst/>
  </c:spPr>
  <c:txPr>
    <a:bodyPr/>
    <a:lstStyle/>
    <a:p>
      <a:pPr>
        <a:defRPr lang="zh-CN">
          <a:solidFill>
            <a:schemeClr val="tx1"/>
          </a:solidFill>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预算金额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Pt>
            <c:idx val="10"/>
            <c:bubble3D val="0"/>
            <c:spPr>
              <a:solidFill>
                <a:schemeClr val="accent5">
                  <a:lumMod val="60000"/>
                </a:schemeClr>
              </a:solidFill>
              <a:ln w="19050">
                <a:solidFill>
                  <a:schemeClr val="lt1"/>
                </a:solidFill>
              </a:ln>
              <a:effectLst/>
            </c:spPr>
          </c:dPt>
          <c:dPt>
            <c:idx val="11"/>
            <c:bubble3D val="0"/>
            <c:spPr>
              <a:solidFill>
                <a:schemeClr val="accent6">
                  <a:lumMod val="60000"/>
                </a:schemeClr>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①</a:t>
                    </a:r>
                  </a:p>
                </c:rich>
              </c:tx>
              <c:dLblPos val="outEnd"/>
              <c:showLegendKey val="1"/>
              <c:showVal val="1"/>
              <c:showCatName val="0"/>
              <c:showSerName val="0"/>
              <c:showPercent val="0"/>
              <c:showBubbleSize val="0"/>
              <c:extLst>
                <c:ext xmlns:c15="http://schemas.microsoft.com/office/drawing/2012/chart" uri="{CE6537A1-D6FC-4f65-9D91-7224C49458BB}"/>
              </c:extLst>
            </c:dLbl>
            <c:dLbl>
              <c:idx val="1"/>
              <c:layout>
                <c:manualLayout>
                  <c:x val="0.0509076558800316"/>
                  <c:y val="0.003125"/>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②</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2"/>
              <c:layout>
                <c:manualLayout>
                  <c:x val="0.0239410681399632"/>
                  <c:y val="0.0192124619538091"/>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③</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3"/>
              <c:layout>
                <c:manualLayout>
                  <c:x val="0.00157853196527229"/>
                  <c:y val="0.037257149832"/>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④</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4"/>
              <c:layout>
                <c:manualLayout>
                  <c:x val="-0.0540647198105762"/>
                  <c:y val="0.0548076923076923"/>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⑤</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5"/>
              <c:layout>
                <c:manualLayout>
                  <c:x val="-0.0844514601420679"/>
                  <c:y val="0.0524038461538462"/>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⑥</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6"/>
              <c:layout>
                <c:manualLayout>
                  <c:x val="-0.0777426992896606"/>
                  <c:y val="-0.0115384615384615"/>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⑦</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7"/>
              <c:layout>
                <c:manualLayout>
                  <c:x val="-0.0365693238621415"/>
                  <c:y val="-0.0204326923076923"/>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⑧</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8"/>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⑨</a:t>
                    </a:r>
                  </a:p>
                </c:rich>
              </c:tx>
              <c:dLblPos val="outEnd"/>
              <c:showLegendKey val="1"/>
              <c:showVal val="0"/>
              <c:showCatName val="1"/>
              <c:showSerName val="0"/>
              <c:showPercent val="0"/>
              <c:showBubbleSize val="0"/>
              <c:extLst>
                <c:ext xmlns:c15="http://schemas.microsoft.com/office/drawing/2012/chart" uri="{CE6537A1-D6FC-4f65-9D91-7224C49458BB}"/>
              </c:extLst>
            </c:dLbl>
            <c:dLbl>
              <c:idx val="9"/>
              <c:layout>
                <c:manualLayout>
                  <c:x val="0.00960273612207314"/>
                  <c:y val="0"/>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⑩</a:t>
                    </a:r>
                  </a:p>
                </c:rich>
              </c:tx>
              <c:dLblPos val="bestFit"/>
              <c:showLegendKey val="1"/>
              <c:showVal val="0"/>
              <c:showCatName val="1"/>
              <c:showSerName val="0"/>
              <c:showPercent val="0"/>
              <c:showBubbleSize val="0"/>
              <c:extLst>
                <c:ext xmlns:c15="http://schemas.microsoft.com/office/drawing/2012/chart" uri="{CE6537A1-D6FC-4f65-9D91-7224C49458BB}">
                  <c15:layout/>
                </c:ext>
              </c:extLst>
            </c:dLbl>
            <c:dLbl>
              <c:idx val="1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⑪</a:t>
                    </a:r>
                  </a:p>
                </c:rich>
              </c:tx>
              <c:dLblPos val="outEnd"/>
              <c:showLegendKey val="1"/>
              <c:showVal val="0"/>
              <c:showCatName val="1"/>
              <c:showSerName val="0"/>
              <c:showPercent val="0"/>
              <c:showBubbleSize val="0"/>
              <c:extLst>
                <c:ext xmlns:c15="http://schemas.microsoft.com/office/drawing/2012/chart" uri="{CE6537A1-D6FC-4f65-9D91-7224C49458BB}"/>
              </c:extLst>
            </c:dLbl>
            <c:dLbl>
              <c:idx val="1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⑫</a:t>
                    </a:r>
                  </a:p>
                </c:rich>
              </c:tx>
              <c:dLblPos val="outEnd"/>
              <c:showLegendKey val="1"/>
              <c:showVal val="0"/>
              <c:showCatName val="1"/>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0"/>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Sheet1!$A$2:$A$13</c:f>
              <c:strCache>
                <c:ptCount val="12"/>
                <c:pt idx="0">
                  <c:v>①甘肃省高级人民法院</c:v>
                </c:pt>
                <c:pt idx="1">
                  <c:v>②甘肃矿区人民法院</c:v>
                </c:pt>
                <c:pt idx="2">
                  <c:v>③甘肃省林区中级法院</c:v>
                </c:pt>
                <c:pt idx="3">
                  <c:v>④祁连山林区法院</c:v>
                </c:pt>
                <c:pt idx="4">
                  <c:v>⑤小陇山林区法院</c:v>
                </c:pt>
                <c:pt idx="5">
                  <c:v>⑥白龙江林区法院</c:v>
                </c:pt>
                <c:pt idx="6">
                  <c:v>⑦洮河林区法院</c:v>
                </c:pt>
                <c:pt idx="7">
                  <c:v>⑧兰州铁路运输中级法院</c:v>
                </c:pt>
                <c:pt idx="8">
                  <c:v>⑨兰州铁路运输法院</c:v>
                </c:pt>
                <c:pt idx="9">
                  <c:v>⑩武威铁路运输法院</c:v>
                </c:pt>
                <c:pt idx="10">
                  <c:v>⑪甘肃省法官学院分院</c:v>
                </c:pt>
                <c:pt idx="11">
                  <c:v>⑫甘肃省法官学院</c:v>
                </c:pt>
              </c:strCache>
            </c:strRef>
          </c:cat>
          <c:val>
            <c:numRef>
              <c:f>Sheet1!$B$2:$B$13</c:f>
              <c:numCache>
                <c:formatCode>General</c:formatCode>
                <c:ptCount val="12"/>
                <c:pt idx="0">
                  <c:v>450</c:v>
                </c:pt>
                <c:pt idx="1">
                  <c:v>15</c:v>
                </c:pt>
                <c:pt idx="2">
                  <c:v>30</c:v>
                </c:pt>
                <c:pt idx="3">
                  <c:v>8</c:v>
                </c:pt>
                <c:pt idx="4">
                  <c:v>8</c:v>
                </c:pt>
                <c:pt idx="5">
                  <c:v>8</c:v>
                </c:pt>
                <c:pt idx="6">
                  <c:v>8</c:v>
                </c:pt>
                <c:pt idx="7">
                  <c:v>52</c:v>
                </c:pt>
                <c:pt idx="8">
                  <c:v>30</c:v>
                </c:pt>
                <c:pt idx="9">
                  <c:v>20</c:v>
                </c:pt>
                <c:pt idx="10">
                  <c:v>129</c:v>
                </c:pt>
                <c:pt idx="11">
                  <c:v>100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问题</a:t>
            </a:r>
            <a:r>
              <a:rPr lang="en-US" altLang="zh-CN"/>
              <a:t>1</a:t>
            </a:r>
            <a:r>
              <a:rPr altLang="en-US"/>
              <a:t>满意度调查结果统计图</a:t>
            </a:r>
            <a:endParaRPr lang="en-US" altLang="zh-CN"/>
          </a:p>
        </c:rich>
      </c:tx>
      <c:layout>
        <c:manualLayout>
          <c:xMode val="edge"/>
          <c:yMode val="edge"/>
          <c:x val="0.218804091266719"/>
          <c:y val="0.0339062867906758"/>
        </c:manualLayout>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523996852871755"/>
                  <c:y val="-0.028726159642100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472069236821401"/>
                  <c:y val="-0.018365905344949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3147128245476"/>
                  <c:y val="-0.013185778196373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892210857592447"/>
                  <c:y val="-0.018365905344949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不太满意</c:v>
                </c:pt>
              </c:strCache>
            </c:strRef>
          </c:cat>
          <c:val>
            <c:numRef>
              <c:f>Sheet1!$B$2:$B$5</c:f>
              <c:numCache>
                <c:formatCode>0.00%</c:formatCode>
                <c:ptCount val="4"/>
                <c:pt idx="0">
                  <c:v>0.561</c:v>
                </c:pt>
                <c:pt idx="1">
                  <c:v>0.2195</c:v>
                </c:pt>
                <c:pt idx="2">
                  <c:v>0.1463</c:v>
                </c:pt>
                <c:pt idx="3">
                  <c:v>0.0732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86488249828753"/>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2</a:t>
            </a:r>
            <a:r>
              <a:t>满意度调查结果统计图</a:t>
            </a:r>
          </a:p>
        </c:rich>
      </c:tx>
      <c:layout>
        <c:manualLayout>
          <c:xMode val="edge"/>
          <c:yMode val="edge"/>
          <c:x val="0.205900865460268"/>
          <c:y val="0.0395573345891217"/>
        </c:manualLayout>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472069236821401"/>
                  <c:y val="-0.03131622321638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577498033044847"/>
                  <c:y val="0.010360254297150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506687647521636"/>
                  <c:y val="0.03414174711561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857592446892211"/>
                  <c:y val="-0.026136096067812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不太满意</c:v>
                </c:pt>
              </c:strCache>
            </c:strRef>
          </c:cat>
          <c:val>
            <c:numRef>
              <c:f>Sheet1!$B$2:$B$5</c:f>
              <c:numCache>
                <c:formatCode>0.00%</c:formatCode>
                <c:ptCount val="4"/>
                <c:pt idx="0">
                  <c:v>0.5732</c:v>
                </c:pt>
                <c:pt idx="1">
                  <c:v>0.2317</c:v>
                </c:pt>
                <c:pt idx="2">
                  <c:v>0.1463</c:v>
                </c:pt>
                <c:pt idx="3">
                  <c:v>0.0488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86488249828753"/>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3</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838709677419355"/>
                  <c:y val="-0.028726159642100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26593233674272"/>
                  <c:y val="0.018365905344949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54760031471282"/>
                  <c:y val="-0.028726159642100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506687647521636"/>
                  <c:y val="-0.039321874264186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不太满意</c:v>
                </c:pt>
              </c:strCache>
            </c:strRef>
          </c:cat>
          <c:val>
            <c:numRef>
              <c:f>Sheet1!$B$2:$B$5</c:f>
              <c:numCache>
                <c:formatCode>0.00%</c:formatCode>
                <c:ptCount val="4"/>
                <c:pt idx="0">
                  <c:v>0.5366</c:v>
                </c:pt>
                <c:pt idx="1">
                  <c:v>0.1951</c:v>
                </c:pt>
                <c:pt idx="2">
                  <c:v>0.1585</c:v>
                </c:pt>
                <c:pt idx="3">
                  <c:v>0.1098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7333505863547"/>
          <c:y val="0.86419013563792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4</a:t>
            </a:r>
            <a:r>
              <a:t>满意度调查结果统计图</a:t>
            </a:r>
          </a:p>
        </c:rich>
      </c:tx>
      <c:layout>
        <c:manualLayout>
          <c:xMode val="edge"/>
          <c:yMode val="edge"/>
          <c:x val="0.219433516915814"/>
          <c:y val="0.0482693666117259"/>
        </c:manualLayout>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manualLayout>
                  <c:x val="-0.0453186467348544"/>
                  <c:y val="0.0025900635742877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786782061369001"/>
                  <c:y val="-0.0287261596421003"/>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非常及时</c:v>
                </c:pt>
                <c:pt idx="1">
                  <c:v>比较及时</c:v>
                </c:pt>
                <c:pt idx="2">
                  <c:v>基本及时</c:v>
                </c:pt>
                <c:pt idx="3">
                  <c:v>不太及时</c:v>
                </c:pt>
              </c:strCache>
            </c:strRef>
          </c:cat>
          <c:val>
            <c:numRef>
              <c:f>Sheet1!$B$2:$B$5</c:f>
              <c:numCache>
                <c:formatCode>0.00%</c:formatCode>
                <c:ptCount val="4"/>
                <c:pt idx="0">
                  <c:v>0.561</c:v>
                </c:pt>
                <c:pt idx="1">
                  <c:v>0.2195</c:v>
                </c:pt>
                <c:pt idx="2">
                  <c:v>0.1463</c:v>
                </c:pt>
                <c:pt idx="3">
                  <c:v>0.0732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23781719537643"/>
          <c:y val="0.86863252227128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5</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manualLayout>
                  <c:x val="-0.0593233674272227"/>
                  <c:y val="-0.0080056510477984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560188827694728"/>
                  <c:y val="-0.020955968919237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不太满意</c:v>
                </c:pt>
              </c:strCache>
            </c:strRef>
          </c:cat>
          <c:val>
            <c:numRef>
              <c:f>Sheet1!$B$2:$B$5</c:f>
              <c:numCache>
                <c:formatCode>0.00%</c:formatCode>
                <c:ptCount val="4"/>
                <c:pt idx="0">
                  <c:v>0.5366</c:v>
                </c:pt>
                <c:pt idx="1">
                  <c:v>0.2561</c:v>
                </c:pt>
                <c:pt idx="2">
                  <c:v>0.1341</c:v>
                </c:pt>
                <c:pt idx="3">
                  <c:v>0.0732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24411145186739"/>
          <c:y val="0.87141363414173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E1B691-4768-4DC5-997A-E5D4811F1E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40</Pages>
  <Words>15509</Words>
  <Characters>16512</Characters>
  <Lines>40</Lines>
  <Paragraphs>35</Paragraphs>
  <TotalTime>7</TotalTime>
  <ScaleCrop>false</ScaleCrop>
  <LinksUpToDate>false</LinksUpToDate>
  <CharactersWithSpaces>16961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2021-05-13T03:50:00Z</dcterms:created>
  <dc:creator>1129</dc:creator>
  <cp:lastModifiedBy>燕子 13893107503</cp:lastModifiedBy>
  <cp:lastPrinted>2023-05-29T11:58:00Z</cp:lastPrinted>
  <dcterms:modified xsi:type="dcterms:W3CDTF">2023-06-19T04:11:53Z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56DF8055B6F046FEAD551CF2FF230717_13</vt:lpwstr>
  </property>
</Properties>
</file>