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val="0"/>
        <w:topLinePunct w:val="0"/>
        <w:autoSpaceDE/>
        <w:autoSpaceDN/>
        <w:bidi w:val="0"/>
        <w:adjustRightInd/>
        <w:spacing w:line="680" w:lineRule="exact"/>
        <w:ind w:left="113"/>
        <w:rPr>
          <w:rFonts w:ascii="仿宋_GB2312"/>
          <w:highlight w:val="none"/>
        </w:rPr>
      </w:pPr>
      <w:r>
        <w:rPr>
          <w:rFonts w:hint="eastAsia" w:ascii="仿宋_GB2312"/>
        </w:rPr>
        <w:t xml:space="preserve"> </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方正小标宋简体" w:hAnsi="方正小标宋简体" w:eastAsia="方正小标宋简体" w:cs="方正小标宋简体"/>
          <w:b/>
          <w:bCs/>
          <w:sz w:val="44"/>
          <w:szCs w:val="44"/>
          <w:highlight w:val="none"/>
        </w:rPr>
      </w:pPr>
      <w:bookmarkStart w:id="0" w:name="_Toc16957"/>
      <w:bookmarkStart w:id="1" w:name="_Toc73915926"/>
      <w:bookmarkStart w:id="2" w:name="_Toc30170"/>
      <w:bookmarkStart w:id="3" w:name="_Toc24122"/>
      <w:bookmarkStart w:id="4" w:name="_Toc818"/>
      <w:bookmarkStart w:id="5" w:name="_Toc29616"/>
      <w:bookmarkStart w:id="6" w:name="_Toc24322"/>
      <w:bookmarkStart w:id="7" w:name="_Toc17249"/>
      <w:bookmarkStart w:id="8" w:name="_Toc3655"/>
      <w:bookmarkStart w:id="9" w:name="_Toc21198"/>
      <w:r>
        <w:rPr>
          <w:rFonts w:hint="eastAsia" w:ascii="方正小标宋简体" w:hAnsi="方正小标宋简体" w:eastAsia="方正小标宋简体" w:cs="方正小标宋简体"/>
          <w:sz w:val="44"/>
          <w:szCs w:val="44"/>
          <w:highlight w:val="none"/>
        </w:rPr>
        <w:t>2022年度甘肃省高级人民法院重点</w:t>
      </w:r>
      <w:bookmarkEnd w:id="0"/>
      <w:bookmarkEnd w:id="1"/>
      <w:bookmarkEnd w:id="2"/>
      <w:bookmarkEnd w:id="3"/>
      <w:bookmarkEnd w:id="4"/>
      <w:bookmarkEnd w:id="5"/>
      <w:bookmarkEnd w:id="6"/>
      <w:bookmarkEnd w:id="7"/>
      <w:bookmarkEnd w:id="8"/>
      <w:bookmarkEnd w:id="9"/>
      <w:r>
        <w:rPr>
          <w:rFonts w:hint="eastAsia" w:ascii="方正小标宋简体" w:hAnsi="方正小标宋简体" w:eastAsia="方正小标宋简体" w:cs="方正小标宋简体"/>
          <w:sz w:val="44"/>
          <w:szCs w:val="44"/>
          <w:highlight w:val="none"/>
        </w:rPr>
        <w:t>项目</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——全省“智慧法院”信息化项目经费</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b/>
          <w:sz w:val="44"/>
          <w:szCs w:val="44"/>
          <w:highlight w:val="none"/>
        </w:rPr>
      </w:pPr>
      <w:r>
        <w:rPr>
          <w:rFonts w:hint="eastAsia" w:ascii="方正小标宋简体" w:hAnsi="方正小标宋简体" w:eastAsia="方正小标宋简体" w:cs="方正小标宋简体"/>
          <w:sz w:val="44"/>
          <w:szCs w:val="44"/>
          <w:highlight w:val="none"/>
        </w:rPr>
        <w:t>绩效评价报告</w:t>
      </w:r>
    </w:p>
    <w:p>
      <w:pPr>
        <w:pStyle w:val="2"/>
        <w:keepNext w:val="0"/>
        <w:keepLines w:val="0"/>
        <w:pageBreakBefore w:val="0"/>
        <w:widowControl w:val="0"/>
        <w:kinsoku/>
        <w:wordWrap/>
        <w:overflowPunct w:val="0"/>
        <w:topLinePunct w:val="0"/>
        <w:autoSpaceDE/>
        <w:autoSpaceDN/>
        <w:bidi w:val="0"/>
        <w:adjustRightInd/>
        <w:spacing w:line="680" w:lineRule="exact"/>
        <w:rPr>
          <w:sz w:val="56"/>
          <w:highlight w:val="none"/>
        </w:rPr>
      </w:pPr>
    </w:p>
    <w:p>
      <w:pPr>
        <w:pStyle w:val="2"/>
        <w:keepNext w:val="0"/>
        <w:keepLines w:val="0"/>
        <w:pageBreakBefore w:val="0"/>
        <w:widowControl w:val="0"/>
        <w:kinsoku/>
        <w:wordWrap/>
        <w:overflowPunct w:val="0"/>
        <w:topLinePunct w:val="0"/>
        <w:autoSpaceDE/>
        <w:autoSpaceDN/>
        <w:bidi w:val="0"/>
        <w:adjustRightInd/>
        <w:spacing w:line="680" w:lineRule="exact"/>
        <w:rPr>
          <w:sz w:val="56"/>
          <w:highlight w:val="none"/>
        </w:rPr>
      </w:pPr>
    </w:p>
    <w:p>
      <w:pPr>
        <w:keepNext w:val="0"/>
        <w:keepLines w:val="0"/>
        <w:pageBreakBefore w:val="0"/>
        <w:widowControl w:val="0"/>
        <w:kinsoku/>
        <w:wordWrap/>
        <w:overflowPunct w:val="0"/>
        <w:topLinePunct w:val="0"/>
        <w:autoSpaceDE/>
        <w:autoSpaceDN/>
        <w:bidi w:val="0"/>
        <w:adjustRightInd/>
        <w:spacing w:line="578" w:lineRule="exact"/>
        <w:ind w:left="1600" w:hanging="1600" w:hangingChars="500"/>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 xml:space="preserve">    </w:t>
      </w:r>
    </w:p>
    <w:p>
      <w:pPr>
        <w:pStyle w:val="12"/>
        <w:keepNext w:val="0"/>
        <w:keepLines w:val="0"/>
        <w:pageBreakBefore w:val="0"/>
        <w:widowControl w:val="0"/>
        <w:kinsoku/>
        <w:wordWrap/>
        <w:overflowPunct w:val="0"/>
        <w:topLinePunct w:val="0"/>
        <w:autoSpaceDE/>
        <w:autoSpaceDN/>
        <w:bidi w:val="0"/>
        <w:adjustRightInd/>
        <w:rPr>
          <w:highlight w:val="none"/>
        </w:rPr>
      </w:pPr>
    </w:p>
    <w:p>
      <w:pPr>
        <w:keepNext w:val="0"/>
        <w:keepLines w:val="0"/>
        <w:pageBreakBefore w:val="0"/>
        <w:widowControl w:val="0"/>
        <w:kinsoku/>
        <w:wordWrap/>
        <w:overflowPunct w:val="0"/>
        <w:topLinePunct w:val="0"/>
        <w:autoSpaceDE/>
        <w:autoSpaceDN/>
        <w:bidi w:val="0"/>
        <w:adjustRightInd/>
        <w:spacing w:line="578" w:lineRule="exact"/>
        <w:ind w:firstLine="300" w:firstLineChars="100"/>
        <w:rPr>
          <w:rFonts w:ascii="仿宋_GB2312" w:hAnsi="仿宋" w:eastAsia="仿宋_GB2312" w:cs="仿宋"/>
          <w:sz w:val="30"/>
          <w:szCs w:val="32"/>
          <w:highlight w:val="none"/>
          <w:u w:val="single"/>
        </w:rPr>
      </w:pPr>
      <w:r>
        <w:rPr>
          <w:rFonts w:hint="eastAsia" w:ascii="仿宋_GB2312" w:hAnsi="仿宋" w:eastAsia="仿宋_GB2312" w:cs="仿宋"/>
          <w:sz w:val="30"/>
          <w:szCs w:val="32"/>
          <w:highlight w:val="none"/>
        </w:rPr>
        <w:t>评价类型：</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实施过程评价</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完成结果评价</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default"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项目名称：</w:t>
      </w:r>
      <w:r>
        <w:rPr>
          <w:rFonts w:hint="eastAsia" w:ascii="仿宋_GB2312" w:hAnsi="仿宋" w:eastAsia="仿宋_GB2312" w:cs="仿宋"/>
          <w:sz w:val="30"/>
          <w:szCs w:val="32"/>
          <w:highlight w:val="none"/>
          <w:u w:val="single"/>
        </w:rPr>
        <w:t xml:space="preserve">全省“智慧法院”信息化项目经费   </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主管部门：</w:t>
      </w:r>
      <w:r>
        <w:rPr>
          <w:rFonts w:hint="eastAsia" w:ascii="仿宋_GB2312" w:hAnsi="仿宋" w:eastAsia="仿宋_GB2312" w:cs="仿宋"/>
          <w:sz w:val="30"/>
          <w:szCs w:val="32"/>
          <w:highlight w:val="none"/>
          <w:u w:val="single"/>
        </w:rPr>
        <w:t>甘肃省高级人民法院</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eastAsia"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评价时间：</w:t>
      </w:r>
      <w:r>
        <w:rPr>
          <w:rFonts w:hint="eastAsia" w:ascii="仿宋_GB2312" w:hAnsi="仿宋" w:eastAsia="仿宋_GB2312" w:cs="仿宋"/>
          <w:sz w:val="30"/>
          <w:szCs w:val="32"/>
          <w:highlight w:val="none"/>
          <w:u w:val="single"/>
        </w:rPr>
        <w:t>2022年01月01日至 2022年12月31日</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组织方式：</w:t>
      </w:r>
      <w:r>
        <w:rPr>
          <w:rFonts w:hint="eastAsia" w:ascii="仿宋_GB2312" w:hAnsi="仿宋" w:eastAsia="仿宋_GB2312" w:cs="仿宋"/>
          <w:sz w:val="30"/>
          <w:szCs w:val="32"/>
          <w:highlight w:val="none"/>
          <w:u w:val="single"/>
        </w:rPr>
        <w:t>□财政部门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主管部门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项目单位</w:t>
      </w: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评价机构：</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中介机构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□专家组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□项目单位评价组</w:t>
      </w:r>
    </w:p>
    <w:p>
      <w:pPr>
        <w:keepNext w:val="0"/>
        <w:keepLines w:val="0"/>
        <w:pageBreakBefore w:val="0"/>
        <w:widowControl w:val="0"/>
        <w:kinsoku/>
        <w:wordWrap/>
        <w:overflowPunct w:val="0"/>
        <w:topLinePunct w:val="0"/>
        <w:autoSpaceDE/>
        <w:autoSpaceDN/>
        <w:bidi w:val="0"/>
        <w:adjustRightInd/>
        <w:spacing w:line="578" w:lineRule="exact"/>
        <w:rPr>
          <w:rFonts w:ascii="仿宋_GB2312" w:hAnsi="仿宋" w:eastAsia="仿宋_GB2312" w:cs="仿宋"/>
          <w:sz w:val="30"/>
          <w:szCs w:val="32"/>
          <w:highlight w:val="none"/>
        </w:rPr>
      </w:pPr>
    </w:p>
    <w:p>
      <w:pPr>
        <w:keepNext w:val="0"/>
        <w:keepLines w:val="0"/>
        <w:pageBreakBefore w:val="0"/>
        <w:widowControl w:val="0"/>
        <w:kinsoku/>
        <w:wordWrap/>
        <w:overflowPunct w:val="0"/>
        <w:topLinePunct w:val="0"/>
        <w:autoSpaceDE/>
        <w:autoSpaceDN/>
        <w:bidi w:val="0"/>
        <w:adjustRightInd/>
        <w:spacing w:line="578" w:lineRule="exact"/>
        <w:ind w:left="4800" w:hanging="4800" w:hangingChars="1600"/>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4800" w:hanging="4800" w:hangingChars="1600"/>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left"/>
        <w:rPr>
          <w:rFonts w:ascii="宋体" w:hAnsi="宋体" w:eastAsia="宋体" w:cs="宋体"/>
          <w:sz w:val="30"/>
          <w:szCs w:val="32"/>
          <w:highlight w:val="none"/>
        </w:rPr>
      </w:pPr>
      <w:r>
        <w:rPr>
          <w:rFonts w:hint="eastAsia" w:ascii="宋体" w:hAnsi="宋体" w:eastAsia="宋体" w:cs="宋体"/>
          <w:sz w:val="30"/>
          <w:szCs w:val="32"/>
          <w:highlight w:val="none"/>
        </w:rPr>
        <w:t>评价单位：甘肃卓诚财务咨询有限公司</w:t>
      </w: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left"/>
        <w:rPr>
          <w:rFonts w:ascii="宋体" w:hAnsi="宋体" w:eastAsia="宋体" w:cs="宋体"/>
          <w:sz w:val="30"/>
          <w:szCs w:val="32"/>
          <w:highlight w:val="none"/>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eastAsia="宋体" w:cs="宋体"/>
          <w:sz w:val="30"/>
          <w:szCs w:val="32"/>
          <w:highlight w:val="none"/>
        </w:rPr>
        <w:t>上报日期：2023年05月</w:t>
      </w:r>
      <w:r>
        <w:rPr>
          <w:rFonts w:hint="eastAsia" w:ascii="宋体" w:hAnsi="宋体" w:eastAsia="宋体" w:cs="宋体"/>
          <w:sz w:val="30"/>
          <w:szCs w:val="32"/>
          <w:highlight w:val="none"/>
          <w:lang w:val="en-US" w:eastAsia="zh-CN"/>
        </w:rPr>
        <w:t>29</w:t>
      </w:r>
      <w:r>
        <w:rPr>
          <w:rFonts w:hint="eastAsia" w:ascii="宋体" w:hAnsi="宋体" w:eastAsia="宋体" w:cs="宋体"/>
          <w:sz w:val="30"/>
          <w:szCs w:val="32"/>
          <w:highlight w:val="none"/>
        </w:rPr>
        <w:t>日</w:t>
      </w:r>
    </w:p>
    <w:p>
      <w:pPr>
        <w:keepNext w:val="0"/>
        <w:keepLines w:val="0"/>
        <w:pageBreakBefore w:val="0"/>
        <w:widowControl w:val="0"/>
        <w:kinsoku/>
        <w:wordWrap/>
        <w:overflowPunct w:val="0"/>
        <w:topLinePunct w:val="0"/>
        <w:autoSpaceDE/>
        <w:autoSpaceDN/>
        <w:bidi w:val="0"/>
        <w:adjustRightInd/>
        <w:jc w:val="center"/>
        <w:rPr>
          <w:rFonts w:ascii="宋体" w:hAnsi="宋体" w:eastAsia="宋体" w:cs="宋体"/>
          <w:b/>
          <w:bCs/>
          <w:sz w:val="36"/>
          <w:szCs w:val="36"/>
          <w:highlight w:val="none"/>
        </w:rPr>
      </w:pPr>
      <w:r>
        <w:rPr>
          <w:rFonts w:hint="eastAsia" w:ascii="宋体" w:hAnsi="宋体" w:eastAsia="宋体" w:cs="宋体"/>
          <w:b/>
          <w:bCs/>
          <w:sz w:val="36"/>
          <w:szCs w:val="36"/>
          <w:highlight w:val="none"/>
        </w:rPr>
        <w:t>目  录</w:t>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b/>
          <w:bCs/>
          <w:sz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TOC \o "1-2" \h \u </w:instrText>
      </w:r>
      <w:r>
        <w:rPr>
          <w:rFonts w:hint="eastAsia" w:ascii="仿宋" w:hAnsi="仿宋" w:eastAsia="仿宋" w:cs="仿宋"/>
          <w:b/>
          <w:bCs/>
          <w:sz w:val="28"/>
          <w:szCs w:val="28"/>
          <w:highlight w:val="none"/>
        </w:rPr>
        <w:fldChar w:fldCharType="separate"/>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"_Toc135594782" </w:instrText>
      </w:r>
      <w:r>
        <w:rPr>
          <w:rFonts w:hint="eastAsia" w:ascii="仿宋" w:hAnsi="仿宋" w:eastAsia="仿宋" w:cs="仿宋"/>
          <w:highlight w:val="none"/>
        </w:rPr>
        <w:fldChar w:fldCharType="separate"/>
      </w:r>
      <w:r>
        <w:rPr>
          <w:rStyle w:val="18"/>
          <w:rFonts w:hint="eastAsia" w:ascii="仿宋" w:hAnsi="仿宋" w:eastAsia="仿宋" w:cs="仿宋"/>
          <w:b/>
          <w:bCs/>
          <w:sz w:val="28"/>
          <w:highlight w:val="none"/>
        </w:rPr>
        <w:t>摘   要</w:t>
      </w:r>
      <w:r>
        <w:rPr>
          <w:rFonts w:hint="eastAsia" w:ascii="仿宋" w:hAnsi="仿宋" w:eastAsia="仿宋" w:cs="仿宋"/>
          <w:b/>
          <w:bCs/>
          <w:sz w:val="28"/>
          <w:highlight w:val="none"/>
        </w:rPr>
        <w:tab/>
      </w:r>
      <w:r>
        <w:rPr>
          <w:rFonts w:hint="eastAsia" w:ascii="仿宋" w:hAnsi="仿宋" w:eastAsia="仿宋" w:cs="仿宋"/>
          <w:b/>
          <w:bCs/>
          <w:sz w:val="28"/>
          <w:highlight w:val="none"/>
        </w:rPr>
        <w:fldChar w:fldCharType="begin"/>
      </w:r>
      <w:r>
        <w:rPr>
          <w:rFonts w:hint="eastAsia" w:ascii="仿宋" w:hAnsi="仿宋" w:eastAsia="仿宋" w:cs="仿宋"/>
          <w:b/>
          <w:bCs/>
          <w:sz w:val="28"/>
          <w:highlight w:val="none"/>
        </w:rPr>
        <w:instrText xml:space="preserve"> PAGEREF _Toc135594782 \h </w:instrText>
      </w:r>
      <w:r>
        <w:rPr>
          <w:rFonts w:hint="eastAsia" w:ascii="仿宋" w:hAnsi="仿宋" w:eastAsia="仿宋" w:cs="仿宋"/>
          <w:b/>
          <w:bCs/>
          <w:sz w:val="28"/>
          <w:highlight w:val="none"/>
        </w:rPr>
        <w:fldChar w:fldCharType="separate"/>
      </w:r>
      <w:r>
        <w:rPr>
          <w:rFonts w:hint="eastAsia" w:ascii="仿宋" w:hAnsi="仿宋" w:eastAsia="仿宋" w:cs="仿宋"/>
          <w:b/>
          <w:bCs/>
          <w:sz w:val="28"/>
          <w:highlight w:val="none"/>
        </w:rPr>
        <w:t>1</w:t>
      </w:r>
      <w:r>
        <w:rPr>
          <w:rFonts w:hint="eastAsia" w:ascii="仿宋" w:hAnsi="仿宋" w:eastAsia="仿宋" w:cs="仿宋"/>
          <w:b/>
          <w:bCs/>
          <w:sz w:val="28"/>
          <w:highlight w:val="none"/>
        </w:rPr>
        <w:fldChar w:fldCharType="end"/>
      </w:r>
      <w:r>
        <w:rPr>
          <w:rFonts w:hint="eastAsia" w:ascii="仿宋" w:hAnsi="仿宋" w:eastAsia="仿宋" w:cs="仿宋"/>
          <w:b/>
          <w:bCs/>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"_Toc135594783"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一、项目基本情况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_Toc135594783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"_Toc135594784"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（一）项目立项背景及实施目的</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_Toc135594784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"_Toc135594785"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（二）项目预算安排和支出情况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_Toc135594785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"_Toc135594786"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（三）项目主要内容和实施情况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_Toc135594786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"_Toc135594787"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二、项目绩效目标</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_Toc135594787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"_Toc135594788"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（一）总体绩效目标</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_Toc135594788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"_Toc135594789"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（二）2022年度绩效目标</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_Toc135594789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"_Toc135594790"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三、评价基本情况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_Toc135594790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"_Toc135594791"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（一）评价目的、对象和范围</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_Toc135594791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"_Toc135594792"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（二）评价原则、评价方法、评价指标体系</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_Toc135594792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"_Toc135594793"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（三）绩效评价工作过程</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_Toc135594793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"_Toc135594794"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四、评价结论和绩效分析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_Toc135594794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4</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"_Toc135594797"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五、存在问题及原因分析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_Toc135594797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4</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"_Toc135594801"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lang w:val="en-US" w:eastAsia="zh-CN"/>
        </w:rPr>
        <w:t>六</w:t>
      </w:r>
      <w:r>
        <w:rPr>
          <w:rStyle w:val="18"/>
          <w:rFonts w:hint="eastAsia" w:ascii="仿宋" w:hAnsi="仿宋" w:eastAsia="仿宋" w:cs="仿宋"/>
          <w:sz w:val="28"/>
          <w:highlight w:val="none"/>
        </w:rPr>
        <w:t>、有关建议</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_Toc135594801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4</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b/>
          <w:bCs/>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"_Toc135594805" </w:instrText>
      </w:r>
      <w:r>
        <w:rPr>
          <w:rFonts w:hint="eastAsia" w:ascii="仿宋" w:hAnsi="仿宋" w:eastAsia="仿宋" w:cs="仿宋"/>
          <w:highlight w:val="none"/>
        </w:rPr>
        <w:fldChar w:fldCharType="separate"/>
      </w:r>
      <w:r>
        <w:rPr>
          <w:rStyle w:val="18"/>
          <w:rFonts w:hint="eastAsia" w:ascii="仿宋" w:hAnsi="仿宋" w:eastAsia="仿宋" w:cs="仿宋"/>
          <w:b/>
          <w:bCs/>
          <w:sz w:val="28"/>
          <w:highlight w:val="none"/>
        </w:rPr>
        <w:t>全省“智慧法院”信息化项目经费绩效评价报告</w:t>
      </w:r>
      <w:r>
        <w:rPr>
          <w:rFonts w:hint="eastAsia" w:ascii="仿宋" w:hAnsi="仿宋" w:eastAsia="仿宋" w:cs="仿宋"/>
          <w:b/>
          <w:bCs/>
          <w:sz w:val="28"/>
          <w:highlight w:val="none"/>
        </w:rPr>
        <w:tab/>
      </w:r>
      <w:r>
        <w:rPr>
          <w:rFonts w:hint="eastAsia" w:ascii="仿宋" w:hAnsi="仿宋" w:eastAsia="仿宋" w:cs="仿宋"/>
          <w:b/>
          <w:bCs/>
          <w:sz w:val="28"/>
          <w:highlight w:val="none"/>
        </w:rPr>
        <w:fldChar w:fldCharType="begin"/>
      </w:r>
      <w:r>
        <w:rPr>
          <w:rFonts w:hint="eastAsia" w:ascii="仿宋" w:hAnsi="仿宋" w:eastAsia="仿宋" w:cs="仿宋"/>
          <w:b/>
          <w:bCs/>
          <w:sz w:val="28"/>
          <w:highlight w:val="none"/>
        </w:rPr>
        <w:instrText xml:space="preserve"> PAGEREF _Toc135594805 \h </w:instrText>
      </w:r>
      <w:r>
        <w:rPr>
          <w:rFonts w:hint="eastAsia" w:ascii="仿宋" w:hAnsi="仿宋" w:eastAsia="仿宋" w:cs="仿宋"/>
          <w:b/>
          <w:bCs/>
          <w:sz w:val="28"/>
          <w:highlight w:val="none"/>
        </w:rPr>
        <w:fldChar w:fldCharType="separate"/>
      </w:r>
      <w:r>
        <w:rPr>
          <w:rFonts w:hint="eastAsia" w:ascii="仿宋" w:hAnsi="仿宋" w:eastAsia="仿宋" w:cs="仿宋"/>
          <w:b/>
          <w:bCs/>
          <w:sz w:val="28"/>
          <w:highlight w:val="none"/>
        </w:rPr>
        <w:t>5</w:t>
      </w:r>
      <w:r>
        <w:rPr>
          <w:rFonts w:hint="eastAsia" w:ascii="仿宋" w:hAnsi="仿宋" w:eastAsia="仿宋" w:cs="仿宋"/>
          <w:b/>
          <w:bCs/>
          <w:sz w:val="28"/>
          <w:highlight w:val="none"/>
        </w:rPr>
        <w:fldChar w:fldCharType="end"/>
      </w:r>
      <w:r>
        <w:rPr>
          <w:rFonts w:hint="eastAsia" w:ascii="仿宋" w:hAnsi="仿宋" w:eastAsia="仿宋" w:cs="仿宋"/>
          <w:b/>
          <w:bCs/>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"_Toc135594806"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一、项目基本情况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_Toc135594806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5</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"_Toc135594807"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（一）项目立项背景</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_Toc135594807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5</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"_Toc135594808"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（二）项目预算安排及使用情况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_Toc135594808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6</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"_Toc135594809"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（三）项目计划内容及实施情况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_Toc135594809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8</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"_Toc135594810"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二、项目绩效目标</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_Toc135594810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"_Toc135594811"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（一）总体目标</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_Toc135594811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"_Toc135594812"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（二）年度目标</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_Toc135594812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"_Toc135594813"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三、评价基本情况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_Toc135594813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"_Toc135594814"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（一）评价目的</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_Toc135594814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"_Toc135594815"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（二）评价对象与范围</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_Toc135594815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"_Toc135594816"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（三）评价依据</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_Toc135594816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"_Toc135594817"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（四）评价原则、评价方法</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_Toc135594817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"_Toc135594820"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（五）绩效评价指标体系</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_Toc135594820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16</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"_Toc135594821"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（六）评价人员组成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_Toc135594821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17</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"_Toc135594822"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（七）绩效评价工作过程</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_Toc135594822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18</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"_Toc135594823"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四、评价结论及分析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_Toc135594823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20</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"_Toc135594824"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（一）综合评价情况及评价结论</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_Toc135594824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20</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"_Toc135594825" </w:instrText>
      </w:r>
      <w:r>
        <w:rPr>
          <w:rFonts w:hint="eastAsia" w:ascii="仿宋" w:hAnsi="仿宋" w:eastAsia="仿宋" w:cs="仿宋"/>
          <w:highlight w:val="none"/>
        </w:rPr>
        <w:fldChar w:fldCharType="separate"/>
      </w:r>
      <w:r>
        <w:rPr>
          <w:rStyle w:val="18"/>
          <w:rFonts w:hint="eastAsia" w:ascii="仿宋" w:hAnsi="仿宋" w:eastAsia="仿宋" w:cs="仿宋"/>
          <w:kern w:val="0"/>
          <w:sz w:val="28"/>
          <w:highlight w:val="none"/>
          <w:lang w:bidi="ar"/>
        </w:rPr>
        <w:t>（二）非现场评价情况分析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_Toc135594825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"_Toc135594826" </w:instrText>
      </w:r>
      <w:r>
        <w:rPr>
          <w:rFonts w:hint="eastAsia" w:ascii="仿宋" w:hAnsi="仿宋" w:eastAsia="仿宋" w:cs="仿宋"/>
          <w:highlight w:val="none"/>
        </w:rPr>
        <w:fldChar w:fldCharType="separate"/>
      </w:r>
      <w:r>
        <w:rPr>
          <w:rStyle w:val="18"/>
          <w:rFonts w:hint="eastAsia" w:ascii="仿宋" w:hAnsi="仿宋" w:eastAsia="仿宋" w:cs="仿宋"/>
          <w:kern w:val="0"/>
          <w:sz w:val="28"/>
          <w:highlight w:val="none"/>
          <w:lang w:bidi="ar"/>
        </w:rPr>
        <w:t>（三）现场评价情况分析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_Toc135594826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"_Toc135594827"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五、绩效评价指标分析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_Toc135594827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22</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"_Toc135594828"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（一）项目决策情况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_Toc135594828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"_Toc135594829"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（二）项目过程情况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_Toc135594829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26</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"_Toc135594830"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（三）项目产出情况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_Toc135594830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28</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"_Toc135594831"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（四）项目效益情况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_Toc135594831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4"/>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"_Toc135594832"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（五）满意度情况</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_Toc135594832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33</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"_Toc135594833"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六、项目主要经验及做法</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_Toc135594833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37</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"_Toc135594836"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七、存在的问题及原因分析</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_Toc135594836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38</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"_Toc135594841"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八、有关建议</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_Toc135594841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40</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13"/>
        <w:keepNext w:val="0"/>
        <w:keepLines w:val="0"/>
        <w:pageBreakBefore w:val="0"/>
        <w:widowControl w:val="0"/>
        <w:tabs>
          <w:tab w:val="right" w:leader="dot" w:pos="8296"/>
        </w:tabs>
        <w:kinsoku/>
        <w:wordWrap/>
        <w:overflowPunct w:val="0"/>
        <w:topLinePunct w:val="0"/>
        <w:autoSpaceDE/>
        <w:autoSpaceDN/>
        <w:bidi w:val="0"/>
        <w:adjustRightInd/>
        <w:spacing w:line="500" w:lineRule="exact"/>
        <w:rPr>
          <w:rFonts w:hint="eastAsia" w:ascii="仿宋" w:hAnsi="仿宋" w:eastAsia="仿宋" w:cs="仿宋"/>
          <w:sz w:val="28"/>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\l "_Toc135594845" </w:instrText>
      </w:r>
      <w:r>
        <w:rPr>
          <w:rFonts w:hint="eastAsia" w:ascii="仿宋" w:hAnsi="仿宋" w:eastAsia="仿宋" w:cs="仿宋"/>
          <w:highlight w:val="none"/>
        </w:rPr>
        <w:fldChar w:fldCharType="separate"/>
      </w:r>
      <w:r>
        <w:rPr>
          <w:rStyle w:val="18"/>
          <w:rFonts w:hint="eastAsia" w:ascii="仿宋" w:hAnsi="仿宋" w:eastAsia="仿宋" w:cs="仿宋"/>
          <w:sz w:val="28"/>
          <w:highlight w:val="none"/>
        </w:rPr>
        <w:t>九、需要说明的问题</w:t>
      </w:r>
      <w:r>
        <w:rPr>
          <w:rFonts w:hint="eastAsia" w:ascii="仿宋" w:hAnsi="仿宋" w:eastAsia="仿宋" w:cs="仿宋"/>
          <w:sz w:val="28"/>
          <w:highlight w:val="none"/>
        </w:rPr>
        <w:tab/>
      </w:r>
      <w:r>
        <w:rPr>
          <w:rFonts w:hint="eastAsia" w:ascii="仿宋" w:hAnsi="仿宋" w:eastAsia="仿宋" w:cs="仿宋"/>
          <w:sz w:val="28"/>
          <w:highlight w:val="none"/>
        </w:rPr>
        <w:fldChar w:fldCharType="begin"/>
      </w:r>
      <w:r>
        <w:rPr>
          <w:rFonts w:hint="eastAsia" w:ascii="仿宋" w:hAnsi="仿宋" w:eastAsia="仿宋" w:cs="仿宋"/>
          <w:sz w:val="28"/>
          <w:highlight w:val="none"/>
        </w:rPr>
        <w:instrText xml:space="preserve"> PAGEREF _Toc135594845 \h </w:instrText>
      </w:r>
      <w:r>
        <w:rPr>
          <w:rFonts w:hint="eastAsia" w:ascii="仿宋" w:hAnsi="仿宋" w:eastAsia="仿宋" w:cs="仿宋"/>
          <w:sz w:val="28"/>
          <w:highlight w:val="none"/>
        </w:rPr>
        <w:fldChar w:fldCharType="separate"/>
      </w:r>
      <w:r>
        <w:rPr>
          <w:rFonts w:hint="eastAsia" w:ascii="仿宋" w:hAnsi="仿宋" w:eastAsia="仿宋" w:cs="仿宋"/>
          <w:sz w:val="28"/>
          <w:highlight w:val="none"/>
        </w:rPr>
        <w:t>41</w:t>
      </w:r>
      <w:r>
        <w:rPr>
          <w:rFonts w:hint="eastAsia" w:ascii="仿宋" w:hAnsi="仿宋" w:eastAsia="仿宋" w:cs="仿宋"/>
          <w:sz w:val="28"/>
          <w:highlight w:val="none"/>
        </w:rPr>
        <w:fldChar w:fldCharType="end"/>
      </w:r>
      <w:r>
        <w:rPr>
          <w:rFonts w:hint="eastAsia" w:ascii="仿宋" w:hAnsi="仿宋" w:eastAsia="仿宋" w:cs="仿宋"/>
          <w:sz w:val="28"/>
          <w:highlight w:val="none"/>
        </w:rPr>
        <w:fldChar w:fldCharType="end"/>
      </w:r>
    </w:p>
    <w:p>
      <w:pPr>
        <w:pStyle w:val="2"/>
        <w:keepNext w:val="0"/>
        <w:keepLines w:val="0"/>
        <w:pageBreakBefore w:val="0"/>
        <w:widowControl w:val="0"/>
        <w:kinsoku/>
        <w:wordWrap/>
        <w:overflowPunct w:val="0"/>
        <w:topLinePunct w:val="0"/>
        <w:autoSpaceDE/>
        <w:autoSpaceDN/>
        <w:bidi w:val="0"/>
        <w:adjustRightInd/>
        <w:spacing w:line="500" w:lineRule="exact"/>
        <w:rPr>
          <w:rFonts w:ascii="宋体" w:hAnsi="宋体" w:eastAsia="宋体"/>
          <w:b/>
          <w:bCs/>
          <w:szCs w:val="44"/>
          <w:highlight w:val="none"/>
        </w:rPr>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 w:hAnsi="仿宋" w:eastAsia="仿宋" w:cs="仿宋"/>
          <w:bCs/>
          <w:sz w:val="28"/>
          <w:szCs w:val="28"/>
          <w:highlight w:val="none"/>
        </w:rPr>
        <w:fldChar w:fldCharType="end"/>
      </w:r>
    </w:p>
    <w:p>
      <w:pPr>
        <w:pStyle w:val="2"/>
        <w:keepNext w:val="0"/>
        <w:keepLines w:val="0"/>
        <w:pageBreakBefore w:val="0"/>
        <w:widowControl w:val="0"/>
        <w:kinsoku/>
        <w:wordWrap/>
        <w:overflowPunct w:val="0"/>
        <w:topLinePunct w:val="0"/>
        <w:autoSpaceDE/>
        <w:autoSpaceDN/>
        <w:bidi w:val="0"/>
        <w:adjustRightInd/>
        <w:spacing w:line="560" w:lineRule="exact"/>
        <w:ind w:firstLine="880" w:firstLineChars="200"/>
        <w:jc w:val="center"/>
        <w:outlineLvl w:val="0"/>
        <w:rPr>
          <w:rFonts w:ascii="方正小标宋简体" w:hAnsi="宋体" w:eastAsia="方正小标宋简体"/>
          <w:sz w:val="44"/>
          <w:szCs w:val="44"/>
          <w:highlight w:val="none"/>
        </w:rPr>
      </w:pPr>
      <w:bookmarkStart w:id="10" w:name="_Toc135594782"/>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10"/>
    </w:p>
    <w:p>
      <w:pPr>
        <w:keepNext w:val="0"/>
        <w:keepLines w:val="0"/>
        <w:pageBreakBefore w:val="0"/>
        <w:widowControl w:val="0"/>
        <w:kinsoku/>
        <w:wordWrap/>
        <w:overflowPunct w:val="0"/>
        <w:topLinePunct w:val="0"/>
        <w:autoSpaceDE/>
        <w:autoSpaceDN/>
        <w:bidi w:val="0"/>
        <w:adjustRightInd/>
        <w:spacing w:line="560" w:lineRule="exact"/>
        <w:ind w:firstLine="420" w:firstLineChars="200"/>
        <w:jc w:val="center"/>
        <w:rPr>
          <w:highlight w:val="none"/>
        </w:rPr>
      </w:pPr>
    </w:p>
    <w:p>
      <w:pPr>
        <w:keepNext w:val="0"/>
        <w:keepLines w:val="0"/>
        <w:pageBreakBefore w:val="0"/>
        <w:widowControl w:val="0"/>
        <w:numPr>
          <w:ilvl w:val="0"/>
          <w:numId w:val="1"/>
        </w:numPr>
        <w:tabs>
          <w:tab w:val="left" w:pos="849"/>
        </w:tabs>
        <w:kinsoku/>
        <w:wordWrap/>
        <w:overflowPunct w:val="0"/>
        <w:topLinePunct w:val="0"/>
        <w:autoSpaceDE/>
        <w:autoSpaceDN/>
        <w:bidi w:val="0"/>
        <w:adjustRightInd/>
        <w:spacing w:line="560" w:lineRule="exact"/>
        <w:ind w:firstLine="640" w:firstLineChars="200"/>
        <w:outlineLvl w:val="0"/>
        <w:rPr>
          <w:rFonts w:ascii="黑体" w:hAnsi="黑体" w:eastAsia="黑体" w:cs="黑体"/>
          <w:b w:val="0"/>
          <w:bCs w:val="0"/>
          <w:sz w:val="32"/>
          <w:szCs w:val="32"/>
          <w:highlight w:val="none"/>
        </w:rPr>
      </w:pPr>
      <w:bookmarkStart w:id="11" w:name="_Toc135594783"/>
      <w:bookmarkStart w:id="12" w:name="_Toc13873"/>
      <w:r>
        <w:rPr>
          <w:rFonts w:hint="eastAsia" w:ascii="黑体" w:hAnsi="黑体" w:eastAsia="黑体" w:cs="黑体"/>
          <w:b w:val="0"/>
          <w:bCs w:val="0"/>
          <w:sz w:val="32"/>
          <w:szCs w:val="32"/>
          <w:highlight w:val="none"/>
        </w:rPr>
        <w:t>项目基本情况</w:t>
      </w:r>
      <w:bookmarkEnd w:id="11"/>
      <w:bookmarkEnd w:id="12"/>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3" w:name="_Toc135594784"/>
      <w:bookmarkStart w:id="14" w:name="_Toc30374"/>
      <w:r>
        <w:rPr>
          <w:rFonts w:hint="eastAsia" w:ascii="楷体" w:hAnsi="楷体" w:eastAsia="楷体" w:cs="楷体"/>
          <w:b/>
          <w:bCs/>
          <w:highlight w:val="none"/>
        </w:rPr>
        <w:t>（一）项目立项背景及实施目的</w:t>
      </w:r>
      <w:bookmarkEnd w:id="13"/>
      <w:bookmarkEnd w:id="14"/>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bookmarkStart w:id="15" w:name="_Toc24239"/>
      <w:r>
        <w:rPr>
          <w:rFonts w:hint="eastAsia" w:ascii="仿宋_GB2312" w:hAnsi="仿宋_GB2312" w:cs="仿宋_GB2312"/>
          <w:highlight w:val="none"/>
        </w:rPr>
        <w:t>“智慧法院”于2016年首次纳入《国家信息化发展战略纲要》和《“十三五”国家信息化规划》。其基本含义是依托现代人工智能，围绕司法为民、公正司法，坚持司法规律、体制改革与技术变革相融合，以高度信息化方式支持司法审判、诉讼服务和司法管理，实现全业务网上办理、全流程依法公开、全方位智能服务的人民法院组织、建设、运行和管理形态。借助信息系统服务司法审判、诉讼服务和司法管理工作，法官可以更好地处理审判事务，全方位服务人民群众，切实提高审判水平；借助信息系统实现审判执行案件网上办理、网上查询、网上储存和网上利用，</w:t>
      </w:r>
      <w:r>
        <w:rPr>
          <w:rFonts w:hint="eastAsia" w:ascii="仿宋_GB2312" w:hAnsi="仿宋_GB2312" w:cs="仿宋_GB2312"/>
          <w:highlight w:val="none"/>
          <w:lang w:eastAsia="zh-CN"/>
        </w:rPr>
        <w:t>大幅</w:t>
      </w:r>
      <w:r>
        <w:rPr>
          <w:rFonts w:hint="eastAsia" w:ascii="仿宋_GB2312" w:hAnsi="仿宋_GB2312" w:cs="仿宋_GB2312"/>
          <w:highlight w:val="none"/>
        </w:rPr>
        <w:t>提升了办案效率，有助于审判管理的科学化。智慧法院建设具有全面覆盖性、互动及时性、透明公开性、科学智能性等特点，是人民法院最终实现审判体系与审判能力现代化的必由之路。</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6" w:name="_Toc135594785"/>
      <w:r>
        <w:rPr>
          <w:rFonts w:hint="eastAsia" w:ascii="楷体" w:hAnsi="楷体" w:eastAsia="楷体" w:cs="楷体"/>
          <w:b/>
          <w:bCs/>
          <w:highlight w:val="none"/>
        </w:rPr>
        <w:t>（二）项目预算安排和支出情况</w:t>
      </w:r>
      <w:bookmarkEnd w:id="15"/>
      <w:bookmarkEnd w:id="16"/>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cs="仿宋_GB2312"/>
          <w:highlight w:val="none"/>
          <w:lang w:val="en-US" w:eastAsia="zh-CN"/>
        </w:rPr>
        <w:t>根据</w:t>
      </w:r>
      <w:r>
        <w:rPr>
          <w:rFonts w:hint="eastAsia" w:ascii="仿宋_GB2312" w:hAnsi="仿宋_GB2312" w:cs="仿宋_GB2312"/>
          <w:highlight w:val="none"/>
        </w:rPr>
        <w:t>甘肃省财政厅2022年度预算安排，全省“智慧法院”信息化项目全年预算资金11,004.96万元，其中当年财政拨款7,000.00万元，上年结转资金4,004.96万元，截止2022年12月31日，</w:t>
      </w:r>
      <w:r>
        <w:rPr>
          <w:rFonts w:hint="eastAsia" w:ascii="仿宋_GB2312" w:hAnsi="仿宋_GB2312" w:cs="仿宋_GB2312"/>
          <w:highlight w:val="none"/>
          <w:lang w:val="en-US" w:eastAsia="zh-CN"/>
        </w:rPr>
        <w:t>项目实际</w:t>
      </w:r>
      <w:r>
        <w:rPr>
          <w:rFonts w:hint="eastAsia" w:ascii="仿宋_GB2312" w:hAnsi="仿宋_GB2312" w:cs="仿宋_GB2312"/>
          <w:highlight w:val="none"/>
        </w:rPr>
        <w:t>支出7,515.77万元</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7" w:name="_Toc135594786"/>
      <w:bookmarkStart w:id="18" w:name="_Toc22406"/>
      <w:r>
        <w:rPr>
          <w:rFonts w:hint="eastAsia" w:ascii="楷体" w:hAnsi="楷体" w:eastAsia="楷体" w:cs="楷体"/>
          <w:b/>
          <w:bCs/>
          <w:highlight w:val="none"/>
        </w:rPr>
        <w:t>（三）项目主要内容和实施情况</w:t>
      </w:r>
      <w:bookmarkEnd w:id="17"/>
      <w:bookmarkEnd w:id="18"/>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继续推进和完善“四大平台”项目、“云平台”项目、智慧法院4.0版项目，建成覆盖省</w:t>
      </w:r>
      <w:r>
        <w:rPr>
          <w:rFonts w:hint="eastAsia" w:ascii="仿宋_GB2312" w:hAnsi="仿宋_GB2312" w:cs="仿宋_GB2312"/>
          <w:highlight w:val="none"/>
          <w:lang w:val="en-US" w:eastAsia="zh-CN"/>
        </w:rPr>
        <w:t>法</w:t>
      </w:r>
      <w:r>
        <w:rPr>
          <w:rFonts w:hint="eastAsia" w:ascii="仿宋_GB2312" w:hAnsi="仿宋_GB2312" w:cs="仿宋_GB2312"/>
          <w:highlight w:val="none"/>
        </w:rPr>
        <w:t>院、17个中院、95个基层法院和338个派出法庭的网络和软硬件基础设施建设，基本实现“智慧法院”功能，满足人民群众和全社会日益增多的诉讼需求与法律保障服务。</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全省“智慧法院”信息化项目经费预算下达后，各项目实施</w:t>
      </w:r>
      <w:r>
        <w:rPr>
          <w:rFonts w:hint="eastAsia" w:ascii="仿宋_GB2312" w:hAnsi="仿宋_GB2312" w:cs="仿宋_GB2312"/>
          <w:highlight w:val="none"/>
          <w:lang w:val="en-US" w:eastAsia="zh-CN"/>
        </w:rPr>
        <w:t>法院</w:t>
      </w:r>
      <w:r>
        <w:rPr>
          <w:rFonts w:hint="eastAsia" w:ascii="仿宋_GB2312" w:hAnsi="仿宋_GB2312" w:cs="仿宋_GB2312"/>
          <w:highlight w:val="none"/>
        </w:rPr>
        <w:t>及时开展项目，截止2022年12月31日，共</w:t>
      </w:r>
      <w:r>
        <w:rPr>
          <w:rFonts w:hint="eastAsia" w:ascii="仿宋_GB2312" w:hAnsi="仿宋_GB2312" w:cs="仿宋_GB2312"/>
          <w:highlight w:val="none"/>
          <w:lang w:val="en-US" w:eastAsia="zh-CN"/>
        </w:rPr>
        <w:t>7</w:t>
      </w:r>
      <w:r>
        <w:rPr>
          <w:rFonts w:hint="eastAsia" w:ascii="仿宋_GB2312" w:hAnsi="仿宋_GB2312" w:cs="仿宋_GB2312"/>
          <w:highlight w:val="none"/>
        </w:rPr>
        <w:t>个项目已完工并通过验收，1个项目已完工未验收，9个项目尚未完工，4个项目年底未开工。</w:t>
      </w:r>
    </w:p>
    <w:p>
      <w:pPr>
        <w:keepNext w:val="0"/>
        <w:keepLines w:val="0"/>
        <w:pageBreakBefore w:val="0"/>
        <w:widowControl w:val="0"/>
        <w:numPr>
          <w:ilvl w:val="0"/>
          <w:numId w:val="1"/>
        </w:numPr>
        <w:tabs>
          <w:tab w:val="left" w:pos="849"/>
        </w:tabs>
        <w:kinsoku/>
        <w:wordWrap/>
        <w:overflowPunct w:val="0"/>
        <w:topLinePunct w:val="0"/>
        <w:autoSpaceDE/>
        <w:autoSpaceDN/>
        <w:bidi w:val="0"/>
        <w:adjustRightInd/>
        <w:spacing w:line="560" w:lineRule="exact"/>
        <w:ind w:firstLine="640" w:firstLineChars="200"/>
        <w:outlineLvl w:val="0"/>
        <w:rPr>
          <w:rFonts w:ascii="黑体" w:hAnsi="黑体" w:eastAsia="黑体" w:cs="黑体"/>
          <w:b w:val="0"/>
          <w:bCs w:val="0"/>
          <w:sz w:val="32"/>
          <w:szCs w:val="32"/>
          <w:highlight w:val="none"/>
        </w:rPr>
      </w:pPr>
      <w:bookmarkStart w:id="19" w:name="_Toc135594787"/>
      <w:bookmarkStart w:id="20" w:name="_Toc4760"/>
      <w:r>
        <w:rPr>
          <w:rFonts w:hint="eastAsia" w:ascii="黑体" w:hAnsi="黑体" w:eastAsia="黑体" w:cs="黑体"/>
          <w:b w:val="0"/>
          <w:bCs w:val="0"/>
          <w:sz w:val="32"/>
          <w:szCs w:val="32"/>
          <w:highlight w:val="none"/>
        </w:rPr>
        <w:t>项目绩效目标</w:t>
      </w:r>
      <w:bookmarkEnd w:id="19"/>
      <w:bookmarkEnd w:id="20"/>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仿宋" w:hAnsi="仿宋" w:eastAsia="仿宋" w:cs="仿宋"/>
          <w:b/>
          <w:bCs/>
          <w:highlight w:val="none"/>
        </w:rPr>
      </w:pPr>
      <w:bookmarkStart w:id="21" w:name="_Toc1873"/>
      <w:bookmarkStart w:id="22" w:name="_Toc135594788"/>
      <w:r>
        <w:rPr>
          <w:rFonts w:hint="eastAsia" w:ascii="楷体" w:hAnsi="楷体" w:eastAsia="楷体" w:cs="楷体"/>
          <w:b/>
          <w:bCs/>
          <w:highlight w:val="none"/>
        </w:rPr>
        <w:t>（一）总体绩效目标</w:t>
      </w:r>
      <w:bookmarkEnd w:id="21"/>
      <w:bookmarkEnd w:id="22"/>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bookmarkStart w:id="23" w:name="_Toc13132"/>
      <w:r>
        <w:rPr>
          <w:rFonts w:hint="eastAsia" w:ascii="仿宋_GB2312" w:hAnsi="仿宋_GB2312" w:cs="仿宋_GB2312"/>
          <w:highlight w:val="none"/>
        </w:rPr>
        <w:t>通过智慧法院项目建设，一是大力提升审判工作质效，推动流程再造促进审判高效有序运行，推进立案信访工作上下联动、内外贯通，借助现代信息技术助推司法改革；二是促进法院工作公开透明、便民高效，提升司法工作水平；三是运用大数据和人工智能技术，按需提供精准智能服务，支持办案人员最大限度减轻非审判性事务负担，为人民群众提供更加智能的诉讼和普法服务，确保审判权力正当有序运行，支持法院提高司法决策科学性，支持党和政府部门促进国家治理体系和治理能力现代化；四是保障社会公平正义，促进社会和谐稳定，维护司法权威和公信力。</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24" w:name="_Toc135594789"/>
      <w:r>
        <w:rPr>
          <w:rFonts w:hint="eastAsia" w:ascii="楷体" w:hAnsi="楷体" w:eastAsia="楷体" w:cs="楷体"/>
          <w:b/>
          <w:bCs/>
          <w:highlight w:val="none"/>
        </w:rPr>
        <w:t>（二）2022年度绩效目标</w:t>
      </w:r>
      <w:bookmarkEnd w:id="23"/>
      <w:bookmarkEnd w:id="24"/>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bookmarkStart w:id="25" w:name="_Toc23835"/>
      <w:r>
        <w:rPr>
          <w:rFonts w:hint="eastAsia" w:ascii="仿宋_GB2312" w:hAnsi="仿宋_GB2312" w:cs="仿宋_GB2312"/>
          <w:highlight w:val="none"/>
        </w:rPr>
        <w:t>本项目资金主要用于全省法院信息化建设</w:t>
      </w:r>
      <w:r>
        <w:rPr>
          <w:rFonts w:hint="eastAsia" w:ascii="仿宋_GB2312" w:hAnsi="仿宋_GB2312" w:cs="仿宋_GB2312"/>
          <w:highlight w:val="none"/>
          <w:lang w:eastAsia="zh-CN"/>
        </w:rPr>
        <w:t>，</w:t>
      </w:r>
      <w:r>
        <w:rPr>
          <w:rFonts w:hint="eastAsia" w:ascii="仿宋_GB2312" w:hAnsi="仿宋_GB2312" w:cs="仿宋_GB2312"/>
          <w:highlight w:val="none"/>
        </w:rPr>
        <w:t>继续推进和完善“四大平台”项目、“云平台”项目、智慧法院4.0版项目，建成覆盖省</w:t>
      </w:r>
      <w:r>
        <w:rPr>
          <w:rFonts w:hint="eastAsia" w:ascii="仿宋_GB2312" w:hAnsi="仿宋_GB2312" w:cs="仿宋_GB2312"/>
          <w:highlight w:val="none"/>
          <w:lang w:val="en-US" w:eastAsia="zh-CN"/>
        </w:rPr>
        <w:t>法</w:t>
      </w:r>
      <w:r>
        <w:rPr>
          <w:rFonts w:hint="eastAsia" w:ascii="仿宋_GB2312" w:hAnsi="仿宋_GB2312" w:cs="仿宋_GB2312"/>
          <w:highlight w:val="none"/>
        </w:rPr>
        <w:t>院、17个中院、95个基层法院和338个派出法庭的网络和软硬件基础设施建设，基本实现“智慧法院”功能，满足人民群众和全社会日益增多的诉讼需求与法律保障服务。</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黑体" w:hAnsi="黑体" w:eastAsia="黑体" w:cs="黑体"/>
          <w:b w:val="0"/>
          <w:bCs w:val="0"/>
          <w:highlight w:val="none"/>
        </w:rPr>
      </w:pPr>
      <w:bookmarkStart w:id="26" w:name="_Toc135594790"/>
      <w:r>
        <w:rPr>
          <w:rFonts w:hint="eastAsia" w:ascii="黑体" w:hAnsi="黑体" w:eastAsia="黑体" w:cs="黑体"/>
          <w:b w:val="0"/>
          <w:bCs w:val="0"/>
          <w:highlight w:val="none"/>
        </w:rPr>
        <w:t>三、评价基本情况</w:t>
      </w:r>
      <w:bookmarkEnd w:id="25"/>
      <w:bookmarkEnd w:id="26"/>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27" w:name="_Toc135594791"/>
      <w:bookmarkStart w:id="28" w:name="_Toc12764"/>
      <w:r>
        <w:rPr>
          <w:rFonts w:hint="eastAsia" w:ascii="楷体" w:hAnsi="楷体" w:eastAsia="楷体" w:cs="楷体"/>
          <w:b/>
          <w:bCs/>
          <w:highlight w:val="none"/>
        </w:rPr>
        <w:t>（一）评价目的、对象和范围</w:t>
      </w:r>
      <w:bookmarkEnd w:id="27"/>
      <w:bookmarkEnd w:id="28"/>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的目的是对预算资金的执行情况、资金使用情况、项目的绩效情况进行综合分析，与预期绩效目标进行对比评价，优化资金使用、完善资金管理，为该项目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本次评价对象为2022年省财政</w:t>
      </w:r>
      <w:r>
        <w:rPr>
          <w:rFonts w:hint="eastAsia" w:ascii="仿宋_GB2312" w:hAnsi="仿宋_GB2312" w:cs="仿宋_GB2312"/>
          <w:highlight w:val="none"/>
          <w:lang w:val="en-US" w:eastAsia="zh-CN"/>
        </w:rPr>
        <w:t>厅</w:t>
      </w:r>
      <w:r>
        <w:rPr>
          <w:rFonts w:hint="eastAsia" w:ascii="仿宋_GB2312" w:hAnsi="仿宋_GB2312" w:cs="仿宋_GB2312"/>
          <w:highlight w:val="none"/>
        </w:rPr>
        <w:t>安排的全省“智慧法院”信息化项目；评价范围为</w:t>
      </w:r>
      <w:r>
        <w:rPr>
          <w:rFonts w:hint="eastAsia" w:ascii="仿宋_GB2312" w:hAnsi="仿宋_GB2312" w:cs="仿宋_GB2312"/>
          <w:highlight w:val="none"/>
          <w:lang w:val="en-US" w:eastAsia="zh-CN"/>
        </w:rPr>
        <w:t>2022年度</w:t>
      </w:r>
      <w:r>
        <w:rPr>
          <w:rFonts w:hint="eastAsia" w:ascii="仿宋_GB2312" w:hAnsi="仿宋_GB2312" w:cs="仿宋_GB2312"/>
          <w:highlight w:val="none"/>
        </w:rPr>
        <w:t>全省“智慧法院”信息化项目全年预算资金11,004.96万元</w:t>
      </w:r>
      <w:r>
        <w:rPr>
          <w:rFonts w:hint="eastAsia" w:ascii="仿宋_GB2312" w:hAnsi="仿宋_GB2312" w:cs="仿宋_GB2312"/>
          <w:highlight w:val="none"/>
          <w:lang w:val="en-US" w:eastAsia="zh-CN"/>
        </w:rPr>
        <w:t>的</w:t>
      </w:r>
      <w:r>
        <w:rPr>
          <w:rFonts w:hint="eastAsia" w:ascii="仿宋_GB2312" w:hAnsi="仿宋_GB2312" w:cs="仿宋_GB2312"/>
          <w:highlight w:val="none"/>
        </w:rPr>
        <w:t>资金使用和项目实施效益情况。</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29" w:name="_Toc861"/>
      <w:bookmarkStart w:id="30" w:name="_Toc135594792"/>
      <w:r>
        <w:rPr>
          <w:rFonts w:hint="eastAsia" w:ascii="楷体" w:hAnsi="楷体" w:eastAsia="楷体" w:cs="楷体"/>
          <w:b/>
          <w:bCs/>
          <w:highlight w:val="none"/>
        </w:rPr>
        <w:t>（二）评价原则、评价方法、评价指标体系</w:t>
      </w:r>
      <w:bookmarkEnd w:id="29"/>
      <w:bookmarkEnd w:id="30"/>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eastAsia="仿宋_GB2312" w:cs="仿宋_GB2312"/>
          <w:sz w:val="32"/>
          <w:szCs w:val="32"/>
          <w:highlight w:val="none"/>
        </w:rPr>
        <w:t>本次绩效评价遵循</w:t>
      </w:r>
      <w:r>
        <w:rPr>
          <w:rFonts w:hint="eastAsia" w:ascii="仿宋_GB2312" w:hAnsi="仿宋_GB2312" w:eastAsia="仿宋_GB2312" w:cs="仿宋_GB2312"/>
          <w:color w:val="000000" w:themeColor="text1"/>
          <w:sz w:val="32"/>
          <w:szCs w:val="32"/>
          <w:highlight w:val="none"/>
          <w14:textFill>
            <w14:solidFill>
              <w14:schemeClr w14:val="tx1"/>
            </w14:solidFill>
          </w14:textFill>
        </w:rPr>
        <w:t>科学规范、绩效相关、公开透明、激励约束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的原</w:t>
      </w:r>
      <w:r>
        <w:rPr>
          <w:rFonts w:hint="eastAsia" w:ascii="仿宋_GB2312" w:hAnsi="仿宋_GB2312" w:eastAsia="仿宋_GB2312" w:cs="仿宋_GB2312"/>
          <w:sz w:val="32"/>
          <w:szCs w:val="32"/>
          <w:highlight w:val="none"/>
        </w:rPr>
        <w:t>则。</w:t>
      </w:r>
      <w:r>
        <w:rPr>
          <w:rFonts w:hint="eastAsia" w:ascii="仿宋_GB2312" w:hAnsi="仿宋_GB2312" w:eastAsia="仿宋_GB2312" w:cs="仿宋_GB2312"/>
          <w:color w:val="000000" w:themeColor="text1"/>
          <w:sz w:val="32"/>
          <w:szCs w:val="32"/>
          <w:highlight w:val="none"/>
          <w14:textFill>
            <w14:solidFill>
              <w14:schemeClr w14:val="tx1"/>
            </w14:solidFill>
          </w14:textFill>
        </w:rPr>
        <w:t>采用定量和定性分析相结合，第三方评价机构现场核实、资料评审相结合，综合运用比较法、因素分析法和专家评议等方法进行评价。</w:t>
      </w:r>
      <w:r>
        <w:rPr>
          <w:rFonts w:hint="eastAsia" w:ascii="仿宋_GB2312" w:hAnsi="仿宋_GB2312" w:eastAsia="仿宋_GB2312" w:cs="仿宋_GB2312"/>
          <w:sz w:val="32"/>
          <w:szCs w:val="32"/>
          <w:highlight w:val="none"/>
        </w:rPr>
        <w:t>根据相关文件规定，绩效评价指标划分为三级，一级指标主要包括：项目决策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过程、产出、效益、服务对象满意度情况，二级指标和三级指标根据项目情况量化、细化。</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31" w:name="_Toc7306"/>
      <w:bookmarkStart w:id="32" w:name="_Toc135594793"/>
      <w:r>
        <w:rPr>
          <w:rFonts w:hint="eastAsia" w:ascii="楷体" w:hAnsi="楷体" w:eastAsia="楷体" w:cs="楷体"/>
          <w:b/>
          <w:bCs/>
          <w:highlight w:val="none"/>
        </w:rPr>
        <w:t>（三）绩效评价工作过程</w:t>
      </w:r>
      <w:bookmarkEnd w:id="31"/>
      <w:bookmarkEnd w:id="32"/>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bookmarkStart w:id="33" w:name="_Toc29824"/>
      <w:r>
        <w:rPr>
          <w:rFonts w:hint="eastAsia" w:ascii="仿宋_GB2312" w:hAnsi="仿宋_GB2312" w:eastAsia="仿宋_GB2312" w:cs="仿宋_GB2312"/>
          <w:sz w:val="32"/>
          <w:szCs w:val="32"/>
          <w:highlight w:val="none"/>
        </w:rPr>
        <w:t>本次评价由甘肃省高级人民法院</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以下简称省法院</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委托甘肃卓诚财务咨询有限公司组成评价工作组，按照《甘</w:t>
      </w:r>
      <w:r>
        <w:rPr>
          <w:rFonts w:hint="eastAsia" w:ascii="仿宋_GB2312" w:hAnsi="仿宋_GB2312" w:eastAsia="仿宋_GB2312" w:cs="仿宋_GB2312"/>
          <w:sz w:val="32"/>
          <w:szCs w:val="32"/>
          <w:highlight w:val="none"/>
          <w:lang w:val="en-US" w:eastAsia="zh-CN"/>
        </w:rPr>
        <w:t>肃</w:t>
      </w:r>
      <w:r>
        <w:rPr>
          <w:rFonts w:hint="eastAsia" w:ascii="仿宋_GB2312" w:hAnsi="仿宋_GB2312" w:eastAsia="仿宋_GB2312" w:cs="仿宋_GB2312"/>
          <w:sz w:val="32"/>
          <w:szCs w:val="32"/>
          <w:highlight w:val="none"/>
        </w:rPr>
        <w:t>省财政厅关于开展2022年度省级预算执行情况部门和财政重点绩效评价工作的通知》（甘财绩〔2023〕3号）要求，在充分开展前期调研的基础上，收集评价资料、开展现场评价、进行综合分析、撰写评价报告。</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仿宋" w:hAnsi="仿宋" w:eastAsia="仿宋" w:cs="仿宋"/>
          <w:b w:val="0"/>
          <w:bCs w:val="0"/>
          <w:highlight w:val="none"/>
        </w:rPr>
      </w:pPr>
      <w:bookmarkStart w:id="34" w:name="_Toc135594794"/>
      <w:r>
        <w:rPr>
          <w:rFonts w:hint="eastAsia" w:ascii="黑体" w:hAnsi="黑体" w:eastAsia="黑体" w:cs="黑体"/>
          <w:b w:val="0"/>
          <w:bCs w:val="0"/>
          <w:highlight w:val="none"/>
        </w:rPr>
        <w:t>四、评价结论和绩效分析</w:t>
      </w:r>
      <w:bookmarkEnd w:id="33"/>
      <w:bookmarkEnd w:id="34"/>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依据项目支出绩效评价指标体系和评分标准，综合评定2022年度全省“智慧法院”信息化项目绩效评分为9</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.23分，绩效等级为“优”。</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评价认为，2022年全省“智慧法院”信息化项目的立项能够很好地适应总体目标，立项必要性较强，立项依据充分、程序规范；项目实施流程严谨，管理制度健全，预算编制科学，资金分配合理，使用效果良好。全省“智慧法院”信息化项目</w:t>
      </w:r>
      <w:r>
        <w:rPr>
          <w:rFonts w:hint="eastAsia" w:ascii="仿宋_GB2312" w:hAnsi="仿宋_GB2312" w:eastAsia="仿宋_GB2312" w:cs="仿宋_GB2312"/>
          <w:sz w:val="32"/>
          <w:szCs w:val="32"/>
          <w:highlight w:val="none"/>
          <w:lang w:val="en-US" w:eastAsia="zh-CN"/>
        </w:rPr>
        <w:t>的实施提升了审判体系和审判能力现代化水平，满足人民群众和全社会日益增多的诉讼需求与法律保障服务，项目达到预期效果。但该项目绩效目标编制有待规范，预算执行率有待进一步提高，受疫情影响部分法院信息化建设项目进度滞后。</w:t>
      </w:r>
    </w:p>
    <w:p>
      <w:pPr>
        <w:pStyle w:val="4"/>
        <w:keepNext w:val="0"/>
        <w:keepLines w:val="0"/>
        <w:pageBreakBefore w:val="0"/>
        <w:widowControl w:val="0"/>
        <w:numPr>
          <w:ilvl w:val="0"/>
          <w:numId w:val="2"/>
        </w:numPr>
        <w:kinsoku/>
        <w:wordWrap/>
        <w:overflowPunct w:val="0"/>
        <w:topLinePunct w:val="0"/>
        <w:autoSpaceDE/>
        <w:autoSpaceDN/>
        <w:bidi w:val="0"/>
        <w:adjustRightInd/>
        <w:spacing w:before="0" w:after="0" w:line="560" w:lineRule="exact"/>
        <w:ind w:firstLine="640" w:firstLineChars="200"/>
        <w:rPr>
          <w:rFonts w:ascii="黑体" w:hAnsi="黑体" w:eastAsia="黑体" w:cs="黑体"/>
          <w:b w:val="0"/>
          <w:bCs/>
          <w:sz w:val="32"/>
          <w:szCs w:val="32"/>
          <w:highlight w:val="none"/>
        </w:rPr>
      </w:pPr>
      <w:bookmarkStart w:id="35" w:name="_Toc135594797"/>
      <w:bookmarkStart w:id="36" w:name="_Toc16038"/>
      <w:r>
        <w:rPr>
          <w:rFonts w:hint="eastAsia" w:ascii="黑体" w:hAnsi="黑体" w:eastAsia="黑体" w:cs="黑体"/>
          <w:b w:val="0"/>
          <w:bCs/>
          <w:sz w:val="32"/>
          <w:szCs w:val="32"/>
          <w:highlight w:val="none"/>
        </w:rPr>
        <w:t>存在问题及原因分析</w:t>
      </w:r>
      <w:bookmarkEnd w:id="35"/>
      <w:bookmarkEnd w:id="36"/>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bookmarkStart w:id="37" w:name="_Toc135594647"/>
      <w:bookmarkStart w:id="38" w:name="_Toc16824"/>
      <w:bookmarkStart w:id="39" w:name="_Toc135594798"/>
      <w:bookmarkStart w:id="40" w:name="_Toc9017"/>
      <w:r>
        <w:rPr>
          <w:rFonts w:hint="eastAsia" w:ascii="仿宋_GB2312" w:hAnsi="仿宋_GB2312" w:eastAsia="仿宋_GB2312" w:cs="仿宋_GB2312"/>
          <w:sz w:val="32"/>
          <w:szCs w:val="32"/>
          <w:highlight w:val="none"/>
        </w:rPr>
        <w:t>（一）项目支出预算执行率有待提高</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绩效目标编制的明确性有待进一步提高</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受疫情影响，部分法院信息化建设项目进度滞后</w:t>
      </w:r>
      <w:r>
        <w:rPr>
          <w:rFonts w:hint="eastAsia" w:ascii="仿宋_GB2312" w:hAnsi="仿宋_GB2312" w:eastAsia="仿宋_GB2312" w:cs="仿宋_GB2312"/>
          <w:sz w:val="32"/>
          <w:szCs w:val="32"/>
          <w:highlight w:val="none"/>
          <w:lang w:eastAsia="zh-CN"/>
        </w:rPr>
        <w:t>。</w:t>
      </w:r>
    </w:p>
    <w:bookmarkEnd w:id="37"/>
    <w:bookmarkEnd w:id="38"/>
    <w:bookmarkEnd w:id="39"/>
    <w:p>
      <w:pPr>
        <w:pStyle w:val="4"/>
        <w:keepNext w:val="0"/>
        <w:keepLines w:val="0"/>
        <w:pageBreakBefore w:val="0"/>
        <w:widowControl w:val="0"/>
        <w:numPr>
          <w:ilvl w:val="0"/>
          <w:numId w:val="2"/>
        </w:numPr>
        <w:kinsoku/>
        <w:wordWrap/>
        <w:overflowPunct w:val="0"/>
        <w:topLinePunct w:val="0"/>
        <w:autoSpaceDE/>
        <w:autoSpaceDN/>
        <w:bidi w:val="0"/>
        <w:adjustRightInd/>
        <w:spacing w:before="0" w:after="0" w:line="560" w:lineRule="exact"/>
        <w:ind w:firstLine="640" w:firstLineChars="200"/>
        <w:rPr>
          <w:rFonts w:hint="eastAsia" w:ascii="黑体" w:hAnsi="黑体" w:eastAsia="黑体" w:cs="黑体"/>
          <w:b w:val="0"/>
          <w:bCs/>
          <w:sz w:val="32"/>
          <w:szCs w:val="32"/>
          <w:highlight w:val="none"/>
        </w:rPr>
      </w:pPr>
      <w:bookmarkStart w:id="41" w:name="_Toc135594801"/>
      <w:r>
        <w:rPr>
          <w:rFonts w:hint="eastAsia" w:ascii="黑体" w:hAnsi="黑体" w:eastAsia="黑体" w:cs="黑体"/>
          <w:b w:val="0"/>
          <w:bCs/>
          <w:sz w:val="32"/>
          <w:szCs w:val="32"/>
          <w:highlight w:val="none"/>
        </w:rPr>
        <w:t>有关建议</w:t>
      </w:r>
      <w:bookmarkEnd w:id="41"/>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bookmarkStart w:id="42" w:name="_Toc135594651"/>
      <w:bookmarkStart w:id="43" w:name="_Toc13137"/>
      <w:bookmarkStart w:id="44" w:name="_Toc135594802"/>
      <w:r>
        <w:rPr>
          <w:rFonts w:hint="eastAsia" w:ascii="仿宋_GB2312" w:hAnsi="仿宋_GB2312" w:eastAsia="仿宋_GB2312" w:cs="仿宋_GB2312"/>
          <w:sz w:val="32"/>
          <w:szCs w:val="32"/>
          <w:highlight w:val="none"/>
        </w:rPr>
        <w:t>（一）</w:t>
      </w:r>
      <w:bookmarkEnd w:id="42"/>
      <w:bookmarkEnd w:id="43"/>
      <w:bookmarkEnd w:id="44"/>
      <w:r>
        <w:rPr>
          <w:rFonts w:hint="eastAsia" w:ascii="仿宋_GB2312" w:hAnsi="仿宋_GB2312" w:eastAsia="仿宋_GB2312" w:cs="仿宋_GB2312"/>
          <w:sz w:val="32"/>
          <w:szCs w:val="32"/>
          <w:highlight w:val="none"/>
        </w:rPr>
        <w:t>预算编制需进一步细化并严格执行</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bookmarkStart w:id="45" w:name="_Toc16121"/>
      <w:bookmarkStart w:id="46" w:name="_Toc135594803"/>
      <w:bookmarkStart w:id="47" w:name="_Toc135594652"/>
      <w:r>
        <w:rPr>
          <w:rFonts w:hint="eastAsia" w:ascii="仿宋_GB2312" w:hAnsi="仿宋_GB2312" w:eastAsia="仿宋_GB2312" w:cs="仿宋_GB2312"/>
          <w:sz w:val="32"/>
          <w:szCs w:val="32"/>
          <w:highlight w:val="none"/>
        </w:rPr>
        <w:t>（二）</w:t>
      </w:r>
      <w:bookmarkEnd w:id="45"/>
      <w:bookmarkEnd w:id="46"/>
      <w:bookmarkEnd w:id="47"/>
      <w:r>
        <w:rPr>
          <w:rFonts w:hint="eastAsia" w:ascii="仿宋_GB2312" w:hAnsi="仿宋_GB2312" w:eastAsia="仿宋_GB2312" w:cs="仿宋_GB2312"/>
          <w:sz w:val="32"/>
          <w:szCs w:val="32"/>
          <w:highlight w:val="none"/>
        </w:rPr>
        <w:t>建议项目单位重视项目绩效目标编报与项目绩效预算编制的有机结合</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bookmarkStart w:id="48" w:name="_Toc6472"/>
      <w:bookmarkStart w:id="49" w:name="_Toc135594653"/>
      <w:bookmarkStart w:id="50" w:name="_Toc135594804"/>
      <w:r>
        <w:rPr>
          <w:rFonts w:hint="eastAsia" w:ascii="仿宋_GB2312" w:hAnsi="仿宋_GB2312" w:eastAsia="仿宋_GB2312" w:cs="仿宋_GB2312"/>
          <w:sz w:val="32"/>
          <w:szCs w:val="32"/>
          <w:highlight w:val="none"/>
        </w:rPr>
        <w:t>（三）</w:t>
      </w:r>
      <w:bookmarkEnd w:id="48"/>
      <w:r>
        <w:rPr>
          <w:rFonts w:hint="eastAsia" w:ascii="仿宋_GB2312" w:hAnsi="仿宋_GB2312" w:eastAsia="仿宋_GB2312" w:cs="仿宋_GB2312"/>
          <w:sz w:val="32"/>
          <w:szCs w:val="32"/>
          <w:highlight w:val="none"/>
        </w:rPr>
        <w:t>规范项目管理，加快项目实施进度</w:t>
      </w:r>
      <w:bookmarkEnd w:id="49"/>
      <w:bookmarkEnd w:id="50"/>
      <w:r>
        <w:rPr>
          <w:rFonts w:hint="eastAsia" w:ascii="仿宋_GB2312" w:hAnsi="仿宋_GB2312" w:eastAsia="仿宋_GB2312" w:cs="仿宋_GB2312"/>
          <w:sz w:val="32"/>
          <w:szCs w:val="32"/>
          <w:highlight w:val="none"/>
          <w:lang w:eastAsia="zh-CN"/>
        </w:rPr>
        <w:t>。</w:t>
      </w:r>
    </w:p>
    <w:bookmarkEnd w:id="40"/>
    <w:p>
      <w:pPr>
        <w:keepNext w:val="0"/>
        <w:keepLines w:val="0"/>
        <w:pageBreakBefore w:val="0"/>
        <w:widowControl w:val="0"/>
        <w:kinsoku/>
        <w:wordWrap/>
        <w:overflowPunct w:val="0"/>
        <w:topLinePunct w:val="0"/>
        <w:autoSpaceDE/>
        <w:autoSpaceDN/>
        <w:bidi w:val="0"/>
        <w:adjustRightInd/>
        <w:rPr>
          <w:rFonts w:ascii="方正小标宋简体" w:hAnsi="宋体" w:eastAsia="方正小标宋简体"/>
          <w:sz w:val="44"/>
          <w:szCs w:val="44"/>
          <w:highlight w:val="none"/>
        </w:rPr>
      </w:pPr>
      <w:bookmarkStart w:id="51" w:name="_Toc1784"/>
      <w:bookmarkStart w:id="52" w:name="_Toc2283"/>
      <w:r>
        <w:rPr>
          <w:rFonts w:hint="eastAsia" w:ascii="方正小标宋简体" w:hAnsi="宋体" w:eastAsia="方正小标宋简体"/>
          <w:sz w:val="44"/>
          <w:szCs w:val="44"/>
          <w:highlight w:val="none"/>
        </w:rPr>
        <w:br w:type="page"/>
      </w:r>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hint="eastAsia" w:ascii="方正小标宋简体" w:hAnsi="宋体" w:eastAsia="方正小标宋简体"/>
          <w:sz w:val="44"/>
          <w:szCs w:val="44"/>
          <w:highlight w:val="none"/>
        </w:rPr>
        <w:sectPr>
          <w:footerReference r:id="rId6" w:type="default"/>
          <w:pgSz w:w="11906" w:h="16838"/>
          <w:pgMar w:top="1440" w:right="1689" w:bottom="1440" w:left="1689"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bookmarkStart w:id="53" w:name="_Toc135594805"/>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hint="eastAsia" w:ascii="方正小标宋简体" w:hAnsi="宋体" w:eastAsia="方正小标宋简体"/>
          <w:sz w:val="44"/>
          <w:szCs w:val="44"/>
          <w:highlight w:val="none"/>
        </w:rPr>
      </w:pPr>
      <w:r>
        <w:rPr>
          <w:rFonts w:hint="eastAsia" w:ascii="方正小标宋简体" w:hAnsi="宋体" w:eastAsia="方正小标宋简体"/>
          <w:sz w:val="44"/>
          <w:szCs w:val="44"/>
          <w:highlight w:val="none"/>
        </w:rPr>
        <w:t>2022年度甘肃省高级人民法院重点项目</w:t>
      </w:r>
      <w:bookmarkStart w:id="54" w:name="_Toc25608"/>
      <w:bookmarkStart w:id="55" w:name="_Toc10434"/>
      <w:bookmarkStart w:id="56" w:name="_Toc21731"/>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hint="eastAsia" w:ascii="方正小标宋简体" w:hAnsi="宋体" w:eastAsia="方正小标宋简体"/>
          <w:sz w:val="44"/>
          <w:szCs w:val="44"/>
          <w:highlight w:val="none"/>
        </w:rPr>
      </w:pPr>
      <w:r>
        <w:rPr>
          <w:rFonts w:hint="eastAsia" w:ascii="方正小标宋简体" w:hAnsi="宋体" w:eastAsia="方正小标宋简体"/>
          <w:sz w:val="44"/>
          <w:szCs w:val="44"/>
          <w:highlight w:val="none"/>
        </w:rPr>
        <w:t>—全省“智慧法院”信息化项目经费</w:t>
      </w:r>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hint="eastAsia" w:ascii="方正小标宋简体" w:hAnsi="宋体" w:eastAsia="方正小标宋简体"/>
          <w:sz w:val="44"/>
          <w:szCs w:val="44"/>
          <w:highlight w:val="none"/>
        </w:rPr>
      </w:pPr>
      <w:r>
        <w:rPr>
          <w:rFonts w:hint="eastAsia" w:ascii="方正小标宋简体" w:hAnsi="宋体" w:eastAsia="方正小标宋简体"/>
          <w:sz w:val="44"/>
          <w:szCs w:val="44"/>
          <w:highlight w:val="none"/>
        </w:rPr>
        <w:t>绩效评价报告</w:t>
      </w:r>
      <w:bookmarkEnd w:id="53"/>
      <w:bookmarkEnd w:id="54"/>
      <w:bookmarkEnd w:id="55"/>
      <w:bookmarkEnd w:id="56"/>
    </w:p>
    <w:p>
      <w:pPr>
        <w:pStyle w:val="2"/>
        <w:keepNext w:val="0"/>
        <w:keepLines w:val="0"/>
        <w:pageBreakBefore w:val="0"/>
        <w:widowControl w:val="0"/>
        <w:kinsoku/>
        <w:wordWrap/>
        <w:overflowPunct/>
        <w:topLinePunct w:val="0"/>
        <w:autoSpaceDE/>
        <w:autoSpaceDN/>
        <w:bidi w:val="0"/>
        <w:adjustRightInd/>
        <w:snapToGrid/>
        <w:spacing w:before="157" w:beforeLines="50" w:after="157" w:afterLines="50"/>
        <w:jc w:val="right"/>
        <w:textAlignment w:val="auto"/>
      </w:pPr>
      <w:r>
        <w:rPr>
          <w:rFonts w:hint="eastAsia" w:ascii="楷体" w:hAnsi="楷体" w:eastAsia="楷体" w:cs="楷体"/>
          <w:sz w:val="28"/>
          <w:szCs w:val="28"/>
        </w:rPr>
        <w:t>甘卓诚咨字【2023】第01</w:t>
      </w:r>
      <w:r>
        <w:rPr>
          <w:rFonts w:hint="eastAsia" w:ascii="楷体" w:hAnsi="楷体" w:eastAsia="楷体" w:cs="楷体"/>
          <w:sz w:val="28"/>
          <w:szCs w:val="28"/>
          <w:lang w:val="en-US" w:eastAsia="zh-CN"/>
        </w:rPr>
        <w:t>3</w:t>
      </w:r>
      <w:r>
        <w:rPr>
          <w:rFonts w:hint="eastAsia" w:ascii="楷体" w:hAnsi="楷体" w:eastAsia="楷体" w:cs="楷体"/>
          <w:sz w:val="28"/>
          <w:szCs w:val="28"/>
        </w:rPr>
        <w:t>号</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黑体" w:eastAsia="黑体"/>
          <w:highlight w:val="none"/>
        </w:rPr>
      </w:pPr>
      <w:bookmarkStart w:id="57" w:name="_Toc135594806"/>
      <w:bookmarkStart w:id="58" w:name="_Toc28166"/>
      <w:r>
        <w:rPr>
          <w:rFonts w:hint="eastAsia" w:ascii="黑体" w:eastAsia="黑体"/>
          <w:highlight w:val="none"/>
        </w:rPr>
        <w:t>一、项目基本情况</w:t>
      </w:r>
      <w:bookmarkEnd w:id="51"/>
      <w:bookmarkEnd w:id="52"/>
      <w:bookmarkEnd w:id="57"/>
      <w:bookmarkEnd w:id="58"/>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59" w:name="_Toc21843"/>
      <w:bookmarkStart w:id="60" w:name="_Toc11404"/>
      <w:bookmarkStart w:id="61" w:name="_Toc135594807"/>
      <w:r>
        <w:rPr>
          <w:rFonts w:hint="eastAsia" w:ascii="楷体" w:hAnsi="楷体" w:eastAsia="楷体" w:cs="楷体"/>
          <w:b/>
          <w:bCs/>
          <w:highlight w:val="none"/>
        </w:rPr>
        <w:t>（一）项目立项背景</w:t>
      </w:r>
      <w:bookmarkEnd w:id="59"/>
      <w:bookmarkEnd w:id="60"/>
      <w:bookmarkEnd w:id="61"/>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bookmarkStart w:id="62" w:name="_Hlk107005708"/>
      <w:bookmarkStart w:id="63" w:name="_Toc27159"/>
      <w:bookmarkStart w:id="64" w:name="_Toc10699"/>
      <w:r>
        <w:rPr>
          <w:rFonts w:hint="eastAsia" w:ascii="仿宋_GB2312" w:hAnsi="仿宋_GB2312" w:cs="仿宋_GB2312"/>
          <w:highlight w:val="none"/>
        </w:rPr>
        <w:t>“智慧法院”于2016年首次纳入《国家信息化发展战略纲要》和《“十三五”国家信息化规划》</w:t>
      </w:r>
      <w:r>
        <w:rPr>
          <w:rFonts w:hint="eastAsia" w:ascii="仿宋_GB2312" w:hAnsi="仿宋_GB2312" w:cs="仿宋_GB2312"/>
          <w:highlight w:val="none"/>
          <w:lang w:eastAsia="zh-CN"/>
        </w:rPr>
        <w:t>，</w:t>
      </w:r>
      <w:r>
        <w:rPr>
          <w:rFonts w:hint="eastAsia" w:ascii="仿宋_GB2312" w:hAnsi="仿宋_GB2312" w:cs="仿宋_GB2312"/>
          <w:highlight w:val="none"/>
        </w:rPr>
        <w:t>其基本含义就是依托现代人工智能，围绕司法为民、公正司法，坚持司法规律、体制改革与技术变革相融合，以高度信息化方式支持司法审判、诉讼服务和司法管理，实现全业务网上办理、全流程依法公开、全方位智能服务的人民法院组织、建设、运行和管理形态。人民法院作为审判机关，承担着定纷止争、维护社会公平正义的职责。随着社会的发展，人民法院面临的困难和压力越来越大</w:t>
      </w:r>
      <w:r>
        <w:rPr>
          <w:rFonts w:hint="eastAsia" w:ascii="仿宋_GB2312" w:hAnsi="仿宋_GB2312" w:cs="仿宋_GB2312"/>
          <w:highlight w:val="none"/>
          <w:lang w:eastAsia="zh-CN"/>
        </w:rPr>
        <w:t>，</w:t>
      </w:r>
      <w:r>
        <w:rPr>
          <w:rFonts w:hint="eastAsia" w:ascii="仿宋_GB2312" w:hAnsi="仿宋_GB2312" w:cs="仿宋_GB2312"/>
          <w:highlight w:val="none"/>
        </w:rPr>
        <w:t>各级</w:t>
      </w:r>
      <w:bookmarkEnd w:id="62"/>
      <w:r>
        <w:rPr>
          <w:rFonts w:hint="eastAsia" w:ascii="仿宋_GB2312" w:hAnsi="仿宋_GB2312" w:cs="仿宋_GB2312"/>
          <w:highlight w:val="none"/>
        </w:rPr>
        <w:t>法院收案数量持续增长，“案多人少”矛盾十分突出，智慧法院建设</w:t>
      </w:r>
      <w:r>
        <w:rPr>
          <w:rFonts w:hint="eastAsia" w:ascii="仿宋_GB2312" w:hAnsi="仿宋_GB2312" w:cs="仿宋_GB2312"/>
          <w:highlight w:val="none"/>
          <w:lang w:eastAsia="zh-CN"/>
        </w:rPr>
        <w:t>成为</w:t>
      </w:r>
      <w:r>
        <w:rPr>
          <w:rFonts w:hint="eastAsia" w:ascii="仿宋_GB2312" w:hAnsi="仿宋_GB2312" w:cs="仿宋_GB2312"/>
          <w:highlight w:val="none"/>
        </w:rPr>
        <w:t>当前法院缓解矛盾、提高司法质效的重要抓手。</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结合最高人民法院印发的《关于加快建设智慧法院的意见》推进智慧法院建设，为进一步提高甘肃省法院信息化服务水平，以审判执行、服务司法管理、服务廉洁司法为主线，科学研究，审慎决策全省法院云平台和智慧法院项目，促进审判体系和审判能力现代化。切实发挥先进科学技术对人民法院工作的重要推动和保障作用，把法院审判和管理工作提高到新的水平。</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智慧法院项目是法院高效办公办案的重要支撑，更好发挥省法院信息化引领作用、更好推进全省法院信息化建设，</w:t>
      </w:r>
      <w:r>
        <w:rPr>
          <w:rFonts w:hint="eastAsia" w:ascii="仿宋_GB2312" w:hAnsi="仿宋_GB2312" w:cs="仿宋_GB2312"/>
          <w:highlight w:val="none"/>
          <w:lang w:val="en-US" w:eastAsia="zh-CN"/>
        </w:rPr>
        <w:t>省法院</w:t>
      </w:r>
      <w:r>
        <w:rPr>
          <w:rFonts w:hint="eastAsia" w:ascii="仿宋_GB2312" w:hAnsi="仿宋_GB2312" w:cs="仿宋_GB2312"/>
          <w:highlight w:val="none"/>
        </w:rPr>
        <w:t>制定了《全省法院大力推广应用智慧法院信息系统的实施方案》，充分发挥云平台和智慧法院信息系统的科技支撑作用，实现法院各类事项全业务网上办理、全方位智能服务、全流程依法公开的甘肃智慧法院组织、运行和管理体系。</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65" w:name="_Toc135594808"/>
      <w:r>
        <w:rPr>
          <w:rFonts w:hint="eastAsia" w:ascii="楷体" w:hAnsi="楷体" w:eastAsia="楷体" w:cs="楷体"/>
          <w:b/>
          <w:bCs/>
          <w:highlight w:val="none"/>
        </w:rPr>
        <w:t>（二）项目预算安排及使用情况</w:t>
      </w:r>
      <w:bookmarkEnd w:id="63"/>
      <w:bookmarkEnd w:id="64"/>
      <w:bookmarkEnd w:id="65"/>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1.预算安排情况</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eastAsia="zh-CN"/>
        </w:rPr>
        <w:t>根据甘肃省财政厅2022年度预算安排，全省“智慧法院”信息化项目经费全年预算数11,004.96</w:t>
      </w:r>
      <w:r>
        <w:rPr>
          <w:rFonts w:hint="eastAsia" w:ascii="仿宋_GB2312" w:hAnsi="仿宋_GB2312" w:cs="仿宋_GB2312"/>
          <w:color w:val="auto"/>
          <w:highlight w:val="none"/>
          <w:lang w:eastAsia="zh-CN"/>
        </w:rPr>
        <w:t>万元</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其中当年财政拨款7</w:t>
      </w:r>
      <w:r>
        <w:rPr>
          <w:rFonts w:hint="eastAsia" w:ascii="仿宋_GB2312" w:hAnsi="仿宋_GB2312" w:cs="仿宋_GB2312"/>
          <w:highlight w:val="none"/>
        </w:rPr>
        <w:t>,000.00万元，年初随部门预算下达至省法院</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上年结转资金4,004.96万元。</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color w:val="auto"/>
          <w:highlight w:val="none"/>
        </w:rPr>
      </w:pPr>
      <w:r>
        <w:rPr>
          <w:rFonts w:hint="eastAsia" w:ascii="仿宋_GB2312" w:hAnsi="仿宋_GB2312" w:cs="仿宋_GB2312"/>
          <w:highlight w:val="none"/>
        </w:rPr>
        <w:t>省法院《关于2022年度全省“智慧法院”信息化项目经费安排建议的报告》</w:t>
      </w:r>
      <w:r>
        <w:rPr>
          <w:rFonts w:hint="eastAsia" w:ascii="仿宋_GB2312" w:hAnsi="仿宋_GB2312" w:cs="仿宋_GB2312"/>
          <w:highlight w:val="none"/>
          <w:lang w:eastAsia="zh-CN"/>
        </w:rPr>
        <w:t>（</w:t>
      </w:r>
      <w:r>
        <w:rPr>
          <w:rFonts w:hint="eastAsia" w:ascii="仿宋_GB2312" w:hAnsi="仿宋_GB2312" w:cs="仿宋_GB2312"/>
          <w:highlight w:val="none"/>
        </w:rPr>
        <w:t>甘高法行装〔2022〕80号</w:t>
      </w:r>
      <w:r>
        <w:rPr>
          <w:rFonts w:hint="eastAsia" w:ascii="仿宋_GB2312" w:hAnsi="仿宋_GB2312" w:cs="仿宋_GB2312"/>
          <w:highlight w:val="none"/>
          <w:lang w:eastAsia="zh-CN"/>
        </w:rPr>
        <w:t>）</w:t>
      </w:r>
      <w:r>
        <w:rPr>
          <w:rFonts w:hint="eastAsia" w:ascii="仿宋_GB2312" w:hAnsi="仿宋_GB2312" w:cs="仿宋_GB2312"/>
          <w:color w:val="auto"/>
          <w:highlight w:val="none"/>
        </w:rPr>
        <w:t>提出全省“智慧法院”信息化项目经费7,000.00万元安排建议。2022年9月23日，甘肃省财政厅《关于下达2022年全省“智慧法院”信息化项目经费的通知》（甘财政法〔2022〕25号）下达了</w:t>
      </w:r>
      <w:r>
        <w:rPr>
          <w:rFonts w:hint="eastAsia" w:ascii="仿宋_GB2312" w:hAnsi="仿宋_GB2312" w:cs="仿宋_GB2312"/>
          <w:color w:val="auto"/>
          <w:highlight w:val="none"/>
          <w:lang w:eastAsia="zh-CN"/>
        </w:rPr>
        <w:t>“</w:t>
      </w:r>
      <w:r>
        <w:rPr>
          <w:rFonts w:hint="eastAsia" w:ascii="仿宋_GB2312" w:hAnsi="仿宋_GB2312" w:cs="仿宋_GB2312"/>
          <w:color w:val="auto"/>
          <w:highlight w:val="none"/>
        </w:rPr>
        <w:t>智慧法院</w:t>
      </w:r>
      <w:r>
        <w:rPr>
          <w:rFonts w:hint="eastAsia" w:ascii="仿宋_GB2312" w:hAnsi="仿宋_GB2312" w:cs="仿宋_GB2312"/>
          <w:color w:val="auto"/>
          <w:highlight w:val="none"/>
          <w:lang w:eastAsia="zh-CN"/>
        </w:rPr>
        <w:t>”</w:t>
      </w:r>
      <w:r>
        <w:rPr>
          <w:rFonts w:hint="eastAsia" w:ascii="仿宋_GB2312" w:hAnsi="仿宋_GB2312" w:cs="仿宋_GB2312"/>
          <w:color w:val="auto"/>
          <w:highlight w:val="none"/>
        </w:rPr>
        <w:t>信息化项目经费7,000.00万元，具体分配情况如下：</w:t>
      </w:r>
    </w:p>
    <w:tbl>
      <w:tblPr>
        <w:tblStyle w:val="15"/>
        <w:tblW w:w="8256"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61"/>
        <w:gridCol w:w="2761"/>
        <w:gridCol w:w="1152"/>
        <w:gridCol w:w="3582"/>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761" w:type="dxa"/>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序号</w:t>
            </w:r>
          </w:p>
        </w:tc>
        <w:tc>
          <w:tcPr>
            <w:tcW w:w="2761" w:type="dxa"/>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auto"/>
                <w:kern w:val="0"/>
                <w:szCs w:val="21"/>
                <w:highlight w:val="none"/>
                <w:lang w:bidi="ar"/>
              </w:rPr>
            </w:pPr>
            <w:r>
              <w:rPr>
                <w:rFonts w:hint="eastAsia" w:ascii="宋体" w:hAnsi="宋体" w:cs="宋体"/>
                <w:b/>
                <w:bCs/>
                <w:color w:val="auto"/>
                <w:kern w:val="0"/>
                <w:szCs w:val="21"/>
                <w:highlight w:val="none"/>
                <w:lang w:bidi="ar"/>
              </w:rPr>
              <w:t>实施单位</w:t>
            </w:r>
          </w:p>
        </w:tc>
        <w:tc>
          <w:tcPr>
            <w:tcW w:w="1152" w:type="dxa"/>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预算金额</w:t>
            </w:r>
          </w:p>
        </w:tc>
        <w:tc>
          <w:tcPr>
            <w:tcW w:w="3582" w:type="dxa"/>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资金性质</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761" w:type="dxa"/>
            <w:vMerge w:val="restar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w:t>
            </w:r>
          </w:p>
        </w:tc>
        <w:tc>
          <w:tcPr>
            <w:tcW w:w="2761" w:type="dxa"/>
            <w:vMerge w:val="restar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甘肃省高级人民法院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1,000.00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智慧法院信息化项目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761" w:type="dxa"/>
            <w:vMerge w:val="continue"/>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color w:val="auto"/>
                <w:kern w:val="0"/>
                <w:szCs w:val="21"/>
                <w:highlight w:val="none"/>
                <w:lang w:bidi="ar"/>
              </w:rPr>
            </w:pPr>
          </w:p>
        </w:tc>
        <w:tc>
          <w:tcPr>
            <w:tcW w:w="2761" w:type="dxa"/>
            <w:vMerge w:val="continue"/>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846.00</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省法院诉讼服务中心建设项目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2</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陇南市中级人民法院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330.00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3</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定西市中级人民法院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430.00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4</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白银市中级人民法院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肃北蒙古族自治县人民法院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东乡族自治县人民法院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290.00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临潭县人民法院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290.00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小陇山林区法院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子午岭林区法院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灵台县人民法院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65.00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白龙江林区法院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265.00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12</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崆峒区人民法院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505.00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西固区人民法院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425.00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14</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甘肃矿区人民法院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69.00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白银市中级人民法院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145.00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16</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平凉市中级人民法院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270.00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华亭市人民法院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625.00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18</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白银区人民法院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80.00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19</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岷县人民法院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135.00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w:t>
            </w:r>
          </w:p>
        </w:tc>
        <w:tc>
          <w:tcPr>
            <w:tcW w:w="2761"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玛曲县人民法院</w:t>
            </w:r>
          </w:p>
        </w:tc>
        <w:tc>
          <w:tcPr>
            <w:tcW w:w="1152"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280.00 </w:t>
            </w:r>
          </w:p>
        </w:tc>
        <w:tc>
          <w:tcPr>
            <w:tcW w:w="3582"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p>
        </w:tc>
        <w:tc>
          <w:tcPr>
            <w:tcW w:w="2761" w:type="dxa"/>
            <w:shd w:val="clear" w:color="auto" w:fill="C7DAF1"/>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合计</w:t>
            </w:r>
          </w:p>
        </w:tc>
        <w:tc>
          <w:tcPr>
            <w:tcW w:w="1152" w:type="dxa"/>
            <w:shd w:val="clear" w:color="auto" w:fill="C7DAF1"/>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b/>
                <w:bCs/>
                <w:color w:val="auto"/>
                <w:kern w:val="0"/>
                <w:szCs w:val="21"/>
                <w:highlight w:val="none"/>
                <w:lang w:bidi="ar"/>
              </w:rPr>
            </w:pPr>
            <w:r>
              <w:rPr>
                <w:rFonts w:hint="eastAsia" w:ascii="宋体" w:hAnsi="宋体" w:cs="宋体"/>
                <w:b/>
                <w:bCs/>
                <w:color w:val="auto"/>
                <w:kern w:val="0"/>
                <w:szCs w:val="21"/>
                <w:highlight w:val="none"/>
                <w:lang w:bidi="ar"/>
              </w:rPr>
              <w:t>7,000.00</w:t>
            </w:r>
          </w:p>
        </w:tc>
        <w:tc>
          <w:tcPr>
            <w:tcW w:w="3582"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b/>
                <w:bCs/>
                <w:color w:val="auto"/>
                <w:kern w:val="0"/>
                <w:szCs w:val="21"/>
                <w:highlight w:val="none"/>
                <w:lang w:bidi="ar"/>
              </w:rPr>
            </w:pPr>
          </w:p>
        </w:tc>
      </w:tr>
    </w:tbl>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color w:val="auto"/>
          <w:highlight w:val="none"/>
        </w:rPr>
      </w:pPr>
      <w:r>
        <w:rPr>
          <w:rFonts w:hint="eastAsia" w:ascii="仿宋_GB2312" w:hAnsi="仿宋_GB2312" w:cs="仿宋_GB2312"/>
          <w:b/>
          <w:bCs/>
          <w:color w:val="auto"/>
          <w:highlight w:val="none"/>
        </w:rPr>
        <w:t>2.资金使用情况</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cs="仿宋_GB2312"/>
          <w:highlight w:val="none"/>
        </w:rPr>
      </w:pPr>
      <w:r>
        <w:rPr>
          <w:rFonts w:hint="eastAsia" w:ascii="仿宋_GB2312" w:hAnsi="仿宋_GB2312" w:cs="仿宋_GB2312"/>
          <w:color w:val="auto"/>
          <w:highlight w:val="none"/>
        </w:rPr>
        <w:t>全省“智慧法院”信息化项目经费</w:t>
      </w:r>
      <w:r>
        <w:rPr>
          <w:rFonts w:hint="eastAsia" w:ascii="仿宋_GB2312" w:hAnsi="仿宋_GB2312" w:cs="仿宋_GB2312"/>
          <w:color w:val="auto"/>
          <w:highlight w:val="none"/>
          <w:lang w:val="en-US" w:eastAsia="zh-CN"/>
        </w:rPr>
        <w:t>全年预算数11,004.96万元，其中当年财政拨款7,000.00万元</w:t>
      </w:r>
      <w:r>
        <w:rPr>
          <w:rFonts w:hint="eastAsia" w:ascii="仿宋_GB2312" w:hAnsi="仿宋_GB2312" w:cs="仿宋_GB2312"/>
          <w:highlight w:val="none"/>
          <w:lang w:val="en-US" w:eastAsia="zh-CN"/>
        </w:rPr>
        <w:t>，上年结转资金4,004.96万元，</w:t>
      </w:r>
      <w:r>
        <w:rPr>
          <w:rFonts w:hint="eastAsia" w:ascii="仿宋_GB2312" w:hAnsi="仿宋_GB2312" w:cs="仿宋_GB2312"/>
          <w:highlight w:val="none"/>
        </w:rPr>
        <w:t>截止2022年12月31日，实际支出7,515.77万元，预算执行率68.29%。各法院项目资金使用情况明细如下：</w:t>
      </w:r>
    </w:p>
    <w:tbl>
      <w:tblPr>
        <w:tblStyle w:val="15"/>
        <w:tblW w:w="8334"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633"/>
        <w:gridCol w:w="2400"/>
        <w:gridCol w:w="1104"/>
        <w:gridCol w:w="1080"/>
        <w:gridCol w:w="1058"/>
        <w:gridCol w:w="1066"/>
        <w:gridCol w:w="993"/>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633" w:type="dxa"/>
            <w:vMerge w:val="restar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序号</w:t>
            </w:r>
          </w:p>
        </w:tc>
        <w:tc>
          <w:tcPr>
            <w:tcW w:w="2400" w:type="dxa"/>
            <w:vMerge w:val="restar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auto"/>
                <w:kern w:val="0"/>
                <w:szCs w:val="21"/>
                <w:highlight w:val="none"/>
                <w:lang w:bidi="ar"/>
              </w:rPr>
            </w:pPr>
            <w:r>
              <w:rPr>
                <w:rFonts w:hint="eastAsia" w:ascii="宋体" w:hAnsi="宋体" w:cs="宋体"/>
                <w:b/>
                <w:bCs/>
                <w:color w:val="auto"/>
                <w:kern w:val="0"/>
                <w:szCs w:val="21"/>
                <w:highlight w:val="none"/>
                <w:lang w:bidi="ar"/>
              </w:rPr>
              <w:t>实施单位</w:t>
            </w:r>
          </w:p>
        </w:tc>
        <w:tc>
          <w:tcPr>
            <w:tcW w:w="3242" w:type="dxa"/>
            <w:gridSpan w:val="3"/>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全年预算数</w:t>
            </w:r>
          </w:p>
        </w:tc>
        <w:tc>
          <w:tcPr>
            <w:tcW w:w="1066" w:type="dxa"/>
            <w:vMerge w:val="restar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全年</w:t>
            </w:r>
          </w:p>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执行数</w:t>
            </w:r>
          </w:p>
        </w:tc>
        <w:tc>
          <w:tcPr>
            <w:tcW w:w="993" w:type="dxa"/>
            <w:vMerge w:val="restar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预算执行率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633" w:type="dxa"/>
            <w:vMerge w:val="continue"/>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p>
        </w:tc>
        <w:tc>
          <w:tcPr>
            <w:tcW w:w="2400" w:type="dxa"/>
            <w:vMerge w:val="continue"/>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p>
        </w:tc>
        <w:tc>
          <w:tcPr>
            <w:tcW w:w="1104" w:type="dxa"/>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当年财政拨款</w:t>
            </w:r>
          </w:p>
        </w:tc>
        <w:tc>
          <w:tcPr>
            <w:tcW w:w="1080" w:type="dxa"/>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上年结转资金</w:t>
            </w:r>
          </w:p>
        </w:tc>
        <w:tc>
          <w:tcPr>
            <w:tcW w:w="1058" w:type="dxa"/>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合计</w:t>
            </w:r>
          </w:p>
        </w:tc>
        <w:tc>
          <w:tcPr>
            <w:tcW w:w="1066" w:type="dxa"/>
            <w:vMerge w:val="continue"/>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p>
        </w:tc>
        <w:tc>
          <w:tcPr>
            <w:tcW w:w="993" w:type="dxa"/>
            <w:vMerge w:val="continue"/>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vMerge w:val="restar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1</w:t>
            </w:r>
          </w:p>
        </w:tc>
        <w:tc>
          <w:tcPr>
            <w:tcW w:w="2400" w:type="dxa"/>
            <w:vMerge w:val="restar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甘肃省高级人民法院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1,000.00</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1,478.04</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val="en-US" w:eastAsia="zh-CN" w:bidi="ar"/>
              </w:rPr>
              <w:t>478</w:t>
            </w:r>
            <w:r>
              <w:rPr>
                <w:rFonts w:hint="eastAsia" w:ascii="宋体" w:hAnsi="宋体" w:eastAsia="宋体" w:cs="宋体"/>
                <w:color w:val="auto"/>
                <w:kern w:val="0"/>
                <w:szCs w:val="21"/>
                <w:highlight w:val="none"/>
                <w:lang w:bidi="ar"/>
              </w:rPr>
              <w:t xml:space="preserve">.04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2,478.00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vMerge w:val="continue"/>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color w:val="auto"/>
                <w:kern w:val="0"/>
                <w:szCs w:val="21"/>
                <w:highlight w:val="none"/>
                <w:lang w:bidi="ar"/>
              </w:rPr>
            </w:pPr>
          </w:p>
        </w:tc>
        <w:tc>
          <w:tcPr>
            <w:tcW w:w="2400" w:type="dxa"/>
            <w:vMerge w:val="continue"/>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846.00</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846.00</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2</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陇南市中级人民法院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330.00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330.00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239.20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72.48%</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3</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定西市中级人民法院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430.00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430.00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337.21</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78.42%</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cs="宋体"/>
                <w:color w:val="auto"/>
                <w:kern w:val="0"/>
                <w:szCs w:val="21"/>
                <w:highlight w:val="none"/>
                <w:lang w:bidi="ar"/>
              </w:rPr>
              <w:t>4</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白银市中级人民法院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 w:val="18"/>
                <w:szCs w:val="18"/>
                <w:highlight w:val="none"/>
                <w:lang w:bidi="ar"/>
              </w:rPr>
              <w:t>肃北蒙古族自治县人民法院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227.43</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87.47%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38"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东乡族自治县人民法院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290.00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290.00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0</w:t>
            </w:r>
            <w:r>
              <w:rPr>
                <w:rFonts w:hint="eastAsia" w:ascii="宋体" w:hAnsi="宋体" w:eastAsia="宋体" w:cs="宋体"/>
                <w:color w:val="auto"/>
                <w:kern w:val="0"/>
                <w:szCs w:val="21"/>
                <w:highlight w:val="none"/>
                <w:lang w:val="en-US" w:eastAsia="zh-CN" w:bidi="ar"/>
              </w:rPr>
              <w:t>.00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临潭县人民法院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290.00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290.00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小陇山林区法院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3.46%</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子午岭林区法院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147.78</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56.84%</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灵台县人民法院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65.00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65.00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65.00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白龙江林区法院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265.00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265.00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12</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崆峒区人民法院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505.00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505.00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187.84</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37.20%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西固区人民法院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425.00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425.00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bidi="ar"/>
              </w:rPr>
              <w:t>3.06%</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14</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甘肃矿区人民法院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69.00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69.00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白银市中级人民法院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145.00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145.00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16</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平凉市中级人民法院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270.00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270.00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270.00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华亭市人民法院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625.00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625.00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625.00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18</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白银区人民法院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80.00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80.00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3"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19</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岷县人民法院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135.00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 </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135.00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135.00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玛曲县人民法院</w:t>
            </w:r>
          </w:p>
        </w:tc>
        <w:tc>
          <w:tcPr>
            <w:tcW w:w="1104" w:type="dxa"/>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280.00 </w:t>
            </w: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280.00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174.39</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62.28%</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21</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洮河林区法院</w:t>
            </w:r>
          </w:p>
        </w:tc>
        <w:tc>
          <w:tcPr>
            <w:tcW w:w="1104"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419.86</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419.86</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419.86</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22</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嘉峪关市中级人民法院</w:t>
            </w:r>
          </w:p>
        </w:tc>
        <w:tc>
          <w:tcPr>
            <w:tcW w:w="1104"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170.00 </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170.00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23</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酒泉市中级人民法院</w:t>
            </w:r>
          </w:p>
        </w:tc>
        <w:tc>
          <w:tcPr>
            <w:tcW w:w="1104"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650.16 </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650.16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650.16</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24</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夏河县人民法院</w:t>
            </w:r>
          </w:p>
        </w:tc>
        <w:tc>
          <w:tcPr>
            <w:tcW w:w="1104"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284.76 </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284.76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284.76</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25</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合作市人民法院</w:t>
            </w:r>
          </w:p>
        </w:tc>
        <w:tc>
          <w:tcPr>
            <w:tcW w:w="1104"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382.14 </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382.14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382.14</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8" w:hRule="atLeast"/>
          <w:jc w:val="center"/>
        </w:trPr>
        <w:tc>
          <w:tcPr>
            <w:tcW w:w="633"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26</w:t>
            </w:r>
          </w:p>
        </w:tc>
        <w:tc>
          <w:tcPr>
            <w:tcW w:w="2400" w:type="dxa"/>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 w:val="18"/>
                <w:szCs w:val="18"/>
                <w:highlight w:val="none"/>
                <w:lang w:bidi="ar"/>
              </w:rPr>
              <w:t>天祝藏族自治县人民法院</w:t>
            </w:r>
          </w:p>
        </w:tc>
        <w:tc>
          <w:tcPr>
            <w:tcW w:w="1104" w:type="dxa"/>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p>
        </w:tc>
        <w:tc>
          <w:tcPr>
            <w:tcW w:w="1080"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620.00 </w:t>
            </w:r>
          </w:p>
        </w:tc>
        <w:tc>
          <w:tcPr>
            <w:tcW w:w="1058"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620.00 </w:t>
            </w:r>
          </w:p>
        </w:tc>
        <w:tc>
          <w:tcPr>
            <w:tcW w:w="1066"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620.00</w:t>
            </w:r>
          </w:p>
        </w:tc>
        <w:tc>
          <w:tcPr>
            <w:tcW w:w="993" w:type="dxa"/>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33"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auto"/>
                <w:kern w:val="0"/>
                <w:szCs w:val="21"/>
                <w:highlight w:val="none"/>
                <w:lang w:bidi="ar"/>
              </w:rPr>
            </w:pPr>
          </w:p>
        </w:tc>
        <w:tc>
          <w:tcPr>
            <w:tcW w:w="2400" w:type="dxa"/>
            <w:shd w:val="clear" w:color="auto" w:fill="C7DAF1"/>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合计</w:t>
            </w:r>
          </w:p>
        </w:tc>
        <w:tc>
          <w:tcPr>
            <w:tcW w:w="1104" w:type="dxa"/>
            <w:shd w:val="clear" w:color="auto" w:fill="C7DAF1"/>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 xml:space="preserve">7,000.00 </w:t>
            </w:r>
          </w:p>
        </w:tc>
        <w:tc>
          <w:tcPr>
            <w:tcW w:w="1080"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 xml:space="preserve">4,004.96 </w:t>
            </w:r>
          </w:p>
        </w:tc>
        <w:tc>
          <w:tcPr>
            <w:tcW w:w="1058"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18"/>
                <w:szCs w:val="18"/>
                <w:highlight w:val="none"/>
                <w:lang w:bidi="ar"/>
              </w:rPr>
              <w:t>11,004.96</w:t>
            </w:r>
            <w:r>
              <w:rPr>
                <w:rFonts w:hint="eastAsia" w:ascii="宋体" w:hAnsi="宋体" w:eastAsia="宋体" w:cs="宋体"/>
                <w:b/>
                <w:bCs/>
                <w:color w:val="auto"/>
                <w:kern w:val="0"/>
                <w:sz w:val="21"/>
                <w:szCs w:val="21"/>
                <w:highlight w:val="none"/>
                <w:lang w:bidi="ar"/>
              </w:rPr>
              <w:t xml:space="preserve"> </w:t>
            </w:r>
          </w:p>
        </w:tc>
        <w:tc>
          <w:tcPr>
            <w:tcW w:w="1066"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7</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b/>
                <w:bCs/>
                <w:color w:val="auto"/>
                <w:kern w:val="0"/>
                <w:sz w:val="21"/>
                <w:szCs w:val="21"/>
                <w:highlight w:val="none"/>
                <w:lang w:bidi="ar"/>
              </w:rPr>
              <w:t>515.77</w:t>
            </w:r>
          </w:p>
        </w:tc>
        <w:tc>
          <w:tcPr>
            <w:tcW w:w="993"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68.29%</w:t>
            </w:r>
          </w:p>
        </w:tc>
      </w:tr>
    </w:tbl>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66" w:name="_Toc15106"/>
      <w:bookmarkStart w:id="67" w:name="_Toc32586"/>
      <w:bookmarkStart w:id="68" w:name="_Toc135594809"/>
      <w:r>
        <w:rPr>
          <w:rFonts w:hint="eastAsia" w:ascii="楷体" w:hAnsi="楷体" w:eastAsia="楷体" w:cs="楷体"/>
          <w:b/>
          <w:bCs/>
          <w:highlight w:val="none"/>
        </w:rPr>
        <w:t>（三）项目计划内容及实施情况</w:t>
      </w:r>
      <w:bookmarkEnd w:id="66"/>
      <w:bookmarkEnd w:id="67"/>
      <w:bookmarkEnd w:id="68"/>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1.项目计划内容</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继续推进和完善“四大平台”项目、“云平台”项目、智慧法院4.0版项目，建成覆盖省</w:t>
      </w:r>
      <w:r>
        <w:rPr>
          <w:rFonts w:hint="eastAsia" w:ascii="仿宋_GB2312" w:hAnsi="仿宋_GB2312" w:cs="仿宋_GB2312"/>
          <w:highlight w:val="none"/>
          <w:lang w:val="en-US" w:eastAsia="zh-CN"/>
        </w:rPr>
        <w:t>法</w:t>
      </w:r>
      <w:r>
        <w:rPr>
          <w:rFonts w:hint="eastAsia" w:ascii="仿宋_GB2312" w:hAnsi="仿宋_GB2312" w:cs="仿宋_GB2312"/>
          <w:highlight w:val="none"/>
        </w:rPr>
        <w:t>院、17个中院、95个基层法院和338个派出法庭的网络和软硬件基础设施建设，基本实现“智慧法院”功能，满足人民群众和全社会日益增多的诉讼需求与法律保障服务。</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2.项目实施情况</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lang w:val="en-US" w:eastAsia="zh-CN"/>
        </w:rPr>
        <w:t>本年度共拨付</w:t>
      </w:r>
      <w:r>
        <w:rPr>
          <w:rFonts w:hint="eastAsia" w:ascii="仿宋_GB2312" w:hAnsi="仿宋_GB2312" w:cs="仿宋_GB2312"/>
          <w:highlight w:val="none"/>
        </w:rPr>
        <w:t>全省“智慧法院”信息化项目</w:t>
      </w:r>
      <w:r>
        <w:rPr>
          <w:rFonts w:hint="eastAsia" w:ascii="仿宋_GB2312" w:hAnsi="仿宋_GB2312" w:cs="仿宋_GB2312"/>
          <w:highlight w:val="none"/>
          <w:lang w:val="en-US" w:eastAsia="zh-CN"/>
        </w:rPr>
        <w:t>20项，</w:t>
      </w:r>
      <w:r>
        <w:rPr>
          <w:rFonts w:hint="eastAsia" w:ascii="仿宋_GB2312" w:hAnsi="仿宋_GB2312" w:cs="仿宋_GB2312"/>
          <w:highlight w:val="none"/>
        </w:rPr>
        <w:t>经费下达后，各项目实施</w:t>
      </w:r>
      <w:r>
        <w:rPr>
          <w:rFonts w:hint="eastAsia" w:ascii="仿宋_GB2312" w:hAnsi="仿宋_GB2312" w:cs="仿宋_GB2312"/>
          <w:highlight w:val="none"/>
          <w:lang w:val="en-US" w:eastAsia="zh-CN"/>
        </w:rPr>
        <w:t>法院</w:t>
      </w:r>
      <w:r>
        <w:rPr>
          <w:rFonts w:hint="eastAsia" w:ascii="仿宋_GB2312" w:hAnsi="仿宋_GB2312" w:cs="仿宋_GB2312"/>
          <w:highlight w:val="none"/>
        </w:rPr>
        <w:t>及时开展项目，截止2022年12月31日，</w:t>
      </w:r>
      <w:bookmarkStart w:id="69" w:name="_Toc25356"/>
      <w:bookmarkStart w:id="70" w:name="_Toc4490"/>
      <w:r>
        <w:rPr>
          <w:rFonts w:hint="eastAsia" w:ascii="仿宋_GB2312" w:hAnsi="仿宋_GB2312" w:cs="仿宋_GB2312"/>
          <w:highlight w:val="none"/>
        </w:rPr>
        <w:t>共</w:t>
      </w:r>
      <w:r>
        <w:rPr>
          <w:rFonts w:hint="eastAsia" w:ascii="仿宋_GB2312" w:hAnsi="仿宋_GB2312" w:cs="仿宋_GB2312"/>
          <w:highlight w:val="none"/>
          <w:lang w:val="en-US" w:eastAsia="zh-CN"/>
        </w:rPr>
        <w:t>7</w:t>
      </w:r>
      <w:r>
        <w:rPr>
          <w:rFonts w:hint="eastAsia" w:ascii="仿宋_GB2312" w:hAnsi="仿宋_GB2312" w:cs="仿宋_GB2312"/>
          <w:highlight w:val="none"/>
        </w:rPr>
        <w:t>个项目已完工并通过验收，1个项目已完工未验收，9个项目尚未完工，4个项目年底未开工。</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rPr>
          <w:rFonts w:ascii="楷体" w:hAnsi="楷体" w:eastAsia="楷体" w:cs="楷体"/>
          <w:b/>
          <w:bCs/>
          <w:highlight w:val="none"/>
        </w:rPr>
      </w:pPr>
      <w:r>
        <w:rPr>
          <w:rFonts w:hint="eastAsia" w:ascii="楷体" w:hAnsi="楷体" w:eastAsia="楷体" w:cs="楷体"/>
          <w:b/>
          <w:bCs/>
          <w:highlight w:val="none"/>
        </w:rPr>
        <w:t>（四）项目组织管理</w:t>
      </w:r>
      <w:bookmarkEnd w:id="69"/>
      <w:bookmarkEnd w:id="70"/>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1.项目组织情况</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预算资金拨付单位：甘肃省财政厅是项目预算资金的拨付单位，负责项目预算的审核批复，保证全省“智慧法院”信息化项目</w:t>
      </w:r>
      <w:r>
        <w:rPr>
          <w:rFonts w:hint="eastAsia" w:ascii="仿宋_GB2312" w:hAnsi="仿宋_GB2312" w:cs="仿宋_GB2312"/>
          <w:highlight w:val="none"/>
          <w:lang w:eastAsia="zh-CN"/>
        </w:rPr>
        <w:t>经费</w:t>
      </w:r>
      <w:r>
        <w:rPr>
          <w:rFonts w:hint="eastAsia" w:ascii="仿宋_GB2312" w:hAnsi="仿宋_GB2312" w:cs="仿宋_GB2312"/>
          <w:highlight w:val="none"/>
        </w:rPr>
        <w:t>及时、足额拨付到位。</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主管部门：省法院是项目的主管部门，编制全省法院信息化建设规划，建立信息化项目储备库，制定发布管理规范和年度计划，开展项目技术审查、申报立项、项目审批、监督指导和绩效评价，组织对全省统建系统的升级优化和运行维护，应用培训，定期发布智慧法院评价指标运行情况报告，协助业务管理部门编制大数据分析报告，为指导全省审判执行业务开展提供信息化支撑和决策参考。</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预算执行单位</w:t>
      </w:r>
      <w:r>
        <w:rPr>
          <w:rFonts w:hint="eastAsia" w:ascii="仿宋_GB2312" w:hAnsi="仿宋_GB2312" w:cs="仿宋_GB2312"/>
          <w:highlight w:val="none"/>
          <w:lang w:eastAsia="zh-CN"/>
        </w:rPr>
        <w:t>：</w:t>
      </w:r>
      <w:r>
        <w:rPr>
          <w:rFonts w:hint="eastAsia" w:ascii="仿宋_GB2312" w:hAnsi="仿宋_GB2312" w:cs="仿宋_GB2312"/>
          <w:highlight w:val="none"/>
        </w:rPr>
        <w:t>各中、基层法院负责规划、指导、监督本辖区和本院信息化项目建设，考核项目建设应用成效。</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2.项目管理情况</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全省“智慧法院”信息化项目</w:t>
      </w:r>
      <w:r>
        <w:rPr>
          <w:rFonts w:ascii="仿宋_GB2312" w:hAnsi="仿宋_GB2312" w:cs="仿宋_GB2312"/>
          <w:highlight w:val="none"/>
        </w:rPr>
        <w:t>的实施大体分为</w:t>
      </w:r>
      <w:r>
        <w:rPr>
          <w:rFonts w:hint="eastAsia" w:ascii="仿宋_GB2312" w:hAnsi="仿宋_GB2312" w:cs="仿宋_GB2312"/>
          <w:highlight w:val="none"/>
        </w:rPr>
        <w:t>项目申报与审批</w:t>
      </w:r>
      <w:r>
        <w:rPr>
          <w:rFonts w:ascii="仿宋_GB2312" w:hAnsi="仿宋_GB2312" w:cs="仿宋_GB2312"/>
          <w:highlight w:val="none"/>
        </w:rPr>
        <w:t>、</w:t>
      </w:r>
      <w:r>
        <w:rPr>
          <w:rFonts w:hint="eastAsia" w:ascii="仿宋_GB2312" w:hAnsi="仿宋_GB2312" w:cs="仿宋_GB2312"/>
          <w:highlight w:val="none"/>
        </w:rPr>
        <w:t>项目建设与管理</w:t>
      </w:r>
      <w:r>
        <w:rPr>
          <w:rFonts w:ascii="仿宋_GB2312" w:hAnsi="仿宋_GB2312" w:cs="仿宋_GB2312"/>
          <w:highlight w:val="none"/>
        </w:rPr>
        <w:t>和</w:t>
      </w:r>
      <w:r>
        <w:rPr>
          <w:rFonts w:hint="eastAsia" w:ascii="仿宋_GB2312" w:hAnsi="仿宋_GB2312" w:cs="仿宋_GB2312"/>
          <w:highlight w:val="none"/>
        </w:rPr>
        <w:t>项目验收与评价</w:t>
      </w:r>
      <w:r>
        <w:rPr>
          <w:rFonts w:ascii="仿宋_GB2312" w:hAnsi="仿宋_GB2312" w:cs="仿宋_GB2312"/>
          <w:highlight w:val="none"/>
        </w:rPr>
        <w:t>三个阶段。</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（1）项目申报与审批</w:t>
      </w:r>
      <w:r>
        <w:rPr>
          <w:rFonts w:ascii="仿宋_GB2312" w:hAnsi="仿宋_GB2312" w:cs="仿宋_GB2312"/>
          <w:highlight w:val="none"/>
        </w:rPr>
        <w:t>。</w:t>
      </w:r>
      <w:r>
        <w:rPr>
          <w:rFonts w:hint="eastAsia" w:ascii="仿宋_GB2312" w:hAnsi="仿宋_GB2312" w:cs="仿宋_GB2312"/>
          <w:highlight w:val="none"/>
        </w:rPr>
        <w:t>全省“智慧法院”信息化项</w:t>
      </w:r>
      <w:r>
        <w:rPr>
          <w:rFonts w:hint="eastAsia" w:ascii="仿宋_GB2312" w:hAnsi="仿宋_GB2312" w:cs="仿宋_GB2312"/>
          <w:highlight w:val="none"/>
          <w:lang w:val="en-US" w:eastAsia="zh-CN"/>
        </w:rPr>
        <w:t>目</w:t>
      </w:r>
      <w:r>
        <w:rPr>
          <w:rFonts w:ascii="仿宋_GB2312" w:hAnsi="仿宋_GB2312" w:cs="仿宋_GB2312"/>
          <w:highlight w:val="none"/>
        </w:rPr>
        <w:t>实行项目储备与计划管理，全省法院所有投资概算在50</w:t>
      </w:r>
      <w:r>
        <w:rPr>
          <w:rFonts w:hint="eastAsia" w:ascii="仿宋_GB2312" w:hAnsi="仿宋_GB2312" w:cs="仿宋_GB2312"/>
          <w:highlight w:val="none"/>
          <w:lang w:val="en-US" w:eastAsia="zh-CN"/>
        </w:rPr>
        <w:t>.00</w:t>
      </w:r>
      <w:r>
        <w:rPr>
          <w:rFonts w:ascii="仿宋_GB2312" w:hAnsi="仿宋_GB2312" w:cs="仿宋_GB2312"/>
          <w:highlight w:val="none"/>
        </w:rPr>
        <w:t>万元以上的项目均应纳入项目储备库管理，并作为深化可行性研究和编制项目资金预算的前置工作程序</w:t>
      </w:r>
      <w:r>
        <w:rPr>
          <w:rFonts w:hint="eastAsia" w:ascii="仿宋_GB2312" w:hAnsi="仿宋_GB2312" w:cs="仿宋_GB2312"/>
          <w:highlight w:val="none"/>
        </w:rPr>
        <w:t>。全省“智慧法院”信息化项</w:t>
      </w:r>
      <w:r>
        <w:rPr>
          <w:rFonts w:hint="eastAsia" w:ascii="仿宋_GB2312" w:hAnsi="仿宋_GB2312" w:cs="仿宋_GB2312"/>
          <w:highlight w:val="none"/>
          <w:lang w:val="en-US" w:eastAsia="zh-CN"/>
        </w:rPr>
        <w:t>目</w:t>
      </w:r>
      <w:r>
        <w:rPr>
          <w:rFonts w:hint="eastAsia" w:ascii="仿宋_GB2312" w:hAnsi="仿宋_GB2312" w:cs="仿宋_GB2312"/>
          <w:highlight w:val="none"/>
        </w:rPr>
        <w:t>实行立项审批制，包括审批项目建议书、可行性研究报告、初步设计等环节。经省法院批复同意建设的项目，由项目申报法院依据项目批复文件和项目评审报告（或项目评审专家意见）按程序在年度预算中编报并通过省财政厅新增资产配置预算和政府采购预算审批后，组织招标采购和建设实施，并根据项目进度情况及时向省法院报告工作。</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w:t>
      </w:r>
      <w:r>
        <w:rPr>
          <w:rFonts w:ascii="仿宋_GB2312" w:hAnsi="仿宋_GB2312" w:cs="仿宋_GB2312"/>
          <w:highlight w:val="none"/>
        </w:rPr>
        <w:t>项目</w:t>
      </w:r>
      <w:r>
        <w:rPr>
          <w:rFonts w:hint="eastAsia" w:ascii="仿宋_GB2312" w:hAnsi="仿宋_GB2312" w:cs="仿宋_GB2312"/>
          <w:highlight w:val="none"/>
        </w:rPr>
        <w:t>建设与管理</w:t>
      </w:r>
      <w:r>
        <w:rPr>
          <w:rFonts w:ascii="仿宋_GB2312" w:hAnsi="仿宋_GB2312" w:cs="仿宋_GB2312"/>
          <w:highlight w:val="none"/>
        </w:rPr>
        <w:t>。经批复同意建设的项目，项目建设法院确定项目实施机构和项目责任人，建立健全项目管理制度，加强对项目全过程的统筹协调，强化信息共享和业务协同。在资金预算下达后开展建设</w:t>
      </w:r>
      <w:r>
        <w:rPr>
          <w:rFonts w:hint="eastAsia" w:ascii="仿宋_GB2312" w:hAnsi="仿宋_GB2312" w:cs="仿宋_GB2312"/>
          <w:highlight w:val="none"/>
          <w:lang w:eastAsia="zh-CN"/>
        </w:rPr>
        <w:t>，</w:t>
      </w:r>
      <w:r>
        <w:rPr>
          <w:rFonts w:ascii="仿宋_GB2312" w:hAnsi="仿宋_GB2312" w:cs="仿宋_GB2312"/>
          <w:highlight w:val="none"/>
        </w:rPr>
        <w:t>并严格执行采购程序、项目监理、测评评估、合同管理等制度。</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（3）项目验收与评价</w:t>
      </w:r>
      <w:r>
        <w:rPr>
          <w:rFonts w:ascii="仿宋_GB2312" w:hAnsi="仿宋_GB2312" w:cs="仿宋_GB2312"/>
          <w:highlight w:val="none"/>
        </w:rPr>
        <w:t>。项目建设任务完成后，建设法院组织完成项目的信息安全风险评估、密码应用安全性评估、决算审计等工作，所有批准实施的信息化建设项目，须组织初步验收和竣工验收。初步验收由项目</w:t>
      </w:r>
      <w:r>
        <w:rPr>
          <w:rFonts w:hint="eastAsia" w:ascii="仿宋_GB2312" w:hAnsi="仿宋_GB2312" w:cs="仿宋_GB2312"/>
          <w:highlight w:val="none"/>
          <w:lang w:val="en-US" w:eastAsia="zh-CN"/>
        </w:rPr>
        <w:t>实施单位</w:t>
      </w:r>
      <w:r>
        <w:rPr>
          <w:rFonts w:ascii="仿宋_GB2312" w:hAnsi="仿宋_GB2312" w:cs="仿宋_GB2312"/>
          <w:highlight w:val="none"/>
        </w:rPr>
        <w:t>自行组织；竣工验收由</w:t>
      </w:r>
      <w:r>
        <w:rPr>
          <w:rFonts w:hint="eastAsia" w:ascii="仿宋_GB2312" w:hAnsi="仿宋_GB2312" w:cs="仿宋_GB2312"/>
          <w:highlight w:val="none"/>
          <w:lang w:val="en-US" w:eastAsia="zh-CN"/>
        </w:rPr>
        <w:t>项目实施单位</w:t>
      </w:r>
      <w:r>
        <w:rPr>
          <w:rFonts w:ascii="仿宋_GB2312" w:hAnsi="仿宋_GB2312" w:cs="仿宋_GB2312"/>
          <w:highlight w:val="none"/>
        </w:rPr>
        <w:t>提出书面申请，经省法院批准后，由省法院视情组织建设方、设计方、承建方、监理方，邀请第三方专家共同组成项目验收组进行验收，验收完成后及时报项目审批部门备案。</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hint="eastAsia" w:ascii="仿宋_GB2312" w:hAnsi="仿宋_GB2312" w:cs="仿宋_GB2312"/>
          <w:b/>
          <w:bCs/>
          <w:color w:val="auto"/>
          <w:highlight w:val="none"/>
        </w:rPr>
      </w:pPr>
      <w:r>
        <w:rPr>
          <w:rFonts w:hint="eastAsia" w:ascii="仿宋_GB2312" w:hAnsi="仿宋_GB2312" w:cs="仿宋_GB2312"/>
          <w:b/>
          <w:bCs/>
          <w:color w:val="auto"/>
          <w:highlight w:val="none"/>
        </w:rPr>
        <w:t>3.财务管理情况</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eastAsiaTheme="minorEastAsia"/>
          <w:lang w:val="en-US" w:eastAsia="zh-CN"/>
        </w:rPr>
      </w:pPr>
      <w:r>
        <w:rPr>
          <w:rFonts w:hint="eastAsia" w:ascii="仿宋_GB2312" w:hAnsi="仿宋_GB2312" w:eastAsia="仿宋_GB2312" w:cs="仿宋_GB2312"/>
          <w:sz w:val="32"/>
          <w:szCs w:val="32"/>
          <w:highlight w:val="none"/>
          <w:lang w:val="en-US" w:eastAsia="zh-CN"/>
        </w:rPr>
        <w:t>省法院制定了《甘肃省法院系统财务统管制度汇编》，</w:t>
      </w:r>
      <w:r>
        <w:rPr>
          <w:rFonts w:hint="eastAsia" w:ascii="仿宋_GB2312" w:hAnsi="仿宋_GB2312" w:eastAsia="仿宋_GB2312" w:cs="仿宋_GB2312"/>
          <w:sz w:val="32"/>
          <w:szCs w:val="32"/>
          <w:highlight w:val="none"/>
        </w:rPr>
        <w:t>明确规定了经费报销实行统一审核，分级审批，基本原则是执行国家有关法律、法规和财务规章制度遵守</w:t>
      </w:r>
      <w:r>
        <w:rPr>
          <w:rFonts w:hint="eastAsia" w:ascii="仿宋_GB2312" w:hAnsi="仿宋_GB2312" w:eastAsia="仿宋_GB2312" w:cs="仿宋_GB2312"/>
          <w:sz w:val="32"/>
          <w:szCs w:val="32"/>
          <w:highlight w:val="none"/>
          <w:lang w:val="en-US" w:eastAsia="zh-CN"/>
        </w:rPr>
        <w:t>政府</w:t>
      </w:r>
      <w:r>
        <w:rPr>
          <w:rFonts w:hint="eastAsia" w:ascii="仿宋_GB2312" w:hAnsi="仿宋_GB2312" w:eastAsia="仿宋_GB2312" w:cs="仿宋_GB2312"/>
          <w:sz w:val="32"/>
          <w:szCs w:val="32"/>
          <w:highlight w:val="none"/>
        </w:rPr>
        <w:t>会计准则，厉行节约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量入为出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保证重点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兼顾一般为中心，充分发挥资金的使用效益。资金拨付流程如图所示</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黑体" w:eastAsia="黑体"/>
          <w:highlight w:val="none"/>
        </w:rPr>
      </w:pPr>
      <w:r>
        <w:rPr>
          <w:rFonts w:ascii="仿宋_GB2312" w:hAnsi="仿宋_GB2312" w:cs="仿宋_GB2312"/>
          <w:highlight w:val="none"/>
        </w:rPr>
        <w:drawing>
          <wp:anchor distT="0" distB="0" distL="114300" distR="114300" simplePos="0" relativeHeight="251665408" behindDoc="0" locked="0" layoutInCell="1" allowOverlap="1">
            <wp:simplePos x="0" y="0"/>
            <wp:positionH relativeFrom="column">
              <wp:posOffset>223520</wp:posOffset>
            </wp:positionH>
            <wp:positionV relativeFrom="paragraph">
              <wp:posOffset>142875</wp:posOffset>
            </wp:positionV>
            <wp:extent cx="5109845" cy="2851785"/>
            <wp:effectExtent l="0" t="0" r="10795" b="13335"/>
            <wp:wrapTopAndBottom/>
            <wp:docPr id="3" name="图片 3" descr="04c1571821a6ed6c8984c2439128f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4c1571821a6ed6c8984c2439128f2b"/>
                    <pic:cNvPicPr>
                      <a:picLocks noChangeAspect="1"/>
                    </pic:cNvPicPr>
                  </pic:nvPicPr>
                  <pic:blipFill>
                    <a:blip r:embed="rId8"/>
                    <a:stretch>
                      <a:fillRect/>
                    </a:stretch>
                  </pic:blipFill>
                  <pic:spPr>
                    <a:xfrm>
                      <a:off x="0" y="0"/>
                      <a:ext cx="5109845" cy="2851785"/>
                    </a:xfrm>
                    <a:prstGeom prst="rect">
                      <a:avLst/>
                    </a:prstGeom>
                  </pic:spPr>
                </pic:pic>
              </a:graphicData>
            </a:graphic>
          </wp:anchor>
        </w:drawing>
      </w:r>
      <w:bookmarkStart w:id="71" w:name="_Toc319"/>
      <w:bookmarkStart w:id="72" w:name="_Toc135594810"/>
      <w:bookmarkStart w:id="73" w:name="_Toc29508"/>
      <w:r>
        <w:rPr>
          <w:rFonts w:hint="eastAsia" w:ascii="黑体" w:eastAsia="黑体"/>
          <w:highlight w:val="none"/>
        </w:rPr>
        <w:t>二、项目绩效目标</w:t>
      </w:r>
      <w:bookmarkEnd w:id="71"/>
      <w:bookmarkEnd w:id="72"/>
      <w:bookmarkEnd w:id="73"/>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74" w:name="_Toc21140"/>
      <w:bookmarkStart w:id="75" w:name="_Toc28577"/>
      <w:bookmarkStart w:id="76" w:name="_Toc135594811"/>
      <w:r>
        <w:rPr>
          <w:rFonts w:hint="eastAsia" w:ascii="楷体" w:hAnsi="楷体" w:eastAsia="楷体" w:cs="楷体"/>
          <w:b/>
          <w:bCs/>
          <w:highlight w:val="none"/>
        </w:rPr>
        <w:t>（一）总体目标</w:t>
      </w:r>
      <w:bookmarkEnd w:id="74"/>
      <w:bookmarkEnd w:id="75"/>
      <w:bookmarkEnd w:id="76"/>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通过智慧法院项目建设，一是大力提升审判工作质效，推动流程再造</w:t>
      </w:r>
      <w:r>
        <w:rPr>
          <w:rFonts w:hint="eastAsia" w:ascii="仿宋_GB2312" w:hAnsi="仿宋_GB2312" w:cs="仿宋_GB2312"/>
          <w:highlight w:val="none"/>
          <w:lang w:eastAsia="zh-CN"/>
        </w:rPr>
        <w:t>，</w:t>
      </w:r>
      <w:r>
        <w:rPr>
          <w:rFonts w:hint="eastAsia" w:ascii="仿宋_GB2312" w:hAnsi="仿宋_GB2312" w:cs="仿宋_GB2312"/>
          <w:highlight w:val="none"/>
        </w:rPr>
        <w:t>促进审判高效有序运行，推进立案信访工作上下联动、内外贯通，借助现代信息技术助推司法改革；二是促进法院工作公开透明、便民高效，提升司法工作水平；三是运用大数据和人工智能技术，按需提供精准智能服务，支持办案人员最大限度减轻非审判性事务负担，为人民群众提供更加智能的诉讼和普法服务，确保审判权力正当有序运行，支持法院提高司法决策科学性，支持党和政府部门促进国家治理体系和治理能力现代化；四是保障社会公平正义，促进社会和谐稳定，维护司法权威和公信力。</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77" w:name="_Toc32085"/>
      <w:bookmarkStart w:id="78" w:name="_Toc26047"/>
      <w:bookmarkStart w:id="79" w:name="_Toc135594812"/>
      <w:r>
        <w:rPr>
          <w:rFonts w:hint="eastAsia" w:ascii="楷体" w:hAnsi="楷体" w:eastAsia="楷体" w:cs="楷体"/>
          <w:b/>
          <w:bCs/>
          <w:highlight w:val="none"/>
        </w:rPr>
        <w:t>（二）年度目标</w:t>
      </w:r>
      <w:bookmarkEnd w:id="77"/>
      <w:bookmarkEnd w:id="78"/>
      <w:bookmarkEnd w:id="79"/>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bookmarkStart w:id="80" w:name="_Toc11016"/>
      <w:bookmarkStart w:id="81" w:name="_Toc24688"/>
      <w:r>
        <w:rPr>
          <w:rFonts w:hint="eastAsia" w:ascii="仿宋_GB2312" w:hAnsi="仿宋_GB2312" w:cs="仿宋_GB2312"/>
          <w:highlight w:val="none"/>
        </w:rPr>
        <w:t>资金主要用于全省法院信息化建设</w:t>
      </w:r>
      <w:r>
        <w:rPr>
          <w:rFonts w:hint="eastAsia" w:ascii="仿宋_GB2312" w:hAnsi="仿宋_GB2312" w:cs="仿宋_GB2312"/>
          <w:highlight w:val="none"/>
          <w:lang w:eastAsia="zh-CN"/>
        </w:rPr>
        <w:t>，</w:t>
      </w:r>
      <w:r>
        <w:rPr>
          <w:rFonts w:hint="eastAsia" w:ascii="仿宋_GB2312" w:hAnsi="仿宋_GB2312" w:cs="仿宋_GB2312"/>
          <w:highlight w:val="none"/>
        </w:rPr>
        <w:t>继续推进和完善“四大平台”项目、“云平台”项目、智慧法院4.0版项目，建成覆盖省</w:t>
      </w:r>
      <w:r>
        <w:rPr>
          <w:rFonts w:hint="eastAsia" w:ascii="仿宋_GB2312" w:hAnsi="仿宋_GB2312" w:cs="仿宋_GB2312"/>
          <w:highlight w:val="none"/>
          <w:lang w:val="en-US" w:eastAsia="zh-CN"/>
        </w:rPr>
        <w:t>法</w:t>
      </w:r>
      <w:r>
        <w:rPr>
          <w:rFonts w:hint="eastAsia" w:ascii="仿宋_GB2312" w:hAnsi="仿宋_GB2312" w:cs="仿宋_GB2312"/>
          <w:highlight w:val="none"/>
        </w:rPr>
        <w:t>院、17个中院、95个基层法院和338个派出法庭的网络和软硬件基础设施建设，基本实现“智慧法院”功能，满足人民群众和全社会日益增多的诉讼需求与法律保障服务。</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黑体" w:eastAsia="黑体"/>
          <w:highlight w:val="none"/>
        </w:rPr>
      </w:pPr>
      <w:bookmarkStart w:id="82" w:name="_Toc135594813"/>
      <w:r>
        <w:rPr>
          <w:rFonts w:hint="eastAsia" w:ascii="黑体" w:eastAsia="黑体"/>
          <w:highlight w:val="none"/>
        </w:rPr>
        <w:t>三、评价基本情况</w:t>
      </w:r>
      <w:bookmarkEnd w:id="80"/>
      <w:bookmarkEnd w:id="81"/>
      <w:bookmarkEnd w:id="82"/>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83" w:name="_Toc5301"/>
      <w:bookmarkStart w:id="84" w:name="_Toc135594814"/>
      <w:r>
        <w:rPr>
          <w:rFonts w:hint="eastAsia" w:ascii="楷体" w:hAnsi="楷体" w:eastAsia="楷体" w:cs="楷体"/>
          <w:b/>
          <w:bCs/>
          <w:highlight w:val="none"/>
        </w:rPr>
        <w:t>（一）评价目的</w:t>
      </w:r>
      <w:bookmarkEnd w:id="83"/>
      <w:bookmarkEnd w:id="84"/>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工作，通过运用规范的绩效评价指标体系和科学的绩效评价方法，全面客观的评价全省“智慧法院”信息化项目资金的执行情况、资金使用情况，对项目的绩效情况进行综合分析，与预期绩效目标进行对比，总结全省“智慧法院”信息化项目实施的成果与经验，揭示存在的问题与不足，在此基础上进一步优化资金使用、完善项目管理，为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本次绩效评价的侧重点和切入点：</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1.重点关注项目资金使用管理以及保障项目预期绩效目标实现的相关措施</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ascii="仿宋_GB2312" w:hAnsi="仿宋_GB2312" w:cs="仿宋_GB2312"/>
          <w:highlight w:val="none"/>
        </w:rPr>
      </w:pPr>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重点关注采购流程规范性、资金使用合规性、</w:t>
      </w:r>
      <w:r>
        <w:rPr>
          <w:rFonts w:hint="eastAsia" w:ascii="仿宋_GB2312" w:hAnsi="仿宋_GB2312" w:cs="仿宋_GB2312"/>
          <w:highlight w:val="none"/>
          <w:lang w:val="en-US" w:eastAsia="zh-CN"/>
        </w:rPr>
        <w:t>制度实施</w:t>
      </w:r>
      <w:r>
        <w:rPr>
          <w:rFonts w:hint="eastAsia" w:ascii="仿宋_GB2312" w:hAnsi="仿宋_GB2312" w:eastAsia="仿宋_GB2312" w:cs="仿宋_GB2312"/>
          <w:highlight w:val="none"/>
        </w:rPr>
        <w:t>的有效性以及通过项目的实施为法院带来的产出与效益。</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85" w:name="_Toc2071"/>
      <w:bookmarkStart w:id="86" w:name="_Toc135594815"/>
      <w:r>
        <w:rPr>
          <w:rFonts w:hint="eastAsia" w:ascii="楷体" w:hAnsi="楷体" w:eastAsia="楷体" w:cs="楷体"/>
          <w:b/>
          <w:bCs/>
          <w:highlight w:val="none"/>
        </w:rPr>
        <w:t>（二）评价对象与范围</w:t>
      </w:r>
      <w:bookmarkEnd w:id="85"/>
      <w:bookmarkEnd w:id="86"/>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本次评价对象为2022年省财政安排的全省“智慧法院”信息化项目。</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评价范围为2022年全省“智慧法院”信息化项目</w:t>
      </w:r>
      <w:r>
        <w:rPr>
          <w:rFonts w:hint="eastAsia" w:ascii="仿宋_GB2312" w:hAnsi="仿宋_GB2312" w:cs="仿宋_GB2312"/>
          <w:highlight w:val="none"/>
          <w:lang w:val="en-US" w:eastAsia="zh-CN"/>
        </w:rPr>
        <w:t>全年</w:t>
      </w:r>
      <w:r>
        <w:rPr>
          <w:rFonts w:hint="eastAsia" w:ascii="仿宋_GB2312" w:hAnsi="仿宋_GB2312" w:cs="仿宋_GB2312"/>
          <w:highlight w:val="none"/>
        </w:rPr>
        <w:t>预算资金</w:t>
      </w:r>
      <w:r>
        <w:rPr>
          <w:rFonts w:hint="eastAsia" w:ascii="仿宋_GB2312" w:hAnsi="仿宋_GB2312" w:eastAsia="仿宋_GB2312" w:cs="仿宋_GB2312"/>
          <w:sz w:val="32"/>
          <w:szCs w:val="32"/>
          <w:highlight w:val="none"/>
        </w:rPr>
        <w:t>11,004.96</w:t>
      </w:r>
      <w:r>
        <w:rPr>
          <w:rFonts w:hint="eastAsia" w:ascii="仿宋_GB2312" w:hAnsi="仿宋_GB2312" w:cs="仿宋_GB2312"/>
          <w:highlight w:val="none"/>
        </w:rPr>
        <w:t>万元</w:t>
      </w:r>
      <w:r>
        <w:rPr>
          <w:rFonts w:hint="eastAsia" w:ascii="仿宋_GB2312" w:hAnsi="仿宋_GB2312" w:cs="仿宋_GB2312"/>
          <w:highlight w:val="none"/>
          <w:lang w:val="en-US" w:eastAsia="zh-CN"/>
        </w:rPr>
        <w:t>的</w:t>
      </w:r>
      <w:r>
        <w:rPr>
          <w:rFonts w:hint="eastAsia" w:ascii="仿宋_GB2312" w:hAnsi="仿宋_GB2312" w:cs="仿宋_GB2312"/>
          <w:highlight w:val="none"/>
        </w:rPr>
        <w:t>资金使用和项目实施效益情况，评价基准日为2022年12月31日。</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87" w:name="_Toc135594816"/>
      <w:bookmarkStart w:id="88" w:name="_Toc17041"/>
      <w:r>
        <w:rPr>
          <w:rFonts w:hint="eastAsia" w:ascii="楷体" w:hAnsi="楷体" w:eastAsia="楷体" w:cs="楷体"/>
          <w:b/>
          <w:bCs/>
          <w:highlight w:val="none"/>
        </w:rPr>
        <w:t>（三）评价依据</w:t>
      </w:r>
      <w:bookmarkEnd w:id="87"/>
      <w:bookmarkEnd w:id="88"/>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89" w:name="_Toc135594817"/>
      <w:bookmarkStart w:id="90" w:name="_Toc17840"/>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《中华人民共和国预算法》；</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2.《中华人民共和国预算法实施条例》；</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3.《中共中央 国务院关于全面实施预算绩效管理的意见》（中发〔2018〕34号）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《财政部关于印发〈项目支出绩效评价管理办法〉的通知》（财预〔2021〕10号）；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5.财政部《关于委托第三方机构参与预算绩效管理的指导意见》（财预〔2021〕6号）；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6.财政部关于印发《第三方机构预算绩效评价业务监督管理暂行办法》的通知（财监〔2021〕4号）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《中共甘肃省委 甘肃省人民政府关于全面实施预算绩效管理的实施意见》（甘发〔2018〕32号）；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甘肃省财政厅关于印发《甘肃省省级预算绩效管理办法》等6个办法和规程的通知（甘财绩〔2020〕5号）；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《甘肃省省级项目支出绩效部门评价和财政评价工作规程》（甘财绩〔2021〕5号）；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《甘肃省财政厅关于开展2022年度省级预算执行情况部门和财政重点绩效评价工作的通知》（甘财绩〔2023〕3号）；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11</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各项目实施法院</w:t>
      </w:r>
      <w:r>
        <w:rPr>
          <w:rFonts w:hint="eastAsia" w:ascii="仿宋_GB2312" w:hAnsi="仿宋_GB2312" w:eastAsia="仿宋_GB2312" w:cs="仿宋_GB2312"/>
          <w:highlight w:val="none"/>
        </w:rPr>
        <w:t>职责相关规定；</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12</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行业相关政策、行业标准及专业技术规范；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13</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eastAsia="zh-CN"/>
        </w:rPr>
        <w:t>被评价单位提供的立项背景、实施方案、预算批复相关文件、绩效目标、自评价相关资料、财政资金拨付凭证、工程全过程资料和项目实施效果等资料</w:t>
      </w:r>
      <w:r>
        <w:rPr>
          <w:rFonts w:hint="eastAsia" w:ascii="仿宋_GB2312" w:hAnsi="仿宋_GB2312" w:eastAsia="仿宋_GB2312" w:cs="仿宋_GB231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本级人大审查结果报告、审计报告及决定，财政监督稽核报告等；</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1"/>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评价组收集、调研、访谈、问卷调查获取的</w:t>
      </w:r>
      <w:r>
        <w:rPr>
          <w:rFonts w:hint="eastAsia" w:ascii="仿宋_GB2312" w:hAnsi="仿宋_GB2312" w:cs="仿宋_GB2312"/>
          <w:highlight w:val="none"/>
          <w:lang w:val="en-US" w:eastAsia="zh-CN"/>
        </w:rPr>
        <w:t>其他</w:t>
      </w:r>
      <w:r>
        <w:rPr>
          <w:rFonts w:hint="eastAsia" w:ascii="仿宋_GB2312" w:hAnsi="仿宋_GB2312" w:eastAsia="仿宋_GB2312" w:cs="仿宋_GB2312"/>
          <w:highlight w:val="none"/>
        </w:rPr>
        <w:t>相关资料。</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r>
        <w:rPr>
          <w:rFonts w:hint="eastAsia" w:ascii="楷体" w:hAnsi="楷体" w:eastAsia="楷体" w:cs="楷体"/>
          <w:b/>
          <w:bCs/>
          <w:highlight w:val="none"/>
        </w:rPr>
        <w:t>（四）评价原则、评价方法</w:t>
      </w:r>
      <w:bookmarkEnd w:id="89"/>
      <w:bookmarkEnd w:id="90"/>
    </w:p>
    <w:p>
      <w:pPr>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Fonts w:ascii="仿宋_GB2312" w:hAnsi="仿宋_GB2312" w:eastAsia="仿宋_GB2312" w:cs="仿宋_GB2312"/>
          <w:b/>
          <w:sz w:val="32"/>
          <w:szCs w:val="32"/>
          <w:highlight w:val="none"/>
        </w:rPr>
      </w:pPr>
      <w:bookmarkStart w:id="91" w:name="_Toc25746"/>
      <w:bookmarkStart w:id="92" w:name="_Toc135594818"/>
      <w:bookmarkStart w:id="93" w:name="_Toc32216"/>
      <w:bookmarkStart w:id="94" w:name="_Toc2871"/>
      <w:r>
        <w:rPr>
          <w:rStyle w:val="27"/>
          <w:rFonts w:hint="eastAsia" w:ascii="仿宋_GB2312" w:hAnsi="仿宋_GB2312" w:eastAsia="仿宋_GB2312" w:cs="仿宋_GB2312"/>
          <w:szCs w:val="32"/>
          <w:highlight w:val="none"/>
        </w:rPr>
        <w:t>1.评价原则</w:t>
      </w:r>
      <w:bookmarkEnd w:id="91"/>
      <w:bookmarkEnd w:id="92"/>
      <w:bookmarkEnd w:id="93"/>
      <w:bookmarkEnd w:id="94"/>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实现情况以及预算支出和绩效之间的对应关系。以绩效为核心导向，将事前绩效评估、绩效目标管理、绩效运行监控、绩效评价、评价结果反馈及应用深度融入预算管理的全过程，实现财政资金使用效益最大化。</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 </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pPr>
        <w:keepNext w:val="0"/>
        <w:keepLines w:val="0"/>
        <w:pageBreakBefore w:val="0"/>
        <w:widowControl w:val="0"/>
        <w:kinsoku/>
        <w:wordWrap/>
        <w:overflowPunct w:val="0"/>
        <w:topLinePunct w:val="0"/>
        <w:autoSpaceDE/>
        <w:autoSpaceDN/>
        <w:bidi w:val="0"/>
        <w:adjustRightInd/>
        <w:spacing w:line="560" w:lineRule="exact"/>
        <w:ind w:firstLine="643" w:firstLineChars="200"/>
        <w:outlineLvl w:val="2"/>
        <w:rPr>
          <w:rStyle w:val="27"/>
          <w:rFonts w:ascii="仿宋_GB2312" w:hAnsi="仿宋_GB2312" w:eastAsia="仿宋_GB2312" w:cs="仿宋_GB2312"/>
          <w:szCs w:val="32"/>
          <w:highlight w:val="none"/>
        </w:rPr>
      </w:pPr>
      <w:bookmarkStart w:id="95" w:name="_Toc15034"/>
      <w:bookmarkStart w:id="96" w:name="_Toc135594819"/>
      <w:bookmarkStart w:id="97" w:name="_Toc1742"/>
      <w:r>
        <w:rPr>
          <w:rStyle w:val="27"/>
          <w:rFonts w:hint="eastAsia" w:ascii="仿宋_GB2312" w:hAnsi="仿宋_GB2312" w:eastAsia="仿宋_GB2312" w:cs="仿宋_GB2312"/>
          <w:szCs w:val="32"/>
          <w:highlight w:val="none"/>
        </w:rPr>
        <w:t>2.评价方法</w:t>
      </w:r>
      <w:bookmarkEnd w:id="95"/>
      <w:bookmarkEnd w:id="96"/>
    </w:p>
    <w:bookmarkEnd w:id="97"/>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对省法院2022年度全省“智慧法院”信息化项目预算执行情况的经济性、效率性、效益性进行客观公正的分析评价，确保评价结论公正客观，评价意见有效可用。</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r>
        <w:rPr>
          <w:rFonts w:hint="eastAsia" w:ascii="仿宋_GB2312" w:hAnsi="仿宋_GB2312" w:eastAsia="仿宋_GB2312" w:cs="仿宋_GB2312"/>
          <w:sz w:val="32"/>
          <w:szCs w:val="32"/>
          <w:highlight w:val="none"/>
          <w:lang w:val="en-US" w:eastAsia="zh-CN"/>
        </w:rPr>
        <w:t>评价</w:t>
      </w:r>
      <w:r>
        <w:rPr>
          <w:rFonts w:hint="eastAsia" w:ascii="仿宋_GB2312" w:hAnsi="仿宋_GB2312" w:eastAsia="仿宋_GB2312" w:cs="仿宋_GB2312"/>
          <w:sz w:val="32"/>
          <w:szCs w:val="32"/>
          <w:highlight w:val="none"/>
        </w:rPr>
        <w:t>小组根据收集的资料和现场核查，了解</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实际情况，与</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支出申报时确定的绩效目标进行对比，评价绩效目标的实现程度。</w:t>
      </w:r>
    </w:p>
    <w:p>
      <w:pPr>
        <w:pStyle w:val="10"/>
        <w:keepNext w:val="0"/>
        <w:keepLines w:val="0"/>
        <w:pageBreakBefore w:val="0"/>
        <w:widowControl w:val="0"/>
        <w:kinsoku/>
        <w:wordWrap/>
        <w:overflowPunct w:val="0"/>
        <w:topLinePunct w:val="0"/>
        <w:autoSpaceDE/>
        <w:autoSpaceDN/>
        <w:bidi w:val="0"/>
        <w:adjustRightInd/>
        <w:spacing w:after="0" w:line="560" w:lineRule="exact"/>
        <w:ind w:left="0" w:leftChars="0"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（2）因素分析法。将影响投入和产出各项因素罗列出来进行分析，通过不同因素的权重评比，进行综合评分，最终确定项目的效率性和效益性。</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法。是指通过专家评估、公众问卷对财政支出效果进行评判，评价绩效目标实现程度。评价小组对服务对象进行问卷调查，收集整体及项目具体完成情况和效果的相关证据，为绩效分析结论提供有力支撑。</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（4）成本效益分析法。是将投入与产出、效益进行关联性分析的方法。</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（5）访谈法。评价小组现场访谈</w:t>
      </w:r>
      <w:r>
        <w:rPr>
          <w:rFonts w:hint="eastAsia" w:ascii="仿宋_GB2312" w:hAnsi="仿宋_GB2312" w:eastAsia="仿宋_GB2312" w:cs="仿宋_GB2312"/>
          <w:kern w:val="0"/>
          <w:sz w:val="32"/>
          <w:szCs w:val="32"/>
          <w:highlight w:val="none"/>
          <w:lang w:val="en-US" w:eastAsia="zh-CN" w:bidi="ar"/>
        </w:rPr>
        <w:t>项目相关工作人员</w:t>
      </w:r>
      <w:r>
        <w:rPr>
          <w:rFonts w:hint="eastAsia" w:ascii="仿宋_GB2312" w:hAnsi="仿宋_GB2312" w:eastAsia="仿宋_GB2312" w:cs="仿宋_GB2312"/>
          <w:kern w:val="0"/>
          <w:sz w:val="32"/>
          <w:szCs w:val="32"/>
          <w:highlight w:val="none"/>
          <w:lang w:bidi="ar"/>
        </w:rPr>
        <w:t>，根据被询问者的答复收集客观的、不带偏见的事实材料。</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98" w:name="_Toc4958"/>
      <w:bookmarkStart w:id="99" w:name="_Toc135594820"/>
      <w:r>
        <w:rPr>
          <w:rFonts w:hint="eastAsia" w:ascii="楷体" w:hAnsi="楷体" w:eastAsia="楷体" w:cs="楷体"/>
          <w:b/>
          <w:bCs/>
          <w:highlight w:val="none"/>
        </w:rPr>
        <w:t>（五）绩效评价指标体系</w:t>
      </w:r>
      <w:bookmarkEnd w:id="98"/>
      <w:bookmarkEnd w:id="99"/>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1.绩效评价指标体系</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根据《财政部关于印发</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项目支出绩效评价管理办法</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的通知》（财预〔2020〕10号）、</w:t>
      </w:r>
      <w:r>
        <w:rPr>
          <w:rFonts w:hint="eastAsia" w:ascii="仿宋_GB2312" w:hAnsi="仿宋_GB2312" w:cs="仿宋_GB2312"/>
          <w:highlight w:val="none"/>
        </w:rPr>
        <w:t>《甘肃省财政厅关于开展2022年度省级预算执行情况部门和财政重点绩效评价工作的通知》（甘财绩〔2023〕3号）</w:t>
      </w:r>
      <w:r>
        <w:rPr>
          <w:rFonts w:hint="eastAsia" w:ascii="仿宋_GB2312" w:hAnsi="仿宋_GB2312" w:cs="仿宋_GB2312"/>
          <w:szCs w:val="28"/>
          <w:highlight w:val="none"/>
        </w:rPr>
        <w:t>要求，本次绩效评价内容包括：项目决策情况、资金管理和使用情况、相关管理制度的健全性和执行情况，项目实现的产出情况，取得的效益情况和其他相关内容，重点评价项目的产出和效益。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项目评价指标划分为三级，综合评价一级指标包括项目决策指标、过程指标、产出指标、效益指标、满意度指标。二、三级评价指标根据项目实际情况制定了可量化、可操作的细化绩效目标，指标分值根据项目指标重要程度、项目实施阶段等因素综合确定（项目评价指标体系详见附表1）。</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（1）项目决策指标为一级指标，权重16分。从项目的立项、绩效目标和资金投入分析项目前期管理情况，主要包括立项依据充分性、立项程序规范性等三级指标。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2）项目过程指标为一级指标，权重14分。从项目的资金管理、组织实施两个方面分析项目资金使用、实施过程的管理情况，主要包括资金到位率、预算执行率、资金使用合规性、管理制度健全性、制度执行有效性等三级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（3）项目产出指标为一级指标，权重40分。从数量、质量、时效、成本四个方面分析项目的产出情况，主要包括新建信息化建设项目数量、信息化软硬件设施建设数量等三级指标。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（4）项目效益指标为一级指标，权重20分。从社会效益、可持续影响两个方面分析项目实施产生的效益，主要包括有效保障审判服务、设备管护机制健全性等三级指标。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（5）项目满意度指标为一级指标，权重10分。分析法院工作人员对项目实施效果的满意情况。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2.数据来源及证据收集方式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评价组在前期调研的基础上，按照资料清单，收集法规文件、会议记录、财务凭证等资料，并通过发放调查问卷等方式收集佐证材料证据，全面考察项目执行情况。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本次绩效评价的证据收集途径主要有</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bookmarkStart w:id="100" w:name="_Toc6432"/>
      <w:r>
        <w:rPr>
          <w:rFonts w:hint="eastAsia" w:ascii="仿宋_GB2312" w:hAnsi="仿宋_GB2312" w:cs="仿宋_GB2312"/>
          <w:szCs w:val="28"/>
          <w:highlight w:val="none"/>
        </w:rPr>
        <w:t>（1）由各项目实施法院提供基础数据资料</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（2）现场评价时通过与项目实施</w:t>
      </w:r>
      <w:r>
        <w:rPr>
          <w:rFonts w:hint="eastAsia" w:ascii="仿宋_GB2312" w:hAnsi="仿宋_GB2312" w:cs="仿宋_GB2312"/>
          <w:szCs w:val="28"/>
          <w:highlight w:val="none"/>
          <w:lang w:val="en-US" w:eastAsia="zh-CN"/>
        </w:rPr>
        <w:t>法院相关工作人员</w:t>
      </w:r>
      <w:r>
        <w:rPr>
          <w:rFonts w:hint="eastAsia" w:ascii="仿宋_GB2312" w:hAnsi="仿宋_GB2312" w:cs="仿宋_GB2312"/>
          <w:szCs w:val="28"/>
          <w:highlight w:val="none"/>
        </w:rPr>
        <w:t>交流，获取信息，了解项目的成效</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对</w:t>
      </w:r>
      <w:r>
        <w:rPr>
          <w:rFonts w:hint="eastAsia" w:ascii="仿宋_GB2312" w:hAnsi="仿宋_GB2312" w:cs="仿宋_GB2312"/>
          <w:szCs w:val="28"/>
          <w:highlight w:val="none"/>
          <w:lang w:val="en-US" w:eastAsia="zh-CN"/>
        </w:rPr>
        <w:t>项目服务对象</w:t>
      </w:r>
      <w:r>
        <w:rPr>
          <w:rFonts w:hint="eastAsia" w:ascii="仿宋_GB2312" w:hAnsi="仿宋_GB2312" w:eastAsia="仿宋_GB2312" w:cs="仿宋_GB2312"/>
          <w:szCs w:val="28"/>
          <w:highlight w:val="none"/>
        </w:rPr>
        <w:t>进行问卷调查，获取满意度数据</w:t>
      </w:r>
      <w:r>
        <w:rPr>
          <w:rFonts w:hint="eastAsia" w:ascii="仿宋_GB2312" w:hAnsi="仿宋_GB2312" w:cs="仿宋_GB2312"/>
          <w:szCs w:val="28"/>
          <w:highlight w:val="none"/>
          <w:lang w:eastAsia="zh-CN"/>
        </w:rPr>
        <w:t>。</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01" w:name="_Toc135594821"/>
      <w:r>
        <w:rPr>
          <w:rFonts w:hint="eastAsia" w:ascii="楷体" w:hAnsi="楷体" w:eastAsia="楷体" w:cs="楷体"/>
          <w:b/>
          <w:bCs/>
          <w:highlight w:val="none"/>
        </w:rPr>
        <w:t>（六）评价人员组成</w:t>
      </w:r>
      <w:bookmarkEnd w:id="100"/>
      <w:bookmarkEnd w:id="101"/>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szCs w:val="28"/>
          <w:highlight w:val="none"/>
        </w:rPr>
      </w:pPr>
      <w:bookmarkStart w:id="102" w:name="_Toc8104"/>
      <w:r>
        <w:rPr>
          <w:rFonts w:hint="eastAsia" w:ascii="仿宋_GB2312" w:hAnsi="仿宋_GB2312" w:cs="仿宋_GB2312"/>
          <w:szCs w:val="28"/>
          <w:highlight w:val="none"/>
        </w:rPr>
        <w:t>按照绩效评价工作要求，为了较好地完成本次绩效评价工作，评价工作组人员名单及职责分工情况见下表：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1161"/>
        <w:gridCol w:w="1470"/>
        <w:gridCol w:w="2175"/>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序号</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姓名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职务</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职称和职业资格</w:t>
            </w:r>
          </w:p>
        </w:tc>
        <w:tc>
          <w:tcPr>
            <w:tcW w:w="2768"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1</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郑生伟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复核人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8"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绩效评价指导、复核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2</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刘燕</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8" w:type="dxa"/>
            <w:vMerge w:val="restart"/>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制定评价方案、评价报告撰写、现场及非现场评价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3</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eastAsia="宋体" w:cs="Times New Roman"/>
                <w:color w:val="auto"/>
                <w:kern w:val="2"/>
                <w:sz w:val="24"/>
                <w:szCs w:val="24"/>
                <w:highlight w:val="none"/>
                <w:shd w:val="clear" w:color="auto" w:fill="FFFFFF"/>
                <w:vertAlign w:val="baseline"/>
                <w:lang w:val="en-US" w:eastAsia="zh-CN" w:bidi="ar-SA"/>
              </w:rPr>
              <w:t>刘淑萍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高级会计师</w:t>
            </w:r>
          </w:p>
        </w:tc>
        <w:tc>
          <w:tcPr>
            <w:tcW w:w="2768" w:type="dxa"/>
            <w:vMerge w:val="continue"/>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4</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向文霞</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8" w:type="dxa"/>
            <w:vMerge w:val="restart"/>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资料收集、审核、整理分析、现场及非现场评价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5</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吕晓芳</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6</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肖涵</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7</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张振勇</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8</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赵悦江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9</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李乐乐</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bl>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03" w:name="_Toc135594822"/>
      <w:r>
        <w:rPr>
          <w:rFonts w:hint="eastAsia" w:ascii="楷体" w:hAnsi="楷体" w:eastAsia="楷体" w:cs="楷体"/>
          <w:b/>
          <w:bCs/>
          <w:highlight w:val="none"/>
        </w:rPr>
        <w:t>（七）绩效评价工作过程</w:t>
      </w:r>
      <w:bookmarkEnd w:id="102"/>
      <w:bookmarkEnd w:id="103"/>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bookmarkStart w:id="104" w:name="_Toc10150"/>
      <w:bookmarkStart w:id="105" w:name="_Toc27041"/>
      <w:bookmarkStart w:id="106" w:name="_Toc31135"/>
      <w:bookmarkStart w:id="107" w:name="_Toc1946"/>
      <w:r>
        <w:rPr>
          <w:rFonts w:hint="eastAsia" w:ascii="仿宋_GB2312" w:hAnsi="仿宋_GB2312" w:eastAsia="仿宋_GB2312" w:cs="仿宋_GB2312"/>
          <w:sz w:val="32"/>
          <w:szCs w:val="32"/>
          <w:highlight w:val="none"/>
        </w:rPr>
        <w:t>绩效评价工作过程主要包括准备阶段、实施阶段、撰写报告阶段三个阶段。</w:t>
      </w:r>
      <w:bookmarkEnd w:id="104"/>
      <w:bookmarkEnd w:id="105"/>
      <w:bookmarkEnd w:id="106"/>
      <w:bookmarkEnd w:id="107"/>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1.准备阶段</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（1）确定绩效评价组</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省法院组织召开了绩效评价专题工作会议，安排部署本次绩效评价工作。绩效评价小组根据评价目的和评价内容，明确了工作范围和职责，组织评价组人员进行业务培训，认真组织学习了相关政策法规制度、评价指标体系和评价方案，明确评价工作程序及要求，解析评价指标体系，使各参评人员对绩效评价情况做进一步了解。</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（2）评价时间安排</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根据《甘肃省财政厅关于开展2022年度省级预算执行情况部门和财政重点绩效评价工作的通知》（甘财绩〔2023〕3号）文件要求，以及和委托方省法院的沟通协调，确定评价时间</w:t>
      </w:r>
      <w:r>
        <w:rPr>
          <w:rFonts w:hint="eastAsia" w:ascii="仿宋_GB2312" w:hAnsi="仿宋_GB2312" w:eastAsia="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：2023年4月1日—2023年5月31日</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（3）评价方式确定</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本次绩效评价的对象为全省“智慧法院”信息化项目，经与省法院沟通决定采取现场评价与非现场评价相结合的方式进行本次评价。</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2.实施阶段</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（1）下达评价通知</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省法院给各</w:t>
      </w:r>
      <w:r>
        <w:rPr>
          <w:rFonts w:hint="eastAsia" w:ascii="仿宋_GB2312" w:hAnsi="仿宋_GB2312" w:eastAsia="仿宋_GB2312" w:cs="仿宋_GB2312"/>
          <w:sz w:val="32"/>
          <w:szCs w:val="32"/>
          <w:highlight w:val="none"/>
          <w:lang w:val="en-US" w:eastAsia="zh-CN"/>
        </w:rPr>
        <w:t>项目实施</w:t>
      </w:r>
      <w:r>
        <w:rPr>
          <w:rFonts w:hint="eastAsia" w:ascii="仿宋_GB2312" w:hAnsi="仿宋_GB2312" w:eastAsia="仿宋_GB2312" w:cs="仿宋_GB2312"/>
          <w:sz w:val="32"/>
          <w:szCs w:val="32"/>
          <w:highlight w:val="none"/>
        </w:rPr>
        <w:t>法院下发评价通知，绩效评价组在拟开展现场评价的5个工作日前向各</w:t>
      </w:r>
      <w:r>
        <w:rPr>
          <w:rFonts w:hint="eastAsia" w:ascii="仿宋_GB2312" w:hAnsi="仿宋_GB2312" w:eastAsia="仿宋_GB2312" w:cs="仿宋_GB2312"/>
          <w:sz w:val="32"/>
          <w:szCs w:val="32"/>
          <w:highlight w:val="none"/>
          <w:lang w:val="en-US" w:eastAsia="zh-CN"/>
        </w:rPr>
        <w:t>项目实施</w:t>
      </w:r>
      <w:r>
        <w:rPr>
          <w:rFonts w:hint="eastAsia" w:ascii="仿宋_GB2312" w:hAnsi="仿宋_GB2312" w:eastAsia="仿宋_GB2312" w:cs="仿宋_GB2312"/>
          <w:sz w:val="32"/>
          <w:szCs w:val="32"/>
          <w:highlight w:val="none"/>
        </w:rPr>
        <w:t>法院发送资料清单，提前准备评价资料。</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（2）进驻评价单位</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评价组按省法院安排的时间进驻</w:t>
      </w:r>
      <w:r>
        <w:rPr>
          <w:rFonts w:hint="eastAsia" w:ascii="仿宋_GB2312" w:hAnsi="仿宋_GB2312" w:eastAsia="仿宋_GB2312" w:cs="仿宋_GB2312"/>
          <w:sz w:val="32"/>
          <w:szCs w:val="32"/>
          <w:highlight w:val="none"/>
          <w:lang w:val="en-US" w:eastAsia="zh-CN"/>
        </w:rPr>
        <w:t>项目实施法院</w:t>
      </w:r>
      <w:r>
        <w:rPr>
          <w:rFonts w:hint="eastAsia" w:ascii="仿宋_GB2312" w:hAnsi="仿宋_GB2312" w:eastAsia="仿宋_GB2312" w:cs="仿宋_GB2312"/>
          <w:sz w:val="32"/>
          <w:szCs w:val="32"/>
          <w:highlight w:val="none"/>
        </w:rPr>
        <w:t>，采取访谈</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方式了解项目基本情况以及重点工作任务完成情况，听取相关工作人员对项目的目标设定及完成程度、组织管理制度建立健全及落实情况、预算支出执行情况、财务管理状况、资产管理情况和项目实施产生的效益效果等情况介绍。</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（3）资料分析及复核</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根据访谈了解情况对项目实施</w:t>
      </w:r>
      <w:r>
        <w:rPr>
          <w:rFonts w:hint="eastAsia" w:ascii="仿宋_GB2312" w:hAnsi="仿宋_GB2312" w:eastAsia="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提供的资料进行核对，核实其真实性。结合资料进行现场查看，核实各项重点工作任务完成情况的真实性和规范性。</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（4）发放调查问卷</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采用调查问卷方式对项目服务对象“</w:t>
      </w:r>
      <w:r>
        <w:rPr>
          <w:rFonts w:hint="eastAsia" w:ascii="仿宋_GB2312" w:hAnsi="仿宋_GB2312" w:eastAsia="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工作人员满意度”进行调查，根据需要收集的满意度数据设置调查问卷并认真做好调查表的发放与回收工作。</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（5）进行现场评分</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针对评价中发现的问题与</w:t>
      </w:r>
      <w:r>
        <w:rPr>
          <w:rFonts w:hint="eastAsia" w:ascii="仿宋_GB2312" w:hAnsi="仿宋_GB2312" w:eastAsia="仿宋_GB2312" w:cs="仿宋_GB2312"/>
          <w:sz w:val="32"/>
          <w:szCs w:val="32"/>
          <w:highlight w:val="none"/>
          <w:lang w:val="en-US" w:eastAsia="zh-CN"/>
        </w:rPr>
        <w:t>项目实施法院</w:t>
      </w:r>
      <w:r>
        <w:rPr>
          <w:rFonts w:hint="eastAsia" w:ascii="仿宋_GB2312" w:hAnsi="仿宋_GB2312" w:eastAsia="仿宋_GB2312" w:cs="仿宋_GB2312"/>
          <w:sz w:val="32"/>
          <w:szCs w:val="32"/>
          <w:highlight w:val="none"/>
        </w:rPr>
        <w:t>及时沟通，对各项评价指标进行分析讨论，经反复分析、研究，按预先设计的评价指标体系进行现场评价打分。</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3.撰写报告阶段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撰写绩效评价报告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评价小组根据现场评价收集的资料，运用科学、合理的绩效评价指标、评价标准和评价方法，对项目支出的经济性、效率性和效益性进行客观、公正的评价，按照</w:t>
      </w:r>
      <w:r>
        <w:rPr>
          <w:rFonts w:hint="eastAsia" w:ascii="仿宋_GB2312" w:hAnsi="仿宋_GB2312" w:cs="仿宋_GB2312"/>
          <w:sz w:val="32"/>
          <w:szCs w:val="32"/>
          <w:highlight w:val="none"/>
          <w:lang w:val="en-US" w:eastAsia="zh-CN"/>
        </w:rPr>
        <w:t>省</w:t>
      </w:r>
      <w:r>
        <w:rPr>
          <w:rFonts w:hint="eastAsia" w:ascii="仿宋_GB2312" w:hAnsi="仿宋_GB2312" w:eastAsia="仿宋_GB2312" w:cs="仿宋_GB2312"/>
          <w:sz w:val="32"/>
          <w:szCs w:val="32"/>
          <w:highlight w:val="none"/>
        </w:rPr>
        <w:t>财政厅下发的重点项目绩效评价报告模板撰写绩效评价报告，并做到依据充分、数据真实、内容完整、客观公正、结论明确、建议可行。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绩效评价报告征求意见</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绩效评价报告初稿完成后，征</w:t>
      </w:r>
      <w:r>
        <w:rPr>
          <w:rFonts w:hint="eastAsia" w:ascii="仿宋_GB2312" w:hAnsi="仿宋_GB2312" w:eastAsia="仿宋_GB2312" w:cs="仿宋_GB2312"/>
          <w:sz w:val="32"/>
          <w:szCs w:val="32"/>
          <w:highlight w:val="none"/>
          <w:lang w:val="en-US" w:eastAsia="zh-CN"/>
        </w:rPr>
        <w:t>求省法院</w:t>
      </w:r>
      <w:r>
        <w:rPr>
          <w:rFonts w:hint="eastAsia" w:ascii="仿宋_GB2312" w:hAnsi="仿宋_GB2312" w:eastAsia="仿宋_GB2312" w:cs="仿宋_GB2312"/>
          <w:sz w:val="32"/>
          <w:szCs w:val="32"/>
          <w:highlight w:val="none"/>
        </w:rPr>
        <w:t>的意见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根据反馈的有效意见对评价报告进行修改。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提交绩效评价报告</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绩效评价报告经绩效评价负责人和</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确定，在规定时间内按照规定的格式、要求，提交</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及财政部门</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黑体" w:eastAsia="黑体"/>
          <w:highlight w:val="none"/>
        </w:rPr>
      </w:pPr>
      <w:bookmarkStart w:id="108" w:name="_Toc6529"/>
      <w:bookmarkStart w:id="109" w:name="_Toc135594823"/>
      <w:bookmarkStart w:id="110" w:name="_Toc22550"/>
      <w:r>
        <w:rPr>
          <w:rFonts w:hint="eastAsia" w:ascii="黑体" w:eastAsia="黑体"/>
          <w:highlight w:val="none"/>
        </w:rPr>
        <w:t>四、评价结论及分析</w:t>
      </w:r>
      <w:bookmarkEnd w:id="108"/>
      <w:bookmarkEnd w:id="109"/>
      <w:bookmarkEnd w:id="110"/>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11" w:name="_Toc20588"/>
      <w:bookmarkStart w:id="112" w:name="_Toc8446"/>
      <w:bookmarkStart w:id="113" w:name="_Toc135594824"/>
      <w:r>
        <w:rPr>
          <w:rFonts w:hint="eastAsia" w:ascii="楷体" w:hAnsi="楷体" w:eastAsia="楷体" w:cs="楷体"/>
          <w:b/>
          <w:bCs/>
          <w:highlight w:val="none"/>
        </w:rPr>
        <w:t>（一）综合评价情况及评价结论</w:t>
      </w:r>
      <w:bookmarkEnd w:id="111"/>
      <w:bookmarkEnd w:id="112"/>
      <w:bookmarkEnd w:id="113"/>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依据项目支出绩效评价指标体系和评分标准，总分设置为100分，分值和对应等级划分为四档：90分（含）-100分为“优”、80分（含）-90分为“良”、60分（含）-80分为“中”、60分以下为“差”。综合评定2022年度</w:t>
      </w:r>
      <w:r>
        <w:rPr>
          <w:rFonts w:hint="eastAsia" w:ascii="仿宋_GB2312" w:hAnsi="仿宋" w:eastAsia="仿宋_GB2312" w:cs="仿宋"/>
          <w:sz w:val="32"/>
          <w:szCs w:val="32"/>
          <w:highlight w:val="none"/>
        </w:rPr>
        <w:t>全省“智慧法院”信息化项目</w:t>
      </w:r>
      <w:r>
        <w:rPr>
          <w:rFonts w:hint="eastAsia" w:ascii="仿宋_GB2312" w:hAnsi="仿宋_GB2312" w:eastAsia="仿宋_GB2312" w:cs="仿宋_GB2312"/>
          <w:sz w:val="32"/>
          <w:szCs w:val="32"/>
          <w:highlight w:val="none"/>
        </w:rPr>
        <w:t>绩效评分为9</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.23分，绩效等级为“优”。</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yellow"/>
        </w:rPr>
      </w:pPr>
      <w:bookmarkStart w:id="114" w:name="_Toc12668"/>
      <w:bookmarkStart w:id="115" w:name="_Toc16795"/>
      <w:r>
        <w:rPr>
          <w:rFonts w:hint="eastAsia" w:ascii="仿宋_GB2312" w:hAnsi="仿宋_GB2312" w:eastAsia="仿宋_GB2312" w:cs="仿宋_GB2312"/>
          <w:sz w:val="32"/>
          <w:szCs w:val="32"/>
          <w:highlight w:val="none"/>
        </w:rPr>
        <w:t>评价认为，2022年全省“智慧法院”信息化项目的立项能够很好地适应总体目标，立项依据充分、程序规范；项目实施流程严谨，管理制度健全，预算编制科学，资金分配合理，资金支付及时、使用效果良好。全省“智慧法院”信息化项目</w:t>
      </w:r>
      <w:r>
        <w:rPr>
          <w:rFonts w:hint="eastAsia" w:ascii="仿宋_GB2312" w:hAnsi="仿宋_GB2312" w:eastAsia="仿宋_GB2312" w:cs="仿宋_GB2312"/>
          <w:sz w:val="32"/>
          <w:szCs w:val="32"/>
          <w:highlight w:val="none"/>
          <w:lang w:val="en-US" w:eastAsia="zh-CN"/>
        </w:rPr>
        <w:t>的实施提升了审判体系和审判能力现代化水平，满足人民群众和全社会日益增多的诉讼需求与法律保障服务，项目达到预期效果。但该项目绩效目标编制有待规范，预算执行率有待进一步提高，受疫情影响部分法院信息化建设项目进度滞后。</w:t>
      </w:r>
    </w:p>
    <w:bookmarkEnd w:id="114"/>
    <w:bookmarkEnd w:id="115"/>
    <w:p>
      <w:pPr>
        <w:keepNext w:val="0"/>
        <w:keepLines w:val="0"/>
        <w:pageBreakBefore w:val="0"/>
        <w:widowControl w:val="0"/>
        <w:kinsoku/>
        <w:wordWrap/>
        <w:overflowPunct w:val="0"/>
        <w:topLinePunct w:val="0"/>
        <w:autoSpaceDE/>
        <w:autoSpaceDN/>
        <w:bidi w:val="0"/>
        <w:adjustRightInd/>
        <w:ind w:firstLine="643" w:firstLineChars="200"/>
        <w:jc w:val="left"/>
        <w:outlineLvl w:val="1"/>
        <w:rPr>
          <w:sz w:val="32"/>
          <w:szCs w:val="32"/>
          <w:highlight w:val="none"/>
        </w:rPr>
      </w:pPr>
      <w:bookmarkStart w:id="116" w:name="_Toc135594825"/>
      <w:r>
        <w:rPr>
          <w:rFonts w:ascii="楷体" w:hAnsi="楷体" w:eastAsia="楷体" w:cs="楷体"/>
          <w:b/>
          <w:bCs/>
          <w:color w:val="000000"/>
          <w:kern w:val="0"/>
          <w:sz w:val="32"/>
          <w:szCs w:val="32"/>
          <w:highlight w:val="none"/>
          <w:lang w:bidi="ar"/>
        </w:rPr>
        <w:t>（二）非现场评价情况分析</w:t>
      </w:r>
      <w:bookmarkEnd w:id="116"/>
      <w:r>
        <w:rPr>
          <w:rFonts w:ascii="楷体" w:hAnsi="楷体" w:eastAsia="楷体" w:cs="楷体"/>
          <w:b/>
          <w:bCs/>
          <w:color w:val="000000"/>
          <w:kern w:val="0"/>
          <w:sz w:val="32"/>
          <w:szCs w:val="32"/>
          <w:highlight w:val="none"/>
          <w:lang w:bidi="ar"/>
        </w:rPr>
        <w:t xml:space="preserve"> </w:t>
      </w:r>
    </w:p>
    <w:p>
      <w:pPr>
        <w:keepNext w:val="0"/>
        <w:keepLines w:val="0"/>
        <w:pageBreakBefore w:val="0"/>
        <w:widowControl w:val="0"/>
        <w:kinsoku/>
        <w:wordWrap/>
        <w:overflowPunct w:val="0"/>
        <w:topLinePunct w:val="0"/>
        <w:autoSpaceDE/>
        <w:autoSpaceDN/>
        <w:bidi w:val="0"/>
        <w:adjustRightInd/>
        <w:spacing w:line="560" w:lineRule="exact"/>
        <w:ind w:firstLine="643" w:firstLineChars="200"/>
        <w:jc w:val="left"/>
        <w:rPr>
          <w:b/>
          <w:bCs/>
          <w:sz w:val="32"/>
          <w:szCs w:val="32"/>
          <w:highlight w:val="none"/>
        </w:rPr>
      </w:pPr>
      <w:r>
        <w:rPr>
          <w:rFonts w:ascii="仿宋_GB2312" w:hAnsi="宋体" w:eastAsia="仿宋_GB2312" w:cs="仿宋_GB2312"/>
          <w:b/>
          <w:bCs/>
          <w:color w:val="000000"/>
          <w:kern w:val="0"/>
          <w:sz w:val="32"/>
          <w:szCs w:val="32"/>
          <w:highlight w:val="none"/>
          <w:lang w:bidi="ar"/>
        </w:rPr>
        <w:t>1</w:t>
      </w:r>
      <w:r>
        <w:rPr>
          <w:rFonts w:hint="eastAsia" w:ascii="仿宋_GB2312" w:hAnsi="宋体" w:eastAsia="仿宋_GB2312" w:cs="仿宋_GB2312"/>
          <w:b/>
          <w:bCs/>
          <w:color w:val="000000"/>
          <w:kern w:val="0"/>
          <w:sz w:val="32"/>
          <w:szCs w:val="32"/>
          <w:highlight w:val="none"/>
          <w:lang w:bidi="ar"/>
        </w:rPr>
        <w:t>.</w:t>
      </w:r>
      <w:r>
        <w:rPr>
          <w:rFonts w:ascii="仿宋_GB2312" w:hAnsi="宋体" w:eastAsia="仿宋_GB2312" w:cs="仿宋_GB2312"/>
          <w:b/>
          <w:bCs/>
          <w:color w:val="000000"/>
          <w:kern w:val="0"/>
          <w:sz w:val="32"/>
          <w:szCs w:val="32"/>
          <w:highlight w:val="none"/>
          <w:lang w:bidi="ar"/>
        </w:rPr>
        <w:t xml:space="preserve">前期资料研读 </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left"/>
        <w:textAlignment w:val="auto"/>
        <w:rPr>
          <w:b/>
          <w:bCs/>
          <w:sz w:val="32"/>
          <w:szCs w:val="32"/>
          <w:highlight w:val="none"/>
        </w:rPr>
      </w:pPr>
      <w:r>
        <w:rPr>
          <w:rFonts w:hint="eastAsia" w:ascii="仿宋_GB2312" w:hAnsi="宋体" w:eastAsia="仿宋_GB2312" w:cs="仿宋_GB2312"/>
          <w:color w:val="000000"/>
          <w:kern w:val="0"/>
          <w:sz w:val="32"/>
          <w:szCs w:val="32"/>
          <w:highlight w:val="none"/>
          <w:lang w:bidi="ar"/>
        </w:rPr>
        <w:t>评价组根据调研结果梳理并向项目实施</w:t>
      </w:r>
      <w:r>
        <w:rPr>
          <w:rFonts w:hint="eastAsia" w:ascii="仿宋_GB2312" w:hAnsi="宋体" w:eastAsia="仿宋_GB2312" w:cs="仿宋_GB2312"/>
          <w:color w:val="000000"/>
          <w:kern w:val="0"/>
          <w:sz w:val="32"/>
          <w:szCs w:val="32"/>
          <w:highlight w:val="none"/>
          <w:lang w:val="en-US" w:eastAsia="zh-CN" w:bidi="ar"/>
        </w:rPr>
        <w:t>法院</w:t>
      </w:r>
      <w:r>
        <w:rPr>
          <w:rFonts w:hint="eastAsia" w:ascii="仿宋_GB2312" w:hAnsi="宋体" w:eastAsia="仿宋_GB2312" w:cs="仿宋_GB2312"/>
          <w:color w:val="000000"/>
          <w:kern w:val="0"/>
          <w:sz w:val="32"/>
          <w:szCs w:val="32"/>
          <w:highlight w:val="none"/>
          <w:lang w:bidi="ar"/>
        </w:rPr>
        <w:t>发送《资料收集清单》收集业务资料和财务资料，其中包括：部门预算批复文件、资金分配表、项目预算编制明细表、决算表、单位内部管理制度、项目绩效目标申报表、自评表及自评报告等资料。并在资料收集过程中通过网上收集、文献查阅等方式，获取与本项目有关的政策资料，全面</w:t>
      </w:r>
      <w:r>
        <w:rPr>
          <w:rFonts w:hint="eastAsia" w:ascii="仿宋_GB2312" w:hAnsi="宋体" w:eastAsia="仿宋_GB2312" w:cs="仿宋_GB2312"/>
          <w:color w:val="000000"/>
          <w:kern w:val="0"/>
          <w:sz w:val="32"/>
          <w:szCs w:val="32"/>
          <w:highlight w:val="none"/>
          <w:lang w:eastAsia="zh-CN" w:bidi="ar"/>
        </w:rPr>
        <w:t>了解</w:t>
      </w:r>
      <w:r>
        <w:rPr>
          <w:rFonts w:hint="eastAsia" w:ascii="仿宋_GB2312" w:hAnsi="宋体" w:eastAsia="仿宋_GB2312" w:cs="仿宋_GB2312"/>
          <w:color w:val="000000"/>
          <w:kern w:val="0"/>
          <w:sz w:val="32"/>
          <w:szCs w:val="32"/>
          <w:highlight w:val="none"/>
          <w:lang w:bidi="ar"/>
        </w:rPr>
        <w:t>项目内容，把</w:t>
      </w:r>
      <w:r>
        <w:rPr>
          <w:rFonts w:hint="eastAsia" w:ascii="仿宋_GB2312" w:hAnsi="宋体" w:eastAsia="仿宋_GB2312" w:cs="仿宋_GB2312"/>
          <w:b w:val="0"/>
          <w:bCs w:val="0"/>
          <w:color w:val="000000"/>
          <w:kern w:val="0"/>
          <w:sz w:val="32"/>
          <w:szCs w:val="32"/>
          <w:highlight w:val="none"/>
          <w:lang w:bidi="ar"/>
        </w:rPr>
        <w:t xml:space="preserve">握评价的重点，明确评价方式、方法，为制定实施方案、绩效评价指标体系奠定基础。 </w:t>
      </w:r>
    </w:p>
    <w:p>
      <w:pPr>
        <w:keepNext w:val="0"/>
        <w:keepLines w:val="0"/>
        <w:pageBreakBefore w:val="0"/>
        <w:widowControl w:val="0"/>
        <w:kinsoku/>
        <w:wordWrap/>
        <w:overflowPunct w:val="0"/>
        <w:topLinePunct w:val="0"/>
        <w:autoSpaceDE/>
        <w:autoSpaceDN/>
        <w:bidi w:val="0"/>
        <w:adjustRightInd/>
        <w:spacing w:line="560" w:lineRule="exact"/>
        <w:ind w:firstLine="643" w:firstLineChars="200"/>
        <w:jc w:val="left"/>
        <w:rPr>
          <w:b/>
          <w:bCs/>
          <w:sz w:val="32"/>
          <w:szCs w:val="32"/>
          <w:highlight w:val="none"/>
        </w:rPr>
      </w:pPr>
      <w:r>
        <w:rPr>
          <w:rFonts w:hint="eastAsia" w:ascii="仿宋_GB2312" w:hAnsi="宋体" w:eastAsia="仿宋_GB2312" w:cs="仿宋_GB2312"/>
          <w:b/>
          <w:bCs/>
          <w:color w:val="000000"/>
          <w:kern w:val="0"/>
          <w:sz w:val="32"/>
          <w:szCs w:val="32"/>
          <w:highlight w:val="none"/>
          <w:lang w:bidi="ar"/>
        </w:rPr>
        <w:t xml:space="preserve">2.资料整理分析 </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bidi="ar"/>
        </w:rPr>
        <w:t>评价组对</w:t>
      </w:r>
      <w:r>
        <w:rPr>
          <w:rFonts w:hint="eastAsia" w:ascii="仿宋_GB2312" w:hAnsi="宋体" w:eastAsia="仿宋_GB2312" w:cs="仿宋_GB2312"/>
          <w:color w:val="000000"/>
          <w:kern w:val="0"/>
          <w:sz w:val="32"/>
          <w:szCs w:val="32"/>
          <w:highlight w:val="none"/>
          <w:lang w:val="en-US" w:eastAsia="zh-CN" w:bidi="ar"/>
        </w:rPr>
        <w:t>项目实施法院</w:t>
      </w:r>
      <w:r>
        <w:rPr>
          <w:rFonts w:hint="eastAsia" w:ascii="仿宋_GB2312" w:hAnsi="宋体" w:eastAsia="仿宋_GB2312" w:cs="仿宋_GB2312"/>
          <w:color w:val="000000"/>
          <w:kern w:val="0"/>
          <w:sz w:val="32"/>
          <w:szCs w:val="32"/>
          <w:highlight w:val="none"/>
          <w:lang w:bidi="ar"/>
        </w:rPr>
        <w:t>提供的资料进行深入研读，将前期资料研读过程中通过各网站收集的资料与</w:t>
      </w:r>
      <w:r>
        <w:rPr>
          <w:rFonts w:hint="eastAsia" w:ascii="仿宋_GB2312" w:hAnsi="宋体" w:eastAsia="仿宋_GB2312" w:cs="仿宋_GB2312"/>
          <w:color w:val="000000"/>
          <w:kern w:val="0"/>
          <w:sz w:val="32"/>
          <w:szCs w:val="32"/>
          <w:highlight w:val="none"/>
          <w:lang w:val="en-US" w:eastAsia="zh-CN" w:bidi="ar"/>
        </w:rPr>
        <w:t>项目实施法院</w:t>
      </w:r>
      <w:r>
        <w:rPr>
          <w:rFonts w:hint="eastAsia" w:ascii="仿宋_GB2312" w:hAnsi="宋体" w:eastAsia="仿宋_GB2312" w:cs="仿宋_GB2312"/>
          <w:color w:val="000000"/>
          <w:kern w:val="0"/>
          <w:sz w:val="32"/>
          <w:szCs w:val="32"/>
          <w:highlight w:val="none"/>
          <w:lang w:bidi="ar"/>
        </w:rPr>
        <w:t>提供的资料进行了汇总整合研究，并设立评价指标体系。对于结果明确的指标直接进行打分，对于结果不明确的指标，评价组在此过程中继续整理缺失的数据，并形成二次数据收集清单，通过线上沟通再次向各</w:t>
      </w:r>
      <w:r>
        <w:rPr>
          <w:rFonts w:hint="eastAsia" w:ascii="仿宋_GB2312" w:hAnsi="宋体" w:eastAsia="仿宋_GB2312" w:cs="仿宋_GB2312"/>
          <w:color w:val="000000"/>
          <w:kern w:val="0"/>
          <w:sz w:val="32"/>
          <w:szCs w:val="32"/>
          <w:highlight w:val="none"/>
          <w:lang w:val="en-US" w:eastAsia="zh-CN" w:bidi="ar"/>
        </w:rPr>
        <w:t>项目实施法院</w:t>
      </w:r>
      <w:r>
        <w:rPr>
          <w:rFonts w:hint="eastAsia" w:ascii="仿宋_GB2312" w:hAnsi="宋体" w:eastAsia="仿宋_GB2312" w:cs="仿宋_GB2312"/>
          <w:color w:val="000000"/>
          <w:kern w:val="0"/>
          <w:sz w:val="32"/>
          <w:szCs w:val="32"/>
          <w:highlight w:val="none"/>
          <w:lang w:bidi="ar"/>
        </w:rPr>
        <w:t>收集部分评价指标佐证材料，补充完善评价结果，以便全面、真实、客观的形成评价结果。</w:t>
      </w:r>
    </w:p>
    <w:p>
      <w:pPr>
        <w:keepNext w:val="0"/>
        <w:keepLines w:val="0"/>
        <w:pageBreakBefore w:val="0"/>
        <w:widowControl w:val="0"/>
        <w:kinsoku/>
        <w:wordWrap/>
        <w:overflowPunct w:val="0"/>
        <w:topLinePunct w:val="0"/>
        <w:autoSpaceDE/>
        <w:autoSpaceDN/>
        <w:bidi w:val="0"/>
        <w:adjustRightInd/>
        <w:spacing w:line="560" w:lineRule="exact"/>
        <w:ind w:firstLine="643" w:firstLineChars="200"/>
        <w:jc w:val="left"/>
        <w:outlineLvl w:val="1"/>
        <w:rPr>
          <w:sz w:val="32"/>
          <w:szCs w:val="32"/>
          <w:highlight w:val="none"/>
        </w:rPr>
      </w:pPr>
      <w:bookmarkStart w:id="117" w:name="_Toc135594826"/>
      <w:r>
        <w:rPr>
          <w:rFonts w:hint="eastAsia" w:ascii="楷体" w:hAnsi="楷体" w:eastAsia="楷体" w:cs="楷体"/>
          <w:b/>
          <w:bCs/>
          <w:color w:val="000000"/>
          <w:kern w:val="0"/>
          <w:sz w:val="32"/>
          <w:szCs w:val="32"/>
          <w:highlight w:val="none"/>
          <w:lang w:bidi="ar"/>
        </w:rPr>
        <w:t>（三）</w:t>
      </w:r>
      <w:r>
        <w:rPr>
          <w:rFonts w:ascii="楷体" w:hAnsi="楷体" w:eastAsia="楷体" w:cs="楷体"/>
          <w:b/>
          <w:bCs/>
          <w:color w:val="000000"/>
          <w:kern w:val="0"/>
          <w:sz w:val="32"/>
          <w:szCs w:val="32"/>
          <w:highlight w:val="none"/>
          <w:lang w:bidi="ar"/>
        </w:rPr>
        <w:t>现场评价情况分析</w:t>
      </w:r>
      <w:bookmarkEnd w:id="117"/>
      <w:r>
        <w:rPr>
          <w:rFonts w:ascii="楷体" w:hAnsi="楷体" w:eastAsia="楷体" w:cs="楷体"/>
          <w:b/>
          <w:bCs/>
          <w:color w:val="000000"/>
          <w:kern w:val="0"/>
          <w:sz w:val="32"/>
          <w:szCs w:val="32"/>
          <w:highlight w:val="none"/>
          <w:lang w:bidi="ar"/>
        </w:rPr>
        <w:t xml:space="preserve"> </w:t>
      </w:r>
    </w:p>
    <w:p>
      <w:pPr>
        <w:keepNext w:val="0"/>
        <w:keepLines w:val="0"/>
        <w:pageBreakBefore w:val="0"/>
        <w:widowControl w:val="0"/>
        <w:kinsoku/>
        <w:wordWrap/>
        <w:overflowPunct w:val="0"/>
        <w:topLinePunct w:val="0"/>
        <w:autoSpaceDE/>
        <w:autoSpaceDN/>
        <w:bidi w:val="0"/>
        <w:adjustRightInd/>
        <w:spacing w:line="560" w:lineRule="exact"/>
        <w:ind w:firstLine="640" w:firstLineChars="200"/>
        <w:jc w:val="left"/>
        <w:rPr>
          <w:sz w:val="32"/>
          <w:szCs w:val="32"/>
          <w:highlight w:val="none"/>
        </w:rPr>
      </w:pPr>
      <w:r>
        <w:rPr>
          <w:rFonts w:ascii="仿宋_GB2312" w:hAnsi="宋体" w:eastAsia="仿宋_GB2312" w:cs="仿宋_GB2312"/>
          <w:color w:val="000000"/>
          <w:kern w:val="0"/>
          <w:sz w:val="32"/>
          <w:szCs w:val="32"/>
          <w:highlight w:val="none"/>
          <w:lang w:bidi="ar"/>
        </w:rPr>
        <w:t>1</w:t>
      </w:r>
      <w:r>
        <w:rPr>
          <w:rFonts w:hint="eastAsia" w:ascii="仿宋_GB2312" w:hAnsi="宋体" w:eastAsia="仿宋_GB2312" w:cs="仿宋_GB2312"/>
          <w:color w:val="000000"/>
          <w:kern w:val="0"/>
          <w:sz w:val="32"/>
          <w:szCs w:val="32"/>
          <w:highlight w:val="none"/>
          <w:lang w:bidi="ar"/>
        </w:rPr>
        <w:t>.</w:t>
      </w:r>
      <w:r>
        <w:rPr>
          <w:rFonts w:ascii="仿宋_GB2312" w:hAnsi="宋体" w:eastAsia="仿宋_GB2312" w:cs="仿宋_GB2312"/>
          <w:color w:val="000000"/>
          <w:kern w:val="0"/>
          <w:sz w:val="32"/>
          <w:szCs w:val="32"/>
          <w:highlight w:val="none"/>
          <w:lang w:bidi="ar"/>
        </w:rPr>
        <w:t xml:space="preserve">前期调研 </w:t>
      </w:r>
    </w:p>
    <w:p>
      <w:pPr>
        <w:keepNext w:val="0"/>
        <w:keepLines w:val="0"/>
        <w:pageBreakBefore w:val="0"/>
        <w:widowControl w:val="0"/>
        <w:kinsoku/>
        <w:wordWrap/>
        <w:overflowPunct w:val="0"/>
        <w:topLinePunct w:val="0"/>
        <w:autoSpaceDE/>
        <w:autoSpaceDN/>
        <w:bidi w:val="0"/>
        <w:adjustRightInd/>
        <w:spacing w:line="560" w:lineRule="exact"/>
        <w:ind w:firstLine="640" w:firstLineChars="200"/>
        <w:jc w:val="both"/>
        <w:rPr>
          <w:sz w:val="32"/>
          <w:szCs w:val="32"/>
          <w:highlight w:val="none"/>
        </w:rPr>
      </w:pPr>
      <w:r>
        <w:rPr>
          <w:rFonts w:hint="eastAsia" w:ascii="仿宋_GB2312" w:hAnsi="宋体" w:eastAsia="仿宋_GB2312" w:cs="仿宋_GB2312"/>
          <w:color w:val="000000"/>
          <w:kern w:val="0"/>
          <w:sz w:val="32"/>
          <w:szCs w:val="32"/>
          <w:highlight w:val="none"/>
          <w:lang w:bidi="ar"/>
        </w:rPr>
        <w:t>评价组通过查阅相关文献资料以及在各</w:t>
      </w:r>
      <w:r>
        <w:rPr>
          <w:rFonts w:hint="eastAsia" w:ascii="仿宋_GB2312" w:hAnsi="宋体" w:eastAsia="仿宋_GB2312" w:cs="仿宋_GB2312"/>
          <w:color w:val="000000"/>
          <w:kern w:val="0"/>
          <w:sz w:val="32"/>
          <w:szCs w:val="32"/>
          <w:highlight w:val="none"/>
          <w:lang w:val="en-US" w:eastAsia="zh-CN" w:bidi="ar"/>
        </w:rPr>
        <w:t>项目实施法院</w:t>
      </w:r>
      <w:r>
        <w:rPr>
          <w:rFonts w:hint="eastAsia" w:ascii="仿宋_GB2312" w:hAnsi="宋体" w:eastAsia="仿宋_GB2312" w:cs="仿宋_GB2312"/>
          <w:color w:val="000000"/>
          <w:kern w:val="0"/>
          <w:sz w:val="32"/>
          <w:szCs w:val="32"/>
          <w:highlight w:val="none"/>
          <w:lang w:bidi="ar"/>
        </w:rPr>
        <w:t xml:space="preserve">官网了解到被评价项目情况，自行收集了预决算公开资料，全面了解项目立项、绩效目标设置、预算安排、实施内容、组织管理等情况，为编制指标体系奠定基础。 </w:t>
      </w:r>
    </w:p>
    <w:p>
      <w:pPr>
        <w:keepNext w:val="0"/>
        <w:keepLines w:val="0"/>
        <w:pageBreakBefore w:val="0"/>
        <w:widowControl w:val="0"/>
        <w:kinsoku/>
        <w:wordWrap/>
        <w:overflowPunct w:val="0"/>
        <w:topLinePunct w:val="0"/>
        <w:autoSpaceDE/>
        <w:autoSpaceDN/>
        <w:bidi w:val="0"/>
        <w:adjustRightInd/>
        <w:spacing w:line="560" w:lineRule="exact"/>
        <w:ind w:firstLine="640" w:firstLineChars="200"/>
        <w:jc w:val="both"/>
        <w:rPr>
          <w:sz w:val="32"/>
          <w:szCs w:val="32"/>
          <w:highlight w:val="none"/>
        </w:rPr>
      </w:pPr>
      <w:r>
        <w:rPr>
          <w:rFonts w:hint="eastAsia" w:ascii="仿宋_GB2312" w:hAnsi="宋体" w:eastAsia="仿宋_GB2312" w:cs="仿宋_GB2312"/>
          <w:color w:val="000000"/>
          <w:kern w:val="0"/>
          <w:sz w:val="32"/>
          <w:szCs w:val="32"/>
          <w:highlight w:val="none"/>
          <w:lang w:bidi="ar"/>
        </w:rPr>
        <w:t xml:space="preserve">2.现场核查 </w:t>
      </w:r>
    </w:p>
    <w:p>
      <w:pPr>
        <w:keepNext w:val="0"/>
        <w:keepLines w:val="0"/>
        <w:pageBreakBefore w:val="0"/>
        <w:widowControl w:val="0"/>
        <w:kinsoku/>
        <w:wordWrap/>
        <w:overflowPunct w:val="0"/>
        <w:topLinePunct w:val="0"/>
        <w:autoSpaceDE/>
        <w:autoSpaceDN/>
        <w:bidi w:val="0"/>
        <w:adjustRightInd/>
        <w:spacing w:line="560" w:lineRule="exact"/>
        <w:ind w:firstLine="640" w:firstLineChars="200"/>
        <w:jc w:val="both"/>
        <w:rPr>
          <w:sz w:val="32"/>
          <w:szCs w:val="32"/>
          <w:highlight w:val="none"/>
        </w:rPr>
      </w:pPr>
      <w:r>
        <w:rPr>
          <w:rFonts w:hint="eastAsia" w:ascii="仿宋_GB2312" w:hAnsi="宋体" w:eastAsia="仿宋_GB2312" w:cs="仿宋_GB2312"/>
          <w:color w:val="000000"/>
          <w:kern w:val="0"/>
          <w:sz w:val="32"/>
          <w:szCs w:val="32"/>
          <w:highlight w:val="none"/>
          <w:lang w:bidi="ar"/>
        </w:rPr>
        <w:t>评价组根据项目实际情况，抽取部分法院进行现场</w:t>
      </w:r>
      <w:r>
        <w:rPr>
          <w:rFonts w:hint="eastAsia" w:ascii="仿宋_GB2312" w:hAnsi="宋体" w:eastAsia="仿宋_GB2312" w:cs="仿宋_GB2312"/>
          <w:color w:val="000000"/>
          <w:kern w:val="0"/>
          <w:sz w:val="32"/>
          <w:szCs w:val="32"/>
          <w:highlight w:val="none"/>
          <w:lang w:val="en-US" w:eastAsia="zh-CN" w:bidi="ar"/>
        </w:rPr>
        <w:t>评价</w:t>
      </w:r>
      <w:r>
        <w:rPr>
          <w:rFonts w:hint="eastAsia" w:ascii="仿宋_GB2312" w:hAnsi="宋体" w:eastAsia="仿宋_GB2312" w:cs="仿宋_GB2312"/>
          <w:color w:val="000000"/>
          <w:kern w:val="0"/>
          <w:sz w:val="32"/>
          <w:szCs w:val="32"/>
          <w:highlight w:val="none"/>
          <w:lang w:bidi="ar"/>
        </w:rPr>
        <w:t>，本次现场评价省法院机关、甘肃省矿区人民法院、小陇山林区法院、平凉市崆峒区人民法院、华亭市人民法院及天祝藏族自治县人民法院6个法院，涉及专项资金3.925.00万元，占</w:t>
      </w:r>
      <w:r>
        <w:rPr>
          <w:rFonts w:hint="eastAsia" w:ascii="仿宋_GB2312" w:hAnsi="宋体" w:eastAsia="仿宋_GB2312" w:cs="仿宋_GB2312"/>
          <w:color w:val="000000"/>
          <w:kern w:val="0"/>
          <w:sz w:val="32"/>
          <w:szCs w:val="32"/>
          <w:highlight w:val="none"/>
          <w:lang w:val="en-US" w:eastAsia="zh-CN" w:bidi="ar"/>
        </w:rPr>
        <w:t>项目</w:t>
      </w:r>
      <w:r>
        <w:rPr>
          <w:rFonts w:hint="eastAsia" w:ascii="仿宋_GB2312" w:hAnsi="宋体" w:eastAsia="仿宋_GB2312" w:cs="仿宋_GB2312"/>
          <w:color w:val="000000"/>
          <w:kern w:val="0"/>
          <w:sz w:val="32"/>
          <w:szCs w:val="32"/>
          <w:highlight w:val="none"/>
          <w:lang w:bidi="ar"/>
        </w:rPr>
        <w:t>总额</w:t>
      </w:r>
      <w:r>
        <w:rPr>
          <w:rFonts w:hint="eastAsia" w:ascii="仿宋_GB2312" w:hAnsi="宋体" w:eastAsia="仿宋_GB2312" w:cs="仿宋_GB2312"/>
          <w:color w:val="000000"/>
          <w:kern w:val="0"/>
          <w:sz w:val="32"/>
          <w:szCs w:val="32"/>
          <w:highlight w:val="none"/>
          <w:lang w:val="en-US" w:eastAsia="zh-CN" w:bidi="ar"/>
        </w:rPr>
        <w:t>的</w:t>
      </w:r>
      <w:r>
        <w:rPr>
          <w:rFonts w:hint="eastAsia" w:ascii="仿宋_GB2312" w:hAnsi="宋体" w:eastAsia="仿宋_GB2312" w:cs="仿宋_GB2312"/>
          <w:color w:val="000000"/>
          <w:kern w:val="0"/>
          <w:sz w:val="32"/>
          <w:szCs w:val="32"/>
          <w:highlight w:val="none"/>
          <w:lang w:bidi="ar"/>
        </w:rPr>
        <w:t>59.07%</w:t>
      </w:r>
      <w:r>
        <w:rPr>
          <w:rFonts w:hint="eastAsia" w:ascii="仿宋_GB2312" w:hAnsi="宋体" w:eastAsia="仿宋_GB2312" w:cs="仿宋_GB2312"/>
          <w:color w:val="000000"/>
          <w:kern w:val="0"/>
          <w:sz w:val="32"/>
          <w:szCs w:val="32"/>
          <w:highlight w:val="none"/>
          <w:lang w:eastAsia="zh-CN" w:bidi="ar"/>
        </w:rPr>
        <w:t>，从项目数量和资金额度上均符合“项目和资金占比均达到30%”的规定</w:t>
      </w:r>
      <w:r>
        <w:rPr>
          <w:rFonts w:hint="eastAsia" w:ascii="仿宋_GB2312" w:hAnsi="宋体" w:eastAsia="仿宋_GB2312" w:cs="仿宋_GB2312"/>
          <w:color w:val="000000"/>
          <w:kern w:val="0"/>
          <w:sz w:val="32"/>
          <w:szCs w:val="32"/>
          <w:highlight w:val="none"/>
          <w:lang w:bidi="ar"/>
        </w:rPr>
        <w:t xml:space="preserve">。 </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黑体" w:eastAsia="黑体"/>
          <w:highlight w:val="none"/>
        </w:rPr>
      </w:pPr>
      <w:bookmarkStart w:id="118" w:name="_Toc135594827"/>
      <w:bookmarkStart w:id="119" w:name="_Toc30293"/>
      <w:bookmarkStart w:id="120" w:name="_Toc25412"/>
      <w:r>
        <w:rPr>
          <w:rFonts w:hint="eastAsia" w:ascii="黑体" w:eastAsia="黑体"/>
          <w:highlight w:val="none"/>
        </w:rPr>
        <w:t>五、绩效评价指标分析</w:t>
      </w:r>
      <w:bookmarkEnd w:id="118"/>
      <w:bookmarkEnd w:id="119"/>
      <w:bookmarkEnd w:id="120"/>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全省“智慧法院”信息化项目绩效评价分级设计项目决策、过程、产出、效益、满意度五个一级指标，一级指标评分显示，一级指标具体得分情况</w:t>
      </w:r>
      <w:r>
        <w:rPr>
          <w:rFonts w:hint="eastAsia" w:ascii="仿宋_GB2312" w:hAnsi="仿宋_GB2312" w:eastAsia="仿宋_GB2312" w:cs="仿宋_GB2312"/>
          <w:sz w:val="32"/>
          <w:szCs w:val="32"/>
          <w:highlight w:val="none"/>
          <w:lang w:val="en-US" w:eastAsia="zh-CN"/>
        </w:rPr>
        <w:t>如下</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pacing w:before="156" w:beforeLines="50" w:after="156" w:afterLines="50"/>
        <w:jc w:val="left"/>
        <w:rPr>
          <w:rFonts w:cs="黑体" w:asciiTheme="minorEastAsia" w:hAnsiTheme="minorEastAsia"/>
          <w:sz w:val="28"/>
          <w:szCs w:val="24"/>
          <w:highlight w:val="none"/>
        </w:rPr>
      </w:pPr>
      <w:r>
        <w:rPr>
          <w:rFonts w:hint="eastAsia" w:asciiTheme="minorEastAsia" w:hAnsiTheme="minorEastAsia" w:cstheme="minorEastAsia"/>
          <w:kern w:val="0"/>
          <w:sz w:val="28"/>
          <w:szCs w:val="28"/>
          <w:highlight w:val="none"/>
        </w:rPr>
        <w:drawing>
          <wp:inline distT="0" distB="0" distL="114300" distR="114300">
            <wp:extent cx="5407025" cy="3433445"/>
            <wp:effectExtent l="4445" t="4445" r="11430" b="1651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21" w:name="_Toc23689"/>
      <w:bookmarkStart w:id="122" w:name="_Toc30072"/>
      <w:bookmarkStart w:id="123" w:name="_Toc135594828"/>
      <w:r>
        <w:rPr>
          <w:rFonts w:hint="eastAsia" w:ascii="楷体" w:hAnsi="楷体" w:eastAsia="楷体" w:cs="楷体"/>
          <w:b/>
          <w:bCs/>
          <w:highlight w:val="none"/>
        </w:rPr>
        <w:t>（一）项目决策情况</w:t>
      </w:r>
      <w:bookmarkEnd w:id="121"/>
      <w:bookmarkEnd w:id="122"/>
      <w:bookmarkEnd w:id="123"/>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hint="eastAsia" w:cs="黑体" w:asciiTheme="minorEastAsia" w:hAnsiTheme="minorEastAsia"/>
          <w:bCs/>
          <w:sz w:val="28"/>
          <w:szCs w:val="24"/>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为绩效目标合理性、绩效指标明确性两个三级指标，资金投入指标包括预算编制科学性、资金分配合理性两个三级指标。指标分值</w:t>
      </w:r>
      <w:r>
        <w:rPr>
          <w:rFonts w:hint="eastAsia" w:ascii="仿宋_GB2312" w:hAnsi="仿宋_GB2312" w:eastAsia="仿宋_GB2312" w:cs="仿宋_GB2312"/>
          <w:sz w:val="32"/>
          <w:szCs w:val="32"/>
          <w:highlight w:val="none"/>
          <w:lang w:val="en-US" w:eastAsia="zh-CN"/>
        </w:rPr>
        <w:t>16</w:t>
      </w:r>
      <w:r>
        <w:rPr>
          <w:rFonts w:hint="eastAsia" w:ascii="仿宋_GB2312" w:hAnsi="仿宋_GB2312" w:eastAsia="仿宋_GB2312" w:cs="仿宋_GB2312"/>
          <w:sz w:val="32"/>
          <w:szCs w:val="32"/>
          <w:highlight w:val="none"/>
        </w:rPr>
        <w:t>分，评价得分1</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93.75</w:t>
      </w:r>
      <w:r>
        <w:rPr>
          <w:rFonts w:hint="eastAsia" w:ascii="仿宋_GB2312" w:hAnsi="仿宋_GB2312" w:eastAsia="仿宋_GB2312" w:cs="仿宋_GB2312"/>
          <w:sz w:val="32"/>
          <w:szCs w:val="32"/>
          <w:highlight w:val="none"/>
        </w:rPr>
        <w:t>%。</w:t>
      </w:r>
    </w:p>
    <w:p>
      <w:pPr>
        <w:pStyle w:val="22"/>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lang w:val="en-US" w:eastAsia="zh-CN"/>
        </w:rPr>
        <w:t>决</w:t>
      </w:r>
      <w:r>
        <w:rPr>
          <w:rFonts w:hint="eastAsia" w:cs="黑体" w:asciiTheme="minorEastAsia" w:hAnsiTheme="minorEastAsia"/>
          <w:bCs/>
          <w:sz w:val="28"/>
          <w:szCs w:val="24"/>
          <w:highlight w:val="none"/>
        </w:rPr>
        <w:t>策指标二级指标得分情况表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项目立项</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绩效目标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3</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75</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资金投入</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16</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000000"/>
                <w:kern w:val="0"/>
                <w:sz w:val="22"/>
                <w:highlight w:val="none"/>
                <w:lang w:eastAsia="zh-CN" w:bidi="ar"/>
              </w:rPr>
            </w:pPr>
            <w:r>
              <w:rPr>
                <w:rFonts w:hint="eastAsia" w:ascii="宋体" w:hAnsi="宋体" w:eastAsia="宋体" w:cs="宋体"/>
                <w:b/>
                <w:bCs/>
                <w:color w:val="000000"/>
                <w:kern w:val="0"/>
                <w:sz w:val="22"/>
                <w:highlight w:val="none"/>
                <w:lang w:bidi="ar"/>
              </w:rPr>
              <w:t>1</w:t>
            </w:r>
            <w:r>
              <w:rPr>
                <w:rFonts w:hint="eastAsia" w:ascii="宋体" w:hAnsi="宋体" w:eastAsia="宋体" w:cs="宋体"/>
                <w:b/>
                <w:bCs/>
                <w:color w:val="000000"/>
                <w:kern w:val="0"/>
                <w:sz w:val="22"/>
                <w:highlight w:val="none"/>
                <w:lang w:val="en-US" w:eastAsia="zh-CN" w:bidi="ar"/>
              </w:rPr>
              <w:t>5</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93.75</w:t>
            </w:r>
            <w:r>
              <w:rPr>
                <w:rFonts w:hint="eastAsia" w:ascii="宋体" w:hAnsi="宋体" w:eastAsia="宋体" w:cs="宋体"/>
                <w:b/>
                <w:bCs/>
                <w:color w:val="000000"/>
                <w:kern w:val="0"/>
                <w:sz w:val="22"/>
                <w:highlight w:val="none"/>
                <w:lang w:bidi="ar"/>
              </w:rPr>
              <w:t>%</w:t>
            </w:r>
          </w:p>
        </w:tc>
      </w:tr>
    </w:tbl>
    <w:p>
      <w:pPr>
        <w:pStyle w:val="22"/>
        <w:keepNext w:val="0"/>
        <w:keepLines w:val="0"/>
        <w:pageBreakBefore w:val="0"/>
        <w:widowControl w:val="0"/>
        <w:kinsoku/>
        <w:wordWrap/>
        <w:overflowPunct w:val="0"/>
        <w:topLinePunct w:val="0"/>
        <w:autoSpaceDE/>
        <w:autoSpaceDN/>
        <w:bidi w:val="0"/>
        <w:adjustRightInd/>
        <w:spacing w:line="560" w:lineRule="exact"/>
        <w:ind w:firstLine="643"/>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全省“智慧法院”信息化项目严格按照预算绩效制度管理流程履行了项目立项手续，项目立项依据充分、立项程序规范，立项工作达到预期目标。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立项依据充分性指标分值3分，评价得分为3分。该项目根据《国家电子政务“十二五”规划》、最高人民法院《人民法院信息化建设五年发展规划（2016-2020）》、最高人民法院《关于加快建设智慧法院的意见》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法发〔2017〕12号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《诉讼服务指导中心信息平台质效评估指标体系2.0版》等政策依据</w:t>
      </w:r>
      <w:r>
        <w:rPr>
          <w:rFonts w:hint="eastAsia" w:ascii="仿宋_GB2312" w:hAnsi="仿宋_GB2312" w:eastAsia="仿宋_GB2312" w:cs="仿宋_GB2312"/>
          <w:sz w:val="32"/>
          <w:szCs w:val="32"/>
          <w:highlight w:val="none"/>
          <w:lang w:val="en-US" w:eastAsia="zh-CN"/>
        </w:rPr>
        <w:t>立项</w:t>
      </w:r>
      <w:r>
        <w:rPr>
          <w:rFonts w:hint="eastAsia" w:ascii="仿宋_GB2312" w:hAnsi="仿宋_GB2312" w:eastAsia="仿宋_GB2312" w:cs="仿宋_GB2312"/>
          <w:sz w:val="32"/>
          <w:szCs w:val="32"/>
          <w:highlight w:val="none"/>
        </w:rPr>
        <w:t>，项目立项依据充分，立项符合法规政策、属于专项资金支持范围。</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立项程序规范性指标分值3分，评价得分3分。</w:t>
      </w:r>
      <w:r>
        <w:rPr>
          <w:rFonts w:hint="eastAsia" w:ascii="仿宋_GB2312" w:hAnsi="仿宋_GB2312" w:eastAsia="仿宋_GB2312" w:cs="仿宋_GB2312"/>
          <w:sz w:val="32"/>
          <w:szCs w:val="32"/>
          <w:highlight w:val="none"/>
          <w:lang w:val="en-US" w:eastAsia="zh-CN"/>
        </w:rPr>
        <w:t>该项目根据《全省法院系统项目预算资金申报使用管理规程（试行）》（甘高法〔2018〕269号）申报并通过省财政厅、省法院批复设立</w:t>
      </w:r>
      <w:r>
        <w:rPr>
          <w:rFonts w:hint="eastAsia" w:ascii="仿宋_GB2312" w:hAnsi="仿宋_GB2312" w:eastAsia="仿宋_GB2312" w:cs="仿宋_GB2312"/>
          <w:sz w:val="32"/>
          <w:szCs w:val="32"/>
          <w:highlight w:val="none"/>
        </w:rPr>
        <w:t>，项目事前已经过必要的集体决策并按照规定的程序申请设立，审批文件、材料符合相关要求。</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项目立项程序规范，预算、审批材料齐全。</w:t>
      </w:r>
    </w:p>
    <w:p>
      <w:pPr>
        <w:pStyle w:val="22"/>
        <w:keepNext w:val="0"/>
        <w:keepLines w:val="0"/>
        <w:pageBreakBefore w:val="0"/>
        <w:widowControl w:val="0"/>
        <w:kinsoku/>
        <w:wordWrap/>
        <w:overflowPunct w:val="0"/>
        <w:topLinePunct w:val="0"/>
        <w:autoSpaceDE/>
        <w:autoSpaceDN/>
        <w:bidi w:val="0"/>
        <w:adjustRightInd/>
        <w:spacing w:line="560" w:lineRule="exact"/>
        <w:ind w:firstLine="643"/>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绩效目标合理性指标分值2分，评价得分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分。经查阅分析省法院及各实施单位项目申报及《2022年度全省“智慧法院”信息化项目经费绩效目标表》，</w:t>
      </w:r>
      <w:r>
        <w:rPr>
          <w:rFonts w:hint="eastAsia" w:ascii="仿宋_GB2312" w:hAnsi="仿宋_GB2312" w:eastAsia="仿宋_GB2312" w:cs="仿宋_GB2312"/>
          <w:sz w:val="32"/>
          <w:szCs w:val="32"/>
          <w:highlight w:val="none"/>
          <w:lang w:val="en-US" w:eastAsia="zh-CN"/>
        </w:rPr>
        <w:t>各</w:t>
      </w:r>
      <w:r>
        <w:rPr>
          <w:rFonts w:hint="eastAsia" w:ascii="仿宋_GB2312" w:hAnsi="宋体" w:eastAsia="仿宋_GB2312" w:cs="仿宋_GB2312"/>
          <w:color w:val="000000"/>
          <w:kern w:val="0"/>
          <w:sz w:val="32"/>
          <w:szCs w:val="32"/>
          <w:highlight w:val="none"/>
          <w:lang w:val="en-US" w:eastAsia="zh-CN" w:bidi="ar"/>
        </w:rPr>
        <w:t>项目实施</w:t>
      </w:r>
      <w:r>
        <w:rPr>
          <w:rFonts w:hint="eastAsia" w:ascii="仿宋_GB2312" w:hAnsi="仿宋_GB2312" w:eastAsia="仿宋_GB2312" w:cs="仿宋_GB2312"/>
          <w:sz w:val="32"/>
          <w:szCs w:val="32"/>
          <w:highlight w:val="none"/>
          <w:lang w:val="en-US" w:eastAsia="zh-CN"/>
        </w:rPr>
        <w:t>法院按照省财政厅《甘肃省省级预算绩效目标管理办法》要求，设置了绩效目标和评价指标。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绩效指标明确性指标分值2分，评价得分</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分。经核查省法院</w:t>
      </w:r>
      <w:r>
        <w:rPr>
          <w:rFonts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年度省级部门</w:t>
      </w:r>
      <w:r>
        <w:rPr>
          <w:rFonts w:hint="eastAsia" w:ascii="仿宋_GB2312" w:hAnsi="仿宋_GB2312" w:eastAsia="仿宋_GB2312" w:cs="仿宋_GB2312"/>
          <w:sz w:val="32"/>
          <w:szCs w:val="32"/>
          <w:highlight w:val="none"/>
        </w:rPr>
        <w:t>全省“智慧法院”信息化项目</w:t>
      </w:r>
      <w:r>
        <w:rPr>
          <w:rFonts w:ascii="仿宋_GB2312" w:hAnsi="仿宋_GB2312" w:eastAsia="仿宋_GB2312" w:cs="仿宋_GB2312"/>
          <w:sz w:val="32"/>
          <w:szCs w:val="32"/>
          <w:highlight w:val="none"/>
        </w:rPr>
        <w:t>支出绩效目标表》</w:t>
      </w:r>
      <w:r>
        <w:rPr>
          <w:rFonts w:hint="eastAsia" w:ascii="仿宋_GB2312" w:hAnsi="仿宋_GB2312" w:eastAsia="仿宋_GB2312" w:cs="仿宋_GB2312"/>
          <w:sz w:val="32"/>
          <w:szCs w:val="32"/>
          <w:highlight w:val="none"/>
          <w:lang w:val="en-US" w:eastAsia="zh-CN"/>
        </w:rPr>
        <w:t>设置的绩效指标能够将项目绩效目标细化分解为具体的绩效指标，指标目标值清晰、可衡量；与项目年度计划相对应；与预算确定的项目投资额或资金</w:t>
      </w:r>
      <w:r>
        <w:rPr>
          <w:rFonts w:hint="eastAsia" w:ascii="仿宋_GB2312" w:hAnsi="仿宋_GB2312" w:eastAsia="仿宋_GB2312" w:cs="仿宋_GB2312"/>
          <w:color w:val="auto"/>
          <w:sz w:val="32"/>
          <w:szCs w:val="32"/>
          <w:highlight w:val="none"/>
          <w:lang w:val="en-US" w:eastAsia="zh-CN"/>
        </w:rPr>
        <w:t>量相匹配。由于年初预算并未下达至各单位，故年初只由省法院在绩效管理系统中填报了目标表，其他中、基层法院未在“甘肃</w:t>
      </w:r>
      <w:r>
        <w:rPr>
          <w:rFonts w:hint="default" w:ascii="仿宋_GB2312" w:hAnsi="仿宋_GB2312" w:eastAsia="仿宋_GB2312" w:cs="仿宋_GB2312"/>
          <w:color w:val="auto"/>
          <w:sz w:val="32"/>
          <w:szCs w:val="32"/>
          <w:highlight w:val="none"/>
          <w:lang w:val="en-US" w:eastAsia="zh-CN"/>
        </w:rPr>
        <w:t>省级预算绩效管理信息系统</w:t>
      </w:r>
      <w:r>
        <w:rPr>
          <w:rFonts w:hint="eastAsia" w:ascii="仿宋_GB2312" w:hAnsi="仿宋_GB2312" w:eastAsia="仿宋_GB2312" w:cs="仿宋_GB2312"/>
          <w:color w:val="auto"/>
          <w:sz w:val="32"/>
          <w:szCs w:val="32"/>
          <w:highlight w:val="none"/>
          <w:lang w:val="en-US" w:eastAsia="zh-CN"/>
        </w:rPr>
        <w:t>”申报绩效目标表，仅在资金下达时在“预算管理一体化系统”填报预算项目绩效</w:t>
      </w:r>
      <w:r>
        <w:rPr>
          <w:rFonts w:hint="eastAsia" w:ascii="仿宋_GB2312" w:hAnsi="仿宋_GB2312" w:eastAsia="仿宋_GB2312" w:cs="仿宋_GB2312"/>
          <w:sz w:val="32"/>
          <w:szCs w:val="32"/>
          <w:highlight w:val="none"/>
          <w:lang w:val="en-US" w:eastAsia="zh-CN"/>
        </w:rPr>
        <w:t>表，导致项目无法进行有效监控，且部分法院绩效目标存在设置简略、表述笼统、未能涵盖项目实施主要内容及预期效益等问题。</w:t>
      </w:r>
    </w:p>
    <w:p>
      <w:pPr>
        <w:pStyle w:val="22"/>
        <w:keepNext w:val="0"/>
        <w:keepLines w:val="0"/>
        <w:pageBreakBefore w:val="0"/>
        <w:widowControl w:val="0"/>
        <w:kinsoku/>
        <w:wordWrap/>
        <w:overflowPunct w:val="0"/>
        <w:topLinePunct w:val="0"/>
        <w:autoSpaceDE/>
        <w:autoSpaceDN/>
        <w:bidi w:val="0"/>
        <w:adjustRightInd/>
        <w:spacing w:line="560" w:lineRule="exact"/>
        <w:ind w:firstLine="643"/>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项目资金投入方向符合政策规定，按照年度预算合理分配。</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预算编制科学性指标分值3分，评价得分3分。2022年全省“智慧法院”信息化项目全年预算数11,004.96，其中当年财政拨款7,000.00万元，上年结转资金4,004.96万元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项目实施前，各</w:t>
      </w:r>
      <w:r>
        <w:rPr>
          <w:rFonts w:hint="eastAsia" w:ascii="仿宋_GB2312" w:hAnsi="仿宋_GB2312" w:eastAsia="仿宋_GB2312" w:cs="仿宋_GB2312"/>
          <w:sz w:val="32"/>
          <w:szCs w:val="32"/>
          <w:highlight w:val="none"/>
          <w:lang w:val="en-US" w:eastAsia="zh-CN"/>
        </w:rPr>
        <w:t>项目实施</w:t>
      </w:r>
      <w:r>
        <w:rPr>
          <w:rFonts w:hint="eastAsia" w:ascii="仿宋_GB2312" w:hAnsi="仿宋_GB2312" w:eastAsia="仿宋_GB2312" w:cs="仿宋_GB2312"/>
          <w:sz w:val="32"/>
          <w:szCs w:val="32"/>
          <w:highlight w:val="none"/>
        </w:rPr>
        <w:t>法院上报分项预算申报表，省法院严格按照预算管理制度汇总整合、分析研究并制定资金分配计划，由财务领导、分管领导进行审核，最终上会审核通过</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rPr>
        <w:t>上报至省财政厅，项目实施中资金严格按照预算执行。</w:t>
      </w:r>
      <w:r>
        <w:rPr>
          <w:rFonts w:hint="eastAsia" w:ascii="仿宋_GB2312" w:hAnsi="仿宋_GB2312" w:eastAsia="仿宋_GB2312" w:cs="仿宋_GB2312"/>
          <w:sz w:val="32"/>
          <w:szCs w:val="32"/>
          <w:highlight w:val="none"/>
          <w:lang w:val="en-US" w:eastAsia="zh-CN"/>
        </w:rPr>
        <w:t>依据</w:t>
      </w:r>
      <w:r>
        <w:rPr>
          <w:rFonts w:hint="eastAsia" w:ascii="仿宋_GB2312" w:hAnsi="仿宋_GB2312" w:eastAsia="仿宋_GB2312" w:cs="仿宋_GB2312"/>
          <w:sz w:val="32"/>
          <w:szCs w:val="32"/>
          <w:highlight w:val="none"/>
        </w:rPr>
        <w:t>《关于2022年度全省“智慧法院”信息化项目经费安排建议的报告》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甘高法行装〔2022〕80号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评价认为，预算编制程序合规、要求严格、论证科学，预算内容与项目内容匹配，确定的项目资金量与工作任务相匹配，预算额度测算依据充分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按照标准编制。</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资金分配合理性指标分值3分，评价得分3分。2022年甘肃省财政厅共下达全省“智慧法院”信息化项目经费7,000.00万元，安排省法院信息化建设项目1,846.00万元，</w:t>
      </w:r>
      <w:r>
        <w:rPr>
          <w:rFonts w:hint="eastAsia" w:ascii="仿宋_GB2312" w:hAnsi="仿宋_GB2312" w:eastAsia="仿宋_GB2312" w:cs="仿宋_GB2312"/>
          <w:color w:val="auto"/>
          <w:sz w:val="32"/>
          <w:szCs w:val="32"/>
          <w:highlight w:val="none"/>
        </w:rPr>
        <w:t>安排1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家中、基层法院信息化建设项目</w:t>
      </w:r>
      <w:r>
        <w:rPr>
          <w:rFonts w:hint="eastAsia" w:ascii="仿宋_GB2312" w:hAnsi="仿宋_GB2312" w:eastAsia="仿宋_GB2312" w:cs="仿宋_GB2312"/>
          <w:color w:val="auto"/>
          <w:sz w:val="32"/>
          <w:szCs w:val="32"/>
          <w:highlight w:val="none"/>
          <w:lang w:val="en-US" w:eastAsia="zh-CN"/>
        </w:rPr>
        <w:t>5,154</w:t>
      </w:r>
      <w:r>
        <w:rPr>
          <w:rFonts w:hint="eastAsia" w:ascii="仿宋_GB2312" w:hAnsi="仿宋_GB2312" w:eastAsia="仿宋_GB2312" w:cs="仿宋_GB2312"/>
          <w:color w:val="auto"/>
          <w:sz w:val="32"/>
          <w:szCs w:val="32"/>
          <w:highlight w:val="none"/>
        </w:rPr>
        <w:t>.00万元。</w:t>
      </w:r>
      <w:r>
        <w:rPr>
          <w:rFonts w:hint="eastAsia" w:ascii="仿宋_GB2312" w:hAnsi="仿宋_GB2312" w:eastAsia="仿宋_GB2312" w:cs="仿宋_GB2312"/>
          <w:sz w:val="32"/>
          <w:szCs w:val="32"/>
          <w:highlight w:val="none"/>
          <w:lang w:val="en-US" w:eastAsia="zh-CN"/>
        </w:rPr>
        <w:t>专项资金由省法院根据各中、基层法院上报的分项预算明细、实际情况以及本年需求进行汇总并提出拟安排建议上报省财政厅，由省财政厅进行统一安排下达资金，依据《关于下达2022年全省“智慧法院”信息化项目经费的通知》（甘财政法〔2022〕25号），</w:t>
      </w:r>
      <w:r>
        <w:rPr>
          <w:rFonts w:hint="eastAsia" w:ascii="仿宋_GB2312" w:hAnsi="仿宋_GB2312" w:eastAsia="仿宋_GB2312" w:cs="仿宋_GB2312"/>
          <w:sz w:val="32"/>
          <w:szCs w:val="32"/>
          <w:highlight w:val="none"/>
        </w:rPr>
        <w:t>我们核对了各分项预算明细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评价认为，预算资金分配依据充分，资金分配额度合理，与各法院实际情况相适应。</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24" w:name="_Toc22593"/>
      <w:bookmarkStart w:id="125" w:name="_Toc5353"/>
      <w:bookmarkStart w:id="126" w:name="_Toc135594829"/>
      <w:r>
        <w:rPr>
          <w:rFonts w:hint="eastAsia" w:ascii="楷体" w:hAnsi="楷体" w:eastAsia="楷体" w:cs="楷体"/>
          <w:b/>
          <w:bCs/>
          <w:highlight w:val="none"/>
        </w:rPr>
        <w:t>（二）项目过程情况</w:t>
      </w:r>
      <w:bookmarkEnd w:id="124"/>
      <w:bookmarkEnd w:id="125"/>
      <w:bookmarkEnd w:id="126"/>
    </w:p>
    <w:p>
      <w:pPr>
        <w:pStyle w:val="2"/>
        <w:keepNext w:val="0"/>
        <w:keepLines w:val="0"/>
        <w:pageBreakBefore w:val="0"/>
        <w:widowControl w:val="0"/>
        <w:tabs>
          <w:tab w:val="left" w:pos="0"/>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highlight w:val="none"/>
          <w:lang w:val="en-US" w:eastAsia="zh-CN"/>
        </w:rPr>
        <w:t>两</w:t>
      </w:r>
      <w:r>
        <w:rPr>
          <w:rFonts w:hint="eastAsia" w:ascii="仿宋_GB2312" w:hAnsi="仿宋_GB2312" w:cs="仿宋_GB2312"/>
          <w:highlight w:val="none"/>
        </w:rPr>
        <w:t>个三级指标。指标分值14分，评价得分12.73分，得分率90.93%。</w:t>
      </w:r>
    </w:p>
    <w:p>
      <w:pPr>
        <w:pStyle w:val="22"/>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hint="eastAsia" w:cs="黑体" w:asciiTheme="minorEastAsia" w:hAnsiTheme="minorEastAsia"/>
          <w:bCs/>
          <w:sz w:val="28"/>
          <w:szCs w:val="24"/>
          <w:highlight w:val="none"/>
        </w:rPr>
      </w:pPr>
    </w:p>
    <w:p>
      <w:pPr>
        <w:pStyle w:val="22"/>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hint="eastAsia" w:cs="黑体" w:asciiTheme="minorEastAsia" w:hAnsiTheme="minorEastAsia"/>
          <w:bCs/>
          <w:sz w:val="28"/>
          <w:szCs w:val="24"/>
          <w:highlight w:val="none"/>
        </w:rPr>
      </w:pPr>
    </w:p>
    <w:p>
      <w:pPr>
        <w:pStyle w:val="22"/>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hint="eastAsia" w:cs="黑体" w:asciiTheme="minorEastAsia" w:hAnsiTheme="minorEastAsia"/>
          <w:bCs/>
          <w:sz w:val="28"/>
          <w:szCs w:val="24"/>
          <w:highlight w:val="none"/>
        </w:rPr>
      </w:pPr>
      <w:r>
        <w:rPr>
          <w:rFonts w:hint="eastAsia" w:cs="黑体" w:asciiTheme="minorEastAsia" w:hAnsiTheme="minorEastAsia"/>
          <w:bCs/>
          <w:sz w:val="28"/>
          <w:szCs w:val="24"/>
          <w:highlight w:val="none"/>
        </w:rPr>
        <w:t>过程指标二级指标得分情况表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资金管理</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8.73</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87.30%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组织实施</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4</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14</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12.73</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90.93%</w:t>
            </w:r>
          </w:p>
        </w:tc>
      </w:tr>
    </w:tbl>
    <w:p>
      <w:pPr>
        <w:pStyle w:val="2"/>
        <w:keepNext w:val="0"/>
        <w:keepLines w:val="0"/>
        <w:pageBreakBefore w:val="0"/>
        <w:widowControl w:val="0"/>
        <w:tabs>
          <w:tab w:val="left" w:pos="0"/>
        </w:tabs>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1.资金管理</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资金到位率指标分值3分，评价得分3分。全省“智慧法院”信息化项目资金年初随部门预算一同下达至省法院，年中省法院将专项资金及时、足额拨付至各项目实施</w:t>
      </w:r>
      <w:r>
        <w:rPr>
          <w:rFonts w:hint="eastAsia" w:ascii="仿宋_GB2312" w:hAnsi="仿宋_GB2312" w:eastAsia="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，资金到位及时，到位率达到100%。</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预算执行率指标分值4分，评价得分2.73分。全省“智慧法院”信息化项目全年预算数为11,004.96万元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w:t>
      </w:r>
      <w:r>
        <w:rPr>
          <w:rFonts w:hint="eastAsia" w:ascii="仿宋_GB2312" w:hAnsi="仿宋_GB2312" w:eastAsia="仿宋_GB2312" w:cs="仿宋_GB2312"/>
          <w:sz w:val="32"/>
          <w:szCs w:val="32"/>
          <w:highlight w:val="none"/>
        </w:rPr>
        <w:t>年初预算7,000.00万元，上年结转资金4,004.96万元，截止评价基准日，全年执行数7,5</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5.77万元，预算执行率68.29%。</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使用合规性指标分值3分，评价得分3分。评价认为资金的使用符合国家财经法规和财务管理制度要求，资金支出的审批程序完整，符合会计制度的规定，财务信息真实、完整，资金支出、会计核算方面基本规范，年度例行审计未发现违规支付及超标准开支的情况。符合项目预算批复或项目规定的用途，不存在虚列支出情况。</w:t>
      </w:r>
    </w:p>
    <w:p>
      <w:pPr>
        <w:pStyle w:val="2"/>
        <w:keepNext w:val="0"/>
        <w:keepLines w:val="0"/>
        <w:pageBreakBefore w:val="0"/>
        <w:widowControl w:val="0"/>
        <w:tabs>
          <w:tab w:val="left" w:pos="0"/>
        </w:tabs>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2.组织实施</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管理制度健全性指标分值2分，评价得分2分。为加强和规范省级预算项目经费管理，提高项目工作质量和资金效益，《甘肃法院信息化建设管理办法》从项目申报、审批、实施及验收等流程进行了制度性规范，对于各</w:t>
      </w:r>
      <w:r>
        <w:rPr>
          <w:rFonts w:hint="eastAsia" w:ascii="仿宋_GB2312" w:hAnsi="仿宋_GB2312" w:eastAsia="仿宋_GB2312" w:cs="仿宋_GB2312"/>
          <w:sz w:val="32"/>
          <w:szCs w:val="32"/>
          <w:highlight w:val="none"/>
          <w:lang w:val="en-US" w:eastAsia="zh-CN"/>
        </w:rPr>
        <w:t>项目实施</w:t>
      </w:r>
      <w:r>
        <w:rPr>
          <w:rFonts w:hint="eastAsia" w:ascii="仿宋_GB2312" w:hAnsi="仿宋_GB2312" w:eastAsia="仿宋_GB2312" w:cs="仿宋_GB2312"/>
          <w:sz w:val="32"/>
          <w:szCs w:val="32"/>
          <w:highlight w:val="none"/>
          <w:lang w:eastAsia="zh-CN"/>
        </w:rPr>
        <w:t>法院工作</w:t>
      </w:r>
      <w:r>
        <w:rPr>
          <w:rFonts w:hint="eastAsia" w:ascii="仿宋_GB2312" w:hAnsi="仿宋_GB2312" w:eastAsia="仿宋_GB2312" w:cs="仿宋_GB2312"/>
          <w:sz w:val="32"/>
          <w:szCs w:val="32"/>
          <w:highlight w:val="none"/>
        </w:rPr>
        <w:t>的实施提供了强有力的政策制度支撑。评价认为，省法院制定了适用于本项目的管理办法，且符合相关财务及业务制度的规定，制度健全。</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制度执行有效性指标分值2分，评价得分2分。项目实施过程中，能够严格按照制度管理进行资金申请和下达、使用、监督，评价认为，制度执行总体有效。</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仿宋_GB2312" w:hAnsi="仿宋_GB2312" w:cs="仿宋_GB2312"/>
          <w:b/>
          <w:bCs/>
          <w:highlight w:val="none"/>
        </w:rPr>
      </w:pPr>
      <w:bookmarkStart w:id="127" w:name="_Toc20113"/>
      <w:bookmarkStart w:id="128" w:name="_Toc135594830"/>
      <w:bookmarkStart w:id="129" w:name="_Toc3677"/>
      <w:r>
        <w:rPr>
          <w:rFonts w:hint="eastAsia" w:ascii="仿宋_GB2312" w:hAnsi="仿宋_GB2312" w:cs="仿宋_GB2312"/>
          <w:b/>
          <w:bCs/>
          <w:highlight w:val="none"/>
        </w:rPr>
        <w:t>（三）项目产出情况</w:t>
      </w:r>
      <w:bookmarkEnd w:id="127"/>
      <w:bookmarkEnd w:id="128"/>
      <w:bookmarkEnd w:id="129"/>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项目产出指标包括产出数量、产出质量、产出时效、产出成本四个二级指标，指标分值40分，评价得分3</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.5分，得分率8</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.75%。</w:t>
      </w:r>
    </w:p>
    <w:p>
      <w:pPr>
        <w:pStyle w:val="22"/>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产出指标二级指标得分情况表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数量指标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15</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质量指标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65%</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时效指标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9</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90%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成本指标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5</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40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3</w:t>
            </w:r>
            <w:r>
              <w:rPr>
                <w:rFonts w:hint="eastAsia" w:ascii="宋体" w:hAnsi="宋体" w:eastAsia="宋体" w:cs="宋体"/>
                <w:b/>
                <w:bCs/>
                <w:color w:val="000000"/>
                <w:kern w:val="0"/>
                <w:sz w:val="22"/>
                <w:highlight w:val="none"/>
                <w:lang w:val="en-US" w:eastAsia="zh-CN" w:bidi="ar"/>
              </w:rPr>
              <w:t>5</w:t>
            </w:r>
            <w:r>
              <w:rPr>
                <w:rFonts w:hint="eastAsia" w:ascii="宋体" w:hAnsi="宋体" w:eastAsia="宋体" w:cs="宋体"/>
                <w:b/>
                <w:bCs/>
                <w:color w:val="000000"/>
                <w:kern w:val="0"/>
                <w:sz w:val="22"/>
                <w:highlight w:val="none"/>
                <w:lang w:bidi="ar"/>
              </w:rPr>
              <w:t>.5</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8</w:t>
            </w:r>
            <w:r>
              <w:rPr>
                <w:rFonts w:hint="eastAsia" w:ascii="宋体" w:hAnsi="宋体" w:eastAsia="宋体" w:cs="宋体"/>
                <w:b/>
                <w:bCs/>
                <w:color w:val="000000"/>
                <w:kern w:val="0"/>
                <w:sz w:val="22"/>
                <w:highlight w:val="none"/>
                <w:lang w:val="en-US" w:eastAsia="zh-CN" w:bidi="ar"/>
              </w:rPr>
              <w:t>8</w:t>
            </w:r>
            <w:r>
              <w:rPr>
                <w:rFonts w:hint="eastAsia" w:ascii="宋体" w:hAnsi="宋体" w:eastAsia="宋体" w:cs="宋体"/>
                <w:b/>
                <w:bCs/>
                <w:color w:val="000000"/>
                <w:kern w:val="0"/>
                <w:sz w:val="22"/>
                <w:highlight w:val="none"/>
                <w:lang w:bidi="ar"/>
              </w:rPr>
              <w:t>.75%</w:t>
            </w:r>
          </w:p>
        </w:tc>
      </w:tr>
    </w:tbl>
    <w:p>
      <w:pPr>
        <w:pStyle w:val="22"/>
        <w:keepNext w:val="0"/>
        <w:keepLines w:val="0"/>
        <w:pageBreakBefore w:val="0"/>
        <w:widowControl w:val="0"/>
        <w:kinsoku/>
        <w:wordWrap/>
        <w:overflowPunct w:val="0"/>
        <w:topLinePunct w:val="0"/>
        <w:autoSpaceDE/>
        <w:autoSpaceDN/>
        <w:bidi w:val="0"/>
        <w:adjustRightInd/>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信息化平台完善数量指标分值5分，评价得分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分。该项资金支持了2021年及2022年先后批复的1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5个</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信息化建设项目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6个信息化软件设施项目。</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0"/>
          <w:szCs w:val="30"/>
          <w:highlight w:val="none"/>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信息化软硬件设施建设数量指标分值5分，评价得分5分。持续推进和完善信息化建设，建成覆盖省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法</w:t>
      </w:r>
      <w:r>
        <w:rPr>
          <w:rFonts w:hint="eastAsia" w:ascii="仿宋_GB2312" w:hAnsi="仿宋_GB2312" w:eastAsia="仿宋_GB2312" w:cs="仿宋_GB2312"/>
          <w:color w:val="000000" w:themeColor="text1"/>
          <w:sz w:val="32"/>
          <w:szCs w:val="32"/>
          <w:highlight w:val="none"/>
          <w14:textFill>
            <w14:solidFill>
              <w14:schemeClr w14:val="tx1"/>
            </w14:solidFill>
          </w14:textFill>
        </w:rPr>
        <w:t>院、17个中院、95个基层法院和338个派出法庭的网络和软硬件基础设施建设，本年度共支持2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项信息化建设项目。</w:t>
      </w:r>
    </w:p>
    <w:tbl>
      <w:tblPr>
        <w:tblStyle w:val="15"/>
        <w:tblW w:w="4998" w:type="pct"/>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810"/>
        <w:gridCol w:w="3618"/>
        <w:gridCol w:w="4091"/>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475"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2123"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实施单位</w:t>
            </w:r>
          </w:p>
        </w:tc>
        <w:tc>
          <w:tcPr>
            <w:tcW w:w="2400"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资金性质</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475" w:type="pct"/>
            <w:vMerge w:val="restar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2123" w:type="pct"/>
            <w:vMerge w:val="restar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甘肃省高级人民法院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智慧法院信息化项目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475" w:type="pct"/>
            <w:vMerge w:val="continue"/>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color w:val="000000"/>
                <w:kern w:val="0"/>
                <w:szCs w:val="21"/>
                <w:highlight w:val="none"/>
                <w:lang w:bidi="ar"/>
              </w:rPr>
            </w:pPr>
          </w:p>
        </w:tc>
        <w:tc>
          <w:tcPr>
            <w:tcW w:w="2123" w:type="pct"/>
            <w:vMerge w:val="continue"/>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省法院诉讼服务中心建设项目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2</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陇南市中级人民法院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3</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定西市中级人民法院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4</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白银市中级人民法院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肃北蒙古族自治县人民法院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东乡族自治县人民法院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临潭县人民法院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小陇山林区法院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子午岭林区法院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灵台县人民法院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11</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白龙江林区法院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崆峒区人民法院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13</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西固区人民法院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14</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甘肃矿区人民法院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白银市中级人民法院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16</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平凉市中级人民法院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17</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华亭市人民法院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18</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白银区人民法院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19</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岷县人民法院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7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20</w:t>
            </w:r>
          </w:p>
        </w:tc>
        <w:tc>
          <w:tcPr>
            <w:tcW w:w="2123"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玛曲县人民法院</w:t>
            </w:r>
          </w:p>
        </w:tc>
        <w:tc>
          <w:tcPr>
            <w:tcW w:w="2400"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w:t>
            </w:r>
          </w:p>
        </w:tc>
      </w:tr>
    </w:tbl>
    <w:p>
      <w:pPr>
        <w:pStyle w:val="22"/>
        <w:keepNext w:val="0"/>
        <w:keepLines w:val="0"/>
        <w:pageBreakBefore w:val="0"/>
        <w:widowControl w:val="0"/>
        <w:kinsoku/>
        <w:wordWrap/>
        <w:overflowPunct w:val="0"/>
        <w:topLinePunct w:val="0"/>
        <w:autoSpaceDE/>
        <w:autoSpaceDN/>
        <w:bidi w:val="0"/>
        <w:adjustRightInd/>
        <w:spacing w:line="560" w:lineRule="exact"/>
        <w:ind w:firstLine="600"/>
        <w:rPr>
          <w:rFonts w:ascii="仿宋_GB2312" w:hAnsi="仿宋_GB2312" w:eastAsia="仿宋_GB2312" w:cs="仿宋_GB2312"/>
          <w:sz w:val="30"/>
          <w:szCs w:val="30"/>
          <w:highlight w:val="none"/>
        </w:rPr>
      </w:pPr>
      <w:r>
        <w:rPr>
          <w:rFonts w:ascii="仿宋_GB2312" w:hAnsi="仿宋_GB2312" w:eastAsia="仿宋_GB2312" w:cs="仿宋_GB2312"/>
          <w:sz w:val="32"/>
          <w:szCs w:val="32"/>
          <w:highlight w:val="none"/>
        </w:rPr>
        <w:t>信息化系统运维数量</w:t>
      </w:r>
      <w:r>
        <w:rPr>
          <w:rFonts w:hint="eastAsia" w:ascii="仿宋_GB2312" w:hAnsi="仿宋_GB2312" w:eastAsia="仿宋_GB2312" w:cs="仿宋_GB2312"/>
          <w:sz w:val="32"/>
          <w:szCs w:val="32"/>
          <w:highlight w:val="none"/>
        </w:rPr>
        <w:t>指标分值5分，评价得分5分，省法院委托北京华宇信息技术有限公司对信息化系统运维，本年度共提供技术设施运维、应运系统运维及数字运维等74项信息化运维服务，完成年度目标。</w:t>
      </w:r>
    </w:p>
    <w:p>
      <w:pPr>
        <w:pStyle w:val="22"/>
        <w:keepNext w:val="0"/>
        <w:keepLines w:val="0"/>
        <w:pageBreakBefore w:val="0"/>
        <w:widowControl w:val="0"/>
        <w:kinsoku/>
        <w:wordWrap/>
        <w:overflowPunct w:val="0"/>
        <w:topLinePunct w:val="0"/>
        <w:autoSpaceDE/>
        <w:autoSpaceDN/>
        <w:bidi w:val="0"/>
        <w:adjustRightInd/>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bookmarkStart w:id="130" w:name="_Toc7509"/>
      <w:bookmarkStart w:id="131" w:name="_Toc27458"/>
      <w:r>
        <w:rPr>
          <w:rFonts w:hint="eastAsia" w:ascii="仿宋_GB2312" w:hAnsi="仿宋_GB2312" w:eastAsia="仿宋_GB2312" w:cs="仿宋_GB2312"/>
          <w:color w:val="000000" w:themeColor="text1"/>
          <w:sz w:val="32"/>
          <w:szCs w:val="32"/>
          <w:highlight w:val="none"/>
          <w14:textFill>
            <w14:solidFill>
              <w14:schemeClr w14:val="tx1"/>
            </w14:solidFill>
          </w14:textFill>
        </w:rPr>
        <w:t>信息化建设项目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完工验收</w:t>
      </w:r>
      <w:r>
        <w:rPr>
          <w:rFonts w:hint="eastAsia" w:ascii="仿宋_GB2312" w:hAnsi="仿宋_GB2312" w:eastAsia="仿宋_GB2312" w:cs="仿宋_GB2312"/>
          <w:color w:val="000000" w:themeColor="text1"/>
          <w:sz w:val="32"/>
          <w:szCs w:val="32"/>
          <w:highlight w:val="none"/>
          <w14:textFill>
            <w14:solidFill>
              <w14:schemeClr w14:val="tx1"/>
            </w14:solidFill>
          </w14:textFill>
        </w:rPr>
        <w:t>率指标分值5分，评价得分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14:textFill>
            <w14:solidFill>
              <w14:schemeClr w14:val="tx1"/>
            </w14:solidFill>
          </w14:textFill>
        </w:rPr>
        <w:t>分。截止评价基准日，共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个项目已完工并通过验收，1个项目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已完工</w:t>
      </w:r>
      <w:r>
        <w:rPr>
          <w:rFonts w:hint="eastAsia" w:ascii="仿宋_GB2312" w:hAnsi="仿宋_GB2312" w:eastAsia="仿宋_GB2312" w:cs="仿宋_GB2312"/>
          <w:color w:val="000000" w:themeColor="text1"/>
          <w:sz w:val="32"/>
          <w:szCs w:val="32"/>
          <w:highlight w:val="none"/>
          <w14:textFill>
            <w14:solidFill>
              <w14:schemeClr w14:val="tx1"/>
            </w14:solidFill>
          </w14:textFill>
        </w:rPr>
        <w:t>未验收，9个项目尚未完工，4个项目年底未开工，信息化建设项目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完工验收率</w:t>
      </w:r>
      <w:r>
        <w:rPr>
          <w:rFonts w:hint="eastAsia" w:ascii="仿宋_GB2312" w:hAnsi="仿宋_GB2312" w:eastAsia="仿宋_GB2312" w:cs="仿宋_GB2312"/>
          <w:color w:val="000000" w:themeColor="text1"/>
          <w:sz w:val="32"/>
          <w:szCs w:val="32"/>
          <w:highlight w:val="none"/>
          <w14:textFill>
            <w14:solidFill>
              <w14:schemeClr w14:val="tx1"/>
            </w14:solidFill>
          </w14:textFill>
        </w:rPr>
        <w:t>为3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3.33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tbl>
      <w:tblPr>
        <w:tblStyle w:val="15"/>
        <w:tblW w:w="4998" w:type="pct"/>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784"/>
        <w:gridCol w:w="2465"/>
        <w:gridCol w:w="3155"/>
        <w:gridCol w:w="2115"/>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460"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1446"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实施单位</w:t>
            </w:r>
          </w:p>
        </w:tc>
        <w:tc>
          <w:tcPr>
            <w:tcW w:w="1851"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资金性质</w:t>
            </w:r>
          </w:p>
        </w:tc>
        <w:tc>
          <w:tcPr>
            <w:tcW w:w="1241"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项目实施进度</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460" w:type="pct"/>
            <w:vMerge w:val="restar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p>
        </w:tc>
        <w:tc>
          <w:tcPr>
            <w:tcW w:w="1446" w:type="pct"/>
            <w:vMerge w:val="restar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甘肃省高级人民法院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智慧法院信息化项目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460" w:type="pct"/>
            <w:vMerge w:val="continue"/>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color w:val="000000"/>
                <w:kern w:val="0"/>
                <w:szCs w:val="21"/>
                <w:highlight w:val="none"/>
                <w:lang w:bidi="ar"/>
              </w:rPr>
            </w:pPr>
          </w:p>
        </w:tc>
        <w:tc>
          <w:tcPr>
            <w:tcW w:w="1446" w:type="pct"/>
            <w:vMerge w:val="continue"/>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省法院诉讼服务中心建设项目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2</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陇南市中级人民法院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3</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定西市中级人民法院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cs="宋体"/>
                <w:color w:val="000000"/>
                <w:kern w:val="0"/>
                <w:szCs w:val="21"/>
                <w:highlight w:val="none"/>
                <w:lang w:bidi="ar"/>
              </w:rPr>
              <w:t>4</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白银市中级人民法院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肃北蒙古族自治县人民法院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东乡族自治县人民法院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临潭县人民法院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未开工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小陇山林区法院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未开工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子午岭林区法院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灵台县人民法院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11</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白龙江林区法院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未开工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崆峒区人民法院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13</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西固区人民法院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14</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甘肃矿区人民法院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信息化建设新建项目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未开工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白银市中级人民法院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信息化建设项目补充资金缺口</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16</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平凉市中级人民法院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信息化建设项目债务清欠项目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17</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华亭市人民法院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信息化建设项目债务清欠项目</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18</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白银区人民法院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信息化建设项目补充资金缺口</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19</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岷县人民法院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信息化建设项目补充资金缺口</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60"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20</w:t>
            </w:r>
          </w:p>
        </w:tc>
        <w:tc>
          <w:tcPr>
            <w:tcW w:w="1446"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玛曲县人民法院</w:t>
            </w:r>
          </w:p>
        </w:tc>
        <w:tc>
          <w:tcPr>
            <w:tcW w:w="185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信息化建设项目补充资金缺口</w:t>
            </w:r>
          </w:p>
        </w:tc>
        <w:tc>
          <w:tcPr>
            <w:tcW w:w="1241"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未完工</w:t>
            </w:r>
          </w:p>
        </w:tc>
      </w:tr>
    </w:tbl>
    <w:p>
      <w:pPr>
        <w:pStyle w:val="10"/>
        <w:keepNext w:val="0"/>
        <w:keepLines w:val="0"/>
        <w:pageBreakBefore w:val="0"/>
        <w:widowControl w:val="0"/>
        <w:kinsoku/>
        <w:wordWrap/>
        <w:overflowPunct w:val="0"/>
        <w:topLinePunct w:val="0"/>
        <w:autoSpaceDE/>
        <w:autoSpaceDN/>
        <w:bidi w:val="0"/>
        <w:adjustRightInd/>
        <w:spacing w:after="0" w:line="560" w:lineRule="exact"/>
        <w:ind w:left="0" w:leftChars="0"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系统运维合格率指标分值5分，评价得分5分。2020年第一次院党组会研究通过了省法院大运维中心建设方案，要求省法院大运维中心引入运维监理，通过第三方监管，确保运维服务合同内容和各项运维工作要求得到有效履行。委托甘肃省通信产业工程有限公司承担全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法院</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信息化系统运维外包监理服务，对运维服务实施过程和质效进行全程监理评估，信息化系统运维合格率达到100%。</w:t>
      </w:r>
    </w:p>
    <w:bookmarkEnd w:id="130"/>
    <w:bookmarkEnd w:id="131"/>
    <w:p>
      <w:pPr>
        <w:pStyle w:val="22"/>
        <w:keepNext w:val="0"/>
        <w:keepLines w:val="0"/>
        <w:pageBreakBefore w:val="0"/>
        <w:widowControl w:val="0"/>
        <w:kinsoku/>
        <w:wordWrap/>
        <w:overflowPunct w:val="0"/>
        <w:topLinePunct w:val="0"/>
        <w:autoSpaceDE/>
        <w:autoSpaceDN/>
        <w:bidi w:val="0"/>
        <w:adjustRightInd/>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信息化建设及时性指标分值5分，评价得分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分。为建设现代化法院，实现案件审判工作</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及其他</w:t>
      </w:r>
      <w:r>
        <w:rPr>
          <w:rFonts w:hint="eastAsia" w:ascii="仿宋_GB2312" w:hAnsi="仿宋_GB2312" w:eastAsia="仿宋_GB2312" w:cs="仿宋_GB2312"/>
          <w:color w:val="000000" w:themeColor="text1"/>
          <w:sz w:val="32"/>
          <w:szCs w:val="32"/>
          <w:highlight w:val="none"/>
          <w14:textFill>
            <w14:solidFill>
              <w14:schemeClr w14:val="tx1"/>
            </w14:solidFill>
          </w14:textFill>
        </w:rPr>
        <w:t>各项管理全过程的科学化、规范化、协同化，项目批复后，各项目实施</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法院及时</w:t>
      </w:r>
      <w:r>
        <w:rPr>
          <w:rFonts w:hint="eastAsia" w:ascii="仿宋_GB2312" w:hAnsi="仿宋_GB2312" w:eastAsia="仿宋_GB2312" w:cs="仿宋_GB2312"/>
          <w:color w:val="000000" w:themeColor="text1"/>
          <w:sz w:val="32"/>
          <w:szCs w:val="32"/>
          <w:highlight w:val="none"/>
          <w14:textFill>
            <w14:solidFill>
              <w14:schemeClr w14:val="tx1"/>
            </w14:solidFill>
          </w14:textFill>
        </w:rPr>
        <w:t>开展了信息化建设，截止2022年底，临潭县人民法院、小陇山林区法院、白龙江林区法院、甘肃矿区人民法院信息化建设项目未开工，其他法院均按计划开工建设。</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信息化系统运维及时性指标分值5分，评价得分5分。及时对全省法院各类办公办案业务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应用</w:t>
      </w:r>
      <w:r>
        <w:rPr>
          <w:rFonts w:hint="eastAsia" w:ascii="仿宋_GB2312" w:hAnsi="仿宋_GB2312" w:eastAsia="仿宋_GB2312" w:cs="仿宋_GB2312"/>
          <w:color w:val="000000" w:themeColor="text1"/>
          <w:sz w:val="32"/>
          <w:szCs w:val="32"/>
          <w:highlight w:val="none"/>
          <w14:textFill>
            <w14:solidFill>
              <w14:schemeClr w14:val="tx1"/>
            </w14:solidFill>
          </w14:textFill>
        </w:rPr>
        <w:t>系统、远程提讯和远程接访等系统开展检查维护和技术</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支持</w:t>
      </w:r>
      <w:r>
        <w:rPr>
          <w:rFonts w:hint="eastAsia" w:ascii="仿宋_GB2312" w:hAnsi="仿宋_GB2312" w:eastAsia="仿宋_GB2312" w:cs="仿宋_GB2312"/>
          <w:color w:val="000000" w:themeColor="text1"/>
          <w:sz w:val="32"/>
          <w:szCs w:val="32"/>
          <w:highlight w:val="none"/>
          <w14:textFill>
            <w14:solidFill>
              <w14:schemeClr w14:val="tx1"/>
            </w14:solidFill>
          </w14:textFill>
        </w:rPr>
        <w:t>，积极调动技术人员力量，切实将故障隐患排查清零，保障法院各项工作正常进行。</w:t>
      </w:r>
    </w:p>
    <w:p>
      <w:pPr>
        <w:pStyle w:val="22"/>
        <w:keepNext w:val="0"/>
        <w:keepLines w:val="0"/>
        <w:pageBreakBefore w:val="0"/>
        <w:widowControl w:val="0"/>
        <w:kinsoku/>
        <w:wordWrap/>
        <w:overflowPunct w:val="0"/>
        <w:topLinePunct w:val="0"/>
        <w:autoSpaceDE/>
        <w:autoSpaceDN/>
        <w:bidi w:val="0"/>
        <w:adjustRightInd/>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4.成本指标</w:t>
      </w:r>
    </w:p>
    <w:p>
      <w:pPr>
        <w:pStyle w:val="22"/>
        <w:keepNext w:val="0"/>
        <w:keepLines w:val="0"/>
        <w:pageBreakBefore w:val="0"/>
        <w:widowControl w:val="0"/>
        <w:kinsoku/>
        <w:wordWrap/>
        <w:overflowPunct w:val="0"/>
        <w:topLinePunct w:val="0"/>
        <w:autoSpaceDE/>
        <w:autoSpaceDN/>
        <w:bidi w:val="0"/>
        <w:adjustRightInd/>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成本控制情况</w:t>
      </w:r>
      <w:r>
        <w:rPr>
          <w:rFonts w:hint="eastAsia" w:ascii="仿宋_GB2312" w:hAnsi="仿宋_GB2312" w:eastAsia="仿宋_GB2312" w:cs="仿宋_GB2312"/>
          <w:sz w:val="32"/>
          <w:szCs w:val="32"/>
          <w:highlight w:val="none"/>
          <w:lang w:val="en-US" w:eastAsia="zh-CN"/>
        </w:rPr>
        <w:t>指标</w:t>
      </w:r>
      <w:r>
        <w:rPr>
          <w:rFonts w:hint="eastAsia" w:ascii="仿宋_GB2312" w:hAnsi="仿宋_GB2312" w:eastAsia="仿宋_GB2312" w:cs="仿宋_GB2312"/>
          <w:sz w:val="32"/>
          <w:szCs w:val="32"/>
          <w:highlight w:val="none"/>
        </w:rPr>
        <w:t>分值5分，评价得分5分。省法院及各</w:t>
      </w:r>
      <w:r>
        <w:rPr>
          <w:rFonts w:hint="eastAsia" w:ascii="仿宋_GB2312" w:hAnsi="仿宋_GB2312" w:eastAsia="仿宋_GB2312" w:cs="仿宋_GB2312"/>
          <w:sz w:val="32"/>
          <w:szCs w:val="32"/>
          <w:highlight w:val="none"/>
          <w:lang w:val="en-US" w:eastAsia="zh-CN"/>
        </w:rPr>
        <w:t>项目实施法院</w:t>
      </w:r>
      <w:r>
        <w:rPr>
          <w:rFonts w:hint="eastAsia" w:ascii="仿宋_GB2312" w:hAnsi="仿宋_GB2312" w:eastAsia="仿宋_GB2312" w:cs="仿宋_GB2312"/>
          <w:sz w:val="32"/>
          <w:szCs w:val="32"/>
          <w:highlight w:val="none"/>
        </w:rPr>
        <w:t>积极响应国家相关政策，坚持节约资金的原则，严格控制项目预算金额，在提高服务质量水平的同时，降低成本开支，避免财政资金、国有资产浪费，确保把钱花在“刀刃上”，该项目开支均未超出预算。</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32" w:name="_Toc4582"/>
      <w:bookmarkStart w:id="133" w:name="_Toc19675"/>
      <w:bookmarkStart w:id="134" w:name="_Toc135594831"/>
      <w:r>
        <w:rPr>
          <w:rFonts w:hint="eastAsia" w:ascii="楷体" w:hAnsi="楷体" w:eastAsia="楷体" w:cs="楷体"/>
          <w:b/>
          <w:bCs/>
          <w:highlight w:val="none"/>
        </w:rPr>
        <w:t>（四）项目效益情况</w:t>
      </w:r>
      <w:bookmarkEnd w:id="132"/>
      <w:bookmarkEnd w:id="133"/>
      <w:bookmarkEnd w:id="134"/>
    </w:p>
    <w:p>
      <w:pPr>
        <w:pStyle w:val="2"/>
        <w:keepNext w:val="0"/>
        <w:keepLines w:val="0"/>
        <w:pageBreakBefore w:val="0"/>
        <w:widowControl w:val="0"/>
        <w:tabs>
          <w:tab w:val="left" w:pos="0"/>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项目效益指标包括社会效益指标、可持续影响指标两个二级指标，下设</w:t>
      </w:r>
      <w:r>
        <w:rPr>
          <w:rFonts w:hint="eastAsia" w:ascii="仿宋_GB2312" w:hAnsi="仿宋_GB2312" w:cs="仿宋_GB2312"/>
          <w:highlight w:val="none"/>
          <w:lang w:val="en-US" w:eastAsia="zh-CN"/>
        </w:rPr>
        <w:t>三</w:t>
      </w:r>
      <w:r>
        <w:rPr>
          <w:rFonts w:hint="eastAsia" w:ascii="仿宋_GB2312" w:hAnsi="仿宋_GB2312" w:cs="仿宋_GB2312"/>
          <w:highlight w:val="none"/>
        </w:rPr>
        <w:t>个三级指标，指标分值20分，评价得分20分，得分率100%。</w:t>
      </w:r>
    </w:p>
    <w:p>
      <w:pPr>
        <w:pStyle w:val="22"/>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效益指标二级指标得分情况表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社会效益指标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7</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可持续影响指标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13</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13</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100%</w:t>
            </w:r>
          </w:p>
        </w:tc>
      </w:tr>
    </w:tbl>
    <w:p>
      <w:pPr>
        <w:pStyle w:val="2"/>
        <w:keepNext w:val="0"/>
        <w:keepLines w:val="0"/>
        <w:pageBreakBefore w:val="0"/>
        <w:widowControl w:val="0"/>
        <w:tabs>
          <w:tab w:val="left" w:pos="0"/>
        </w:tabs>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1.社会效益指标</w:t>
      </w:r>
    </w:p>
    <w:p>
      <w:pPr>
        <w:pStyle w:val="2"/>
        <w:keepNext w:val="0"/>
        <w:keepLines w:val="0"/>
        <w:pageBreakBefore w:val="0"/>
        <w:widowControl w:val="0"/>
        <w:tabs>
          <w:tab w:val="left" w:pos="0"/>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有效保障审判服务指标分值</w:t>
      </w:r>
      <w:r>
        <w:rPr>
          <w:rFonts w:hint="eastAsia" w:ascii="仿宋_GB2312" w:hAnsi="仿宋_GB2312" w:cs="仿宋_GB2312"/>
          <w:highlight w:val="none"/>
          <w:lang w:val="en-US" w:eastAsia="zh-CN"/>
        </w:rPr>
        <w:t>7</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7</w:t>
      </w:r>
      <w:r>
        <w:rPr>
          <w:rFonts w:hint="eastAsia" w:ascii="仿宋_GB2312" w:hAnsi="仿宋_GB2312" w:cs="仿宋_GB2312"/>
          <w:highlight w:val="none"/>
        </w:rPr>
        <w:t>分。加强人民法院信息化建设科学发展是建设现代化法院的重要内容，作为审判工作的重要组成部分不断开拓进取，为审判工作和人民法院各项建设提供有力的技术支持和保证；加强信息化建设科学发展是人民法院增强司法能力，提高司法水平，促进审判工作的重要途径，是践行司法为民的重要措施；加强人民法院信息化建设的科学发展有利于人民法院广泛接受社会监督、提高司法透明度，同时个案在信息化系统内的公开，也有利于办案人员规范司法行为，接受审判监督。当前我省法院信息化建设虽然取得了一定的成效，但还需要进一步维护和建设，提升审判体系和审判能力现代化水平。本年度持续推进“四大平台”项目、“云平台”项目、智慧法院4.0版项目，提升了审判能力现代化水平，有利于全省法院“四大职能”的履行，进一步维护司法公正，产生了良好的社会效益。</w:t>
      </w:r>
    </w:p>
    <w:p>
      <w:pPr>
        <w:pStyle w:val="2"/>
        <w:keepNext w:val="0"/>
        <w:keepLines w:val="0"/>
        <w:pageBreakBefore w:val="0"/>
        <w:widowControl w:val="0"/>
        <w:tabs>
          <w:tab w:val="left" w:pos="0"/>
        </w:tabs>
        <w:kinsoku/>
        <w:wordWrap/>
        <w:overflowPunct w:val="0"/>
        <w:topLinePunct w:val="0"/>
        <w:autoSpaceDE/>
        <w:autoSpaceDN/>
        <w:bidi w:val="0"/>
        <w:adjustRightInd/>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2.可持续影响指标</w:t>
      </w:r>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eastAsia="仿宋_GB2312" w:cs="仿宋_GB2312"/>
          <w:sz w:val="32"/>
          <w:szCs w:val="32"/>
          <w:highlight w:val="none"/>
        </w:rPr>
      </w:pPr>
      <w:bookmarkStart w:id="135" w:name="_Toc7892"/>
      <w:bookmarkStart w:id="136" w:name="_Toc31732"/>
      <w:r>
        <w:rPr>
          <w:rFonts w:hint="eastAsia" w:ascii="仿宋_GB2312" w:hAnsi="仿宋_GB2312" w:eastAsia="仿宋_GB2312" w:cs="仿宋_GB2312"/>
          <w:sz w:val="32"/>
          <w:szCs w:val="32"/>
          <w:highlight w:val="none"/>
        </w:rPr>
        <w:t>设备管护机制健全性指标分值</w:t>
      </w:r>
      <w:r>
        <w:rPr>
          <w:rFonts w:hint="eastAsia" w:ascii="仿宋_GB2312" w:hAnsi="仿宋_GB2312" w:cs="仿宋_GB2312"/>
          <w:sz w:val="32"/>
          <w:szCs w:val="32"/>
          <w:highlight w:val="none"/>
        </w:rPr>
        <w:t>6.</w:t>
      </w:r>
      <w:r>
        <w:rPr>
          <w:rFonts w:hint="eastAsia" w:ascii="仿宋_GB2312" w:hAnsi="仿宋_GB2312" w:eastAsia="仿宋_GB2312" w:cs="仿宋_GB2312"/>
          <w:sz w:val="32"/>
          <w:szCs w:val="32"/>
          <w:highlight w:val="none"/>
        </w:rPr>
        <w:t>5分，评价得分</w:t>
      </w:r>
      <w:r>
        <w:rPr>
          <w:rFonts w:hint="eastAsia" w:ascii="仿宋_GB2312" w:hAnsi="仿宋_GB2312" w:cs="仿宋_GB2312"/>
          <w:sz w:val="32"/>
          <w:szCs w:val="32"/>
          <w:highlight w:val="none"/>
        </w:rPr>
        <w:t>6.</w:t>
      </w:r>
      <w:r>
        <w:rPr>
          <w:rFonts w:hint="eastAsia" w:ascii="仿宋_GB2312" w:hAnsi="仿宋_GB2312" w:eastAsia="仿宋_GB2312" w:cs="仿宋_GB2312"/>
          <w:sz w:val="32"/>
          <w:szCs w:val="32"/>
          <w:highlight w:val="none"/>
        </w:rPr>
        <w:t>5分。省法院《关于印发&lt;省法院装备资产配备管理规程&gt;的通知》（甘高法〔2017〕353号）对于设备资产的配备、管理维修维护等工作有了制度支撑，各中、基层法院在本项目中购置设备和维修项目后期的管养维护严格按照制度汇编中有关固定资产的管理规定执行，且在购置合同中约定了相关的售后服务，以此保障装备的正常使用。</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信息化运维机制健全性指标分值6.5分，评价得分6.5分。全省法院信息化系统运维引入了运维监理，通过第三方监管，确保运维服务合同内容和各项运维工作要求得到有效履行，并建立了详细的考核细则管理办法，网络信息处及监理方严格对信息化系统运维服务进行考核，加强信息系统的日常运维管理，通过定期巡检和健康检查，提前发现故障隐患，提升信息系统的正常运行率。规范信息化运维活动的流程，保障信息化运维活动的正常开展，相应信息如实记录。评审故障问题的运维解决方案，保障运维处置方式的合理性，规避运维处置过程中的风险。</w:t>
      </w:r>
    </w:p>
    <w:bookmarkEnd w:id="135"/>
    <w:bookmarkEnd w:id="136"/>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Fonts w:ascii="楷体" w:hAnsi="楷体" w:eastAsia="楷体" w:cs="楷体"/>
          <w:b/>
          <w:bCs/>
          <w:highlight w:val="none"/>
        </w:rPr>
      </w:pPr>
      <w:bookmarkStart w:id="137" w:name="_Toc135594832"/>
      <w:r>
        <w:rPr>
          <w:rFonts w:hint="eastAsia" w:ascii="楷体" w:hAnsi="楷体" w:eastAsia="楷体" w:cs="楷体"/>
          <w:b/>
          <w:bCs/>
          <w:highlight w:val="none"/>
        </w:rPr>
        <w:t>（五）满意度情况</w:t>
      </w:r>
      <w:bookmarkEnd w:id="137"/>
    </w:p>
    <w:p>
      <w:pPr>
        <w:keepNext w:val="0"/>
        <w:keepLines w:val="0"/>
        <w:pageBreakBefore w:val="0"/>
        <w:widowControl w:val="0"/>
        <w:kinsoku/>
        <w:wordWrap/>
        <w:overflowPunct w:val="0"/>
        <w:topLinePunct w:val="0"/>
        <w:autoSpaceDE/>
        <w:autoSpaceDN/>
        <w:bidi w:val="0"/>
        <w:adjustRightInd/>
        <w:spacing w:line="560" w:lineRule="exact"/>
        <w:ind w:firstLine="640" w:firstLineChars="200"/>
        <w:rPr>
          <w:rFonts w:hint="eastAsia" w:cs="黑体" w:asciiTheme="minorEastAsia" w:hAnsiTheme="minorEastAsia"/>
          <w:bCs/>
          <w:sz w:val="28"/>
          <w:szCs w:val="24"/>
          <w:highlight w:val="none"/>
        </w:rPr>
      </w:pPr>
      <w:bookmarkStart w:id="138" w:name="_Toc4285"/>
      <w:bookmarkStart w:id="139" w:name="_Toc63435075"/>
      <w:bookmarkStart w:id="140" w:name="_Toc2918"/>
      <w:bookmarkStart w:id="141" w:name="_Toc64731198"/>
      <w:bookmarkStart w:id="142" w:name="_Toc65235686"/>
      <w:bookmarkStart w:id="143" w:name="_Toc5674"/>
      <w:bookmarkStart w:id="144" w:name="_Toc23326"/>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项目服务对象满意度指标主要为法院工作人员满意度，指标分值10分，评价得分10分，得分率100%。</w:t>
      </w:r>
      <w:bookmarkEnd w:id="138"/>
      <w:bookmarkEnd w:id="139"/>
      <w:bookmarkEnd w:id="140"/>
      <w:bookmarkEnd w:id="141"/>
      <w:bookmarkEnd w:id="142"/>
      <w:bookmarkEnd w:id="143"/>
      <w:bookmarkEnd w:id="144"/>
    </w:p>
    <w:p>
      <w:pPr>
        <w:pStyle w:val="22"/>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满意度指标二级指标得分情况表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服务对象满意度指标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100%</w:t>
            </w:r>
          </w:p>
        </w:tc>
      </w:tr>
    </w:tbl>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bookmarkStart w:id="145" w:name="_Toc27911"/>
      <w:bookmarkStart w:id="146" w:name="_Toc14909"/>
      <w:r>
        <w:rPr>
          <w:rFonts w:hint="eastAsia" w:ascii="仿宋_GB2312" w:hAnsi="仿宋_GB2312" w:cs="仿宋_GB2312"/>
          <w:highlight w:val="none"/>
        </w:rPr>
        <w:t>评价组针对</w:t>
      </w:r>
      <w:r>
        <w:rPr>
          <w:rFonts w:hint="eastAsia" w:ascii="仿宋_GB2312" w:hAnsi="仿宋_GB2312" w:cs="仿宋_GB2312"/>
          <w:highlight w:val="none"/>
          <w:lang w:val="en-US" w:eastAsia="zh-CN"/>
        </w:rPr>
        <w:t>全省</w:t>
      </w:r>
      <w:r>
        <w:rPr>
          <w:rFonts w:hint="eastAsia" w:ascii="仿宋_GB2312" w:hAnsi="仿宋_GB2312" w:cs="仿宋_GB2312"/>
          <w:highlight w:val="none"/>
        </w:rPr>
        <w:t>“智慧法院”项目服务对象“</w:t>
      </w:r>
      <w:r>
        <w:rPr>
          <w:rFonts w:hint="eastAsia" w:ascii="仿宋_GB2312" w:hAnsi="仿宋_GB2312" w:cs="仿宋_GB2312"/>
          <w:highlight w:val="none"/>
          <w:lang w:val="en-US" w:eastAsia="zh-CN"/>
        </w:rPr>
        <w:t>法院</w:t>
      </w:r>
      <w:r>
        <w:rPr>
          <w:rFonts w:hint="eastAsia" w:ascii="仿宋_GB2312" w:hAnsi="仿宋_GB2312" w:cs="仿宋_GB2312"/>
          <w:highlight w:val="none"/>
        </w:rPr>
        <w:t>工作人员满意度”制作调查问卷，共发放调查问卷样本157份，回收调查问卷157份。此调查问卷共设置了5个满意度问题，主要了解法院工作人员对“智慧法院”信息化建设整体工作的满意度。满意度调查结果如下：</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问题1：您</w:t>
      </w:r>
      <w:r>
        <w:rPr>
          <w:rFonts w:hint="eastAsia" w:ascii="仿宋_GB2312" w:hAnsi="仿宋_GB2312" w:cs="仿宋_GB2312"/>
          <w:highlight w:val="none"/>
          <w:lang w:val="en-US" w:eastAsia="zh-CN"/>
        </w:rPr>
        <w:t>对</w:t>
      </w:r>
      <w:r>
        <w:rPr>
          <w:rFonts w:hint="eastAsia" w:ascii="仿宋_GB2312" w:hAnsi="仿宋_GB2312" w:cs="仿宋_GB2312"/>
          <w:highlight w:val="none"/>
        </w:rPr>
        <w:t>本院“智慧法院”信息化平台操作过程是否满意？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b/>
          <w:bCs/>
          <w:highlight w:val="none"/>
        </w:rPr>
      </w:pPr>
      <w:r>
        <w:rPr>
          <w:rFonts w:hint="eastAsia" w:ascii="仿宋_GB2312" w:hAnsi="仿宋_GB2312" w:cs="仿宋_GB2312"/>
          <w:highlight w:val="none"/>
        </w:rPr>
        <w:t>此问题没有无效问卷，非常满意的76人，比较满意的54人，基本满意的25人，不太满意的2人。通过数据处理分析，工作人员对“智慧法院”信息化平台操作过程比较满意，为91.72%。问题1满意度具体数据如图所示：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ascii="仿宋" w:hAnsi="仿宋" w:eastAsia="仿宋" w:cs="仿宋"/>
          <w:highlight w:val="none"/>
        </w:rPr>
        <w:drawing>
          <wp:anchor distT="0" distB="0" distL="114300" distR="114300" simplePos="0" relativeHeight="251660288" behindDoc="0" locked="0" layoutInCell="1" allowOverlap="1">
            <wp:simplePos x="0" y="0"/>
            <wp:positionH relativeFrom="column">
              <wp:posOffset>564515</wp:posOffset>
            </wp:positionH>
            <wp:positionV relativeFrom="page">
              <wp:posOffset>4020185</wp:posOffset>
            </wp:positionV>
            <wp:extent cx="4352290" cy="2463800"/>
            <wp:effectExtent l="4445" t="4445" r="17145" b="15875"/>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_GB2312" w:hAnsi="仿宋_GB2312" w:cs="仿宋_GB2312"/>
          <w:highlight w:val="none"/>
        </w:rPr>
        <w:t>问题2：您认为本院“智慧法院”信息化平台建设能否帮助您提高工作效率？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此问题没有无效问卷，认为可以提高的103人，认为基本能够的40人，认为一般的14人，认为不能提高的0人。通过数据处理分析，工作人员认为本院“智慧法院”信息化平台建设基本能够提高工作效率，为89.17%。问题2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default" w:ascii="仿宋" w:hAnsi="仿宋" w:eastAsia="仿宋" w:cs="仿宋"/>
          <w:sz w:val="32"/>
          <w:szCs w:val="32"/>
          <w:highlight w:val="none"/>
          <w:lang w:val="en-US" w:eastAsia="zh-CN"/>
        </w:rPr>
        <w:drawing>
          <wp:anchor distT="0" distB="0" distL="114300" distR="114300" simplePos="0" relativeHeight="251664384" behindDoc="0" locked="0" layoutInCell="1" allowOverlap="1">
            <wp:simplePos x="0" y="0"/>
            <wp:positionH relativeFrom="column">
              <wp:posOffset>496570</wp:posOffset>
            </wp:positionH>
            <wp:positionV relativeFrom="paragraph">
              <wp:posOffset>154305</wp:posOffset>
            </wp:positionV>
            <wp:extent cx="4495800" cy="2483485"/>
            <wp:effectExtent l="4445" t="4445" r="8255" b="1397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_GB2312" w:hAnsi="仿宋_GB2312" w:cs="仿宋_GB2312"/>
          <w:highlight w:val="none"/>
        </w:rPr>
        <w:t>问题3：您认为本院“智慧法院”信息化建设是否实现案件审判工作</w:t>
      </w:r>
      <w:r>
        <w:rPr>
          <w:rFonts w:hint="eastAsia" w:ascii="仿宋_GB2312" w:hAnsi="仿宋_GB2312" w:cs="仿宋_GB2312"/>
          <w:highlight w:val="none"/>
          <w:lang w:eastAsia="zh-CN"/>
        </w:rPr>
        <w:t>及其他</w:t>
      </w:r>
      <w:r>
        <w:rPr>
          <w:rFonts w:hint="eastAsia" w:ascii="仿宋_GB2312" w:hAnsi="仿宋_GB2312" w:cs="仿宋_GB2312"/>
          <w:highlight w:val="none"/>
        </w:rPr>
        <w:t>各项管理全过程的科学化、规范化、协同化？</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b/>
          <w:bCs/>
          <w:highlight w:val="none"/>
        </w:rPr>
      </w:pPr>
      <w:r>
        <w:rPr>
          <w:rFonts w:ascii="仿宋" w:hAnsi="仿宋" w:eastAsia="仿宋" w:cs="仿宋"/>
          <w:highlight w:val="none"/>
        </w:rPr>
        <w:drawing>
          <wp:anchor distT="0" distB="0" distL="114300" distR="114300" simplePos="0" relativeHeight="251661312" behindDoc="0" locked="0" layoutInCell="1" allowOverlap="1">
            <wp:simplePos x="0" y="0"/>
            <wp:positionH relativeFrom="column">
              <wp:posOffset>579755</wp:posOffset>
            </wp:positionH>
            <wp:positionV relativeFrom="paragraph">
              <wp:posOffset>2165350</wp:posOffset>
            </wp:positionV>
            <wp:extent cx="4479290" cy="2451735"/>
            <wp:effectExtent l="4445" t="4445" r="12065" b="7620"/>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仿宋_GB2312" w:hAnsi="仿宋_GB2312" w:cs="仿宋_GB2312"/>
          <w:highlight w:val="none"/>
        </w:rPr>
        <w:t>此问题没有无效问卷，认为能够实现的84人，认为基本实现的58人，认为一般的15人，认为不能实现的0人。通过数据处理分析，工作人员</w:t>
      </w:r>
      <w:r>
        <w:rPr>
          <w:rFonts w:hint="eastAsia" w:ascii="仿宋_GB2312" w:hAnsi="仿宋_GB2312" w:cs="仿宋_GB2312"/>
          <w:highlight w:val="none"/>
          <w:lang w:val="en-US" w:eastAsia="zh-CN"/>
        </w:rPr>
        <w:t>认为</w:t>
      </w:r>
      <w:r>
        <w:rPr>
          <w:rFonts w:hint="eastAsia" w:ascii="仿宋_GB2312" w:hAnsi="仿宋_GB2312" w:cs="仿宋_GB2312"/>
          <w:highlight w:val="none"/>
        </w:rPr>
        <w:t>本院“智慧法院”信息化建设</w:t>
      </w:r>
      <w:r>
        <w:rPr>
          <w:rFonts w:hint="eastAsia" w:ascii="仿宋_GB2312" w:hAnsi="仿宋_GB2312" w:cs="仿宋_GB2312"/>
          <w:highlight w:val="none"/>
          <w:lang w:val="en-US" w:eastAsia="zh-CN"/>
        </w:rPr>
        <w:t>基本能够</w:t>
      </w:r>
      <w:r>
        <w:rPr>
          <w:rFonts w:hint="eastAsia" w:ascii="仿宋_GB2312" w:hAnsi="仿宋_GB2312" w:cs="仿宋_GB2312"/>
          <w:highlight w:val="none"/>
        </w:rPr>
        <w:t>案件审判工作</w:t>
      </w:r>
      <w:r>
        <w:rPr>
          <w:rFonts w:hint="eastAsia" w:ascii="仿宋_GB2312" w:hAnsi="仿宋_GB2312" w:cs="仿宋_GB2312"/>
          <w:highlight w:val="none"/>
          <w:lang w:eastAsia="zh-CN"/>
        </w:rPr>
        <w:t>及其他</w:t>
      </w:r>
      <w:r>
        <w:rPr>
          <w:rFonts w:hint="eastAsia" w:ascii="仿宋_GB2312" w:hAnsi="仿宋_GB2312" w:cs="仿宋_GB2312"/>
          <w:highlight w:val="none"/>
        </w:rPr>
        <w:t>各项管理全过程的科学化、规范化、协同化，为85.98%。问题3满意度具体数据如图所示：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问题4：您认为本院“智慧法院”信息化项目有继续实施的必要吗？</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b/>
          <w:bCs/>
          <w:highlight w:val="none"/>
        </w:rPr>
      </w:pPr>
      <w:r>
        <w:rPr>
          <w:rFonts w:hint="eastAsia" w:ascii="仿宋_GB2312" w:hAnsi="仿宋_GB2312" w:cs="仿宋_GB2312"/>
          <w:highlight w:val="none"/>
        </w:rPr>
        <w:t>此问题没有无效问卷，认为可以改善的100人，认为基本改善的19人，认为一般的2人，认为不能改善的0人。通过数据处理分析，工作人员认为本院“智慧法院”信息化项目有继续实施的必要，为89.33%。问题4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drawing>
          <wp:anchor distT="0" distB="0" distL="114300" distR="114300" simplePos="0" relativeHeight="251662336" behindDoc="0" locked="0" layoutInCell="1" allowOverlap="1">
            <wp:simplePos x="0" y="0"/>
            <wp:positionH relativeFrom="column">
              <wp:posOffset>465455</wp:posOffset>
            </wp:positionH>
            <wp:positionV relativeFrom="paragraph">
              <wp:posOffset>72390</wp:posOffset>
            </wp:positionV>
            <wp:extent cx="4368165" cy="2468245"/>
            <wp:effectExtent l="4445" t="4445" r="8890" b="1651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hint="eastAsia" w:ascii="仿宋_GB2312" w:hAnsi="仿宋_GB2312" w:cs="仿宋_GB2312"/>
          <w:highlight w:val="none"/>
        </w:rPr>
        <w:t>问题5：您认为本年度单位“智慧法院”信息化建设工作是否满意？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b/>
          <w:bCs/>
          <w:highlight w:val="none"/>
        </w:rPr>
      </w:pPr>
      <w:r>
        <w:rPr>
          <w:rFonts w:hint="eastAsia" w:ascii="仿宋_GB2312" w:hAnsi="仿宋_GB2312" w:cs="仿宋_GB2312"/>
          <w:highlight w:val="none"/>
        </w:rPr>
        <w:t>此问题没有无效问卷，认为非常满意的89人，认为比较满意的52人，认为基本满意的15人，认为不太满意的1人。通过数据处理分析，工作人员对本年度单位“智慧法院”信息化建设工作比较满意，为94.29%。问题5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cs="仿宋_GB2312"/>
          <w:highlight w:val="none"/>
        </w:rPr>
        <w:drawing>
          <wp:anchor distT="0" distB="0" distL="114300" distR="114300" simplePos="0" relativeHeight="251663360" behindDoc="0" locked="0" layoutInCell="1" allowOverlap="1">
            <wp:simplePos x="0" y="0"/>
            <wp:positionH relativeFrom="column">
              <wp:posOffset>428625</wp:posOffset>
            </wp:positionH>
            <wp:positionV relativeFrom="paragraph">
              <wp:posOffset>169545</wp:posOffset>
            </wp:positionV>
            <wp:extent cx="4328160" cy="2514600"/>
            <wp:effectExtent l="4445" t="4445" r="10795" b="8255"/>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hint="eastAsia" w:ascii="仿宋_GB2312" w:hAnsi="仿宋_GB2312" w:eastAsia="仿宋_GB2312" w:cs="仿宋_GB2312"/>
          <w:kern w:val="2"/>
          <w:sz w:val="32"/>
          <w:szCs w:val="32"/>
          <w:highlight w:val="none"/>
          <w:lang w:val="en-US" w:eastAsia="zh-CN" w:bidi="ar-SA"/>
        </w:rPr>
        <w:t>经过数据汇总处理，法院工作人员对全省“智慧法院”信息化项目2022年度工作总体的满意度为90.10%，总体来说满意度较好。据评分标准，本指标分值10分，评价得分10分。</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黑体" w:hAnsi="黑体" w:eastAsia="黑体" w:cs="仿宋"/>
          <w:b w:val="0"/>
          <w:bCs w:val="0"/>
          <w:highlight w:val="none"/>
        </w:rPr>
      </w:pPr>
      <w:bookmarkStart w:id="147" w:name="_Toc135594833"/>
      <w:r>
        <w:rPr>
          <w:rFonts w:hint="eastAsia" w:ascii="黑体" w:hAnsi="黑体" w:eastAsia="黑体" w:cs="仿宋"/>
          <w:b w:val="0"/>
          <w:bCs w:val="0"/>
          <w:highlight w:val="none"/>
        </w:rPr>
        <w:t>六、项目主要经验及做法</w:t>
      </w:r>
      <w:bookmarkEnd w:id="145"/>
      <w:bookmarkEnd w:id="146"/>
      <w:bookmarkEnd w:id="147"/>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3" w:firstLineChars="200"/>
        <w:outlineLvl w:val="1"/>
        <w:rPr>
          <w:rFonts w:hint="default" w:ascii="楷体" w:hAnsi="楷体" w:eastAsia="楷体" w:cs="楷体"/>
          <w:b/>
          <w:bCs/>
          <w:highlight w:val="none"/>
          <w:lang w:val="en-US"/>
        </w:rPr>
      </w:pPr>
      <w:bookmarkStart w:id="148" w:name="_Toc31693"/>
      <w:bookmarkStart w:id="149" w:name="_Toc135594834"/>
      <w:r>
        <w:rPr>
          <w:rFonts w:hint="eastAsia" w:ascii="楷体" w:hAnsi="楷体" w:eastAsia="楷体" w:cs="楷体"/>
          <w:b/>
          <w:bCs/>
          <w:highlight w:val="none"/>
        </w:rPr>
        <w:t>（一）</w:t>
      </w:r>
      <w:bookmarkEnd w:id="148"/>
      <w:bookmarkEnd w:id="149"/>
      <w:r>
        <w:rPr>
          <w:rFonts w:hint="eastAsia" w:ascii="楷体" w:hAnsi="楷体" w:eastAsia="楷体" w:cs="楷体"/>
          <w:b/>
          <w:bCs/>
          <w:highlight w:val="none"/>
          <w:lang w:val="en-US" w:eastAsia="zh-CN"/>
        </w:rPr>
        <w:t>智慧法院建设及应用跃升至全国前五位</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outlineLvl w:val="1"/>
        <w:rPr>
          <w:rFonts w:hint="eastAsia" w:ascii="仿宋_GB2312" w:hAnsi="仿宋_GB2312" w:eastAsia="仿宋_GB2312" w:cs="仿宋_GB2312"/>
          <w:highlight w:val="none"/>
          <w:lang w:eastAsia="zh-CN"/>
        </w:rPr>
      </w:pPr>
      <w:bookmarkStart w:id="150" w:name="_Toc16172"/>
      <w:bookmarkStart w:id="151" w:name="_Toc135594835"/>
      <w:r>
        <w:rPr>
          <w:rFonts w:hint="eastAsia" w:ascii="仿宋_GB2312" w:hAnsi="仿宋_GB2312" w:cs="仿宋_GB2312"/>
          <w:highlight w:val="none"/>
          <w:lang w:val="en-US" w:eastAsia="zh-CN"/>
        </w:rPr>
        <w:t>省法院</w:t>
      </w:r>
      <w:r>
        <w:rPr>
          <w:rFonts w:hint="eastAsia" w:ascii="仿宋_GB2312" w:hAnsi="仿宋_GB2312" w:cs="仿宋_GB2312"/>
          <w:highlight w:val="none"/>
        </w:rPr>
        <w:t>坚持“双轮”驱动</w:t>
      </w:r>
      <w:r>
        <w:rPr>
          <w:rFonts w:hint="eastAsia" w:ascii="仿宋_GB2312" w:hAnsi="仿宋_GB2312" w:cs="仿宋_GB2312"/>
          <w:highlight w:val="none"/>
          <w:lang w:eastAsia="zh-CN"/>
        </w:rPr>
        <w:t>，</w:t>
      </w:r>
      <w:r>
        <w:rPr>
          <w:rFonts w:hint="eastAsia" w:ascii="仿宋_GB2312" w:hAnsi="仿宋_GB2312" w:cs="仿宋_GB2312"/>
          <w:highlight w:val="none"/>
        </w:rPr>
        <w:t>司法责任制全面落实</w:t>
      </w:r>
      <w:r>
        <w:rPr>
          <w:rFonts w:hint="eastAsia" w:ascii="仿宋_GB2312" w:hAnsi="仿宋_GB2312" w:cs="仿宋_GB2312"/>
          <w:highlight w:val="none"/>
          <w:lang w:eastAsia="zh-CN"/>
        </w:rPr>
        <w:t>，</w:t>
      </w:r>
      <w:r>
        <w:rPr>
          <w:rFonts w:hint="eastAsia" w:ascii="仿宋_GB2312" w:hAnsi="仿宋_GB2312" w:cs="仿宋_GB2312"/>
          <w:highlight w:val="none"/>
        </w:rPr>
        <w:t>诉讼制度改革有序推进</w:t>
      </w:r>
      <w:r>
        <w:rPr>
          <w:rFonts w:hint="eastAsia" w:ascii="仿宋_GB2312" w:hAnsi="仿宋_GB2312" w:cs="仿宋_GB2312"/>
          <w:highlight w:val="none"/>
          <w:lang w:eastAsia="zh-CN"/>
        </w:rPr>
        <w:t>，</w:t>
      </w:r>
      <w:r>
        <w:rPr>
          <w:rFonts w:hint="eastAsia" w:ascii="仿宋_GB2312" w:hAnsi="仿宋_GB2312" w:cs="仿宋_GB2312"/>
          <w:highlight w:val="none"/>
        </w:rPr>
        <w:t>基层法院内设机构改革如期完成</w:t>
      </w:r>
      <w:r>
        <w:rPr>
          <w:rFonts w:hint="eastAsia" w:ascii="仿宋_GB2312" w:hAnsi="仿宋_GB2312" w:cs="仿宋_GB2312"/>
          <w:highlight w:val="none"/>
          <w:lang w:eastAsia="zh-CN"/>
        </w:rPr>
        <w:t>，</w:t>
      </w:r>
      <w:r>
        <w:rPr>
          <w:rFonts w:hint="eastAsia" w:ascii="仿宋_GB2312" w:hAnsi="仿宋_GB2312" w:cs="仿宋_GB2312"/>
          <w:highlight w:val="none"/>
        </w:rPr>
        <w:t>智慧法院建设及应用跃升至全国前五位</w:t>
      </w:r>
      <w:r>
        <w:rPr>
          <w:rFonts w:hint="eastAsia" w:ascii="仿宋_GB2312" w:hAnsi="仿宋_GB2312" w:cs="仿宋_GB2312"/>
          <w:highlight w:val="none"/>
          <w:lang w:eastAsia="zh-CN"/>
        </w:rPr>
        <w:t>，</w:t>
      </w:r>
      <w:r>
        <w:rPr>
          <w:rFonts w:hint="eastAsia" w:ascii="仿宋_GB2312" w:hAnsi="仿宋_GB2312" w:cs="仿宋_GB2312"/>
          <w:highlight w:val="none"/>
        </w:rPr>
        <w:t>推动审判执行体制机制实现了整体性重塑和根本性变革</w:t>
      </w:r>
      <w:r>
        <w:rPr>
          <w:rFonts w:hint="eastAsia" w:ascii="仿宋_GB2312" w:hAnsi="仿宋_GB2312" w:cs="仿宋_GB2312"/>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3" w:firstLineChars="200"/>
        <w:outlineLvl w:val="1"/>
        <w:rPr>
          <w:rFonts w:ascii="仿宋" w:hAnsi="仿宋" w:eastAsia="仿宋" w:cs="仿宋"/>
          <w:highlight w:val="yellow"/>
        </w:rPr>
      </w:pPr>
      <w:r>
        <w:rPr>
          <w:rFonts w:hint="eastAsia" w:ascii="楷体" w:hAnsi="楷体" w:eastAsia="楷体" w:cs="楷体"/>
          <w:b/>
          <w:bCs/>
          <w:highlight w:val="none"/>
        </w:rPr>
        <w:t>（二）</w:t>
      </w:r>
      <w:bookmarkEnd w:id="150"/>
      <w:r>
        <w:rPr>
          <w:rFonts w:hint="eastAsia" w:ascii="楷体" w:hAnsi="楷体" w:eastAsia="楷体" w:cs="楷体"/>
          <w:b/>
          <w:bCs/>
          <w:highlight w:val="none"/>
        </w:rPr>
        <w:t>“智慧法院”信息化项目有效提升法院工作质效，便民效果显著</w:t>
      </w:r>
      <w:bookmarkEnd w:id="151"/>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随着经济社会发展和改革的全面深化，经济活跃度不断提升，利益关系深刻调整，人民法院受理案件数量持续增长，矛盾纠纷化解难度增大。</w:t>
      </w:r>
      <w:bookmarkStart w:id="190" w:name="_GoBack"/>
      <w:bookmarkEnd w:id="190"/>
      <w:r>
        <w:rPr>
          <w:rFonts w:hint="eastAsia" w:ascii="仿宋_GB2312" w:hAnsi="仿宋_GB2312" w:cs="仿宋_GB2312"/>
          <w:highlight w:val="none"/>
        </w:rPr>
        <w:t>“智慧法院”信息化项目使法院借助信息系统服务司法审判和司法管理工作，法官可以更好地处理审判事务，全方位服务人民群众，切实提高审判水平；借助信息系统实现审判执行案件网上办理、网上查询、网上储存和网上利用，</w:t>
      </w:r>
      <w:r>
        <w:rPr>
          <w:rFonts w:hint="eastAsia" w:ascii="仿宋_GB2312" w:hAnsi="仿宋_GB2312" w:cs="仿宋_GB2312"/>
          <w:highlight w:val="none"/>
          <w:lang w:eastAsia="zh-CN"/>
        </w:rPr>
        <w:t>大幅</w:t>
      </w:r>
      <w:r>
        <w:rPr>
          <w:rFonts w:hint="eastAsia" w:ascii="仿宋_GB2312" w:hAnsi="仿宋_GB2312" w:cs="仿宋_GB2312"/>
          <w:highlight w:val="none"/>
        </w:rPr>
        <w:t>提升了办案效率；法官在审理案件时，可依托信息化平台提供的类案检索功能及时利用信息共享和大数据分析，让法官在公开、透明的环境中行使审判职能，确保裁判尺度统一、同案同判，从而大幅度降低错判率；以智慧执行管理平台为核心，智能化执行流程办案系统和执行公开系统为两翼，网络查控、评估拍卖、一案一账号、信用惩戒等多个执行辅助系统。不仅实现了执行管理的扁平化、集约化、可视化、规范化，还确保了执行案款的归集、流转便捷高效、公开透明、全程留痕，智慧执行系统建设有力促进了执行工作质效。“智慧法院”信息化项目使智慧审判、智慧执行、智慧管理、智慧服务成为法院工作的新模式，实现了线上多元调解和线上诉讼服务，网上立案、网上缴费、网上证据交换、网上开庭、网上调解、网上保全、电子送达、跨域立案，做到了让信息多跑路，让人民群众少跑腿。“移动微法院”为群众提供了“指尖”上的诉讼便利，公众利用手机就可以参与诉讼。真正把法院搬到了当事人“家门口”“掌心里”。有效地降低了当事人参与诉讼活动的时间和经济成本，消除了空间对于当事人参与诉讼活动的阻隔，为当事人提供了极大的便捷性。</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ascii="黑体" w:hAnsi="黑体" w:eastAsia="黑体" w:cs="仿宋"/>
          <w:b w:val="0"/>
          <w:bCs w:val="0"/>
          <w:highlight w:val="none"/>
        </w:rPr>
      </w:pPr>
      <w:bookmarkStart w:id="152" w:name="_Toc15152"/>
      <w:bookmarkStart w:id="153" w:name="_Toc135594836"/>
      <w:bookmarkStart w:id="154" w:name="_Toc25717"/>
      <w:r>
        <w:rPr>
          <w:rFonts w:hint="eastAsia" w:ascii="黑体" w:hAnsi="黑体" w:eastAsia="黑体" w:cs="仿宋"/>
          <w:b w:val="0"/>
          <w:bCs w:val="0"/>
          <w:highlight w:val="none"/>
        </w:rPr>
        <w:t>七、存在的问题及原因分析</w:t>
      </w:r>
      <w:bookmarkEnd w:id="152"/>
      <w:bookmarkEnd w:id="153"/>
      <w:bookmarkEnd w:id="154"/>
    </w:p>
    <w:p>
      <w:pPr>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Style w:val="27"/>
          <w:rFonts w:hint="default" w:ascii="楷体" w:hAnsi="楷体" w:eastAsia="楷体" w:cs="楷体"/>
          <w:szCs w:val="32"/>
          <w:highlight w:val="none"/>
          <w:lang w:val="en-US" w:eastAsia="zh-CN"/>
        </w:rPr>
      </w:pPr>
      <w:bookmarkStart w:id="155" w:name="_Toc135594837"/>
      <w:bookmarkStart w:id="156" w:name="_Toc10454"/>
      <w:bookmarkStart w:id="157" w:name="_Toc27415"/>
      <w:bookmarkStart w:id="158" w:name="_Toc2874"/>
      <w:bookmarkStart w:id="159" w:name="_Toc14622"/>
      <w:bookmarkStart w:id="160" w:name="_Toc19507"/>
      <w:r>
        <w:rPr>
          <w:rStyle w:val="27"/>
          <w:rFonts w:hint="eastAsia" w:ascii="楷体" w:hAnsi="楷体" w:eastAsia="楷体" w:cs="楷体"/>
          <w:szCs w:val="32"/>
          <w:highlight w:val="none"/>
        </w:rPr>
        <w:t>（一）项目支出预算执行率</w:t>
      </w:r>
      <w:bookmarkEnd w:id="155"/>
      <w:bookmarkEnd w:id="156"/>
      <w:bookmarkEnd w:id="157"/>
      <w:r>
        <w:rPr>
          <w:rStyle w:val="27"/>
          <w:rFonts w:hint="eastAsia" w:ascii="楷体" w:hAnsi="楷体" w:eastAsia="楷体" w:cs="楷体"/>
          <w:szCs w:val="32"/>
          <w:highlight w:val="none"/>
          <w:lang w:val="en-US" w:eastAsia="zh-CN"/>
        </w:rPr>
        <w:t>有待提高</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bookmarkStart w:id="161" w:name="_Toc3633"/>
      <w:bookmarkStart w:id="162" w:name="_Toc3824"/>
      <w:bookmarkStart w:id="163" w:name="_Toc32093"/>
      <w:r>
        <w:rPr>
          <w:rFonts w:hint="eastAsia" w:ascii="仿宋_GB2312" w:hAnsi="仿宋_GB2312" w:cs="仿宋_GB2312"/>
          <w:highlight w:val="none"/>
        </w:rPr>
        <w:t>全省“智慧法院”信息化项目专项资金全年预算数11,004.96万元，其中当年财政拨款7,000.00万元，上年结转资金4,004.96万元，截止2022年12月31日，全年支出7,515.77万元，预算执行率68.29%。</w:t>
      </w:r>
      <w:bookmarkEnd w:id="158"/>
      <w:bookmarkEnd w:id="161"/>
      <w:bookmarkEnd w:id="162"/>
      <w:r>
        <w:rPr>
          <w:rFonts w:hint="eastAsia" w:ascii="仿宋_GB2312" w:hAnsi="仿宋_GB2312" w:cs="仿宋_GB2312"/>
          <w:highlight w:val="none"/>
        </w:rPr>
        <w:t>主要原因为：一是2022年度受疫情影响，各项工作无法正常开展，导致项目进度滞后，二是部分法院</w:t>
      </w:r>
      <w:r>
        <w:rPr>
          <w:rFonts w:hint="eastAsia" w:ascii="仿宋_GB2312" w:hAnsi="仿宋_GB2312" w:cs="仿宋_GB2312"/>
          <w:highlight w:val="none"/>
          <w:lang w:val="en-US" w:eastAsia="zh-CN"/>
        </w:rPr>
        <w:t>年底未开工，</w:t>
      </w:r>
      <w:r>
        <w:rPr>
          <w:rFonts w:hint="eastAsia" w:ascii="仿宋_GB2312" w:hAnsi="仿宋_GB2312" w:cs="仿宋_GB2312"/>
          <w:highlight w:val="none"/>
        </w:rPr>
        <w:t>未形成支出，导致资金执行率较低。</w:t>
      </w:r>
      <w:r>
        <w:rPr>
          <w:rFonts w:hint="eastAsia" w:ascii="仿宋_GB2312" w:hAnsi="仿宋_GB2312" w:cs="仿宋_GB2312"/>
          <w:sz w:val="32"/>
          <w:szCs w:val="32"/>
          <w:highlight w:val="none"/>
          <w:lang w:val="en-US" w:eastAsia="zh-CN"/>
        </w:rPr>
        <w:t>项目支出预算执行率低于全年预算90%的法院如下：</w:t>
      </w:r>
    </w:p>
    <w:tbl>
      <w:tblPr>
        <w:tblStyle w:val="15"/>
        <w:tblpPr w:leftFromText="180" w:rightFromText="180" w:vertAnchor="text" w:horzAnchor="page" w:tblpX="1857" w:tblpY="229"/>
        <w:tblOverlap w:val="never"/>
        <w:tblW w:w="5000"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683"/>
        <w:gridCol w:w="2784"/>
        <w:gridCol w:w="895"/>
        <w:gridCol w:w="641"/>
        <w:gridCol w:w="2640"/>
        <w:gridCol w:w="879"/>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70" w:hRule="atLeast"/>
        </w:trPr>
        <w:tc>
          <w:tcPr>
            <w:tcW w:w="40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序号</w:t>
            </w:r>
          </w:p>
        </w:tc>
        <w:tc>
          <w:tcPr>
            <w:tcW w:w="16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单位名称</w:t>
            </w:r>
          </w:p>
        </w:tc>
        <w:tc>
          <w:tcPr>
            <w:tcW w:w="525"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预算</w:t>
            </w:r>
          </w:p>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执行率</w:t>
            </w:r>
          </w:p>
        </w:tc>
        <w:tc>
          <w:tcPr>
            <w:tcW w:w="376"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序号</w:t>
            </w:r>
          </w:p>
        </w:tc>
        <w:tc>
          <w:tcPr>
            <w:tcW w:w="1548"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单位名称</w:t>
            </w:r>
          </w:p>
        </w:tc>
        <w:tc>
          <w:tcPr>
            <w:tcW w:w="515"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预算执行率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 w:val="19"/>
                <w:szCs w:val="19"/>
                <w:highlight w:val="none"/>
                <w:lang w:bidi="ar"/>
              </w:rPr>
              <w:t>省法院诉讼服务中心建设项目</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lang w:bidi="ar"/>
              </w:rPr>
              <w:t>0.00%</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auto"/>
                <w:kern w:val="0"/>
                <w:szCs w:val="21"/>
                <w:highlight w:val="none"/>
                <w:lang w:eastAsia="zh-CN" w:bidi="ar"/>
              </w:rPr>
            </w:pPr>
            <w:r>
              <w:rPr>
                <w:rFonts w:hint="eastAsia" w:ascii="宋体" w:hAnsi="宋体" w:eastAsia="宋体" w:cs="宋体"/>
                <w:bCs/>
                <w:color w:val="auto"/>
                <w:kern w:val="0"/>
                <w:szCs w:val="21"/>
                <w:highlight w:val="none"/>
                <w:lang w:val="en-US" w:eastAsia="zh-CN" w:bidi="ar"/>
              </w:rPr>
              <w:t>9</w:t>
            </w: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 w:val="20"/>
                <w:szCs w:val="20"/>
                <w:highlight w:val="none"/>
                <w:lang w:bidi="ar"/>
              </w:rPr>
              <w:t>肃北蒙古族自治县人民法院</w:t>
            </w: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bCs/>
                <w:color w:val="auto"/>
                <w:kern w:val="0"/>
                <w:szCs w:val="21"/>
                <w:highlight w:val="none"/>
                <w:lang w:bidi="ar"/>
              </w:rPr>
              <w:t>87.47%</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color w:val="auto"/>
                <w:szCs w:val="21"/>
                <w:highlight w:val="none"/>
              </w:rPr>
              <w:t>陇南市中级人民法院</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szCs w:val="21"/>
                <w:highlight w:val="none"/>
              </w:rPr>
            </w:pPr>
            <w:r>
              <w:rPr>
                <w:rFonts w:hint="eastAsia" w:ascii="宋体" w:hAnsi="宋体" w:eastAsia="宋体" w:cs="宋体"/>
                <w:color w:val="auto"/>
                <w:szCs w:val="21"/>
                <w:highlight w:val="none"/>
              </w:rPr>
              <w:t>72.48%</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auto"/>
                <w:kern w:val="0"/>
                <w:szCs w:val="21"/>
                <w:highlight w:val="none"/>
                <w:lang w:eastAsia="zh-CN" w:bidi="ar"/>
              </w:rPr>
            </w:pPr>
            <w:r>
              <w:rPr>
                <w:rFonts w:hint="eastAsia" w:ascii="宋体" w:hAnsi="宋体" w:eastAsia="宋体" w:cs="宋体"/>
                <w:bCs/>
                <w:color w:val="auto"/>
                <w:kern w:val="0"/>
                <w:szCs w:val="21"/>
                <w:highlight w:val="none"/>
                <w:lang w:bidi="ar"/>
              </w:rPr>
              <w:t>1</w:t>
            </w:r>
            <w:r>
              <w:rPr>
                <w:rFonts w:hint="eastAsia" w:ascii="宋体" w:hAnsi="宋体" w:eastAsia="宋体" w:cs="宋体"/>
                <w:bCs/>
                <w:color w:val="auto"/>
                <w:kern w:val="0"/>
                <w:szCs w:val="21"/>
                <w:highlight w:val="none"/>
                <w:lang w:val="en-US" w:eastAsia="zh-CN" w:bidi="ar"/>
              </w:rPr>
              <w:t>0</w:t>
            </w: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临潭县人民法院</w:t>
            </w: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定西市中级人民法院</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78.42%</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11</w:t>
            </w: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小陇山林区法院</w:t>
            </w: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3.46%</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4</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白银市中级人民法院</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12</w:t>
            </w: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color w:val="auto"/>
                <w:szCs w:val="21"/>
                <w:highlight w:val="none"/>
              </w:rPr>
              <w:t>子午岭林区法院</w:t>
            </w: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56.84%</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5</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东乡族自治县人民法院</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13</w:t>
            </w: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白龙江林区法院</w:t>
            </w: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auto"/>
                <w:kern w:val="0"/>
                <w:szCs w:val="21"/>
                <w:highlight w:val="none"/>
                <w:lang w:eastAsia="zh-CN" w:bidi="ar"/>
              </w:rPr>
            </w:pPr>
            <w:bookmarkStart w:id="164" w:name="_Toc10778"/>
            <w:bookmarkStart w:id="165" w:name="_Toc8095"/>
            <w:r>
              <w:rPr>
                <w:rFonts w:hint="eastAsia" w:ascii="宋体" w:hAnsi="宋体" w:eastAsia="宋体" w:cs="宋体"/>
                <w:bCs/>
                <w:color w:val="auto"/>
                <w:kern w:val="0"/>
                <w:szCs w:val="21"/>
                <w:highlight w:val="none"/>
                <w:lang w:val="en-US" w:eastAsia="zh-CN" w:bidi="ar"/>
              </w:rPr>
              <w:t>6</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崆峒区人民法院</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37.20%</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14</w:t>
            </w: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西固区人民法院</w:t>
            </w: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3.06%</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auto"/>
                <w:kern w:val="0"/>
                <w:szCs w:val="21"/>
                <w:highlight w:val="none"/>
                <w:lang w:eastAsia="zh-CN" w:bidi="ar"/>
              </w:rPr>
            </w:pPr>
            <w:r>
              <w:rPr>
                <w:rFonts w:hint="eastAsia" w:ascii="宋体" w:hAnsi="宋体" w:eastAsia="宋体" w:cs="宋体"/>
                <w:bCs/>
                <w:color w:val="auto"/>
                <w:kern w:val="0"/>
                <w:szCs w:val="21"/>
                <w:highlight w:val="none"/>
                <w:lang w:val="en-US" w:eastAsia="zh-CN" w:bidi="ar"/>
              </w:rPr>
              <w:t>7</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甘肃矿区人民法院</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auto"/>
                <w:kern w:val="0"/>
                <w:szCs w:val="21"/>
                <w:highlight w:val="none"/>
                <w:lang w:eastAsia="zh-CN" w:bidi="ar"/>
              </w:rPr>
            </w:pPr>
            <w:r>
              <w:rPr>
                <w:rFonts w:hint="eastAsia" w:ascii="宋体" w:hAnsi="宋体" w:eastAsia="宋体" w:cs="宋体"/>
                <w:bCs/>
                <w:color w:val="auto"/>
                <w:kern w:val="0"/>
                <w:szCs w:val="21"/>
                <w:highlight w:val="none"/>
                <w:lang w:bidi="ar"/>
              </w:rPr>
              <w:t>15</w:t>
            </w: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白银市中级人民法院</w:t>
            </w: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400"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auto"/>
                <w:kern w:val="0"/>
                <w:szCs w:val="21"/>
                <w:highlight w:val="none"/>
                <w:lang w:eastAsia="zh-CN" w:bidi="ar"/>
              </w:rPr>
            </w:pPr>
            <w:r>
              <w:rPr>
                <w:rFonts w:hint="eastAsia" w:ascii="宋体" w:hAnsi="宋体" w:eastAsia="宋体" w:cs="宋体"/>
                <w:bCs/>
                <w:color w:val="auto"/>
                <w:kern w:val="0"/>
                <w:szCs w:val="21"/>
                <w:highlight w:val="none"/>
                <w:lang w:val="en-US" w:eastAsia="zh-CN" w:bidi="ar"/>
              </w:rPr>
              <w:t>8</w:t>
            </w:r>
          </w:p>
        </w:tc>
        <w:tc>
          <w:tcPr>
            <w:tcW w:w="16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玛曲县人民法院</w:t>
            </w:r>
          </w:p>
        </w:tc>
        <w:tc>
          <w:tcPr>
            <w:tcW w:w="52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62.28%</w:t>
            </w:r>
          </w:p>
        </w:tc>
        <w:tc>
          <w:tcPr>
            <w:tcW w:w="376"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auto"/>
                <w:kern w:val="0"/>
                <w:szCs w:val="21"/>
                <w:highlight w:val="none"/>
                <w:lang w:bidi="ar"/>
              </w:rPr>
            </w:pPr>
          </w:p>
        </w:tc>
        <w:tc>
          <w:tcPr>
            <w:tcW w:w="1548"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auto"/>
                <w:kern w:val="0"/>
                <w:sz w:val="21"/>
                <w:szCs w:val="21"/>
                <w:highlight w:val="none"/>
                <w:lang w:val="en-US" w:eastAsia="zh-CN" w:bidi="ar"/>
              </w:rPr>
            </w:pPr>
          </w:p>
        </w:tc>
        <w:tc>
          <w:tcPr>
            <w:tcW w:w="515"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ascii="宋体" w:hAnsi="宋体" w:eastAsia="宋体" w:cs="宋体"/>
                <w:color w:val="auto"/>
                <w:kern w:val="0"/>
                <w:sz w:val="21"/>
                <w:szCs w:val="21"/>
                <w:highlight w:val="none"/>
                <w:lang w:val="en-US" w:eastAsia="zh-CN" w:bidi="ar"/>
              </w:rPr>
            </w:pPr>
          </w:p>
        </w:tc>
      </w:tr>
      <w:bookmarkEnd w:id="163"/>
      <w:bookmarkEnd w:id="164"/>
      <w:bookmarkEnd w:id="165"/>
    </w:tbl>
    <w:p>
      <w:pPr>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Style w:val="27"/>
          <w:rFonts w:ascii="楷体" w:hAnsi="楷体" w:eastAsia="楷体" w:cs="楷体"/>
          <w:szCs w:val="32"/>
          <w:highlight w:val="none"/>
        </w:rPr>
      </w:pPr>
      <w:bookmarkStart w:id="166" w:name="_Toc135594838"/>
      <w:bookmarkStart w:id="167" w:name="_Toc17195"/>
      <w:bookmarkStart w:id="168" w:name="_Toc12328"/>
      <w:bookmarkStart w:id="169" w:name="_Toc15618"/>
      <w:r>
        <w:rPr>
          <w:rStyle w:val="27"/>
          <w:rFonts w:hint="eastAsia" w:ascii="楷体" w:hAnsi="楷体" w:eastAsia="楷体" w:cs="楷体"/>
          <w:szCs w:val="32"/>
          <w:highlight w:val="none"/>
        </w:rPr>
        <w:t>（二）绩效目标编制的明确性有待进一步提高</w:t>
      </w:r>
      <w:bookmarkEnd w:id="166"/>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该项目资金年初预算下达至省法院，年中下达资金至各项目单位时中、基层法院未在“甘肃省级预算绩效管理信息系统”及时申报</w:t>
      </w:r>
      <w:r>
        <w:rPr>
          <w:rFonts w:hint="eastAsia" w:ascii="仿宋_GB2312" w:hAnsi="仿宋_GB2312" w:eastAsia="仿宋_GB2312" w:cs="仿宋_GB2312"/>
          <w:kern w:val="2"/>
          <w:sz w:val="32"/>
          <w:szCs w:val="32"/>
          <w:highlight w:val="none"/>
          <w:lang w:val="en-US" w:eastAsia="zh-CN" w:bidi="ar-SA"/>
        </w:rPr>
        <w:t>绩效目标表，仅</w:t>
      </w:r>
      <w:r>
        <w:rPr>
          <w:rFonts w:hint="eastAsia" w:ascii="仿宋_GB2312" w:hAnsi="仿宋_GB2312" w:eastAsia="仿宋_GB2312" w:cs="仿宋_GB2312"/>
          <w:color w:val="auto"/>
          <w:sz w:val="32"/>
          <w:szCs w:val="32"/>
          <w:highlight w:val="none"/>
          <w:lang w:val="en-US" w:eastAsia="zh-CN"/>
        </w:rPr>
        <w:t>在资金下达时</w:t>
      </w:r>
      <w:r>
        <w:rPr>
          <w:rFonts w:hint="eastAsia" w:ascii="仿宋_GB2312" w:hAnsi="仿宋_GB2312" w:eastAsia="仿宋_GB2312" w:cs="仿宋_GB2312"/>
          <w:kern w:val="2"/>
          <w:sz w:val="32"/>
          <w:szCs w:val="32"/>
          <w:highlight w:val="none"/>
          <w:lang w:val="en-US" w:eastAsia="zh-CN" w:bidi="ar-SA"/>
        </w:rPr>
        <w:t>在“预算管理一体化系统”填报预算项目绩效表，导致项目无法进行有效监控，且部分法院绩效目标存在设置简略、表述笼统、未能涵盖项目实施主要内容及预期效益等问题。</w:t>
      </w:r>
    </w:p>
    <w:bookmarkEnd w:id="167"/>
    <w:bookmarkEnd w:id="168"/>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3" w:firstLineChars="200"/>
        <w:rPr>
          <w:rStyle w:val="27"/>
          <w:rFonts w:ascii="楷体" w:hAnsi="楷体" w:eastAsia="楷体" w:cs="楷体"/>
          <w:highlight w:val="yellow"/>
        </w:rPr>
      </w:pPr>
      <w:bookmarkStart w:id="170" w:name="_Toc135594840"/>
      <w:r>
        <w:rPr>
          <w:rStyle w:val="27"/>
          <w:rFonts w:hint="eastAsia" w:ascii="楷体" w:hAnsi="楷体" w:eastAsia="楷体" w:cs="楷体"/>
          <w:highlight w:val="none"/>
        </w:rPr>
        <w:t>（三）</w:t>
      </w:r>
      <w:bookmarkStart w:id="171" w:name="_Toc13907"/>
      <w:bookmarkStart w:id="172" w:name="_Toc28102"/>
      <w:bookmarkStart w:id="173" w:name="_Toc15596"/>
      <w:r>
        <w:rPr>
          <w:rStyle w:val="27"/>
          <w:rFonts w:hint="eastAsia" w:ascii="楷体" w:hAnsi="楷体" w:eastAsia="楷体" w:cs="楷体"/>
          <w:highlight w:val="none"/>
        </w:rPr>
        <w:t>受疫情影响，部分法院信息化建设项目进度滞后</w:t>
      </w:r>
      <w:bookmarkEnd w:id="170"/>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2022年度受疫情影响，各项工作无法正常开展，</w:t>
      </w:r>
      <w:r>
        <w:rPr>
          <w:rFonts w:hint="eastAsia" w:ascii="仿宋_GB2312" w:hAnsi="仿宋_GB2312" w:cs="仿宋_GB2312"/>
          <w:highlight w:val="none"/>
          <w:lang w:val="en-US" w:eastAsia="zh-CN"/>
        </w:rPr>
        <w:t>项目</w:t>
      </w:r>
      <w:r>
        <w:rPr>
          <w:rFonts w:hint="eastAsia" w:ascii="仿宋_GB2312" w:hAnsi="仿宋_GB2312" w:cs="仿宋_GB2312"/>
          <w:highlight w:val="none"/>
        </w:rPr>
        <w:t>施工进度较为缓慢，导致项目进度滞后</w:t>
      </w:r>
      <w:r>
        <w:rPr>
          <w:rFonts w:hint="eastAsia" w:ascii="仿宋_GB2312" w:hAnsi="仿宋_GB2312" w:cs="仿宋_GB2312"/>
          <w:highlight w:val="none"/>
          <w:lang w:eastAsia="zh-CN"/>
        </w:rPr>
        <w:t>。</w:t>
      </w:r>
      <w:r>
        <w:rPr>
          <w:rFonts w:hint="eastAsia" w:ascii="仿宋_GB2312" w:hAnsi="仿宋_GB2312" w:cs="仿宋_GB2312"/>
          <w:highlight w:val="none"/>
        </w:rPr>
        <w:t>本年度共拨付“智慧法院”信息化建设项目2</w:t>
      </w:r>
      <w:r>
        <w:rPr>
          <w:rFonts w:hint="eastAsia" w:ascii="仿宋_GB2312" w:hAnsi="仿宋_GB2312" w:cs="仿宋_GB2312"/>
          <w:highlight w:val="none"/>
          <w:lang w:val="en-US" w:eastAsia="zh-CN"/>
        </w:rPr>
        <w:t>1</w:t>
      </w:r>
      <w:r>
        <w:rPr>
          <w:rFonts w:hint="eastAsia" w:ascii="仿宋_GB2312" w:hAnsi="仿宋_GB2312" w:cs="仿宋_GB2312"/>
          <w:highlight w:val="none"/>
        </w:rPr>
        <w:t>个，共</w:t>
      </w:r>
      <w:r>
        <w:rPr>
          <w:rFonts w:hint="eastAsia" w:ascii="仿宋_GB2312" w:hAnsi="仿宋_GB2312" w:cs="仿宋_GB2312"/>
          <w:highlight w:val="none"/>
          <w:lang w:val="en-US" w:eastAsia="zh-CN"/>
        </w:rPr>
        <w:t>7</w:t>
      </w:r>
      <w:r>
        <w:rPr>
          <w:rFonts w:hint="eastAsia" w:ascii="仿宋_GB2312" w:hAnsi="仿宋_GB2312" w:cs="仿宋_GB2312"/>
          <w:highlight w:val="none"/>
        </w:rPr>
        <w:t>个项目已完工并通过验收，1个项目已完工未验收，9个项目尚未完工，4个项目年底未开工</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未开工项目原因如下：</w:t>
      </w:r>
    </w:p>
    <w:tbl>
      <w:tblPr>
        <w:tblStyle w:val="15"/>
        <w:tblW w:w="4998" w:type="pct"/>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707"/>
        <w:gridCol w:w="2712"/>
        <w:gridCol w:w="5100"/>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415"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1591"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Cs w:val="21"/>
                <w:highlight w:val="none"/>
                <w:lang w:bidi="ar"/>
              </w:rPr>
            </w:pPr>
            <w:r>
              <w:rPr>
                <w:rFonts w:hint="eastAsia" w:ascii="宋体" w:hAnsi="宋体" w:cs="宋体"/>
                <w:b/>
                <w:bCs/>
                <w:color w:val="000000"/>
                <w:kern w:val="0"/>
                <w:szCs w:val="21"/>
                <w:highlight w:val="none"/>
                <w:lang w:bidi="ar"/>
              </w:rPr>
              <w:t>实施单位</w:t>
            </w:r>
          </w:p>
        </w:tc>
        <w:tc>
          <w:tcPr>
            <w:tcW w:w="2992" w:type="pct"/>
            <w:shd w:val="clear" w:color="auto" w:fill="B8CCE4"/>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未开工原因</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1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c>
          <w:tcPr>
            <w:tcW w:w="1591"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临潭县人民法院</w:t>
            </w:r>
          </w:p>
        </w:tc>
        <w:tc>
          <w:tcPr>
            <w:tcW w:w="2992"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eastAsia="zh-CN" w:bidi="ar"/>
              </w:rPr>
            </w:pPr>
            <w:r>
              <w:rPr>
                <w:rFonts w:hint="eastAsia" w:ascii="宋体" w:hAnsi="宋体" w:eastAsia="宋体" w:cs="宋体"/>
                <w:color w:val="000000"/>
                <w:kern w:val="0"/>
                <w:szCs w:val="21"/>
                <w:highlight w:val="none"/>
                <w:lang w:bidi="ar"/>
              </w:rPr>
              <w:t>受疫情影响，年底未开工</w:t>
            </w:r>
            <w:r>
              <w:rPr>
                <w:rFonts w:hint="eastAsia" w:ascii="宋体" w:hAnsi="宋体" w:eastAsia="宋体" w:cs="宋体"/>
                <w:color w:val="000000"/>
                <w:kern w:val="0"/>
                <w:szCs w:val="21"/>
                <w:highlight w:val="none"/>
                <w:lang w:eastAsia="zh-CN" w:bidi="ar"/>
              </w:rPr>
              <w:t>。</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41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w:t>
            </w:r>
          </w:p>
        </w:tc>
        <w:tc>
          <w:tcPr>
            <w:tcW w:w="1591"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小陇山林区法院</w:t>
            </w:r>
          </w:p>
        </w:tc>
        <w:tc>
          <w:tcPr>
            <w:tcW w:w="2992"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eastAsia="zh-CN" w:bidi="ar"/>
              </w:rPr>
            </w:pPr>
            <w:r>
              <w:rPr>
                <w:rFonts w:hint="eastAsia" w:ascii="宋体" w:hAnsi="宋体" w:eastAsia="宋体" w:cs="宋体"/>
                <w:color w:val="000000"/>
                <w:kern w:val="0"/>
                <w:szCs w:val="21"/>
                <w:highlight w:val="none"/>
                <w:lang w:bidi="ar"/>
              </w:rPr>
              <w:t>2022年8月省院批复设计方案，</w:t>
            </w:r>
            <w:r>
              <w:rPr>
                <w:rFonts w:hint="eastAsia" w:ascii="宋体" w:hAnsi="宋体" w:eastAsia="宋体" w:cs="宋体"/>
                <w:color w:val="000000"/>
                <w:kern w:val="0"/>
                <w:szCs w:val="21"/>
                <w:highlight w:val="none"/>
                <w:lang w:val="en-US" w:eastAsia="zh-CN" w:bidi="ar"/>
              </w:rPr>
              <w:t>受</w:t>
            </w:r>
            <w:r>
              <w:rPr>
                <w:rFonts w:hint="eastAsia" w:ascii="宋体" w:hAnsi="宋体" w:eastAsia="宋体" w:cs="宋体"/>
                <w:color w:val="000000"/>
                <w:kern w:val="0"/>
                <w:szCs w:val="21"/>
                <w:highlight w:val="none"/>
                <w:lang w:bidi="ar"/>
              </w:rPr>
              <w:t>疫情影响未开工</w:t>
            </w:r>
            <w:r>
              <w:rPr>
                <w:rFonts w:hint="eastAsia" w:ascii="宋体" w:hAnsi="宋体" w:eastAsia="宋体" w:cs="宋体"/>
                <w:color w:val="000000"/>
                <w:kern w:val="0"/>
                <w:szCs w:val="21"/>
                <w:highlight w:val="none"/>
                <w:lang w:eastAsia="zh-CN" w:bidi="ar"/>
              </w:rPr>
              <w:t>。</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1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w:t>
            </w:r>
          </w:p>
        </w:tc>
        <w:tc>
          <w:tcPr>
            <w:tcW w:w="1591"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白龙江林区法院</w:t>
            </w:r>
          </w:p>
        </w:tc>
        <w:tc>
          <w:tcPr>
            <w:tcW w:w="2992"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eastAsia="zh-CN" w:bidi="ar"/>
              </w:rPr>
            </w:pPr>
            <w:r>
              <w:rPr>
                <w:rFonts w:hint="eastAsia" w:ascii="宋体" w:hAnsi="宋体" w:eastAsia="宋体" w:cs="宋体"/>
                <w:color w:val="000000"/>
                <w:kern w:val="0"/>
                <w:szCs w:val="21"/>
                <w:highlight w:val="none"/>
                <w:lang w:bidi="ar"/>
              </w:rPr>
              <w:t>资金下达较晚，年底未开工</w:t>
            </w:r>
            <w:r>
              <w:rPr>
                <w:rFonts w:hint="eastAsia" w:ascii="宋体" w:hAnsi="宋体" w:eastAsia="宋体" w:cs="宋体"/>
                <w:color w:val="000000"/>
                <w:kern w:val="0"/>
                <w:szCs w:val="21"/>
                <w:highlight w:val="none"/>
                <w:lang w:eastAsia="zh-CN" w:bidi="ar"/>
              </w:rPr>
              <w:t>。</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15"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w:t>
            </w:r>
          </w:p>
        </w:tc>
        <w:tc>
          <w:tcPr>
            <w:tcW w:w="1591" w:type="pct"/>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甘肃矿区人民法院</w:t>
            </w:r>
          </w:p>
        </w:tc>
        <w:tc>
          <w:tcPr>
            <w:tcW w:w="2992"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受疫情影响，法院楼体被征用为隔离点，无法开工。</w:t>
            </w:r>
          </w:p>
        </w:tc>
      </w:tr>
      <w:bookmarkEnd w:id="159"/>
      <w:bookmarkEnd w:id="160"/>
      <w:bookmarkEnd w:id="169"/>
      <w:bookmarkEnd w:id="171"/>
      <w:bookmarkEnd w:id="172"/>
      <w:bookmarkEnd w:id="173"/>
    </w:tbl>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hint="eastAsia" w:ascii="黑体" w:hAnsi="黑体" w:eastAsia="黑体" w:cs="仿宋"/>
          <w:b w:val="0"/>
          <w:bCs w:val="0"/>
          <w:highlight w:val="none"/>
        </w:rPr>
      </w:pPr>
      <w:bookmarkStart w:id="174" w:name="_Toc20992"/>
      <w:bookmarkStart w:id="175" w:name="_Toc15149"/>
      <w:bookmarkStart w:id="176" w:name="_Toc135594841"/>
      <w:r>
        <w:rPr>
          <w:rFonts w:hint="eastAsia" w:ascii="黑体" w:hAnsi="黑体" w:eastAsia="黑体" w:cs="仿宋"/>
          <w:b w:val="0"/>
          <w:bCs w:val="0"/>
          <w:highlight w:val="none"/>
        </w:rPr>
        <w:t>八、有关建议</w:t>
      </w:r>
      <w:bookmarkEnd w:id="174"/>
      <w:bookmarkEnd w:id="175"/>
      <w:bookmarkEnd w:id="176"/>
    </w:p>
    <w:p>
      <w:pPr>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Style w:val="27"/>
          <w:rFonts w:ascii="楷体" w:hAnsi="楷体" w:eastAsia="楷体" w:cs="楷体"/>
          <w:szCs w:val="32"/>
          <w:highlight w:val="none"/>
        </w:rPr>
      </w:pPr>
      <w:bookmarkStart w:id="177" w:name="_Toc5096"/>
      <w:bookmarkStart w:id="178" w:name="_Toc135594842"/>
      <w:bookmarkStart w:id="179" w:name="_Toc14595"/>
      <w:r>
        <w:rPr>
          <w:rStyle w:val="27"/>
          <w:rFonts w:hint="eastAsia" w:ascii="楷体" w:hAnsi="楷体" w:eastAsia="楷体" w:cs="楷体"/>
          <w:szCs w:val="32"/>
          <w:highlight w:val="none"/>
        </w:rPr>
        <w:t>（一）</w:t>
      </w:r>
      <w:bookmarkEnd w:id="177"/>
      <w:bookmarkEnd w:id="178"/>
      <w:bookmarkEnd w:id="179"/>
      <w:r>
        <w:rPr>
          <w:rStyle w:val="27"/>
          <w:rFonts w:hint="eastAsia" w:ascii="楷体" w:hAnsi="楷体" w:eastAsia="楷体" w:cs="楷体"/>
          <w:szCs w:val="32"/>
          <w:highlight w:val="none"/>
        </w:rPr>
        <w:t>预算编制需进一步细化并严格执行</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 w:hAnsi="仿宋" w:eastAsia="仿宋" w:cs="仿宋"/>
          <w:highlight w:val="none"/>
        </w:rPr>
      </w:pPr>
      <w:r>
        <w:rPr>
          <w:rFonts w:hint="eastAsia" w:ascii="仿宋_GB2312" w:hAnsi="仿宋_GB2312" w:cs="仿宋_GB2312"/>
          <w:highlight w:val="none"/>
        </w:rPr>
        <w:t>科学合理编制预算，严格执行预算，在预算的编制阶段，结合上一年度预算执行情况和本年度预算收支变化因素，科学、合理地编制项目预算。在预算的执行阶段，严格控制每项</w:t>
      </w:r>
      <w:r>
        <w:rPr>
          <w:rFonts w:hint="eastAsia" w:ascii="仿宋_GB2312" w:hAnsi="仿宋_GB2312" w:cs="仿宋_GB2312"/>
          <w:highlight w:val="none"/>
          <w:lang w:eastAsia="zh-CN"/>
        </w:rPr>
        <w:t>支出</w:t>
      </w:r>
      <w:r>
        <w:rPr>
          <w:rFonts w:hint="eastAsia" w:ascii="仿宋_GB2312" w:hAnsi="仿宋_GB2312" w:cs="仿宋_GB2312"/>
          <w:highlight w:val="none"/>
        </w:rPr>
        <w:t>，并定期</w:t>
      </w:r>
      <w:r>
        <w:rPr>
          <w:rFonts w:hint="eastAsia" w:ascii="仿宋_GB2312" w:hAnsi="仿宋_GB2312" w:cs="仿宋_GB2312"/>
          <w:highlight w:val="none"/>
          <w:lang w:val="en-US" w:eastAsia="zh-CN"/>
        </w:rPr>
        <w:t>监控</w:t>
      </w:r>
      <w:r>
        <w:rPr>
          <w:rFonts w:hint="eastAsia" w:ascii="仿宋_GB2312" w:hAnsi="仿宋_GB2312" w:cs="仿宋_GB2312"/>
          <w:highlight w:val="none"/>
        </w:rPr>
        <w:t>预算</w:t>
      </w:r>
      <w:r>
        <w:rPr>
          <w:rFonts w:hint="eastAsia" w:ascii="仿宋_GB2312" w:hAnsi="仿宋_GB2312" w:cs="仿宋_GB2312"/>
          <w:highlight w:val="none"/>
          <w:lang w:val="en-US" w:eastAsia="zh-CN"/>
        </w:rPr>
        <w:t>资金</w:t>
      </w:r>
      <w:r>
        <w:rPr>
          <w:rFonts w:hint="eastAsia" w:ascii="仿宋_GB2312" w:hAnsi="仿宋_GB2312" w:cs="仿宋_GB2312"/>
          <w:highlight w:val="none"/>
        </w:rPr>
        <w:t>使用情况，针对突发性支出做好准备工作。</w:t>
      </w:r>
    </w:p>
    <w:p>
      <w:pPr>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Style w:val="27"/>
          <w:rFonts w:ascii="楷体" w:hAnsi="楷体" w:eastAsia="楷体" w:cs="楷体"/>
          <w:szCs w:val="32"/>
          <w:highlight w:val="none"/>
        </w:rPr>
      </w:pPr>
      <w:bookmarkStart w:id="180" w:name="_Toc19966"/>
      <w:bookmarkStart w:id="181" w:name="_Toc26807"/>
      <w:bookmarkStart w:id="182" w:name="_Toc135594843"/>
      <w:r>
        <w:rPr>
          <w:rStyle w:val="27"/>
          <w:rFonts w:hint="eastAsia" w:ascii="楷体" w:hAnsi="楷体" w:eastAsia="楷体" w:cs="楷体"/>
          <w:szCs w:val="32"/>
          <w:highlight w:val="none"/>
        </w:rPr>
        <w:t>（二）</w:t>
      </w:r>
      <w:bookmarkEnd w:id="180"/>
      <w:bookmarkEnd w:id="181"/>
      <w:bookmarkEnd w:id="182"/>
      <w:r>
        <w:rPr>
          <w:rStyle w:val="27"/>
          <w:rFonts w:hint="eastAsia" w:ascii="楷体" w:hAnsi="楷体" w:eastAsia="楷体" w:cs="楷体"/>
          <w:szCs w:val="32"/>
          <w:highlight w:val="none"/>
        </w:rPr>
        <w:t>建议项目单位重视项目绩效目标编报与项目绩效预算编制的有机结合</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建议</w:t>
      </w:r>
      <w:r>
        <w:rPr>
          <w:rFonts w:hint="eastAsia" w:ascii="仿宋_GB2312" w:hAnsi="仿宋_GB2312" w:cs="仿宋_GB2312"/>
          <w:highlight w:val="none"/>
          <w:lang w:val="en-US" w:eastAsia="zh-CN"/>
        </w:rPr>
        <w:t>各项目实施单位</w:t>
      </w:r>
      <w:r>
        <w:rPr>
          <w:rFonts w:hint="eastAsia" w:ascii="仿宋_GB2312" w:hAnsi="仿宋_GB2312" w:cs="仿宋_GB2312"/>
          <w:highlight w:val="none"/>
        </w:rPr>
        <w:t>进行项目申报时，按照《甘肃省省级预算绩效目标管理办法》的要求，根据项目内容和项目特性填报绩效目标申报表，并且依据绩效目标设定绩效指标时，要充分考虑绩效指标是否清晰、细化、可衡量等，以更好地反映和考核项目绩效目标与项目实施的相符情况，提高预算管理水平。</w:t>
      </w:r>
    </w:p>
    <w:p>
      <w:pPr>
        <w:pStyle w:val="2"/>
        <w:keepNext w:val="0"/>
        <w:keepLines w:val="0"/>
        <w:pageBreakBefore w:val="0"/>
        <w:widowControl w:val="0"/>
        <w:kinsoku/>
        <w:wordWrap/>
        <w:overflowPunct w:val="0"/>
        <w:topLinePunct w:val="0"/>
        <w:autoSpaceDE/>
        <w:autoSpaceDN/>
        <w:bidi w:val="0"/>
        <w:adjustRightInd/>
        <w:spacing w:line="560" w:lineRule="exact"/>
        <w:ind w:firstLine="643" w:firstLineChars="200"/>
        <w:outlineLvl w:val="1"/>
        <w:rPr>
          <w:rStyle w:val="27"/>
          <w:rFonts w:ascii="楷体" w:hAnsi="楷体" w:eastAsia="楷体" w:cs="楷体"/>
          <w:highlight w:val="none"/>
        </w:rPr>
      </w:pPr>
      <w:bookmarkStart w:id="183" w:name="_Toc18984"/>
      <w:bookmarkStart w:id="184" w:name="_Toc135594844"/>
      <w:r>
        <w:rPr>
          <w:rStyle w:val="27"/>
          <w:rFonts w:hint="eastAsia" w:ascii="楷体" w:hAnsi="楷体" w:eastAsia="楷体" w:cs="楷体"/>
          <w:highlight w:val="none"/>
        </w:rPr>
        <w:t>（三）</w:t>
      </w:r>
      <w:bookmarkEnd w:id="183"/>
      <w:r>
        <w:rPr>
          <w:rStyle w:val="27"/>
          <w:rFonts w:hint="eastAsia" w:ascii="楷体" w:hAnsi="楷体" w:eastAsia="楷体" w:cs="楷体"/>
          <w:highlight w:val="none"/>
        </w:rPr>
        <w:t>规范项目管理，加快项目实施进度</w:t>
      </w:r>
      <w:bookmarkEnd w:id="184"/>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一是规范项目管理，加强项目实施过程中的进度控制，对于影响项目进度的不确定因素，尽快采取相应的解决措施和方法，从而保障项目按计划实施，避免项目开工拖延和时效缺陷。二是加强部门监督，督促相关项目实施单位加快进度，严格落实年度工作计划，提升工作效率，尽快完成项目目标任务。</w:t>
      </w:r>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outlineLvl w:val="0"/>
        <w:rPr>
          <w:rFonts w:hint="eastAsia" w:ascii="黑体" w:hAnsi="黑体" w:eastAsia="黑体" w:cs="仿宋"/>
          <w:b w:val="0"/>
          <w:bCs w:val="0"/>
          <w:highlight w:val="none"/>
        </w:rPr>
      </w:pPr>
      <w:bookmarkStart w:id="185" w:name="_Toc14765"/>
      <w:bookmarkStart w:id="186" w:name="_Toc8653"/>
      <w:bookmarkStart w:id="187" w:name="_Toc135594845"/>
      <w:r>
        <w:rPr>
          <w:rFonts w:hint="eastAsia" w:ascii="黑体" w:hAnsi="黑体" w:eastAsia="黑体" w:cs="仿宋"/>
          <w:b w:val="0"/>
          <w:bCs w:val="0"/>
          <w:highlight w:val="none"/>
        </w:rPr>
        <w:t>九、需要说明的问题</w:t>
      </w:r>
      <w:bookmarkEnd w:id="185"/>
      <w:bookmarkEnd w:id="186"/>
      <w:bookmarkEnd w:id="187"/>
    </w:p>
    <w:p>
      <w:pPr>
        <w:pStyle w:val="2"/>
        <w:keepNext w:val="0"/>
        <w:keepLines w:val="0"/>
        <w:pageBreakBefore w:val="0"/>
        <w:widowControl w:val="0"/>
        <w:kinsoku/>
        <w:wordWrap/>
        <w:overflowPunct w:val="0"/>
        <w:topLinePunct w:val="0"/>
        <w:autoSpaceDE/>
        <w:autoSpaceDN/>
        <w:bidi w:val="0"/>
        <w:adjustRightInd/>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无。</w:t>
      </w:r>
    </w:p>
    <w:p>
      <w:pPr>
        <w:pStyle w:val="2"/>
        <w:keepNext w:val="0"/>
        <w:keepLines w:val="0"/>
        <w:pageBreakBefore w:val="0"/>
        <w:widowControl w:val="0"/>
        <w:kinsoku/>
        <w:wordWrap/>
        <w:overflowPunct w:val="0"/>
        <w:topLinePunct w:val="0"/>
        <w:autoSpaceDE/>
        <w:autoSpaceDN/>
        <w:bidi w:val="0"/>
        <w:adjustRightInd/>
        <w:spacing w:line="660" w:lineRule="exact"/>
        <w:ind w:left="111" w:right="125" w:firstLine="639"/>
        <w:rPr>
          <w:rFonts w:ascii="仿宋" w:hAnsi="仿宋" w:eastAsia="仿宋" w:cs="仿宋"/>
          <w:highlight w:val="none"/>
        </w:rPr>
      </w:pPr>
      <w:r>
        <w:rPr>
          <w:rFonts w:hint="eastAsia" w:ascii="仿宋" w:hAnsi="仿宋" w:eastAsia="仿宋" w:cs="仿宋"/>
          <w:highlight w:val="none"/>
        </w:rPr>
        <w:t xml:space="preserve">                    </w:t>
      </w:r>
      <w:bookmarkStart w:id="188" w:name="_Toc28005"/>
    </w:p>
    <w:p>
      <w:pPr>
        <w:keepNext w:val="0"/>
        <w:keepLines w:val="0"/>
        <w:pageBreakBefore w:val="0"/>
        <w:widowControl w:val="0"/>
        <w:kinsoku/>
        <w:wordWrap/>
        <w:overflowPunct w:val="0"/>
        <w:topLinePunct w:val="0"/>
        <w:autoSpaceDE/>
        <w:autoSpaceDN/>
        <w:bidi w:val="0"/>
        <w:adjustRightInd/>
        <w:rPr>
          <w:rFonts w:ascii="仿宋" w:hAnsi="仿宋" w:eastAsia="仿宋" w:cs="仿宋"/>
          <w:highlight w:val="none"/>
        </w:rPr>
      </w:pPr>
      <w:r>
        <w:rPr>
          <w:rFonts w:hint="eastAsia" w:ascii="仿宋" w:hAnsi="仿宋" w:eastAsia="仿宋" w:cs="仿宋"/>
          <w:highlight w:val="none"/>
        </w:rPr>
        <w:br w:type="page"/>
      </w:r>
    </w:p>
    <w:p>
      <w:pPr>
        <w:pStyle w:val="2"/>
        <w:keepNext w:val="0"/>
        <w:keepLines w:val="0"/>
        <w:pageBreakBefore w:val="0"/>
        <w:widowControl w:val="0"/>
        <w:kinsoku/>
        <w:wordWrap/>
        <w:overflowPunct w:val="0"/>
        <w:topLinePunct w:val="0"/>
        <w:autoSpaceDE/>
        <w:autoSpaceDN/>
        <w:bidi w:val="0"/>
        <w:adjustRightInd/>
        <w:spacing w:line="660" w:lineRule="exact"/>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本页无正文</w:t>
      </w:r>
      <w:r>
        <w:rPr>
          <w:rFonts w:hint="eastAsia" w:ascii="仿宋" w:hAnsi="仿宋" w:eastAsia="仿宋" w:cs="仿宋"/>
          <w:highlight w:val="none"/>
          <w:lang w:eastAsia="zh-CN"/>
        </w:rPr>
        <w:t>）</w:t>
      </w:r>
    </w:p>
    <w:p>
      <w:pPr>
        <w:pStyle w:val="2"/>
        <w:keepNext w:val="0"/>
        <w:keepLines w:val="0"/>
        <w:pageBreakBefore w:val="0"/>
        <w:widowControl w:val="0"/>
        <w:kinsoku/>
        <w:wordWrap/>
        <w:overflowPunct w:val="0"/>
        <w:topLinePunct w:val="0"/>
        <w:autoSpaceDE/>
        <w:autoSpaceDN/>
        <w:bidi w:val="0"/>
        <w:adjustRightInd/>
        <w:spacing w:line="660" w:lineRule="exact"/>
        <w:rPr>
          <w:rFonts w:ascii="仿宋" w:hAnsi="仿宋" w:eastAsia="仿宋" w:cs="仿宋"/>
          <w:highlight w:val="none"/>
        </w:rPr>
      </w:pPr>
      <w:r>
        <w:rPr>
          <w:rFonts w:hint="eastAsia" w:ascii="仿宋" w:hAnsi="仿宋" w:eastAsia="仿宋" w:cs="仿宋"/>
          <w:highlight w:val="none"/>
        </w:rPr>
        <w:t>附表：1.</w:t>
      </w:r>
      <w:bookmarkEnd w:id="188"/>
      <w:r>
        <w:rPr>
          <w:rFonts w:hint="eastAsia" w:ascii="仿宋" w:hAnsi="仿宋" w:eastAsia="仿宋" w:cs="仿宋"/>
          <w:highlight w:val="none"/>
        </w:rPr>
        <w:t>全省“智慧法院”信息化项目支出绩效评价评分表</w:t>
      </w:r>
    </w:p>
    <w:p>
      <w:pPr>
        <w:pStyle w:val="2"/>
        <w:keepNext w:val="0"/>
        <w:keepLines w:val="0"/>
        <w:pageBreakBefore w:val="0"/>
        <w:widowControl w:val="0"/>
        <w:kinsoku/>
        <w:wordWrap/>
        <w:overflowPunct w:val="0"/>
        <w:topLinePunct w:val="0"/>
        <w:autoSpaceDE/>
        <w:autoSpaceDN/>
        <w:bidi w:val="0"/>
        <w:adjustRightInd/>
        <w:snapToGrid/>
        <w:spacing w:line="660" w:lineRule="exact"/>
        <w:ind w:left="0" w:leftChars="0" w:firstLine="960" w:firstLineChars="300"/>
        <w:jc w:val="left"/>
        <w:textAlignment w:val="auto"/>
        <w:rPr>
          <w:rFonts w:ascii="仿宋" w:hAnsi="仿宋" w:eastAsia="仿宋" w:cs="仿宋"/>
          <w:highlight w:val="none"/>
        </w:rPr>
      </w:pPr>
      <w:bookmarkStart w:id="189" w:name="_Toc15958"/>
      <w:r>
        <w:rPr>
          <w:rFonts w:hint="eastAsia" w:ascii="仿宋" w:hAnsi="仿宋" w:eastAsia="仿宋" w:cs="仿宋"/>
          <w:highlight w:val="none"/>
        </w:rPr>
        <w:t>2.全省“智慧法院”信息化项目问题清单</w:t>
      </w:r>
    </w:p>
    <w:bookmarkEnd w:id="189"/>
    <w:p>
      <w:pPr>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r>
        <w:rPr>
          <w:rFonts w:hint="eastAsia" w:ascii="仿宋" w:hAnsi="仿宋" w:eastAsia="仿宋" w:cs="仿宋"/>
          <w:sz w:val="32"/>
          <w:szCs w:val="32"/>
          <w:highlight w:val="none"/>
        </w:rPr>
        <w:t xml:space="preserve">                           甘肃卓诚财务咨询有限公司</w:t>
      </w: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r>
        <w:rPr>
          <w:rFonts w:hint="eastAsia" w:ascii="仿宋" w:hAnsi="仿宋" w:eastAsia="仿宋" w:cs="仿宋"/>
          <w:sz w:val="32"/>
          <w:szCs w:val="32"/>
          <w:highlight w:val="none"/>
        </w:rPr>
        <w:t xml:space="preserve">                                     </w:t>
      </w:r>
    </w:p>
    <w:p>
      <w:pPr>
        <w:pStyle w:val="12"/>
        <w:keepNext w:val="0"/>
        <w:keepLines w:val="0"/>
        <w:pageBreakBefore w:val="0"/>
        <w:widowControl w:val="0"/>
        <w:kinsoku/>
        <w:wordWrap/>
        <w:overflowPunct w:val="0"/>
        <w:topLinePunct w:val="0"/>
        <w:autoSpaceDE/>
        <w:autoSpaceDN/>
        <w:bidi w:val="0"/>
        <w:adjustRightInd/>
        <w:ind w:firstLine="5120" w:firstLineChars="1600"/>
        <w:rPr>
          <w:rFonts w:ascii="仿宋" w:hAnsi="仿宋" w:eastAsia="仿宋" w:cs="仿宋"/>
          <w:sz w:val="32"/>
          <w:szCs w:val="32"/>
          <w:highlight w:val="none"/>
        </w:rPr>
      </w:pPr>
      <w:r>
        <w:rPr>
          <w:rFonts w:hint="eastAsia" w:ascii="仿宋" w:hAnsi="仿宋" w:eastAsia="仿宋" w:cs="仿宋"/>
          <w:sz w:val="32"/>
          <w:szCs w:val="32"/>
          <w:highlight w:val="none"/>
        </w:rPr>
        <w:t>2023年5月</w:t>
      </w:r>
      <w:r>
        <w:rPr>
          <w:rFonts w:hint="eastAsia" w:ascii="仿宋" w:hAnsi="仿宋" w:eastAsia="仿宋" w:cs="仿宋"/>
          <w:sz w:val="32"/>
          <w:szCs w:val="32"/>
          <w:highlight w:val="none"/>
          <w:lang w:val="en-US" w:eastAsia="zh-CN"/>
        </w:rPr>
        <w:t>29</w:t>
      </w:r>
      <w:r>
        <w:rPr>
          <w:rFonts w:hint="eastAsia" w:ascii="仿宋" w:hAnsi="仿宋" w:eastAsia="仿宋" w:cs="仿宋"/>
          <w:sz w:val="32"/>
          <w:szCs w:val="32"/>
          <w:highlight w:val="none"/>
        </w:rPr>
        <w:t>日</w:t>
      </w: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F9B983-10C7-4DE7-AAA1-F1FBD06178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06988231-F418-4248-8662-16E8DB45EF0D}"/>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5712C218-0A52-400E-BD21-CA8E18873FA6}"/>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embedRegular r:id="rId4" w:fontKey="{EE29AED4-AAB9-4F01-AD40-92E9705186D1}"/>
  </w:font>
  <w:font w:name="楷体">
    <w:panose1 w:val="02010609060101010101"/>
    <w:charset w:val="86"/>
    <w:family w:val="modern"/>
    <w:pitch w:val="default"/>
    <w:sig w:usb0="800002BF" w:usb1="38CF7CFA" w:usb2="00000016" w:usb3="00000000" w:csb0="00040001" w:csb1="00000000"/>
    <w:embedRegular r:id="rId5" w:fontKey="{C9D5F86C-767B-419C-B7B6-CA6471393B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2548890</wp:posOffset>
              </wp:positionH>
              <wp:positionV relativeFrom="paragraph">
                <wp:posOffset>349885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0.7pt;margin-top:27.55pt;height:144pt;width:144pt;mso-position-horizontal-relative:margin;mso-wrap-style:none;z-index:251659264;mso-width-relative:page;mso-height-relative:page;" filled="f" stroked="f" coordsize="21600,21600" o:gfxdata="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nc/pl1wAAAAoBAAAPAAAAAAAAAAEAIAAAACIAAABkcnMvZG93bnJldi54bWxQ&#10;SwECFAAUAAAACACHTuJAJIJGtDECAABhBAAADgAAAAAAAAABACAAAAAmAQAAZHJzL2Uyb0RvYy54&#10;bWxQSwUGAAAAAAYABgBZAQAAy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rPr>
      <w:t>地址：甘肃省兰州市</w:t>
    </w:r>
    <w:r>
      <w:rPr>
        <w:rFonts w:ascii="黑体" w:hAnsi="黑体" w:eastAsia="黑体"/>
      </w:rPr>
      <w:t>城关区</w:t>
    </w:r>
    <w:r>
      <w:rPr>
        <w:rFonts w:hint="eastAsia" w:ascii="黑体" w:hAnsi="黑体" w:eastAsia="黑体"/>
        <w:lang w:val="en-US" w:eastAsia="zh-CN"/>
      </w:rPr>
      <w:t>南滨河</w:t>
    </w:r>
    <w:r>
      <w:rPr>
        <w:rFonts w:ascii="黑体" w:hAnsi="黑体" w:eastAsia="黑体"/>
      </w:rPr>
      <w:t>东路</w:t>
    </w:r>
    <w:r>
      <w:rPr>
        <w:rFonts w:hint="eastAsia" w:ascii="黑体" w:hAnsi="黑体" w:eastAsia="黑体"/>
        <w:lang w:val="en-US" w:eastAsia="zh-CN"/>
      </w:rPr>
      <w:t>5148</w:t>
    </w:r>
    <w:r>
      <w:rPr>
        <w:rFonts w:hint="eastAsia" w:ascii="黑体" w:hAnsi="黑体" w:eastAsia="黑体"/>
      </w:rPr>
      <w:t>号</w:t>
    </w:r>
    <w:r>
      <w:rPr>
        <w:rFonts w:hint="eastAsia" w:ascii="黑体" w:hAnsi="黑体" w:eastAsia="黑体"/>
        <w:lang w:val="en-US" w:eastAsia="zh-CN"/>
      </w:rPr>
      <w:t>名城广场1栋1单元20</w:t>
    </w:r>
    <w:r>
      <w:rPr>
        <w:rFonts w:hint="eastAsia" w:ascii="黑体" w:hAnsi="黑体" w:eastAsia="黑体"/>
      </w:rPr>
      <w:t>层</w:t>
    </w:r>
    <w:r>
      <w:rPr>
        <w:rFonts w:hint="eastAsia" w:ascii="黑体" w:hAnsi="黑体" w:eastAsia="黑体"/>
        <w:lang w:val="en-US" w:eastAsia="zh-CN"/>
      </w:rPr>
      <w:t>2016室</w:t>
    </w:r>
    <w:r>
      <w:rPr>
        <w:rFonts w:ascii="黑体" w:hAnsi="黑体" w:eastAsia="黑体"/>
      </w:rPr>
      <w:t xml:space="preserve">  </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9" name="图片 9"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u w:val="single"/>
        <w:lang w:val="en-US" w:eastAsia="zh-CN"/>
        <w14:textFill>
          <w14:solidFill>
            <w14:schemeClr w14:val="tx1"/>
          </w14:solidFill>
        </w14:textFill>
      </w:rPr>
      <w:t>绩效评价报告</w:t>
    </w:r>
  </w:p>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D1ACB"/>
    <w:multiLevelType w:val="singleLevel"/>
    <w:tmpl w:val="1A7D1ACB"/>
    <w:lvl w:ilvl="0" w:tentative="0">
      <w:start w:val="5"/>
      <w:numFmt w:val="chineseCounting"/>
      <w:suff w:val="nothing"/>
      <w:lvlText w:val="%1、"/>
      <w:lvlJc w:val="left"/>
      <w:rPr>
        <w:rFonts w:hint="eastAsia"/>
      </w:rPr>
    </w:lvl>
  </w:abstractNum>
  <w:abstractNum w:abstractNumId="1">
    <w:nsid w:val="7B6D6B77"/>
    <w:multiLevelType w:val="singleLevel"/>
    <w:tmpl w:val="7B6D6B7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lYmY1MTgwOGU5Yjc1ZjhiNGE5NWFhODQxN2YyNjIifQ=="/>
  </w:docVars>
  <w:rsids>
    <w:rsidRoot w:val="0F9473FE"/>
    <w:rsid w:val="0000216A"/>
    <w:rsid w:val="00037090"/>
    <w:rsid w:val="00046BCA"/>
    <w:rsid w:val="00051C05"/>
    <w:rsid w:val="00064326"/>
    <w:rsid w:val="000643BA"/>
    <w:rsid w:val="000753A4"/>
    <w:rsid w:val="000A4E2C"/>
    <w:rsid w:val="000C1B1E"/>
    <w:rsid w:val="000F2060"/>
    <w:rsid w:val="000F34E0"/>
    <w:rsid w:val="00100C77"/>
    <w:rsid w:val="001104A4"/>
    <w:rsid w:val="001105B7"/>
    <w:rsid w:val="00112EEC"/>
    <w:rsid w:val="001318C8"/>
    <w:rsid w:val="00137C9D"/>
    <w:rsid w:val="00140940"/>
    <w:rsid w:val="0014363A"/>
    <w:rsid w:val="001531B6"/>
    <w:rsid w:val="0015398F"/>
    <w:rsid w:val="00170334"/>
    <w:rsid w:val="00172CD5"/>
    <w:rsid w:val="00172DFF"/>
    <w:rsid w:val="001B6342"/>
    <w:rsid w:val="00203DC9"/>
    <w:rsid w:val="00232042"/>
    <w:rsid w:val="002324DF"/>
    <w:rsid w:val="00246D16"/>
    <w:rsid w:val="002555FD"/>
    <w:rsid w:val="00256EBC"/>
    <w:rsid w:val="00267454"/>
    <w:rsid w:val="002967A9"/>
    <w:rsid w:val="00296D38"/>
    <w:rsid w:val="002A7299"/>
    <w:rsid w:val="002D1330"/>
    <w:rsid w:val="002D789A"/>
    <w:rsid w:val="002D79DD"/>
    <w:rsid w:val="002E3891"/>
    <w:rsid w:val="002E6422"/>
    <w:rsid w:val="002F33E7"/>
    <w:rsid w:val="00307F85"/>
    <w:rsid w:val="0031439E"/>
    <w:rsid w:val="00351E08"/>
    <w:rsid w:val="00355885"/>
    <w:rsid w:val="00355CF4"/>
    <w:rsid w:val="003631E5"/>
    <w:rsid w:val="00363DA7"/>
    <w:rsid w:val="0036744F"/>
    <w:rsid w:val="00375AD2"/>
    <w:rsid w:val="0038540D"/>
    <w:rsid w:val="003947F2"/>
    <w:rsid w:val="00395522"/>
    <w:rsid w:val="00395F53"/>
    <w:rsid w:val="003B223D"/>
    <w:rsid w:val="003B748F"/>
    <w:rsid w:val="003C0E0C"/>
    <w:rsid w:val="003C6511"/>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5384"/>
    <w:rsid w:val="0070777E"/>
    <w:rsid w:val="00736A39"/>
    <w:rsid w:val="007406DE"/>
    <w:rsid w:val="00742474"/>
    <w:rsid w:val="007433B6"/>
    <w:rsid w:val="0074366E"/>
    <w:rsid w:val="00746793"/>
    <w:rsid w:val="0077156E"/>
    <w:rsid w:val="007777B8"/>
    <w:rsid w:val="007805A7"/>
    <w:rsid w:val="007900CD"/>
    <w:rsid w:val="0079033E"/>
    <w:rsid w:val="007A100D"/>
    <w:rsid w:val="007C2CDD"/>
    <w:rsid w:val="007C7458"/>
    <w:rsid w:val="007D441F"/>
    <w:rsid w:val="007E3DA4"/>
    <w:rsid w:val="0080585C"/>
    <w:rsid w:val="0081518C"/>
    <w:rsid w:val="00822FBE"/>
    <w:rsid w:val="00831664"/>
    <w:rsid w:val="00832BAA"/>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68A7"/>
    <w:rsid w:val="008F3CDC"/>
    <w:rsid w:val="0092595D"/>
    <w:rsid w:val="00951D57"/>
    <w:rsid w:val="009522FA"/>
    <w:rsid w:val="00952A97"/>
    <w:rsid w:val="009532AE"/>
    <w:rsid w:val="009556AA"/>
    <w:rsid w:val="00962C53"/>
    <w:rsid w:val="00984208"/>
    <w:rsid w:val="009A5F10"/>
    <w:rsid w:val="009C488C"/>
    <w:rsid w:val="009C7579"/>
    <w:rsid w:val="00A0647F"/>
    <w:rsid w:val="00A130AA"/>
    <w:rsid w:val="00A4749D"/>
    <w:rsid w:val="00A50ACF"/>
    <w:rsid w:val="00A65C51"/>
    <w:rsid w:val="00A779D6"/>
    <w:rsid w:val="00A94859"/>
    <w:rsid w:val="00A95371"/>
    <w:rsid w:val="00AA7F7A"/>
    <w:rsid w:val="00AE6EF7"/>
    <w:rsid w:val="00AF3AD7"/>
    <w:rsid w:val="00B07904"/>
    <w:rsid w:val="00B07C4B"/>
    <w:rsid w:val="00B14C20"/>
    <w:rsid w:val="00B2231F"/>
    <w:rsid w:val="00B31FF4"/>
    <w:rsid w:val="00B570AE"/>
    <w:rsid w:val="00B61F9A"/>
    <w:rsid w:val="00B77331"/>
    <w:rsid w:val="00B9317B"/>
    <w:rsid w:val="00B95E7C"/>
    <w:rsid w:val="00BC1290"/>
    <w:rsid w:val="00BD3CCA"/>
    <w:rsid w:val="00BD632C"/>
    <w:rsid w:val="00C010A7"/>
    <w:rsid w:val="00C34C1C"/>
    <w:rsid w:val="00C4547F"/>
    <w:rsid w:val="00C63032"/>
    <w:rsid w:val="00C84D69"/>
    <w:rsid w:val="00CA5249"/>
    <w:rsid w:val="00CB2025"/>
    <w:rsid w:val="00CB64D6"/>
    <w:rsid w:val="00CE12D1"/>
    <w:rsid w:val="00D37060"/>
    <w:rsid w:val="00D40F23"/>
    <w:rsid w:val="00D413DF"/>
    <w:rsid w:val="00D42B30"/>
    <w:rsid w:val="00D71E50"/>
    <w:rsid w:val="00D71E6D"/>
    <w:rsid w:val="00D7279D"/>
    <w:rsid w:val="00D76F46"/>
    <w:rsid w:val="00D97669"/>
    <w:rsid w:val="00DC76C2"/>
    <w:rsid w:val="00DD753B"/>
    <w:rsid w:val="00DE6582"/>
    <w:rsid w:val="00E070C6"/>
    <w:rsid w:val="00E1622C"/>
    <w:rsid w:val="00E35CB0"/>
    <w:rsid w:val="00E67E6B"/>
    <w:rsid w:val="00E7278C"/>
    <w:rsid w:val="00EB0813"/>
    <w:rsid w:val="00ED264E"/>
    <w:rsid w:val="00ED2CC9"/>
    <w:rsid w:val="00ED629E"/>
    <w:rsid w:val="00EE1878"/>
    <w:rsid w:val="00EE1E54"/>
    <w:rsid w:val="00EE2984"/>
    <w:rsid w:val="00F1037C"/>
    <w:rsid w:val="00F12EF7"/>
    <w:rsid w:val="00F613D1"/>
    <w:rsid w:val="00F62C47"/>
    <w:rsid w:val="00F772C2"/>
    <w:rsid w:val="00F80F07"/>
    <w:rsid w:val="00F835CD"/>
    <w:rsid w:val="00FA0910"/>
    <w:rsid w:val="00FA6867"/>
    <w:rsid w:val="00FD1277"/>
    <w:rsid w:val="00FD6444"/>
    <w:rsid w:val="01681A9F"/>
    <w:rsid w:val="02963DFC"/>
    <w:rsid w:val="03E97283"/>
    <w:rsid w:val="045645C0"/>
    <w:rsid w:val="06992C3B"/>
    <w:rsid w:val="06C611E2"/>
    <w:rsid w:val="08CD16FF"/>
    <w:rsid w:val="08F22909"/>
    <w:rsid w:val="09B86E32"/>
    <w:rsid w:val="0ADA4907"/>
    <w:rsid w:val="0E2F75DE"/>
    <w:rsid w:val="0F9473FE"/>
    <w:rsid w:val="0FF03D3B"/>
    <w:rsid w:val="10D92909"/>
    <w:rsid w:val="11DE4F14"/>
    <w:rsid w:val="13071A5B"/>
    <w:rsid w:val="142D5185"/>
    <w:rsid w:val="14DC21B2"/>
    <w:rsid w:val="15751FAA"/>
    <w:rsid w:val="178E68E1"/>
    <w:rsid w:val="185B5533"/>
    <w:rsid w:val="187769F1"/>
    <w:rsid w:val="19871A5C"/>
    <w:rsid w:val="19C74D0D"/>
    <w:rsid w:val="1F037124"/>
    <w:rsid w:val="1F3A4035"/>
    <w:rsid w:val="207760A0"/>
    <w:rsid w:val="226D6F9C"/>
    <w:rsid w:val="22B834CC"/>
    <w:rsid w:val="22BA6C58"/>
    <w:rsid w:val="22F977E7"/>
    <w:rsid w:val="2471558C"/>
    <w:rsid w:val="24B3368D"/>
    <w:rsid w:val="24FF4DBF"/>
    <w:rsid w:val="25061054"/>
    <w:rsid w:val="256D300D"/>
    <w:rsid w:val="26C47DB8"/>
    <w:rsid w:val="277C2B6C"/>
    <w:rsid w:val="280C100C"/>
    <w:rsid w:val="28E219C5"/>
    <w:rsid w:val="2CB02D9F"/>
    <w:rsid w:val="2D4C5931"/>
    <w:rsid w:val="2D637948"/>
    <w:rsid w:val="2E0F48DF"/>
    <w:rsid w:val="2E3A29A3"/>
    <w:rsid w:val="2E9101DD"/>
    <w:rsid w:val="309C7D35"/>
    <w:rsid w:val="326D69DB"/>
    <w:rsid w:val="327F759B"/>
    <w:rsid w:val="32B1544F"/>
    <w:rsid w:val="336851BD"/>
    <w:rsid w:val="360D6BFA"/>
    <w:rsid w:val="360E3D90"/>
    <w:rsid w:val="36AC0DBB"/>
    <w:rsid w:val="38830D8A"/>
    <w:rsid w:val="38C45C47"/>
    <w:rsid w:val="3A4F526F"/>
    <w:rsid w:val="3B785D68"/>
    <w:rsid w:val="3BF42446"/>
    <w:rsid w:val="3C6E1044"/>
    <w:rsid w:val="3D3C4233"/>
    <w:rsid w:val="3E1D2536"/>
    <w:rsid w:val="3F637AF0"/>
    <w:rsid w:val="3F9B4224"/>
    <w:rsid w:val="40692574"/>
    <w:rsid w:val="40F956A6"/>
    <w:rsid w:val="41F87CDA"/>
    <w:rsid w:val="42C321E3"/>
    <w:rsid w:val="43D0473C"/>
    <w:rsid w:val="44CF424F"/>
    <w:rsid w:val="44FE7ACA"/>
    <w:rsid w:val="45706814"/>
    <w:rsid w:val="45C874D2"/>
    <w:rsid w:val="45D91639"/>
    <w:rsid w:val="46AE2200"/>
    <w:rsid w:val="46F96E62"/>
    <w:rsid w:val="47207120"/>
    <w:rsid w:val="475A7885"/>
    <w:rsid w:val="483B5A4C"/>
    <w:rsid w:val="487970CD"/>
    <w:rsid w:val="48EC7EFA"/>
    <w:rsid w:val="49182F23"/>
    <w:rsid w:val="49F22E5E"/>
    <w:rsid w:val="4A7A052A"/>
    <w:rsid w:val="4C485BFD"/>
    <w:rsid w:val="4D1E4205"/>
    <w:rsid w:val="508E5692"/>
    <w:rsid w:val="528B6A42"/>
    <w:rsid w:val="531A233B"/>
    <w:rsid w:val="5336249B"/>
    <w:rsid w:val="53BA1381"/>
    <w:rsid w:val="54AA7074"/>
    <w:rsid w:val="54E52762"/>
    <w:rsid w:val="54EB1B7E"/>
    <w:rsid w:val="55EB5D70"/>
    <w:rsid w:val="56DC723A"/>
    <w:rsid w:val="56E5244E"/>
    <w:rsid w:val="57114DA6"/>
    <w:rsid w:val="57BA3C8B"/>
    <w:rsid w:val="587A4EC7"/>
    <w:rsid w:val="58D53E07"/>
    <w:rsid w:val="5A4412E8"/>
    <w:rsid w:val="5AC53E38"/>
    <w:rsid w:val="5D4D151D"/>
    <w:rsid w:val="5D4E5113"/>
    <w:rsid w:val="5D5C1A81"/>
    <w:rsid w:val="5EAD3211"/>
    <w:rsid w:val="5EF872DF"/>
    <w:rsid w:val="60392C69"/>
    <w:rsid w:val="61547EB7"/>
    <w:rsid w:val="624962C1"/>
    <w:rsid w:val="627F3AB4"/>
    <w:rsid w:val="62D957B2"/>
    <w:rsid w:val="63B61510"/>
    <w:rsid w:val="64D21F0E"/>
    <w:rsid w:val="65527A8B"/>
    <w:rsid w:val="66351641"/>
    <w:rsid w:val="66E45317"/>
    <w:rsid w:val="675E0579"/>
    <w:rsid w:val="67715DA2"/>
    <w:rsid w:val="67746BAD"/>
    <w:rsid w:val="68807C45"/>
    <w:rsid w:val="6B083EEF"/>
    <w:rsid w:val="6B9D61A3"/>
    <w:rsid w:val="6E2C310F"/>
    <w:rsid w:val="6E2E7D17"/>
    <w:rsid w:val="6ED83431"/>
    <w:rsid w:val="6FC00ECA"/>
    <w:rsid w:val="6FCA5E2A"/>
    <w:rsid w:val="704A2F79"/>
    <w:rsid w:val="70593D8C"/>
    <w:rsid w:val="70D40212"/>
    <w:rsid w:val="755D4459"/>
    <w:rsid w:val="760D4365"/>
    <w:rsid w:val="76472434"/>
    <w:rsid w:val="77040325"/>
    <w:rsid w:val="77AA195C"/>
    <w:rsid w:val="796F3EA3"/>
    <w:rsid w:val="79AB0441"/>
    <w:rsid w:val="7B5F3D7C"/>
    <w:rsid w:val="7BE944F5"/>
    <w:rsid w:val="7C367028"/>
    <w:rsid w:val="7CCD2F68"/>
    <w:rsid w:val="7DBA24FB"/>
    <w:rsid w:val="7E6D01A7"/>
    <w:rsid w:val="7E95731E"/>
    <w:rsid w:val="7F042647"/>
    <w:rsid w:val="7F3D0469"/>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27"/>
    <w:unhideWhenUsed/>
    <w:qFormat/>
    <w:uiPriority w:val="0"/>
    <w:pPr>
      <w:keepNext/>
      <w:keepLines/>
      <w:spacing w:line="360" w:lineRule="auto"/>
      <w:ind w:firstLine="200" w:firstLineChars="200"/>
      <w:outlineLvl w:val="1"/>
    </w:pPr>
    <w:rPr>
      <w:rFonts w:ascii="Arial" w:hAnsi="Arial" w:eastAsia="仿宋"/>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17">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eastAsia="仿宋_GB2312"/>
      <w:sz w:val="32"/>
      <w:szCs w:val="32"/>
    </w:rPr>
  </w:style>
  <w:style w:type="paragraph" w:styleId="3">
    <w:name w:val="footer"/>
    <w:basedOn w:val="1"/>
    <w:link w:val="28"/>
    <w:qFormat/>
    <w:uiPriority w:val="99"/>
    <w:pPr>
      <w:tabs>
        <w:tab w:val="center" w:pos="4153"/>
        <w:tab w:val="right" w:pos="8306"/>
      </w:tabs>
      <w:snapToGrid w:val="0"/>
      <w:jc w:val="left"/>
    </w:pPr>
    <w:rPr>
      <w:sz w:val="18"/>
    </w:rPr>
  </w:style>
  <w:style w:type="paragraph" w:styleId="8">
    <w:name w:val="annotation text"/>
    <w:basedOn w:val="1"/>
    <w:qFormat/>
    <w:uiPriority w:val="0"/>
    <w:pPr>
      <w:jc w:val="left"/>
    </w:pPr>
  </w:style>
  <w:style w:type="paragraph" w:styleId="9">
    <w:name w:val="toc 3"/>
    <w:basedOn w:val="1"/>
    <w:next w:val="1"/>
    <w:qFormat/>
    <w:uiPriority w:val="0"/>
    <w:pPr>
      <w:ind w:left="840" w:leftChars="400"/>
    </w:pPr>
  </w:style>
  <w:style w:type="paragraph" w:styleId="10">
    <w:name w:val="Body Text Indent 2"/>
    <w:basedOn w:val="1"/>
    <w:next w:val="11"/>
    <w:qFormat/>
    <w:uiPriority w:val="0"/>
    <w:pPr>
      <w:spacing w:after="120" w:line="480" w:lineRule="auto"/>
      <w:ind w:left="420" w:leftChars="200"/>
    </w:pPr>
    <w:rPr>
      <w:rFonts w:ascii="Calibri" w:hAnsi="Calibri" w:eastAsia="宋体"/>
    </w:rPr>
  </w:style>
  <w:style w:type="paragraph" w:styleId="11">
    <w:name w:val="toc 9"/>
    <w:next w:val="1"/>
    <w:qFormat/>
    <w:uiPriority w:val="0"/>
    <w:pPr>
      <w:wordWrap w:val="0"/>
      <w:ind w:left="2975"/>
      <w:jc w:val="both"/>
    </w:pPr>
    <w:rPr>
      <w:rFonts w:ascii="Calibri" w:hAnsi="Calibri" w:eastAsia="宋体" w:cs="Times New Roman"/>
      <w:sz w:val="21"/>
      <w:szCs w:val="22"/>
      <w:lang w:val="en-US" w:eastAsia="zh-CN"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qFormat/>
    <w:uiPriority w:val="0"/>
    <w:rPr>
      <w:sz w:val="21"/>
      <w:szCs w:val="21"/>
    </w:rPr>
  </w:style>
  <w:style w:type="paragraph" w:customStyle="1" w:styleId="20">
    <w:name w:val="正文文本缩进 21"/>
    <w:basedOn w:val="1"/>
    <w:next w:val="12"/>
    <w:qFormat/>
    <w:uiPriority w:val="0"/>
    <w:pPr>
      <w:spacing w:line="480" w:lineRule="auto"/>
      <w:ind w:left="420" w:leftChars="200"/>
    </w:pPr>
  </w:style>
  <w:style w:type="paragraph" w:customStyle="1" w:styleId="21">
    <w:name w:val="样式  + 首行缩进:  2 字符"/>
    <w:basedOn w:val="1"/>
    <w:qFormat/>
    <w:uiPriority w:val="0"/>
    <w:pPr>
      <w:adjustRightInd w:val="0"/>
      <w:snapToGrid w:val="0"/>
      <w:ind w:firstLine="480"/>
    </w:pPr>
    <w:rPr>
      <w:kern w:val="0"/>
      <w:sz w:val="24"/>
    </w:rPr>
  </w:style>
  <w:style w:type="paragraph" w:styleId="22">
    <w:name w:val="List Paragraph"/>
    <w:basedOn w:val="1"/>
    <w:qFormat/>
    <w:uiPriority w:val="99"/>
    <w:pPr>
      <w:ind w:firstLine="420" w:firstLineChars="200"/>
    </w:p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5">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6">
    <w:name w:val="标题 1 字符"/>
    <w:basedOn w:val="17"/>
    <w:link w:val="4"/>
    <w:qFormat/>
    <w:uiPriority w:val="0"/>
    <w:rPr>
      <w:rFonts w:asciiTheme="minorHAnsi" w:hAnsiTheme="minorHAnsi" w:eastAsiaTheme="minorEastAsia" w:cstheme="minorBidi"/>
      <w:b/>
      <w:bCs/>
      <w:kern w:val="44"/>
      <w:sz w:val="44"/>
      <w:szCs w:val="44"/>
    </w:rPr>
  </w:style>
  <w:style w:type="character" w:customStyle="1" w:styleId="27">
    <w:name w:val="标题 2 字符"/>
    <w:link w:val="5"/>
    <w:qFormat/>
    <w:uiPriority w:val="0"/>
    <w:rPr>
      <w:rFonts w:ascii="Arial" w:hAnsi="Arial" w:eastAsia="仿宋"/>
      <w:b/>
      <w:sz w:val="32"/>
    </w:rPr>
  </w:style>
  <w:style w:type="character" w:customStyle="1" w:styleId="28">
    <w:name w:val="页脚 字符"/>
    <w:basedOn w:val="17"/>
    <w:link w:val="3"/>
    <w:qFormat/>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chart" Target="charts/chart6.xml"/><Relationship Id="rId13" Type="http://schemas.openxmlformats.org/officeDocument/2006/relationships/chart" Target="charts/chart5.xml"/><Relationship Id="rId12" Type="http://schemas.openxmlformats.org/officeDocument/2006/relationships/chart" Target="charts/chart4.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00" b="0" i="0" u="none" strike="noStrike" kern="1200" spc="0" baseline="0">
                <a:solidFill>
                  <a:schemeClr val="tx1"/>
                </a:solidFill>
                <a:latin typeface="+mn-lt"/>
                <a:ea typeface="+mn-ea"/>
                <a:cs typeface="+mn-cs"/>
              </a:defRPr>
            </a:pPr>
            <a:r>
              <a:rPr lang="zh-CN" altLang="en-US" sz="1200"/>
              <a:t>         全省</a:t>
            </a:r>
            <a:r>
              <a:rPr lang="en-US" altLang="zh-CN" sz="1200"/>
              <a:t>“</a:t>
            </a:r>
            <a:r>
              <a:rPr altLang="en-US" sz="1200"/>
              <a:t>智慧法院</a:t>
            </a:r>
            <a:r>
              <a:rPr lang="en-US" altLang="zh-CN" sz="1200"/>
              <a:t>”</a:t>
            </a:r>
            <a:r>
              <a:rPr altLang="en-US" sz="1200"/>
              <a:t>信息化项目</a:t>
            </a:r>
            <a:r>
              <a:rPr lang="zh-CN" altLang="en-US" sz="1200"/>
              <a:t>绩效评价指标得分情况</a:t>
            </a:r>
            <a:endParaRPr lang="zh-CN" altLang="en-US" sz="1200"/>
          </a:p>
        </c:rich>
      </c:tx>
      <c:layout>
        <c:manualLayout>
          <c:xMode val="edge"/>
          <c:yMode val="edge"/>
          <c:x val="0.175806066305985"/>
          <c:y val="0.021994479692363"/>
        </c:manualLayout>
      </c:layout>
      <c:overlay val="0"/>
      <c:spPr>
        <a:noFill/>
        <a:ln>
          <a:noFill/>
        </a:ln>
        <a:effectLst/>
      </c:spPr>
    </c:title>
    <c:autoTitleDeleted val="0"/>
    <c:plotArea>
      <c:layout>
        <c:manualLayout>
          <c:layoutTarget val="inner"/>
          <c:xMode val="edge"/>
          <c:yMode val="edge"/>
          <c:x val="0.126675"/>
          <c:y val="0.127"/>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Sheet1!$B$2:$B$6</c:f>
              <c:numCache>
                <c:formatCode>General</c:formatCode>
                <c:ptCount val="5"/>
                <c:pt idx="0">
                  <c:v>16</c:v>
                </c:pt>
                <c:pt idx="1">
                  <c:v>14</c:v>
                </c:pt>
                <c:pt idx="2">
                  <c:v>40</c:v>
                </c:pt>
                <c:pt idx="3">
                  <c:v>20</c:v>
                </c:pt>
                <c:pt idx="4">
                  <c:v>10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Sheet1!$C$2:$C$6</c:f>
              <c:numCache>
                <c:formatCode>General</c:formatCode>
                <c:ptCount val="5"/>
                <c:pt idx="0">
                  <c:v>15</c:v>
                </c:pt>
                <c:pt idx="1">
                  <c:v>12.73</c:v>
                </c:pt>
                <c:pt idx="2">
                  <c:v>35.5</c:v>
                </c:pt>
                <c:pt idx="3">
                  <c:v>20</c:v>
                </c:pt>
                <c:pt idx="4">
                  <c:v>10</c:v>
                </c:pt>
              </c:numCache>
            </c:numRef>
          </c:val>
        </c:ser>
        <c:ser>
          <c:idx val="2"/>
          <c:order val="2"/>
          <c:tx>
            <c:strRef>
              <c:f>Sheet1!$D$1</c:f>
              <c:strCache>
                <c:ptCount val="1"/>
                <c:pt idx="0">
                  <c:v>得分率</c:v>
                </c:pt>
              </c:strCache>
            </c:strRef>
          </c:tx>
          <c:spPr>
            <a:noFill/>
            <a:ln>
              <a:noFill/>
            </a:ln>
            <a:effectLst/>
          </c:spPr>
          <c:invertIfNegative val="0"/>
          <c:dLbls>
            <c:dLbl>
              <c:idx val="0"/>
              <c:layout>
                <c:manualLayout>
                  <c:x val="0.00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725"/>
                  <c:y val="-0.0041666666666666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875"/>
                  <c:y val="-0.00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3175"/>
                  <c:y val="-0.00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Sheet1!$D$2:$D$6</c:f>
              <c:numCache>
                <c:formatCode>0.00%</c:formatCode>
                <c:ptCount val="5"/>
                <c:pt idx="0">
                  <c:v>0.9375</c:v>
                </c:pt>
                <c:pt idx="1">
                  <c:v>0.909285714285714</c:v>
                </c:pt>
                <c:pt idx="2">
                  <c:v>0.8875</c:v>
                </c:pt>
                <c:pt idx="3">
                  <c:v>1</c:v>
                </c:pt>
                <c:pt idx="4">
                  <c:v>1</c:v>
                </c:pt>
              </c:numCache>
            </c:numRef>
          </c:val>
        </c:ser>
        <c:dLbls>
          <c:showLegendKey val="0"/>
          <c:showVal val="1"/>
          <c:showCatName val="0"/>
          <c:showSerName val="0"/>
          <c:showPercent val="0"/>
          <c:showBubbleSize val="0"/>
        </c:dLbls>
        <c:gapWidth val="219"/>
        <c:overlap val="-27"/>
        <c:axId val="33121172"/>
        <c:axId val="262562026"/>
      </c:barChart>
      <c:catAx>
        <c:axId val="33121172"/>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262562026"/>
        <c:crosses val="autoZero"/>
        <c:auto val="1"/>
        <c:lblAlgn val="ctr"/>
        <c:lblOffset val="100"/>
        <c:noMultiLvlLbl val="0"/>
      </c:catAx>
      <c:valAx>
        <c:axId val="262562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331211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dTable>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chemeClr val="bg1">
        <a:alpha val="91000"/>
      </a:schemeClr>
    </a:solidFill>
    <a:ln w="9525" cap="flat" cmpd="sng" algn="ctr">
      <a:solidFill>
        <a:schemeClr val="tx1">
          <a:lumMod val="15000"/>
          <a:lumOff val="85000"/>
        </a:schemeClr>
      </a:solidFill>
      <a:round/>
    </a:ln>
    <a:effectLst/>
  </c:spPr>
  <c:txPr>
    <a:bodyPr/>
    <a:lstStyle/>
    <a:p>
      <a:pPr>
        <a:defRPr lang="zh-CN" sz="900">
          <a:solidFill>
            <a:schemeClr val="tx1"/>
          </a:solidFill>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问题</a:t>
            </a:r>
            <a:r>
              <a:rPr lang="en-US" altLang="zh-CN"/>
              <a:t>1</a:t>
            </a:r>
            <a:r>
              <a:rPr lang="zh-CN" altLang="en-US"/>
              <a:t>满意度调查结果统计图</a:t>
            </a:r>
            <a:endParaRPr lang="zh-CN" altLang="en-US"/>
          </a:p>
        </c:rich>
      </c:tx>
      <c:layout>
        <c:manualLayout>
          <c:xMode val="edge"/>
          <c:yMode val="edge"/>
          <c:x val="0.20763178599528"/>
          <c:y val="0.0395573345891217"/>
        </c:manualLayout>
      </c:layout>
      <c:overlay val="0"/>
      <c:spPr>
        <a:noFill/>
        <a:ln>
          <a:noFill/>
        </a:ln>
        <a:effectLst/>
      </c:spPr>
    </c:title>
    <c:autoTitleDeleted val="0"/>
    <c:plotArea>
      <c:layout>
        <c:manualLayout>
          <c:layoutTarget val="inner"/>
          <c:xMode val="edge"/>
          <c:yMode val="edge"/>
          <c:x val="0.303625491738788"/>
          <c:y val="0.219811631740052"/>
          <c:w val="0.388972462627852"/>
          <c:h val="0.582039086413939"/>
        </c:manualLayout>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bg2">
                  <a:lumMod val="50000"/>
                </a:schemeClr>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0624899482321233"/>
                  <c:y val="-0.016312303014426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599676380268063"/>
                  <c:y val="0.00037971078144762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880295591603936"/>
                  <c:y val="0.054484589559653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935674616524002"/>
                  <c:y val="-0.024518237576400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不太满意</c:v>
                </c:pt>
              </c:strCache>
            </c:strRef>
          </c:cat>
          <c:val>
            <c:numRef>
              <c:f>Sheet1!$B$2:$B$5</c:f>
              <c:numCache>
                <c:formatCode>0.00%</c:formatCode>
                <c:ptCount val="4"/>
                <c:pt idx="0">
                  <c:v>0.4841</c:v>
                </c:pt>
                <c:pt idx="1">
                  <c:v>0.3439</c:v>
                </c:pt>
                <c:pt idx="2">
                  <c:v>0.1592</c:v>
                </c:pt>
                <c:pt idx="3">
                  <c:v>0.0127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86488249828753"/>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2</a:t>
            </a:r>
            <a:r>
              <a:t>满意度调查结果统计图</a:t>
            </a:r>
          </a:p>
        </c:rich>
      </c:tx>
      <c:layout>
        <c:manualLayout>
          <c:xMode val="edge"/>
          <c:yMode val="edge"/>
          <c:x val="0.217387883556255"/>
          <c:y val="0.0282552389922298"/>
        </c:manualLayout>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332022029897718"/>
                  <c:y val="-0.010595714622086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49331235247836"/>
                  <c:y val="0.0129503178714387"/>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20141620771046"/>
                  <c:y val="-0.015775841770661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506687647521636"/>
                  <c:y val="-0.023546032493524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可以提高</c:v>
                </c:pt>
                <c:pt idx="1">
                  <c:v>基本能够 </c:v>
                </c:pt>
                <c:pt idx="2">
                  <c:v>一般</c:v>
                </c:pt>
                <c:pt idx="3">
                  <c:v>不能提高</c:v>
                </c:pt>
              </c:strCache>
            </c:strRef>
          </c:cat>
          <c:val>
            <c:numRef>
              <c:f>Sheet1!$B$2:$B$5</c:f>
              <c:numCache>
                <c:formatCode>0.00%</c:formatCode>
                <c:ptCount val="4"/>
                <c:pt idx="0">
                  <c:v>0.6561</c:v>
                </c:pt>
                <c:pt idx="1">
                  <c:v>0.2548</c:v>
                </c:pt>
                <c:pt idx="2">
                  <c:v>0.0892</c:v>
                </c:pt>
                <c:pt idx="3">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96795094832687"/>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问题</a:t>
            </a:r>
            <a:r>
              <a:rPr lang="en-US" altLang="zh-CN"/>
              <a:t>3</a:t>
            </a:r>
            <a:r>
              <a:rPr lang="zh-CN" altLang="en-US"/>
              <a:t>满意度调查结果统计图</a:t>
            </a:r>
            <a:endParaRPr lang="zh-CN" altLang="en-US"/>
          </a:p>
        </c:rich>
      </c:tx>
      <c:layout>
        <c:manualLayout>
          <c:xMode val="edge"/>
          <c:yMode val="edge"/>
          <c:x val="0.219433516915814"/>
          <c:y val="0.0482693666117259"/>
        </c:manualLayout>
      </c:layout>
      <c:overlay val="0"/>
      <c:spPr>
        <a:noFill/>
        <a:ln>
          <a:noFill/>
        </a:ln>
        <a:effectLst/>
      </c:spPr>
    </c:title>
    <c:autoTitleDeleted val="0"/>
    <c:plotArea>
      <c:layout>
        <c:manualLayout>
          <c:layoutTarget val="inner"/>
          <c:xMode val="edge"/>
          <c:yMode val="edge"/>
          <c:x val="0.305513768686074"/>
          <c:y val="0.217221568165764"/>
          <c:w val="0.388972462627852"/>
          <c:h val="0.582039086413939"/>
        </c:manualLayout>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22816679779701"/>
                  <c:y val="-0.0758182246291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147128245476"/>
                  <c:y val="0.0054155874735107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97403619197482"/>
                  <c:y val="-0.018365905344949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118961447678993"/>
                  <c:y val="0.028726159642100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能够实现</c:v>
                </c:pt>
                <c:pt idx="1">
                  <c:v>基本实现</c:v>
                </c:pt>
                <c:pt idx="2">
                  <c:v>一般</c:v>
                </c:pt>
                <c:pt idx="3">
                  <c:v>不能实现</c:v>
                </c:pt>
              </c:strCache>
            </c:strRef>
          </c:cat>
          <c:val>
            <c:numRef>
              <c:f>Sheet1!$B$2:$B$5</c:f>
              <c:numCache>
                <c:formatCode>0.00%</c:formatCode>
                <c:ptCount val="4"/>
                <c:pt idx="0">
                  <c:v>0.535</c:v>
                </c:pt>
                <c:pt idx="1">
                  <c:v>0.3694</c:v>
                </c:pt>
                <c:pt idx="2">
                  <c:v>0.0955</c:v>
                </c:pt>
                <c:pt idx="3">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34167242747714"/>
          <c:y val="0.86863252227128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问题</a:t>
            </a:r>
            <a:r>
              <a:rPr lang="en-US" altLang="zh-CN"/>
              <a:t>4</a:t>
            </a:r>
            <a:r>
              <a:rPr lang="zh-CN" altLang="en-US"/>
              <a:t>满意度调查结果统计图</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0366640440597954"/>
                  <c:y val="-0.0103602542971509"/>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非常必要</c:v>
                </c:pt>
                <c:pt idx="1">
                  <c:v>有必要</c:v>
                </c:pt>
                <c:pt idx="2">
                  <c:v>一般</c:v>
                </c:pt>
                <c:pt idx="3">
                  <c:v>没必要</c:v>
                </c:pt>
              </c:strCache>
            </c:strRef>
          </c:cat>
          <c:val>
            <c:numRef>
              <c:f>Sheet1!$B$2:$B$5</c:f>
              <c:numCache>
                <c:formatCode>0.00%</c:formatCode>
                <c:ptCount val="4"/>
                <c:pt idx="0">
                  <c:v>0.6369</c:v>
                </c:pt>
                <c:pt idx="1">
                  <c:v>0.3057</c:v>
                </c:pt>
                <c:pt idx="2">
                  <c:v>0.051</c:v>
                </c:pt>
                <c:pt idx="3">
                  <c:v>0.0064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4898950064788"/>
          <c:y val="0.852385759850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问题</a:t>
            </a:r>
            <a:r>
              <a:rPr lang="en-US" altLang="zh-CN"/>
              <a:t>5</a:t>
            </a:r>
            <a:r>
              <a:rPr lang="zh-CN" altLang="en-US"/>
              <a:t>满意度调查结果统计图</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不太满意</c:v>
                </c:pt>
              </c:strCache>
            </c:strRef>
          </c:cat>
          <c:val>
            <c:numRef>
              <c:f>Sheet1!$B$2:$B$5</c:f>
              <c:numCache>
                <c:formatCode>0.00%</c:formatCode>
                <c:ptCount val="4"/>
                <c:pt idx="0">
                  <c:v>0.5669</c:v>
                </c:pt>
                <c:pt idx="1">
                  <c:v>0.3312</c:v>
                </c:pt>
                <c:pt idx="2">
                  <c:v>0.0955</c:v>
                </c:pt>
                <c:pt idx="3">
                  <c:v>0.0064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4898950064788"/>
          <c:y val="0.852385759850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E1B691-4768-4DC5-997A-E5D4811F1E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45</Pages>
  <Words>19536</Words>
  <Characters>21174</Characters>
  <Lines>198</Lines>
  <Paragraphs>55</Paragraphs>
  <TotalTime>4</TotalTime>
  <ScaleCrop>false</ScaleCrop>
  <LinksUpToDate>false</LinksUpToDate>
  <CharactersWithSpaces>21480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2021-05-13T03:50:00Z</dcterms:created>
  <dc:creator>1129</dc:creator>
  <cp:lastModifiedBy>燕子 13893107503</cp:lastModifiedBy>
  <cp:lastPrinted>2023-05-21T13:09:00Z</cp:lastPrinted>
  <dcterms:modified xsi:type="dcterms:W3CDTF">2023-06-19T03:48:53Z</dcterms:modified>
  <cp:revision>257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9A98AEED36424DAF8F973CAEF2A760D4_13</vt:lpwstr>
  </property>
</Properties>
</file>