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val="0"/>
        <w:topLinePunct w:val="0"/>
        <w:autoSpaceDE/>
        <w:autoSpaceDN/>
        <w:bidi w:val="0"/>
        <w:adjustRightInd/>
        <w:spacing w:line="680" w:lineRule="exact"/>
        <w:ind w:left="113"/>
        <w:rPr>
          <w:rFonts w:ascii="仿宋_GB2312" w:eastAsia="仿宋_GB2312"/>
          <w:highlight w:val="none"/>
        </w:rPr>
      </w:pPr>
      <w:r>
        <w:rPr>
          <w:rFonts w:hint="eastAsia" w:ascii="仿宋_GB2312" w:eastAsia="仿宋_GB2312"/>
        </w:rPr>
        <w:t xml:space="preserve"> </w:t>
      </w: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宋体" w:hAnsi="宋体" w:eastAsia="宋体" w:cs="Times New Roman"/>
          <w:b/>
          <w:sz w:val="44"/>
          <w:szCs w:val="44"/>
          <w:highlight w:val="none"/>
        </w:rPr>
      </w:pP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宋体" w:hAnsi="宋体" w:eastAsia="宋体" w:cs="Times New Roman"/>
          <w:b/>
          <w:sz w:val="44"/>
          <w:szCs w:val="44"/>
          <w:highlight w:val="none"/>
        </w:rPr>
      </w:pP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方正小标宋简体" w:hAnsi="方正小标宋简体" w:eastAsia="方正小标宋简体" w:cs="方正小标宋简体"/>
          <w:b/>
          <w:bCs/>
          <w:sz w:val="44"/>
          <w:szCs w:val="44"/>
          <w:highlight w:val="none"/>
        </w:rPr>
      </w:pPr>
      <w:bookmarkStart w:id="0" w:name="_Toc24122"/>
      <w:bookmarkStart w:id="1" w:name="_Toc17249"/>
      <w:bookmarkStart w:id="2" w:name="_Toc24322"/>
      <w:bookmarkStart w:id="3" w:name="_Toc16957"/>
      <w:bookmarkStart w:id="4" w:name="_Toc73915926"/>
      <w:bookmarkStart w:id="5" w:name="_Toc818"/>
      <w:bookmarkStart w:id="6" w:name="_Toc3655"/>
      <w:bookmarkStart w:id="7" w:name="_Toc30170"/>
      <w:bookmarkStart w:id="8" w:name="_Toc21198"/>
      <w:bookmarkStart w:id="9" w:name="_Toc29616"/>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甘肃省高级人民法院</w:t>
      </w:r>
      <w:r>
        <w:rPr>
          <w:rFonts w:hint="eastAsia" w:ascii="方正小标宋简体" w:hAnsi="方正小标宋简体" w:eastAsia="方正小标宋简体" w:cs="方正小标宋简体"/>
          <w:sz w:val="44"/>
          <w:szCs w:val="44"/>
          <w:highlight w:val="none"/>
        </w:rPr>
        <w:t>重点</w:t>
      </w:r>
      <w:bookmarkEnd w:id="0"/>
      <w:bookmarkEnd w:id="1"/>
      <w:bookmarkEnd w:id="2"/>
      <w:bookmarkEnd w:id="3"/>
      <w:bookmarkEnd w:id="4"/>
      <w:bookmarkEnd w:id="5"/>
      <w:bookmarkEnd w:id="6"/>
      <w:bookmarkEnd w:id="7"/>
      <w:bookmarkEnd w:id="8"/>
      <w:bookmarkEnd w:id="9"/>
      <w:r>
        <w:rPr>
          <w:rFonts w:hint="eastAsia" w:ascii="方正小标宋简体" w:hAnsi="方正小标宋简体" w:eastAsia="方正小标宋简体" w:cs="方正小标宋简体"/>
          <w:sz w:val="44"/>
          <w:szCs w:val="44"/>
          <w:highlight w:val="none"/>
        </w:rPr>
        <w:t>项目</w:t>
      </w: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——《法刊》（审判理论与实践）等印刷费</w:t>
      </w: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宋体" w:hAnsi="宋体" w:eastAsia="宋体"/>
          <w:b/>
          <w:sz w:val="44"/>
          <w:szCs w:val="44"/>
          <w:highlight w:val="none"/>
        </w:rPr>
      </w:pPr>
      <w:r>
        <w:rPr>
          <w:rFonts w:hint="eastAsia" w:ascii="方正小标宋简体" w:hAnsi="方正小标宋简体" w:eastAsia="方正小标宋简体" w:cs="方正小标宋简体"/>
          <w:sz w:val="44"/>
          <w:szCs w:val="44"/>
          <w:highlight w:val="none"/>
        </w:rPr>
        <w:t>绩效评价报告</w:t>
      </w:r>
    </w:p>
    <w:p>
      <w:pPr>
        <w:pStyle w:val="2"/>
        <w:keepNext w:val="0"/>
        <w:keepLines w:val="0"/>
        <w:pageBreakBefore w:val="0"/>
        <w:widowControl w:val="0"/>
        <w:kinsoku/>
        <w:wordWrap/>
        <w:overflowPunct w:val="0"/>
        <w:topLinePunct w:val="0"/>
        <w:autoSpaceDE/>
        <w:autoSpaceDN/>
        <w:bidi w:val="0"/>
        <w:adjustRightInd/>
        <w:spacing w:line="680" w:lineRule="exact"/>
        <w:rPr>
          <w:sz w:val="56"/>
          <w:highlight w:val="none"/>
        </w:rPr>
      </w:pPr>
    </w:p>
    <w:p>
      <w:pPr>
        <w:pStyle w:val="2"/>
        <w:keepNext w:val="0"/>
        <w:keepLines w:val="0"/>
        <w:pageBreakBefore w:val="0"/>
        <w:widowControl w:val="0"/>
        <w:kinsoku/>
        <w:wordWrap/>
        <w:overflowPunct w:val="0"/>
        <w:topLinePunct w:val="0"/>
        <w:autoSpaceDE/>
        <w:autoSpaceDN/>
        <w:bidi w:val="0"/>
        <w:adjustRightInd/>
        <w:spacing w:line="680" w:lineRule="exact"/>
        <w:rPr>
          <w:sz w:val="56"/>
          <w:highlight w:val="none"/>
        </w:rPr>
      </w:pPr>
    </w:p>
    <w:p>
      <w:pPr>
        <w:keepNext w:val="0"/>
        <w:keepLines w:val="0"/>
        <w:pageBreakBefore w:val="0"/>
        <w:widowControl w:val="0"/>
        <w:kinsoku/>
        <w:wordWrap/>
        <w:overflowPunct w:val="0"/>
        <w:topLinePunct w:val="0"/>
        <w:autoSpaceDE/>
        <w:autoSpaceDN/>
        <w:bidi w:val="0"/>
        <w:adjustRightInd/>
        <w:spacing w:line="578" w:lineRule="exact"/>
        <w:ind w:left="1600" w:hanging="1600" w:hangingChars="500"/>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 xml:space="preserve">    </w:t>
      </w:r>
    </w:p>
    <w:p>
      <w:pPr>
        <w:pStyle w:val="12"/>
        <w:keepNext w:val="0"/>
        <w:keepLines w:val="0"/>
        <w:pageBreakBefore w:val="0"/>
        <w:widowControl w:val="0"/>
        <w:kinsoku/>
        <w:wordWrap/>
        <w:overflowPunct w:val="0"/>
        <w:topLinePunct w:val="0"/>
        <w:autoSpaceDE/>
        <w:autoSpaceDN/>
        <w:bidi w:val="0"/>
        <w:adjustRightInd/>
        <w:rPr>
          <w:highlight w:val="none"/>
        </w:rPr>
      </w:pPr>
    </w:p>
    <w:p>
      <w:pPr>
        <w:keepNext w:val="0"/>
        <w:keepLines w:val="0"/>
        <w:pageBreakBefore w:val="0"/>
        <w:widowControl w:val="0"/>
        <w:kinsoku/>
        <w:wordWrap/>
        <w:overflowPunct w:val="0"/>
        <w:topLinePunct w:val="0"/>
        <w:autoSpaceDE/>
        <w:autoSpaceDN/>
        <w:bidi w:val="0"/>
        <w:adjustRightInd/>
        <w:spacing w:line="578" w:lineRule="exact"/>
        <w:ind w:firstLine="300" w:firstLineChars="100"/>
        <w:rPr>
          <w:rFonts w:hint="eastAsia" w:ascii="仿宋_GB2312" w:hAnsi="仿宋" w:eastAsia="仿宋_GB2312" w:cs="仿宋"/>
          <w:sz w:val="30"/>
          <w:szCs w:val="32"/>
          <w:highlight w:val="none"/>
          <w:u w:val="single"/>
        </w:rPr>
      </w:pPr>
      <w:r>
        <w:rPr>
          <w:rFonts w:hint="eastAsia" w:ascii="仿宋_GB2312" w:hAnsi="仿宋" w:eastAsia="仿宋_GB2312" w:cs="仿宋"/>
          <w:sz w:val="30"/>
          <w:szCs w:val="32"/>
          <w:highlight w:val="none"/>
        </w:rPr>
        <w:t>评价类型：</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实施过程评价</w:t>
      </w:r>
      <w:r>
        <w:rPr>
          <w:rFonts w:hint="eastAsia" w:ascii="仿宋_GB2312" w:hAnsi="仿宋" w:eastAsia="仿宋_GB2312" w:cs="仿宋"/>
          <w:sz w:val="30"/>
          <w:szCs w:val="32"/>
          <w:highlight w:val="none"/>
        </w:rPr>
        <w:t xml:space="preserve">   </w:t>
      </w:r>
      <w:bookmarkStart w:id="196" w:name="_GoBack"/>
      <w:bookmarkEnd w:id="196"/>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完成结果评价</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hint="default" w:ascii="仿宋_GB2312" w:hAnsi="仿宋" w:eastAsia="仿宋_GB2312" w:cs="仿宋"/>
          <w:sz w:val="30"/>
          <w:szCs w:val="32"/>
          <w:highlight w:val="none"/>
          <w:u w:val="single"/>
          <w:lang w:val="en-US" w:eastAsia="zh-CN"/>
        </w:rPr>
      </w:pPr>
      <w:r>
        <w:rPr>
          <w:rFonts w:hint="eastAsia" w:ascii="仿宋_GB2312" w:hAnsi="仿宋" w:eastAsia="仿宋_GB2312" w:cs="仿宋"/>
          <w:sz w:val="30"/>
          <w:szCs w:val="32"/>
          <w:highlight w:val="none"/>
        </w:rPr>
        <w:t xml:space="preserve">  项目名称：</w:t>
      </w:r>
      <w:r>
        <w:rPr>
          <w:rFonts w:hint="eastAsia" w:ascii="仿宋_GB2312" w:hAnsi="仿宋" w:eastAsia="仿宋_GB2312" w:cs="仿宋"/>
          <w:sz w:val="30"/>
          <w:szCs w:val="32"/>
          <w:highlight w:val="none"/>
          <w:u w:val="single"/>
        </w:rPr>
        <w:t>《法刊》（审判理论与实践）等印刷费</w:t>
      </w:r>
      <w:r>
        <w:rPr>
          <w:rFonts w:hint="eastAsia" w:ascii="仿宋_GB2312" w:hAnsi="仿宋" w:eastAsia="仿宋_GB2312" w:cs="仿宋"/>
          <w:sz w:val="30"/>
          <w:szCs w:val="32"/>
          <w:highlight w:val="none"/>
          <w:u w:val="single"/>
          <w:lang w:val="en-US" w:eastAsia="zh-CN"/>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主管部门：</w:t>
      </w:r>
      <w:r>
        <w:rPr>
          <w:rFonts w:hint="eastAsia" w:ascii="仿宋_GB2312" w:hAnsi="仿宋" w:eastAsia="仿宋_GB2312" w:cs="仿宋"/>
          <w:sz w:val="30"/>
          <w:szCs w:val="32"/>
          <w:highlight w:val="none"/>
          <w:u w:val="single"/>
          <w:lang w:val="en-US" w:eastAsia="zh-CN"/>
        </w:rPr>
        <w:t xml:space="preserve">甘肃省高级人民法院                   </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hint="default" w:ascii="仿宋_GB2312" w:hAnsi="仿宋" w:eastAsia="仿宋_GB2312" w:cs="仿宋"/>
          <w:sz w:val="30"/>
          <w:szCs w:val="32"/>
          <w:highlight w:val="none"/>
          <w:u w:val="single"/>
          <w:lang w:val="en-US" w:eastAsia="zh-CN"/>
        </w:rPr>
      </w:pPr>
      <w:r>
        <w:rPr>
          <w:rFonts w:hint="eastAsia" w:ascii="仿宋_GB2312" w:hAnsi="仿宋" w:eastAsia="仿宋_GB2312" w:cs="仿宋"/>
          <w:sz w:val="30"/>
          <w:szCs w:val="32"/>
          <w:highlight w:val="none"/>
        </w:rPr>
        <w:t xml:space="preserve">  评价时间：</w:t>
      </w:r>
      <w:r>
        <w:rPr>
          <w:rFonts w:hint="eastAsia" w:ascii="仿宋_GB2312" w:hAnsi="仿宋" w:eastAsia="仿宋_GB2312" w:cs="仿宋"/>
          <w:sz w:val="30"/>
          <w:szCs w:val="32"/>
          <w:highlight w:val="none"/>
          <w:u w:val="single"/>
        </w:rPr>
        <w:t>202</w:t>
      </w:r>
      <w:r>
        <w:rPr>
          <w:rFonts w:hint="eastAsia" w:ascii="仿宋_GB2312" w:hAnsi="仿宋" w:eastAsia="仿宋_GB2312" w:cs="仿宋"/>
          <w:sz w:val="30"/>
          <w:szCs w:val="32"/>
          <w:highlight w:val="none"/>
          <w:u w:val="single"/>
          <w:lang w:val="en-US" w:eastAsia="zh-CN"/>
        </w:rPr>
        <w:t>2</w:t>
      </w:r>
      <w:r>
        <w:rPr>
          <w:rFonts w:hint="eastAsia" w:ascii="仿宋_GB2312" w:hAnsi="仿宋" w:eastAsia="仿宋_GB2312" w:cs="仿宋"/>
          <w:sz w:val="30"/>
          <w:szCs w:val="32"/>
          <w:highlight w:val="none"/>
          <w:u w:val="single"/>
        </w:rPr>
        <w:t>年01月01日至 202</w:t>
      </w:r>
      <w:r>
        <w:rPr>
          <w:rFonts w:hint="eastAsia" w:ascii="仿宋_GB2312" w:hAnsi="仿宋" w:eastAsia="仿宋_GB2312" w:cs="仿宋"/>
          <w:sz w:val="30"/>
          <w:szCs w:val="32"/>
          <w:highlight w:val="none"/>
          <w:u w:val="single"/>
          <w:lang w:val="en-US" w:eastAsia="zh-CN"/>
        </w:rPr>
        <w:t>2</w:t>
      </w:r>
      <w:r>
        <w:rPr>
          <w:rFonts w:hint="eastAsia" w:ascii="仿宋_GB2312" w:hAnsi="仿宋" w:eastAsia="仿宋_GB2312" w:cs="仿宋"/>
          <w:sz w:val="30"/>
          <w:szCs w:val="32"/>
          <w:highlight w:val="none"/>
          <w:u w:val="single"/>
        </w:rPr>
        <w:t>年12月31日</w:t>
      </w:r>
      <w:r>
        <w:rPr>
          <w:rFonts w:hint="eastAsia" w:ascii="仿宋_GB2312" w:hAnsi="仿宋" w:eastAsia="仿宋_GB2312" w:cs="仿宋"/>
          <w:sz w:val="30"/>
          <w:szCs w:val="32"/>
          <w:highlight w:val="none"/>
          <w:u w:val="single"/>
          <w:lang w:val="en-US" w:eastAsia="zh-CN"/>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组织方式：</w:t>
      </w:r>
      <w:r>
        <w:rPr>
          <w:rFonts w:hint="eastAsia" w:ascii="仿宋_GB2312" w:hAnsi="仿宋" w:eastAsia="仿宋_GB2312" w:cs="仿宋"/>
          <w:sz w:val="30"/>
          <w:szCs w:val="32"/>
          <w:highlight w:val="none"/>
          <w:u w:val="single"/>
        </w:rPr>
        <w:t>□财政部门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主管部门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项目单位</w:t>
      </w: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left"/>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评价机构：</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中介机构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□专家组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□项目单位评价组</w:t>
      </w:r>
    </w:p>
    <w:p>
      <w:pPr>
        <w:keepNext w:val="0"/>
        <w:keepLines w:val="0"/>
        <w:pageBreakBefore w:val="0"/>
        <w:widowControl w:val="0"/>
        <w:kinsoku/>
        <w:wordWrap/>
        <w:overflowPunct w:val="0"/>
        <w:topLinePunct w:val="0"/>
        <w:autoSpaceDE/>
        <w:autoSpaceDN/>
        <w:bidi w:val="0"/>
        <w:adjustRightInd/>
        <w:spacing w:line="578" w:lineRule="exact"/>
        <w:rPr>
          <w:rFonts w:ascii="仿宋_GB2312" w:hAnsi="仿宋" w:eastAsia="仿宋_GB2312" w:cs="仿宋"/>
          <w:sz w:val="30"/>
          <w:szCs w:val="32"/>
          <w:highlight w:val="none"/>
        </w:rPr>
      </w:pPr>
    </w:p>
    <w:p>
      <w:pPr>
        <w:pStyle w:val="2"/>
      </w:pPr>
    </w:p>
    <w:p>
      <w:pPr>
        <w:keepNext w:val="0"/>
        <w:keepLines w:val="0"/>
        <w:pageBreakBefore w:val="0"/>
        <w:widowControl w:val="0"/>
        <w:kinsoku/>
        <w:wordWrap/>
        <w:overflowPunct w:val="0"/>
        <w:topLinePunct w:val="0"/>
        <w:autoSpaceDE/>
        <w:autoSpaceDN/>
        <w:bidi w:val="0"/>
        <w:adjustRightInd/>
        <w:spacing w:line="578" w:lineRule="exact"/>
        <w:ind w:left="4800" w:hanging="4800" w:hangingChars="1600"/>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right="456" w:rightChars="217" w:firstLine="300" w:firstLineChars="100"/>
        <w:jc w:val="left"/>
        <w:rPr>
          <w:rFonts w:hint="eastAsia" w:ascii="宋体" w:hAnsi="宋体" w:eastAsia="宋体" w:cs="宋体"/>
          <w:sz w:val="30"/>
          <w:szCs w:val="32"/>
          <w:highlight w:val="none"/>
        </w:rPr>
      </w:pPr>
      <w:r>
        <w:rPr>
          <w:rFonts w:hint="eastAsia" w:ascii="宋体" w:hAnsi="宋体" w:eastAsia="宋体" w:cs="宋体"/>
          <w:sz w:val="30"/>
          <w:szCs w:val="32"/>
          <w:highlight w:val="none"/>
          <w:lang w:val="en-US" w:eastAsia="zh-CN"/>
        </w:rPr>
        <w:t>评价</w:t>
      </w:r>
      <w:r>
        <w:rPr>
          <w:rFonts w:hint="eastAsia" w:ascii="宋体" w:hAnsi="宋体" w:eastAsia="宋体" w:cs="宋体"/>
          <w:sz w:val="30"/>
          <w:szCs w:val="32"/>
          <w:highlight w:val="none"/>
        </w:rPr>
        <w:t>单位：甘肃卓诚财务咨询有限公司</w:t>
      </w:r>
    </w:p>
    <w:p>
      <w:pPr>
        <w:keepNext w:val="0"/>
        <w:keepLines w:val="0"/>
        <w:pageBreakBefore w:val="0"/>
        <w:widowControl w:val="0"/>
        <w:kinsoku/>
        <w:wordWrap/>
        <w:overflowPunct w:val="0"/>
        <w:topLinePunct w:val="0"/>
        <w:autoSpaceDE/>
        <w:autoSpaceDN/>
        <w:bidi w:val="0"/>
        <w:adjustRightInd/>
        <w:spacing w:line="578" w:lineRule="exact"/>
        <w:ind w:right="456" w:rightChars="217" w:firstLine="300" w:firstLineChars="100"/>
        <w:jc w:val="left"/>
        <w:rPr>
          <w:rFonts w:hint="eastAsia" w:ascii="宋体" w:hAnsi="宋体" w:eastAsia="宋体" w:cs="宋体"/>
          <w:sz w:val="30"/>
          <w:szCs w:val="32"/>
          <w:highlight w:val="none"/>
        </w:rPr>
        <w:sectPr>
          <w:headerReference r:id="rId4" w:type="first"/>
          <w:footerReference r:id="rId5" w:type="first"/>
          <w:headerReference r:id="rId3" w:type="default"/>
          <w:pgSz w:w="11906" w:h="16838"/>
          <w:pgMar w:top="1599" w:right="1361" w:bottom="1440" w:left="1361"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宋体" w:hAnsi="宋体" w:eastAsia="宋体" w:cs="宋体"/>
          <w:sz w:val="30"/>
          <w:szCs w:val="32"/>
          <w:highlight w:val="none"/>
          <w:lang w:val="en-US" w:eastAsia="zh-CN"/>
        </w:rPr>
        <w:t>上报</w:t>
      </w:r>
      <w:r>
        <w:rPr>
          <w:rFonts w:hint="eastAsia" w:ascii="宋体" w:hAnsi="宋体" w:eastAsia="宋体" w:cs="宋体"/>
          <w:sz w:val="30"/>
          <w:szCs w:val="32"/>
          <w:highlight w:val="none"/>
        </w:rPr>
        <w:t>日期：202</w:t>
      </w:r>
      <w:r>
        <w:rPr>
          <w:rFonts w:hint="eastAsia" w:ascii="宋体" w:hAnsi="宋体" w:eastAsia="宋体" w:cs="宋体"/>
          <w:sz w:val="30"/>
          <w:szCs w:val="32"/>
          <w:highlight w:val="none"/>
          <w:lang w:val="en-US" w:eastAsia="zh-CN"/>
        </w:rPr>
        <w:t>3</w:t>
      </w:r>
      <w:r>
        <w:rPr>
          <w:rFonts w:hint="eastAsia" w:ascii="宋体" w:hAnsi="宋体" w:eastAsia="宋体" w:cs="宋体"/>
          <w:sz w:val="30"/>
          <w:szCs w:val="32"/>
          <w:highlight w:val="none"/>
        </w:rPr>
        <w:t>年0</w:t>
      </w:r>
      <w:r>
        <w:rPr>
          <w:rFonts w:hint="eastAsia" w:ascii="宋体" w:hAnsi="宋体" w:eastAsia="宋体" w:cs="宋体"/>
          <w:sz w:val="30"/>
          <w:szCs w:val="32"/>
          <w:highlight w:val="none"/>
          <w:lang w:val="en-US" w:eastAsia="zh-CN"/>
        </w:rPr>
        <w:t>5</w:t>
      </w:r>
      <w:r>
        <w:rPr>
          <w:rFonts w:hint="eastAsia" w:ascii="宋体" w:hAnsi="宋体" w:eastAsia="宋体" w:cs="宋体"/>
          <w:sz w:val="30"/>
          <w:szCs w:val="32"/>
          <w:highlight w:val="none"/>
        </w:rPr>
        <w:t>月</w:t>
      </w:r>
      <w:r>
        <w:rPr>
          <w:rFonts w:hint="eastAsia" w:ascii="宋体" w:hAnsi="宋体" w:eastAsia="宋体" w:cs="宋体"/>
          <w:sz w:val="30"/>
          <w:szCs w:val="32"/>
          <w:highlight w:val="none"/>
          <w:lang w:val="en-US" w:eastAsia="zh-CN"/>
        </w:rPr>
        <w:t>29</w:t>
      </w:r>
      <w:r>
        <w:rPr>
          <w:rFonts w:hint="eastAsia" w:ascii="宋体" w:hAnsi="宋体" w:eastAsia="宋体" w:cs="宋体"/>
          <w:sz w:val="30"/>
          <w:szCs w:val="32"/>
          <w:highlight w:val="none"/>
        </w:rPr>
        <w:t>日</w:t>
      </w:r>
    </w:p>
    <w:sdt>
      <w:sdtPr>
        <w:rPr>
          <w:rFonts w:hint="eastAsia" w:ascii="宋体" w:hAnsi="宋体" w:eastAsia="宋体" w:cs="宋体"/>
          <w:color w:val="FF0000"/>
          <w:sz w:val="40"/>
          <w:szCs w:val="40"/>
          <w:highlight w:val="none"/>
        </w:rPr>
        <w:id w:val="147453237"/>
        <w15:color w:val="DBDBDB"/>
        <w:docPartObj>
          <w:docPartGallery w:val="Table of Contents"/>
          <w:docPartUnique/>
        </w:docPartObj>
      </w:sdtPr>
      <w:sdtEndPr>
        <w:rPr>
          <w:rFonts w:hint="eastAsia" w:ascii="宋体" w:hAnsi="宋体" w:eastAsia="宋体" w:cs="宋体"/>
          <w:b/>
          <w:bCs/>
          <w:color w:val="FF0000"/>
          <w:sz w:val="32"/>
          <w:szCs w:val="44"/>
          <w:highlight w:val="none"/>
        </w:rPr>
      </w:sdtEndPr>
      <w:sdtContent>
        <w:p>
          <w:pPr>
            <w:keepNext w:val="0"/>
            <w:keepLines w:val="0"/>
            <w:pageBreakBefore w:val="0"/>
            <w:widowControl w:val="0"/>
            <w:kinsoku/>
            <w:wordWrap/>
            <w:overflowPunct w:val="0"/>
            <w:topLinePunct w:val="0"/>
            <w:autoSpaceDE/>
            <w:autoSpaceDN/>
            <w:bidi w:val="0"/>
            <w:adjustRightInd/>
            <w:jc w:val="center"/>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目  录</w:t>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TOC \o "1-2" \h \u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HYPERLINK \l _Toc7605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摘   要</w:t>
          </w:r>
          <w:r>
            <w:rPr>
              <w:rFonts w:hint="eastAsia" w:ascii="仿宋" w:hAnsi="仿宋" w:eastAsia="仿宋" w:cs="仿宋"/>
              <w:b/>
              <w:bCs/>
              <w:sz w:val="28"/>
              <w:szCs w:val="28"/>
              <w:highlight w:val="none"/>
            </w:rPr>
            <w:tab/>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PAGEREF _Toc7605 \h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rPr>
            <w:fldChar w:fldCharType="end"/>
          </w:r>
          <w:r>
            <w:rPr>
              <w:rFonts w:hint="eastAsia" w:ascii="仿宋" w:hAnsi="仿宋" w:eastAsia="仿宋" w:cs="仿宋"/>
              <w:b/>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_Toc6651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一、</w:t>
          </w:r>
          <w:r>
            <w:rPr>
              <w:rFonts w:hint="eastAsia" w:ascii="仿宋" w:hAnsi="仿宋" w:eastAsia="仿宋" w:cs="仿宋"/>
              <w:bCs/>
              <w:sz w:val="28"/>
              <w:szCs w:val="28"/>
              <w:highlight w:val="none"/>
            </w:rPr>
            <w:t>项目基本情况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_Toc6651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_Toc22424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（一）项目立项背景及实施目的</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_Toc22424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_Toc12901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（二）项目预算安排和支出情况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_Toc12901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_Toc9788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（三）项目主要内容和实施情况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_Toc9788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_Toc16493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_Toc16493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_Toc18792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（一）总体绩效目标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_Toc18792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_Toc15809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（二）202</w:t>
          </w: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年度绩效目标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_Toc15809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_Toc12552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三</w:t>
          </w:r>
          <w:r>
            <w:rPr>
              <w:rFonts w:hint="eastAsia" w:ascii="仿宋" w:hAnsi="仿宋" w:eastAsia="仿宋" w:cs="仿宋"/>
              <w:bCs/>
              <w:sz w:val="28"/>
              <w:szCs w:val="28"/>
              <w:highlight w:val="none"/>
            </w:rPr>
            <w:t>、评价基本情况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_Toc12552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_Toc11180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（一）评价目的、对象和范围</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_Toc11180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_Toc11782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（二）评价原则、评价方法、评价指标体系</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_Toc11782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_Toc16658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（三）绩效评价工作过程</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_Toc16658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_Toc9937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四、评价结论和绩效分析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_Toc9937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_Toc15283 </w:instrText>
          </w:r>
          <w:r>
            <w:rPr>
              <w:rFonts w:hint="eastAsia" w:ascii="仿宋" w:hAnsi="仿宋" w:eastAsia="仿宋" w:cs="仿宋"/>
              <w:bCs/>
              <w:sz w:val="28"/>
              <w:szCs w:val="28"/>
              <w:highlight w:val="none"/>
            </w:rPr>
            <w:fldChar w:fldCharType="separate"/>
          </w:r>
          <w:r>
            <w:rPr>
              <w:rFonts w:hint="eastAsia" w:ascii="仿宋" w:hAnsi="仿宋" w:eastAsia="仿宋" w:cs="仿宋"/>
              <w:bCs w:val="0"/>
              <w:sz w:val="28"/>
              <w:szCs w:val="28"/>
              <w:highlight w:val="none"/>
            </w:rPr>
            <w:t>五、存在问题及原因分析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_Toc15283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_Toc2113 </w:instrText>
          </w:r>
          <w:r>
            <w:rPr>
              <w:rFonts w:hint="eastAsia" w:ascii="仿宋" w:hAnsi="仿宋" w:eastAsia="仿宋" w:cs="仿宋"/>
              <w:bCs/>
              <w:sz w:val="28"/>
              <w:szCs w:val="28"/>
              <w:highlight w:val="none"/>
            </w:rPr>
            <w:fldChar w:fldCharType="separate"/>
          </w:r>
          <w:r>
            <w:rPr>
              <w:rFonts w:hint="eastAsia" w:ascii="仿宋" w:hAnsi="仿宋" w:eastAsia="仿宋" w:cs="仿宋"/>
              <w:bCs w:val="0"/>
              <w:sz w:val="28"/>
              <w:szCs w:val="28"/>
              <w:highlight w:val="none"/>
            </w:rPr>
            <w:t>六、有关建议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_Toc2113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HYPERLINK \l _Toc17748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《法刊》（审判理论与实践）等印刷费绩效评价报告</w:t>
          </w:r>
          <w:r>
            <w:rPr>
              <w:rFonts w:hint="eastAsia" w:ascii="仿宋" w:hAnsi="仿宋" w:eastAsia="仿宋" w:cs="仿宋"/>
              <w:b/>
              <w:bCs/>
              <w:sz w:val="28"/>
              <w:szCs w:val="28"/>
              <w:highlight w:val="none"/>
            </w:rPr>
            <w:tab/>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PAGEREF _Toc17748 \h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5</w:t>
          </w:r>
          <w:r>
            <w:rPr>
              <w:rFonts w:hint="eastAsia" w:ascii="仿宋" w:hAnsi="仿宋" w:eastAsia="仿宋" w:cs="仿宋"/>
              <w:b/>
              <w:bCs/>
              <w:sz w:val="28"/>
              <w:szCs w:val="28"/>
              <w:highlight w:val="none"/>
            </w:rPr>
            <w:fldChar w:fldCharType="end"/>
          </w:r>
          <w:r>
            <w:rPr>
              <w:rFonts w:hint="eastAsia" w:ascii="仿宋" w:hAnsi="仿宋" w:eastAsia="仿宋" w:cs="仿宋"/>
              <w:b/>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_Toc16182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一、项目基本情况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_Toc16182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_Toc2877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（一）项目立项背景</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_Toc2877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_Toc17446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（二）项目预算安排及使用情况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_Toc17446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_Toc26336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（三）项目计划内容及实施情况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_Toc26336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_Toc26884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（四）项目组织管理</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_Toc26884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7</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_Toc27539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二、项目绩效目标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_Toc27539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_Toc12578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（一）总体目标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_Toc12578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_Toc50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（二）年度目标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_Toc50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_Toc23927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三、评价基本情况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_Toc23927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_Toc10556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（一）评价目的</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_Toc10556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_Toc4704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（二）评价对象与范围</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_Toc4704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_Toc19466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（三）评价依据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_Toc19466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_Toc28799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（四）评价原则、评价方法</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_Toc28799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_Toc29808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（五）绩效评价指标体系</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_Toc29808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_Toc8079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（六）评价人员组成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_Toc8079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_Toc31483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（七）绩效评价工作过程</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_Toc31483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_Toc9651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四、评价结论及分析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_Toc9651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17</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_Toc32337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（一）综合评价情况及评价结论</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_Toc32337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_Toc8026 </w:instrText>
          </w:r>
          <w:r>
            <w:rPr>
              <w:rFonts w:hint="eastAsia" w:ascii="仿宋" w:hAnsi="仿宋" w:eastAsia="仿宋" w:cs="仿宋"/>
              <w:bCs/>
              <w:sz w:val="28"/>
              <w:szCs w:val="28"/>
              <w:highlight w:val="none"/>
            </w:rPr>
            <w:fldChar w:fldCharType="separate"/>
          </w:r>
          <w:r>
            <w:rPr>
              <w:rFonts w:hint="eastAsia" w:ascii="仿宋" w:hAnsi="仿宋" w:eastAsia="仿宋" w:cs="仿宋"/>
              <w:bCs/>
              <w:kern w:val="0"/>
              <w:sz w:val="28"/>
              <w:szCs w:val="28"/>
              <w:highlight w:val="none"/>
              <w:lang w:val="en-US" w:eastAsia="zh-CN" w:bidi="ar"/>
            </w:rPr>
            <w:t>（二）非现场评价情况分析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_Toc8026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_Toc32708 </w:instrText>
          </w:r>
          <w:r>
            <w:rPr>
              <w:rFonts w:hint="eastAsia" w:ascii="仿宋" w:hAnsi="仿宋" w:eastAsia="仿宋" w:cs="仿宋"/>
              <w:bCs/>
              <w:sz w:val="28"/>
              <w:szCs w:val="28"/>
              <w:highlight w:val="none"/>
            </w:rPr>
            <w:fldChar w:fldCharType="separate"/>
          </w:r>
          <w:r>
            <w:rPr>
              <w:rFonts w:hint="eastAsia" w:ascii="仿宋" w:hAnsi="仿宋" w:eastAsia="仿宋" w:cs="仿宋"/>
              <w:bCs/>
              <w:kern w:val="0"/>
              <w:sz w:val="28"/>
              <w:szCs w:val="28"/>
              <w:highlight w:val="none"/>
              <w:lang w:val="en-US" w:eastAsia="zh-CN" w:bidi="ar"/>
            </w:rPr>
            <w:t>（三）现场评价情况分析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_Toc32708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_Toc1893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五、绩效评价指标分析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_Toc1893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_Toc23448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（一）项目决策情况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_Toc23448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20</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_Toc11435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（二）项目过程情况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_Toc11435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_Toc25503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（三）项目产出情况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_Toc25503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_Toc18087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（四）项目效益情况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_Toc18087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26</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_Toc12950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（五）满意度情况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_Toc12950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_Toc27048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六、项目主要经验及做法</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_Toc27048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_Toc15439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七、存在的问题及原因分析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_Toc15439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_Toc27171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八、有关建议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_Toc27171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30</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_Toc31635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九、需要说明的问题</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_Toc31635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2"/>
            <w:keepNext w:val="0"/>
            <w:keepLines w:val="0"/>
            <w:pageBreakBefore w:val="0"/>
            <w:widowControl w:val="0"/>
            <w:kinsoku/>
            <w:wordWrap/>
            <w:overflowPunct w:val="0"/>
            <w:topLinePunct w:val="0"/>
            <w:autoSpaceDE/>
            <w:autoSpaceDN/>
            <w:bidi w:val="0"/>
            <w:adjustRightInd/>
            <w:snapToGrid/>
            <w:spacing w:line="560" w:lineRule="exact"/>
            <w:jc w:val="both"/>
            <w:textAlignment w:val="auto"/>
            <w:rPr>
              <w:rFonts w:ascii="宋体" w:hAnsi="宋体" w:eastAsia="宋体"/>
              <w:b/>
              <w:bCs/>
              <w:szCs w:val="44"/>
              <w:highlight w:val="none"/>
            </w:rPr>
            <w:sectPr>
              <w:headerReference r:id="rId7" w:type="first"/>
              <w:footerReference r:id="rId9" w:type="first"/>
              <w:headerReference r:id="rId6" w:type="default"/>
              <w:foot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r>
            <w:rPr>
              <w:rFonts w:hint="eastAsia" w:ascii="仿宋" w:hAnsi="仿宋" w:eastAsia="仿宋" w:cs="仿宋"/>
              <w:bCs/>
              <w:sz w:val="28"/>
              <w:szCs w:val="28"/>
              <w:highlight w:val="none"/>
            </w:rPr>
            <w:fldChar w:fldCharType="end"/>
          </w:r>
        </w:p>
      </w:sdtContent>
    </w:sdt>
    <w:p>
      <w:pPr>
        <w:pStyle w:val="2"/>
        <w:keepNext w:val="0"/>
        <w:keepLines w:val="0"/>
        <w:pageBreakBefore w:val="0"/>
        <w:widowControl w:val="0"/>
        <w:kinsoku/>
        <w:wordWrap/>
        <w:overflowPunct w:val="0"/>
        <w:topLinePunct w:val="0"/>
        <w:autoSpaceDE/>
        <w:autoSpaceDN/>
        <w:bidi w:val="0"/>
        <w:adjustRightInd/>
        <w:spacing w:line="560" w:lineRule="exact"/>
        <w:ind w:firstLine="880" w:firstLineChars="200"/>
        <w:jc w:val="center"/>
        <w:outlineLvl w:val="0"/>
        <w:rPr>
          <w:rFonts w:ascii="方正小标宋简体" w:hAnsi="宋体" w:eastAsia="方正小标宋简体"/>
          <w:sz w:val="44"/>
          <w:szCs w:val="44"/>
          <w:highlight w:val="none"/>
        </w:rPr>
      </w:pPr>
      <w:bookmarkStart w:id="10" w:name="_Toc7605"/>
      <w:r>
        <w:rPr>
          <w:rFonts w:hint="eastAsia" w:ascii="方正小标宋简体" w:hAnsi="宋体" w:eastAsia="方正小标宋简体"/>
          <w:sz w:val="44"/>
          <w:szCs w:val="44"/>
          <w:highlight w:val="none"/>
        </w:rPr>
        <w:t xml:space="preserve">摘 </w:t>
      </w:r>
      <w:r>
        <w:rPr>
          <w:rFonts w:ascii="方正小标宋简体" w:hAnsi="宋体" w:eastAsia="方正小标宋简体"/>
          <w:sz w:val="44"/>
          <w:szCs w:val="44"/>
          <w:highlight w:val="none"/>
        </w:rPr>
        <w:t xml:space="preserve">  </w:t>
      </w:r>
      <w:r>
        <w:rPr>
          <w:rFonts w:hint="eastAsia" w:ascii="方正小标宋简体" w:hAnsi="宋体" w:eastAsia="方正小标宋简体"/>
          <w:sz w:val="44"/>
          <w:szCs w:val="44"/>
          <w:highlight w:val="none"/>
        </w:rPr>
        <w:t>要</w:t>
      </w:r>
      <w:bookmarkEnd w:id="10"/>
    </w:p>
    <w:p>
      <w:pPr>
        <w:keepNext w:val="0"/>
        <w:keepLines w:val="0"/>
        <w:pageBreakBefore w:val="0"/>
        <w:widowControl w:val="0"/>
        <w:kinsoku/>
        <w:wordWrap/>
        <w:overflowPunct w:val="0"/>
        <w:topLinePunct w:val="0"/>
        <w:autoSpaceDE/>
        <w:autoSpaceDN/>
        <w:bidi w:val="0"/>
        <w:adjustRightInd/>
        <w:spacing w:line="560" w:lineRule="exact"/>
        <w:ind w:firstLine="420" w:firstLineChars="200"/>
        <w:jc w:val="center"/>
        <w:rPr>
          <w:highlight w:val="none"/>
        </w:rPr>
      </w:pPr>
    </w:p>
    <w:p>
      <w:pPr>
        <w:keepNext w:val="0"/>
        <w:keepLines w:val="0"/>
        <w:pageBreakBefore w:val="0"/>
        <w:widowControl w:val="0"/>
        <w:numPr>
          <w:ilvl w:val="0"/>
          <w:numId w:val="1"/>
        </w:numPr>
        <w:tabs>
          <w:tab w:val="left" w:pos="849"/>
        </w:tabs>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黑体"/>
          <w:b w:val="0"/>
          <w:bCs w:val="0"/>
          <w:sz w:val="32"/>
          <w:szCs w:val="32"/>
          <w:highlight w:val="none"/>
        </w:rPr>
      </w:pPr>
      <w:bookmarkStart w:id="11" w:name="_Toc13873"/>
      <w:bookmarkStart w:id="12" w:name="_Toc6651"/>
      <w:r>
        <w:rPr>
          <w:rFonts w:hint="eastAsia" w:ascii="黑体" w:hAnsi="黑体" w:eastAsia="黑体" w:cs="黑体"/>
          <w:b w:val="0"/>
          <w:bCs w:val="0"/>
          <w:sz w:val="32"/>
          <w:szCs w:val="32"/>
          <w:highlight w:val="none"/>
        </w:rPr>
        <w:t>项目基本情况</w:t>
      </w:r>
      <w:bookmarkEnd w:id="11"/>
      <w:bookmarkEnd w:id="12"/>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3" w:name="_Toc30374"/>
      <w:bookmarkStart w:id="14" w:name="_Toc22424"/>
      <w:r>
        <w:rPr>
          <w:rFonts w:hint="eastAsia" w:ascii="楷体" w:hAnsi="楷体" w:eastAsia="楷体" w:cs="楷体"/>
          <w:b/>
          <w:bCs/>
          <w:highlight w:val="none"/>
        </w:rPr>
        <w:t>（一）项目立项背景及实施目的</w:t>
      </w:r>
      <w:bookmarkEnd w:id="13"/>
      <w:bookmarkEnd w:id="1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bookmarkStart w:id="15" w:name="_Toc24239"/>
      <w:r>
        <w:rPr>
          <w:rFonts w:hint="eastAsia" w:ascii="仿宋_GB2312" w:hAnsi="仿宋_GB2312" w:eastAsia="仿宋_GB2312" w:cs="仿宋_GB2312"/>
          <w:highlight w:val="none"/>
        </w:rPr>
        <w:t>《法刊》旨在深入学习贯彻</w:t>
      </w:r>
      <w:r>
        <w:rPr>
          <w:rFonts w:hint="eastAsia" w:ascii="仿宋_GB2312" w:hAnsi="仿宋_GB2312" w:cs="仿宋_GB2312"/>
          <w:highlight w:val="none"/>
          <w:lang w:eastAsia="zh-CN"/>
        </w:rPr>
        <w:t>习近平总书记重要讲话精神</w:t>
      </w:r>
      <w:r>
        <w:rPr>
          <w:rFonts w:hint="eastAsia" w:ascii="仿宋_GB2312" w:hAnsi="仿宋_GB2312" w:eastAsia="仿宋_GB2312" w:cs="仿宋_GB2312"/>
          <w:highlight w:val="none"/>
        </w:rPr>
        <w:t>和治国理政新理念新思想新战略，始终坚持正确的政治方向和舆论导向，立足中国司法实践，紧贴全省法院工作实际，积极宣传党的理论和路线方针政策，准确传播社会主义法治理念和司法理念。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法刊</w:t>
      </w:r>
      <w:r>
        <w:rPr>
          <w:rFonts w:hint="eastAsia" w:ascii="仿宋_GB2312" w:hAnsi="仿宋_GB2312" w:eastAsia="仿宋_GB2312" w:cs="仿宋_GB2312"/>
          <w:highlight w:val="none"/>
        </w:rPr>
        <w:t>》是</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highlight w:val="none"/>
        </w:rPr>
        <w:t>主办的期刊，主要为我省法院系统印制法律释义、法院业务指导、案件审判及执行经验交流等内容的内部刊物。通过总结典型案例办案的经验，对案件审理流程、标准及相关法律政策进行了梳理总结，作为学习交流及审理案件的参考资料，达到相互学习借鉴、共同进步提高的目的</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对于指导全省法院审判业务和加强队伍建设、文化建设起到了重要作用</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法刊</w:t>
      </w:r>
      <w:r>
        <w:rPr>
          <w:rFonts w:hint="eastAsia" w:ascii="仿宋_GB2312" w:hAnsi="仿宋_GB2312" w:eastAsia="仿宋_GB2312" w:cs="仿宋_GB2312"/>
          <w:highlight w:val="none"/>
        </w:rPr>
        <w:t>》已成为全省法院系统和在甘全国人大代表、省人大代表，省、市、县四大班子主要领导和政法委书记相互学习借鉴、共同进步提高的重要传输载体</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拓宽了法治文化建设的宣传方式，法院审判执行工作得到了有效宣传</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6" w:name="_Toc12901"/>
      <w:r>
        <w:rPr>
          <w:rFonts w:hint="eastAsia" w:ascii="楷体" w:hAnsi="楷体" w:eastAsia="楷体" w:cs="楷体"/>
          <w:b/>
          <w:bCs/>
          <w:highlight w:val="none"/>
        </w:rPr>
        <w:t>（二）项目预算安排和支出情况</w:t>
      </w:r>
      <w:bookmarkEnd w:id="15"/>
      <w:bookmarkEnd w:id="16"/>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《法刊》（审判理论与实践）等印刷费项目根据202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年度预算安排，该项目预算资金</w:t>
      </w:r>
      <w:r>
        <w:rPr>
          <w:rFonts w:hint="eastAsia" w:ascii="仿宋_GB2312" w:hAnsi="仿宋_GB2312" w:cs="仿宋_GB2312"/>
          <w:highlight w:val="none"/>
          <w:lang w:val="en-US" w:eastAsia="zh-CN"/>
        </w:rPr>
        <w:t>30.00</w:t>
      </w:r>
      <w:r>
        <w:rPr>
          <w:rFonts w:hint="eastAsia" w:ascii="仿宋_GB2312" w:hAnsi="仿宋_GB2312" w:eastAsia="仿宋_GB2312" w:cs="仿宋_GB2312"/>
          <w:highlight w:val="none"/>
        </w:rPr>
        <w:t>万元。</w:t>
      </w:r>
      <w:r>
        <w:rPr>
          <w:rFonts w:hint="eastAsia" w:ascii="仿宋_GB2312" w:hAnsi="仿宋_GB2312" w:cs="仿宋_GB2312"/>
          <w:highlight w:val="none"/>
          <w:lang w:val="en-US" w:eastAsia="zh-CN"/>
        </w:rPr>
        <w:t>截止2022年12月31日，实际支出19.50万元。</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7" w:name="_Toc22406"/>
      <w:bookmarkStart w:id="18" w:name="_Toc9788"/>
      <w:r>
        <w:rPr>
          <w:rFonts w:hint="eastAsia" w:ascii="楷体" w:hAnsi="楷体" w:eastAsia="楷体" w:cs="楷体"/>
          <w:b/>
          <w:bCs/>
          <w:highlight w:val="none"/>
        </w:rPr>
        <w:t>（三）项目主要内容和实施情况</w:t>
      </w:r>
      <w:bookmarkEnd w:id="17"/>
      <w:bookmarkEnd w:id="18"/>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highlight w:val="none"/>
          <w:lang w:val="en-US" w:eastAsia="zh-CN" w:bidi="ar-SA"/>
        </w:rPr>
      </w:pPr>
      <w:bookmarkStart w:id="19" w:name="_Toc4760"/>
      <w:r>
        <w:rPr>
          <w:rFonts w:hint="eastAsia" w:ascii="仿宋_GB2312" w:hAnsi="仿宋_GB2312" w:eastAsia="仿宋_GB2312" w:cs="仿宋_GB2312"/>
          <w:kern w:val="2"/>
          <w:sz w:val="32"/>
          <w:szCs w:val="32"/>
          <w:highlight w:val="none"/>
          <w:lang w:val="en-US" w:eastAsia="zh-CN" w:bidi="ar-SA"/>
        </w:rPr>
        <w:t>《法刊》为双月刊，法院计划每年度印发《法刊》期数达到5期以上，发行册数达到45000册，并保证印刷内容的准确率为100%，加强全省法院审判业务建设、队伍建设和文化建设。《法刊》（审判理论与实践）等印刷费项目预算下达后，按照年度工作计划，《法刊》内容由各个部门分工负责，其具体内容格式及质量要求严格按照单位的要求执行，《法刊》编制完成后，由省法院统一印发。</w:t>
      </w:r>
    </w:p>
    <w:p>
      <w:pPr>
        <w:keepNext w:val="0"/>
        <w:keepLines w:val="0"/>
        <w:pageBreakBefore w:val="0"/>
        <w:widowControl w:val="0"/>
        <w:numPr>
          <w:ilvl w:val="0"/>
          <w:numId w:val="1"/>
        </w:numPr>
        <w:tabs>
          <w:tab w:val="left" w:pos="849"/>
        </w:tabs>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黑体"/>
          <w:b w:val="0"/>
          <w:bCs w:val="0"/>
          <w:sz w:val="32"/>
          <w:szCs w:val="32"/>
          <w:highlight w:val="none"/>
        </w:rPr>
      </w:pPr>
      <w:bookmarkStart w:id="20" w:name="_Toc16493"/>
      <w:r>
        <w:rPr>
          <w:rFonts w:hint="eastAsia" w:ascii="黑体" w:hAnsi="黑体" w:eastAsia="黑体" w:cs="黑体"/>
          <w:b w:val="0"/>
          <w:bCs w:val="0"/>
          <w:sz w:val="32"/>
          <w:szCs w:val="32"/>
          <w:highlight w:val="none"/>
        </w:rPr>
        <w:t>项目绩效目标</w:t>
      </w:r>
      <w:bookmarkEnd w:id="19"/>
      <w:bookmarkEnd w:id="20"/>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仿宋" w:hAnsi="仿宋" w:eastAsia="仿宋" w:cs="仿宋"/>
          <w:b/>
          <w:bCs/>
          <w:highlight w:val="none"/>
        </w:rPr>
      </w:pPr>
      <w:bookmarkStart w:id="21" w:name="_Toc18792"/>
      <w:bookmarkStart w:id="22" w:name="_Toc1873"/>
      <w:r>
        <w:rPr>
          <w:rFonts w:hint="eastAsia" w:ascii="楷体" w:hAnsi="楷体" w:eastAsia="楷体" w:cs="楷体"/>
          <w:b/>
          <w:bCs/>
          <w:highlight w:val="none"/>
        </w:rPr>
        <w:t>（一）总体绩效目标</w:t>
      </w:r>
      <w:bookmarkEnd w:id="21"/>
      <w:bookmarkEnd w:id="22"/>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bookmarkStart w:id="23" w:name="_Toc13132"/>
      <w:r>
        <w:rPr>
          <w:rFonts w:hint="eastAsia" w:ascii="仿宋_GB2312" w:hAnsi="仿宋_GB2312" w:eastAsia="仿宋_GB2312" w:cs="仿宋_GB2312"/>
          <w:highlight w:val="none"/>
        </w:rPr>
        <w:t>《法刊》是</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highlight w:val="none"/>
        </w:rPr>
        <w:t>主办的期刊，主要为我省法院系统印制《法刊》法律释义、法院业务指导、案件审判及执行经验交流等内容的内部刊物。《法刊》为双月刊，于每双月发行，</w:t>
      </w:r>
      <w:r>
        <w:rPr>
          <w:rFonts w:hint="eastAsia" w:ascii="仿宋_GB2312" w:hAnsi="仿宋_GB2312" w:cs="仿宋_GB2312"/>
          <w:highlight w:val="none"/>
          <w:lang w:val="en-US" w:eastAsia="zh-CN"/>
        </w:rPr>
        <w:t>年度</w:t>
      </w:r>
      <w:r>
        <w:rPr>
          <w:rFonts w:hint="eastAsia" w:ascii="仿宋_GB2312" w:hAnsi="仿宋_GB2312" w:eastAsia="仿宋_GB2312" w:cs="仿宋_GB2312"/>
          <w:highlight w:val="none"/>
        </w:rPr>
        <w:t>预计共发行45000册。《法刊》通过总结典型案例办案的经验，对案件审理流程、标准及相关法律政策进行了梳理总结，以作为学习交流及审理案件的参考资料，达到相互学习借鉴、共同进步提高的目的。</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24" w:name="_Toc15809"/>
      <w:r>
        <w:rPr>
          <w:rFonts w:hint="eastAsia" w:ascii="楷体" w:hAnsi="楷体" w:eastAsia="楷体" w:cs="楷体"/>
          <w:b/>
          <w:bCs/>
          <w:highlight w:val="none"/>
        </w:rPr>
        <w:t>（二）202</w:t>
      </w:r>
      <w:r>
        <w:rPr>
          <w:rFonts w:hint="eastAsia" w:ascii="楷体" w:hAnsi="楷体" w:eastAsia="楷体" w:cs="楷体"/>
          <w:b/>
          <w:bCs/>
          <w:highlight w:val="none"/>
          <w:lang w:val="en-US" w:eastAsia="zh-CN"/>
        </w:rPr>
        <w:t>2</w:t>
      </w:r>
      <w:r>
        <w:rPr>
          <w:rFonts w:hint="eastAsia" w:ascii="楷体" w:hAnsi="楷体" w:eastAsia="楷体" w:cs="楷体"/>
          <w:b/>
          <w:bCs/>
          <w:highlight w:val="none"/>
        </w:rPr>
        <w:t>年度绩效目标</w:t>
      </w:r>
      <w:bookmarkEnd w:id="23"/>
      <w:bookmarkEnd w:id="2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2022年，</w:t>
      </w:r>
      <w:r>
        <w:rPr>
          <w:rFonts w:hint="eastAsia" w:ascii="仿宋_GB2312" w:hAnsi="仿宋_GB2312" w:cs="仿宋_GB2312"/>
          <w:highlight w:val="none"/>
          <w:lang w:val="en-US" w:eastAsia="zh-CN"/>
        </w:rPr>
        <w:t>省法院</w:t>
      </w:r>
      <w:r>
        <w:rPr>
          <w:rFonts w:hint="eastAsia" w:ascii="仿宋_GB2312" w:hAnsi="仿宋_GB2312" w:eastAsia="仿宋_GB2312" w:cs="仿宋_GB2312"/>
          <w:highlight w:val="none"/>
        </w:rPr>
        <w:t>计划印发《法刊》期数达到</w:t>
      </w:r>
      <w:r>
        <w:rPr>
          <w:rFonts w:hint="eastAsia" w:ascii="仿宋_GB2312" w:hAnsi="仿宋_GB2312" w:cs="仿宋_GB2312"/>
          <w:highlight w:val="none"/>
          <w:lang w:val="en-US" w:eastAsia="zh-CN"/>
        </w:rPr>
        <w:t>5</w:t>
      </w:r>
      <w:r>
        <w:rPr>
          <w:rFonts w:hint="eastAsia" w:ascii="仿宋_GB2312" w:hAnsi="仿宋_GB2312" w:eastAsia="仿宋_GB2312" w:cs="仿宋_GB2312"/>
          <w:highlight w:val="none"/>
        </w:rPr>
        <w:t>期，发行册数达到45000册，并保证印刷内容的准确率为100%，加强全省法院审判业务建设和队伍建设、文化建设。</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黑体"/>
          <w:b w:val="0"/>
          <w:bCs w:val="0"/>
          <w:highlight w:val="none"/>
        </w:rPr>
      </w:pPr>
      <w:bookmarkStart w:id="25" w:name="_Toc23835"/>
      <w:bookmarkStart w:id="26" w:name="_Toc12552"/>
      <w:r>
        <w:rPr>
          <w:rFonts w:hint="eastAsia" w:ascii="黑体" w:hAnsi="黑体" w:eastAsia="黑体" w:cs="黑体"/>
          <w:b w:val="0"/>
          <w:bCs w:val="0"/>
          <w:highlight w:val="none"/>
        </w:rPr>
        <w:t>三、评价基本情况</w:t>
      </w:r>
      <w:bookmarkEnd w:id="25"/>
      <w:bookmarkEnd w:id="26"/>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27" w:name="_Toc12764"/>
      <w:bookmarkStart w:id="28" w:name="_Toc11180"/>
      <w:r>
        <w:rPr>
          <w:rFonts w:hint="eastAsia" w:ascii="楷体" w:hAnsi="楷体" w:eastAsia="楷体" w:cs="楷体"/>
          <w:b/>
          <w:bCs/>
          <w:highlight w:val="none"/>
        </w:rPr>
        <w:t>（一）评价目的、对象和范围</w:t>
      </w:r>
      <w:bookmarkEnd w:id="27"/>
      <w:bookmarkEnd w:id="28"/>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绩效评价的目的是对预算资金的执行情况、资金使用情况、项目的绩效情况进行综合分析，与预期绩效目标进行对比评价，优化资金使用、完善资金管理，为该项目下一步的预算安排提供参考，不断提高资金的使用效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本次评价对象为202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年省财政安排的“《法刊》（审判理论与实践）等印刷费”</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rPr>
        <w:t>；评价范围为202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w:t>
      </w:r>
      <w:r>
        <w:rPr>
          <w:rFonts w:hint="eastAsia" w:ascii="仿宋_GB2312" w:hAnsi="仿宋_GB2312" w:cs="仿宋_GB2312"/>
          <w:highlight w:val="none"/>
          <w:lang w:val="en-US" w:eastAsia="zh-CN"/>
        </w:rPr>
        <w:t>该项目预算</w:t>
      </w:r>
      <w:r>
        <w:rPr>
          <w:rFonts w:hint="eastAsia" w:ascii="仿宋_GB2312" w:hAnsi="仿宋_GB2312" w:eastAsia="仿宋_GB2312" w:cs="仿宋_GB2312"/>
          <w:highlight w:val="none"/>
        </w:rPr>
        <w:t>资金</w:t>
      </w:r>
      <w:r>
        <w:rPr>
          <w:rFonts w:hint="eastAsia" w:ascii="仿宋_GB2312" w:hAnsi="仿宋_GB2312" w:cs="仿宋_GB2312"/>
          <w:highlight w:val="none"/>
          <w:lang w:val="en-US" w:eastAsia="zh-CN"/>
        </w:rPr>
        <w:t>30.00万元的资金</w:t>
      </w:r>
      <w:r>
        <w:rPr>
          <w:rFonts w:hint="eastAsia" w:ascii="仿宋_GB2312" w:hAnsi="仿宋_GB2312" w:eastAsia="仿宋_GB2312" w:cs="仿宋_GB2312"/>
          <w:highlight w:val="none"/>
        </w:rPr>
        <w:t>使用和项目实施效益情况。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29" w:name="_Toc861"/>
      <w:bookmarkStart w:id="30" w:name="_Toc11782"/>
      <w:r>
        <w:rPr>
          <w:rFonts w:hint="eastAsia" w:ascii="楷体" w:hAnsi="楷体" w:eastAsia="楷体" w:cs="楷体"/>
          <w:b/>
          <w:bCs/>
          <w:highlight w:val="none"/>
        </w:rPr>
        <w:t>（二）评价原则、评价方法、评价指标体系</w:t>
      </w:r>
      <w:bookmarkEnd w:id="29"/>
      <w:bookmarkEnd w:id="30"/>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本次绩效评价遵循</w:t>
      </w:r>
      <w:r>
        <w:rPr>
          <w:rFonts w:hint="eastAsia" w:ascii="仿宋_GB2312" w:hAnsi="仿宋_GB2312" w:eastAsia="仿宋_GB2312" w:cs="仿宋_GB2312"/>
          <w:color w:val="000000" w:themeColor="text1"/>
          <w:sz w:val="32"/>
          <w:szCs w:val="32"/>
          <w:highlight w:val="none"/>
          <w14:textFill>
            <w14:solidFill>
              <w14:schemeClr w14:val="tx1"/>
            </w14:solidFill>
          </w14:textFill>
        </w:rPr>
        <w:t>科学规范、绩效相关、公开透明、激励约束</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的原</w:t>
      </w:r>
      <w:r>
        <w:rPr>
          <w:rFonts w:hint="eastAsia" w:ascii="仿宋_GB2312" w:hAnsi="仿宋_GB2312" w:eastAsia="仿宋_GB2312" w:cs="仿宋_GB2312"/>
          <w:sz w:val="32"/>
          <w:szCs w:val="32"/>
          <w:highlight w:val="none"/>
        </w:rPr>
        <w:t>则。</w:t>
      </w:r>
      <w:r>
        <w:rPr>
          <w:rFonts w:hint="eastAsia" w:ascii="仿宋_GB2312" w:hAnsi="仿宋_GB2312" w:eastAsia="仿宋_GB2312" w:cs="仿宋_GB2312"/>
          <w:color w:val="000000" w:themeColor="text1"/>
          <w:sz w:val="32"/>
          <w:szCs w:val="32"/>
          <w:highlight w:val="none"/>
          <w14:textFill>
            <w14:solidFill>
              <w14:schemeClr w14:val="tx1"/>
            </w14:solidFill>
          </w14:textFill>
        </w:rPr>
        <w:t>采用定量和定性分析相结合，第三方评价机构现场核实、资料评审相结合，综合运用比较法、因素分析法和专家评议等方法进行评价。</w:t>
      </w:r>
      <w:r>
        <w:rPr>
          <w:rFonts w:hint="eastAsia" w:ascii="仿宋_GB2312" w:hAnsi="仿宋_GB2312" w:eastAsia="仿宋_GB2312" w:cs="仿宋_GB2312"/>
          <w:sz w:val="32"/>
          <w:szCs w:val="32"/>
          <w:highlight w:val="none"/>
        </w:rPr>
        <w:t>根据相关文件规定，绩效评价指标划分为三级，一级指标主要包括：项目决策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过程、产出、效益、服务对象满意度情况，二级指标和三级指标根据项目情况量化、细化。</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31" w:name="_Toc7306"/>
      <w:bookmarkStart w:id="32" w:name="_Toc16658"/>
      <w:r>
        <w:rPr>
          <w:rFonts w:hint="eastAsia" w:ascii="楷体" w:hAnsi="楷体" w:eastAsia="楷体" w:cs="楷体"/>
          <w:b/>
          <w:bCs/>
          <w:highlight w:val="none"/>
        </w:rPr>
        <w:t>（三）绩效评价工作过程</w:t>
      </w:r>
      <w:bookmarkEnd w:id="31"/>
      <w:bookmarkEnd w:id="32"/>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bookmarkStart w:id="33" w:name="_Toc29824"/>
      <w:r>
        <w:rPr>
          <w:rFonts w:hint="eastAsia" w:ascii="仿宋_GB2312" w:hAnsi="仿宋_GB2312" w:eastAsia="仿宋_GB2312" w:cs="仿宋_GB2312"/>
          <w:sz w:val="32"/>
          <w:szCs w:val="32"/>
          <w:highlight w:val="none"/>
        </w:rPr>
        <w:t>本次评价由</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sz w:val="32"/>
          <w:szCs w:val="32"/>
          <w:highlight w:val="none"/>
        </w:rPr>
        <w:t>委托甘肃卓诚财务咨询有限公司组成评价工作组，按照《甘肃省财政厅关于开展2022年度省级预算执行情况部门和财政重点绩效评价工作的通知》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甘财绩〔2023〕3号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要求，在充分开展前期调研的基础上，收集评价资料、开展现场评价、进行综合分析、撰写评价报告。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仿宋" w:hAnsi="仿宋" w:eastAsia="仿宋" w:cs="仿宋"/>
          <w:b w:val="0"/>
          <w:bCs w:val="0"/>
          <w:highlight w:val="none"/>
        </w:rPr>
      </w:pPr>
      <w:bookmarkStart w:id="34" w:name="_Toc9937"/>
      <w:r>
        <w:rPr>
          <w:rFonts w:hint="eastAsia" w:ascii="黑体" w:hAnsi="黑体" w:eastAsia="黑体" w:cs="黑体"/>
          <w:b w:val="0"/>
          <w:bCs w:val="0"/>
          <w:highlight w:val="none"/>
        </w:rPr>
        <w:t>四、评价结论和绩效分析</w:t>
      </w:r>
      <w:bookmarkEnd w:id="33"/>
      <w:bookmarkEnd w:id="34"/>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依据项目支出绩效评价指标体系和评分标准，综合评定2022年度《法刊》（审判理论与实践）等印刷费项目绩效评分为97.41分，绩效等级为“优”。</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评价认为，2022年《法刊》（审判理论与实践）等印刷费项目立项依据充分、程序规范；项目实施流程严谨，管理制度健全，预算编制科学，资金分配合理，资金使用效果良好。通过项目的实施，加强了省法院审判业务建设、队伍建设和文化建设，达到了项目预期效果。但该项目专项资金存在结余，资金使用有待进一步规范，个别指标未全面完成。</w:t>
      </w:r>
    </w:p>
    <w:p>
      <w:pPr>
        <w:pStyle w:val="4"/>
        <w:keepNext w:val="0"/>
        <w:keepLines w:val="0"/>
        <w:pageBreakBefore w:val="0"/>
        <w:widowControl w:val="0"/>
        <w:numPr>
          <w:ilvl w:val="0"/>
          <w:numId w:val="2"/>
        </w:numPr>
        <w:kinsoku/>
        <w:wordWrap/>
        <w:overflowPunct w:val="0"/>
        <w:topLinePunct w:val="0"/>
        <w:autoSpaceDE/>
        <w:autoSpaceDN/>
        <w:bidi w:val="0"/>
        <w:adjustRightInd/>
        <w:snapToGrid/>
        <w:spacing w:before="0" w:after="0" w:line="560" w:lineRule="exact"/>
        <w:ind w:firstLine="640" w:firstLineChars="200"/>
        <w:textAlignment w:val="auto"/>
        <w:rPr>
          <w:rFonts w:ascii="黑体" w:hAnsi="黑体" w:eastAsia="黑体" w:cs="黑体"/>
          <w:b w:val="0"/>
          <w:bCs/>
          <w:sz w:val="32"/>
          <w:szCs w:val="32"/>
          <w:highlight w:val="none"/>
        </w:rPr>
      </w:pPr>
      <w:bookmarkStart w:id="35" w:name="_Toc16038"/>
      <w:bookmarkStart w:id="36" w:name="_Toc15283"/>
      <w:r>
        <w:rPr>
          <w:rFonts w:hint="eastAsia" w:ascii="黑体" w:hAnsi="黑体" w:eastAsia="黑体" w:cs="黑体"/>
          <w:b w:val="0"/>
          <w:bCs/>
          <w:sz w:val="32"/>
          <w:szCs w:val="32"/>
          <w:highlight w:val="none"/>
        </w:rPr>
        <w:t>存在问题及原因分析</w:t>
      </w:r>
      <w:bookmarkEnd w:id="35"/>
      <w:bookmarkEnd w:id="36"/>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bookmarkStart w:id="37" w:name="_Toc32410"/>
      <w:bookmarkStart w:id="38" w:name="_Toc15169"/>
      <w:bookmarkStart w:id="39" w:name="_Toc24090"/>
      <w:bookmarkStart w:id="40" w:name="_Toc9017"/>
      <w:r>
        <w:rPr>
          <w:rFonts w:hint="eastAsia" w:ascii="仿宋_GB2312" w:hAnsi="仿宋_GB2312" w:eastAsia="仿宋_GB2312" w:cs="仿宋_GB2312"/>
          <w:sz w:val="32"/>
          <w:szCs w:val="32"/>
          <w:highlight w:val="none"/>
          <w:lang w:val="en-US" w:eastAsia="zh-CN"/>
        </w:rPr>
        <w:t>（一）项目支出预算执行率有待提高。</w:t>
      </w:r>
    </w:p>
    <w:bookmarkEnd w:id="37"/>
    <w:bookmarkEnd w:id="38"/>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bookmarkStart w:id="41" w:name="_Toc4327"/>
      <w:bookmarkStart w:id="42" w:name="_Toc27972"/>
      <w:r>
        <w:rPr>
          <w:rFonts w:hint="eastAsia" w:ascii="仿宋_GB2312" w:hAnsi="仿宋_GB2312" w:eastAsia="仿宋_GB2312" w:cs="仿宋_GB2312"/>
          <w:sz w:val="32"/>
          <w:szCs w:val="32"/>
          <w:highlight w:val="none"/>
          <w:lang w:val="en-US" w:eastAsia="zh-CN"/>
        </w:rPr>
        <w:t>（二）</w:t>
      </w:r>
      <w:bookmarkEnd w:id="41"/>
      <w:bookmarkEnd w:id="42"/>
      <w:r>
        <w:rPr>
          <w:rFonts w:hint="eastAsia" w:ascii="仿宋_GB2312" w:hAnsi="仿宋_GB2312" w:eastAsia="仿宋_GB2312" w:cs="仿宋_GB2312"/>
          <w:sz w:val="32"/>
          <w:szCs w:val="32"/>
          <w:highlight w:val="none"/>
          <w:lang w:val="en-US" w:eastAsia="zh-CN"/>
        </w:rPr>
        <w:t>制度执行有效性有待进一步提高。</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bookmarkStart w:id="43" w:name="_Toc25937"/>
      <w:bookmarkStart w:id="44" w:name="_Toc5725"/>
      <w:r>
        <w:rPr>
          <w:rFonts w:hint="eastAsia" w:ascii="仿宋_GB2312" w:hAnsi="仿宋_GB2312" w:eastAsia="仿宋_GB2312" w:cs="仿宋_GB2312"/>
          <w:sz w:val="32"/>
          <w:szCs w:val="32"/>
          <w:highlight w:val="none"/>
          <w:lang w:val="en-US" w:eastAsia="zh-CN"/>
        </w:rPr>
        <w:t>（三）法刊发放人数、法刊印刷份数及赠阅量指标未</w:t>
      </w:r>
      <w:bookmarkEnd w:id="43"/>
      <w:bookmarkEnd w:id="44"/>
      <w:r>
        <w:rPr>
          <w:rFonts w:hint="eastAsia" w:ascii="仿宋_GB2312" w:hAnsi="仿宋_GB2312" w:eastAsia="仿宋_GB2312" w:cs="仿宋_GB2312"/>
          <w:sz w:val="32"/>
          <w:szCs w:val="32"/>
          <w:highlight w:val="none"/>
          <w:lang w:val="en-US" w:eastAsia="zh-CN"/>
        </w:rPr>
        <w:t>达到目标值。</w:t>
      </w:r>
    </w:p>
    <w:bookmarkEnd w:id="39"/>
    <w:p>
      <w:pPr>
        <w:pStyle w:val="4"/>
        <w:keepNext w:val="0"/>
        <w:keepLines w:val="0"/>
        <w:pageBreakBefore w:val="0"/>
        <w:widowControl w:val="0"/>
        <w:numPr>
          <w:ilvl w:val="0"/>
          <w:numId w:val="2"/>
        </w:numPr>
        <w:kinsoku/>
        <w:wordWrap/>
        <w:overflowPunct w:val="0"/>
        <w:topLinePunct w:val="0"/>
        <w:autoSpaceDE/>
        <w:autoSpaceDN/>
        <w:bidi w:val="0"/>
        <w:adjustRightInd/>
        <w:snapToGrid/>
        <w:spacing w:before="0" w:after="0" w:line="560" w:lineRule="exact"/>
        <w:ind w:firstLine="640" w:firstLineChars="200"/>
        <w:textAlignment w:val="auto"/>
        <w:rPr>
          <w:rFonts w:hint="eastAsia" w:ascii="黑体" w:hAnsi="黑体" w:eastAsia="黑体" w:cs="黑体"/>
          <w:b w:val="0"/>
          <w:bCs/>
          <w:sz w:val="32"/>
          <w:szCs w:val="32"/>
          <w:highlight w:val="none"/>
        </w:rPr>
      </w:pPr>
      <w:bookmarkStart w:id="45" w:name="_Toc2113"/>
      <w:r>
        <w:rPr>
          <w:rFonts w:hint="eastAsia" w:ascii="黑体" w:hAnsi="黑体" w:eastAsia="黑体" w:cs="黑体"/>
          <w:b w:val="0"/>
          <w:bCs/>
          <w:sz w:val="32"/>
          <w:szCs w:val="32"/>
          <w:highlight w:val="none"/>
        </w:rPr>
        <w:t>有关建议</w:t>
      </w:r>
      <w:bookmarkEnd w:id="45"/>
    </w:p>
    <w:bookmarkEnd w:id="40"/>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bookmarkStart w:id="46" w:name="_Toc29084"/>
      <w:bookmarkStart w:id="47" w:name="_Toc19011"/>
      <w:bookmarkStart w:id="48" w:name="_Toc2283"/>
      <w:bookmarkStart w:id="49" w:name="_Toc1784"/>
      <w:r>
        <w:rPr>
          <w:rFonts w:hint="eastAsia" w:ascii="仿宋_GB2312" w:hAnsi="仿宋_GB2312" w:eastAsia="仿宋_GB2312" w:cs="仿宋_GB2312"/>
          <w:kern w:val="2"/>
          <w:sz w:val="32"/>
          <w:szCs w:val="32"/>
          <w:highlight w:val="none"/>
          <w:lang w:val="en-US" w:eastAsia="zh-CN" w:bidi="ar-SA"/>
        </w:rPr>
        <w:t>（一）</w:t>
      </w:r>
      <w:bookmarkEnd w:id="46"/>
      <w:bookmarkEnd w:id="47"/>
      <w:r>
        <w:rPr>
          <w:rFonts w:hint="eastAsia" w:ascii="仿宋_GB2312" w:hAnsi="仿宋_GB2312" w:eastAsia="仿宋_GB2312" w:cs="仿宋_GB2312"/>
          <w:sz w:val="32"/>
          <w:szCs w:val="32"/>
          <w:highlight w:val="none"/>
          <w:lang w:val="en-US" w:eastAsia="zh-CN"/>
        </w:rPr>
        <w:t>加快资金执行进度，提高项目实施效益。</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9"/>
        <w:rPr>
          <w:rFonts w:hint="default" w:ascii="仿宋_GB2312" w:hAnsi="仿宋_GB2312" w:eastAsia="仿宋_GB2312" w:cs="仿宋_GB2312"/>
          <w:kern w:val="2"/>
          <w:sz w:val="32"/>
          <w:szCs w:val="32"/>
          <w:highlight w:val="none"/>
          <w:lang w:val="en-US" w:eastAsia="zh-CN" w:bidi="ar-SA"/>
        </w:rPr>
      </w:pPr>
      <w:bookmarkStart w:id="50" w:name="_Toc5078"/>
      <w:bookmarkStart w:id="51" w:name="_Toc11561"/>
      <w:r>
        <w:rPr>
          <w:rFonts w:hint="eastAsia" w:ascii="仿宋_GB2312" w:hAnsi="仿宋_GB2312" w:eastAsia="仿宋_GB2312" w:cs="仿宋_GB2312"/>
          <w:kern w:val="2"/>
          <w:sz w:val="32"/>
          <w:szCs w:val="32"/>
          <w:highlight w:val="none"/>
          <w:lang w:val="en-US" w:eastAsia="zh-CN" w:bidi="ar-SA"/>
        </w:rPr>
        <w:t>（二）加强履约验收环节的控制</w:t>
      </w:r>
      <w:bookmarkEnd w:id="50"/>
      <w:bookmarkEnd w:id="51"/>
      <w:r>
        <w:rPr>
          <w:rFonts w:hint="eastAsia" w:ascii="仿宋_GB2312" w:hAnsi="仿宋_GB2312" w:eastAsia="仿宋_GB2312" w:cs="仿宋_GB2312"/>
          <w:kern w:val="2"/>
          <w:sz w:val="32"/>
          <w:szCs w:val="32"/>
          <w:highlight w:val="none"/>
          <w:lang w:val="en-US" w:eastAsia="zh-CN" w:bidi="ar-SA"/>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9"/>
        <w:rPr>
          <w:rFonts w:hint="default" w:ascii="仿宋_GB2312" w:hAnsi="仿宋_GB2312" w:eastAsia="仿宋_GB2312" w:cs="仿宋_GB2312"/>
          <w:kern w:val="2"/>
          <w:sz w:val="32"/>
          <w:szCs w:val="32"/>
          <w:highlight w:val="none"/>
          <w:lang w:val="en-US" w:eastAsia="zh-CN" w:bidi="ar-SA"/>
        </w:rPr>
      </w:pPr>
      <w:bookmarkStart w:id="52" w:name="_Toc13715"/>
      <w:bookmarkStart w:id="53" w:name="_Toc6188"/>
      <w:r>
        <w:rPr>
          <w:rFonts w:hint="eastAsia" w:ascii="仿宋_GB2312" w:hAnsi="仿宋_GB2312" w:eastAsia="仿宋_GB2312" w:cs="仿宋_GB2312"/>
          <w:kern w:val="2"/>
          <w:sz w:val="32"/>
          <w:szCs w:val="32"/>
          <w:highlight w:val="none"/>
          <w:lang w:val="en-US" w:eastAsia="zh-CN" w:bidi="ar-SA"/>
        </w:rPr>
        <w:t>（三）</w:t>
      </w:r>
      <w:bookmarkEnd w:id="52"/>
      <w:bookmarkEnd w:id="53"/>
      <w:r>
        <w:rPr>
          <w:rFonts w:hint="eastAsia" w:ascii="仿宋_GB2312" w:hAnsi="仿宋_GB2312" w:eastAsia="仿宋_GB2312" w:cs="仿宋_GB2312"/>
          <w:sz w:val="32"/>
          <w:szCs w:val="32"/>
          <w:highlight w:val="none"/>
          <w:lang w:val="en-US" w:eastAsia="zh-CN"/>
        </w:rPr>
        <w:t>深化项目管理，加快项目实施进度</w:t>
      </w:r>
      <w:r>
        <w:rPr>
          <w:rFonts w:hint="eastAsia" w:ascii="仿宋_GB2312" w:hAnsi="仿宋_GB2312" w:eastAsia="仿宋_GB2312" w:cs="仿宋_GB2312"/>
          <w:kern w:val="2"/>
          <w:sz w:val="32"/>
          <w:szCs w:val="32"/>
          <w:highlight w:val="none"/>
          <w:lang w:val="en-US" w:eastAsia="zh-CN" w:bidi="ar-SA"/>
        </w:rPr>
        <w:t>。</w:t>
      </w:r>
    </w:p>
    <w:p>
      <w:pPr>
        <w:rPr>
          <w:rFonts w:hint="eastAsia" w:ascii="方正小标宋简体" w:hAnsi="宋体" w:eastAsia="方正小标宋简体"/>
          <w:sz w:val="44"/>
          <w:szCs w:val="44"/>
          <w:highlight w:val="none"/>
        </w:rPr>
      </w:pPr>
      <w:r>
        <w:rPr>
          <w:rFonts w:hint="eastAsia" w:ascii="方正小标宋简体" w:hAnsi="宋体" w:eastAsia="方正小标宋简体"/>
          <w:sz w:val="44"/>
          <w:szCs w:val="44"/>
          <w:highlight w:val="none"/>
        </w:rPr>
        <w:br w:type="page"/>
      </w:r>
    </w:p>
    <w:p>
      <w:pPr>
        <w:keepNext w:val="0"/>
        <w:keepLines w:val="0"/>
        <w:pageBreakBefore w:val="0"/>
        <w:widowControl w:val="0"/>
        <w:kinsoku/>
        <w:wordWrap/>
        <w:overflowPunct w:val="0"/>
        <w:topLinePunct w:val="0"/>
        <w:autoSpaceDE/>
        <w:autoSpaceDN/>
        <w:bidi w:val="0"/>
        <w:adjustRightInd/>
        <w:snapToGrid/>
        <w:spacing w:line="560" w:lineRule="exact"/>
        <w:jc w:val="center"/>
        <w:textAlignment w:val="auto"/>
        <w:outlineLvl w:val="9"/>
        <w:rPr>
          <w:rFonts w:ascii="方正小标宋简体" w:hAnsi="宋体" w:eastAsia="方正小标宋简体"/>
          <w:sz w:val="44"/>
          <w:szCs w:val="44"/>
          <w:highlight w:val="none"/>
        </w:rPr>
      </w:pPr>
      <w:r>
        <w:rPr>
          <w:rFonts w:hint="eastAsia" w:ascii="方正小标宋简体" w:hAnsi="宋体" w:eastAsia="方正小标宋简体"/>
          <w:sz w:val="44"/>
          <w:szCs w:val="44"/>
          <w:highlight w:val="none"/>
        </w:rPr>
        <w:t>202</w:t>
      </w:r>
      <w:r>
        <w:rPr>
          <w:rFonts w:hint="eastAsia" w:ascii="方正小标宋简体" w:hAnsi="宋体" w:eastAsia="方正小标宋简体"/>
          <w:sz w:val="44"/>
          <w:szCs w:val="44"/>
          <w:highlight w:val="none"/>
          <w:lang w:val="en-US" w:eastAsia="zh-CN"/>
        </w:rPr>
        <w:t>2</w:t>
      </w:r>
      <w:r>
        <w:rPr>
          <w:rFonts w:hint="eastAsia" w:ascii="方正小标宋简体" w:hAnsi="宋体" w:eastAsia="方正小标宋简体"/>
          <w:sz w:val="44"/>
          <w:szCs w:val="44"/>
          <w:highlight w:val="none"/>
        </w:rPr>
        <w:t>年度</w:t>
      </w:r>
      <w:r>
        <w:rPr>
          <w:rFonts w:hint="eastAsia" w:ascii="方正小标宋简体" w:hAnsi="宋体" w:eastAsia="方正小标宋简体"/>
          <w:sz w:val="44"/>
          <w:szCs w:val="44"/>
          <w:highlight w:val="none"/>
          <w:lang w:val="en-US" w:eastAsia="zh-CN"/>
        </w:rPr>
        <w:t>甘肃省高级人民法院</w:t>
      </w:r>
      <w:r>
        <w:rPr>
          <w:rFonts w:hint="eastAsia" w:ascii="方正小标宋简体" w:hAnsi="宋体" w:eastAsia="方正小标宋简体"/>
          <w:sz w:val="44"/>
          <w:szCs w:val="44"/>
          <w:highlight w:val="none"/>
        </w:rPr>
        <w:t>重点项目</w:t>
      </w:r>
    </w:p>
    <w:p>
      <w:pPr>
        <w:keepNext w:val="0"/>
        <w:keepLines w:val="0"/>
        <w:pageBreakBefore w:val="0"/>
        <w:widowControl w:val="0"/>
        <w:kinsoku/>
        <w:wordWrap/>
        <w:overflowPunct w:val="0"/>
        <w:topLinePunct w:val="0"/>
        <w:autoSpaceDE/>
        <w:autoSpaceDN/>
        <w:bidi w:val="0"/>
        <w:adjustRightInd/>
        <w:spacing w:line="560" w:lineRule="exact"/>
        <w:jc w:val="center"/>
        <w:outlineLvl w:val="0"/>
        <w:rPr>
          <w:rFonts w:hint="eastAsia" w:ascii="方正小标宋简体" w:hAnsi="宋体" w:eastAsia="方正小标宋简体"/>
          <w:sz w:val="44"/>
          <w:szCs w:val="44"/>
          <w:highlight w:val="none"/>
        </w:rPr>
      </w:pPr>
      <w:bookmarkStart w:id="54" w:name="_Toc17748"/>
      <w:bookmarkStart w:id="55" w:name="_Toc21731"/>
      <w:bookmarkStart w:id="56" w:name="_Toc25608"/>
      <w:bookmarkStart w:id="57" w:name="_Toc10434"/>
      <w:r>
        <w:rPr>
          <w:rFonts w:hint="eastAsia" w:ascii="方正小标宋简体" w:hAnsi="宋体" w:eastAsia="方正小标宋简体"/>
          <w:sz w:val="44"/>
          <w:szCs w:val="44"/>
          <w:highlight w:val="none"/>
        </w:rPr>
        <w:t>—《法刊》（审判理论与实践）等印刷费</w:t>
      </w:r>
      <w:bookmarkEnd w:id="54"/>
    </w:p>
    <w:p>
      <w:pPr>
        <w:keepNext w:val="0"/>
        <w:keepLines w:val="0"/>
        <w:pageBreakBefore w:val="0"/>
        <w:widowControl w:val="0"/>
        <w:kinsoku/>
        <w:wordWrap/>
        <w:overflowPunct w:val="0"/>
        <w:topLinePunct w:val="0"/>
        <w:autoSpaceDE/>
        <w:autoSpaceDN/>
        <w:bidi w:val="0"/>
        <w:adjustRightInd/>
        <w:spacing w:line="560" w:lineRule="exact"/>
        <w:jc w:val="center"/>
        <w:outlineLvl w:val="0"/>
        <w:rPr>
          <w:rFonts w:ascii="方正小标宋简体" w:hAnsi="宋体" w:eastAsia="方正小标宋简体"/>
          <w:sz w:val="44"/>
          <w:szCs w:val="44"/>
          <w:highlight w:val="none"/>
        </w:rPr>
      </w:pPr>
      <w:bookmarkStart w:id="58" w:name="_Toc24738"/>
      <w:bookmarkStart w:id="59" w:name="_Toc19592"/>
      <w:r>
        <w:rPr>
          <w:rFonts w:hint="eastAsia" w:ascii="方正小标宋简体" w:hAnsi="宋体" w:eastAsia="方正小标宋简体"/>
          <w:sz w:val="44"/>
          <w:szCs w:val="44"/>
          <w:highlight w:val="none"/>
        </w:rPr>
        <w:t>绩效评价报告</w:t>
      </w:r>
      <w:bookmarkEnd w:id="55"/>
      <w:bookmarkEnd w:id="56"/>
      <w:bookmarkEnd w:id="57"/>
      <w:bookmarkEnd w:id="58"/>
      <w:bookmarkEnd w:id="59"/>
    </w:p>
    <w:p>
      <w:pPr>
        <w:pStyle w:val="2"/>
        <w:keepNext w:val="0"/>
        <w:keepLines w:val="0"/>
        <w:pageBreakBefore w:val="0"/>
        <w:widowControl w:val="0"/>
        <w:kinsoku/>
        <w:wordWrap/>
        <w:overflowPunct w:val="0"/>
        <w:topLinePunct w:val="0"/>
        <w:autoSpaceDE/>
        <w:autoSpaceDN/>
        <w:bidi w:val="0"/>
        <w:adjustRightInd/>
        <w:snapToGrid/>
        <w:spacing w:before="157" w:beforeLines="50" w:after="157" w:afterLines="50" w:line="560" w:lineRule="exact"/>
        <w:ind w:firstLine="560" w:firstLineChars="200"/>
        <w:jc w:val="right"/>
        <w:textAlignment w:val="auto"/>
        <w:outlineLvl w:val="0"/>
        <w:rPr>
          <w:rFonts w:hint="eastAsia" w:ascii="黑体" w:eastAsia="黑体"/>
          <w:sz w:val="28"/>
          <w:szCs w:val="28"/>
          <w:highlight w:val="none"/>
        </w:rPr>
      </w:pPr>
      <w:bookmarkStart w:id="60" w:name="_Toc28166"/>
      <w:bookmarkStart w:id="61" w:name="_Toc16182"/>
      <w:r>
        <w:rPr>
          <w:rFonts w:hint="eastAsia" w:ascii="楷体" w:hAnsi="楷体" w:eastAsia="楷体" w:cs="楷体"/>
          <w:sz w:val="28"/>
          <w:szCs w:val="28"/>
        </w:rPr>
        <w:t>甘卓诚咨字【2023】第01</w:t>
      </w:r>
      <w:r>
        <w:rPr>
          <w:rFonts w:hint="eastAsia" w:ascii="楷体" w:hAnsi="楷体" w:eastAsia="楷体" w:cs="楷体"/>
          <w:sz w:val="28"/>
          <w:szCs w:val="28"/>
          <w:lang w:val="en-US" w:eastAsia="zh-CN"/>
        </w:rPr>
        <w:t>0</w:t>
      </w:r>
      <w:r>
        <w:rPr>
          <w:rFonts w:hint="eastAsia" w:ascii="楷体" w:hAnsi="楷体" w:eastAsia="楷体" w:cs="楷体"/>
          <w:sz w:val="28"/>
          <w:szCs w:val="28"/>
        </w:rPr>
        <w:t>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r>
        <w:rPr>
          <w:rFonts w:hint="eastAsia" w:ascii="黑体" w:eastAsia="黑体"/>
          <w:highlight w:val="none"/>
        </w:rPr>
        <w:t>一、项目基本情况</w:t>
      </w:r>
      <w:bookmarkEnd w:id="48"/>
      <w:bookmarkEnd w:id="49"/>
      <w:bookmarkEnd w:id="60"/>
      <w:bookmarkEnd w:id="61"/>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62" w:name="_Toc2877"/>
      <w:bookmarkStart w:id="63" w:name="_Toc11404"/>
      <w:bookmarkStart w:id="64" w:name="_Toc21843"/>
      <w:r>
        <w:rPr>
          <w:rFonts w:hint="eastAsia" w:ascii="楷体" w:hAnsi="楷体" w:eastAsia="楷体" w:cs="楷体"/>
          <w:b/>
          <w:bCs/>
          <w:highlight w:val="none"/>
        </w:rPr>
        <w:t>（一）项目立项背景</w:t>
      </w:r>
      <w:bookmarkEnd w:id="62"/>
      <w:bookmarkEnd w:id="63"/>
      <w:bookmarkEnd w:id="6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bookmarkStart w:id="65" w:name="_Hlk107005708"/>
      <w:bookmarkStart w:id="66" w:name="_Toc10699"/>
      <w:bookmarkStart w:id="67" w:name="_Toc27159"/>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法刊</w:t>
      </w:r>
      <w:r>
        <w:rPr>
          <w:rFonts w:hint="eastAsia" w:ascii="仿宋_GB2312" w:hAnsi="仿宋_GB2312" w:eastAsia="仿宋_GB2312" w:cs="仿宋_GB2312"/>
          <w:highlight w:val="none"/>
        </w:rPr>
        <w:t>》旨在深入学习贯彻</w:t>
      </w:r>
      <w:r>
        <w:rPr>
          <w:rFonts w:hint="eastAsia" w:ascii="仿宋_GB2312" w:hAnsi="仿宋_GB2312" w:cs="仿宋_GB2312"/>
          <w:highlight w:val="none"/>
          <w:lang w:eastAsia="zh-CN"/>
        </w:rPr>
        <w:t>习近平总书记重要讲话精神</w:t>
      </w:r>
      <w:r>
        <w:rPr>
          <w:rFonts w:hint="eastAsia" w:ascii="仿宋_GB2312" w:hAnsi="仿宋_GB2312" w:eastAsia="仿宋_GB2312" w:cs="仿宋_GB2312"/>
          <w:highlight w:val="none"/>
        </w:rPr>
        <w:t>和治国理政新理念新思想新战略，始终坚持正确的政治方向和舆论导向，立足中国司法实践，紧贴省法院工作实际，积极宣传党的理论和路线方针政策，准确传播社会主义法治理念和司法理念。《</w:t>
      </w:r>
      <w:r>
        <w:rPr>
          <w:rFonts w:hint="eastAsia" w:ascii="仿宋_GB2312" w:hAnsi="仿宋_GB2312" w:cs="仿宋_GB2312"/>
          <w:highlight w:val="none"/>
          <w:lang w:val="en-US" w:eastAsia="zh-CN"/>
        </w:rPr>
        <w:t>法刊</w:t>
      </w:r>
      <w:r>
        <w:rPr>
          <w:rFonts w:hint="eastAsia" w:ascii="仿宋_GB2312" w:hAnsi="仿宋_GB2312" w:eastAsia="仿宋_GB2312" w:cs="仿宋_GB2312"/>
          <w:highlight w:val="none"/>
        </w:rPr>
        <w:t>》以反映全省各级法院总结审判实践经验、开展重大问题研究的智慧成果，充分展现全省各级法院司法为民、公正司法的生动实践和广大干警忠诚担当、拼搏奉献的精神风貌为宗旨，法院特色鲜明，栏目设置合理，内容丰富充实，对于加强全省法院审判业务建设和队伍建设、文化建设具有开阔视野、启发思维、指导实践的重要作用。</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法刊</w:t>
      </w:r>
      <w:r>
        <w:rPr>
          <w:rFonts w:hint="eastAsia" w:ascii="仿宋_GB2312" w:hAnsi="仿宋_GB2312" w:eastAsia="仿宋_GB2312" w:cs="仿宋_GB2312"/>
          <w:highlight w:val="none"/>
        </w:rPr>
        <w:t>》是</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highlight w:val="none"/>
        </w:rPr>
        <w:t>主办的期刊，主要为我省法院系统印制法律释义、法院业务指导、案件审判及执行经验交流等内容的内部刊物。通过总结典型案例办案的经验，对案件审理流程、标准及相关法律政策进行了梳理总结，作为学习交流及审理案件的参考资料，达到相互学习借鉴、共同进步提高的目的</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对于指导全省法院审判业务和加强队伍建设、文化建设起到了重要作用</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法刊</w:t>
      </w:r>
      <w:r>
        <w:rPr>
          <w:rFonts w:hint="eastAsia" w:ascii="仿宋_GB2312" w:hAnsi="仿宋_GB2312" w:eastAsia="仿宋_GB2312" w:cs="仿宋_GB2312"/>
          <w:highlight w:val="none"/>
        </w:rPr>
        <w:t>》已成为全省法院系统和在甘全国人大代表、省人大代表，省、市、县四大班子主要领导和政法委书记相互学习借鉴、共同进步提高的重要传输载体</w:t>
      </w:r>
      <w:r>
        <w:rPr>
          <w:rFonts w:hint="eastAsia" w:ascii="仿宋_GB2312" w:hAnsi="仿宋_GB2312" w:cs="仿宋_GB2312"/>
          <w:highlight w:val="none"/>
          <w:lang w:eastAsia="zh-CN"/>
        </w:rPr>
        <w:t>，为审判执行工作提供了有力精神动力和舆论支持，</w:t>
      </w:r>
      <w:r>
        <w:rPr>
          <w:rFonts w:hint="eastAsia" w:ascii="仿宋_GB2312" w:hAnsi="仿宋_GB2312" w:eastAsia="仿宋_GB2312" w:cs="仿宋_GB2312"/>
          <w:highlight w:val="none"/>
        </w:rPr>
        <w:t>拓宽了法治文化建设的宣传方式，法院审判执行工作得到了有效宣传</w:t>
      </w:r>
      <w:r>
        <w:rPr>
          <w:rFonts w:hint="eastAsia" w:ascii="仿宋_GB2312" w:hAnsi="仿宋_GB2312" w:cs="仿宋_GB2312"/>
          <w:highlight w:val="none"/>
          <w:lang w:eastAsia="zh-CN"/>
        </w:rPr>
        <w:t>。</w:t>
      </w:r>
    </w:p>
    <w:bookmarkEnd w:id="65"/>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68" w:name="_Toc17446"/>
      <w:r>
        <w:rPr>
          <w:rFonts w:hint="eastAsia" w:ascii="楷体" w:hAnsi="楷体" w:eastAsia="楷体" w:cs="楷体"/>
          <w:b/>
          <w:bCs/>
          <w:highlight w:val="none"/>
        </w:rPr>
        <w:t>（二）项目预算安排及使用情况</w:t>
      </w:r>
      <w:bookmarkEnd w:id="66"/>
      <w:bookmarkEnd w:id="67"/>
      <w:bookmarkEnd w:id="68"/>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default"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1.预算安排情况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《法刊》（审判理论与实践）等印刷费项目资金主要用于《法刊》的各项印刷费用支出。根据</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highlight w:val="none"/>
        </w:rPr>
        <w:t>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年度预算安排，该项目安排预算资金</w:t>
      </w:r>
      <w:r>
        <w:rPr>
          <w:rFonts w:hint="eastAsia" w:ascii="仿宋_GB2312" w:hAnsi="仿宋_GB2312" w:cs="仿宋_GB2312"/>
          <w:highlight w:val="none"/>
          <w:lang w:val="en-US" w:eastAsia="zh-CN"/>
        </w:rPr>
        <w:t>30.00</w:t>
      </w:r>
      <w:r>
        <w:rPr>
          <w:rFonts w:hint="eastAsia" w:ascii="仿宋_GB2312" w:hAnsi="仿宋_GB2312" w:eastAsia="仿宋_GB2312" w:cs="仿宋_GB2312"/>
          <w:highlight w:val="none"/>
        </w:rPr>
        <w:t>万元。</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2.资金使用情况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cs="仿宋_GB2312"/>
          <w:highlight w:val="none"/>
          <w:lang w:val="en-US" w:eastAsia="zh-CN"/>
        </w:rPr>
      </w:pPr>
      <w:r>
        <w:rPr>
          <w:rFonts w:hint="eastAsia" w:ascii="仿宋_GB2312" w:hAnsi="仿宋_GB2312" w:cs="仿宋_GB2312"/>
          <w:highlight w:val="none"/>
          <w:lang w:val="en-US" w:eastAsia="zh-CN"/>
        </w:rPr>
        <w:t>截止2022年12月31日，《法刊》（审判理论与实践）等印刷费项目实际支出19.50万元。</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69" w:name="_Toc26336"/>
      <w:bookmarkStart w:id="70" w:name="_Toc15106"/>
      <w:bookmarkStart w:id="71" w:name="_Toc32586"/>
      <w:r>
        <w:rPr>
          <w:rFonts w:hint="eastAsia" w:ascii="楷体" w:hAnsi="楷体" w:eastAsia="楷体" w:cs="楷体"/>
          <w:b/>
          <w:bCs/>
          <w:highlight w:val="none"/>
        </w:rPr>
        <w:t>（三）项目计划内容及实施情况</w:t>
      </w:r>
      <w:bookmarkEnd w:id="69"/>
      <w:bookmarkEnd w:id="70"/>
      <w:bookmarkEnd w:id="71"/>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14:textFill>
            <w14:solidFill>
              <w14:schemeClr w14:val="tx1"/>
            </w14:solidFill>
          </w14:textFill>
        </w:rPr>
      </w:pPr>
      <w:r>
        <w:rPr>
          <w:rFonts w:hint="eastAsia" w:ascii="仿宋_GB2312" w:hAnsi="仿宋_GB2312" w:eastAsia="仿宋_GB2312" w:cs="仿宋_GB2312"/>
          <w:b/>
          <w:bCs/>
          <w:color w:val="000000" w:themeColor="text1"/>
          <w:highlight w:val="none"/>
          <w14:textFill>
            <w14:solidFill>
              <w14:schemeClr w14:val="tx1"/>
            </w14:solidFill>
          </w14:textFill>
        </w:rPr>
        <w:t>1.项目计划内容</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《法刊》为双月刊，2022年</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highlight w:val="none"/>
        </w:rPr>
        <w:t>计划印发《法刊》期数达到</w:t>
      </w:r>
      <w:r>
        <w:rPr>
          <w:rFonts w:hint="eastAsia" w:ascii="仿宋_GB2312" w:hAnsi="仿宋_GB2312" w:cs="仿宋_GB2312"/>
          <w:highlight w:val="none"/>
          <w:lang w:val="en-US" w:eastAsia="zh-CN"/>
        </w:rPr>
        <w:t>5</w:t>
      </w:r>
      <w:r>
        <w:rPr>
          <w:rFonts w:hint="eastAsia" w:ascii="仿宋_GB2312" w:hAnsi="仿宋_GB2312" w:eastAsia="仿宋_GB2312" w:cs="仿宋_GB2312"/>
          <w:highlight w:val="none"/>
        </w:rPr>
        <w:t>期，发行册数达到45000册，并保证印刷内容的准确率为100%，加强全省法院审判业务建设和队伍建设、文化建设。</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14:textFill>
            <w14:solidFill>
              <w14:schemeClr w14:val="tx1"/>
            </w14:solidFill>
          </w14:textFill>
        </w:rPr>
      </w:pPr>
      <w:r>
        <w:rPr>
          <w:rFonts w:hint="eastAsia" w:ascii="仿宋_GB2312" w:hAnsi="仿宋_GB2312" w:eastAsia="仿宋_GB2312" w:cs="仿宋_GB2312"/>
          <w:b/>
          <w:bCs/>
          <w:color w:val="000000" w:themeColor="text1"/>
          <w:highlight w:val="none"/>
          <w14:textFill>
            <w14:solidFill>
              <w14:schemeClr w14:val="tx1"/>
            </w14:solidFill>
          </w14:textFill>
        </w:rPr>
        <w:t>2.项目实施情况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rPr>
        <w:t>《法刊》（审判理论与实践）等印刷费</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rPr>
        <w:t>预算下达后，按照年度工作计划，《法刊》内容由各个部门分工负责，其具体内容格式及质量要求严格按照单位的要求执行</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法刊</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编制完成后，由省法院统一印发。</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72" w:name="_Toc25356"/>
      <w:bookmarkStart w:id="73" w:name="_Toc26884"/>
      <w:bookmarkStart w:id="74" w:name="_Toc4490"/>
      <w:r>
        <w:rPr>
          <w:rFonts w:hint="eastAsia" w:ascii="楷体" w:hAnsi="楷体" w:eastAsia="楷体" w:cs="楷体"/>
          <w:b/>
          <w:bCs/>
          <w:highlight w:val="none"/>
        </w:rPr>
        <w:t>（四）项目组织管理</w:t>
      </w:r>
      <w:bookmarkEnd w:id="72"/>
      <w:bookmarkEnd w:id="73"/>
      <w:bookmarkEnd w:id="74"/>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1.项目组织情况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eastAsia="zh-CN"/>
        </w:rPr>
        <w:t>预算资金拨付单位</w:t>
      </w:r>
      <w:r>
        <w:rPr>
          <w:rFonts w:hint="eastAsia" w:ascii="仿宋_GB2312" w:hAnsi="仿宋_GB2312" w:cs="仿宋_GB2312"/>
          <w:highlight w:val="none"/>
          <w:lang w:eastAsia="zh-CN"/>
        </w:rPr>
        <w:t>：</w:t>
      </w:r>
      <w:r>
        <w:rPr>
          <w:rFonts w:hint="eastAsia" w:ascii="仿宋_GB2312" w:hAnsi="仿宋_GB2312" w:eastAsia="仿宋_GB2312" w:cs="仿宋_GB2312"/>
          <w:highlight w:val="none"/>
          <w:lang w:eastAsia="zh-CN"/>
        </w:rPr>
        <w:t>甘肃省财政厅是本项目预算资金的拨付单位，负责项目预算的审核批复，保证</w:t>
      </w:r>
      <w:r>
        <w:rPr>
          <w:rFonts w:hint="eastAsia" w:ascii="仿宋_GB2312" w:hAnsi="仿宋_GB2312" w:eastAsia="仿宋_GB2312" w:cs="仿宋_GB2312"/>
          <w:highlight w:val="none"/>
        </w:rPr>
        <w:t>《法刊》（审判理论与实践）等印刷费</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lang w:eastAsia="zh-CN"/>
        </w:rPr>
        <w:t>资金及时、足额拨付到位</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eastAsia="zh-CN"/>
        </w:rPr>
        <w:t>项目主管部门</w:t>
      </w:r>
      <w:r>
        <w:rPr>
          <w:rFonts w:hint="eastAsia" w:ascii="仿宋_GB2312" w:hAnsi="仿宋_GB2312" w:cs="仿宋_GB2312"/>
          <w:highlight w:val="none"/>
          <w:lang w:eastAsia="zh-CN"/>
        </w:rPr>
        <w:t>：</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highlight w:val="none"/>
          <w:lang w:eastAsia="zh-CN"/>
        </w:rPr>
        <w:t>是本项目的主管部门，负责开展监督管理和绩效考评等工作，并对资金分配和使用的全过程进行监督、检查、评估、考核及奖惩，保证资金有效使用等</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eastAsia="仿宋_GB2312" w:cs="仿宋_GB2312"/>
          <w:highlight w:val="none"/>
          <w:lang w:eastAsia="zh-CN"/>
        </w:rPr>
        <w:t>预算执行单位</w:t>
      </w:r>
      <w:r>
        <w:rPr>
          <w:rFonts w:hint="eastAsia" w:ascii="仿宋_GB2312" w:hAnsi="仿宋_GB2312" w:cs="仿宋_GB2312"/>
          <w:highlight w:val="none"/>
          <w:lang w:eastAsia="zh-CN"/>
        </w:rPr>
        <w:t>：</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cs="仿宋_GB2312"/>
          <w:highlight w:val="none"/>
          <w:lang w:val="en-US" w:eastAsia="zh-CN"/>
        </w:rPr>
        <w:t>负责《法刊》的印刷及向各单位邮寄。</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2.</w:t>
      </w: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项目管理情况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法刊》（审判理论与实践）等印刷费</w:t>
      </w:r>
      <w:r>
        <w:rPr>
          <w:rFonts w:hint="eastAsia" w:ascii="仿宋_GB2312" w:hAnsi="仿宋_GB2312" w:cs="仿宋_GB2312"/>
          <w:highlight w:val="none"/>
          <w:lang w:eastAsia="zh-CN"/>
        </w:rPr>
        <w:t>项目</w:t>
      </w:r>
      <w:r>
        <w:rPr>
          <w:rFonts w:hint="default" w:ascii="仿宋_GB2312" w:hAnsi="仿宋_GB2312" w:eastAsia="仿宋_GB2312" w:cs="仿宋_GB2312"/>
          <w:highlight w:val="none"/>
          <w:lang w:val="en-US" w:eastAsia="zh-CN"/>
        </w:rPr>
        <w:t>的实施大体分为制定年度工作计划、项目执行和资金支付三个阶段。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（1）</w:t>
      </w:r>
      <w:r>
        <w:rPr>
          <w:rFonts w:hint="default" w:ascii="仿宋_GB2312" w:hAnsi="仿宋_GB2312" w:eastAsia="仿宋_GB2312" w:cs="仿宋_GB2312"/>
          <w:highlight w:val="none"/>
          <w:lang w:val="en-US" w:eastAsia="zh-CN"/>
        </w:rPr>
        <w:t>制定年度工作计划。预算执行</w:t>
      </w:r>
      <w:r>
        <w:rPr>
          <w:rFonts w:hint="eastAsia" w:ascii="仿宋_GB2312" w:hAnsi="仿宋_GB2312" w:cs="仿宋_GB2312"/>
          <w:highlight w:val="none"/>
          <w:lang w:val="en-US" w:eastAsia="zh-CN"/>
        </w:rPr>
        <w:t>部门</w:t>
      </w:r>
      <w:r>
        <w:rPr>
          <w:rFonts w:hint="default" w:ascii="仿宋_GB2312" w:hAnsi="仿宋_GB2312" w:eastAsia="仿宋_GB2312" w:cs="仿宋_GB2312"/>
          <w:highlight w:val="none"/>
          <w:lang w:val="en-US" w:eastAsia="zh-CN"/>
        </w:rPr>
        <w:t>制定年度工作计划，编制项目预算和绩效目标。在编制下一年度项目预算之前，首先制定下一年度的</w:t>
      </w:r>
      <w:r>
        <w:rPr>
          <w:rFonts w:hint="eastAsia" w:ascii="仿宋_GB2312" w:hAnsi="仿宋_GB2312" w:eastAsia="仿宋_GB2312" w:cs="仿宋_GB2312"/>
          <w:highlight w:val="none"/>
        </w:rPr>
        <w:t>《法刊》（审判理论与实践）等印刷费</w:t>
      </w:r>
      <w:r>
        <w:rPr>
          <w:rFonts w:hint="default" w:ascii="仿宋_GB2312" w:hAnsi="仿宋_GB2312" w:eastAsia="仿宋_GB2312" w:cs="仿宋_GB2312"/>
          <w:highlight w:val="none"/>
          <w:lang w:val="en-US" w:eastAsia="zh-CN"/>
        </w:rPr>
        <w:t>相关工作及相应的资金使用计划，在初步明确下一年度工作计划和资金使用计划的基础上，依据工作计划和资金使用计划、有关年度预算编制要求以及往年项目预算和经费支出情况合理测算和编制项目经费预算和绩效目标，经审核通过后报省财政厅审批，省财政厅按规定程序批复下达项目预算</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（2）</w:t>
      </w:r>
      <w:r>
        <w:rPr>
          <w:rFonts w:hint="default" w:ascii="仿宋_GB2312" w:hAnsi="仿宋_GB2312" w:eastAsia="仿宋_GB2312" w:cs="仿宋_GB2312"/>
          <w:highlight w:val="none"/>
          <w:lang w:val="en-US" w:eastAsia="zh-CN"/>
        </w:rPr>
        <w:t>项目执行。项目预算和绩效目标批复下达以后，</w:t>
      </w:r>
      <w:r>
        <w:rPr>
          <w:rFonts w:hint="eastAsia" w:ascii="仿宋_GB2312" w:hAnsi="仿宋_GB2312" w:eastAsia="仿宋_GB2312" w:cs="仿宋_GB2312"/>
          <w:kern w:val="2"/>
          <w:sz w:val="32"/>
          <w:szCs w:val="32"/>
          <w:highlight w:val="none"/>
          <w:lang w:val="en-US" w:eastAsia="zh-CN" w:bidi="ar-SA"/>
        </w:rPr>
        <w:t>省法院</w:t>
      </w:r>
      <w:r>
        <w:rPr>
          <w:rFonts w:hint="default" w:ascii="仿宋_GB2312" w:hAnsi="仿宋_GB2312" w:eastAsia="仿宋_GB2312" w:cs="仿宋_GB2312"/>
          <w:highlight w:val="none"/>
          <w:lang w:val="en-US" w:eastAsia="zh-CN"/>
        </w:rPr>
        <w:t>按照工作计划、项目预算以及绩效目标组织开展</w:t>
      </w:r>
      <w:r>
        <w:rPr>
          <w:rFonts w:hint="eastAsia" w:ascii="仿宋_GB2312" w:hAnsi="仿宋_GB2312" w:cs="仿宋_GB2312"/>
          <w:highlight w:val="none"/>
          <w:lang w:val="en-US" w:eastAsia="zh-CN"/>
        </w:rPr>
        <w:t>《法刊》编制与印刷</w:t>
      </w:r>
      <w:r>
        <w:rPr>
          <w:rFonts w:hint="default" w:ascii="仿宋_GB2312" w:hAnsi="仿宋_GB2312" w:eastAsia="仿宋_GB2312" w:cs="仿宋_GB2312"/>
          <w:highlight w:val="none"/>
          <w:lang w:val="en-US" w:eastAsia="zh-CN"/>
        </w:rPr>
        <w:t>工作，完成年初制定的工作计划</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（3）</w:t>
      </w:r>
      <w:r>
        <w:rPr>
          <w:rFonts w:hint="default" w:ascii="仿宋_GB2312" w:hAnsi="仿宋_GB2312" w:eastAsia="仿宋_GB2312" w:cs="仿宋_GB2312"/>
          <w:highlight w:val="none"/>
          <w:lang w:val="en-US" w:eastAsia="zh-CN"/>
        </w:rPr>
        <w:t>资金支付。在组织正常开展</w:t>
      </w:r>
      <w:r>
        <w:rPr>
          <w:rFonts w:hint="eastAsia" w:ascii="仿宋_GB2312" w:hAnsi="仿宋_GB2312" w:cs="仿宋_GB2312"/>
          <w:highlight w:val="none"/>
          <w:lang w:val="en-US" w:eastAsia="zh-CN"/>
        </w:rPr>
        <w:t>项目</w:t>
      </w:r>
      <w:r>
        <w:rPr>
          <w:rFonts w:hint="default" w:ascii="仿宋_GB2312" w:hAnsi="仿宋_GB2312" w:eastAsia="仿宋_GB2312" w:cs="仿宋_GB2312"/>
          <w:highlight w:val="none"/>
          <w:lang w:val="en-US" w:eastAsia="zh-CN"/>
        </w:rPr>
        <w:t>实施工作的基础上，严格按照项目预算、内部管理制度流程以及项目进度要求完成项目经费支付以及相应的会计核算工作</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财务管理情况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黑体" w:eastAsia="黑体"/>
          <w:highlight w:val="none"/>
        </w:rPr>
      </w:pPr>
      <w:r>
        <w:rPr>
          <w:rFonts w:hint="eastAsia" w:ascii="仿宋_GB2312" w:hAnsi="仿宋_GB2312" w:cs="仿宋_GB2312"/>
          <w:highlight w:val="none"/>
          <w:lang w:val="en-US" w:eastAsia="zh-CN"/>
        </w:rPr>
        <w:t>《甘肃省高级人民法院机关财务经费管理的规定》</w:t>
      </w:r>
      <w:r>
        <w:rPr>
          <w:rFonts w:hint="eastAsia" w:ascii="仿宋_GB2312" w:hAnsi="仿宋_GB2312" w:eastAsia="仿宋_GB2312" w:cs="仿宋_GB2312"/>
          <w:highlight w:val="none"/>
          <w:lang w:val="en-US" w:eastAsia="zh-CN"/>
        </w:rPr>
        <w:t>明确规定了经费报销实行统一审核，分级审批制度，基本原则是执行国家有关法律、法规和财务规章制度遵守</w:t>
      </w:r>
      <w:r>
        <w:rPr>
          <w:rFonts w:hint="eastAsia" w:ascii="仿宋_GB2312" w:hAnsi="仿宋_GB2312" w:cs="仿宋_GB2312"/>
          <w:highlight w:val="none"/>
          <w:lang w:val="en-US" w:eastAsia="zh-CN"/>
        </w:rPr>
        <w:t>政府</w:t>
      </w:r>
      <w:r>
        <w:rPr>
          <w:rFonts w:hint="eastAsia" w:ascii="仿宋_GB2312" w:hAnsi="仿宋_GB2312" w:eastAsia="仿宋_GB2312" w:cs="仿宋_GB2312"/>
          <w:highlight w:val="none"/>
          <w:lang w:val="en-US" w:eastAsia="zh-CN"/>
        </w:rPr>
        <w:t>会计准则，厉行节约</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量入为出</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保证重点</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兼顾一般为中心，充分发挥资金的使用效益。</w:t>
      </w:r>
      <w:bookmarkStart w:id="75" w:name="_Toc29508"/>
      <w:bookmarkStart w:id="76" w:name="_Toc27539"/>
      <w:bookmarkStart w:id="77" w:name="_Toc319"/>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r>
        <w:rPr>
          <w:rFonts w:hint="eastAsia" w:ascii="黑体" w:eastAsia="黑体"/>
          <w:highlight w:val="none"/>
        </w:rPr>
        <w:t>二、项目绩效目标</w:t>
      </w:r>
      <w:bookmarkEnd w:id="75"/>
      <w:bookmarkEnd w:id="76"/>
      <w:bookmarkEnd w:id="77"/>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78" w:name="_Toc12578"/>
      <w:bookmarkStart w:id="79" w:name="_Toc28577"/>
      <w:bookmarkStart w:id="80" w:name="_Toc21140"/>
      <w:r>
        <w:rPr>
          <w:rFonts w:hint="eastAsia" w:ascii="楷体" w:hAnsi="楷体" w:eastAsia="楷体" w:cs="楷体"/>
          <w:b/>
          <w:bCs/>
          <w:highlight w:val="none"/>
        </w:rPr>
        <w:t>（一）总体目标</w:t>
      </w:r>
      <w:bookmarkEnd w:id="78"/>
      <w:bookmarkEnd w:id="79"/>
      <w:bookmarkEnd w:id="80"/>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《法刊》是</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highlight w:val="none"/>
        </w:rPr>
        <w:t>主办的期刊，主要为我省法院系统印制《法刊》法律释义、法院业务指导、案件审判及执行经验交流等内容的内部刊物。《法刊》为双月刊，于每双月发行，</w:t>
      </w:r>
      <w:r>
        <w:rPr>
          <w:rFonts w:hint="eastAsia" w:ascii="仿宋_GB2312" w:hAnsi="仿宋_GB2312" w:cs="仿宋_GB2312"/>
          <w:highlight w:val="none"/>
          <w:lang w:val="en-US" w:eastAsia="zh-CN"/>
        </w:rPr>
        <w:t>年度</w:t>
      </w:r>
      <w:r>
        <w:rPr>
          <w:rFonts w:hint="eastAsia" w:ascii="仿宋_GB2312" w:hAnsi="仿宋_GB2312" w:eastAsia="仿宋_GB2312" w:cs="仿宋_GB2312"/>
          <w:highlight w:val="none"/>
        </w:rPr>
        <w:t>预计共发行45000册。《法刊》通过总结典型案例办案的经验，对案件审理流程、标准及相关法律政策进行了梳理总结，以作为学习交流及审理案件的参考资料，达到相互学习借鉴、共同进步提高的目的。</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81" w:name="_Toc50"/>
      <w:bookmarkStart w:id="82" w:name="_Toc32085"/>
      <w:bookmarkStart w:id="83" w:name="_Toc26047"/>
      <w:r>
        <w:rPr>
          <w:rFonts w:hint="eastAsia" w:ascii="楷体" w:hAnsi="楷体" w:eastAsia="楷体" w:cs="楷体"/>
          <w:b/>
          <w:bCs/>
          <w:highlight w:val="none"/>
        </w:rPr>
        <w:t>（二）年度目标</w:t>
      </w:r>
      <w:bookmarkEnd w:id="81"/>
      <w:bookmarkEnd w:id="82"/>
      <w:bookmarkEnd w:id="83"/>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2022年，</w:t>
      </w:r>
      <w:r>
        <w:rPr>
          <w:rFonts w:hint="eastAsia" w:ascii="仿宋_GB2312" w:hAnsi="仿宋_GB2312" w:cs="仿宋_GB2312"/>
          <w:highlight w:val="none"/>
          <w:lang w:val="en-US" w:eastAsia="zh-CN"/>
        </w:rPr>
        <w:t>省法院</w:t>
      </w:r>
      <w:r>
        <w:rPr>
          <w:rFonts w:hint="eastAsia" w:ascii="仿宋_GB2312" w:hAnsi="仿宋_GB2312" w:eastAsia="仿宋_GB2312" w:cs="仿宋_GB2312"/>
          <w:highlight w:val="none"/>
        </w:rPr>
        <w:t>计划印发《法刊》期数达到</w:t>
      </w:r>
      <w:r>
        <w:rPr>
          <w:rFonts w:hint="eastAsia" w:ascii="仿宋_GB2312" w:hAnsi="仿宋_GB2312" w:cs="仿宋_GB2312"/>
          <w:highlight w:val="none"/>
          <w:lang w:val="en-US" w:eastAsia="zh-CN"/>
        </w:rPr>
        <w:t>5</w:t>
      </w:r>
      <w:r>
        <w:rPr>
          <w:rFonts w:hint="eastAsia" w:ascii="仿宋_GB2312" w:hAnsi="仿宋_GB2312" w:eastAsia="仿宋_GB2312" w:cs="仿宋_GB2312"/>
          <w:highlight w:val="none"/>
        </w:rPr>
        <w:t>期，发行册数达到45000册，并保证印刷内容的准确率为100%，加强全省法院审判业务建设和队伍建设、文化建设。</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bookmarkStart w:id="84" w:name="_Toc24688"/>
      <w:bookmarkStart w:id="85" w:name="_Toc11016"/>
      <w:bookmarkStart w:id="86" w:name="_Toc23927"/>
      <w:r>
        <w:rPr>
          <w:rFonts w:hint="eastAsia" w:ascii="黑体" w:eastAsia="黑体"/>
          <w:highlight w:val="none"/>
        </w:rPr>
        <w:t>三、评价基本情况</w:t>
      </w:r>
      <w:bookmarkEnd w:id="84"/>
      <w:bookmarkEnd w:id="85"/>
      <w:bookmarkEnd w:id="86"/>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87" w:name="_Toc5301"/>
      <w:bookmarkStart w:id="88" w:name="_Toc10556"/>
      <w:r>
        <w:rPr>
          <w:rFonts w:hint="eastAsia" w:ascii="楷体" w:hAnsi="楷体" w:eastAsia="楷体" w:cs="楷体"/>
          <w:b/>
          <w:bCs/>
          <w:highlight w:val="none"/>
        </w:rPr>
        <w:t>（一）评价目的</w:t>
      </w:r>
      <w:bookmarkEnd w:id="87"/>
      <w:bookmarkEnd w:id="88"/>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本次绩效评价工作，</w:t>
      </w:r>
      <w:r>
        <w:rPr>
          <w:rFonts w:hint="eastAsia" w:ascii="仿宋_GB2312" w:hAnsi="仿宋_GB2312" w:eastAsia="仿宋_GB2312" w:cs="仿宋_GB2312"/>
          <w:highlight w:val="none"/>
        </w:rPr>
        <w:t>通过运用规范的绩效评价指标体系和科学的绩效评价方法，全面</w:t>
      </w:r>
      <w:r>
        <w:rPr>
          <w:rFonts w:hint="eastAsia" w:ascii="仿宋_GB2312" w:hAnsi="仿宋_GB2312" w:cs="仿宋_GB2312"/>
          <w:highlight w:val="none"/>
          <w:lang w:eastAsia="zh-CN"/>
        </w:rPr>
        <w:t>客观地评价</w:t>
      </w:r>
      <w:r>
        <w:rPr>
          <w:rFonts w:hint="eastAsia" w:ascii="仿宋_GB2312" w:hAnsi="仿宋_GB2312" w:eastAsia="仿宋_GB2312" w:cs="仿宋_GB2312"/>
          <w:highlight w:val="none"/>
        </w:rPr>
        <w:t>《法刊》（审判理论与实践）等印刷费项目资金的执行情况、资金使用情况，对项目的绩效情况进行综合分析，与预期绩效目标进行对比，总结《法刊》（审判理论与实践）等印刷费</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rPr>
        <w:t>实施的成果与经验，揭示存在的问题与不足，在此基础上进一步优化资金使用、完善项目管理，为下一步的预算安排提供参考，不断提高资金的使用效益。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本次绩效评价的侧重点和切入点</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w:t>
      </w:r>
      <w:r>
        <w:rPr>
          <w:rFonts w:hint="eastAsia" w:ascii="仿宋_GB2312" w:hAnsi="仿宋_GB2312" w:eastAsia="仿宋_GB2312" w:cs="仿宋_GB2312"/>
          <w:highlight w:val="none"/>
        </w:rPr>
        <w:t>重点关注项目资金使用管理以及保障项目预期绩效目标实现的相关措施</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2.</w:t>
      </w:r>
      <w:r>
        <w:rPr>
          <w:rFonts w:hint="eastAsia" w:ascii="仿宋_GB2312" w:hAnsi="仿宋_GB2312" w:eastAsia="仿宋_GB2312" w:cs="仿宋_GB2312"/>
          <w:highlight w:val="none"/>
        </w:rPr>
        <w:t>重点关注采购流程规范性、资金使用合规性、项目合同管理的有效性以及通过采购项目的实施为法院带来的产出与效益。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89" w:name="_Toc2071"/>
      <w:bookmarkStart w:id="90" w:name="_Toc4704"/>
      <w:r>
        <w:rPr>
          <w:rFonts w:hint="eastAsia" w:ascii="楷体" w:hAnsi="楷体" w:eastAsia="楷体" w:cs="楷体"/>
          <w:b/>
          <w:bCs/>
          <w:highlight w:val="none"/>
        </w:rPr>
        <w:t>（二）评价对象与范围</w:t>
      </w:r>
      <w:bookmarkEnd w:id="89"/>
      <w:bookmarkEnd w:id="90"/>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本次评价对象为202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年省财政安排的“《法刊》（审判理论与实践）等印刷费”项目</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评价范围为202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highlight w:val="none"/>
        </w:rPr>
        <w:t>“《法刊》（审判理论与实践）等印刷费项目”</w:t>
      </w:r>
      <w:r>
        <w:rPr>
          <w:rFonts w:hint="eastAsia" w:ascii="仿宋_GB2312" w:hAnsi="仿宋_GB2312" w:cs="仿宋_GB2312"/>
          <w:highlight w:val="none"/>
          <w:lang w:val="en-US" w:eastAsia="zh-CN"/>
        </w:rPr>
        <w:t>预算资金30.00万元的</w:t>
      </w:r>
      <w:r>
        <w:rPr>
          <w:rFonts w:hint="eastAsia" w:ascii="仿宋_GB2312" w:hAnsi="仿宋_GB2312" w:eastAsia="仿宋_GB2312" w:cs="仿宋_GB2312"/>
          <w:highlight w:val="none"/>
        </w:rPr>
        <w:t>资金使用和项目实施效益情况</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评价基准日为202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年12月31日。</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91" w:name="_Toc19466"/>
      <w:bookmarkStart w:id="92" w:name="_Toc17041"/>
      <w:r>
        <w:rPr>
          <w:rFonts w:hint="eastAsia" w:ascii="楷体" w:hAnsi="楷体" w:eastAsia="楷体" w:cs="楷体"/>
          <w:b/>
          <w:bCs/>
          <w:highlight w:val="none"/>
        </w:rPr>
        <w:t>（三）评价依据</w:t>
      </w:r>
      <w:bookmarkEnd w:id="91"/>
      <w:bookmarkEnd w:id="92"/>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《中华人民共和国预算法》；</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2.《中华人民共和国预算法实施条例》；</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3.《中共中央 国务院关于全面实施预算绩效管理的意见》（中发〔2018〕34号）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rPr>
        <w:t>《财政部关于印发〈项目支出绩效评价管理办法〉的通知》（财预〔2021〕10号）；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5.财政部《关于委托第三方机构参与预算绩效管理的指导意见》（财预〔2021〕6号）；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6.财政部关于印发《第三方机构预算绩效评价业务监督管理暂行办法》的通知（财监〔2021〕4号）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《中共甘肃省委 甘肃省人民政府关于全面实施预算绩效管理的实施意见》（甘发〔2018〕32号）；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rPr>
        <w:t>甘肃省财政厅关于印发《甘肃省省级预算绩效管理办法》等6个办法和规程的通知（甘财绩〔2020〕5号）；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9</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《甘肃省省级项目支出绩效部门评价和财政评价工作规程》（甘财绩〔2021〕5号）；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《甘肃省财政厅关于开展2022年度省级预算执行情况部门和财政重点绩效评价工作的通知》（甘财绩〔2023〕3号）；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11</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甘肃省高级人民法院</w:t>
      </w:r>
      <w:r>
        <w:rPr>
          <w:rFonts w:hint="eastAsia" w:ascii="仿宋_GB2312" w:hAnsi="仿宋_GB2312" w:eastAsia="仿宋_GB2312" w:cs="仿宋_GB2312"/>
          <w:highlight w:val="none"/>
        </w:rPr>
        <w:t>职责相关规定；</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12</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行业相关政策、行业标准及专业技术规范；</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13</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eastAsia="zh-CN"/>
        </w:rPr>
        <w:t>被评价单位提供的立项背景、实施方案、预算批复相关文件、绩效目标、自评价相关资料、财政资金拨付凭证、工程全过程资料和项目实施效果等资料</w:t>
      </w:r>
      <w:r>
        <w:rPr>
          <w:rFonts w:hint="eastAsia" w:ascii="仿宋_GB2312" w:hAnsi="仿宋_GB2312" w:eastAsia="仿宋_GB2312" w:cs="仿宋_GB2312"/>
          <w:highlight w:val="none"/>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14</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本级人大审查结果报告、审计报告及决定，财政监督稽核报告等；</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1</w:t>
      </w:r>
      <w:r>
        <w:rPr>
          <w:rFonts w:hint="eastAsia" w:ascii="仿宋_GB2312" w:hAnsi="仿宋_GB2312" w:cs="仿宋_GB2312"/>
          <w:highlight w:val="none"/>
          <w:lang w:val="en-US" w:eastAsia="zh-CN"/>
        </w:rPr>
        <w:t>5</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评价组收集、调研、访谈、问卷调查获取的</w:t>
      </w:r>
      <w:r>
        <w:rPr>
          <w:rFonts w:hint="eastAsia" w:ascii="仿宋_GB2312" w:hAnsi="仿宋_GB2312" w:cs="仿宋_GB2312"/>
          <w:highlight w:val="none"/>
          <w:lang w:val="en-US" w:eastAsia="zh-CN"/>
        </w:rPr>
        <w:t>其他</w:t>
      </w:r>
      <w:r>
        <w:rPr>
          <w:rFonts w:hint="eastAsia" w:ascii="仿宋_GB2312" w:hAnsi="仿宋_GB2312" w:eastAsia="仿宋_GB2312" w:cs="仿宋_GB2312"/>
          <w:highlight w:val="none"/>
        </w:rPr>
        <w:t>相关资料。</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93" w:name="_Toc17840"/>
      <w:bookmarkStart w:id="94" w:name="_Toc28799"/>
      <w:r>
        <w:rPr>
          <w:rFonts w:hint="eastAsia" w:ascii="楷体" w:hAnsi="楷体" w:eastAsia="楷体" w:cs="楷体"/>
          <w:b/>
          <w:bCs/>
          <w:highlight w:val="none"/>
        </w:rPr>
        <w:t>（四）评价原则、评价方法</w:t>
      </w:r>
      <w:bookmarkEnd w:id="93"/>
      <w:bookmarkEnd w:id="94"/>
    </w:p>
    <w:p>
      <w:pPr>
        <w:keepNext w:val="0"/>
        <w:keepLines w:val="0"/>
        <w:pageBreakBefore w:val="0"/>
        <w:widowControl w:val="0"/>
        <w:kinsoku/>
        <w:wordWrap/>
        <w:overflowPunct w:val="0"/>
        <w:topLinePunct w:val="0"/>
        <w:autoSpaceDE/>
        <w:autoSpaceDN/>
        <w:bidi w:val="0"/>
        <w:adjustRightInd/>
        <w:snapToGrid/>
        <w:spacing w:before="0" w:line="560" w:lineRule="exact"/>
        <w:ind w:firstLine="643" w:firstLineChars="200"/>
        <w:jc w:val="both"/>
        <w:textAlignment w:val="auto"/>
        <w:outlineLvl w:val="2"/>
        <w:rPr>
          <w:rFonts w:hint="eastAsia" w:ascii="仿宋_GB2312" w:hAnsi="仿宋_GB2312" w:eastAsia="仿宋_GB2312" w:cs="仿宋_GB2312"/>
          <w:b/>
          <w:bCs w:val="0"/>
          <w:sz w:val="32"/>
          <w:szCs w:val="32"/>
          <w:highlight w:val="none"/>
        </w:rPr>
      </w:pPr>
      <w:bookmarkStart w:id="95" w:name="_Toc32216"/>
      <w:bookmarkStart w:id="96" w:name="_Toc25746"/>
      <w:bookmarkStart w:id="97" w:name="_Toc28403"/>
      <w:bookmarkStart w:id="98" w:name="_Toc2871"/>
      <w:bookmarkStart w:id="99" w:name="_Toc15543"/>
      <w:r>
        <w:rPr>
          <w:rStyle w:val="25"/>
          <w:rFonts w:hint="eastAsia" w:ascii="仿宋_GB2312" w:hAnsi="仿宋_GB2312" w:eastAsia="仿宋_GB2312" w:cs="仿宋_GB2312"/>
          <w:b/>
          <w:bCs w:val="0"/>
          <w:sz w:val="32"/>
          <w:szCs w:val="32"/>
          <w:highlight w:val="none"/>
        </w:rPr>
        <w:t>1.评价原则</w:t>
      </w:r>
      <w:bookmarkEnd w:id="95"/>
      <w:bookmarkEnd w:id="96"/>
      <w:bookmarkEnd w:id="97"/>
      <w:bookmarkEnd w:id="98"/>
      <w:bookmarkEnd w:id="99"/>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相关。评价结果应当清晰反映绩效目标的实现情况以及预算支出和绩效之间的对应关系。以绩效为核心导向，将事前绩效评估、绩效目标管理、绩效运行监控、绩效评价、评价结果反馈及应用深度融入预算管理的全过程，实现财政资金使用效益最大化。</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3）公开透明。评价结果符合真实、客观、公正的要求，依法依规公开并接受监督。预算绩效管理主体应按照政府信息公开有关规定，主动向同级人大报告、向社会公开相关绩效信息和评价结果，自觉接受各方监督，不断提高财政资金使用的透明度。 </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pPr>
        <w:keepNext w:val="0"/>
        <w:keepLines w:val="0"/>
        <w:pageBreakBefore w:val="0"/>
        <w:widowControl w:val="0"/>
        <w:kinsoku/>
        <w:wordWrap/>
        <w:overflowPunct w:val="0"/>
        <w:topLinePunct w:val="0"/>
        <w:autoSpaceDE/>
        <w:autoSpaceDN/>
        <w:bidi w:val="0"/>
        <w:adjustRightInd/>
        <w:snapToGrid/>
        <w:spacing w:before="0" w:line="560" w:lineRule="exact"/>
        <w:ind w:firstLine="643" w:firstLineChars="200"/>
        <w:jc w:val="both"/>
        <w:textAlignment w:val="auto"/>
        <w:outlineLvl w:val="2"/>
        <w:rPr>
          <w:rStyle w:val="25"/>
          <w:rFonts w:hint="eastAsia" w:ascii="仿宋_GB2312" w:hAnsi="仿宋_GB2312" w:eastAsia="仿宋_GB2312" w:cs="仿宋_GB2312"/>
          <w:b/>
          <w:bCs w:val="0"/>
          <w:sz w:val="32"/>
          <w:szCs w:val="32"/>
          <w:highlight w:val="none"/>
        </w:rPr>
      </w:pPr>
      <w:bookmarkStart w:id="100" w:name="_Toc15034"/>
      <w:bookmarkStart w:id="101" w:name="_Toc1742"/>
      <w:bookmarkStart w:id="102" w:name="_Toc24950"/>
      <w:bookmarkStart w:id="103" w:name="_Toc12173"/>
      <w:r>
        <w:rPr>
          <w:rStyle w:val="25"/>
          <w:rFonts w:hint="eastAsia" w:ascii="仿宋_GB2312" w:hAnsi="仿宋_GB2312" w:eastAsia="仿宋_GB2312" w:cs="仿宋_GB2312"/>
          <w:b/>
          <w:bCs w:val="0"/>
          <w:sz w:val="32"/>
          <w:szCs w:val="32"/>
          <w:highlight w:val="none"/>
        </w:rPr>
        <w:t>2.评价方法</w:t>
      </w:r>
      <w:bookmarkEnd w:id="100"/>
    </w:p>
    <w:bookmarkEnd w:id="101"/>
    <w:bookmarkEnd w:id="102"/>
    <w:bookmarkEnd w:id="103"/>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本次绩效评价按照规范、科学、合理的要求，采用定量和定性分析相结合，第三方评价机构现场核实、资料评审相结合，综合运用比较法、因素分析法和公众评判法等方法进行评价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对</w:t>
      </w:r>
      <w:r>
        <w:rPr>
          <w:rFonts w:hint="eastAsia" w:ascii="仿宋_GB2312" w:hAnsi="仿宋_GB2312" w:eastAsia="仿宋_GB2312" w:cs="仿宋_GB2312"/>
          <w:sz w:val="32"/>
          <w:szCs w:val="32"/>
          <w:highlight w:val="none"/>
          <w:lang w:val="en-US" w:eastAsia="zh-CN"/>
        </w:rPr>
        <w:t>省法院2022</w:t>
      </w:r>
      <w:r>
        <w:rPr>
          <w:rFonts w:hint="eastAsia" w:ascii="仿宋_GB2312" w:hAnsi="仿宋_GB2312" w:eastAsia="仿宋_GB2312" w:cs="仿宋_GB2312"/>
          <w:sz w:val="32"/>
          <w:szCs w:val="32"/>
          <w:highlight w:val="none"/>
        </w:rPr>
        <w:t>年度《法刊》（审判理论与实践）等印刷费项目预算执行情况的经济性、效率性、效益性进行客观</w:t>
      </w:r>
      <w:r>
        <w:rPr>
          <w:rFonts w:hint="eastAsia" w:ascii="仿宋_GB2312" w:hAnsi="仿宋_GB2312" w:eastAsia="仿宋_GB2312" w:cs="仿宋_GB2312"/>
          <w:sz w:val="32"/>
          <w:szCs w:val="32"/>
          <w:highlight w:val="none"/>
          <w:lang w:eastAsia="zh-CN"/>
        </w:rPr>
        <w:t>公正地分析</w:t>
      </w:r>
      <w:r>
        <w:rPr>
          <w:rFonts w:hint="eastAsia" w:ascii="仿宋_GB2312" w:hAnsi="仿宋_GB2312" w:eastAsia="仿宋_GB2312" w:cs="仿宋_GB2312"/>
          <w:sz w:val="32"/>
          <w:szCs w:val="32"/>
          <w:highlight w:val="none"/>
        </w:rPr>
        <w:t>评价，确保评价结论公正客观，评价意见有效可用。</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（1）比较法。指通过对绩效目标与实际实施效果的对比，综合分析绩效目标实现程度。</w:t>
      </w:r>
      <w:r>
        <w:rPr>
          <w:rFonts w:hint="eastAsia" w:ascii="仿宋_GB2312" w:hAnsi="仿宋_GB2312" w:eastAsia="仿宋_GB2312" w:cs="仿宋_GB2312"/>
          <w:sz w:val="32"/>
          <w:szCs w:val="32"/>
          <w:highlight w:val="none"/>
          <w:lang w:val="en-US" w:eastAsia="zh-CN"/>
        </w:rPr>
        <w:t>评价</w:t>
      </w:r>
      <w:r>
        <w:rPr>
          <w:rFonts w:hint="eastAsia" w:ascii="仿宋_GB2312" w:hAnsi="仿宋_GB2312" w:eastAsia="仿宋_GB2312" w:cs="仿宋_GB2312"/>
          <w:sz w:val="32"/>
          <w:szCs w:val="32"/>
          <w:highlight w:val="none"/>
        </w:rPr>
        <w:t>小组根据收集的资料和现场核查，了解部</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实际情况，与</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申报时确定的绩效目标进行对比，评价绩效目标的实现程度。</w:t>
      </w:r>
    </w:p>
    <w:p>
      <w:pPr>
        <w:pStyle w:val="10"/>
        <w:keepNext w:val="0"/>
        <w:keepLines w:val="0"/>
        <w:pageBreakBefore w:val="0"/>
        <w:widowControl w:val="0"/>
        <w:kinsoku/>
        <w:wordWrap/>
        <w:overflowPunct w:val="0"/>
        <w:topLinePunct w:val="0"/>
        <w:autoSpaceDE/>
        <w:autoSpaceDN/>
        <w:bidi w:val="0"/>
        <w:adjustRightInd/>
        <w:snapToGrid/>
        <w:spacing w:after="0" w:line="560" w:lineRule="exact"/>
        <w:ind w:left="0" w:lef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rPr>
        <w:t>（2）因素分析法。将影响投入和产出各项因素罗列出来进行分析，通过不同因素的权重评比，进行综合评分</w:t>
      </w:r>
      <w:r>
        <w:rPr>
          <w:rFonts w:hint="eastAsia" w:ascii="仿宋_GB2312" w:hAnsi="仿宋_GB2312" w:eastAsia="仿宋_GB2312" w:cs="仿宋_GB2312"/>
          <w:kern w:val="2"/>
          <w:sz w:val="32"/>
          <w:szCs w:val="32"/>
          <w:highlight w:val="none"/>
          <w:lang w:val="en-US" w:eastAsia="zh-CN" w:bidi="ar-SA"/>
        </w:rPr>
        <w:t>，最终确定项目的效率性和效益性。</w:t>
      </w:r>
    </w:p>
    <w:p>
      <w:pPr>
        <w:keepNext w:val="0"/>
        <w:keepLines w:val="0"/>
        <w:pageBreakBefore w:val="0"/>
        <w:widowControl w:val="0"/>
        <w:kinsoku/>
        <w:wordWrap/>
        <w:overflowPunct w:val="0"/>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lang w:bidi="ar"/>
        </w:rPr>
        <w:t>公众评判</w:t>
      </w:r>
      <w:r>
        <w:rPr>
          <w:rFonts w:hint="eastAsia" w:ascii="仿宋_GB2312" w:hAnsi="仿宋_GB2312" w:eastAsia="仿宋_GB2312" w:cs="仿宋_GB2312"/>
          <w:sz w:val="32"/>
          <w:szCs w:val="32"/>
          <w:highlight w:val="none"/>
        </w:rPr>
        <w:t>法。</w:t>
      </w:r>
      <w:r>
        <w:rPr>
          <w:rFonts w:hint="eastAsia" w:ascii="仿宋_GB2312" w:hAnsi="仿宋_GB2312" w:eastAsia="仿宋_GB2312" w:cs="仿宋_GB2312"/>
          <w:sz w:val="32"/>
          <w:szCs w:val="32"/>
          <w:highlight w:val="none"/>
          <w:lang w:val="en-US" w:eastAsia="zh-CN"/>
        </w:rPr>
        <w:t>指通过专家评估、公众问卷对财政支出效果进行评判，评价绩效目标实现程度。评价小组对服务对象进行问卷调查，收集整体及项目具体完成情况和效果的相关证据，为绩效分析结论提供有力支撑。</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val="en-US" w:eastAsia="zh-CN" w:bidi="ar"/>
        </w:rPr>
        <w:t>4</w:t>
      </w: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bidi="ar"/>
        </w:rPr>
        <w:t>成本效益分析法。将投入与产出、效益进行关联性分析的方法。</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val="en-US" w:eastAsia="zh-CN" w:bidi="ar"/>
        </w:rPr>
        <w:t>5</w:t>
      </w: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bidi="ar"/>
        </w:rPr>
        <w:t>访谈法。评价小组现场访谈相关</w:t>
      </w:r>
      <w:r>
        <w:rPr>
          <w:rFonts w:hint="eastAsia" w:ascii="仿宋_GB2312" w:hAnsi="仿宋_GB2312" w:eastAsia="仿宋_GB2312" w:cs="仿宋_GB2312"/>
          <w:kern w:val="0"/>
          <w:sz w:val="32"/>
          <w:szCs w:val="32"/>
          <w:highlight w:val="none"/>
          <w:lang w:val="en-US" w:eastAsia="zh-CN" w:bidi="ar"/>
        </w:rPr>
        <w:t>工作</w:t>
      </w:r>
      <w:r>
        <w:rPr>
          <w:rFonts w:hint="eastAsia" w:ascii="仿宋_GB2312" w:hAnsi="仿宋_GB2312" w:eastAsia="仿宋_GB2312" w:cs="仿宋_GB2312"/>
          <w:kern w:val="0"/>
          <w:sz w:val="32"/>
          <w:szCs w:val="32"/>
          <w:highlight w:val="none"/>
          <w:lang w:bidi="ar"/>
        </w:rPr>
        <w:t>人员，根据被询问者的答复收集客观的、不带偏见的事实材料。</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04" w:name="_Toc4958"/>
      <w:bookmarkStart w:id="105" w:name="_Toc29808"/>
      <w:r>
        <w:rPr>
          <w:rFonts w:hint="eastAsia" w:ascii="楷体" w:hAnsi="楷体" w:eastAsia="楷体" w:cs="楷体"/>
          <w:b/>
          <w:bCs/>
          <w:highlight w:val="none"/>
        </w:rPr>
        <w:t>（五）绩效评价指标体系</w:t>
      </w:r>
      <w:bookmarkEnd w:id="104"/>
      <w:bookmarkEnd w:id="105"/>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b/>
          <w:bCs/>
          <w:szCs w:val="28"/>
          <w:highlight w:val="none"/>
          <w:lang w:val="en-US" w:eastAsia="zh-CN"/>
        </w:rPr>
      </w:pPr>
      <w:r>
        <w:rPr>
          <w:rFonts w:hint="eastAsia" w:ascii="仿宋_GB2312" w:hAnsi="仿宋_GB2312" w:cs="仿宋_GB2312"/>
          <w:b/>
          <w:bCs/>
          <w:szCs w:val="28"/>
          <w:highlight w:val="none"/>
          <w:lang w:val="en-US" w:eastAsia="zh-CN"/>
        </w:rPr>
        <w:t>1.绩效评价指标体系</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根据《财政部关于印发</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项目支出绩效评价管理办法</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的通知》（财预〔2020〕10号）、</w:t>
      </w:r>
      <w:r>
        <w:rPr>
          <w:rFonts w:hint="eastAsia" w:ascii="仿宋_GB2312" w:hAnsi="仿宋_GB2312" w:eastAsia="仿宋_GB2312" w:cs="仿宋_GB2312"/>
          <w:sz w:val="32"/>
          <w:szCs w:val="32"/>
          <w:highlight w:val="none"/>
        </w:rPr>
        <w:t>《甘肃省财政厅关于开展2022年度省级预算执行情况部门和财政重点绩效评价工作的通知》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甘财绩〔2023〕3号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Cs w:val="28"/>
          <w:highlight w:val="none"/>
        </w:rPr>
        <w:t>要求，本次绩效评价内容包括：项目决策情况、资金管理和使用情况、相关管理制度的健全性和执行情况，项目实现的产出情况，取得的效益情况和其他相关内容，重点评价项目的产出和效益。</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项目评价指标划分为三级，综合评价一级指标包括项目决策指标、过程指标、产出指标、效益指标、满意度指标。二、三级评价指标根据项目实际情况制定了可量化、可操作的细化绩效目标，指标分值根据项目指标重要程度、项目实施阶段等因素综合确定（项目评价指标体系详见附表1）。</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1</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项目决策指标</w:t>
      </w:r>
      <w:r>
        <w:rPr>
          <w:rFonts w:hint="eastAsia" w:ascii="仿宋_GB2312" w:hAnsi="仿宋_GB2312" w:eastAsia="仿宋_GB2312" w:cs="仿宋_GB2312"/>
          <w:szCs w:val="28"/>
          <w:highlight w:val="none"/>
          <w:lang w:val="en-US" w:eastAsia="zh-CN"/>
        </w:rPr>
        <w:t>为一级指标</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lang w:val="en-US" w:eastAsia="zh-CN"/>
        </w:rPr>
        <w:t>权重1</w:t>
      </w:r>
      <w:r>
        <w:rPr>
          <w:rFonts w:hint="eastAsia" w:ascii="仿宋_GB2312" w:hAnsi="仿宋_GB2312" w:cs="仿宋_GB2312"/>
          <w:szCs w:val="28"/>
          <w:highlight w:val="none"/>
          <w:lang w:val="en-US" w:eastAsia="zh-CN"/>
        </w:rPr>
        <w:t>2</w:t>
      </w:r>
      <w:r>
        <w:rPr>
          <w:rFonts w:hint="eastAsia" w:ascii="仿宋_GB2312" w:hAnsi="仿宋_GB2312" w:eastAsia="仿宋_GB2312" w:cs="仿宋_GB2312"/>
          <w:szCs w:val="28"/>
          <w:highlight w:val="none"/>
        </w:rPr>
        <w:t>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从项目的立项、绩效目标和资金投入分析项目前期管理情况</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主要包括立项依据充分性、立项程序规范性等</w:t>
      </w:r>
      <w:r>
        <w:rPr>
          <w:rFonts w:hint="eastAsia" w:ascii="仿宋_GB2312" w:hAnsi="仿宋_GB2312" w:eastAsia="仿宋_GB2312" w:cs="仿宋_GB2312"/>
          <w:szCs w:val="28"/>
          <w:highlight w:val="none"/>
          <w:lang w:val="en-US" w:eastAsia="zh-CN"/>
        </w:rPr>
        <w:t>三级</w:t>
      </w:r>
      <w:r>
        <w:rPr>
          <w:rFonts w:hint="eastAsia" w:ascii="仿宋_GB2312" w:hAnsi="仿宋_GB2312" w:eastAsia="仿宋_GB2312" w:cs="仿宋_GB2312"/>
          <w:szCs w:val="28"/>
          <w:highlight w:val="none"/>
        </w:rPr>
        <w:t>指标。</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2</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项目过程指标</w:t>
      </w:r>
      <w:r>
        <w:rPr>
          <w:rFonts w:hint="eastAsia" w:ascii="仿宋_GB2312" w:hAnsi="仿宋_GB2312" w:eastAsia="仿宋_GB2312" w:cs="仿宋_GB2312"/>
          <w:szCs w:val="28"/>
          <w:highlight w:val="none"/>
          <w:lang w:val="en-US" w:eastAsia="zh-CN"/>
        </w:rPr>
        <w:t>为一级指标，权重1</w:t>
      </w:r>
      <w:r>
        <w:rPr>
          <w:rFonts w:hint="eastAsia" w:ascii="仿宋_GB2312" w:hAnsi="仿宋_GB2312" w:cs="仿宋_GB2312"/>
          <w:szCs w:val="28"/>
          <w:highlight w:val="none"/>
          <w:lang w:val="en-US" w:eastAsia="zh-CN"/>
        </w:rPr>
        <w:t>8</w:t>
      </w:r>
      <w:r>
        <w:rPr>
          <w:rFonts w:hint="eastAsia" w:ascii="仿宋_GB2312" w:hAnsi="仿宋_GB2312" w:eastAsia="仿宋_GB2312" w:cs="仿宋_GB2312"/>
          <w:szCs w:val="28"/>
          <w:highlight w:val="none"/>
          <w:lang w:val="en-US" w:eastAsia="zh-CN"/>
        </w:rPr>
        <w:t>分。</w:t>
      </w:r>
      <w:r>
        <w:rPr>
          <w:rFonts w:hint="eastAsia" w:ascii="仿宋_GB2312" w:hAnsi="仿宋_GB2312" w:eastAsia="仿宋_GB2312" w:cs="仿宋_GB2312"/>
          <w:szCs w:val="28"/>
          <w:highlight w:val="none"/>
        </w:rPr>
        <w:t>从项目的资金管理、组织实施两个方面分析项目资金使用、实施过程的管理情况</w:t>
      </w:r>
      <w:r>
        <w:rPr>
          <w:rFonts w:hint="eastAsia" w:ascii="仿宋_GB2312" w:hAnsi="仿宋_GB2312" w:eastAsia="仿宋_GB2312" w:cs="仿宋_GB2312"/>
          <w:szCs w:val="28"/>
          <w:highlight w:val="none"/>
          <w:lang w:eastAsia="zh-CN"/>
        </w:rPr>
        <w:t>，主要包括资金到位率、预算执行率、资金使用合规性、管理制度健全性、制度执行有效性等三级指标</w:t>
      </w:r>
      <w:r>
        <w:rPr>
          <w:rFonts w:hint="eastAsia" w:ascii="仿宋_GB2312" w:hAnsi="仿宋_GB2312" w:eastAsia="仿宋_GB2312" w:cs="仿宋_GB2312"/>
          <w:szCs w:val="28"/>
          <w:highlight w:val="none"/>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3</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项目产出指标</w:t>
      </w:r>
      <w:r>
        <w:rPr>
          <w:rFonts w:hint="eastAsia" w:ascii="仿宋_GB2312" w:hAnsi="仿宋_GB2312" w:eastAsia="仿宋_GB2312" w:cs="仿宋_GB2312"/>
          <w:szCs w:val="28"/>
          <w:highlight w:val="none"/>
          <w:lang w:val="en-US" w:eastAsia="zh-CN"/>
        </w:rPr>
        <w:t>为一级指标，权重</w:t>
      </w:r>
      <w:r>
        <w:rPr>
          <w:rFonts w:hint="eastAsia" w:ascii="仿宋_GB2312" w:hAnsi="仿宋_GB2312" w:cs="仿宋_GB2312"/>
          <w:szCs w:val="28"/>
          <w:highlight w:val="none"/>
          <w:lang w:val="en-US" w:eastAsia="zh-CN"/>
        </w:rPr>
        <w:t>4</w:t>
      </w:r>
      <w:r>
        <w:rPr>
          <w:rFonts w:hint="eastAsia" w:ascii="仿宋_GB2312" w:hAnsi="仿宋_GB2312" w:eastAsia="仿宋_GB2312" w:cs="仿宋_GB2312"/>
          <w:szCs w:val="28"/>
          <w:highlight w:val="none"/>
        </w:rPr>
        <w:t>0分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从数量、质量、时效、成本四个方面分析项目的产出情况</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lang w:val="en-US" w:eastAsia="zh-CN"/>
        </w:rPr>
        <w:t>主要包括法刊发放人数、法刊印刷份数等三级指标</w:t>
      </w:r>
      <w:r>
        <w:rPr>
          <w:rFonts w:hint="eastAsia" w:ascii="仿宋_GB2312" w:hAnsi="仿宋_GB2312" w:eastAsia="仿宋_GB2312" w:cs="仿宋_GB2312"/>
          <w:szCs w:val="28"/>
          <w:highlight w:val="none"/>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4</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项目效益指标</w:t>
      </w:r>
      <w:r>
        <w:rPr>
          <w:rFonts w:hint="eastAsia" w:ascii="仿宋_GB2312" w:hAnsi="仿宋_GB2312" w:eastAsia="仿宋_GB2312" w:cs="仿宋_GB2312"/>
          <w:szCs w:val="28"/>
          <w:highlight w:val="none"/>
          <w:lang w:val="en-US" w:eastAsia="zh-CN"/>
        </w:rPr>
        <w:t>为一级指标，权重2</w:t>
      </w:r>
      <w:r>
        <w:rPr>
          <w:rFonts w:hint="eastAsia" w:ascii="仿宋_GB2312" w:hAnsi="仿宋_GB2312" w:eastAsia="仿宋_GB2312" w:cs="仿宋_GB2312"/>
          <w:szCs w:val="28"/>
          <w:highlight w:val="none"/>
        </w:rPr>
        <w:t>0分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从社会效益、可持续影响两个方面分析项目实施产生的效益</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lang w:val="en-US" w:eastAsia="zh-CN"/>
        </w:rPr>
        <w:t>主要包括法院工作宣传有效性、印刷法刊发放覆盖率等三级指标</w:t>
      </w:r>
      <w:r>
        <w:rPr>
          <w:rFonts w:hint="eastAsia" w:ascii="仿宋_GB2312" w:hAnsi="仿宋_GB2312" w:eastAsia="仿宋_GB2312" w:cs="仿宋_GB2312"/>
          <w:szCs w:val="28"/>
          <w:highlight w:val="none"/>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5</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项目满意度指标</w:t>
      </w:r>
      <w:r>
        <w:rPr>
          <w:rFonts w:hint="eastAsia" w:ascii="仿宋_GB2312" w:hAnsi="仿宋_GB2312" w:eastAsia="仿宋_GB2312" w:cs="仿宋_GB2312"/>
          <w:szCs w:val="28"/>
          <w:highlight w:val="none"/>
          <w:lang w:val="en-US" w:eastAsia="zh-CN"/>
        </w:rPr>
        <w:t>为一级指标，权重</w:t>
      </w:r>
      <w:r>
        <w:rPr>
          <w:rFonts w:hint="eastAsia" w:ascii="仿宋_GB2312" w:hAnsi="仿宋_GB2312" w:eastAsia="仿宋_GB2312" w:cs="仿宋_GB2312"/>
          <w:szCs w:val="28"/>
          <w:highlight w:val="none"/>
        </w:rPr>
        <w:t>10分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分析</w:t>
      </w:r>
      <w:r>
        <w:rPr>
          <w:rFonts w:hint="eastAsia" w:ascii="仿宋_GB2312" w:hAnsi="仿宋_GB2312" w:cs="仿宋_GB2312"/>
          <w:szCs w:val="28"/>
          <w:highlight w:val="none"/>
          <w:lang w:val="en-US" w:eastAsia="zh-CN"/>
        </w:rPr>
        <w:t>工作人员及其他读者</w:t>
      </w:r>
      <w:r>
        <w:rPr>
          <w:rFonts w:hint="eastAsia" w:ascii="仿宋_GB2312" w:hAnsi="仿宋_GB2312" w:eastAsia="仿宋_GB2312" w:cs="仿宋_GB2312"/>
          <w:szCs w:val="28"/>
          <w:highlight w:val="none"/>
        </w:rPr>
        <w:t>对项目实施效果的满意情况。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Cs w:val="28"/>
          <w:highlight w:val="none"/>
        </w:rPr>
      </w:pPr>
      <w:r>
        <w:rPr>
          <w:rFonts w:hint="eastAsia" w:ascii="仿宋_GB2312" w:hAnsi="仿宋_GB2312" w:eastAsia="仿宋_GB2312" w:cs="仿宋_GB2312"/>
          <w:b/>
          <w:bCs/>
          <w:szCs w:val="28"/>
          <w:highlight w:val="none"/>
        </w:rPr>
        <w:t>2</w:t>
      </w:r>
      <w:r>
        <w:rPr>
          <w:rFonts w:hint="eastAsia" w:ascii="仿宋_GB2312" w:hAnsi="仿宋_GB2312" w:cs="仿宋_GB2312"/>
          <w:b/>
          <w:bCs/>
          <w:szCs w:val="28"/>
          <w:highlight w:val="none"/>
          <w:lang w:val="en-US" w:eastAsia="zh-CN"/>
        </w:rPr>
        <w:t>.</w:t>
      </w:r>
      <w:r>
        <w:rPr>
          <w:rFonts w:hint="eastAsia" w:ascii="仿宋_GB2312" w:hAnsi="仿宋_GB2312" w:eastAsia="仿宋_GB2312" w:cs="仿宋_GB2312"/>
          <w:b/>
          <w:bCs/>
          <w:szCs w:val="28"/>
          <w:highlight w:val="none"/>
        </w:rPr>
        <w:t>数据来源及证据收集方式</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评价组在前期调研的基础上，按照资料清单，收集法规文件、会议记录、财务凭证等资料，并通过发放调查问卷等方式收集佐证材料证据，全面考察项目执行情况。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本次绩效评价的证据收集途径主要有</w:t>
      </w:r>
      <w:r>
        <w:rPr>
          <w:rFonts w:hint="eastAsia" w:ascii="仿宋_GB2312" w:hAnsi="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1</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由</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szCs w:val="28"/>
          <w:highlight w:val="none"/>
        </w:rPr>
        <w:t>提供基础数据资料</w:t>
      </w:r>
      <w:r>
        <w:rPr>
          <w:rFonts w:hint="eastAsia" w:ascii="仿宋_GB2312" w:hAnsi="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2</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通过与</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cs="仿宋_GB2312"/>
          <w:szCs w:val="28"/>
          <w:highlight w:val="none"/>
          <w:lang w:val="en-US" w:eastAsia="zh-CN"/>
        </w:rPr>
        <w:t>相关工作人员</w:t>
      </w:r>
      <w:r>
        <w:rPr>
          <w:rFonts w:hint="eastAsia" w:ascii="仿宋_GB2312" w:hAnsi="仿宋_GB2312" w:eastAsia="仿宋_GB2312" w:cs="仿宋_GB2312"/>
          <w:szCs w:val="28"/>
          <w:highlight w:val="none"/>
        </w:rPr>
        <w:t>交流，获取信息，了解项目的成效</w:t>
      </w:r>
      <w:r>
        <w:rPr>
          <w:rFonts w:hint="eastAsia" w:ascii="仿宋_GB2312" w:hAnsi="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lang w:eastAsia="zh-CN"/>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3</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对</w:t>
      </w:r>
      <w:r>
        <w:rPr>
          <w:rFonts w:hint="eastAsia" w:ascii="仿宋_GB2312" w:hAnsi="仿宋_GB2312" w:cs="仿宋_GB2312"/>
          <w:szCs w:val="28"/>
          <w:highlight w:val="none"/>
          <w:lang w:val="en-US" w:eastAsia="zh-CN"/>
        </w:rPr>
        <w:t>项目服务</w:t>
      </w:r>
      <w:r>
        <w:rPr>
          <w:rFonts w:hint="eastAsia" w:ascii="仿宋_GB2312" w:hAnsi="仿宋_GB2312" w:eastAsia="仿宋_GB2312" w:cs="仿宋_GB2312"/>
          <w:szCs w:val="28"/>
          <w:highlight w:val="none"/>
        </w:rPr>
        <w:t>对象进行问卷调查，获取满意度数据</w:t>
      </w:r>
      <w:r>
        <w:rPr>
          <w:rFonts w:hint="eastAsia" w:ascii="仿宋_GB2312" w:hAnsi="仿宋_GB2312" w:cs="仿宋_GB2312"/>
          <w:szCs w:val="28"/>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06" w:name="_Toc8079"/>
      <w:bookmarkStart w:id="107" w:name="_Toc6432"/>
      <w:r>
        <w:rPr>
          <w:rFonts w:hint="eastAsia" w:ascii="楷体" w:hAnsi="楷体" w:eastAsia="楷体" w:cs="楷体"/>
          <w:b/>
          <w:bCs/>
          <w:highlight w:val="none"/>
        </w:rPr>
        <w:t>（六）评价人员组成</w:t>
      </w:r>
      <w:bookmarkEnd w:id="106"/>
      <w:bookmarkEnd w:id="107"/>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bookmarkStart w:id="108" w:name="_Toc8104"/>
      <w:r>
        <w:rPr>
          <w:rFonts w:hint="eastAsia" w:ascii="仿宋_GB2312" w:hAnsi="仿宋_GB2312" w:eastAsia="仿宋_GB2312" w:cs="仿宋_GB2312"/>
          <w:szCs w:val="28"/>
          <w:highlight w:val="none"/>
        </w:rPr>
        <w:t>按照绩效评价工作要求</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为了较好地完成本次绩效评价工作，评价工作组人员名单及职责分工情况见下表：</w:t>
      </w:r>
    </w:p>
    <w:tbl>
      <w:tblPr>
        <w:tblStyle w:val="1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8"/>
        <w:gridCol w:w="1161"/>
        <w:gridCol w:w="1470"/>
        <w:gridCol w:w="2175"/>
        <w:gridCol w:w="2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序号</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姓名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职务</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职称和职业资格</w:t>
            </w:r>
          </w:p>
        </w:tc>
        <w:tc>
          <w:tcPr>
            <w:tcW w:w="2768"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1</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郑生伟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复核人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8"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绩效评价指导、复核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2</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刘燕</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8" w:type="dxa"/>
            <w:vMerge w:val="restart"/>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制定评价方案、评价报告撰写、现场及非现场评价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3</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eastAsia="宋体" w:cs="Times New Roman"/>
                <w:color w:val="auto"/>
                <w:kern w:val="2"/>
                <w:sz w:val="24"/>
                <w:szCs w:val="24"/>
                <w:highlight w:val="none"/>
                <w:shd w:val="clear" w:color="auto" w:fill="FFFFFF"/>
                <w:vertAlign w:val="baseline"/>
                <w:lang w:val="en-US" w:eastAsia="zh-CN" w:bidi="ar-SA"/>
              </w:rPr>
              <w:t>刘淑萍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高级会计师</w:t>
            </w:r>
          </w:p>
        </w:tc>
        <w:tc>
          <w:tcPr>
            <w:tcW w:w="2768" w:type="dxa"/>
            <w:vMerge w:val="continue"/>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4</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向文霞</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8" w:type="dxa"/>
            <w:vMerge w:val="restart"/>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资料收集、审核、整理分析、现场及非现场评价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5</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吕晓芳</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8"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6</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肖涵</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5"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8"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7</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张振勇</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8"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8</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赵悦江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8"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9</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李乐乐</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5"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8"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bl>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09" w:name="_Toc31483"/>
      <w:r>
        <w:rPr>
          <w:rFonts w:hint="eastAsia" w:ascii="楷体" w:hAnsi="楷体" w:eastAsia="楷体" w:cs="楷体"/>
          <w:b/>
          <w:bCs/>
          <w:highlight w:val="none"/>
        </w:rPr>
        <w:t>（七）绩效评价工作过程</w:t>
      </w:r>
      <w:bookmarkEnd w:id="108"/>
      <w:bookmarkEnd w:id="109"/>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32"/>
          <w:highlight w:val="none"/>
        </w:rPr>
      </w:pPr>
      <w:bookmarkStart w:id="110" w:name="_Toc30609"/>
      <w:bookmarkStart w:id="111" w:name="_Toc3172"/>
      <w:bookmarkStart w:id="112" w:name="_Toc10150"/>
      <w:bookmarkStart w:id="113" w:name="_Toc31135"/>
      <w:bookmarkStart w:id="114" w:name="_Toc1946"/>
      <w:bookmarkStart w:id="115" w:name="_Toc27041"/>
      <w:r>
        <w:rPr>
          <w:rFonts w:hint="eastAsia" w:ascii="仿宋_GB2312" w:hAnsi="仿宋_GB2312" w:eastAsia="仿宋_GB2312" w:cs="仿宋_GB2312"/>
          <w:sz w:val="32"/>
          <w:szCs w:val="32"/>
          <w:highlight w:val="none"/>
        </w:rPr>
        <w:t>绩效评价工作过程主要包括</w:t>
      </w:r>
      <w:r>
        <w:rPr>
          <w:rFonts w:hint="eastAsia" w:ascii="仿宋_GB2312" w:hAnsi="仿宋_GB2312" w:eastAsia="仿宋_GB2312" w:cs="仿宋_GB2312"/>
          <w:sz w:val="32"/>
          <w:szCs w:val="32"/>
          <w:highlight w:val="none"/>
          <w:lang w:val="en-US" w:eastAsia="zh-CN"/>
        </w:rPr>
        <w:t>准备阶段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实施阶段、</w:t>
      </w:r>
      <w:r>
        <w:rPr>
          <w:rFonts w:hint="eastAsia" w:ascii="仿宋_GB2312" w:hAnsi="仿宋_GB2312" w:eastAsia="仿宋_GB2312" w:cs="仿宋_GB2312"/>
          <w:sz w:val="32"/>
          <w:szCs w:val="32"/>
          <w:highlight w:val="none"/>
        </w:rPr>
        <w:t>撰写报告阶段</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rPr>
        <w:t>个阶段。</w:t>
      </w:r>
      <w:bookmarkEnd w:id="110"/>
      <w:bookmarkEnd w:id="111"/>
      <w:bookmarkEnd w:id="112"/>
      <w:bookmarkEnd w:id="113"/>
      <w:bookmarkEnd w:id="114"/>
      <w:bookmarkEnd w:id="115"/>
    </w:p>
    <w:p>
      <w:pPr>
        <w:pStyle w:val="6"/>
        <w:keepNext w:val="0"/>
        <w:keepLines w:val="0"/>
        <w:pageBreakBefore w:val="0"/>
        <w:widowControl w:val="0"/>
        <w:kinsoku/>
        <w:wordWrap/>
        <w:overflowPunct w:val="0"/>
        <w:topLinePunct w:val="0"/>
        <w:autoSpaceDE/>
        <w:autoSpaceDN/>
        <w:bidi w:val="0"/>
        <w:adjustRightInd/>
        <w:spacing w:before="0" w:after="0" w:line="560" w:lineRule="exact"/>
        <w:ind w:firstLine="643"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14:textFill>
            <w14:solidFill>
              <w14:schemeClr w14:val="tx1"/>
            </w14:solidFill>
          </w14:textFill>
        </w:rPr>
        <w:t>准备阶段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确定绩效评价组</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sz w:val="32"/>
          <w:szCs w:val="32"/>
          <w:highlight w:val="none"/>
          <w:lang w:val="en-US" w:eastAsia="zh-CN"/>
        </w:rPr>
        <w:t>组织召开了</w:t>
      </w:r>
      <w:r>
        <w:rPr>
          <w:rFonts w:hint="eastAsia" w:ascii="仿宋_GB2312" w:hAnsi="仿宋_GB2312" w:eastAsia="仿宋_GB2312" w:cs="仿宋_GB2312"/>
          <w:sz w:val="32"/>
          <w:szCs w:val="32"/>
          <w:highlight w:val="none"/>
        </w:rPr>
        <w:t>绩效评价专题工作会议，安排部署</w:t>
      </w:r>
      <w:r>
        <w:rPr>
          <w:rFonts w:hint="eastAsia" w:ascii="仿宋_GB2312" w:hAnsi="仿宋_GB2312" w:eastAsia="仿宋_GB2312" w:cs="仿宋_GB2312"/>
          <w:sz w:val="32"/>
          <w:szCs w:val="32"/>
          <w:highlight w:val="none"/>
          <w:lang w:val="en-US" w:eastAsia="zh-CN"/>
        </w:rPr>
        <w:t>本次</w:t>
      </w:r>
      <w:r>
        <w:rPr>
          <w:rFonts w:hint="eastAsia" w:ascii="仿宋_GB2312" w:hAnsi="仿宋_GB2312" w:eastAsia="仿宋_GB2312" w:cs="仿宋_GB2312"/>
          <w:sz w:val="32"/>
          <w:szCs w:val="32"/>
          <w:highlight w:val="none"/>
        </w:rPr>
        <w:t>绩效评价工作。绩效评价小组根据评价目的和评价内容，明确</w:t>
      </w:r>
      <w:r>
        <w:rPr>
          <w:rFonts w:hint="eastAsia" w:ascii="仿宋_GB2312" w:hAnsi="仿宋_GB2312" w:eastAsia="仿宋_GB2312" w:cs="仿宋_GB2312"/>
          <w:sz w:val="32"/>
          <w:szCs w:val="32"/>
          <w:highlight w:val="none"/>
          <w:lang w:eastAsia="zh-CN"/>
        </w:rPr>
        <w:t>了</w:t>
      </w:r>
      <w:r>
        <w:rPr>
          <w:rFonts w:hint="eastAsia" w:ascii="仿宋_GB2312" w:hAnsi="仿宋_GB2312" w:eastAsia="仿宋_GB2312" w:cs="仿宋_GB2312"/>
          <w:sz w:val="32"/>
          <w:szCs w:val="32"/>
          <w:highlight w:val="none"/>
        </w:rPr>
        <w:t>工作范围和职责</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组织评价组人员进行业务培训，认真组织学习了相关政策法规制度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评价指标体系和评价方案，明确评价工作程序及要求，解析评价指标体系</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使各参评人员对</w:t>
      </w:r>
      <w:r>
        <w:rPr>
          <w:rFonts w:hint="eastAsia" w:ascii="仿宋_GB2312" w:hAnsi="仿宋_GB2312" w:eastAsia="仿宋_GB2312" w:cs="仿宋_GB2312"/>
          <w:sz w:val="32"/>
          <w:szCs w:val="32"/>
          <w:highlight w:val="none"/>
          <w:lang w:val="en-US" w:eastAsia="zh-CN"/>
        </w:rPr>
        <w:t>绩效评价</w:t>
      </w:r>
      <w:r>
        <w:rPr>
          <w:rFonts w:hint="eastAsia" w:ascii="仿宋_GB2312" w:hAnsi="仿宋_GB2312" w:eastAsia="仿宋_GB2312" w:cs="仿宋_GB2312"/>
          <w:sz w:val="32"/>
          <w:szCs w:val="32"/>
          <w:highlight w:val="none"/>
        </w:rPr>
        <w:t>情况做进一步了解</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评价时间安排</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根据《甘肃省财政厅关于开展2022年度省级预算执行情况部门和财政重点绩效评价工作的通知》（甘财绩〔2023〕3号）文件要求，以及和委托方</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sz w:val="32"/>
          <w:szCs w:val="32"/>
          <w:highlight w:val="none"/>
        </w:rPr>
        <w:t>的沟通协调，确定评价时间</w:t>
      </w:r>
      <w:r>
        <w:rPr>
          <w:rFonts w:hint="eastAsia" w:ascii="仿宋_GB2312" w:hAnsi="仿宋_GB2312" w:cs="仿宋_GB2312"/>
          <w:sz w:val="32"/>
          <w:szCs w:val="32"/>
          <w:highlight w:val="none"/>
          <w:lang w:val="en-US" w:eastAsia="zh-CN"/>
        </w:rPr>
        <w:t>为</w:t>
      </w:r>
      <w:r>
        <w:rPr>
          <w:rFonts w:hint="eastAsia" w:ascii="仿宋_GB2312" w:hAnsi="仿宋_GB2312" w:eastAsia="仿宋_GB2312" w:cs="仿宋_GB2312"/>
          <w:sz w:val="32"/>
          <w:szCs w:val="32"/>
          <w:highlight w:val="none"/>
        </w:rPr>
        <w:t>2023年4月1日—2023年5月31日</w:t>
      </w:r>
      <w:r>
        <w:rPr>
          <w:rFonts w:hint="eastAsia" w:ascii="仿宋_GB2312" w:hAnsi="仿宋_GB2312" w:cs="仿宋_GB2312"/>
          <w:sz w:val="32"/>
          <w:szCs w:val="32"/>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评价方式确定</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本次绩效评价的对象为《法刊》（审判理论与实践）等印刷费项目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经与</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sz w:val="32"/>
          <w:szCs w:val="32"/>
          <w:highlight w:val="none"/>
        </w:rPr>
        <w:t>沟通决定采取现场评价</w:t>
      </w:r>
      <w:r>
        <w:rPr>
          <w:rFonts w:hint="eastAsia" w:ascii="仿宋_GB2312" w:hAnsi="仿宋_GB2312" w:cs="仿宋_GB2312"/>
          <w:sz w:val="32"/>
          <w:szCs w:val="32"/>
          <w:highlight w:val="none"/>
          <w:lang w:val="en-US" w:eastAsia="zh-CN"/>
        </w:rPr>
        <w:t>与非现场评价相结合</w:t>
      </w:r>
      <w:r>
        <w:rPr>
          <w:rFonts w:hint="eastAsia" w:ascii="仿宋_GB2312" w:hAnsi="仿宋_GB2312" w:eastAsia="仿宋_GB2312" w:cs="仿宋_GB2312"/>
          <w:sz w:val="32"/>
          <w:szCs w:val="32"/>
          <w:highlight w:val="none"/>
        </w:rPr>
        <w:t>的方式进行本次评价。</w:t>
      </w:r>
    </w:p>
    <w:p>
      <w:pPr>
        <w:pStyle w:val="6"/>
        <w:keepNext w:val="0"/>
        <w:keepLines w:val="0"/>
        <w:pageBreakBefore w:val="0"/>
        <w:widowControl w:val="0"/>
        <w:kinsoku/>
        <w:wordWrap/>
        <w:overflowPunct w:val="0"/>
        <w:topLinePunct w:val="0"/>
        <w:autoSpaceDE/>
        <w:autoSpaceDN/>
        <w:bidi w:val="0"/>
        <w:adjustRightInd/>
        <w:spacing w:before="0" w:after="0" w:line="560" w:lineRule="exact"/>
        <w:ind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2.实施阶段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发送资料清单</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绩效评价组在拟开展现场评价的5个工作日前向</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lang w:val="en-US" w:eastAsia="zh-CN"/>
        </w:rPr>
        <w:t>发送资料清单，</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lang w:val="en-US" w:eastAsia="zh-CN"/>
        </w:rPr>
        <w:t>提前准备评价资料。</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进驻评价单位</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评价组按时进驻</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，根据工作方案，</w:t>
      </w:r>
      <w:r>
        <w:rPr>
          <w:rFonts w:hint="eastAsia" w:ascii="仿宋_GB2312" w:hAnsi="仿宋_GB2312" w:cs="仿宋_GB2312"/>
          <w:sz w:val="32"/>
          <w:szCs w:val="32"/>
          <w:highlight w:val="none"/>
          <w:lang w:val="en-US" w:eastAsia="zh-CN"/>
        </w:rPr>
        <w:t>于2023</w:t>
      </w:r>
      <w:r>
        <w:rPr>
          <w:rFonts w:hint="eastAsia" w:ascii="仿宋_GB2312" w:hAnsi="仿宋_GB2312" w:eastAsia="仿宋_GB2312" w:cs="仿宋_GB2312"/>
          <w:sz w:val="32"/>
          <w:szCs w:val="32"/>
          <w:highlight w:val="none"/>
        </w:rPr>
        <w:t>年</w:t>
      </w: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rPr>
        <w:t>月</w:t>
      </w:r>
      <w:r>
        <w:rPr>
          <w:rFonts w:hint="eastAsia" w:ascii="仿宋_GB2312" w:hAnsi="仿宋_GB2312" w:cs="仿宋_GB2312"/>
          <w:sz w:val="32"/>
          <w:szCs w:val="32"/>
          <w:highlight w:val="none"/>
          <w:lang w:val="en-US" w:eastAsia="zh-CN"/>
        </w:rPr>
        <w:t>18</w:t>
      </w:r>
      <w:r>
        <w:rPr>
          <w:rFonts w:hint="eastAsia" w:ascii="仿宋_GB2312" w:hAnsi="仿宋_GB2312" w:eastAsia="仿宋_GB2312" w:cs="仿宋_GB2312"/>
          <w:sz w:val="32"/>
          <w:szCs w:val="32"/>
          <w:highlight w:val="none"/>
        </w:rPr>
        <w:t>日，对相关工作人员进行了访谈，本次访谈旨在通过与相关</w:t>
      </w:r>
      <w:r>
        <w:rPr>
          <w:rFonts w:hint="eastAsia" w:ascii="仿宋_GB2312" w:hAnsi="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人员进行沟通，了解</w:t>
      </w:r>
      <w:r>
        <w:rPr>
          <w:rFonts w:hint="eastAsia" w:ascii="仿宋_GB2312" w:hAnsi="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基本情况以及重点工作任务完成情况，听取</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的目标设定及完成程度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组织管理制度建立健全及落实情况、预算支出执行情况、财务管理状况、资产管理情况和项目实施产生的效益效果等情况介绍。</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①访谈对象</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sz w:val="32"/>
          <w:szCs w:val="32"/>
          <w:highlight w:val="none"/>
        </w:rPr>
        <w:t>的相关工作人员。</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②具体访谈的主要内容</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相关工作人员介绍预算安排、</w:t>
      </w:r>
      <w:r>
        <w:rPr>
          <w:rFonts w:hint="eastAsia" w:ascii="仿宋_GB2312" w:hAnsi="仿宋_GB2312" w:cs="仿宋_GB2312"/>
          <w:sz w:val="32"/>
          <w:szCs w:val="32"/>
          <w:highlight w:val="none"/>
          <w:lang w:val="en-US" w:eastAsia="zh-CN"/>
        </w:rPr>
        <w:t>项目实施计划</w:t>
      </w:r>
      <w:r>
        <w:rPr>
          <w:rFonts w:hint="eastAsia" w:ascii="仿宋_GB2312" w:hAnsi="仿宋_GB2312" w:eastAsia="仿宋_GB2312" w:cs="仿宋_GB2312"/>
          <w:sz w:val="32"/>
          <w:szCs w:val="32"/>
          <w:highlight w:val="none"/>
        </w:rPr>
        <w:t>等方面的实际情况；项目考核、监督中发现的经验、问题、建议等；对项目开展的实际工作情况等进行调研。比如：具体的实施完成情况、经费使用情况等。</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③访谈类型</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访谈类型：标准化访谈。</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④访谈实施方式</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cs="仿宋_GB2312"/>
          <w:sz w:val="32"/>
          <w:szCs w:val="32"/>
          <w:highlight w:val="none"/>
          <w:lang w:val="en-US" w:eastAsia="zh-CN"/>
        </w:rPr>
        <w:t>相关工作人员进行</w:t>
      </w:r>
      <w:r>
        <w:rPr>
          <w:rFonts w:hint="eastAsia" w:ascii="仿宋_GB2312" w:hAnsi="仿宋_GB2312" w:eastAsia="仿宋_GB2312" w:cs="仿宋_GB2312"/>
          <w:sz w:val="32"/>
          <w:szCs w:val="32"/>
          <w:highlight w:val="none"/>
        </w:rPr>
        <w:t>现场访谈的方式开展。</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资料分析及复核</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根据访谈了解情况对</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提供的资料进行核对，核实其真实性。结合资料</w:t>
      </w:r>
      <w:r>
        <w:rPr>
          <w:rFonts w:hint="eastAsia" w:ascii="仿宋_GB2312" w:hAnsi="仿宋_GB2312" w:eastAsia="仿宋_GB2312" w:cs="仿宋_GB2312"/>
          <w:sz w:val="32"/>
          <w:szCs w:val="32"/>
          <w:highlight w:val="none"/>
          <w:lang w:val="en-US" w:eastAsia="zh-CN"/>
        </w:rPr>
        <w:t>进行现场查看</w:t>
      </w:r>
      <w:r>
        <w:rPr>
          <w:rFonts w:hint="eastAsia" w:ascii="仿宋_GB2312" w:hAnsi="仿宋_GB2312" w:eastAsia="仿宋_GB2312" w:cs="仿宋_GB2312"/>
          <w:sz w:val="32"/>
          <w:szCs w:val="32"/>
          <w:highlight w:val="none"/>
        </w:rPr>
        <w:t>，核实</w:t>
      </w:r>
      <w:r>
        <w:rPr>
          <w:rFonts w:hint="eastAsia" w:ascii="仿宋_GB2312" w:hAnsi="仿宋_GB2312" w:eastAsia="仿宋_GB2312" w:cs="仿宋_GB2312"/>
          <w:sz w:val="32"/>
          <w:szCs w:val="32"/>
          <w:highlight w:val="none"/>
          <w:lang w:val="en-US" w:eastAsia="zh-CN"/>
        </w:rPr>
        <w:t>《法刊》（审判理论与实践）等印刷费项目</w:t>
      </w:r>
      <w:r>
        <w:rPr>
          <w:rFonts w:hint="eastAsia" w:ascii="仿宋_GB2312" w:hAnsi="仿宋_GB2312" w:cs="仿宋_GB2312"/>
          <w:sz w:val="32"/>
          <w:szCs w:val="32"/>
          <w:highlight w:val="none"/>
          <w:lang w:val="en-US" w:eastAsia="zh-CN"/>
        </w:rPr>
        <w:t>各项</w:t>
      </w:r>
      <w:r>
        <w:rPr>
          <w:rFonts w:hint="eastAsia" w:ascii="仿宋_GB2312" w:hAnsi="仿宋_GB2312" w:eastAsia="仿宋_GB2312" w:cs="仿宋_GB2312"/>
          <w:sz w:val="32"/>
          <w:szCs w:val="32"/>
          <w:highlight w:val="none"/>
          <w:lang w:val="en-US" w:eastAsia="zh-CN"/>
        </w:rPr>
        <w:t>重点工作任务的完成情况</w:t>
      </w:r>
      <w:r>
        <w:rPr>
          <w:rFonts w:hint="eastAsia" w:ascii="仿宋_GB2312" w:hAnsi="仿宋_GB2312" w:eastAsia="仿宋_GB2312" w:cs="仿宋_GB2312"/>
          <w:sz w:val="32"/>
          <w:szCs w:val="32"/>
          <w:highlight w:val="none"/>
        </w:rPr>
        <w:t>的真实性和规范性。</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发放调查问卷</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采用调查问卷方式对项目服务对象</w:t>
      </w:r>
      <w:r>
        <w:rPr>
          <w:rFonts w:hint="eastAsia" w:ascii="仿宋_GB2312" w:hAnsi="仿宋_GB2312" w:eastAsia="仿宋_GB2312" w:cs="仿宋_GB2312"/>
          <w:sz w:val="32"/>
          <w:szCs w:val="32"/>
          <w:highlight w:val="none"/>
          <w:lang w:val="en-US" w:eastAsia="zh-CN"/>
        </w:rPr>
        <w:t>“工作人员满意度</w:t>
      </w:r>
      <w:r>
        <w:rPr>
          <w:rFonts w:hint="eastAsia" w:ascii="仿宋_GB2312" w:hAnsi="仿宋_GB2312" w:cs="仿宋_GB2312"/>
          <w:sz w:val="32"/>
          <w:szCs w:val="32"/>
          <w:highlight w:val="none"/>
          <w:lang w:val="en-US" w:eastAsia="zh-CN"/>
        </w:rPr>
        <w:t>、其他读者满意度</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进行调查，根据需要收集的</w:t>
      </w:r>
      <w:r>
        <w:rPr>
          <w:rFonts w:hint="eastAsia" w:ascii="仿宋_GB2312" w:hAnsi="仿宋_GB2312" w:eastAsia="仿宋_GB2312" w:cs="仿宋_GB2312"/>
          <w:sz w:val="32"/>
          <w:szCs w:val="32"/>
          <w:highlight w:val="none"/>
          <w:lang w:val="en-US" w:eastAsia="zh-CN"/>
        </w:rPr>
        <w:t>满意度</w:t>
      </w:r>
      <w:r>
        <w:rPr>
          <w:rFonts w:hint="eastAsia" w:ascii="仿宋_GB2312" w:hAnsi="仿宋_GB2312" w:eastAsia="仿宋_GB2312" w:cs="仿宋_GB2312"/>
          <w:sz w:val="32"/>
          <w:szCs w:val="32"/>
          <w:highlight w:val="none"/>
        </w:rPr>
        <w:t>数据设置</w:t>
      </w:r>
      <w:r>
        <w:rPr>
          <w:rFonts w:hint="eastAsia" w:ascii="仿宋_GB2312" w:hAnsi="仿宋_GB2312" w:eastAsia="仿宋_GB2312" w:cs="仿宋_GB2312"/>
          <w:sz w:val="32"/>
          <w:szCs w:val="32"/>
          <w:highlight w:val="none"/>
          <w:lang w:val="en-US" w:eastAsia="zh-CN"/>
        </w:rPr>
        <w:t>调查问卷</w:t>
      </w:r>
      <w:r>
        <w:rPr>
          <w:rFonts w:hint="eastAsia" w:ascii="仿宋_GB2312" w:hAnsi="仿宋_GB2312" w:eastAsia="仿宋_GB2312" w:cs="仿宋_GB2312"/>
          <w:sz w:val="32"/>
          <w:szCs w:val="32"/>
          <w:highlight w:val="none"/>
        </w:rPr>
        <w:t>并认真做好调查表的发放与回收工作。</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5</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进行现场评分</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针对评价中发现的问题与</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lang w:val="en-US" w:eastAsia="zh-CN"/>
        </w:rPr>
        <w:t>及时</w:t>
      </w:r>
      <w:r>
        <w:rPr>
          <w:rFonts w:hint="eastAsia" w:ascii="仿宋_GB2312" w:hAnsi="仿宋_GB2312" w:eastAsia="仿宋_GB2312" w:cs="仿宋_GB2312"/>
          <w:sz w:val="32"/>
          <w:szCs w:val="32"/>
          <w:highlight w:val="none"/>
        </w:rPr>
        <w:t>沟通，对各项评价指标进行分析讨论，经反复分析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研究，按预先设计的评价指标体系进行现场评价打分。</w:t>
      </w:r>
    </w:p>
    <w:p>
      <w:pPr>
        <w:pStyle w:val="6"/>
        <w:keepNext w:val="0"/>
        <w:keepLines w:val="0"/>
        <w:pageBreakBefore w:val="0"/>
        <w:widowControl w:val="0"/>
        <w:kinsoku/>
        <w:wordWrap/>
        <w:overflowPunct w:val="0"/>
        <w:topLinePunct w:val="0"/>
        <w:autoSpaceDE/>
        <w:autoSpaceDN/>
        <w:bidi w:val="0"/>
        <w:adjustRightInd/>
        <w:spacing w:before="0" w:after="0" w:line="560" w:lineRule="exact"/>
        <w:ind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3.撰写报告阶段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撰写绩效评价报告</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小组根据现场评价收集的资料，运用科学、合理的绩效评价指标、评价标准和评价方法，对项目支出的经济性、效率性和效益性进行客观、公正的评价，按照财政厅下发的重点项目绩效评价报告模板撰写绩效评价报告，并做到依据充分、数据真实、内容完整、客观公正、结论明确、建议可行。</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绩效评价报告征求意见</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绩效评价报告初稿完成后，征</w:t>
      </w:r>
      <w:r>
        <w:rPr>
          <w:rFonts w:hint="eastAsia" w:ascii="仿宋_GB2312" w:hAnsi="仿宋_GB2312" w:eastAsia="仿宋_GB2312" w:cs="仿宋_GB2312"/>
          <w:sz w:val="32"/>
          <w:szCs w:val="32"/>
          <w:highlight w:val="none"/>
          <w:lang w:val="en-US" w:eastAsia="zh-CN"/>
        </w:rPr>
        <w:t>求省法院</w:t>
      </w:r>
      <w:r>
        <w:rPr>
          <w:rFonts w:hint="eastAsia" w:ascii="仿宋_GB2312" w:hAnsi="仿宋_GB2312" w:eastAsia="仿宋_GB2312" w:cs="仿宋_GB2312"/>
          <w:sz w:val="32"/>
          <w:szCs w:val="32"/>
          <w:highlight w:val="none"/>
        </w:rPr>
        <w:t>的意见</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根据反馈的有效意见对评价报告进行修改。</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提交绩效评价报告</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绩效评价报告经绩效评价负责人和</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确定，在规定时间内按照规定的格式、要求，提交</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及财政部门</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eastAsia="黑体"/>
          <w:highlight w:val="none"/>
        </w:rPr>
      </w:pPr>
      <w:bookmarkStart w:id="116" w:name="_Toc22550"/>
      <w:bookmarkStart w:id="117" w:name="_Toc9651"/>
      <w:bookmarkStart w:id="118" w:name="_Toc6529"/>
      <w:r>
        <w:rPr>
          <w:rFonts w:hint="eastAsia" w:ascii="黑体" w:eastAsia="黑体"/>
          <w:highlight w:val="none"/>
        </w:rPr>
        <w:t>四、评价结论及分析</w:t>
      </w:r>
      <w:bookmarkEnd w:id="116"/>
      <w:bookmarkEnd w:id="117"/>
      <w:bookmarkEnd w:id="118"/>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19" w:name="_Toc8446"/>
      <w:bookmarkStart w:id="120" w:name="_Toc20588"/>
      <w:bookmarkStart w:id="121" w:name="_Toc32337"/>
      <w:r>
        <w:rPr>
          <w:rFonts w:hint="eastAsia" w:ascii="楷体" w:hAnsi="楷体" w:eastAsia="楷体" w:cs="楷体"/>
          <w:b/>
          <w:bCs/>
          <w:highlight w:val="none"/>
        </w:rPr>
        <w:t>（一）综合评价情况及评价结论</w:t>
      </w:r>
      <w:bookmarkEnd w:id="119"/>
      <w:bookmarkEnd w:id="120"/>
      <w:bookmarkEnd w:id="121"/>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依据项目支出绩效评价指标体系和评分标准，总分设置为100分，分值和对应等级划分为四档：90分（含）-100分为“优”、80分（含）-90分为“良”、60分（含）-80分为“中”、60分以下为“差”。综合评定202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w:t>
      </w:r>
      <w:r>
        <w:rPr>
          <w:rFonts w:hint="eastAsia" w:ascii="仿宋_GB2312" w:hAnsi="仿宋" w:eastAsia="仿宋_GB2312" w:cs="仿宋"/>
          <w:sz w:val="32"/>
          <w:szCs w:val="32"/>
          <w:highlight w:val="none"/>
          <w:lang w:eastAsia="zh-CN"/>
        </w:rPr>
        <w:t>《法刊》（审判理论与实践）等印刷费项目</w:t>
      </w:r>
      <w:r>
        <w:rPr>
          <w:rFonts w:hint="eastAsia" w:ascii="仿宋_GB2312" w:hAnsi="仿宋_GB2312" w:eastAsia="仿宋_GB2312" w:cs="仿宋_GB2312"/>
          <w:sz w:val="32"/>
          <w:szCs w:val="32"/>
          <w:highlight w:val="none"/>
        </w:rPr>
        <w:t>绩效评分为</w:t>
      </w:r>
      <w:r>
        <w:rPr>
          <w:rFonts w:hint="eastAsia" w:ascii="仿宋_GB2312" w:hAnsi="仿宋_GB2312" w:eastAsia="仿宋_GB2312" w:cs="仿宋_GB2312"/>
          <w:sz w:val="32"/>
          <w:szCs w:val="32"/>
          <w:highlight w:val="none"/>
          <w:lang w:val="en-US" w:eastAsia="zh-CN"/>
        </w:rPr>
        <w:t>97.41</w:t>
      </w:r>
      <w:r>
        <w:rPr>
          <w:rFonts w:hint="eastAsia" w:ascii="仿宋_GB2312" w:hAnsi="仿宋_GB2312" w:eastAsia="仿宋_GB2312" w:cs="仿宋_GB2312"/>
          <w:sz w:val="32"/>
          <w:szCs w:val="32"/>
          <w:highlight w:val="none"/>
        </w:rPr>
        <w:t>分，绩效等级为“</w:t>
      </w:r>
      <w:r>
        <w:rPr>
          <w:rFonts w:hint="eastAsia" w:ascii="仿宋_GB2312" w:hAnsi="仿宋_GB2312" w:eastAsia="仿宋_GB2312" w:cs="仿宋_GB2312"/>
          <w:sz w:val="32"/>
          <w:szCs w:val="32"/>
          <w:highlight w:val="none"/>
          <w:lang w:val="en-US" w:eastAsia="zh-CN"/>
        </w:rPr>
        <w:t>优</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yellow"/>
        </w:rPr>
      </w:pPr>
      <w:bookmarkStart w:id="122" w:name="_Toc16795"/>
      <w:bookmarkStart w:id="123" w:name="_Toc12668"/>
      <w:r>
        <w:rPr>
          <w:rFonts w:hint="eastAsia" w:ascii="仿宋_GB2312" w:hAnsi="仿宋_GB2312" w:eastAsia="仿宋_GB2312" w:cs="仿宋_GB2312"/>
          <w:sz w:val="32"/>
          <w:szCs w:val="32"/>
          <w:highlight w:val="none"/>
          <w:lang w:val="en-US" w:eastAsia="zh-CN"/>
        </w:rPr>
        <w:t>评价认为，2022年《法刊》（审判理论与实践）等印刷费项目立项依据充分、程序规范；项目实施流程严谨，管理制度健全，预算编制科学，资金分配合理，资金支付及时、使用效果良好。通过项目的实施，加强了全省法院审判业务建设和队伍建设、文化建设，达到了项目预期效果。但该项目预算执行率有待进一步提高，资金使用有待进一步规范，个别指标未全面完成。</w:t>
      </w:r>
    </w:p>
    <w:bookmarkEnd w:id="122"/>
    <w:bookmarkEnd w:id="123"/>
    <w:p>
      <w:pPr>
        <w:keepNext w:val="0"/>
        <w:keepLines w:val="0"/>
        <w:pageBreakBefore w:val="0"/>
        <w:widowControl w:val="0"/>
        <w:suppressLineNumbers w:val="0"/>
        <w:tabs>
          <w:tab w:val="left" w:pos="3780"/>
        </w:tabs>
        <w:kinsoku/>
        <w:wordWrap/>
        <w:overflowPunct w:val="0"/>
        <w:topLinePunct w:val="0"/>
        <w:autoSpaceDE/>
        <w:autoSpaceDN/>
        <w:bidi w:val="0"/>
        <w:adjustRightInd/>
        <w:snapToGrid/>
        <w:ind w:firstLine="643" w:firstLineChars="200"/>
        <w:jc w:val="left"/>
        <w:textAlignment w:val="auto"/>
        <w:outlineLvl w:val="1"/>
        <w:rPr>
          <w:sz w:val="32"/>
          <w:szCs w:val="32"/>
          <w:highlight w:val="none"/>
        </w:rPr>
      </w:pPr>
      <w:bookmarkStart w:id="124" w:name="_Toc8026"/>
      <w:r>
        <w:rPr>
          <w:rFonts w:ascii="楷体" w:hAnsi="楷体" w:eastAsia="楷体" w:cs="楷体"/>
          <w:b/>
          <w:bCs/>
          <w:color w:val="000000"/>
          <w:kern w:val="0"/>
          <w:sz w:val="32"/>
          <w:szCs w:val="32"/>
          <w:highlight w:val="none"/>
          <w:lang w:val="en-US" w:eastAsia="zh-CN" w:bidi="ar"/>
        </w:rPr>
        <w:t>（二）非现场评价情况分析</w:t>
      </w:r>
      <w:bookmarkEnd w:id="124"/>
      <w:r>
        <w:rPr>
          <w:rFonts w:ascii="楷体" w:hAnsi="楷体" w:eastAsia="楷体" w:cs="楷体"/>
          <w:b/>
          <w:bCs/>
          <w:color w:val="000000"/>
          <w:kern w:val="0"/>
          <w:sz w:val="32"/>
          <w:szCs w:val="32"/>
          <w:highlight w:val="none"/>
          <w:lang w:val="en-US" w:eastAsia="zh-CN" w:bidi="ar"/>
        </w:rPr>
        <w:t xml:space="preserve"> </w:t>
      </w:r>
    </w:p>
    <w:p>
      <w:pPr>
        <w:keepNext w:val="0"/>
        <w:keepLines w:val="0"/>
        <w:pageBreakBefore w:val="0"/>
        <w:widowControl w:val="0"/>
        <w:suppressLineNumbers w:val="0"/>
        <w:tabs>
          <w:tab w:val="left" w:pos="3780"/>
        </w:tabs>
        <w:kinsoku/>
        <w:wordWrap/>
        <w:overflowPunct w:val="0"/>
        <w:topLinePunct w:val="0"/>
        <w:autoSpaceDE/>
        <w:autoSpaceDN/>
        <w:bidi w:val="0"/>
        <w:adjustRightInd/>
        <w:snapToGrid/>
        <w:spacing w:line="560" w:lineRule="exact"/>
        <w:ind w:firstLine="643" w:firstLineChars="200"/>
        <w:jc w:val="left"/>
        <w:textAlignment w:val="auto"/>
        <w:rPr>
          <w:b/>
          <w:bCs/>
          <w:sz w:val="32"/>
          <w:szCs w:val="32"/>
          <w:highlight w:val="none"/>
        </w:rPr>
      </w:pPr>
      <w:r>
        <w:rPr>
          <w:rFonts w:ascii="仿宋_GB2312" w:hAnsi="宋体" w:eastAsia="仿宋_GB2312" w:cs="仿宋_GB2312"/>
          <w:b/>
          <w:bCs/>
          <w:color w:val="000000"/>
          <w:kern w:val="0"/>
          <w:sz w:val="32"/>
          <w:szCs w:val="32"/>
          <w:highlight w:val="none"/>
          <w:lang w:val="en-US" w:eastAsia="zh-CN" w:bidi="ar"/>
        </w:rPr>
        <w:t>1</w:t>
      </w:r>
      <w:r>
        <w:rPr>
          <w:rFonts w:hint="eastAsia" w:ascii="仿宋_GB2312" w:hAnsi="宋体" w:eastAsia="仿宋_GB2312" w:cs="仿宋_GB2312"/>
          <w:b/>
          <w:bCs/>
          <w:color w:val="000000"/>
          <w:kern w:val="0"/>
          <w:sz w:val="32"/>
          <w:szCs w:val="32"/>
          <w:highlight w:val="none"/>
          <w:lang w:val="en-US" w:eastAsia="zh-CN" w:bidi="ar"/>
        </w:rPr>
        <w:t>.</w:t>
      </w:r>
      <w:r>
        <w:rPr>
          <w:rFonts w:ascii="仿宋_GB2312" w:hAnsi="宋体" w:eastAsia="仿宋_GB2312" w:cs="仿宋_GB2312"/>
          <w:b/>
          <w:bCs/>
          <w:color w:val="000000"/>
          <w:kern w:val="0"/>
          <w:sz w:val="32"/>
          <w:szCs w:val="32"/>
          <w:highlight w:val="none"/>
          <w:lang w:val="en-US" w:eastAsia="zh-CN" w:bidi="ar"/>
        </w:rPr>
        <w:t xml:space="preserve">前期资料研读 </w:t>
      </w:r>
    </w:p>
    <w:p>
      <w:pPr>
        <w:keepNext w:val="0"/>
        <w:keepLines w:val="0"/>
        <w:pageBreakBefore w:val="0"/>
        <w:widowControl w:val="0"/>
        <w:suppressLineNumbers w:val="0"/>
        <w:tabs>
          <w:tab w:val="left" w:pos="3780"/>
        </w:tabs>
        <w:kinsoku/>
        <w:wordWrap/>
        <w:overflowPunct w:val="0"/>
        <w:topLinePunct w:val="0"/>
        <w:autoSpaceDE/>
        <w:autoSpaceDN/>
        <w:bidi w:val="0"/>
        <w:adjustRightInd/>
        <w:snapToGrid/>
        <w:spacing w:line="560" w:lineRule="exact"/>
        <w:ind w:firstLine="640" w:firstLineChars="200"/>
        <w:jc w:val="left"/>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 xml:space="preserve">评价组根据调研结果梳理并向省法院发送《资料收集清单》收集业务资料和财务资料，其中包括：部门预算批复文件、资金分配表、项目预算编制明细表、决算表、单位内部管理制度、项目绩效目标申报表、自评表及自评报告等资料。并在资料收集过程中通过网上收集、文献查阅等方式，获取与本项目有关的政策资料，全面了解项目内容，把握评价的重点，明确评价方式、方法，为制定实施方案、绩效评价指标体系奠定基础。 </w:t>
      </w:r>
    </w:p>
    <w:p>
      <w:pPr>
        <w:keepNext w:val="0"/>
        <w:keepLines w:val="0"/>
        <w:pageBreakBefore w:val="0"/>
        <w:widowControl w:val="0"/>
        <w:suppressLineNumbers w:val="0"/>
        <w:tabs>
          <w:tab w:val="left" w:pos="3780"/>
        </w:tabs>
        <w:kinsoku/>
        <w:wordWrap/>
        <w:overflowPunct w:val="0"/>
        <w:topLinePunct w:val="0"/>
        <w:autoSpaceDE/>
        <w:autoSpaceDN/>
        <w:bidi w:val="0"/>
        <w:adjustRightInd/>
        <w:snapToGrid/>
        <w:spacing w:line="560" w:lineRule="exact"/>
        <w:ind w:firstLine="643" w:firstLineChars="200"/>
        <w:jc w:val="left"/>
        <w:textAlignment w:val="auto"/>
        <w:rPr>
          <w:b/>
          <w:bCs/>
          <w:sz w:val="32"/>
          <w:szCs w:val="32"/>
          <w:highlight w:val="none"/>
        </w:rPr>
      </w:pPr>
      <w:r>
        <w:rPr>
          <w:rFonts w:hint="eastAsia" w:ascii="仿宋_GB2312" w:hAnsi="宋体" w:eastAsia="仿宋_GB2312" w:cs="仿宋_GB2312"/>
          <w:b/>
          <w:bCs/>
          <w:color w:val="000000"/>
          <w:kern w:val="0"/>
          <w:sz w:val="32"/>
          <w:szCs w:val="32"/>
          <w:highlight w:val="none"/>
          <w:lang w:val="en-US" w:eastAsia="zh-CN" w:bidi="ar"/>
        </w:rPr>
        <w:t xml:space="preserve">2.资料整理分析 </w:t>
      </w:r>
    </w:p>
    <w:p>
      <w:pPr>
        <w:keepNext w:val="0"/>
        <w:keepLines w:val="0"/>
        <w:pageBreakBefore w:val="0"/>
        <w:widowControl w:val="0"/>
        <w:suppressLineNumbers w:val="0"/>
        <w:tabs>
          <w:tab w:val="left" w:pos="3780"/>
        </w:tabs>
        <w:kinsoku/>
        <w:wordWrap/>
        <w:overflowPunct w:val="0"/>
        <w:topLinePunct w:val="0"/>
        <w:autoSpaceDE/>
        <w:autoSpaceDN/>
        <w:bidi w:val="0"/>
        <w:adjustRightInd/>
        <w:snapToGrid/>
        <w:spacing w:line="560" w:lineRule="exact"/>
        <w:ind w:firstLine="640" w:firstLineChars="200"/>
        <w:jc w:val="left"/>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评价组对省法院提供的资料进行深入研读，将前期资料研读过程中收集的资料与省法院提供的资料进行了汇总整合研究，并设立评价指标体系。对于结果明确的指标直接进行打分，对于结果不明确的指标，评价组在此过程中继续整理缺失的数据，并形成二次数据收集清单，通过线上沟通再次向省法院收集部分评价指标佐证材料，补充完善评价结果，以便全面、真实、客观的形成评价结果。</w:t>
      </w:r>
    </w:p>
    <w:p>
      <w:pPr>
        <w:keepNext w:val="0"/>
        <w:keepLines w:val="0"/>
        <w:pageBreakBefore w:val="0"/>
        <w:widowControl w:val="0"/>
        <w:suppressLineNumbers w:val="0"/>
        <w:tabs>
          <w:tab w:val="left" w:pos="3780"/>
        </w:tabs>
        <w:kinsoku/>
        <w:wordWrap/>
        <w:overflowPunct w:val="0"/>
        <w:topLinePunct w:val="0"/>
        <w:autoSpaceDE/>
        <w:autoSpaceDN/>
        <w:bidi w:val="0"/>
        <w:adjustRightInd/>
        <w:snapToGrid/>
        <w:spacing w:line="560" w:lineRule="exact"/>
        <w:ind w:firstLine="643" w:firstLineChars="200"/>
        <w:jc w:val="left"/>
        <w:textAlignment w:val="auto"/>
        <w:outlineLvl w:val="1"/>
        <w:rPr>
          <w:sz w:val="32"/>
          <w:szCs w:val="32"/>
          <w:highlight w:val="none"/>
        </w:rPr>
      </w:pPr>
      <w:bookmarkStart w:id="125" w:name="_Toc32708"/>
      <w:r>
        <w:rPr>
          <w:rFonts w:hint="eastAsia" w:ascii="楷体" w:hAnsi="楷体" w:eastAsia="楷体" w:cs="楷体"/>
          <w:b/>
          <w:bCs/>
          <w:color w:val="000000"/>
          <w:kern w:val="0"/>
          <w:sz w:val="32"/>
          <w:szCs w:val="32"/>
          <w:highlight w:val="none"/>
          <w:lang w:val="en-US" w:eastAsia="zh-CN" w:bidi="ar"/>
        </w:rPr>
        <w:t>（三）</w:t>
      </w:r>
      <w:r>
        <w:rPr>
          <w:rFonts w:ascii="楷体" w:hAnsi="楷体" w:eastAsia="楷体" w:cs="楷体"/>
          <w:b/>
          <w:bCs/>
          <w:color w:val="000000"/>
          <w:kern w:val="0"/>
          <w:sz w:val="32"/>
          <w:szCs w:val="32"/>
          <w:highlight w:val="none"/>
          <w:lang w:val="en-US" w:eastAsia="zh-CN" w:bidi="ar"/>
        </w:rPr>
        <w:t>现场评价情况分析</w:t>
      </w:r>
      <w:bookmarkEnd w:id="125"/>
      <w:r>
        <w:rPr>
          <w:rFonts w:ascii="楷体" w:hAnsi="楷体" w:eastAsia="楷体" w:cs="楷体"/>
          <w:b/>
          <w:bCs/>
          <w:color w:val="000000"/>
          <w:kern w:val="0"/>
          <w:sz w:val="32"/>
          <w:szCs w:val="32"/>
          <w:highlight w:val="none"/>
          <w:lang w:val="en-US" w:eastAsia="zh-CN" w:bidi="ar"/>
        </w:rPr>
        <w:t xml:space="preserve"> </w:t>
      </w:r>
    </w:p>
    <w:p>
      <w:pPr>
        <w:keepNext w:val="0"/>
        <w:keepLines w:val="0"/>
        <w:pageBreakBefore w:val="0"/>
        <w:widowControl w:val="0"/>
        <w:suppressLineNumbers w:val="0"/>
        <w:tabs>
          <w:tab w:val="left" w:pos="3780"/>
        </w:tabs>
        <w:kinsoku/>
        <w:wordWrap/>
        <w:overflowPunct w:val="0"/>
        <w:topLinePunct w:val="0"/>
        <w:autoSpaceDE/>
        <w:autoSpaceDN/>
        <w:bidi w:val="0"/>
        <w:adjustRightInd/>
        <w:snapToGrid/>
        <w:spacing w:line="560" w:lineRule="exact"/>
        <w:ind w:firstLine="643" w:firstLineChars="200"/>
        <w:jc w:val="left"/>
        <w:textAlignment w:val="auto"/>
        <w:rPr>
          <w:b/>
          <w:bCs/>
          <w:sz w:val="32"/>
          <w:szCs w:val="32"/>
          <w:highlight w:val="none"/>
        </w:rPr>
      </w:pPr>
      <w:r>
        <w:rPr>
          <w:rFonts w:ascii="仿宋_GB2312" w:hAnsi="宋体" w:eastAsia="仿宋_GB2312" w:cs="仿宋_GB2312"/>
          <w:b/>
          <w:bCs/>
          <w:color w:val="000000"/>
          <w:kern w:val="0"/>
          <w:sz w:val="32"/>
          <w:szCs w:val="32"/>
          <w:highlight w:val="none"/>
          <w:lang w:val="en-US" w:eastAsia="zh-CN" w:bidi="ar"/>
        </w:rPr>
        <w:t>1</w:t>
      </w:r>
      <w:r>
        <w:rPr>
          <w:rFonts w:hint="eastAsia" w:ascii="仿宋_GB2312" w:hAnsi="宋体" w:eastAsia="仿宋_GB2312" w:cs="仿宋_GB2312"/>
          <w:b/>
          <w:bCs/>
          <w:color w:val="000000"/>
          <w:kern w:val="0"/>
          <w:sz w:val="32"/>
          <w:szCs w:val="32"/>
          <w:highlight w:val="none"/>
          <w:lang w:val="en-US" w:eastAsia="zh-CN" w:bidi="ar"/>
        </w:rPr>
        <w:t>.</w:t>
      </w:r>
      <w:r>
        <w:rPr>
          <w:rFonts w:ascii="仿宋_GB2312" w:hAnsi="宋体" w:eastAsia="仿宋_GB2312" w:cs="仿宋_GB2312"/>
          <w:b/>
          <w:bCs/>
          <w:color w:val="000000"/>
          <w:kern w:val="0"/>
          <w:sz w:val="32"/>
          <w:szCs w:val="32"/>
          <w:highlight w:val="none"/>
          <w:lang w:val="en-US" w:eastAsia="zh-CN" w:bidi="ar"/>
        </w:rPr>
        <w:t xml:space="preserve">前期调研 </w:t>
      </w:r>
    </w:p>
    <w:p>
      <w:pPr>
        <w:keepNext w:val="0"/>
        <w:keepLines w:val="0"/>
        <w:pageBreakBefore w:val="0"/>
        <w:widowControl w:val="0"/>
        <w:suppressLineNumbers w:val="0"/>
        <w:tabs>
          <w:tab w:val="left" w:pos="3780"/>
        </w:tabs>
        <w:kinsoku/>
        <w:wordWrap/>
        <w:overflowPunct w:val="0"/>
        <w:topLinePunct w:val="0"/>
        <w:autoSpaceDE/>
        <w:autoSpaceDN/>
        <w:bidi w:val="0"/>
        <w:adjustRightInd/>
        <w:snapToGri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 xml:space="preserve">评价组通过查阅相关文献资料以及在省法院官网了解到被评价项目情况，自行收集了预决算公开资料，全面了解项目立项、绩效目标设置、预算安排、实施内容、组织管理等情况，为编制指标体系奠定基础。 </w:t>
      </w:r>
    </w:p>
    <w:p>
      <w:pPr>
        <w:keepNext w:val="0"/>
        <w:keepLines w:val="0"/>
        <w:pageBreakBefore w:val="0"/>
        <w:widowControl w:val="0"/>
        <w:suppressLineNumbers w:val="0"/>
        <w:tabs>
          <w:tab w:val="left" w:pos="3780"/>
        </w:tabs>
        <w:kinsoku/>
        <w:wordWrap/>
        <w:overflowPunct w:val="0"/>
        <w:topLinePunct w:val="0"/>
        <w:autoSpaceDE/>
        <w:autoSpaceDN/>
        <w:bidi w:val="0"/>
        <w:adjustRightInd/>
        <w:snapToGrid/>
        <w:spacing w:line="560" w:lineRule="exact"/>
        <w:ind w:firstLine="643" w:firstLineChars="200"/>
        <w:jc w:val="left"/>
        <w:textAlignment w:val="auto"/>
        <w:rPr>
          <w:b/>
          <w:bCs/>
          <w:sz w:val="32"/>
          <w:szCs w:val="32"/>
          <w:highlight w:val="none"/>
        </w:rPr>
      </w:pPr>
      <w:r>
        <w:rPr>
          <w:rFonts w:hint="eastAsia" w:ascii="仿宋_GB2312" w:hAnsi="宋体" w:eastAsia="仿宋_GB2312" w:cs="仿宋_GB2312"/>
          <w:b/>
          <w:bCs/>
          <w:color w:val="000000"/>
          <w:kern w:val="0"/>
          <w:sz w:val="32"/>
          <w:szCs w:val="32"/>
          <w:highlight w:val="none"/>
          <w:lang w:val="en-US" w:eastAsia="zh-CN" w:bidi="ar"/>
        </w:rPr>
        <w:t xml:space="preserve">2.现场核查 </w:t>
      </w:r>
    </w:p>
    <w:p>
      <w:pPr>
        <w:keepNext w:val="0"/>
        <w:keepLines w:val="0"/>
        <w:pageBreakBefore w:val="0"/>
        <w:widowControl w:val="0"/>
        <w:suppressLineNumbers w:val="0"/>
        <w:tabs>
          <w:tab w:val="left" w:pos="3780"/>
        </w:tabs>
        <w:kinsoku/>
        <w:wordWrap/>
        <w:overflowPunct w:val="0"/>
        <w:topLinePunct w:val="0"/>
        <w:autoSpaceDE/>
        <w:autoSpaceDN/>
        <w:bidi w:val="0"/>
        <w:adjustRightInd/>
        <w:snapToGrid/>
        <w:spacing w:line="560" w:lineRule="exact"/>
        <w:ind w:firstLine="640" w:firstLineChars="200"/>
        <w:jc w:val="left"/>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 xml:space="preserve">评价组在前期现场调研与非现场评价工作的基础上，对本项目资金拨付凭证、招标采购合同、报销凭证等记录资料以及资料整理阶段发现的问题进行现场核实，对该项目进行逐项全面检查。 </w:t>
      </w:r>
    </w:p>
    <w:p>
      <w:pPr>
        <w:pStyle w:val="2"/>
        <w:keepNext w:val="0"/>
        <w:keepLines w:val="0"/>
        <w:pageBreakBefore w:val="0"/>
        <w:widowControl w:val="0"/>
        <w:tabs>
          <w:tab w:val="left" w:pos="3780"/>
        </w:tabs>
        <w:kinsoku/>
        <w:wordWrap/>
        <w:overflowPunct w:val="0"/>
        <w:topLinePunct w:val="0"/>
        <w:autoSpaceDE/>
        <w:autoSpaceDN/>
        <w:bidi w:val="0"/>
        <w:adjustRightInd/>
        <w:snapToGrid/>
        <w:spacing w:line="560" w:lineRule="exact"/>
        <w:ind w:firstLine="640" w:firstLineChars="200"/>
        <w:textAlignment w:val="auto"/>
        <w:outlineLvl w:val="0"/>
        <w:rPr>
          <w:rFonts w:ascii="黑体" w:eastAsia="黑体"/>
          <w:sz w:val="32"/>
          <w:szCs w:val="32"/>
          <w:highlight w:val="none"/>
        </w:rPr>
      </w:pPr>
      <w:bookmarkStart w:id="126" w:name="_Toc1893"/>
      <w:bookmarkStart w:id="127" w:name="_Toc25412"/>
      <w:bookmarkStart w:id="128" w:name="_Toc30293"/>
      <w:r>
        <w:rPr>
          <w:rFonts w:hint="eastAsia" w:ascii="黑体" w:eastAsia="黑体"/>
          <w:sz w:val="32"/>
          <w:szCs w:val="32"/>
          <w:highlight w:val="none"/>
        </w:rPr>
        <w:t>五、绩效评价指标分析</w:t>
      </w:r>
      <w:bookmarkEnd w:id="126"/>
      <w:bookmarkEnd w:id="127"/>
      <w:bookmarkEnd w:id="128"/>
    </w:p>
    <w:p>
      <w:pPr>
        <w:keepNext w:val="0"/>
        <w:keepLines w:val="0"/>
        <w:pageBreakBefore w:val="0"/>
        <w:widowControl w:val="0"/>
        <w:tabs>
          <w:tab w:val="left" w:pos="3780"/>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《法刊》（审判理论与实践）等印刷费项目绩效评价分级设计项目决策、过程、产出、效益、满意度五个一级指标，一级指标具体得分情况见</w:t>
      </w:r>
      <w:r>
        <w:rPr>
          <w:rFonts w:hint="eastAsia" w:ascii="仿宋_GB2312" w:hAnsi="仿宋_GB2312" w:eastAsia="仿宋_GB2312" w:cs="仿宋_GB2312"/>
          <w:sz w:val="32"/>
          <w:szCs w:val="32"/>
          <w:highlight w:val="none"/>
          <w:lang w:val="en-US" w:eastAsia="zh-CN"/>
        </w:rPr>
        <w:t>下表</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pacing w:before="156" w:beforeLines="50" w:after="156" w:afterLines="50"/>
        <w:jc w:val="left"/>
        <w:rPr>
          <w:rFonts w:hint="eastAsia" w:cs="黑体" w:asciiTheme="minorEastAsia" w:hAnsiTheme="minorEastAsia"/>
          <w:sz w:val="28"/>
          <w:szCs w:val="24"/>
          <w:highlight w:val="none"/>
        </w:rPr>
      </w:pPr>
      <w:r>
        <w:rPr>
          <w:rFonts w:hint="eastAsia" w:asciiTheme="minorEastAsia" w:hAnsiTheme="minorEastAsia" w:eastAsiaTheme="minorEastAsia" w:cstheme="minorEastAsia"/>
          <w:kern w:val="0"/>
          <w:sz w:val="28"/>
          <w:szCs w:val="28"/>
          <w:highlight w:val="none"/>
          <w:lang w:eastAsia="zh-CN"/>
        </w:rPr>
        <w:drawing>
          <wp:inline distT="0" distB="0" distL="114300" distR="114300">
            <wp:extent cx="5287645" cy="2892425"/>
            <wp:effectExtent l="4445" t="4445" r="16510" b="11430"/>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29" w:name="_Toc23689"/>
      <w:bookmarkStart w:id="130" w:name="_Toc23448"/>
      <w:bookmarkStart w:id="131" w:name="_Toc30072"/>
      <w:r>
        <w:rPr>
          <w:rFonts w:hint="eastAsia" w:ascii="楷体" w:hAnsi="楷体" w:eastAsia="楷体" w:cs="楷体"/>
          <w:b/>
          <w:bCs/>
          <w:highlight w:val="none"/>
        </w:rPr>
        <w:t>（一）项目决策情况</w:t>
      </w:r>
      <w:bookmarkEnd w:id="129"/>
      <w:bookmarkEnd w:id="130"/>
      <w:bookmarkEnd w:id="131"/>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项目决策指标包括项目立项、绩效目标、资金投入三个二级指标，项目立项指标包括立项依据充分性、立项程序规范性两个三级指标，绩效目标指标</w:t>
      </w:r>
      <w:r>
        <w:rPr>
          <w:rFonts w:hint="eastAsia" w:ascii="仿宋_GB2312" w:hAnsi="仿宋_GB2312" w:eastAsia="仿宋_GB2312" w:cs="仿宋_GB2312"/>
          <w:sz w:val="32"/>
          <w:szCs w:val="32"/>
          <w:highlight w:val="none"/>
          <w:lang w:val="en-US" w:eastAsia="zh-CN"/>
        </w:rPr>
        <w:t>包括</w:t>
      </w:r>
      <w:r>
        <w:rPr>
          <w:rFonts w:hint="eastAsia" w:ascii="仿宋_GB2312" w:hAnsi="仿宋_GB2312" w:eastAsia="仿宋_GB2312" w:cs="仿宋_GB2312"/>
          <w:sz w:val="32"/>
          <w:szCs w:val="32"/>
          <w:highlight w:val="none"/>
        </w:rPr>
        <w:t>绩效目标合理性</w:t>
      </w:r>
      <w:r>
        <w:rPr>
          <w:rFonts w:hint="eastAsia" w:ascii="仿宋_GB2312" w:hAnsi="仿宋_GB2312" w:eastAsia="仿宋_GB2312" w:cs="仿宋_GB2312"/>
          <w:sz w:val="32"/>
          <w:szCs w:val="32"/>
          <w:highlight w:val="none"/>
          <w:lang w:eastAsia="zh-CN"/>
        </w:rPr>
        <w:t>、绩效指标明确性</w:t>
      </w:r>
      <w:r>
        <w:rPr>
          <w:rFonts w:hint="eastAsia" w:ascii="仿宋_GB2312" w:hAnsi="仿宋_GB2312" w:eastAsia="仿宋_GB2312" w:cs="仿宋_GB2312"/>
          <w:sz w:val="32"/>
          <w:szCs w:val="32"/>
          <w:highlight w:val="none"/>
          <w:lang w:val="en-US" w:eastAsia="zh-CN"/>
        </w:rPr>
        <w:t>两</w:t>
      </w:r>
      <w:r>
        <w:rPr>
          <w:rFonts w:hint="eastAsia" w:ascii="仿宋_GB2312" w:hAnsi="仿宋_GB2312" w:eastAsia="仿宋_GB2312" w:cs="仿宋_GB2312"/>
          <w:sz w:val="32"/>
          <w:szCs w:val="32"/>
          <w:highlight w:val="none"/>
        </w:rPr>
        <w:t>个三级指标，资金投入指标包括预算编制科学性、资金分配合理性两个三级指标。指标分值</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决策指标二级指标得分情况表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37"/>
        <w:gridCol w:w="1805"/>
        <w:gridCol w:w="1601"/>
        <w:gridCol w:w="227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6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项目立项</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4</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绩效目标</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资金投入</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4</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6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bCs/>
                <w:color w:val="000000"/>
                <w:kern w:val="0"/>
                <w:sz w:val="22"/>
                <w:highlight w:val="none"/>
                <w:lang w:eastAsia="zh-CN" w:bidi="ar"/>
              </w:rPr>
            </w:pPr>
            <w:r>
              <w:rPr>
                <w:rFonts w:hint="eastAsia" w:ascii="宋体" w:hAnsi="宋体" w:eastAsia="宋体" w:cs="宋体"/>
                <w:b/>
                <w:bCs/>
                <w:color w:val="000000"/>
                <w:kern w:val="0"/>
                <w:sz w:val="22"/>
                <w:highlight w:val="none"/>
                <w:lang w:bidi="ar"/>
              </w:rPr>
              <w:t>1</w:t>
            </w:r>
            <w:r>
              <w:rPr>
                <w:rFonts w:hint="eastAsia" w:ascii="宋体" w:hAnsi="宋体" w:eastAsia="宋体" w:cs="宋体"/>
                <w:b/>
                <w:bCs/>
                <w:color w:val="000000"/>
                <w:kern w:val="0"/>
                <w:sz w:val="22"/>
                <w:highlight w:val="none"/>
                <w:lang w:val="en-US" w:eastAsia="zh-CN" w:bidi="ar"/>
              </w:rPr>
              <w:t>2</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w:t>
            </w:r>
            <w:r>
              <w:rPr>
                <w:rFonts w:hint="eastAsia" w:ascii="宋体" w:hAnsi="宋体" w:eastAsia="宋体" w:cs="宋体"/>
                <w:b/>
                <w:bCs/>
                <w:color w:val="000000"/>
                <w:kern w:val="0"/>
                <w:sz w:val="22"/>
                <w:highlight w:val="none"/>
                <w:lang w:val="en-US" w:eastAsia="zh-CN" w:bidi="ar"/>
              </w:rPr>
              <w:t>2</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100</w:t>
            </w:r>
            <w:r>
              <w:rPr>
                <w:rFonts w:hint="eastAsia" w:ascii="宋体" w:hAnsi="宋体" w:eastAsia="宋体" w:cs="宋体"/>
                <w:b/>
                <w:bCs/>
                <w:color w:val="000000"/>
                <w:kern w:val="0"/>
                <w:sz w:val="22"/>
                <w:highlight w:val="none"/>
                <w:lang w:bidi="ar"/>
              </w:rPr>
              <w:t>%</w:t>
            </w:r>
          </w:p>
        </w:tc>
      </w:tr>
    </w:tbl>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1.项目立项</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《法刊》（审判理论与实践）等印刷费项目严格按照预算绩效制度管理流程履行了项目立项手续，项目立项依据充分、立项程序规范，立项工作达到预期目标。</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立项依据充分性指标分值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分，评价得分为</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该项</w:t>
      </w:r>
      <w:r>
        <w:rPr>
          <w:rFonts w:hint="eastAsia" w:ascii="仿宋_GB2312" w:hAnsi="仿宋_GB2312" w:eastAsia="仿宋_GB2312" w:cs="仿宋_GB2312"/>
          <w:sz w:val="32"/>
          <w:szCs w:val="32"/>
          <w:highlight w:val="none"/>
        </w:rPr>
        <w:t>资金主要用于《法刊》的各项印刷费用支出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项目根据《最高人民法院关于进一步加强人民法院文化建设的意见》《关于进一步加强人民法院文化建设的意见》等政策依据设立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评价认为，</w:t>
      </w:r>
      <w:r>
        <w:rPr>
          <w:rFonts w:hint="eastAsia" w:ascii="仿宋_GB2312" w:hAnsi="仿宋_GB2312" w:eastAsia="仿宋_GB2312" w:cs="仿宋_GB2312"/>
          <w:sz w:val="32"/>
          <w:szCs w:val="32"/>
          <w:highlight w:val="none"/>
        </w:rPr>
        <w:t>项目立项依据充分，立项符合</w:t>
      </w:r>
      <w:r>
        <w:rPr>
          <w:rFonts w:hint="eastAsia" w:ascii="仿宋_GB2312" w:hAnsi="仿宋_GB2312" w:eastAsia="仿宋_GB2312" w:cs="仿宋_GB2312"/>
          <w:sz w:val="32"/>
          <w:szCs w:val="32"/>
          <w:highlight w:val="none"/>
          <w:lang w:val="en-US" w:eastAsia="zh-CN"/>
        </w:rPr>
        <w:t>相关</w:t>
      </w:r>
      <w:r>
        <w:rPr>
          <w:rFonts w:hint="eastAsia" w:ascii="仿宋_GB2312" w:hAnsi="仿宋_GB2312" w:eastAsia="仿宋_GB2312" w:cs="仿宋_GB2312"/>
          <w:sz w:val="32"/>
          <w:szCs w:val="32"/>
          <w:highlight w:val="none"/>
        </w:rPr>
        <w:t>法规政策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属于专项资金支持范围。</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立项程序规范性指标分值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该项目根据《全省法院系统项目预算资金申报使用管理规程（试行）》（甘高法〔2018〕269号）申报并通过省财政厅、省法院批复设立</w:t>
      </w:r>
      <w:r>
        <w:rPr>
          <w:rFonts w:hint="eastAsia" w:ascii="仿宋_GB2312" w:hAnsi="仿宋_GB2312" w:eastAsia="仿宋_GB2312" w:cs="仿宋_GB2312"/>
          <w:sz w:val="32"/>
          <w:szCs w:val="32"/>
          <w:highlight w:val="none"/>
        </w:rPr>
        <w:t>，项目事前已经过必要的集体决策并按照规定的程序申请设立，审批文件、材料符合相关要求。</w:t>
      </w:r>
      <w:r>
        <w:rPr>
          <w:rFonts w:hint="eastAsia" w:ascii="仿宋_GB2312" w:hAnsi="仿宋_GB2312" w:eastAsia="仿宋_GB2312" w:cs="仿宋_GB2312"/>
          <w:sz w:val="32"/>
          <w:szCs w:val="32"/>
          <w:highlight w:val="none"/>
          <w:lang w:val="en-US" w:eastAsia="zh-CN"/>
        </w:rPr>
        <w:t>评价认为，</w:t>
      </w:r>
      <w:r>
        <w:rPr>
          <w:rFonts w:hint="eastAsia" w:ascii="仿宋_GB2312" w:hAnsi="仿宋_GB2312" w:eastAsia="仿宋_GB2312" w:cs="仿宋_GB2312"/>
          <w:sz w:val="32"/>
          <w:szCs w:val="32"/>
          <w:highlight w:val="none"/>
        </w:rPr>
        <w:t>项目立项程序规范，预算、审批材料齐全。</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）绩效目标合理性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绩效目标合理性指标分值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分，评价得分2分。项目严格按照省财政厅《甘肃省省级预算绩效目标管理办法》要求，科学规范设置了绩效目标和评价指标，年度自评按照年初设定的绩效目标进行评价，自评程序较为规范。</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绩效指标明确性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绩效指标明确性指标分值2分，评价得分2分。</w:t>
      </w:r>
      <w:r>
        <w:rPr>
          <w:rFonts w:hint="default" w:ascii="仿宋_GB2312" w:hAnsi="仿宋_GB2312" w:eastAsia="仿宋_GB2312" w:cs="仿宋_GB2312"/>
          <w:sz w:val="32"/>
          <w:szCs w:val="32"/>
          <w:highlight w:val="none"/>
          <w:lang w:val="en-US" w:eastAsia="zh-CN"/>
        </w:rPr>
        <w:t>经核查</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sz w:val="32"/>
          <w:szCs w:val="32"/>
          <w:highlight w:val="none"/>
          <w:lang w:val="en-US" w:eastAsia="zh-CN"/>
        </w:rPr>
        <w:t>年初制定了</w:t>
      </w:r>
      <w:r>
        <w:rPr>
          <w:rFonts w:hint="default" w:ascii="仿宋_GB2312" w:hAnsi="仿宋_GB2312" w:eastAsia="仿宋_GB2312" w:cs="仿宋_GB2312"/>
          <w:sz w:val="32"/>
          <w:szCs w:val="32"/>
          <w:highlight w:val="none"/>
          <w:lang w:val="en-US" w:eastAsia="zh-CN"/>
        </w:rPr>
        <w:t>《202</w:t>
      </w:r>
      <w:r>
        <w:rPr>
          <w:rFonts w:hint="eastAsia" w:ascii="仿宋_GB2312" w:hAnsi="仿宋_GB2312" w:eastAsia="仿宋_GB2312" w:cs="仿宋_GB2312"/>
          <w:sz w:val="32"/>
          <w:szCs w:val="32"/>
          <w:highlight w:val="none"/>
          <w:lang w:val="en-US" w:eastAsia="zh-CN"/>
        </w:rPr>
        <w:t>2</w:t>
      </w:r>
      <w:r>
        <w:rPr>
          <w:rFonts w:hint="default" w:ascii="仿宋_GB2312" w:hAnsi="仿宋_GB2312" w:eastAsia="仿宋_GB2312" w:cs="仿宋_GB2312"/>
          <w:sz w:val="32"/>
          <w:szCs w:val="32"/>
          <w:highlight w:val="none"/>
          <w:lang w:val="en-US" w:eastAsia="zh-CN"/>
        </w:rPr>
        <w:t>年度省级部门</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法刊</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（审判理论与实践）等印刷费预算项目绩效目标表》，设置的绩效指标能够将项目绩效目标细化分解为具体的绩效指标，指标目标值清晰、可衡量</w:t>
      </w:r>
      <w:r>
        <w:rPr>
          <w:rFonts w:hint="eastAsia" w:ascii="仿宋_GB2312" w:hAnsi="仿宋_GB2312" w:eastAsia="仿宋_GB2312" w:cs="仿宋_GB2312"/>
          <w:sz w:val="32"/>
          <w:szCs w:val="32"/>
          <w:highlight w:val="none"/>
          <w:lang w:val="en-US" w:eastAsia="zh-CN"/>
        </w:rPr>
        <w:t>；与项目年度计划相对应；与预算确定的项目投资额或资金量相匹配。</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项目资金投入方向符合政策规定，按照年度预算合理分配。</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预算编制科学性指标分值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年《法刊》（审判理论与实践）等印刷费项目实施前，</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sz w:val="32"/>
          <w:szCs w:val="32"/>
          <w:highlight w:val="none"/>
        </w:rPr>
        <w:t>严格按照预算管理制度，分析研究并制定项目资金使用计划，项目实施中专项资金严格按照预算执行。评价认为，项目预算编制科学、合理、规范。</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资金分配合理性指标分值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年《法刊》（审判理论与实践）等印刷费项目实际发生额均控制在预算批复</w:t>
      </w:r>
      <w:r>
        <w:rPr>
          <w:rFonts w:hint="eastAsia" w:ascii="仿宋_GB2312" w:hAnsi="仿宋_GB2312" w:eastAsia="仿宋_GB2312" w:cs="仿宋_GB2312"/>
          <w:sz w:val="32"/>
          <w:szCs w:val="32"/>
          <w:highlight w:val="none"/>
          <w:lang w:val="en-US" w:eastAsia="zh-CN"/>
        </w:rPr>
        <w:t>30.00</w:t>
      </w:r>
      <w:r>
        <w:rPr>
          <w:rFonts w:hint="eastAsia" w:ascii="仿宋_GB2312" w:hAnsi="仿宋_GB2312" w:eastAsia="仿宋_GB2312" w:cs="仿宋_GB2312"/>
          <w:sz w:val="32"/>
          <w:szCs w:val="32"/>
          <w:highlight w:val="none"/>
        </w:rPr>
        <w:t>万元以内。项目支出均符合项目预算批复或项目规定的用途，不存在无依据支出和虚列支出等情况。评价认为，项目资金分配合理。</w:t>
      </w:r>
    </w:p>
    <w:p>
      <w:pPr>
        <w:pStyle w:val="2"/>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textAlignment w:val="auto"/>
        <w:outlineLvl w:val="1"/>
        <w:rPr>
          <w:rFonts w:ascii="楷体" w:hAnsi="楷体" w:eastAsia="楷体" w:cs="楷体"/>
          <w:b/>
          <w:bCs/>
          <w:highlight w:val="none"/>
        </w:rPr>
      </w:pPr>
      <w:bookmarkStart w:id="132" w:name="_Toc11435"/>
      <w:bookmarkStart w:id="133" w:name="_Toc22593"/>
      <w:bookmarkStart w:id="134" w:name="_Toc5353"/>
      <w:r>
        <w:rPr>
          <w:rFonts w:hint="eastAsia" w:ascii="楷体" w:hAnsi="楷体" w:eastAsia="楷体" w:cs="楷体"/>
          <w:b/>
          <w:bCs/>
          <w:highlight w:val="none"/>
        </w:rPr>
        <w:t>（二）项目过程情况</w:t>
      </w:r>
      <w:bookmarkEnd w:id="132"/>
      <w:bookmarkEnd w:id="133"/>
      <w:bookmarkEnd w:id="134"/>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left="0" w:firstLine="640" w:firstLineChars="200"/>
        <w:jc w:val="center"/>
        <w:textAlignment w:val="auto"/>
        <w:rPr>
          <w:rFonts w:hint="eastAsia" w:cs="黑体" w:asciiTheme="minorEastAsia" w:hAnsiTheme="minorEastAsia" w:eastAsiaTheme="minorEastAsia"/>
          <w:bCs/>
          <w:kern w:val="2"/>
          <w:sz w:val="28"/>
          <w:szCs w:val="24"/>
          <w:highlight w:val="none"/>
          <w:lang w:val="en-US" w:eastAsia="zh-CN" w:bidi="ar-SA"/>
        </w:rPr>
      </w:pPr>
      <w:r>
        <w:rPr>
          <w:rFonts w:hint="eastAsia" w:ascii="仿宋_GB2312" w:hAnsi="仿宋_GB2312" w:eastAsia="仿宋_GB2312" w:cs="仿宋_GB2312"/>
          <w:sz w:val="32"/>
          <w:szCs w:val="32"/>
          <w:highlight w:val="none"/>
        </w:rPr>
        <w:t>项目过程指标包括资金管理、组织实施两个二级指标。资金管理指标包括资金到位率、预算执行率、资金使用合规性三个三级指标，组织实施指标包括管理制度健全性、制度执行有效性</w:t>
      </w:r>
      <w:r>
        <w:rPr>
          <w:rFonts w:hint="eastAsia" w:ascii="仿宋_GB2312" w:hAnsi="仿宋_GB2312" w:cs="仿宋_GB2312"/>
          <w:sz w:val="32"/>
          <w:szCs w:val="32"/>
          <w:highlight w:val="none"/>
          <w:lang w:eastAsia="zh-CN"/>
        </w:rPr>
        <w:t>、采购管理规范性、合同管理完备性</w:t>
      </w:r>
      <w:r>
        <w:rPr>
          <w:rFonts w:hint="eastAsia" w:ascii="仿宋_GB2312" w:hAnsi="仿宋_GB2312" w:cs="仿宋_GB2312"/>
          <w:sz w:val="32"/>
          <w:szCs w:val="32"/>
          <w:highlight w:val="none"/>
          <w:lang w:val="en-US" w:eastAsia="zh-CN"/>
        </w:rPr>
        <w:t>四</w:t>
      </w:r>
      <w:r>
        <w:rPr>
          <w:rFonts w:hint="eastAsia" w:ascii="仿宋_GB2312" w:hAnsi="仿宋_GB2312" w:eastAsia="仿宋_GB2312" w:cs="仿宋_GB2312"/>
          <w:sz w:val="32"/>
          <w:szCs w:val="32"/>
          <w:highlight w:val="none"/>
        </w:rPr>
        <w:t>个三级指标。指标分值</w:t>
      </w:r>
      <w:r>
        <w:rPr>
          <w:rFonts w:hint="eastAsia" w:ascii="仿宋_GB2312" w:hAnsi="仿宋_GB2312" w:cs="仿宋_GB2312"/>
          <w:sz w:val="32"/>
          <w:szCs w:val="32"/>
          <w:highlight w:val="none"/>
          <w:lang w:val="en-US" w:eastAsia="zh-CN"/>
        </w:rPr>
        <w:t>18</w:t>
      </w:r>
      <w:r>
        <w:rPr>
          <w:rFonts w:hint="eastAsia" w:ascii="仿宋_GB2312" w:hAnsi="仿宋_GB2312" w:eastAsia="仿宋_GB2312" w:cs="仿宋_GB2312"/>
          <w:sz w:val="32"/>
          <w:szCs w:val="32"/>
          <w:highlight w:val="none"/>
        </w:rPr>
        <w:t>分，评价得分</w:t>
      </w:r>
      <w:r>
        <w:rPr>
          <w:rFonts w:hint="eastAsia" w:ascii="仿宋_GB2312" w:hAnsi="仿宋_GB2312" w:cs="仿宋_GB2312"/>
          <w:sz w:val="32"/>
          <w:szCs w:val="32"/>
          <w:highlight w:val="none"/>
          <w:lang w:val="en-US" w:eastAsia="zh-CN"/>
        </w:rPr>
        <w:t>15.92</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88.44</w:t>
      </w:r>
      <w:r>
        <w:rPr>
          <w:rFonts w:hint="eastAsia" w:ascii="仿宋_GB2312" w:hAnsi="仿宋_GB2312" w:eastAsia="仿宋_GB2312" w:cs="仿宋_GB2312"/>
          <w:sz w:val="32"/>
          <w:szCs w:val="32"/>
          <w:highlight w:val="none"/>
        </w:rPr>
        <w:t>%。</w:t>
      </w:r>
      <w:r>
        <w:rPr>
          <w:rFonts w:hint="eastAsia" w:cs="黑体" w:asciiTheme="minorEastAsia" w:hAnsiTheme="minorEastAsia" w:eastAsiaTheme="minorEastAsia"/>
          <w:bCs/>
          <w:kern w:val="2"/>
          <w:sz w:val="28"/>
          <w:szCs w:val="24"/>
          <w:highlight w:val="none"/>
          <w:lang w:val="en-US" w:eastAsia="zh-CN" w:bidi="ar-SA"/>
        </w:rPr>
        <w:t>过程指标二级指标得分情况表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37"/>
        <w:gridCol w:w="1805"/>
        <w:gridCol w:w="1601"/>
        <w:gridCol w:w="227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6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资金管理</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8.6</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86.00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组织实施</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8</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7.32</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91.50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6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18</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15.92</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88.44</w:t>
            </w:r>
            <w:r>
              <w:rPr>
                <w:rFonts w:hint="eastAsia" w:ascii="宋体" w:hAnsi="宋体" w:eastAsia="宋体" w:cs="宋体"/>
                <w:b/>
                <w:bCs/>
                <w:color w:val="000000"/>
                <w:kern w:val="0"/>
                <w:sz w:val="22"/>
                <w:highlight w:val="none"/>
                <w:lang w:bidi="ar"/>
              </w:rPr>
              <w:t>%</w:t>
            </w:r>
          </w:p>
        </w:tc>
      </w:tr>
    </w:tbl>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1.资金管理</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资金到位率指标分值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分。《法刊》（审判理论与实践）等印刷费项目</w:t>
      </w:r>
      <w:r>
        <w:rPr>
          <w:rFonts w:hint="eastAsia" w:ascii="仿宋_GB2312" w:hAnsi="仿宋_GB2312" w:eastAsia="仿宋_GB2312" w:cs="仿宋_GB2312"/>
          <w:sz w:val="32"/>
          <w:szCs w:val="32"/>
          <w:highlight w:val="none"/>
          <w:lang w:val="en-US" w:eastAsia="zh-CN"/>
        </w:rPr>
        <w:t>资金随2022年部门预算批复一同下达，项目</w:t>
      </w:r>
      <w:r>
        <w:rPr>
          <w:rFonts w:hint="eastAsia" w:ascii="仿宋_GB2312" w:hAnsi="仿宋_GB2312" w:eastAsia="仿宋_GB2312" w:cs="仿宋_GB2312"/>
          <w:sz w:val="32"/>
          <w:szCs w:val="32"/>
          <w:highlight w:val="none"/>
        </w:rPr>
        <w:t>资金及时足额到位，到位率100%。</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预算执行率指标分值</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2.6</w:t>
      </w:r>
      <w:r>
        <w:rPr>
          <w:rFonts w:hint="eastAsia" w:ascii="仿宋_GB2312" w:hAnsi="仿宋_GB2312" w:eastAsia="仿宋_GB2312" w:cs="仿宋_GB2312"/>
          <w:sz w:val="32"/>
          <w:szCs w:val="32"/>
          <w:highlight w:val="none"/>
        </w:rPr>
        <w:t>分。《法刊》（审判理论与实践）等印刷费项目全年预算数</w:t>
      </w:r>
      <w:r>
        <w:rPr>
          <w:rFonts w:hint="eastAsia" w:ascii="仿宋_GB2312" w:hAnsi="仿宋_GB2312" w:eastAsia="仿宋_GB2312" w:cs="仿宋_GB2312"/>
          <w:sz w:val="32"/>
          <w:szCs w:val="32"/>
          <w:highlight w:val="none"/>
          <w:lang w:val="en-US" w:eastAsia="zh-CN"/>
        </w:rPr>
        <w:t>30.00</w:t>
      </w:r>
      <w:r>
        <w:rPr>
          <w:rFonts w:hint="eastAsia" w:ascii="仿宋_GB2312" w:hAnsi="仿宋_GB2312" w:eastAsia="仿宋_GB2312" w:cs="仿宋_GB2312"/>
          <w:sz w:val="32"/>
          <w:szCs w:val="32"/>
          <w:highlight w:val="none"/>
        </w:rPr>
        <w:t>万元，全年执行数</w:t>
      </w:r>
      <w:r>
        <w:rPr>
          <w:rFonts w:hint="eastAsia" w:ascii="仿宋_GB2312" w:hAnsi="仿宋_GB2312" w:eastAsia="仿宋_GB2312" w:cs="仿宋_GB2312"/>
          <w:sz w:val="32"/>
          <w:szCs w:val="32"/>
          <w:highlight w:val="none"/>
          <w:lang w:val="en-US" w:eastAsia="zh-CN"/>
        </w:rPr>
        <w:t>19.50</w:t>
      </w:r>
      <w:r>
        <w:rPr>
          <w:rFonts w:hint="eastAsia" w:ascii="仿宋_GB2312" w:hAnsi="仿宋_GB2312" w:eastAsia="仿宋_GB2312" w:cs="仿宋_GB2312"/>
          <w:sz w:val="32"/>
          <w:szCs w:val="32"/>
          <w:highlight w:val="none"/>
        </w:rPr>
        <w:t>万元，项目经费结余</w:t>
      </w:r>
      <w:r>
        <w:rPr>
          <w:rFonts w:hint="eastAsia" w:ascii="仿宋_GB2312" w:hAnsi="仿宋_GB2312" w:eastAsia="仿宋_GB2312" w:cs="仿宋_GB2312"/>
          <w:sz w:val="32"/>
          <w:szCs w:val="32"/>
          <w:highlight w:val="none"/>
          <w:lang w:val="en-US" w:eastAsia="zh-CN"/>
        </w:rPr>
        <w:t>10.50</w:t>
      </w:r>
      <w:r>
        <w:rPr>
          <w:rFonts w:hint="eastAsia" w:ascii="仿宋_GB2312" w:hAnsi="仿宋_GB2312" w:eastAsia="仿宋_GB2312" w:cs="仿宋_GB2312"/>
          <w:sz w:val="32"/>
          <w:szCs w:val="32"/>
          <w:highlight w:val="none"/>
        </w:rPr>
        <w:t>万元，预算执行率</w:t>
      </w:r>
      <w:r>
        <w:rPr>
          <w:rFonts w:hint="eastAsia" w:ascii="仿宋_GB2312" w:hAnsi="仿宋_GB2312" w:eastAsia="仿宋_GB2312" w:cs="仿宋_GB2312"/>
          <w:sz w:val="32"/>
          <w:szCs w:val="32"/>
          <w:highlight w:val="none"/>
          <w:lang w:val="en-US" w:eastAsia="zh-CN"/>
        </w:rPr>
        <w:t>65</w:t>
      </w:r>
      <w:r>
        <w:rPr>
          <w:rFonts w:hint="eastAsia" w:ascii="仿宋_GB2312" w:hAnsi="仿宋_GB2312" w:eastAsia="仿宋_GB2312" w:cs="仿宋_GB2312"/>
          <w:sz w:val="32"/>
          <w:szCs w:val="32"/>
          <w:highlight w:val="none"/>
        </w:rPr>
        <w:t>%。</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资金使用合规性指标分值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分。评价认为资金的使用符合国家财经法规和财务管理制度以及</w:t>
      </w:r>
      <w:r>
        <w:rPr>
          <w:rFonts w:hint="eastAsia" w:ascii="仿宋_GB2312" w:hAnsi="仿宋_GB2312" w:eastAsia="仿宋_GB2312" w:cs="仿宋_GB2312"/>
          <w:sz w:val="32"/>
          <w:szCs w:val="32"/>
          <w:highlight w:val="none"/>
          <w:lang w:val="en-US" w:eastAsia="zh-CN"/>
        </w:rPr>
        <w:t>《甘肃省高级人民法院机关财务经费管理规定》</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val="en-US" w:eastAsia="zh-CN"/>
        </w:rPr>
        <w:t>制度</w:t>
      </w:r>
      <w:r>
        <w:rPr>
          <w:rFonts w:hint="eastAsia" w:ascii="仿宋_GB2312" w:hAnsi="仿宋_GB2312" w:eastAsia="仿宋_GB2312" w:cs="仿宋_GB2312"/>
          <w:sz w:val="32"/>
          <w:szCs w:val="32"/>
          <w:highlight w:val="none"/>
        </w:rPr>
        <w:t>要求，资金支出的审批程序完整，符合会计制度的规定，财务信息真实、完整，资金支出、会计核算方面</w:t>
      </w:r>
      <w:r>
        <w:rPr>
          <w:rFonts w:hint="eastAsia" w:ascii="仿宋_GB2312" w:hAnsi="仿宋_GB2312" w:eastAsia="仿宋_GB2312" w:cs="仿宋_GB2312"/>
          <w:sz w:val="32"/>
          <w:szCs w:val="32"/>
          <w:highlight w:val="none"/>
          <w:lang w:val="en-US" w:eastAsia="zh-CN"/>
        </w:rPr>
        <w:t>基本</w:t>
      </w:r>
      <w:r>
        <w:rPr>
          <w:rFonts w:hint="eastAsia" w:ascii="仿宋_GB2312" w:hAnsi="仿宋_GB2312" w:eastAsia="仿宋_GB2312" w:cs="仿宋_GB2312"/>
          <w:sz w:val="32"/>
          <w:szCs w:val="32"/>
          <w:highlight w:val="none"/>
        </w:rPr>
        <w:t>规范，年度例行审计未发现违规支付及超标准开支的情况。符合项目预算批复或项目规定的用途，不存在虚列支出情况。</w:t>
      </w:r>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2.组织实施</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管理制度健全性指标分值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分。为加强和规范省级预算</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经费管理，提高项目工作质量和资金效益</w:t>
      </w:r>
      <w:r>
        <w:rPr>
          <w:rFonts w:hint="eastAsia" w:ascii="仿宋_GB2312" w:hAnsi="仿宋_GB2312" w:eastAsia="仿宋_GB2312" w:cs="仿宋_GB2312"/>
          <w:sz w:val="32"/>
          <w:szCs w:val="32"/>
          <w:highlight w:val="none"/>
          <w:lang w:eastAsia="zh-CN"/>
        </w:rPr>
        <w:t>，《甘肃省法院系统财物统管制度汇编》对于法院系统内各项工作的实施提供了强有力的政策制度支撑。</w:t>
      </w: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制定了适用于本项目的财务管理制度及业务管理制度，且符合相关财务及业务制度的规定，制度健全。</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制度执行有效性指标分值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1.32</w:t>
      </w:r>
      <w:r>
        <w:rPr>
          <w:rFonts w:hint="eastAsia" w:ascii="仿宋_GB2312" w:hAnsi="仿宋_GB2312" w:eastAsia="仿宋_GB2312" w:cs="仿宋_GB2312"/>
          <w:sz w:val="32"/>
          <w:szCs w:val="32"/>
          <w:highlight w:val="none"/>
        </w:rPr>
        <w:t>分。项目实施过程中，能够严格按照制度管理进行资金申请和下达、使用、监督，本次评价认为，制度执行总体有效。经查验</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相关合同协议、会计凭证等资料，</w:t>
      </w:r>
      <w:r>
        <w:rPr>
          <w:rFonts w:hint="eastAsia" w:ascii="仿宋_GB2312" w:hAnsi="仿宋_GB2312" w:eastAsia="仿宋_GB2312" w:cs="仿宋_GB2312"/>
          <w:sz w:val="32"/>
          <w:szCs w:val="32"/>
          <w:highlight w:val="none"/>
          <w:lang w:val="en-US" w:eastAsia="zh-CN"/>
        </w:rPr>
        <w:t>每期《法刊》印刷后，每期《法刊》印刷后，未留存纸质验收单，且每期《法刊》邮寄后，未提供邮寄明细单，履约验收程序有待进一步规范，扣分0.68分</w:t>
      </w:r>
      <w:r>
        <w:rPr>
          <w:rFonts w:hint="eastAsia" w:ascii="仿宋_GB2312" w:hAnsi="仿宋_GB2312" w:eastAsia="仿宋_GB2312" w:cs="仿宋_GB2312"/>
          <w:sz w:val="32"/>
          <w:szCs w:val="32"/>
          <w:highlight w:val="none"/>
        </w:rPr>
        <w:t>。</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）采购管理规范性</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采购管理规范性指标分值2分，评价得分2分。经核查采购合同、采购工作会议记录等资料，</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sz w:val="32"/>
          <w:szCs w:val="32"/>
          <w:highlight w:val="none"/>
          <w:lang w:val="en-US" w:eastAsia="zh-CN"/>
        </w:rPr>
        <w:t>采购方式基本符合甘肃省财政厅、甘肃省高级人民法院、甘肃省人民检察院《关于甘肃省省以下地方法院检察院政府采购活动有关事项的通知》（甘财采〔2018〕12号）的要求。2022年1月20日，《关于申请变更〈甘肃法院〉邮寄公司的报告》通过批复，由中国邮政集团公司担任邮寄业务。2022年4月11日，《关于申请变更〈甘肃法院〉印刷公司的报告》通过批复，确定了兰州银声印务有限公司为供应商，采购管理规范。</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（4）合同管理完备性</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合同管理完备性指标分值2分，评价得分2分。经查验印刷合同和邮寄合同，合同中有明确、清晰、完整的质量标准、付款方式和履约期限，且印刷、邮寄任务严格按照合同执行。</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hint="eastAsia" w:ascii="仿宋_GB2312" w:hAnsi="仿宋_GB2312" w:eastAsia="仿宋_GB2312" w:cs="仿宋_GB2312"/>
          <w:b/>
          <w:bCs/>
          <w:highlight w:val="none"/>
        </w:rPr>
      </w:pPr>
      <w:bookmarkStart w:id="135" w:name="_Toc3677"/>
      <w:bookmarkStart w:id="136" w:name="_Toc20113"/>
      <w:bookmarkStart w:id="137" w:name="_Toc25503"/>
      <w:r>
        <w:rPr>
          <w:rFonts w:hint="eastAsia" w:ascii="仿宋_GB2312" w:hAnsi="仿宋_GB2312" w:eastAsia="仿宋_GB2312" w:cs="仿宋_GB2312"/>
          <w:b/>
          <w:bCs/>
          <w:highlight w:val="none"/>
        </w:rPr>
        <w:t>（三）项目产出情况</w:t>
      </w:r>
      <w:bookmarkEnd w:id="135"/>
      <w:bookmarkEnd w:id="136"/>
      <w:bookmarkEnd w:id="137"/>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项目产出指标包括</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数量、</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质量、</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时效、</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成本四个二级指标，指标分值</w:t>
      </w:r>
      <w:r>
        <w:rPr>
          <w:rFonts w:hint="eastAsia" w:ascii="仿宋_GB2312" w:hAnsi="仿宋_GB2312" w:eastAsia="仿宋_GB2312" w:cs="仿宋_GB2312"/>
          <w:sz w:val="32"/>
          <w:szCs w:val="32"/>
          <w:highlight w:val="none"/>
          <w:lang w:val="en-US" w:eastAsia="zh-CN"/>
        </w:rPr>
        <w:t>40分</w:t>
      </w:r>
      <w:r>
        <w:rPr>
          <w:rFonts w:hint="eastAsia" w:ascii="仿宋_GB2312" w:hAnsi="仿宋_GB2312" w:eastAsia="仿宋_GB2312" w:cs="仿宋_GB2312"/>
          <w:sz w:val="32"/>
          <w:szCs w:val="32"/>
          <w:highlight w:val="none"/>
        </w:rPr>
        <w:t>，评价得分</w:t>
      </w:r>
      <w:r>
        <w:rPr>
          <w:rFonts w:hint="eastAsia" w:ascii="仿宋_GB2312" w:hAnsi="仿宋_GB2312" w:eastAsia="仿宋_GB2312" w:cs="仿宋_GB2312"/>
          <w:sz w:val="32"/>
          <w:szCs w:val="32"/>
          <w:highlight w:val="none"/>
          <w:lang w:val="en-US" w:eastAsia="zh-CN"/>
        </w:rPr>
        <w:t>39.49</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98.73</w:t>
      </w:r>
      <w:r>
        <w:rPr>
          <w:rFonts w:hint="eastAsia" w:ascii="仿宋_GB2312" w:hAnsi="仿宋_GB2312" w:eastAsia="仿宋_GB2312" w:cs="仿宋_GB2312"/>
          <w:sz w:val="32"/>
          <w:szCs w:val="32"/>
          <w:highlight w:val="none"/>
        </w:rPr>
        <w:t>%。</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产出指标二级指标得分情况表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37"/>
        <w:gridCol w:w="1805"/>
        <w:gridCol w:w="1601"/>
        <w:gridCol w:w="227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6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highlight w:val="none"/>
              </w:rPr>
            </w:pPr>
            <w:r>
              <w:rPr>
                <w:rFonts w:hint="eastAsia" w:ascii="宋体" w:hAnsi="宋体" w:eastAsia="宋体" w:cs="宋体"/>
                <w:bCs/>
                <w:color w:val="000000"/>
                <w:kern w:val="0"/>
                <w:sz w:val="22"/>
                <w:highlight w:val="none"/>
                <w:lang w:bidi="ar"/>
              </w:rPr>
              <w:t>数量指标</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20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19.49</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97.45</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质量指标</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时效指标</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5</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5</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w:t>
            </w:r>
            <w:r>
              <w:rPr>
                <w:rFonts w:hint="eastAsia" w:ascii="宋体" w:hAnsi="宋体" w:eastAsia="宋体" w:cs="宋体"/>
                <w:bCs/>
                <w:color w:val="000000"/>
                <w:kern w:val="0"/>
                <w:sz w:val="22"/>
                <w:highlight w:val="none"/>
                <w:lang w:bidi="ar"/>
              </w:rPr>
              <w:t>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成本指标</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5</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5</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6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40</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39.49</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98.73</w:t>
            </w:r>
            <w:r>
              <w:rPr>
                <w:rFonts w:hint="eastAsia" w:ascii="宋体" w:hAnsi="宋体" w:eastAsia="宋体" w:cs="宋体"/>
                <w:b/>
                <w:bCs/>
                <w:color w:val="000000"/>
                <w:kern w:val="0"/>
                <w:sz w:val="22"/>
                <w:highlight w:val="none"/>
                <w:lang w:bidi="ar"/>
              </w:rPr>
              <w:t>%</w:t>
            </w:r>
          </w:p>
        </w:tc>
      </w:tr>
    </w:tbl>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1.数量指标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法刊发放人数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指标分值5分，评价得分4.83分</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法刊为双月刊，每月印刷并发放7520册，2022年全年共发放43500册，未达到年度计划目标。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法刊印刷份数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指标分值5分，评价得分4.83分。法刊为双月刊，全年共发布6期，每月印刷并发放7520册，2022年全年共印刷43500份，未达到年度计划目标。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法刊印刷期数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指标分值5分，评价得分5分。法刊为双月刊，全年共发刊6期。</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赠阅量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5分，评价得分4.83分。《法刊》对于指导全省法院审判业务和加强队伍建设、文化建设起到了重要作用，已成为全省法院系统和在甘全国人大代表、省人大代表，省、市、县四大班子主要领导和政法委书记相互学习借鉴、共同进步提高的重要传输载体，2022年全年共赠阅《法刊》43500份。</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2.质量指标</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bookmarkStart w:id="138" w:name="_Toc7509"/>
      <w:bookmarkStart w:id="139" w:name="_Toc27458"/>
      <w:r>
        <w:rPr>
          <w:rFonts w:hint="eastAsia" w:ascii="仿宋_GB2312" w:hAnsi="仿宋_GB2312" w:eastAsia="仿宋_GB2312" w:cs="仿宋_GB2312"/>
          <w:color w:val="000000" w:themeColor="text1"/>
          <w:sz w:val="32"/>
          <w:szCs w:val="32"/>
          <w:highlight w:val="none"/>
          <w14:textFill>
            <w14:solidFill>
              <w14:schemeClr w14:val="tx1"/>
            </w14:solidFill>
          </w14:textFill>
        </w:rPr>
        <w:t>印刷法刊内容准确率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指标分值5分，评价得分5分。本年度印刷《法刊》内容准确无误，印刷法刊内容准确率100%。</w:t>
      </w:r>
    </w:p>
    <w:p>
      <w:pPr>
        <w:pStyle w:val="10"/>
        <w:keepNext w:val="0"/>
        <w:keepLines w:val="0"/>
        <w:pageBreakBefore w:val="0"/>
        <w:widowControl w:val="0"/>
        <w:kinsoku/>
        <w:wordWrap/>
        <w:overflowPunct w:val="0"/>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印刷质量一次验收合格率指标分值5分，评价得分5分。本年度</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《法刊》</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印刷质量符合验收标准，一次验收合格率达到100%。</w:t>
      </w:r>
    </w:p>
    <w:bookmarkEnd w:id="138"/>
    <w:bookmarkEnd w:id="139"/>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3.时效指标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印刷法刊及时性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指标分值5分，评价得分5分。2022年度</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在计划时限内印刷《法刊》，完成年度目标。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4.成本指标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成本控制情况</w:t>
      </w:r>
      <w:r>
        <w:rPr>
          <w:rFonts w:hint="eastAsia" w:ascii="仿宋_GB2312" w:hAnsi="仿宋_GB2312" w:eastAsia="仿宋_GB2312" w:cs="仿宋_GB2312"/>
          <w:sz w:val="32"/>
          <w:szCs w:val="32"/>
          <w:highlight w:val="none"/>
          <w:lang w:val="en-US" w:eastAsia="zh-CN"/>
        </w:rPr>
        <w:t>指标</w:t>
      </w:r>
      <w:r>
        <w:rPr>
          <w:rFonts w:hint="eastAsia" w:ascii="仿宋_GB2312" w:hAnsi="仿宋_GB2312" w:eastAsia="仿宋_GB2312" w:cs="仿宋_GB2312"/>
          <w:sz w:val="32"/>
          <w:szCs w:val="32"/>
          <w:highlight w:val="none"/>
        </w:rPr>
        <w:t>分值</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sz w:val="32"/>
          <w:szCs w:val="32"/>
          <w:highlight w:val="none"/>
        </w:rPr>
        <w:t>积极响应国家相关政策，坚持节约资金的原则，严格控制项目预算金额，在提高服务质量水平的同时，降低成本开支，该项目开支均未超出预算。《法刊》（审判理论与实践）等印刷费项目成本控制在</w:t>
      </w:r>
      <w:r>
        <w:rPr>
          <w:rFonts w:hint="eastAsia" w:ascii="仿宋_GB2312" w:hAnsi="仿宋_GB2312" w:eastAsia="仿宋_GB2312" w:cs="仿宋_GB2312"/>
          <w:sz w:val="32"/>
          <w:szCs w:val="32"/>
          <w:highlight w:val="none"/>
          <w:lang w:val="en-US" w:eastAsia="zh-CN"/>
        </w:rPr>
        <w:t>30.00</w:t>
      </w:r>
      <w:r>
        <w:rPr>
          <w:rFonts w:hint="eastAsia" w:ascii="仿宋_GB2312" w:hAnsi="仿宋_GB2312" w:eastAsia="仿宋_GB2312" w:cs="仿宋_GB2312"/>
          <w:sz w:val="32"/>
          <w:szCs w:val="32"/>
          <w:highlight w:val="none"/>
        </w:rPr>
        <w:t>万元以内，</w:t>
      </w:r>
      <w:r>
        <w:rPr>
          <w:rFonts w:hint="eastAsia" w:ascii="仿宋_GB2312" w:hAnsi="仿宋_GB2312" w:eastAsia="仿宋_GB2312" w:cs="仿宋_GB2312"/>
          <w:sz w:val="32"/>
          <w:szCs w:val="32"/>
          <w:highlight w:val="none"/>
          <w:lang w:val="en-US" w:eastAsia="zh-CN"/>
        </w:rPr>
        <w:t>未超预算。</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40" w:name="_Toc18087"/>
      <w:bookmarkStart w:id="141" w:name="_Toc4582"/>
      <w:bookmarkStart w:id="142" w:name="_Toc19675"/>
      <w:r>
        <w:rPr>
          <w:rFonts w:hint="eastAsia" w:ascii="楷体" w:hAnsi="楷体" w:eastAsia="楷体" w:cs="楷体"/>
          <w:b/>
          <w:bCs/>
          <w:highlight w:val="none"/>
        </w:rPr>
        <w:t>（四）项目效益情况</w:t>
      </w:r>
      <w:bookmarkEnd w:id="140"/>
      <w:bookmarkEnd w:id="141"/>
      <w:bookmarkEnd w:id="142"/>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项目效益指标包括社会效益</w:t>
      </w:r>
      <w:r>
        <w:rPr>
          <w:rFonts w:hint="eastAsia" w:ascii="仿宋_GB2312" w:hAnsi="仿宋_GB2312" w:cs="仿宋_GB2312"/>
          <w:highlight w:val="none"/>
          <w:lang w:val="en-US" w:eastAsia="zh-CN"/>
        </w:rPr>
        <w:t>指标</w:t>
      </w:r>
      <w:r>
        <w:rPr>
          <w:rFonts w:hint="eastAsia" w:ascii="仿宋_GB2312" w:hAnsi="仿宋_GB2312" w:eastAsia="仿宋_GB2312" w:cs="仿宋_GB2312"/>
          <w:highlight w:val="none"/>
        </w:rPr>
        <w:t>、可持续影响</w:t>
      </w:r>
      <w:r>
        <w:rPr>
          <w:rFonts w:hint="eastAsia" w:ascii="仿宋_GB2312" w:hAnsi="仿宋_GB2312" w:cs="仿宋_GB2312"/>
          <w:highlight w:val="none"/>
          <w:lang w:val="en-US" w:eastAsia="zh-CN"/>
        </w:rPr>
        <w:t>指标</w:t>
      </w:r>
      <w:r>
        <w:rPr>
          <w:rFonts w:hint="eastAsia" w:ascii="仿宋_GB2312" w:hAnsi="仿宋_GB2312" w:eastAsia="仿宋_GB2312" w:cs="仿宋_GB2312"/>
          <w:highlight w:val="none"/>
        </w:rPr>
        <w:t>两个二级指标，</w:t>
      </w:r>
      <w:r>
        <w:rPr>
          <w:rFonts w:hint="eastAsia" w:ascii="仿宋_GB2312" w:hAnsi="仿宋_GB2312" w:cs="仿宋_GB2312"/>
          <w:highlight w:val="none"/>
          <w:lang w:val="en-US" w:eastAsia="zh-CN"/>
        </w:rPr>
        <w:t>下设四个三级指标，</w:t>
      </w:r>
      <w:r>
        <w:rPr>
          <w:rFonts w:hint="eastAsia" w:ascii="仿宋_GB2312" w:hAnsi="仿宋_GB2312" w:eastAsia="仿宋_GB2312" w:cs="仿宋_GB2312"/>
          <w:highlight w:val="none"/>
        </w:rPr>
        <w:t>指标分值20分，评价得分20分，得分率100%。</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效益指标二级指标得分情况表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37"/>
        <w:gridCol w:w="1805"/>
        <w:gridCol w:w="1601"/>
        <w:gridCol w:w="227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6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highlight w:val="none"/>
              </w:rPr>
            </w:pPr>
            <w:r>
              <w:rPr>
                <w:rFonts w:hint="eastAsia" w:ascii="宋体" w:hAnsi="宋体" w:eastAsia="宋体" w:cs="宋体"/>
                <w:bCs/>
                <w:color w:val="000000"/>
                <w:kern w:val="0"/>
                <w:sz w:val="22"/>
                <w:highlight w:val="none"/>
                <w:lang w:bidi="ar"/>
              </w:rPr>
              <w:t>社会效益指标</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可持续影响指标</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6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20</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20</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100%</w:t>
            </w:r>
          </w:p>
        </w:tc>
      </w:tr>
    </w:tbl>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1.社会效益指标</w:t>
      </w:r>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cs="仿宋_GB2312"/>
          <w:highlight w:val="none"/>
          <w:lang w:eastAsia="zh-CN"/>
        </w:rPr>
      </w:pPr>
      <w:r>
        <w:rPr>
          <w:rFonts w:hint="eastAsia" w:ascii="仿宋_GB2312" w:hAnsi="仿宋_GB2312" w:eastAsia="仿宋_GB2312" w:cs="仿宋_GB2312"/>
          <w:highlight w:val="none"/>
        </w:rPr>
        <w:t>法院工作宣传有效性</w:t>
      </w:r>
      <w:r>
        <w:rPr>
          <w:rFonts w:hint="eastAsia" w:ascii="仿宋_GB2312" w:hAnsi="仿宋_GB2312" w:cs="仿宋_GB2312"/>
          <w:highlight w:val="none"/>
          <w:lang w:val="en-US" w:eastAsia="zh-CN"/>
        </w:rPr>
        <w:t>指标分值5分，评价得分5分。</w:t>
      </w:r>
      <w:r>
        <w:rPr>
          <w:rFonts w:hint="eastAsia" w:ascii="仿宋_GB2312" w:hAnsi="仿宋_GB2312" w:eastAsia="仿宋_GB2312" w:cs="仿宋_GB2312"/>
          <w:highlight w:val="none"/>
        </w:rPr>
        <w:t>《法刊》内容紧贴人民法院工作实际，充分展现了各级人民法院总结审判实践经验、开展重大问题研究的智慧成果，以及各级人民法院司法为民、公正司法的生动实践和广大干警忠诚担当、拼搏奉献的精神风貌，进一步拓宽了法治文化建设的宣传方式，法院审判执行工作得到了有效宣传</w:t>
      </w:r>
      <w:r>
        <w:rPr>
          <w:rFonts w:hint="eastAsia" w:ascii="仿宋_GB2312" w:hAnsi="仿宋_GB2312" w:cs="仿宋_GB2312"/>
          <w:highlight w:val="none"/>
          <w:lang w:eastAsia="zh-CN"/>
        </w:rPr>
        <w:t>。</w:t>
      </w:r>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val="en-US" w:eastAsia="zh-CN"/>
        </w:rPr>
      </w:pPr>
      <w:r>
        <w:rPr>
          <w:rFonts w:hint="eastAsia"/>
          <w:highlight w:val="none"/>
          <w:lang w:val="en-US" w:eastAsia="zh-CN"/>
        </w:rPr>
        <w:t>印刷法刊发放覆盖率</w:t>
      </w:r>
      <w:r>
        <w:rPr>
          <w:rFonts w:hint="eastAsia" w:ascii="仿宋_GB2312" w:hAnsi="仿宋_GB2312" w:cs="仿宋_GB2312"/>
          <w:highlight w:val="none"/>
          <w:lang w:val="en-US" w:eastAsia="zh-CN"/>
        </w:rPr>
        <w:t>指标分值5分，评价得分5分。</w:t>
      </w:r>
      <w:r>
        <w:rPr>
          <w:rFonts w:hint="eastAsia"/>
          <w:highlight w:val="none"/>
          <w:lang w:val="en-US" w:eastAsia="zh-CN"/>
        </w:rPr>
        <w:t>《法刊》是</w:t>
      </w:r>
      <w:r>
        <w:rPr>
          <w:rFonts w:hint="eastAsia" w:ascii="仿宋_GB2312" w:hAnsi="仿宋_GB2312" w:eastAsia="仿宋_GB2312" w:cs="仿宋_GB2312"/>
          <w:kern w:val="2"/>
          <w:sz w:val="32"/>
          <w:szCs w:val="32"/>
          <w:highlight w:val="none"/>
          <w:lang w:val="en-US" w:eastAsia="zh-CN" w:bidi="ar-SA"/>
        </w:rPr>
        <w:t>省法院</w:t>
      </w:r>
      <w:r>
        <w:rPr>
          <w:rFonts w:hint="eastAsia"/>
          <w:highlight w:val="none"/>
          <w:lang w:val="en-US" w:eastAsia="zh-CN"/>
        </w:rPr>
        <w:t>主办的期刊，是一部涵盖法律释义、法院业务指导、案件审判及执行经验交流等内容的内部刊物。其中总结了典型案例办案的经验，梳理了案件审理流程、标准及相关法律政策，本年度《法刊》印刷了</w:t>
      </w:r>
      <w:r>
        <w:rPr>
          <w:rFonts w:hint="eastAsia" w:ascii="仿宋_GB2312" w:hAnsi="仿宋_GB2312" w:eastAsia="仿宋_GB2312" w:cs="仿宋_GB2312"/>
          <w:highlight w:val="none"/>
          <w:lang w:val="en-US" w:eastAsia="zh-CN"/>
        </w:rPr>
        <w:t>6期，发放赠阅</w:t>
      </w:r>
      <w:r>
        <w:rPr>
          <w:rFonts w:hint="eastAsia" w:ascii="仿宋_GB2312" w:hAnsi="仿宋_GB2312" w:cs="仿宋_GB2312"/>
          <w:highlight w:val="none"/>
          <w:lang w:val="en-US" w:eastAsia="zh-CN"/>
        </w:rPr>
        <w:t>43500</w:t>
      </w:r>
      <w:r>
        <w:rPr>
          <w:rFonts w:hint="eastAsia" w:ascii="仿宋_GB2312" w:hAnsi="仿宋_GB2312" w:eastAsia="仿宋_GB2312" w:cs="仿宋_GB2312"/>
          <w:highlight w:val="none"/>
          <w:lang w:val="en-US" w:eastAsia="zh-CN"/>
        </w:rPr>
        <w:t>份，印刷法刊发放覆盖率达到100%。</w:t>
      </w:r>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2.可持续影响指标</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kern w:val="2"/>
          <w:sz w:val="32"/>
          <w:szCs w:val="32"/>
          <w:highlight w:val="none"/>
          <w:lang w:val="en-US" w:eastAsia="zh-CN" w:bidi="ar-SA"/>
        </w:rPr>
      </w:pPr>
      <w:bookmarkStart w:id="143" w:name="_Toc31732"/>
      <w:bookmarkStart w:id="144" w:name="_Toc7892"/>
      <w:r>
        <w:rPr>
          <w:rFonts w:hint="eastAsia" w:ascii="仿宋_GB2312" w:hAnsi="仿宋_GB2312" w:eastAsia="仿宋_GB2312" w:cs="仿宋_GB2312"/>
          <w:kern w:val="2"/>
          <w:sz w:val="32"/>
          <w:szCs w:val="32"/>
          <w:highlight w:val="none"/>
          <w:lang w:val="en-US" w:eastAsia="zh-CN" w:bidi="ar-SA"/>
        </w:rPr>
        <w:t>部门协作率指标分值5分，评价得分5分。省法院各处室之间相互配合，及时收集优秀征文，将优秀作品推荐至《法刊》选登，协同度较高，部门协作率达到100%。</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档案管理机制健全性指标分值5分，评价得分5分。</w:t>
      </w:r>
      <w:r>
        <w:rPr>
          <w:rFonts w:hint="eastAsia" w:ascii="仿宋_GB2312" w:hAnsi="仿宋_GB2312" w:cs="仿宋_GB2312"/>
          <w:kern w:val="2"/>
          <w:sz w:val="32"/>
          <w:szCs w:val="32"/>
          <w:highlight w:val="none"/>
          <w:lang w:val="en-US" w:eastAsia="zh-CN" w:bidi="ar-SA"/>
        </w:rPr>
        <w:t>有专人对每期《法刊》、合同及其他档案资料进行管理，并及时归档、留存</w:t>
      </w:r>
      <w:r>
        <w:rPr>
          <w:rFonts w:hint="eastAsia" w:ascii="仿宋_GB2312" w:hAnsi="仿宋_GB2312" w:eastAsia="仿宋_GB2312" w:cs="仿宋_GB2312"/>
          <w:kern w:val="2"/>
          <w:sz w:val="32"/>
          <w:szCs w:val="32"/>
          <w:highlight w:val="none"/>
          <w:lang w:val="en-US" w:eastAsia="zh-CN" w:bidi="ar-SA"/>
        </w:rPr>
        <w:t>。</w:t>
      </w:r>
      <w:r>
        <w:rPr>
          <w:rFonts w:hint="eastAsia" w:ascii="仿宋_GB2312" w:hAnsi="仿宋_GB2312" w:cs="仿宋_GB2312"/>
          <w:kern w:val="2"/>
          <w:sz w:val="32"/>
          <w:szCs w:val="32"/>
          <w:highlight w:val="none"/>
          <w:lang w:val="en-US" w:eastAsia="zh-CN" w:bidi="ar-SA"/>
        </w:rPr>
        <w:t>评价认为，</w:t>
      </w:r>
      <w:r>
        <w:rPr>
          <w:rFonts w:hint="eastAsia"/>
          <w:lang w:eastAsia="zh-CN"/>
        </w:rPr>
        <w:t>《</w:t>
      </w:r>
      <w:r>
        <w:rPr>
          <w:rFonts w:hint="eastAsia"/>
          <w:lang w:val="en-US" w:eastAsia="zh-CN"/>
        </w:rPr>
        <w:t>法刊</w:t>
      </w:r>
      <w:r>
        <w:rPr>
          <w:rFonts w:hint="eastAsia"/>
          <w:lang w:eastAsia="zh-CN"/>
        </w:rPr>
        <w:t>》</w:t>
      </w:r>
      <w:r>
        <w:rPr>
          <w:rFonts w:hint="eastAsia" w:ascii="仿宋_GB2312" w:hAnsi="仿宋_GB2312" w:eastAsia="仿宋_GB2312" w:cs="仿宋_GB2312"/>
          <w:kern w:val="2"/>
          <w:sz w:val="32"/>
          <w:szCs w:val="32"/>
          <w:highlight w:val="none"/>
          <w:lang w:val="en-US" w:eastAsia="zh-CN" w:bidi="ar-SA"/>
        </w:rPr>
        <w:t>档案管理机制健全，档案管理工作规范运行</w:t>
      </w:r>
      <w:r>
        <w:rPr>
          <w:rFonts w:hint="eastAsia" w:ascii="仿宋_GB2312" w:hAnsi="仿宋_GB2312" w:cs="仿宋_GB2312"/>
          <w:kern w:val="2"/>
          <w:sz w:val="32"/>
          <w:szCs w:val="32"/>
          <w:highlight w:val="none"/>
          <w:lang w:val="en-US" w:eastAsia="zh-CN" w:bidi="ar-SA"/>
        </w:rPr>
        <w:t>。</w:t>
      </w:r>
    </w:p>
    <w:bookmarkEnd w:id="143"/>
    <w:bookmarkEnd w:id="144"/>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45" w:name="_Toc12950"/>
      <w:r>
        <w:rPr>
          <w:rFonts w:hint="eastAsia" w:ascii="楷体" w:hAnsi="楷体" w:eastAsia="楷体" w:cs="楷体"/>
          <w:b/>
          <w:bCs/>
          <w:highlight w:val="none"/>
        </w:rPr>
        <w:t>（五）满意度情况</w:t>
      </w:r>
      <w:bookmarkEnd w:id="145"/>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bookmarkStart w:id="146" w:name="_Toc64731198"/>
      <w:bookmarkStart w:id="147" w:name="_Toc2918"/>
      <w:bookmarkStart w:id="148" w:name="_Toc63435075"/>
      <w:bookmarkStart w:id="149" w:name="_Toc4285"/>
      <w:bookmarkStart w:id="150" w:name="_Toc5674"/>
      <w:bookmarkStart w:id="151" w:name="_Toc65235686"/>
      <w:bookmarkStart w:id="152" w:name="_Toc23326"/>
      <w:r>
        <w:rPr>
          <w:rFonts w:hint="eastAsia" w:ascii="仿宋_GB2312" w:hAnsi="仿宋_GB2312" w:eastAsia="仿宋_GB2312" w:cs="仿宋_GB2312"/>
          <w:color w:val="000000" w:themeColor="text1"/>
          <w:sz w:val="32"/>
          <w:szCs w:val="32"/>
          <w:highlight w:val="none"/>
          <w14:textFill>
            <w14:solidFill>
              <w14:schemeClr w14:val="tx1"/>
            </w14:solidFill>
          </w14:textFill>
        </w:rPr>
        <w:t>项目服务对象满意度指标主要为工作人员满意度</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及其他读者满意度</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，指标分值10分，评价得分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14:textFill>
            <w14:solidFill>
              <w14:schemeClr w14:val="tx1"/>
            </w14:solidFill>
          </w14:textFill>
        </w:rPr>
        <w:t>分，得分率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bookmarkEnd w:id="146"/>
      <w:bookmarkEnd w:id="147"/>
      <w:bookmarkEnd w:id="148"/>
      <w:bookmarkEnd w:id="149"/>
      <w:bookmarkEnd w:id="150"/>
      <w:bookmarkEnd w:id="151"/>
      <w:bookmarkEnd w:id="152"/>
    </w:p>
    <w:p>
      <w:pPr>
        <w:pStyle w:val="20"/>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满意度指标二级指标得分情况表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37"/>
        <w:gridCol w:w="1805"/>
        <w:gridCol w:w="1601"/>
        <w:gridCol w:w="227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6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left"/>
              <w:textAlignment w:val="center"/>
              <w:rPr>
                <w:highlight w:val="none"/>
              </w:rPr>
            </w:pPr>
            <w:r>
              <w:rPr>
                <w:rFonts w:hint="eastAsia" w:ascii="宋体" w:hAnsi="宋体" w:eastAsia="宋体" w:cs="宋体"/>
                <w:bCs/>
                <w:color w:val="000000"/>
                <w:kern w:val="0"/>
                <w:sz w:val="22"/>
                <w:highlight w:val="none"/>
                <w:lang w:bidi="ar"/>
              </w:rPr>
              <w:t>服务对象满意度指标</w:t>
            </w:r>
          </w:p>
        </w:tc>
        <w:tc>
          <w:tcPr>
            <w:tcW w:w="106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6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val="en-US" w:eastAsia="zh-CN" w:bidi="ar"/>
              </w:rPr>
              <w:t>100</w:t>
            </w:r>
            <w:r>
              <w:rPr>
                <w:rFonts w:hint="eastAsia" w:ascii="宋体" w:hAnsi="宋体" w:eastAsia="宋体" w:cs="宋体"/>
                <w:b/>
                <w:color w:val="000000"/>
                <w:kern w:val="0"/>
                <w:sz w:val="22"/>
                <w:highlight w:val="none"/>
                <w:lang w:bidi="ar"/>
              </w:rPr>
              <w:t>%</w:t>
            </w:r>
          </w:p>
        </w:tc>
      </w:tr>
    </w:tbl>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评价组对《法刊》（审判理论与实践）等印刷费</w:t>
      </w:r>
      <w:r>
        <w:rPr>
          <w:rFonts w:hint="eastAsia" w:ascii="仿宋_GB2312" w:hAnsi="仿宋_GB2312" w:eastAsia="仿宋_GB2312" w:cs="仿宋_GB2312"/>
          <w:sz w:val="32"/>
          <w:szCs w:val="32"/>
          <w:highlight w:val="none"/>
          <w:lang w:val="en-US" w:eastAsia="zh-CN"/>
        </w:rPr>
        <w:t>项目</w:t>
      </w:r>
      <w:r>
        <w:rPr>
          <w:rFonts w:hint="eastAsia" w:ascii="仿宋_GB2312" w:hAnsi="仿宋_GB2312" w:cs="仿宋_GB2312"/>
          <w:sz w:val="32"/>
          <w:szCs w:val="32"/>
          <w:highlight w:val="none"/>
          <w:lang w:val="en-US" w:eastAsia="zh-CN"/>
        </w:rPr>
        <w:t>进行现场访谈及调查问卷相结合的方式进行调查</w:t>
      </w:r>
      <w:r>
        <w:rPr>
          <w:rFonts w:hint="eastAsia"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对法院工作人员采取现场访谈的方式调查满意度情况，相关工作人员对该项目的实施均表示满意，满意度达到98%。对其他读者采取调查问卷的方式调查满意度，</w:t>
      </w:r>
      <w:r>
        <w:rPr>
          <w:rFonts w:hint="eastAsia" w:ascii="仿宋_GB2312" w:hAnsi="仿宋_GB2312" w:eastAsia="仿宋_GB2312" w:cs="仿宋_GB2312"/>
          <w:sz w:val="32"/>
          <w:szCs w:val="32"/>
          <w:highlight w:val="none"/>
          <w:lang w:val="en-US" w:eastAsia="zh-CN"/>
        </w:rPr>
        <w:t>截止报告日共计收到</w:t>
      </w:r>
      <w:r>
        <w:rPr>
          <w:rFonts w:hint="eastAsia" w:ascii="仿宋_GB2312" w:hAnsi="仿宋_GB2312" w:cs="仿宋_GB2312"/>
          <w:sz w:val="32"/>
          <w:szCs w:val="32"/>
          <w:highlight w:val="none"/>
          <w:lang w:val="en-US" w:eastAsia="zh-CN"/>
        </w:rPr>
        <w:t>120</w:t>
      </w:r>
      <w:r>
        <w:rPr>
          <w:rFonts w:hint="eastAsia" w:ascii="仿宋_GB2312" w:hAnsi="仿宋_GB2312" w:eastAsia="仿宋_GB2312" w:cs="仿宋_GB2312"/>
          <w:sz w:val="32"/>
          <w:szCs w:val="32"/>
          <w:highlight w:val="none"/>
          <w:lang w:val="en-US" w:eastAsia="zh-CN"/>
        </w:rPr>
        <w:t>份问卷调查</w:t>
      </w:r>
      <w:r>
        <w:rPr>
          <w:rFonts w:hint="eastAsia" w:ascii="仿宋_GB2312" w:hAnsi="仿宋_GB2312" w:cs="仿宋_GB2312"/>
          <w:sz w:val="32"/>
          <w:szCs w:val="32"/>
          <w:highlight w:val="none"/>
          <w:lang w:val="en-US" w:eastAsia="zh-CN"/>
        </w:rPr>
        <w:t>，读者对《法刊》刊物的</w:t>
      </w:r>
      <w:r>
        <w:rPr>
          <w:rFonts w:hint="eastAsia"/>
          <w:highlight w:val="none"/>
          <w:lang w:val="en-US" w:eastAsia="zh-CN"/>
        </w:rPr>
        <w:t>文章选题、发行频率、内容和版面以及整体印象均表示满意</w:t>
      </w:r>
      <w:r>
        <w:rPr>
          <w:rFonts w:hint="eastAsia" w:ascii="仿宋_GB2312" w:hAnsi="仿宋_GB2312" w:eastAsia="仿宋_GB2312" w:cs="仿宋_GB2312"/>
          <w:sz w:val="32"/>
          <w:szCs w:val="32"/>
          <w:highlight w:val="none"/>
          <w:lang w:val="en-US"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从汇总数据看，</w:t>
      </w:r>
      <w:r>
        <w:rPr>
          <w:rFonts w:hint="eastAsia" w:ascii="仿宋_GB2312" w:hAnsi="仿宋_GB2312" w:cs="仿宋_GB2312"/>
          <w:sz w:val="32"/>
          <w:szCs w:val="32"/>
          <w:highlight w:val="none"/>
          <w:lang w:val="en-US" w:eastAsia="zh-CN"/>
        </w:rPr>
        <w:t>法院工作人员及其他读者对《法刊》刊物整体满意度较好</w:t>
      </w:r>
      <w:r>
        <w:rPr>
          <w:rFonts w:hint="eastAsia" w:ascii="仿宋_GB2312" w:hAnsi="仿宋_GB2312" w:eastAsia="仿宋_GB2312" w:cs="仿宋_GB2312"/>
          <w:sz w:val="32"/>
          <w:szCs w:val="32"/>
          <w:highlight w:val="none"/>
          <w:lang w:val="en-US" w:eastAsia="zh-CN"/>
        </w:rPr>
        <w:t>，整体满意度在9</w:t>
      </w:r>
      <w:r>
        <w:rPr>
          <w:rFonts w:hint="eastAsia" w:ascii="仿宋_GB2312" w:hAnsi="仿宋_GB2312" w:cs="仿宋_GB2312"/>
          <w:sz w:val="32"/>
          <w:szCs w:val="32"/>
          <w:highlight w:val="none"/>
          <w:lang w:val="en-US" w:eastAsia="zh-CN"/>
        </w:rPr>
        <w:t>5</w:t>
      </w:r>
      <w:r>
        <w:rPr>
          <w:rFonts w:hint="eastAsia" w:ascii="仿宋_GB2312" w:hAnsi="仿宋_GB2312" w:eastAsia="仿宋_GB2312" w:cs="仿宋_GB2312"/>
          <w:sz w:val="32"/>
          <w:szCs w:val="32"/>
          <w:highlight w:val="none"/>
          <w:lang w:val="en-US" w:eastAsia="zh-CN"/>
        </w:rPr>
        <w:t>%以上，达到了该项目的实施目的，带来了很好的社会效益和社会反响。根据评分标准，本指标分值10分，评价得分10分。</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仿宋"/>
          <w:b w:val="0"/>
          <w:bCs w:val="0"/>
          <w:highlight w:val="none"/>
        </w:rPr>
      </w:pPr>
      <w:bookmarkStart w:id="153" w:name="_Toc14909"/>
      <w:bookmarkStart w:id="154" w:name="_Toc27048"/>
      <w:bookmarkStart w:id="155" w:name="_Toc27911"/>
      <w:r>
        <w:rPr>
          <w:rFonts w:hint="eastAsia" w:ascii="黑体" w:hAnsi="黑体" w:eastAsia="黑体" w:cs="仿宋"/>
          <w:b w:val="0"/>
          <w:bCs w:val="0"/>
          <w:highlight w:val="none"/>
        </w:rPr>
        <w:t>六、项目主要经验及做法</w:t>
      </w:r>
      <w:bookmarkEnd w:id="153"/>
      <w:bookmarkEnd w:id="154"/>
      <w:bookmarkEnd w:id="155"/>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outlineLvl w:val="1"/>
        <w:rPr>
          <w:rFonts w:hint="eastAsia" w:ascii="仿宋" w:hAnsi="仿宋" w:eastAsia="仿宋" w:cs="仿宋"/>
          <w:highlight w:val="none"/>
          <w:lang w:val="en-US" w:eastAsia="zh-CN"/>
        </w:rPr>
      </w:pPr>
      <w:bookmarkStart w:id="156" w:name="_Toc5543"/>
      <w:r>
        <w:rPr>
          <w:rFonts w:hint="eastAsia" w:ascii="楷体" w:hAnsi="楷体" w:eastAsia="楷体" w:cs="楷体"/>
          <w:b/>
          <w:bCs/>
          <w:highlight w:val="none"/>
          <w:lang w:val="en-US" w:eastAsia="zh-CN"/>
        </w:rPr>
        <w:t>（一）着力提升新闻舆论工作的传播力、影响力，为审判执行工作提供有力舆论支持</w:t>
      </w:r>
      <w:bookmarkEnd w:id="156"/>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kern w:val="2"/>
          <w:sz w:val="32"/>
          <w:szCs w:val="32"/>
          <w:highlight w:val="none"/>
          <w:lang w:val="en-US" w:eastAsia="zh-CN" w:bidi="ar-SA"/>
        </w:rPr>
        <w:t>省法院</w:t>
      </w:r>
      <w:r>
        <w:rPr>
          <w:rFonts w:hint="eastAsia" w:ascii="仿宋_GB2312" w:hAnsi="仿宋_GB2312" w:eastAsia="仿宋_GB2312" w:cs="仿宋_GB2312"/>
          <w:highlight w:val="none"/>
          <w:lang w:val="en-US" w:eastAsia="zh-CN"/>
        </w:rPr>
        <w:t>刊发的内部刊物《</w:t>
      </w:r>
      <w:r>
        <w:rPr>
          <w:rFonts w:hint="eastAsia" w:ascii="仿宋_GB2312" w:hAnsi="仿宋_GB2312" w:cs="仿宋_GB2312"/>
          <w:highlight w:val="none"/>
          <w:lang w:val="en-US" w:eastAsia="zh-CN"/>
        </w:rPr>
        <w:t>法院</w:t>
      </w:r>
      <w:r>
        <w:rPr>
          <w:rFonts w:hint="eastAsia" w:ascii="仿宋_GB2312" w:hAnsi="仿宋_GB2312" w:eastAsia="仿宋_GB2312" w:cs="仿宋_GB2312"/>
          <w:highlight w:val="none"/>
          <w:lang w:val="en-US" w:eastAsia="zh-CN"/>
        </w:rPr>
        <w:t>》已办刊十余年，充分反映了全省各级法院总结审判实践经验开展重大问题研究的智慧成果，有力展现了全省各级法院司法为民、公正司法的生动实践和广大干警忠诚担当、拼搏奉献的精神风貌，</w:t>
      </w:r>
      <w:r>
        <w:rPr>
          <w:rFonts w:hint="eastAsia" w:ascii="仿宋_GB2312" w:hAnsi="仿宋_GB2312" w:eastAsia="仿宋_GB2312" w:cs="仿宋_GB2312"/>
          <w:kern w:val="2"/>
          <w:sz w:val="32"/>
          <w:szCs w:val="32"/>
          <w:highlight w:val="none"/>
          <w:lang w:val="en-US" w:eastAsia="zh-CN" w:bidi="ar-SA"/>
        </w:rPr>
        <w:t>栏目设置合理，内容丰富充实，对于加强全省法院审判业务建设和队伍建设、文化建设具有开阔视野、启发思维、指导实践的重要作用</w:t>
      </w:r>
      <w:r>
        <w:rPr>
          <w:rFonts w:hint="eastAsia" w:ascii="仿宋_GB2312" w:hAnsi="仿宋_GB2312" w:eastAsia="仿宋_GB2312" w:cs="仿宋_GB2312"/>
          <w:highlight w:val="none"/>
          <w:lang w:val="en-US" w:eastAsia="zh-CN"/>
        </w:rPr>
        <w:t>，已成为全省法院系统和在甘全国人大代表、省人大代表，省、市、县四大班子主要领导和政法委书记相互学习借鉴、共同进步提高的重要传输载体。</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highlight w:val="none"/>
          <w:lang w:val="en-US" w:eastAsia="zh-CN"/>
        </w:rPr>
      </w:pPr>
      <w:r>
        <w:rPr>
          <w:rFonts w:hint="eastAsia" w:ascii="楷体" w:hAnsi="楷体" w:eastAsia="楷体" w:cs="楷体"/>
          <w:b/>
          <w:bCs/>
          <w:highlight w:val="none"/>
          <w:lang w:val="en-US" w:eastAsia="zh-CN"/>
        </w:rPr>
        <w:t>（二）坚持“为大局服务，为人民司法”的工作原则</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《甘肃法院》</w:t>
      </w:r>
      <w:r>
        <w:rPr>
          <w:rFonts w:hint="eastAsia" w:ascii="仿宋_GB2312" w:hAnsi="仿宋_GB2312" w:eastAsia="仿宋_GB2312" w:cs="仿宋_GB2312"/>
          <w:kern w:val="2"/>
          <w:sz w:val="32"/>
          <w:szCs w:val="32"/>
          <w:highlight w:val="none"/>
          <w:lang w:val="en-US" w:eastAsia="zh-CN" w:bidi="ar-SA"/>
        </w:rPr>
        <w:t>继续坚持“为大局服务，为人民司法”的工作原则，弘扬主旋律，传递正能量，紧紧围绕审判执行、执法办案开展新闻宣传工作，进一步统一思想、提高认识，以更加开阔的思路、更加健全的机制、更加有力的举措、更加务实的作风，促使工作再上新台阶、再出新成果。</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仿宋"/>
          <w:b w:val="0"/>
          <w:bCs w:val="0"/>
          <w:highlight w:val="none"/>
        </w:rPr>
      </w:pPr>
      <w:bookmarkStart w:id="157" w:name="_Toc25717"/>
      <w:bookmarkStart w:id="158" w:name="_Toc15152"/>
      <w:bookmarkStart w:id="159" w:name="_Toc15439"/>
      <w:r>
        <w:rPr>
          <w:rFonts w:hint="eastAsia" w:ascii="黑体" w:hAnsi="黑体" w:eastAsia="黑体" w:cs="仿宋"/>
          <w:b w:val="0"/>
          <w:bCs w:val="0"/>
          <w:highlight w:val="none"/>
        </w:rPr>
        <w:t>七、存在的问题及原因分析</w:t>
      </w:r>
      <w:bookmarkEnd w:id="157"/>
      <w:bookmarkEnd w:id="158"/>
      <w:bookmarkEnd w:id="159"/>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5"/>
          <w:rFonts w:hint="eastAsia" w:ascii="楷体" w:hAnsi="楷体" w:eastAsia="楷体" w:cs="楷体"/>
          <w:szCs w:val="32"/>
          <w:highlight w:val="none"/>
          <w:lang w:eastAsia="zh-CN"/>
        </w:rPr>
      </w:pPr>
      <w:bookmarkStart w:id="160" w:name="_Toc10454"/>
      <w:bookmarkStart w:id="161" w:name="_Toc31893"/>
      <w:bookmarkStart w:id="162" w:name="_Toc27415"/>
      <w:bookmarkStart w:id="163" w:name="_Toc2874"/>
      <w:bookmarkStart w:id="164" w:name="_Toc19507"/>
      <w:bookmarkStart w:id="165" w:name="_Toc14622"/>
      <w:r>
        <w:rPr>
          <w:rStyle w:val="25"/>
          <w:rFonts w:hint="eastAsia" w:ascii="楷体" w:hAnsi="楷体" w:eastAsia="楷体" w:cs="楷体"/>
          <w:szCs w:val="32"/>
          <w:highlight w:val="none"/>
        </w:rPr>
        <w:t>（一）项目支出预算执行率</w:t>
      </w:r>
      <w:bookmarkEnd w:id="160"/>
      <w:bookmarkEnd w:id="161"/>
      <w:bookmarkEnd w:id="162"/>
      <w:r>
        <w:rPr>
          <w:rStyle w:val="25"/>
          <w:rFonts w:hint="eastAsia" w:ascii="楷体" w:hAnsi="楷体" w:eastAsia="楷体" w:cs="楷体"/>
          <w:szCs w:val="32"/>
          <w:highlight w:val="none"/>
          <w:lang w:val="en-US" w:eastAsia="zh-CN"/>
        </w:rPr>
        <w:t>有待提高</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val="en-US" w:eastAsia="zh-CN"/>
        </w:rPr>
      </w:pPr>
      <w:bookmarkStart w:id="166" w:name="_Toc3633"/>
      <w:bookmarkStart w:id="167" w:name="_Toc3824"/>
      <w:bookmarkStart w:id="168" w:name="_Toc32093"/>
      <w:r>
        <w:rPr>
          <w:rFonts w:hint="eastAsia" w:ascii="仿宋_GB2312" w:hAnsi="仿宋_GB2312" w:eastAsia="仿宋_GB2312" w:cs="仿宋_GB2312"/>
          <w:highlight w:val="none"/>
          <w:lang w:val="en-US" w:eastAsia="zh-CN"/>
        </w:rPr>
        <w:t>《法刊》（审判理论与实践）等印刷费项目专项资金年初预算</w:t>
      </w:r>
      <w:r>
        <w:rPr>
          <w:rFonts w:hint="eastAsia" w:ascii="仿宋_GB2312" w:hAnsi="仿宋_GB2312" w:cs="仿宋_GB2312"/>
          <w:highlight w:val="none"/>
          <w:lang w:val="en-US" w:eastAsia="zh-CN"/>
        </w:rPr>
        <w:t>30.00</w:t>
      </w:r>
      <w:r>
        <w:rPr>
          <w:rFonts w:hint="eastAsia" w:ascii="仿宋_GB2312" w:hAnsi="仿宋_GB2312" w:eastAsia="仿宋_GB2312" w:cs="仿宋_GB2312"/>
          <w:highlight w:val="none"/>
          <w:lang w:val="en-US" w:eastAsia="zh-CN"/>
        </w:rPr>
        <w:t>万元，</w:t>
      </w:r>
      <w:r>
        <w:rPr>
          <w:rFonts w:hint="eastAsia" w:ascii="仿宋_GB2312" w:hAnsi="仿宋_GB2312" w:cs="仿宋_GB2312"/>
          <w:highlight w:val="none"/>
          <w:lang w:val="en-US" w:eastAsia="zh-CN"/>
        </w:rPr>
        <w:t>受疫情防控影响，本年度《法刊》印刷费及邮寄费未全额结算，截止2022年12月31日，该项目</w:t>
      </w:r>
      <w:r>
        <w:rPr>
          <w:rFonts w:hint="eastAsia" w:ascii="仿宋_GB2312" w:hAnsi="仿宋_GB2312" w:eastAsia="仿宋_GB2312" w:cs="仿宋_GB2312"/>
          <w:highlight w:val="none"/>
          <w:lang w:val="en-US" w:eastAsia="zh-CN"/>
        </w:rPr>
        <w:t>全年</w:t>
      </w:r>
      <w:r>
        <w:rPr>
          <w:rFonts w:hint="eastAsia" w:ascii="仿宋_GB2312" w:hAnsi="仿宋_GB2312" w:cs="仿宋_GB2312"/>
          <w:highlight w:val="none"/>
          <w:lang w:val="en-US" w:eastAsia="zh-CN"/>
        </w:rPr>
        <w:t>实际</w:t>
      </w:r>
      <w:r>
        <w:rPr>
          <w:rFonts w:hint="eastAsia" w:ascii="仿宋_GB2312" w:hAnsi="仿宋_GB2312" w:eastAsia="仿宋_GB2312" w:cs="仿宋_GB2312"/>
          <w:highlight w:val="none"/>
          <w:lang w:val="en-US" w:eastAsia="zh-CN"/>
        </w:rPr>
        <w:t>支出</w:t>
      </w:r>
      <w:r>
        <w:rPr>
          <w:rFonts w:hint="eastAsia" w:ascii="仿宋_GB2312" w:hAnsi="仿宋_GB2312" w:cs="仿宋_GB2312"/>
          <w:highlight w:val="none"/>
          <w:lang w:val="en-US" w:eastAsia="zh-CN"/>
        </w:rPr>
        <w:t>19.50</w:t>
      </w:r>
      <w:r>
        <w:rPr>
          <w:rFonts w:hint="eastAsia" w:ascii="仿宋_GB2312" w:hAnsi="仿宋_GB2312" w:eastAsia="仿宋_GB2312" w:cs="仿宋_GB2312"/>
          <w:highlight w:val="none"/>
          <w:lang w:val="en-US" w:eastAsia="zh-CN"/>
        </w:rPr>
        <w:t>万元，预算执行率6</w:t>
      </w:r>
      <w:r>
        <w:rPr>
          <w:rFonts w:hint="eastAsia" w:ascii="仿宋_GB2312" w:hAnsi="仿宋_GB2312" w:cs="仿宋_GB2312"/>
          <w:highlight w:val="none"/>
          <w:lang w:val="en-US" w:eastAsia="zh-CN"/>
        </w:rPr>
        <w:t>5</w:t>
      </w:r>
      <w:r>
        <w:rPr>
          <w:rFonts w:hint="eastAsia" w:ascii="仿宋_GB2312" w:hAnsi="仿宋_GB2312" w:eastAsia="仿宋_GB2312" w:cs="仿宋_GB2312"/>
          <w:highlight w:val="none"/>
          <w:lang w:val="en-US" w:eastAsia="zh-CN"/>
        </w:rPr>
        <w:t>%。</w:t>
      </w:r>
      <w:bookmarkEnd w:id="163"/>
      <w:bookmarkEnd w:id="166"/>
      <w:bookmarkEnd w:id="167"/>
    </w:p>
    <w:bookmarkEnd w:id="168"/>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5"/>
          <w:rFonts w:hint="default" w:ascii="楷体" w:hAnsi="楷体" w:eastAsia="楷体" w:cs="楷体"/>
          <w:szCs w:val="32"/>
          <w:highlight w:val="none"/>
          <w:lang w:val="en-US" w:eastAsia="zh-CN"/>
        </w:rPr>
      </w:pPr>
      <w:bookmarkStart w:id="169" w:name="_Toc8095"/>
      <w:bookmarkStart w:id="170" w:name="_Toc10778"/>
      <w:bookmarkStart w:id="171" w:name="_Toc24630"/>
      <w:r>
        <w:rPr>
          <w:rStyle w:val="25"/>
          <w:rFonts w:hint="eastAsia" w:ascii="楷体" w:hAnsi="楷体" w:eastAsia="楷体" w:cs="楷体"/>
          <w:szCs w:val="32"/>
          <w:highlight w:val="none"/>
        </w:rPr>
        <w:t>（二）</w:t>
      </w:r>
      <w:bookmarkEnd w:id="169"/>
      <w:bookmarkEnd w:id="170"/>
      <w:r>
        <w:rPr>
          <w:rStyle w:val="25"/>
          <w:rFonts w:hint="eastAsia" w:ascii="楷体" w:hAnsi="楷体" w:eastAsia="楷体" w:cs="楷体"/>
          <w:szCs w:val="32"/>
          <w:highlight w:val="none"/>
        </w:rPr>
        <w:t>制度执行有效性</w:t>
      </w:r>
      <w:r>
        <w:rPr>
          <w:rStyle w:val="25"/>
          <w:rFonts w:hint="eastAsia" w:ascii="楷体" w:hAnsi="楷体" w:eastAsia="楷体" w:cs="楷体"/>
          <w:szCs w:val="32"/>
          <w:highlight w:val="none"/>
          <w:lang w:val="en-US" w:eastAsia="zh-CN"/>
        </w:rPr>
        <w:t>有待进一步提高</w:t>
      </w:r>
      <w:bookmarkEnd w:id="171"/>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Fonts w:hint="default" w:ascii="仿宋_GB2312" w:hAnsi="仿宋_GB2312" w:eastAsia="仿宋_GB2312" w:cs="仿宋_GB2312"/>
          <w:kern w:val="2"/>
          <w:sz w:val="32"/>
          <w:szCs w:val="32"/>
          <w:highlight w:val="none"/>
          <w:lang w:val="en-US" w:eastAsia="zh-CN" w:bidi="ar-SA"/>
        </w:rPr>
      </w:pPr>
      <w:bookmarkStart w:id="172" w:name="_Toc17510"/>
      <w:bookmarkStart w:id="173" w:name="_Toc12328"/>
      <w:bookmarkStart w:id="174" w:name="_Toc17195"/>
      <w:bookmarkStart w:id="175" w:name="_Toc15618"/>
      <w:r>
        <w:rPr>
          <w:rFonts w:hint="eastAsia" w:ascii="仿宋_GB2312" w:hAnsi="仿宋_GB2312" w:eastAsia="仿宋_GB2312" w:cs="仿宋_GB2312"/>
          <w:kern w:val="2"/>
          <w:sz w:val="32"/>
          <w:szCs w:val="32"/>
          <w:highlight w:val="none"/>
          <w:lang w:val="en-US" w:eastAsia="zh-CN" w:bidi="ar-SA"/>
        </w:rPr>
        <w:t>经查验省法院相关合同协议、会计凭证等资料，每期《法刊》印刷后，未留存纸质验收单，且每期《法刊》邮寄后，未提供邮寄明细单，履约验收程序有待进一步规范，不符合《甘肃省财政厅、甘肃省高级人民法院、甘肃省人民检察院〈关于甘肃省省以下地方法院检察院政府采购活动有关事项〉的通知》（甘财采〔2018〕12号）相关采购管理规定。</w:t>
      </w:r>
      <w:bookmarkEnd w:id="172"/>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5"/>
          <w:rFonts w:hint="default" w:ascii="楷体" w:hAnsi="楷体" w:eastAsia="楷体" w:cs="楷体"/>
          <w:szCs w:val="32"/>
          <w:highlight w:val="none"/>
          <w:lang w:val="en-US" w:eastAsia="zh-CN"/>
        </w:rPr>
      </w:pPr>
      <w:bookmarkStart w:id="176" w:name="_Toc13645"/>
      <w:r>
        <w:rPr>
          <w:rStyle w:val="25"/>
          <w:rFonts w:hint="eastAsia" w:ascii="楷体" w:hAnsi="楷体" w:eastAsia="楷体" w:cs="楷体"/>
          <w:szCs w:val="32"/>
          <w:highlight w:val="none"/>
        </w:rPr>
        <w:t>（三）</w:t>
      </w:r>
      <w:bookmarkEnd w:id="173"/>
      <w:r>
        <w:rPr>
          <w:rStyle w:val="25"/>
          <w:rFonts w:hint="eastAsia" w:ascii="楷体" w:hAnsi="楷体" w:eastAsia="楷体" w:cs="楷体"/>
          <w:szCs w:val="32"/>
          <w:highlight w:val="none"/>
          <w:lang w:val="en-US" w:eastAsia="zh-CN"/>
        </w:rPr>
        <w:t>个别</w:t>
      </w:r>
      <w:r>
        <w:rPr>
          <w:rStyle w:val="25"/>
          <w:rFonts w:hint="eastAsia" w:ascii="楷体" w:hAnsi="楷体" w:eastAsia="楷体" w:cs="楷体"/>
          <w:szCs w:val="32"/>
          <w:highlight w:val="none"/>
        </w:rPr>
        <w:t>指标未</w:t>
      </w:r>
      <w:bookmarkEnd w:id="174"/>
      <w:bookmarkEnd w:id="176"/>
      <w:r>
        <w:rPr>
          <w:rStyle w:val="25"/>
          <w:rFonts w:hint="eastAsia" w:ascii="楷体" w:hAnsi="楷体" w:eastAsia="楷体" w:cs="楷体"/>
          <w:szCs w:val="32"/>
          <w:highlight w:val="none"/>
          <w:lang w:val="en-US" w:eastAsia="zh-CN"/>
        </w:rPr>
        <w:t>达到目标值</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bookmarkStart w:id="177" w:name="_Toc28102"/>
      <w:bookmarkStart w:id="178" w:name="_Toc15596"/>
      <w:bookmarkStart w:id="179" w:name="_Toc13907"/>
      <w:r>
        <w:rPr>
          <w:rFonts w:hint="eastAsia" w:ascii="仿宋_GB2312" w:hAnsi="仿宋_GB2312" w:eastAsia="仿宋_GB2312" w:cs="仿宋_GB2312"/>
          <w:highlight w:val="none"/>
          <w:lang w:val="en-US" w:eastAsia="zh-CN"/>
        </w:rPr>
        <w:t>法刊发放人数</w:t>
      </w:r>
      <w:r>
        <w:rPr>
          <w:rFonts w:hint="eastAsia" w:ascii="仿宋_GB2312" w:hAnsi="仿宋_GB2312" w:cs="仿宋_GB2312"/>
          <w:highlight w:val="none"/>
          <w:lang w:val="en-US" w:eastAsia="zh-CN"/>
        </w:rPr>
        <w:t>、法刊印刷份数及赠阅量指标未达到年度目标值。《</w:t>
      </w:r>
      <w:r>
        <w:rPr>
          <w:rFonts w:hint="eastAsia" w:ascii="仿宋_GB2312" w:hAnsi="仿宋_GB2312" w:eastAsia="仿宋_GB2312" w:cs="仿宋_GB2312"/>
          <w:highlight w:val="none"/>
          <w:lang w:val="en-US" w:eastAsia="zh-CN"/>
        </w:rPr>
        <w:t>法刊</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为双月刊，全年共发布6期，每</w:t>
      </w:r>
      <w:r>
        <w:rPr>
          <w:rFonts w:hint="eastAsia" w:ascii="仿宋_GB2312" w:hAnsi="仿宋_GB2312" w:cs="仿宋_GB2312"/>
          <w:highlight w:val="none"/>
          <w:lang w:val="en-US" w:eastAsia="zh-CN"/>
        </w:rPr>
        <w:t>期</w:t>
      </w:r>
      <w:r>
        <w:rPr>
          <w:rFonts w:hint="eastAsia" w:ascii="仿宋_GB2312" w:hAnsi="仿宋_GB2312" w:eastAsia="仿宋_GB2312" w:cs="仿宋_GB2312"/>
          <w:highlight w:val="none"/>
          <w:lang w:val="en-US" w:eastAsia="zh-CN"/>
        </w:rPr>
        <w:t>印刷并发放7520册，2022年全年共印刷</w:t>
      </w:r>
      <w:r>
        <w:rPr>
          <w:rFonts w:hint="eastAsia" w:ascii="仿宋_GB2312" w:hAnsi="仿宋_GB2312" w:cs="仿宋_GB2312"/>
          <w:highlight w:val="none"/>
          <w:lang w:val="en-US" w:eastAsia="zh-CN"/>
        </w:rPr>
        <w:t>、发放及赠阅</w:t>
      </w:r>
      <w:r>
        <w:rPr>
          <w:rFonts w:hint="eastAsia" w:ascii="仿宋_GB2312" w:hAnsi="仿宋_GB2312" w:eastAsia="仿宋_GB2312" w:cs="仿宋_GB2312"/>
          <w:highlight w:val="none"/>
          <w:lang w:val="en-US" w:eastAsia="zh-CN"/>
        </w:rPr>
        <w:t>43500份，未达到年度计划目标。</w:t>
      </w:r>
    </w:p>
    <w:bookmarkEnd w:id="164"/>
    <w:bookmarkEnd w:id="165"/>
    <w:bookmarkEnd w:id="175"/>
    <w:bookmarkEnd w:id="177"/>
    <w:bookmarkEnd w:id="178"/>
    <w:bookmarkEnd w:id="179"/>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仿宋"/>
          <w:highlight w:val="none"/>
        </w:rPr>
      </w:pPr>
      <w:bookmarkStart w:id="180" w:name="_Toc27171"/>
      <w:bookmarkStart w:id="181" w:name="_Toc15149"/>
      <w:bookmarkStart w:id="182" w:name="_Toc20992"/>
      <w:r>
        <w:rPr>
          <w:rFonts w:hint="eastAsia" w:ascii="黑体" w:hAnsi="黑体" w:eastAsia="黑体" w:cs="仿宋"/>
          <w:highlight w:val="none"/>
        </w:rPr>
        <w:t>八、有关建议</w:t>
      </w:r>
      <w:bookmarkEnd w:id="180"/>
      <w:bookmarkEnd w:id="181"/>
      <w:bookmarkEnd w:id="182"/>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5"/>
          <w:rFonts w:hint="default" w:ascii="楷体" w:hAnsi="楷体" w:eastAsia="楷体" w:cs="楷体"/>
          <w:szCs w:val="32"/>
          <w:highlight w:val="none"/>
          <w:lang w:val="en-US" w:eastAsia="zh-CN"/>
        </w:rPr>
      </w:pPr>
      <w:bookmarkStart w:id="183" w:name="_Toc14595"/>
      <w:bookmarkStart w:id="184" w:name="_Toc5096"/>
      <w:bookmarkStart w:id="185" w:name="_Toc21811"/>
      <w:r>
        <w:rPr>
          <w:rStyle w:val="25"/>
          <w:rFonts w:hint="eastAsia" w:ascii="楷体" w:hAnsi="楷体" w:eastAsia="楷体" w:cs="楷体"/>
          <w:szCs w:val="32"/>
          <w:highlight w:val="none"/>
        </w:rPr>
        <w:t>（一）加快资金执行进度</w:t>
      </w:r>
      <w:bookmarkEnd w:id="183"/>
      <w:bookmarkEnd w:id="184"/>
      <w:bookmarkEnd w:id="185"/>
      <w:r>
        <w:rPr>
          <w:rStyle w:val="25"/>
          <w:rFonts w:hint="eastAsia" w:ascii="楷体" w:hAnsi="楷体" w:eastAsia="楷体" w:cs="楷体"/>
          <w:szCs w:val="32"/>
          <w:highlight w:val="none"/>
          <w:lang w:eastAsia="zh-CN"/>
        </w:rPr>
        <w:t>，</w:t>
      </w:r>
      <w:r>
        <w:rPr>
          <w:rStyle w:val="25"/>
          <w:rFonts w:hint="eastAsia" w:ascii="楷体" w:hAnsi="楷体" w:eastAsia="楷体" w:cs="楷体"/>
          <w:szCs w:val="32"/>
          <w:highlight w:val="none"/>
          <w:lang w:val="en-US" w:eastAsia="zh-CN"/>
        </w:rPr>
        <w:t>提高项目实施效益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 w:hAnsi="仿宋" w:eastAsia="仿宋" w:cs="仿宋"/>
          <w:highlight w:val="none"/>
        </w:rPr>
      </w:pPr>
      <w:r>
        <w:rPr>
          <w:rFonts w:hint="eastAsia" w:ascii="仿宋_GB2312" w:hAnsi="仿宋_GB2312" w:eastAsia="仿宋_GB2312" w:cs="仿宋_GB2312"/>
          <w:highlight w:val="none"/>
          <w:lang w:val="en-US" w:eastAsia="zh-CN"/>
        </w:rPr>
        <w:t>一是加强《预算法》《行政单位会计制度》等学习培训</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制定和完善项目支出各项支出标准，严格按项目和进度执行预算，增强预算的约束力。二是落实预算执行分析，及时了解预算执行差异，合理调整、纠正预算执行偏差，切实提高部门预算收支管理水平。</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5"/>
          <w:rFonts w:hint="default" w:ascii="楷体" w:hAnsi="楷体" w:eastAsia="楷体" w:cs="楷体"/>
          <w:szCs w:val="32"/>
          <w:highlight w:val="none"/>
          <w:lang w:val="en-US" w:eastAsia="zh-CN"/>
        </w:rPr>
      </w:pPr>
      <w:bookmarkStart w:id="186" w:name="_Toc19966"/>
      <w:bookmarkStart w:id="187" w:name="_Toc26807"/>
      <w:bookmarkStart w:id="188" w:name="_Toc22207"/>
      <w:r>
        <w:rPr>
          <w:rStyle w:val="25"/>
          <w:rFonts w:hint="eastAsia" w:ascii="楷体" w:hAnsi="楷体" w:eastAsia="楷体" w:cs="楷体"/>
          <w:szCs w:val="32"/>
          <w:highlight w:val="none"/>
        </w:rPr>
        <w:t>（二）</w:t>
      </w:r>
      <w:bookmarkEnd w:id="186"/>
      <w:bookmarkEnd w:id="187"/>
      <w:r>
        <w:rPr>
          <w:rStyle w:val="25"/>
          <w:rFonts w:hint="eastAsia" w:ascii="楷体" w:hAnsi="楷体" w:eastAsia="楷体" w:cs="楷体"/>
          <w:szCs w:val="32"/>
          <w:highlight w:val="none"/>
          <w:lang w:val="en-US" w:eastAsia="zh-CN"/>
        </w:rPr>
        <w:t>加强履约验收环节的控制</w:t>
      </w:r>
      <w:bookmarkEnd w:id="188"/>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一是采购合同中增加验收要求。合同签订前</w:t>
      </w:r>
      <w:r>
        <w:rPr>
          <w:rFonts w:hint="eastAsia" w:ascii="仿宋_GB2312" w:hAnsi="仿宋_GB2312" w:eastAsia="仿宋_GB2312" w:cs="仿宋_GB2312"/>
          <w:highlight w:val="none"/>
          <w:lang w:val="en-US" w:eastAsia="zh-CN"/>
        </w:rPr>
        <w:t>应该对项目的验收</w:t>
      </w:r>
      <w:r>
        <w:rPr>
          <w:rFonts w:hint="eastAsia" w:ascii="仿宋_GB2312" w:hAnsi="仿宋_GB2312" w:cs="仿宋_GB2312"/>
          <w:highlight w:val="none"/>
          <w:lang w:val="en-US" w:eastAsia="zh-CN"/>
        </w:rPr>
        <w:t>方式</w:t>
      </w:r>
      <w:r>
        <w:rPr>
          <w:rFonts w:hint="eastAsia" w:ascii="仿宋_GB2312" w:hAnsi="仿宋_GB2312" w:eastAsia="仿宋_GB2312" w:cs="仿宋_GB2312"/>
          <w:highlight w:val="none"/>
          <w:lang w:val="en-US" w:eastAsia="zh-CN"/>
        </w:rPr>
        <w:t>、验收程序、违约处理等</w:t>
      </w:r>
      <w:r>
        <w:rPr>
          <w:rFonts w:hint="eastAsia" w:ascii="仿宋_GB2312" w:hAnsi="仿宋_GB2312" w:cs="仿宋_GB2312"/>
          <w:highlight w:val="none"/>
          <w:lang w:val="en-US" w:eastAsia="zh-CN"/>
        </w:rPr>
        <w:t>在合同中</w:t>
      </w:r>
      <w:r>
        <w:rPr>
          <w:rFonts w:hint="eastAsia" w:ascii="仿宋_GB2312" w:hAnsi="仿宋_GB2312" w:eastAsia="仿宋_GB2312" w:cs="仿宋_GB2312"/>
          <w:highlight w:val="none"/>
          <w:lang w:val="en-US" w:eastAsia="zh-CN"/>
        </w:rPr>
        <w:t>进行详细约定</w:t>
      </w:r>
      <w:r>
        <w:rPr>
          <w:rFonts w:hint="eastAsia" w:ascii="仿宋_GB2312" w:hAnsi="仿宋_GB2312" w:cs="仿宋_GB2312"/>
          <w:highlight w:val="none"/>
          <w:lang w:val="en-US" w:eastAsia="zh-CN"/>
        </w:rPr>
        <w:t>。二是完善履约验收流程。每期《法刊》印刷完成后采购方应组织相关工作人员组成验收组，对供应商</w:t>
      </w:r>
      <w:r>
        <w:rPr>
          <w:rFonts w:hint="eastAsia" w:ascii="仿宋_GB2312" w:hAnsi="仿宋_GB2312" w:eastAsia="仿宋_GB2312" w:cs="仿宋_GB2312"/>
          <w:highlight w:val="none"/>
          <w:lang w:val="en-US" w:eastAsia="zh-CN"/>
        </w:rPr>
        <w:t>实际向采购人提供的货物或者服务是否符合其</w:t>
      </w:r>
      <w:r>
        <w:rPr>
          <w:rFonts w:hint="eastAsia" w:ascii="仿宋_GB2312" w:hAnsi="仿宋_GB2312" w:cs="仿宋_GB2312"/>
          <w:highlight w:val="none"/>
          <w:lang w:val="en-US" w:eastAsia="zh-CN"/>
        </w:rPr>
        <w:t>采购人的要求、</w:t>
      </w:r>
      <w:r>
        <w:rPr>
          <w:rFonts w:hint="eastAsia" w:ascii="仿宋_GB2312" w:hAnsi="仿宋_GB2312" w:eastAsia="仿宋_GB2312" w:cs="仿宋_GB2312"/>
          <w:highlight w:val="none"/>
          <w:lang w:val="en-US" w:eastAsia="zh-CN"/>
        </w:rPr>
        <w:t>是否符合合同约定</w:t>
      </w:r>
      <w:r>
        <w:rPr>
          <w:rFonts w:hint="eastAsia" w:ascii="仿宋_GB2312" w:hAnsi="仿宋_GB2312" w:cs="仿宋_GB2312"/>
          <w:highlight w:val="none"/>
          <w:lang w:val="en-US" w:eastAsia="zh-CN"/>
        </w:rPr>
        <w:t>等进行验收</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并留存纸质验收单，在</w:t>
      </w:r>
      <w:r>
        <w:rPr>
          <w:rFonts w:hint="eastAsia" w:ascii="仿宋_GB2312" w:hAnsi="仿宋_GB2312" w:eastAsia="仿宋_GB2312" w:cs="仿宋_GB2312"/>
          <w:highlight w:val="none"/>
          <w:lang w:val="en-US" w:eastAsia="zh-CN"/>
        </w:rPr>
        <w:t>日常工作中，不断规范履约验收程序，健全运行机制，确保政府采购效果落到实处。</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25"/>
          <w:rFonts w:hint="default" w:ascii="楷体" w:hAnsi="楷体" w:eastAsia="楷体" w:cs="楷体"/>
          <w:kern w:val="2"/>
          <w:szCs w:val="32"/>
          <w:highlight w:val="none"/>
          <w:lang w:val="en-US" w:eastAsia="zh-CN" w:bidi="ar-SA"/>
        </w:rPr>
      </w:pPr>
      <w:bookmarkStart w:id="189" w:name="_Toc18984"/>
      <w:bookmarkStart w:id="190" w:name="_Toc11157"/>
      <w:r>
        <w:rPr>
          <w:rStyle w:val="25"/>
          <w:rFonts w:hint="eastAsia" w:ascii="楷体" w:hAnsi="楷体" w:eastAsia="楷体" w:cs="楷体"/>
          <w:kern w:val="2"/>
          <w:szCs w:val="32"/>
          <w:highlight w:val="none"/>
          <w:lang w:val="en-US" w:eastAsia="zh-CN" w:bidi="ar-SA"/>
        </w:rPr>
        <w:t>（三）深化项目管理，加快项目实施进度</w:t>
      </w:r>
      <w:bookmarkEnd w:id="189"/>
      <w:bookmarkEnd w:id="190"/>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一是</w:t>
      </w:r>
      <w:r>
        <w:rPr>
          <w:rFonts w:hint="eastAsia" w:ascii="仿宋_GB2312" w:hAnsi="仿宋_GB2312" w:eastAsia="仿宋_GB2312" w:cs="仿宋_GB2312"/>
          <w:highlight w:val="none"/>
          <w:lang w:val="en-US" w:eastAsia="zh-CN"/>
        </w:rPr>
        <w:t>进一步规范绩效指标的设置，提高绩效指标编制的合理性、科学性、规范性，通过绩效指标更好</w:t>
      </w:r>
      <w:r>
        <w:rPr>
          <w:rFonts w:hint="eastAsia" w:ascii="仿宋_GB2312" w:hAnsi="仿宋_GB2312" w:cs="仿宋_GB2312"/>
          <w:highlight w:val="none"/>
          <w:lang w:val="en-US" w:eastAsia="zh-CN"/>
        </w:rPr>
        <w:t>地反映出</w:t>
      </w:r>
      <w:r>
        <w:rPr>
          <w:rFonts w:hint="eastAsia" w:ascii="仿宋_GB2312" w:hAnsi="仿宋_GB2312" w:eastAsia="仿宋_GB2312" w:cs="仿宋_GB2312"/>
          <w:highlight w:val="none"/>
          <w:lang w:val="en-US" w:eastAsia="zh-CN"/>
        </w:rPr>
        <w:t>资金支出产生的产出及效益。做好绩效指标编制、审核，及时根据实际情况调整绩效指标，确保绩效指标切实可行、如期实现。</w:t>
      </w:r>
      <w:r>
        <w:rPr>
          <w:rFonts w:hint="eastAsia" w:ascii="仿宋_GB2312" w:hAnsi="仿宋_GB2312" w:cs="仿宋_GB2312"/>
          <w:highlight w:val="none"/>
          <w:lang w:val="en-US" w:eastAsia="zh-CN"/>
        </w:rPr>
        <w:t>二是</w:t>
      </w:r>
      <w:r>
        <w:rPr>
          <w:rFonts w:hint="eastAsia" w:ascii="仿宋_GB2312" w:hAnsi="仿宋_GB2312" w:eastAsia="仿宋_GB2312" w:cs="仿宋_GB2312"/>
          <w:highlight w:val="none"/>
          <w:lang w:val="en-US" w:eastAsia="zh-CN"/>
        </w:rPr>
        <w:t>严格落实年度工作计划，加强部门沟通，督促相关处室加快进度，提升工作效率，尽快完成各项指标年度目标。</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hint="eastAsia" w:ascii="黑体" w:hAnsi="黑体" w:eastAsia="黑体" w:cs="仿宋"/>
          <w:highlight w:val="none"/>
        </w:rPr>
      </w:pPr>
      <w:bookmarkStart w:id="191" w:name="_Toc14765"/>
      <w:bookmarkStart w:id="192" w:name="_Toc8653"/>
      <w:bookmarkStart w:id="193" w:name="_Toc31635"/>
      <w:r>
        <w:rPr>
          <w:rFonts w:hint="eastAsia" w:ascii="黑体" w:hAnsi="黑体" w:eastAsia="黑体" w:cs="仿宋"/>
          <w:highlight w:val="none"/>
        </w:rPr>
        <w:t>九、需要说明的问题</w:t>
      </w:r>
      <w:bookmarkEnd w:id="191"/>
      <w:bookmarkEnd w:id="192"/>
      <w:bookmarkEnd w:id="193"/>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无。</w:t>
      </w:r>
    </w:p>
    <w:p>
      <w:pPr>
        <w:pStyle w:val="2"/>
        <w:keepNext w:val="0"/>
        <w:keepLines w:val="0"/>
        <w:pageBreakBefore w:val="0"/>
        <w:widowControl w:val="0"/>
        <w:kinsoku/>
        <w:wordWrap/>
        <w:overflowPunct w:val="0"/>
        <w:topLinePunct w:val="0"/>
        <w:autoSpaceDE/>
        <w:autoSpaceDN/>
        <w:bidi w:val="0"/>
        <w:adjustRightInd/>
        <w:spacing w:line="660" w:lineRule="exact"/>
        <w:ind w:left="111" w:right="125" w:firstLine="639"/>
        <w:rPr>
          <w:rFonts w:ascii="仿宋" w:hAnsi="仿宋" w:eastAsia="仿宋" w:cs="仿宋"/>
          <w:highlight w:val="none"/>
        </w:rPr>
      </w:pPr>
      <w:r>
        <w:rPr>
          <w:rFonts w:hint="eastAsia" w:ascii="仿宋" w:hAnsi="仿宋" w:eastAsia="仿宋" w:cs="仿宋"/>
          <w:highlight w:val="none"/>
        </w:rPr>
        <w:t xml:space="preserve">                    </w:t>
      </w:r>
      <w:bookmarkStart w:id="194" w:name="_Toc28005"/>
    </w:p>
    <w:p>
      <w:pPr>
        <w:keepNext w:val="0"/>
        <w:keepLines w:val="0"/>
        <w:pageBreakBefore w:val="0"/>
        <w:widowControl w:val="0"/>
        <w:kinsoku/>
        <w:wordWrap/>
        <w:overflowPunct w:val="0"/>
        <w:topLinePunct w:val="0"/>
        <w:autoSpaceDE/>
        <w:autoSpaceDN/>
        <w:bidi w:val="0"/>
        <w:adjustRightInd/>
        <w:rPr>
          <w:rFonts w:hint="eastAsia" w:ascii="仿宋" w:hAnsi="仿宋" w:eastAsia="仿宋" w:cs="仿宋"/>
          <w:highlight w:val="none"/>
        </w:rPr>
      </w:pPr>
      <w:r>
        <w:rPr>
          <w:rFonts w:hint="eastAsia" w:ascii="仿宋" w:hAnsi="仿宋" w:eastAsia="仿宋" w:cs="仿宋"/>
          <w:highlight w:val="none"/>
        </w:rPr>
        <w:br w:type="page"/>
      </w:r>
    </w:p>
    <w:p>
      <w:pPr>
        <w:pStyle w:val="2"/>
        <w:keepNext w:val="0"/>
        <w:keepLines w:val="0"/>
        <w:pageBreakBefore w:val="0"/>
        <w:widowControl w:val="0"/>
        <w:kinsoku/>
        <w:wordWrap/>
        <w:overflowPunct w:val="0"/>
        <w:topLinePunct w:val="0"/>
        <w:autoSpaceDE/>
        <w:autoSpaceDN/>
        <w:bidi w:val="0"/>
        <w:adjustRightInd/>
        <w:spacing w:line="660" w:lineRule="exact"/>
        <w:outlineLvl w:val="9"/>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本页无正文</w:t>
      </w:r>
      <w:r>
        <w:rPr>
          <w:rFonts w:hint="eastAsia" w:ascii="仿宋" w:hAnsi="仿宋" w:eastAsia="仿宋" w:cs="仿宋"/>
          <w:highlight w:val="none"/>
          <w:lang w:eastAsia="zh-CN"/>
        </w:rPr>
        <w:t>）</w:t>
      </w:r>
    </w:p>
    <w:p>
      <w:pPr>
        <w:pStyle w:val="2"/>
        <w:keepNext w:val="0"/>
        <w:keepLines w:val="0"/>
        <w:pageBreakBefore w:val="0"/>
        <w:widowControl w:val="0"/>
        <w:kinsoku/>
        <w:wordWrap/>
        <w:overflowPunct w:val="0"/>
        <w:topLinePunct w:val="0"/>
        <w:autoSpaceDE/>
        <w:autoSpaceDN/>
        <w:bidi w:val="0"/>
        <w:adjustRightInd/>
        <w:spacing w:line="660" w:lineRule="exact"/>
        <w:outlineLvl w:val="9"/>
        <w:rPr>
          <w:rFonts w:ascii="仿宋" w:hAnsi="仿宋" w:eastAsia="仿宋" w:cs="仿宋"/>
          <w:highlight w:val="none"/>
        </w:rPr>
      </w:pPr>
      <w:r>
        <w:rPr>
          <w:rFonts w:hint="eastAsia" w:ascii="仿宋" w:hAnsi="仿宋" w:eastAsia="仿宋" w:cs="仿宋"/>
          <w:highlight w:val="none"/>
        </w:rPr>
        <w:t>附表：1.</w:t>
      </w:r>
      <w:bookmarkEnd w:id="194"/>
      <w:r>
        <w:rPr>
          <w:rFonts w:hint="eastAsia" w:ascii="仿宋" w:hAnsi="仿宋" w:eastAsia="仿宋" w:cs="仿宋"/>
          <w:highlight w:val="none"/>
        </w:rPr>
        <w:t>《法刊》（审判理论与实践）等印刷费项目支出绩效评价评分表</w:t>
      </w:r>
    </w:p>
    <w:p>
      <w:pPr>
        <w:pStyle w:val="2"/>
        <w:keepNext w:val="0"/>
        <w:keepLines w:val="0"/>
        <w:pageBreakBefore w:val="0"/>
        <w:widowControl w:val="0"/>
        <w:kinsoku/>
        <w:wordWrap/>
        <w:overflowPunct w:val="0"/>
        <w:topLinePunct w:val="0"/>
        <w:autoSpaceDE/>
        <w:autoSpaceDN/>
        <w:bidi w:val="0"/>
        <w:adjustRightInd/>
        <w:snapToGrid/>
        <w:spacing w:line="660" w:lineRule="exact"/>
        <w:ind w:firstLine="960" w:firstLineChars="300"/>
        <w:textAlignment w:val="auto"/>
        <w:outlineLvl w:val="9"/>
        <w:rPr>
          <w:rFonts w:hint="eastAsia" w:ascii="仿宋" w:hAnsi="仿宋" w:eastAsia="仿宋" w:cs="仿宋"/>
          <w:highlight w:val="none"/>
        </w:rPr>
      </w:pPr>
      <w:bookmarkStart w:id="195" w:name="_Toc15958"/>
      <w:r>
        <w:rPr>
          <w:rFonts w:hint="eastAsia" w:ascii="仿宋" w:hAnsi="仿宋" w:eastAsia="仿宋" w:cs="仿宋"/>
          <w:highlight w:val="none"/>
        </w:rPr>
        <w:t>2.《法刊》（审判理论与实践）等印刷费项目问题清单</w:t>
      </w:r>
    </w:p>
    <w:bookmarkEnd w:id="195"/>
    <w:p>
      <w:pPr>
        <w:keepNext w:val="0"/>
        <w:keepLines w:val="0"/>
        <w:pageBreakBefore w:val="0"/>
        <w:widowControl w:val="0"/>
        <w:kinsoku/>
        <w:wordWrap/>
        <w:overflowPunct w:val="0"/>
        <w:topLinePunct w:val="0"/>
        <w:autoSpaceDE/>
        <w:autoSpaceDN/>
        <w:bidi w:val="0"/>
        <w:adjustRightInd/>
        <w:snapToGrid/>
        <w:spacing w:line="660" w:lineRule="exact"/>
        <w:textAlignment w:val="auto"/>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r>
        <w:rPr>
          <w:rFonts w:hint="eastAsia" w:ascii="仿宋" w:hAnsi="仿宋" w:eastAsia="仿宋" w:cs="仿宋"/>
          <w:sz w:val="32"/>
          <w:szCs w:val="32"/>
          <w:highlight w:val="none"/>
        </w:rPr>
        <w:t xml:space="preserve">                           甘肃卓诚财务咨询有限公司</w:t>
      </w:r>
    </w:p>
    <w:p>
      <w:pPr>
        <w:pStyle w:val="12"/>
        <w:keepNext w:val="0"/>
        <w:keepLines w:val="0"/>
        <w:pageBreakBefore w:val="0"/>
        <w:widowControl w:val="0"/>
        <w:kinsoku/>
        <w:wordWrap/>
        <w:overflowPunct w:val="0"/>
        <w:topLinePunct w:val="0"/>
        <w:autoSpaceDE/>
        <w:autoSpaceDN/>
        <w:bidi w:val="0"/>
        <w:adjustRightInd/>
        <w:rPr>
          <w:rFonts w:ascii="仿宋" w:hAnsi="仿宋" w:eastAsia="仿宋" w:cs="仿宋"/>
          <w:sz w:val="32"/>
          <w:szCs w:val="32"/>
          <w:highlight w:val="none"/>
        </w:rPr>
      </w:pPr>
      <w:r>
        <w:rPr>
          <w:rFonts w:hint="eastAsia" w:ascii="仿宋" w:hAnsi="仿宋" w:eastAsia="仿宋" w:cs="仿宋"/>
          <w:sz w:val="32"/>
          <w:szCs w:val="32"/>
          <w:highlight w:val="none"/>
        </w:rPr>
        <w:t xml:space="preserve">                                     </w:t>
      </w:r>
    </w:p>
    <w:p>
      <w:pPr>
        <w:pStyle w:val="12"/>
        <w:keepNext w:val="0"/>
        <w:keepLines w:val="0"/>
        <w:pageBreakBefore w:val="0"/>
        <w:widowControl w:val="0"/>
        <w:kinsoku/>
        <w:wordWrap/>
        <w:overflowPunct w:val="0"/>
        <w:topLinePunct w:val="0"/>
        <w:autoSpaceDE/>
        <w:autoSpaceDN/>
        <w:bidi w:val="0"/>
        <w:adjustRightInd/>
        <w:ind w:firstLine="5120" w:firstLineChars="1600"/>
        <w:rPr>
          <w:rFonts w:ascii="仿宋" w:hAnsi="仿宋" w:eastAsia="仿宋" w:cs="仿宋"/>
          <w:sz w:val="32"/>
          <w:szCs w:val="32"/>
          <w:highlight w:val="none"/>
        </w:r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29</w:t>
      </w:r>
      <w:r>
        <w:rPr>
          <w:rFonts w:hint="eastAsia" w:ascii="仿宋" w:hAnsi="仿宋" w:eastAsia="仿宋" w:cs="仿宋"/>
          <w:sz w:val="32"/>
          <w:szCs w:val="32"/>
          <w:highlight w:val="none"/>
        </w:rPr>
        <w:t>日</w:t>
      </w:r>
    </w:p>
    <w:sectPr>
      <w:headerReference r:id="rId10" w:type="first"/>
      <w:footerReference r:id="rId12" w:type="first"/>
      <w:footerReference r:id="rId11" w:type="default"/>
      <w:pgSz w:w="11906" w:h="16838"/>
      <w:pgMar w:top="1440" w:right="1803" w:bottom="1440" w:left="1803" w:header="851" w:footer="992" w:gutter="0"/>
      <w:pgBorders>
        <w:top w:val="none" w:sz="0" w:space="0"/>
        <w:left w:val="none" w:sz="0" w:space="0"/>
        <w:bottom w:val="none" w:sz="0" w:space="0"/>
        <w:right w:val="none" w:sz="0" w:space="0"/>
      </w:pgBorders>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155FCE-B2DF-4734-B078-33754FE0AB4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E1418DCA-CBDB-4FE3-93D7-0F1224BEFCDB}"/>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51038F00-6A20-43A5-896D-1C74E657395B}"/>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embedRegular r:id="rId4" w:fontKey="{4A2D200B-D411-4459-A96F-D501D1A87633}"/>
  </w:font>
  <w:font w:name="楷体">
    <w:panose1 w:val="02010609060101010101"/>
    <w:charset w:val="86"/>
    <w:family w:val="modern"/>
    <w:pitch w:val="default"/>
    <w:sig w:usb0="800002BF" w:usb1="38CF7CFA" w:usb2="00000016" w:usb3="00000000" w:csb0="00040001" w:csb1="00000000"/>
    <w:embedRegular r:id="rId5" w:fontKey="{78F3435C-ED96-43F5-9E6B-4CADC08189E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single" w:color="auto" w:sz="4" w:space="0"/>
      </w:pBdr>
      <w:jc w:val="center"/>
      <w:rPr>
        <w:rFonts w:hint="eastAsia" w:ascii="黑体" w:hAnsi="黑体" w:eastAsia="黑体" w:cs="黑体"/>
        <w:b w:val="0"/>
        <w:bCs w:val="0"/>
        <w:lang w:val="en-US" w:eastAsia="zh-CN"/>
      </w:rPr>
    </w:pP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w:t>
    </w:r>
    <w:r>
      <w:rPr>
        <w:rFonts w:hint="eastAsia" w:ascii="黑体" w:hAnsi="黑体" w:eastAsia="黑体" w:cs="黑体"/>
        <w:b w:val="0"/>
        <w:bCs w:val="0"/>
        <w:lang w:val="en-US" w:eastAsia="zh-CN"/>
      </w:rPr>
      <w:t>9</w: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single" w:color="auto" w:sz="4" w:space="0"/>
      </w:pBdr>
      <w:jc w:val="center"/>
      <w:rPr>
        <w:rFonts w:hint="eastAsia" w:ascii="黑体" w:hAnsi="黑体" w:eastAsia="黑体" w:cs="黑体"/>
        <w:b w:val="0"/>
        <w:bCs w:val="0"/>
        <w:lang w:val="en-US" w:eastAsia="zh-CN"/>
      </w:rPr>
    </w:pP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w:t>
    </w:r>
    <w:r>
      <w:rPr>
        <w:rFonts w:hint="eastAsia" w:ascii="黑体" w:hAnsi="黑体" w:eastAsia="黑体" w:cs="黑体"/>
        <w:b w:val="0"/>
        <w:bCs w:val="0"/>
        <w:lang w:val="en-US" w:eastAsia="zh-CN"/>
      </w:rPr>
      <w:t>9</w: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single" w:color="auto" w:sz="4" w:space="0"/>
      </w:pBdr>
      <w:jc w:val="center"/>
      <w:rPr>
        <w:rFonts w:hint="eastAsia" w:ascii="黑体" w:hAnsi="黑体" w:eastAsia="黑体" w:cs="黑体"/>
        <w:b w:val="0"/>
        <w:bCs w:val="0"/>
        <w:lang w:val="en-US" w:eastAsia="zh-CN"/>
      </w:rPr>
    </w:pP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w:t>
    </w:r>
    <w:r>
      <w:rPr>
        <w:rFonts w:hint="eastAsia" w:ascii="黑体" w:hAnsi="黑体" w:eastAsia="黑体" w:cs="黑体"/>
        <w:b w:val="0"/>
        <w:bCs w:val="0"/>
        <w:lang w:val="en-US" w:eastAsia="zh-CN"/>
      </w:rPr>
      <w:t>9</w:t>
    </w:r>
  </w:p>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2573020</wp:posOffset>
              </wp:positionH>
              <wp:positionV relativeFrom="paragraph">
                <wp:posOffset>114300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2.6pt;margin-top:9pt;height:144pt;width:144pt;mso-position-horizontal-relative:margin;mso-wrap-style:none;z-index:251659264;mso-width-relative:page;mso-height-relative:page;" filled="f" stroked="f" coordsize="21600,21600" o:gfxdata="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e1ZgdcAAAAKAQAADwAAAAAAAAABACAAAAAiAAAAZHJzL2Rvd25yZXYueG1s&#10;UEsBAhQAFAAAAAgAh07iQH+OrREyAgAAYQQAAA4AAAAAAAAAAQAgAAAAJgEAAGRycy9lMm9Eb2Mu&#10;eG1sUEsFBgAAAAAGAAYAWQEAAMo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both"/>
    </w:pPr>
    <w:r>
      <w:rPr>
        <w:sz w:val="18"/>
      </w:rPr>
      <mc:AlternateContent>
        <mc:Choice Requires="wps">
          <w:drawing>
            <wp:anchor distT="0" distB="0" distL="114300" distR="114300" simplePos="0" relativeHeight="251660288" behindDoc="0" locked="0" layoutInCell="1" allowOverlap="1">
              <wp:simplePos x="0" y="0"/>
              <wp:positionH relativeFrom="margin">
                <wp:posOffset>2546985</wp:posOffset>
              </wp:positionH>
              <wp:positionV relativeFrom="paragraph">
                <wp:posOffset>229235</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0.55pt;margin-top:18.05pt;height:144pt;width:144pt;mso-position-horizontal-relative:margin;mso-wrap-style:none;z-index:251660288;mso-width-relative:page;mso-height-relative:page;" filled="f" stroked="f" coordsize="21600,21600" o:gfxdata="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RlEwTWAAAACgEAAA8AAAAAAAAAAQAgAAAAIgAAAGRycy9kb3ducmV2LnhtbFBL&#10;AQIUABQAAAAIAIdO4kAwiRJeMQIAAGEEAAAOAAAAAAAAAAEAIAAAACUBAABkcnMvZTJvRG9jLnht&#10;bFBLBQYAAAAABgAGAFkBAADI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7</w:t>
                    </w:r>
                    <w:r>
                      <w:fldChar w:fldCharType="end"/>
                    </w:r>
                  </w:p>
                </w:txbxContent>
              </v:textbox>
            </v:shape>
          </w:pict>
        </mc:Fallback>
      </mc:AlternateContent>
    </w: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0" w:firstLineChars="0"/>
      <w:jc w:val="both"/>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1" name="图片 1"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w:t>
    </w:r>
    <w:r>
      <w:rPr>
        <w:rFonts w:hint="eastAsia" w:ascii="仿宋" w:hAnsi="仿宋" w:eastAsia="仿宋" w:cs="仿宋"/>
        <w:b/>
        <w:color w:val="000000" w:themeColor="text1"/>
        <w:u w:val="single"/>
        <w:lang w:val="en-US" w:eastAsia="zh-CN"/>
        <w14:textFill>
          <w14:solidFill>
            <w14:schemeClr w14:val="tx1"/>
          </w14:solidFill>
        </w14:textFill>
      </w:rPr>
      <w:t xml:space="preserve">                                                                      绩效评价报告</w:t>
    </w:r>
  </w:p>
  <w:p>
    <w:pPr>
      <w:pStyle w:val="12"/>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0" w:firstLineChars="0"/>
      <w:jc w:val="both"/>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2" name="图片 2"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w:t>
    </w:r>
    <w:r>
      <w:rPr>
        <w:rFonts w:hint="eastAsia" w:ascii="仿宋" w:hAnsi="仿宋" w:eastAsia="仿宋" w:cs="仿宋"/>
        <w:b/>
        <w:color w:val="000000" w:themeColor="text1"/>
        <w:u w:val="single"/>
        <w:lang w:val="en-US" w:eastAsia="zh-CN"/>
        <w14:textFill>
          <w14:solidFill>
            <w14:schemeClr w14:val="tx1"/>
          </w14:solidFill>
        </w14:textFill>
      </w:rPr>
      <w:t xml:space="preserve">                                                                      绩效评价报告</w:t>
    </w:r>
  </w:p>
  <w:p>
    <w:pPr>
      <w:pStyle w:val="12"/>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7D1ACB"/>
    <w:multiLevelType w:val="singleLevel"/>
    <w:tmpl w:val="1A7D1ACB"/>
    <w:lvl w:ilvl="0" w:tentative="0">
      <w:start w:val="5"/>
      <w:numFmt w:val="chineseCounting"/>
      <w:suff w:val="nothing"/>
      <w:lvlText w:val="%1、"/>
      <w:lvlJc w:val="left"/>
      <w:rPr>
        <w:rFonts w:hint="eastAsia"/>
      </w:rPr>
    </w:lvl>
  </w:abstractNum>
  <w:abstractNum w:abstractNumId="1">
    <w:nsid w:val="7B6D6B77"/>
    <w:multiLevelType w:val="singleLevel"/>
    <w:tmpl w:val="7B6D6B7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lYmY1MTgwOGU5Yjc1ZjhiNGE5NWFhODQxN2YyNjIifQ=="/>
  </w:docVars>
  <w:rsids>
    <w:rsidRoot w:val="0F9473FE"/>
    <w:rsid w:val="0000216A"/>
    <w:rsid w:val="00037090"/>
    <w:rsid w:val="00046BCA"/>
    <w:rsid w:val="00051C05"/>
    <w:rsid w:val="00064326"/>
    <w:rsid w:val="000643BA"/>
    <w:rsid w:val="000753A4"/>
    <w:rsid w:val="000A4E2C"/>
    <w:rsid w:val="000C1B1E"/>
    <w:rsid w:val="000F2060"/>
    <w:rsid w:val="000F34E0"/>
    <w:rsid w:val="00100C77"/>
    <w:rsid w:val="001104A4"/>
    <w:rsid w:val="001105B7"/>
    <w:rsid w:val="00112EEC"/>
    <w:rsid w:val="001318C8"/>
    <w:rsid w:val="00137C9D"/>
    <w:rsid w:val="00140940"/>
    <w:rsid w:val="0014363A"/>
    <w:rsid w:val="001531B6"/>
    <w:rsid w:val="0015398F"/>
    <w:rsid w:val="00170334"/>
    <w:rsid w:val="00172CD5"/>
    <w:rsid w:val="00172DFF"/>
    <w:rsid w:val="001B6342"/>
    <w:rsid w:val="00203DC9"/>
    <w:rsid w:val="00232042"/>
    <w:rsid w:val="002324DF"/>
    <w:rsid w:val="00246D16"/>
    <w:rsid w:val="002555FD"/>
    <w:rsid w:val="00256EBC"/>
    <w:rsid w:val="00267454"/>
    <w:rsid w:val="002967A9"/>
    <w:rsid w:val="00296D38"/>
    <w:rsid w:val="002A7299"/>
    <w:rsid w:val="002D1330"/>
    <w:rsid w:val="002D789A"/>
    <w:rsid w:val="002D79DD"/>
    <w:rsid w:val="002E3891"/>
    <w:rsid w:val="002E6422"/>
    <w:rsid w:val="002F33E7"/>
    <w:rsid w:val="00307F85"/>
    <w:rsid w:val="0031439E"/>
    <w:rsid w:val="00351E08"/>
    <w:rsid w:val="00355885"/>
    <w:rsid w:val="00355CF4"/>
    <w:rsid w:val="003631E5"/>
    <w:rsid w:val="00363DA7"/>
    <w:rsid w:val="0036744F"/>
    <w:rsid w:val="00375AD2"/>
    <w:rsid w:val="0038540D"/>
    <w:rsid w:val="003947F2"/>
    <w:rsid w:val="00395522"/>
    <w:rsid w:val="00395F53"/>
    <w:rsid w:val="003B223D"/>
    <w:rsid w:val="003B748F"/>
    <w:rsid w:val="003C0E0C"/>
    <w:rsid w:val="003D5C85"/>
    <w:rsid w:val="003F7310"/>
    <w:rsid w:val="003F742B"/>
    <w:rsid w:val="004001D5"/>
    <w:rsid w:val="00416B2C"/>
    <w:rsid w:val="00423018"/>
    <w:rsid w:val="00427FB9"/>
    <w:rsid w:val="00433725"/>
    <w:rsid w:val="004349C8"/>
    <w:rsid w:val="00436D4B"/>
    <w:rsid w:val="00440370"/>
    <w:rsid w:val="004617FB"/>
    <w:rsid w:val="004718C0"/>
    <w:rsid w:val="004731A6"/>
    <w:rsid w:val="00476AA1"/>
    <w:rsid w:val="0048717A"/>
    <w:rsid w:val="004C148D"/>
    <w:rsid w:val="004C24F5"/>
    <w:rsid w:val="004D25FD"/>
    <w:rsid w:val="004E55D3"/>
    <w:rsid w:val="004F1576"/>
    <w:rsid w:val="005004FB"/>
    <w:rsid w:val="005035F7"/>
    <w:rsid w:val="00504267"/>
    <w:rsid w:val="005047DE"/>
    <w:rsid w:val="00514103"/>
    <w:rsid w:val="00515E36"/>
    <w:rsid w:val="0053373A"/>
    <w:rsid w:val="00533BBE"/>
    <w:rsid w:val="005344A8"/>
    <w:rsid w:val="00536626"/>
    <w:rsid w:val="005530FC"/>
    <w:rsid w:val="00572A18"/>
    <w:rsid w:val="005862D0"/>
    <w:rsid w:val="00597E41"/>
    <w:rsid w:val="005B0FE6"/>
    <w:rsid w:val="005C019D"/>
    <w:rsid w:val="005C09A6"/>
    <w:rsid w:val="005C259C"/>
    <w:rsid w:val="005D164E"/>
    <w:rsid w:val="005E347C"/>
    <w:rsid w:val="005F3E31"/>
    <w:rsid w:val="0061647A"/>
    <w:rsid w:val="00620CB8"/>
    <w:rsid w:val="006303E4"/>
    <w:rsid w:val="00631C33"/>
    <w:rsid w:val="00637972"/>
    <w:rsid w:val="00641904"/>
    <w:rsid w:val="0064468F"/>
    <w:rsid w:val="0065294B"/>
    <w:rsid w:val="006704C2"/>
    <w:rsid w:val="00684C32"/>
    <w:rsid w:val="006A1158"/>
    <w:rsid w:val="006A4011"/>
    <w:rsid w:val="006A471F"/>
    <w:rsid w:val="006A5198"/>
    <w:rsid w:val="006A6FA3"/>
    <w:rsid w:val="006B6EB9"/>
    <w:rsid w:val="006C0F31"/>
    <w:rsid w:val="006C55BC"/>
    <w:rsid w:val="006C56EC"/>
    <w:rsid w:val="006C5913"/>
    <w:rsid w:val="006E2763"/>
    <w:rsid w:val="006F74A7"/>
    <w:rsid w:val="0070777E"/>
    <w:rsid w:val="00736A39"/>
    <w:rsid w:val="007406DE"/>
    <w:rsid w:val="00742474"/>
    <w:rsid w:val="007433B6"/>
    <w:rsid w:val="0074366E"/>
    <w:rsid w:val="00746793"/>
    <w:rsid w:val="0077156E"/>
    <w:rsid w:val="007777B8"/>
    <w:rsid w:val="007805A7"/>
    <w:rsid w:val="007900CD"/>
    <w:rsid w:val="0079033E"/>
    <w:rsid w:val="007A100D"/>
    <w:rsid w:val="007C2CDD"/>
    <w:rsid w:val="007C7458"/>
    <w:rsid w:val="007D441F"/>
    <w:rsid w:val="007E3DA4"/>
    <w:rsid w:val="0080585C"/>
    <w:rsid w:val="00822FBE"/>
    <w:rsid w:val="00831664"/>
    <w:rsid w:val="00832BAA"/>
    <w:rsid w:val="008373D0"/>
    <w:rsid w:val="00843CDD"/>
    <w:rsid w:val="00852BC1"/>
    <w:rsid w:val="00866593"/>
    <w:rsid w:val="00867C57"/>
    <w:rsid w:val="00871FEC"/>
    <w:rsid w:val="008847BB"/>
    <w:rsid w:val="00885368"/>
    <w:rsid w:val="008954E9"/>
    <w:rsid w:val="008A4C06"/>
    <w:rsid w:val="008C1FAF"/>
    <w:rsid w:val="008C37C5"/>
    <w:rsid w:val="008C5384"/>
    <w:rsid w:val="008C7D70"/>
    <w:rsid w:val="008D2AEF"/>
    <w:rsid w:val="008D6707"/>
    <w:rsid w:val="008E68A7"/>
    <w:rsid w:val="008F3CDC"/>
    <w:rsid w:val="0092595D"/>
    <w:rsid w:val="00951D57"/>
    <w:rsid w:val="009522FA"/>
    <w:rsid w:val="00952A97"/>
    <w:rsid w:val="009532AE"/>
    <w:rsid w:val="009556AA"/>
    <w:rsid w:val="00962C53"/>
    <w:rsid w:val="00984208"/>
    <w:rsid w:val="009A5F10"/>
    <w:rsid w:val="009C488C"/>
    <w:rsid w:val="009C7579"/>
    <w:rsid w:val="00A0647F"/>
    <w:rsid w:val="00A0735D"/>
    <w:rsid w:val="00A130AA"/>
    <w:rsid w:val="00A4749D"/>
    <w:rsid w:val="00A50ACF"/>
    <w:rsid w:val="00A65C51"/>
    <w:rsid w:val="00A779D6"/>
    <w:rsid w:val="00A94859"/>
    <w:rsid w:val="00A95371"/>
    <w:rsid w:val="00AA7F7A"/>
    <w:rsid w:val="00AE6EF7"/>
    <w:rsid w:val="00AF3AD7"/>
    <w:rsid w:val="00B07904"/>
    <w:rsid w:val="00B07C4B"/>
    <w:rsid w:val="00B14C20"/>
    <w:rsid w:val="00B2231F"/>
    <w:rsid w:val="00B31FF4"/>
    <w:rsid w:val="00B570AE"/>
    <w:rsid w:val="00B61F9A"/>
    <w:rsid w:val="00B77331"/>
    <w:rsid w:val="00B9317B"/>
    <w:rsid w:val="00B95E7C"/>
    <w:rsid w:val="00BC1290"/>
    <w:rsid w:val="00BD3CCA"/>
    <w:rsid w:val="00BD632C"/>
    <w:rsid w:val="00C010A7"/>
    <w:rsid w:val="00C34C1C"/>
    <w:rsid w:val="00C4547F"/>
    <w:rsid w:val="00C63032"/>
    <w:rsid w:val="00C84D69"/>
    <w:rsid w:val="00CA5249"/>
    <w:rsid w:val="00CB64D6"/>
    <w:rsid w:val="00CE12D1"/>
    <w:rsid w:val="00D37060"/>
    <w:rsid w:val="00D40F23"/>
    <w:rsid w:val="00D42B30"/>
    <w:rsid w:val="00D71E50"/>
    <w:rsid w:val="00D71E6D"/>
    <w:rsid w:val="00D7279D"/>
    <w:rsid w:val="00D76F46"/>
    <w:rsid w:val="00D97669"/>
    <w:rsid w:val="00DC76C2"/>
    <w:rsid w:val="00DD753B"/>
    <w:rsid w:val="00DE6582"/>
    <w:rsid w:val="00E070C6"/>
    <w:rsid w:val="00E35CB0"/>
    <w:rsid w:val="00E67E6B"/>
    <w:rsid w:val="00E7278C"/>
    <w:rsid w:val="00EB0813"/>
    <w:rsid w:val="00ED264E"/>
    <w:rsid w:val="00ED2CC9"/>
    <w:rsid w:val="00ED629E"/>
    <w:rsid w:val="00EE1878"/>
    <w:rsid w:val="00EE1E54"/>
    <w:rsid w:val="00EE2984"/>
    <w:rsid w:val="00F1037C"/>
    <w:rsid w:val="00F12EF7"/>
    <w:rsid w:val="00F613D1"/>
    <w:rsid w:val="00F62C47"/>
    <w:rsid w:val="00F772C2"/>
    <w:rsid w:val="00F80F07"/>
    <w:rsid w:val="00F835CD"/>
    <w:rsid w:val="00FA6867"/>
    <w:rsid w:val="00FD1277"/>
    <w:rsid w:val="00FD6444"/>
    <w:rsid w:val="031318D1"/>
    <w:rsid w:val="036661BA"/>
    <w:rsid w:val="03B94246"/>
    <w:rsid w:val="03E97283"/>
    <w:rsid w:val="045645C0"/>
    <w:rsid w:val="049E3BEA"/>
    <w:rsid w:val="07140A9A"/>
    <w:rsid w:val="087072CA"/>
    <w:rsid w:val="08F22909"/>
    <w:rsid w:val="0B2A6580"/>
    <w:rsid w:val="0F9473FE"/>
    <w:rsid w:val="0FF03D3B"/>
    <w:rsid w:val="10D92909"/>
    <w:rsid w:val="1133610C"/>
    <w:rsid w:val="125C110E"/>
    <w:rsid w:val="13071A5B"/>
    <w:rsid w:val="132C6ADB"/>
    <w:rsid w:val="142D5185"/>
    <w:rsid w:val="16D572E4"/>
    <w:rsid w:val="178E68E1"/>
    <w:rsid w:val="187769F1"/>
    <w:rsid w:val="19654911"/>
    <w:rsid w:val="196E143C"/>
    <w:rsid w:val="19871A5C"/>
    <w:rsid w:val="1E9159EE"/>
    <w:rsid w:val="1EA571D7"/>
    <w:rsid w:val="1EA96F39"/>
    <w:rsid w:val="1F037124"/>
    <w:rsid w:val="20D3201F"/>
    <w:rsid w:val="226D6F9C"/>
    <w:rsid w:val="22B834CC"/>
    <w:rsid w:val="22BA6C58"/>
    <w:rsid w:val="22F977E7"/>
    <w:rsid w:val="24B3368D"/>
    <w:rsid w:val="24FF4DBF"/>
    <w:rsid w:val="256D300D"/>
    <w:rsid w:val="26C47DB8"/>
    <w:rsid w:val="277C2B6C"/>
    <w:rsid w:val="28184F18"/>
    <w:rsid w:val="2ADE163F"/>
    <w:rsid w:val="2B322BF8"/>
    <w:rsid w:val="2CB02D9F"/>
    <w:rsid w:val="2D637948"/>
    <w:rsid w:val="2DC51834"/>
    <w:rsid w:val="2E3A29A3"/>
    <w:rsid w:val="2EC7583D"/>
    <w:rsid w:val="2F0A59C4"/>
    <w:rsid w:val="32545E6A"/>
    <w:rsid w:val="32B1544F"/>
    <w:rsid w:val="336851BD"/>
    <w:rsid w:val="33CF0D98"/>
    <w:rsid w:val="35A95619"/>
    <w:rsid w:val="378C532A"/>
    <w:rsid w:val="38830D8A"/>
    <w:rsid w:val="38C45C47"/>
    <w:rsid w:val="3A0379ED"/>
    <w:rsid w:val="3A49589C"/>
    <w:rsid w:val="3BF42446"/>
    <w:rsid w:val="3C6E1044"/>
    <w:rsid w:val="3E1D2536"/>
    <w:rsid w:val="40692574"/>
    <w:rsid w:val="40B11F25"/>
    <w:rsid w:val="42C321E3"/>
    <w:rsid w:val="445F69EB"/>
    <w:rsid w:val="44CF424F"/>
    <w:rsid w:val="44FE7ACA"/>
    <w:rsid w:val="452D4FD9"/>
    <w:rsid w:val="454F4568"/>
    <w:rsid w:val="45706814"/>
    <w:rsid w:val="45B707FB"/>
    <w:rsid w:val="46F96E62"/>
    <w:rsid w:val="47207120"/>
    <w:rsid w:val="477E254E"/>
    <w:rsid w:val="483B5A4C"/>
    <w:rsid w:val="490002A0"/>
    <w:rsid w:val="49F22E5E"/>
    <w:rsid w:val="4A7A052A"/>
    <w:rsid w:val="4FCE631F"/>
    <w:rsid w:val="512824DF"/>
    <w:rsid w:val="52B60F79"/>
    <w:rsid w:val="531A233B"/>
    <w:rsid w:val="54602A07"/>
    <w:rsid w:val="549728DF"/>
    <w:rsid w:val="54AA7074"/>
    <w:rsid w:val="54E52762"/>
    <w:rsid w:val="55EB5D70"/>
    <w:rsid w:val="566B3DA7"/>
    <w:rsid w:val="56841443"/>
    <w:rsid w:val="57114DA6"/>
    <w:rsid w:val="57BA3C8B"/>
    <w:rsid w:val="587A4EC7"/>
    <w:rsid w:val="5D4D151D"/>
    <w:rsid w:val="5D5C1A81"/>
    <w:rsid w:val="5EBE14D9"/>
    <w:rsid w:val="5EF872DF"/>
    <w:rsid w:val="5F613402"/>
    <w:rsid w:val="62D957B2"/>
    <w:rsid w:val="65527A8B"/>
    <w:rsid w:val="67746BAD"/>
    <w:rsid w:val="67B17EB8"/>
    <w:rsid w:val="68807C45"/>
    <w:rsid w:val="69A41DA4"/>
    <w:rsid w:val="6B9D61A3"/>
    <w:rsid w:val="6BFF7765"/>
    <w:rsid w:val="6C9C047D"/>
    <w:rsid w:val="6D416721"/>
    <w:rsid w:val="6DD32120"/>
    <w:rsid w:val="6E0B772C"/>
    <w:rsid w:val="6E2C310F"/>
    <w:rsid w:val="6ED83431"/>
    <w:rsid w:val="6FC00ECA"/>
    <w:rsid w:val="6FCA5E2A"/>
    <w:rsid w:val="70593D8C"/>
    <w:rsid w:val="70D40212"/>
    <w:rsid w:val="722D639D"/>
    <w:rsid w:val="72DB17DE"/>
    <w:rsid w:val="73B73DD2"/>
    <w:rsid w:val="73EF3D7E"/>
    <w:rsid w:val="74E76ED0"/>
    <w:rsid w:val="760D4365"/>
    <w:rsid w:val="795A27B0"/>
    <w:rsid w:val="79AB0441"/>
    <w:rsid w:val="7B5F3D7C"/>
    <w:rsid w:val="7BE944F5"/>
    <w:rsid w:val="7C220811"/>
    <w:rsid w:val="7C367028"/>
    <w:rsid w:val="7D0D64B1"/>
    <w:rsid w:val="7F042647"/>
    <w:rsid w:val="7F3D0469"/>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25"/>
    <w:unhideWhenUsed/>
    <w:qFormat/>
    <w:uiPriority w:val="0"/>
    <w:pPr>
      <w:keepNext/>
      <w:keepLines/>
      <w:spacing w:line="360" w:lineRule="auto"/>
      <w:ind w:firstLine="200" w:firstLineChars="200"/>
      <w:outlineLvl w:val="1"/>
    </w:pPr>
    <w:rPr>
      <w:rFonts w:ascii="Arial" w:hAnsi="Arial" w:eastAsia="仿宋"/>
      <w:b/>
      <w:sz w:val="32"/>
    </w:rPr>
  </w:style>
  <w:style w:type="paragraph" w:styleId="6">
    <w:name w:val="heading 3"/>
    <w:basedOn w:val="1"/>
    <w:next w:val="1"/>
    <w:unhideWhenUsed/>
    <w:qFormat/>
    <w:uiPriority w:val="0"/>
    <w:pPr>
      <w:keepNext/>
      <w:keepLines/>
      <w:spacing w:before="260" w:after="260" w:line="413" w:lineRule="auto"/>
      <w:outlineLvl w:val="2"/>
    </w:pPr>
    <w:rPr>
      <w:b/>
      <w:sz w:val="32"/>
    </w:rPr>
  </w:style>
  <w:style w:type="paragraph" w:styleId="7">
    <w:name w:val="heading 6"/>
    <w:basedOn w:val="1"/>
    <w:next w:val="1"/>
    <w:qFormat/>
    <w:uiPriority w:val="9"/>
    <w:pPr>
      <w:keepNext/>
      <w:keepLines/>
      <w:spacing w:line="360" w:lineRule="auto"/>
      <w:outlineLvl w:val="5"/>
    </w:pPr>
    <w:rPr>
      <w:rFonts w:ascii="Cambria" w:hAnsi="Cambria" w:cs="Times New Roman"/>
      <w:bCs/>
      <w:sz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rPr>
      <w:rFonts w:eastAsia="仿宋_GB2312" w:asciiTheme="minorAscii" w:hAnsiTheme="minorAscii"/>
      <w:sz w:val="32"/>
      <w:szCs w:val="32"/>
    </w:rPr>
  </w:style>
  <w:style w:type="paragraph" w:styleId="3">
    <w:name w:val="footer"/>
    <w:basedOn w:val="1"/>
    <w:link w:val="26"/>
    <w:qFormat/>
    <w:uiPriority w:val="99"/>
    <w:pPr>
      <w:tabs>
        <w:tab w:val="center" w:pos="4153"/>
        <w:tab w:val="right" w:pos="8306"/>
      </w:tabs>
      <w:snapToGrid w:val="0"/>
      <w:jc w:val="left"/>
    </w:pPr>
    <w:rPr>
      <w:sz w:val="18"/>
    </w:rPr>
  </w:style>
  <w:style w:type="paragraph" w:styleId="8">
    <w:name w:val="annotation text"/>
    <w:basedOn w:val="1"/>
    <w:qFormat/>
    <w:uiPriority w:val="0"/>
    <w:pPr>
      <w:jc w:val="left"/>
    </w:pPr>
  </w:style>
  <w:style w:type="paragraph" w:styleId="9">
    <w:name w:val="toc 3"/>
    <w:basedOn w:val="1"/>
    <w:next w:val="1"/>
    <w:qFormat/>
    <w:uiPriority w:val="0"/>
    <w:pPr>
      <w:ind w:left="840" w:leftChars="400"/>
    </w:pPr>
  </w:style>
  <w:style w:type="paragraph" w:styleId="10">
    <w:name w:val="Body Text Indent 2"/>
    <w:basedOn w:val="1"/>
    <w:next w:val="11"/>
    <w:qFormat/>
    <w:uiPriority w:val="0"/>
    <w:pPr>
      <w:spacing w:after="120" w:line="480" w:lineRule="auto"/>
      <w:ind w:left="420" w:leftChars="200"/>
    </w:pPr>
    <w:rPr>
      <w:rFonts w:ascii="Calibri" w:hAnsi="Calibri" w:eastAsia="宋体"/>
    </w:rPr>
  </w:style>
  <w:style w:type="paragraph" w:styleId="11">
    <w:name w:val="toc 9"/>
    <w:next w:val="1"/>
    <w:qFormat/>
    <w:uiPriority w:val="0"/>
    <w:pPr>
      <w:wordWrap w:val="0"/>
      <w:ind w:left="2975"/>
      <w:jc w:val="both"/>
    </w:pPr>
    <w:rPr>
      <w:rFonts w:ascii="Calibri" w:hAnsi="Calibri" w:eastAsia="宋体" w:cs="Times New Roman"/>
      <w:sz w:val="21"/>
      <w:szCs w:val="22"/>
      <w:lang w:val="en-US" w:eastAsia="zh-CN" w:bidi="ar-SA"/>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正文文本缩进 21"/>
    <w:basedOn w:val="1"/>
    <w:next w:val="12"/>
    <w:qFormat/>
    <w:uiPriority w:val="0"/>
    <w:pPr>
      <w:spacing w:line="480" w:lineRule="auto"/>
      <w:ind w:left="420" w:leftChars="200"/>
    </w:pPr>
  </w:style>
  <w:style w:type="paragraph" w:customStyle="1" w:styleId="19">
    <w:name w:val="样式  + 首行缩进:  2 字符"/>
    <w:basedOn w:val="1"/>
    <w:qFormat/>
    <w:uiPriority w:val="0"/>
    <w:pPr>
      <w:adjustRightInd w:val="0"/>
      <w:snapToGrid w:val="0"/>
      <w:ind w:firstLine="480"/>
    </w:pPr>
    <w:rPr>
      <w:kern w:val="0"/>
      <w:sz w:val="24"/>
    </w:rPr>
  </w:style>
  <w:style w:type="paragraph" w:styleId="20">
    <w:name w:val="List Paragraph"/>
    <w:basedOn w:val="1"/>
    <w:qFormat/>
    <w:uiPriority w:val="99"/>
    <w:pPr>
      <w:ind w:firstLine="420" w:firstLineChars="200"/>
    </w:p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3">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4">
    <w:name w:val="标题 1 字符"/>
    <w:basedOn w:val="17"/>
    <w:link w:val="4"/>
    <w:qFormat/>
    <w:uiPriority w:val="0"/>
    <w:rPr>
      <w:rFonts w:asciiTheme="minorHAnsi" w:hAnsiTheme="minorHAnsi" w:eastAsiaTheme="minorEastAsia" w:cstheme="minorBidi"/>
      <w:b/>
      <w:bCs/>
      <w:kern w:val="44"/>
      <w:sz w:val="44"/>
      <w:szCs w:val="44"/>
    </w:rPr>
  </w:style>
  <w:style w:type="character" w:customStyle="1" w:styleId="25">
    <w:name w:val="标题 2 字符"/>
    <w:link w:val="5"/>
    <w:qFormat/>
    <w:uiPriority w:val="0"/>
    <w:rPr>
      <w:rFonts w:ascii="Arial" w:hAnsi="Arial" w:eastAsia="仿宋"/>
      <w:b/>
      <w:sz w:val="32"/>
    </w:rPr>
  </w:style>
  <w:style w:type="character" w:customStyle="1" w:styleId="26">
    <w:name w:val="页脚 字符"/>
    <w:basedOn w:val="17"/>
    <w:link w:val="3"/>
    <w:qFormat/>
    <w:uiPriority w:val="99"/>
    <w:rPr>
      <w:rFonts w:asciiTheme="minorHAnsi" w:hAnsiTheme="minorHAnsi" w:eastAsiaTheme="minorEastAsia" w:cstheme="minorBidi"/>
      <w:kern w:val="2"/>
      <w:sz w:val="18"/>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chart" Target="charts/chart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     </a:t>
            </a:r>
            <a:r>
              <a:rPr sz="1200"/>
              <a:t>   2022年度《法刊》等印刷费项目绩效评价指标得分情况</a:t>
            </a:r>
            <a:endParaRPr sz="1200"/>
          </a:p>
        </c:rich>
      </c:tx>
      <c:layout>
        <c:manualLayout>
          <c:xMode val="edge"/>
          <c:yMode val="edge"/>
          <c:x val="0.10214899239076"/>
          <c:y val="0.0386208921345016"/>
        </c:manualLayout>
      </c:layout>
      <c:overlay val="0"/>
      <c:spPr>
        <a:noFill/>
        <a:ln>
          <a:noFill/>
        </a:ln>
        <a:effectLst/>
      </c:spPr>
    </c:title>
    <c:autoTitleDeleted val="0"/>
    <c:plotArea>
      <c:layout>
        <c:manualLayout>
          <c:layoutTarget val="inner"/>
          <c:xMode val="edge"/>
          <c:yMode val="edge"/>
          <c:x val="0.126675"/>
          <c:y val="0.127"/>
          <c:w val="0.8337"/>
          <c:h val="0.576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Sheet1!$B$2:$B$6</c:f>
              <c:numCache>
                <c:formatCode>General</c:formatCode>
                <c:ptCount val="5"/>
                <c:pt idx="0">
                  <c:v>12</c:v>
                </c:pt>
                <c:pt idx="1">
                  <c:v>18</c:v>
                </c:pt>
                <c:pt idx="2">
                  <c:v>40</c:v>
                </c:pt>
                <c:pt idx="3">
                  <c:v>20</c:v>
                </c:pt>
                <c:pt idx="4">
                  <c:v>10</c:v>
                </c:pt>
              </c:numCache>
            </c:numRef>
          </c:val>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Sheet1!$C$2:$C$6</c:f>
              <c:numCache>
                <c:formatCode>General</c:formatCode>
                <c:ptCount val="5"/>
                <c:pt idx="0">
                  <c:v>12</c:v>
                </c:pt>
                <c:pt idx="1">
                  <c:v>15.92</c:v>
                </c:pt>
                <c:pt idx="2">
                  <c:v>39.49</c:v>
                </c:pt>
                <c:pt idx="3">
                  <c:v>20</c:v>
                </c:pt>
                <c:pt idx="4">
                  <c:v>10</c:v>
                </c:pt>
              </c:numCache>
            </c:numRef>
          </c:val>
        </c:ser>
        <c:ser>
          <c:idx val="2"/>
          <c:order val="2"/>
          <c:tx>
            <c:strRef>
              <c:f>Sheet1!$D$1</c:f>
              <c:strCache>
                <c:ptCount val="1"/>
                <c:pt idx="0">
                  <c:v>得分率</c:v>
                </c:pt>
              </c:strCache>
            </c:strRef>
          </c:tx>
          <c:spPr>
            <a:noFill/>
            <a:ln>
              <a:noFill/>
            </a:ln>
            <a:effectLst/>
          </c:spPr>
          <c:invertIfNegative val="0"/>
          <c:dLbls>
            <c:dLbl>
              <c:idx val="0"/>
              <c:layout>
                <c:manualLayout>
                  <c:x val="0.0160922300948721"/>
                  <c:y val="-0.0028540065861690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40182538729434"/>
                  <c:y val="-0.013611416026344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180136904047076"/>
                  <c:y val="-0.0083424807903402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16572595172331"/>
                  <c:y val="-0.0083424807903402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80136904047076"/>
                  <c:y val="-0.002634467618002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Sheet1!$D$2:$D$6</c:f>
              <c:numCache>
                <c:formatCode>0.00%</c:formatCode>
                <c:ptCount val="5"/>
                <c:pt idx="0">
                  <c:v>1</c:v>
                </c:pt>
                <c:pt idx="1">
                  <c:v>0.884444444444444</c:v>
                </c:pt>
                <c:pt idx="2">
                  <c:v>0.98725</c:v>
                </c:pt>
                <c:pt idx="3">
                  <c:v>1</c:v>
                </c:pt>
                <c:pt idx="4">
                  <c:v>1</c:v>
                </c:pt>
              </c:numCache>
            </c:numRef>
          </c:val>
        </c:ser>
        <c:dLbls>
          <c:showLegendKey val="0"/>
          <c:showVal val="1"/>
          <c:showCatName val="0"/>
          <c:showSerName val="0"/>
          <c:showPercent val="0"/>
          <c:showBubbleSize val="0"/>
        </c:dLbls>
        <c:gapWidth val="219"/>
        <c:overlap val="-27"/>
        <c:axId val="33121172"/>
        <c:axId val="262562026"/>
      </c:barChart>
      <c:catAx>
        <c:axId val="3312117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62562026"/>
        <c:crosses val="autoZero"/>
        <c:auto val="1"/>
        <c:lblAlgn val="ctr"/>
        <c:lblOffset val="100"/>
        <c:noMultiLvlLbl val="0"/>
      </c:catAx>
      <c:valAx>
        <c:axId val="26256202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31211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manualLayout>
          <c:xMode val="edge"/>
          <c:yMode val="edge"/>
          <c:x val="0.385285354114142"/>
          <c:y val="0.92723992784125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E1B691-4768-4DC5-997A-E5D4811F1EC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35</Pages>
  <Words>14954</Words>
  <Characters>15553</Characters>
  <Lines>40</Lines>
  <Paragraphs>35</Paragraphs>
  <TotalTime>5</TotalTime>
  <ScaleCrop>false</ScaleCrop>
  <LinksUpToDate>false</LinksUpToDate>
  <CharactersWithSpaces>16247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2021-05-13T03:50:00Z</dcterms:created>
  <dc:creator>1129</dc:creator>
  <cp:lastModifiedBy>燕子 13893107503</cp:lastModifiedBy>
  <cp:lastPrinted>2023-05-29T12:12:00Z</cp:lastPrinted>
  <dcterms:modified xsi:type="dcterms:W3CDTF">2023-06-19T03:04:35Z</dcterms:modified>
  <cp:revision>255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3034B834CF004A6FBBEBB1C852FC3312_13</vt:lpwstr>
  </property>
</Properties>
</file>