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pacing w:line="680" w:lineRule="exact"/>
        <w:ind w:left="6" w:right="4"/>
        <w:jc w:val="both"/>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both"/>
        <w:rPr>
          <w:rFonts w:ascii="宋体" w:hAnsi="宋体" w:eastAsia="宋体" w:cs="Times New Roman"/>
          <w:b/>
          <w:sz w:val="44"/>
          <w:szCs w:val="44"/>
          <w:highlight w:val="none"/>
        </w:rPr>
      </w:pP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方正小标宋简体" w:hAnsi="方正小标宋简体" w:eastAsia="方正小标宋简体" w:cs="方正小标宋简体"/>
          <w:b/>
          <w:bCs/>
          <w:sz w:val="44"/>
          <w:szCs w:val="44"/>
          <w:highlight w:val="none"/>
        </w:rPr>
      </w:pPr>
      <w:bookmarkStart w:id="0" w:name="_Toc21198"/>
      <w:bookmarkStart w:id="1" w:name="_Toc24122"/>
      <w:bookmarkStart w:id="2" w:name="_Toc16957"/>
      <w:bookmarkStart w:id="3" w:name="_Toc24322"/>
      <w:bookmarkStart w:id="4" w:name="_Toc30170"/>
      <w:bookmarkStart w:id="5" w:name="_Toc29616"/>
      <w:bookmarkStart w:id="6" w:name="_Toc17249"/>
      <w:bookmarkStart w:id="7" w:name="_Toc818"/>
      <w:bookmarkStart w:id="8" w:name="_Toc73915926"/>
      <w:bookmarkStart w:id="9" w:name="_Toc3655"/>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甘肃省高级人民法院</w:t>
      </w:r>
      <w:r>
        <w:rPr>
          <w:rFonts w:hint="eastAsia" w:ascii="方正小标宋简体" w:hAnsi="方正小标宋简体" w:eastAsia="方正小标宋简体" w:cs="方正小标宋简体"/>
          <w:sz w:val="44"/>
          <w:szCs w:val="44"/>
          <w:highlight w:val="none"/>
        </w:rPr>
        <w:t>重点</w:t>
      </w:r>
      <w:bookmarkEnd w:id="0"/>
      <w:bookmarkEnd w:id="1"/>
      <w:bookmarkEnd w:id="2"/>
      <w:bookmarkEnd w:id="3"/>
      <w:bookmarkEnd w:id="4"/>
      <w:bookmarkEnd w:id="5"/>
      <w:bookmarkEnd w:id="6"/>
      <w:bookmarkEnd w:id="7"/>
      <w:bookmarkEnd w:id="8"/>
      <w:bookmarkEnd w:id="9"/>
      <w:r>
        <w:rPr>
          <w:rFonts w:hint="eastAsia" w:ascii="方正小标宋简体" w:hAnsi="方正小标宋简体" w:eastAsia="方正小标宋简体" w:cs="方正小标宋简体"/>
          <w:sz w:val="44"/>
          <w:szCs w:val="44"/>
          <w:highlight w:val="none"/>
        </w:rPr>
        <w:t>项目</w:t>
      </w:r>
    </w:p>
    <w:p>
      <w:pPr>
        <w:keepNext w:val="0"/>
        <w:keepLines w:val="0"/>
        <w:pageBreakBefore w:val="0"/>
        <w:widowControl w:val="0"/>
        <w:kinsoku/>
        <w:wordWrap/>
        <w:overflowPunct w:val="0"/>
        <w:topLinePunct w:val="0"/>
        <w:autoSpaceDE/>
        <w:autoSpaceDN/>
        <w:bidi w:val="0"/>
        <w:adjustRightInd/>
        <w:spacing w:line="680" w:lineRule="exact"/>
        <w:ind w:left="6" w:right="4"/>
        <w:jc w:val="center"/>
        <w:rPr>
          <w:rFonts w:ascii="宋体" w:hAnsi="宋体" w:eastAsia="宋体"/>
          <w:b/>
          <w:sz w:val="44"/>
          <w:szCs w:val="44"/>
          <w:highlight w:val="none"/>
        </w:rPr>
      </w:pPr>
      <w:r>
        <w:rPr>
          <w:rFonts w:hint="eastAsia" w:ascii="方正小标宋简体" w:hAnsi="方正小标宋简体" w:eastAsia="方正小标宋简体" w:cs="方正小标宋简体"/>
          <w:sz w:val="44"/>
          <w:szCs w:val="44"/>
          <w:highlight w:val="none"/>
        </w:rPr>
        <w:t>——</w:t>
      </w:r>
      <w:r>
        <w:rPr>
          <w:rFonts w:hint="eastAsia" w:ascii="方正小标宋简体" w:hAnsi="方正小标宋简体" w:eastAsia="方正小标宋简体" w:cs="方正小标宋简体"/>
          <w:sz w:val="44"/>
          <w:szCs w:val="44"/>
          <w:highlight w:val="none"/>
          <w:lang w:eastAsia="zh-CN"/>
        </w:rPr>
        <w:t>信息化建设经费（其中“12368”司法平台运行维护费50万元）</w:t>
      </w:r>
      <w:r>
        <w:rPr>
          <w:rFonts w:hint="eastAsia" w:ascii="方正小标宋简体" w:hAnsi="方正小标宋简体" w:eastAsia="方正小标宋简体" w:cs="方正小标宋简体"/>
          <w:sz w:val="44"/>
          <w:szCs w:val="44"/>
          <w:highlight w:val="none"/>
        </w:rPr>
        <w:t>绩效评价报告</w:t>
      </w:r>
    </w:p>
    <w:p>
      <w:pPr>
        <w:pStyle w:val="2"/>
        <w:keepNext w:val="0"/>
        <w:keepLines w:val="0"/>
        <w:pageBreakBefore w:val="0"/>
        <w:widowControl w:val="0"/>
        <w:kinsoku/>
        <w:wordWrap/>
        <w:overflowPunct w:val="0"/>
        <w:topLinePunct w:val="0"/>
        <w:autoSpaceDE/>
        <w:autoSpaceDN/>
        <w:bidi w:val="0"/>
        <w:adjustRightInd/>
        <w:spacing w:line="680" w:lineRule="exact"/>
        <w:jc w:val="both"/>
        <w:rPr>
          <w:sz w:val="56"/>
          <w:highlight w:val="none"/>
        </w:rPr>
      </w:pPr>
    </w:p>
    <w:p>
      <w:pPr>
        <w:pStyle w:val="2"/>
        <w:keepNext w:val="0"/>
        <w:keepLines w:val="0"/>
        <w:pageBreakBefore w:val="0"/>
        <w:widowControl w:val="0"/>
        <w:kinsoku/>
        <w:wordWrap/>
        <w:overflowPunct w:val="0"/>
        <w:topLinePunct w:val="0"/>
        <w:autoSpaceDE/>
        <w:autoSpaceDN/>
        <w:bidi w:val="0"/>
        <w:adjustRightInd/>
        <w:spacing w:line="680" w:lineRule="exact"/>
        <w:jc w:val="both"/>
        <w:rPr>
          <w:sz w:val="56"/>
          <w:highlight w:val="none"/>
        </w:rPr>
      </w:pPr>
    </w:p>
    <w:p>
      <w:pPr>
        <w:keepNext w:val="0"/>
        <w:keepLines w:val="0"/>
        <w:pageBreakBefore w:val="0"/>
        <w:widowControl w:val="0"/>
        <w:kinsoku/>
        <w:wordWrap/>
        <w:overflowPunct w:val="0"/>
        <w:topLinePunct w:val="0"/>
        <w:autoSpaceDE/>
        <w:autoSpaceDN/>
        <w:bidi w:val="0"/>
        <w:adjustRightInd/>
        <w:spacing w:line="578" w:lineRule="exact"/>
        <w:ind w:left="1600" w:hanging="1600" w:hangingChars="500"/>
        <w:jc w:val="both"/>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 xml:space="preserve">    </w:t>
      </w:r>
    </w:p>
    <w:p>
      <w:pPr>
        <w:pStyle w:val="12"/>
        <w:keepNext w:val="0"/>
        <w:keepLines w:val="0"/>
        <w:pageBreakBefore w:val="0"/>
        <w:widowControl w:val="0"/>
        <w:kinsoku/>
        <w:wordWrap/>
        <w:overflowPunct w:val="0"/>
        <w:topLinePunct w:val="0"/>
        <w:autoSpaceDE/>
        <w:autoSpaceDN/>
        <w:bidi w:val="0"/>
        <w:adjustRightInd/>
        <w:jc w:val="both"/>
        <w:rPr>
          <w:highlight w:val="none"/>
        </w:rPr>
      </w:pPr>
    </w:p>
    <w:p>
      <w:pPr>
        <w:keepNext w:val="0"/>
        <w:keepLines w:val="0"/>
        <w:pageBreakBefore w:val="0"/>
        <w:widowControl w:val="0"/>
        <w:kinsoku/>
        <w:wordWrap/>
        <w:overflowPunct w:val="0"/>
        <w:topLinePunct w:val="0"/>
        <w:autoSpaceDE/>
        <w:autoSpaceDN/>
        <w:bidi w:val="0"/>
        <w:adjustRightInd/>
        <w:spacing w:line="578" w:lineRule="exact"/>
        <w:ind w:firstLine="300" w:firstLineChars="100"/>
        <w:jc w:val="both"/>
        <w:rPr>
          <w:rFonts w:hint="eastAsia" w:ascii="仿宋_GB2312" w:hAnsi="仿宋" w:eastAsia="仿宋_GB2312" w:cs="仿宋"/>
          <w:sz w:val="30"/>
          <w:szCs w:val="32"/>
          <w:highlight w:val="none"/>
          <w:u w:val="single"/>
        </w:rPr>
      </w:pPr>
      <w:r>
        <w:rPr>
          <w:rFonts w:hint="eastAsia" w:ascii="仿宋_GB2312" w:hAnsi="仿宋" w:eastAsia="仿宋_GB2312" w:cs="仿宋"/>
          <w:sz w:val="30"/>
          <w:szCs w:val="32"/>
          <w:highlight w:val="none"/>
        </w:rPr>
        <w:t>评价类型：</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实施过程评价</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完成结果评价</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both"/>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项目名称：</w:t>
      </w:r>
      <w:r>
        <w:rPr>
          <w:rFonts w:hint="eastAsia" w:ascii="仿宋_GB2312" w:hAnsi="仿宋" w:eastAsia="仿宋_GB2312" w:cs="仿宋"/>
          <w:sz w:val="30"/>
          <w:szCs w:val="32"/>
          <w:highlight w:val="none"/>
          <w:u w:val="single"/>
          <w:lang w:eastAsia="zh-CN"/>
        </w:rPr>
        <w:t>信息化建设经费（其中“12368”司法平台运行维护费50万元）</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lang w:val="en-US" w:eastAsia="zh-CN"/>
        </w:rPr>
        <w:t xml:space="preserve">                    </w:t>
      </w:r>
      <w:r>
        <w:rPr>
          <w:rFonts w:hint="eastAsia" w:ascii="仿宋_GB2312" w:hAnsi="仿宋" w:eastAsia="仿宋_GB2312" w:cs="仿宋"/>
          <w:sz w:val="30"/>
          <w:szCs w:val="32"/>
          <w:highlight w:val="none"/>
          <w:u w:val="singl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both"/>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主管部门：</w:t>
      </w:r>
      <w:r>
        <w:rPr>
          <w:rFonts w:hint="eastAsia" w:ascii="仿宋_GB2312" w:hAnsi="仿宋" w:eastAsia="仿宋_GB2312" w:cs="仿宋"/>
          <w:sz w:val="30"/>
          <w:szCs w:val="32"/>
          <w:highlight w:val="none"/>
          <w:u w:val="single"/>
          <w:lang w:val="en-US" w:eastAsia="zh-CN"/>
        </w:rPr>
        <w:t xml:space="preserve">甘肃省高级人民法院                       </w:t>
      </w: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both"/>
        <w:rPr>
          <w:rFonts w:hint="default" w:ascii="仿宋_GB2312" w:hAnsi="仿宋" w:eastAsia="仿宋_GB2312" w:cs="仿宋"/>
          <w:sz w:val="30"/>
          <w:szCs w:val="32"/>
          <w:highlight w:val="none"/>
          <w:u w:val="single"/>
          <w:lang w:val="en-US" w:eastAsia="zh-CN"/>
        </w:rPr>
      </w:pPr>
      <w:r>
        <w:rPr>
          <w:rFonts w:hint="eastAsia" w:ascii="仿宋_GB2312" w:hAnsi="仿宋" w:eastAsia="仿宋_GB2312" w:cs="仿宋"/>
          <w:sz w:val="30"/>
          <w:szCs w:val="32"/>
          <w:highlight w:val="none"/>
        </w:rPr>
        <w:t xml:space="preserve">  评价时间：</w:t>
      </w:r>
      <w:r>
        <w:rPr>
          <w:rFonts w:hint="eastAsia" w:ascii="仿宋_GB2312" w:hAnsi="仿宋" w:eastAsia="仿宋_GB2312" w:cs="仿宋"/>
          <w:sz w:val="30"/>
          <w:szCs w:val="32"/>
          <w:highlight w:val="none"/>
          <w:u w:val="single"/>
        </w:rPr>
        <w:t>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年01月01日至 202</w:t>
      </w:r>
      <w:r>
        <w:rPr>
          <w:rFonts w:hint="eastAsia" w:ascii="仿宋_GB2312" w:hAnsi="仿宋" w:eastAsia="仿宋_GB2312" w:cs="仿宋"/>
          <w:sz w:val="30"/>
          <w:szCs w:val="32"/>
          <w:highlight w:val="none"/>
          <w:u w:val="single"/>
          <w:lang w:val="en-US" w:eastAsia="zh-CN"/>
        </w:rPr>
        <w:t>2</w:t>
      </w:r>
      <w:r>
        <w:rPr>
          <w:rFonts w:hint="eastAsia" w:ascii="仿宋_GB2312" w:hAnsi="仿宋" w:eastAsia="仿宋_GB2312" w:cs="仿宋"/>
          <w:sz w:val="30"/>
          <w:szCs w:val="32"/>
          <w:highlight w:val="none"/>
          <w:u w:val="single"/>
        </w:rPr>
        <w:t>年12月31日</w:t>
      </w:r>
      <w:r>
        <w:rPr>
          <w:rFonts w:hint="eastAsia" w:ascii="仿宋_GB2312" w:hAnsi="仿宋" w:eastAsia="仿宋_GB2312" w:cs="仿宋"/>
          <w:sz w:val="30"/>
          <w:szCs w:val="32"/>
          <w:highlight w:val="none"/>
          <w:u w:val="single"/>
          <w:lang w:val="en-US" w:eastAsia="zh-CN"/>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both"/>
        <w:rPr>
          <w:rFonts w:hint="eastAsia"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组织方式：</w:t>
      </w:r>
      <w:r>
        <w:rPr>
          <w:rFonts w:hint="eastAsia" w:ascii="仿宋_GB2312" w:hAnsi="仿宋" w:eastAsia="仿宋_GB2312" w:cs="仿宋"/>
          <w:sz w:val="30"/>
          <w:szCs w:val="32"/>
          <w:highlight w:val="none"/>
          <w:u w:val="single"/>
        </w:rPr>
        <w:t>□财政部门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 xml:space="preserve"> </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主管部门</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sym w:font="Wingdings 2" w:char="00A3"/>
      </w:r>
      <w:r>
        <w:rPr>
          <w:rFonts w:hint="eastAsia" w:ascii="仿宋_GB2312" w:hAnsi="仿宋" w:eastAsia="仿宋_GB2312" w:cs="仿宋"/>
          <w:sz w:val="30"/>
          <w:szCs w:val="32"/>
          <w:highlight w:val="none"/>
          <w:u w:val="single"/>
        </w:rPr>
        <w:t>项目单位</w:t>
      </w:r>
      <w:r>
        <w:rPr>
          <w:rFonts w:hint="eastAsia" w:ascii="仿宋_GB2312" w:hAnsi="仿宋" w:eastAsia="仿宋_GB2312" w:cs="仿宋"/>
          <w:sz w:val="30"/>
          <w:szCs w:val="32"/>
          <w:highlight w:val="none"/>
        </w:rPr>
        <w:t xml:space="preserve"> </w:t>
      </w:r>
    </w:p>
    <w:p>
      <w:pPr>
        <w:keepNext w:val="0"/>
        <w:keepLines w:val="0"/>
        <w:pageBreakBefore w:val="0"/>
        <w:widowControl w:val="0"/>
        <w:kinsoku/>
        <w:wordWrap/>
        <w:overflowPunct w:val="0"/>
        <w:topLinePunct w:val="0"/>
        <w:autoSpaceDE/>
        <w:autoSpaceDN/>
        <w:bidi w:val="0"/>
        <w:adjustRightInd/>
        <w:spacing w:line="578" w:lineRule="exact"/>
        <w:ind w:left="1800" w:right="456" w:rightChars="217" w:hanging="1800" w:hangingChars="600"/>
        <w:jc w:val="both"/>
        <w:rPr>
          <w:rFonts w:ascii="仿宋_GB2312" w:hAnsi="仿宋" w:eastAsia="仿宋_GB2312" w:cs="仿宋"/>
          <w:sz w:val="30"/>
          <w:szCs w:val="32"/>
          <w:highlight w:val="none"/>
        </w:rPr>
      </w:pPr>
      <w:r>
        <w:rPr>
          <w:rFonts w:hint="eastAsia" w:ascii="仿宋_GB2312" w:hAnsi="仿宋" w:eastAsia="仿宋_GB2312" w:cs="仿宋"/>
          <w:sz w:val="30"/>
          <w:szCs w:val="32"/>
          <w:highlight w:val="none"/>
        </w:rPr>
        <w:t xml:space="preserve">  评价机构：</w:t>
      </w:r>
      <w:r>
        <w:rPr>
          <w:rFonts w:hint="eastAsia" w:ascii="仿宋_GB2312" w:hAnsi="仿宋" w:eastAsia="仿宋_GB2312" w:cs="仿宋"/>
          <w:sz w:val="30"/>
          <w:szCs w:val="32"/>
          <w:highlight w:val="none"/>
          <w:u w:val="single"/>
        </w:rPr>
        <w:sym w:font="Wingdings 2" w:char="0052"/>
      </w:r>
      <w:r>
        <w:rPr>
          <w:rFonts w:hint="eastAsia" w:ascii="仿宋_GB2312" w:hAnsi="仿宋" w:eastAsia="仿宋_GB2312" w:cs="仿宋"/>
          <w:sz w:val="30"/>
          <w:szCs w:val="32"/>
          <w:highlight w:val="none"/>
          <w:u w:val="single"/>
        </w:rPr>
        <w:t>中介机构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□专家组</w:t>
      </w:r>
      <w:r>
        <w:rPr>
          <w:rFonts w:hint="eastAsia" w:ascii="仿宋_GB2312" w:hAnsi="仿宋" w:eastAsia="仿宋_GB2312" w:cs="仿宋"/>
          <w:sz w:val="30"/>
          <w:szCs w:val="32"/>
          <w:highlight w:val="none"/>
        </w:rPr>
        <w:t xml:space="preserve">   </w:t>
      </w:r>
      <w:r>
        <w:rPr>
          <w:rFonts w:hint="eastAsia" w:ascii="仿宋_GB2312" w:hAnsi="仿宋" w:eastAsia="仿宋_GB2312" w:cs="仿宋"/>
          <w:sz w:val="30"/>
          <w:szCs w:val="32"/>
          <w:highlight w:val="none"/>
          <w:u w:val="single"/>
        </w:rPr>
        <w:t>□项目单位评价组</w:t>
      </w:r>
    </w:p>
    <w:p>
      <w:pPr>
        <w:keepNext w:val="0"/>
        <w:keepLines w:val="0"/>
        <w:pageBreakBefore w:val="0"/>
        <w:widowControl w:val="0"/>
        <w:kinsoku/>
        <w:wordWrap/>
        <w:overflowPunct w:val="0"/>
        <w:topLinePunct w:val="0"/>
        <w:autoSpaceDE/>
        <w:autoSpaceDN/>
        <w:bidi w:val="0"/>
        <w:adjustRightInd/>
        <w:spacing w:line="578" w:lineRule="exact"/>
        <w:jc w:val="both"/>
        <w:rPr>
          <w:rFonts w:ascii="仿宋_GB2312" w:hAnsi="仿宋" w:eastAsia="仿宋_GB2312" w:cs="仿宋"/>
          <w:sz w:val="30"/>
          <w:szCs w:val="32"/>
          <w:highlight w:val="none"/>
        </w:rPr>
      </w:pPr>
    </w:p>
    <w:p>
      <w:pPr>
        <w:pStyle w:val="2"/>
        <w:rPr>
          <w:rFonts w:ascii="仿宋_GB2312" w:hAnsi="仿宋" w:eastAsia="仿宋_GB2312" w:cs="仿宋"/>
          <w:sz w:val="30"/>
          <w:szCs w:val="32"/>
          <w:highlight w:val="none"/>
        </w:rPr>
      </w:pPr>
    </w:p>
    <w:p>
      <w:pPr>
        <w:pStyle w:val="3"/>
        <w:rPr>
          <w:rFonts w:ascii="仿宋_GB2312" w:hAnsi="仿宋" w:eastAsia="仿宋_GB2312" w:cs="仿宋"/>
          <w:sz w:val="30"/>
          <w:szCs w:val="32"/>
          <w:highlight w:val="none"/>
        </w:rPr>
      </w:pPr>
    </w:p>
    <w:p>
      <w:pPr>
        <w:pStyle w:val="3"/>
        <w:rPr>
          <w:rFonts w:ascii="仿宋_GB2312" w:hAnsi="仿宋" w:eastAsia="仿宋_GB2312" w:cs="仿宋"/>
          <w:sz w:val="30"/>
          <w:szCs w:val="32"/>
          <w:highlight w:val="none"/>
        </w:rPr>
      </w:pP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both"/>
        <w:rPr>
          <w:rFonts w:hint="eastAsia" w:ascii="宋体" w:hAnsi="宋体" w:eastAsia="宋体" w:cs="宋体"/>
          <w:sz w:val="30"/>
          <w:szCs w:val="32"/>
          <w:highlight w:val="none"/>
        </w:rPr>
      </w:pPr>
      <w:r>
        <w:rPr>
          <w:rFonts w:hint="eastAsia" w:ascii="宋体" w:hAnsi="宋体" w:eastAsia="宋体" w:cs="宋体"/>
          <w:sz w:val="30"/>
          <w:szCs w:val="32"/>
          <w:highlight w:val="none"/>
          <w:lang w:val="en-US" w:eastAsia="zh-CN"/>
        </w:rPr>
        <w:t>评价</w:t>
      </w:r>
      <w:r>
        <w:rPr>
          <w:rFonts w:hint="eastAsia" w:ascii="宋体" w:hAnsi="宋体" w:eastAsia="宋体" w:cs="宋体"/>
          <w:sz w:val="30"/>
          <w:szCs w:val="32"/>
          <w:highlight w:val="none"/>
        </w:rPr>
        <w:t>单位：甘肃卓诚财务咨询有限公司</w:t>
      </w:r>
    </w:p>
    <w:p>
      <w:pPr>
        <w:keepNext w:val="0"/>
        <w:keepLines w:val="0"/>
        <w:pageBreakBefore w:val="0"/>
        <w:widowControl w:val="0"/>
        <w:kinsoku/>
        <w:wordWrap/>
        <w:overflowPunct w:val="0"/>
        <w:topLinePunct w:val="0"/>
        <w:autoSpaceDE/>
        <w:autoSpaceDN/>
        <w:bidi w:val="0"/>
        <w:adjustRightInd/>
        <w:spacing w:line="578" w:lineRule="exact"/>
        <w:ind w:right="456" w:rightChars="217" w:firstLine="300" w:firstLineChars="100"/>
        <w:jc w:val="both"/>
        <w:rPr>
          <w:rFonts w:hint="eastAsia" w:ascii="宋体" w:hAnsi="宋体" w:eastAsia="宋体" w:cs="宋体"/>
          <w:sz w:val="30"/>
          <w:szCs w:val="32"/>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宋体" w:hAnsi="宋体" w:eastAsia="宋体" w:cs="宋体"/>
          <w:sz w:val="30"/>
          <w:szCs w:val="32"/>
          <w:highlight w:val="none"/>
          <w:lang w:val="en-US" w:eastAsia="zh-CN"/>
        </w:rPr>
        <w:t>上报</w:t>
      </w:r>
      <w:r>
        <w:rPr>
          <w:rFonts w:hint="eastAsia" w:ascii="宋体" w:hAnsi="宋体" w:eastAsia="宋体" w:cs="宋体"/>
          <w:sz w:val="30"/>
          <w:szCs w:val="32"/>
          <w:highlight w:val="none"/>
        </w:rPr>
        <w:t>日期：202</w:t>
      </w:r>
      <w:r>
        <w:rPr>
          <w:rFonts w:hint="eastAsia" w:ascii="宋体" w:hAnsi="宋体" w:eastAsia="宋体" w:cs="宋体"/>
          <w:sz w:val="30"/>
          <w:szCs w:val="32"/>
          <w:highlight w:val="none"/>
          <w:lang w:val="en-US" w:eastAsia="zh-CN"/>
        </w:rPr>
        <w:t>3</w:t>
      </w:r>
      <w:r>
        <w:rPr>
          <w:rFonts w:hint="eastAsia" w:ascii="宋体" w:hAnsi="宋体" w:eastAsia="宋体" w:cs="宋体"/>
          <w:sz w:val="30"/>
          <w:szCs w:val="32"/>
          <w:highlight w:val="none"/>
        </w:rPr>
        <w:t>年0</w:t>
      </w:r>
      <w:r>
        <w:rPr>
          <w:rFonts w:hint="eastAsia" w:ascii="宋体" w:hAnsi="宋体" w:eastAsia="宋体" w:cs="宋体"/>
          <w:sz w:val="30"/>
          <w:szCs w:val="32"/>
          <w:highlight w:val="none"/>
          <w:lang w:val="en-US" w:eastAsia="zh-CN"/>
        </w:rPr>
        <w:t>5</w:t>
      </w:r>
      <w:r>
        <w:rPr>
          <w:rFonts w:hint="eastAsia" w:ascii="宋体" w:hAnsi="宋体" w:eastAsia="宋体" w:cs="宋体"/>
          <w:sz w:val="30"/>
          <w:szCs w:val="32"/>
          <w:highlight w:val="none"/>
        </w:rPr>
        <w:t>月</w:t>
      </w:r>
      <w:r>
        <w:rPr>
          <w:rFonts w:hint="eastAsia" w:ascii="宋体" w:hAnsi="宋体" w:eastAsia="宋体" w:cs="宋体"/>
          <w:sz w:val="30"/>
          <w:szCs w:val="32"/>
          <w:highlight w:val="none"/>
          <w:lang w:val="en-US" w:eastAsia="zh-CN"/>
        </w:rPr>
        <w:t>29</w:t>
      </w:r>
      <w:r>
        <w:rPr>
          <w:rFonts w:hint="eastAsia" w:ascii="宋体" w:hAnsi="宋体" w:eastAsia="宋体" w:cs="宋体"/>
          <w:sz w:val="30"/>
          <w:szCs w:val="32"/>
          <w:highlight w:val="none"/>
        </w:rPr>
        <w:t>日</w:t>
      </w:r>
    </w:p>
    <w:sdt>
      <w:sdtPr>
        <w:rPr>
          <w:rFonts w:ascii="宋体" w:hAnsi="宋体" w:eastAsia="宋体"/>
          <w:color w:val="FF0000"/>
          <w:sz w:val="32"/>
          <w:szCs w:val="32"/>
          <w:highlight w:val="none"/>
        </w:rPr>
        <w:id w:val="147453237"/>
        <w15:color w:val="DBDBDB"/>
        <w:docPartObj>
          <w:docPartGallery w:val="Table of Contents"/>
          <w:docPartUnique/>
        </w:docPartObj>
      </w:sdtPr>
      <w:sdtEndPr>
        <w:rPr>
          <w:rFonts w:hint="eastAsia" w:ascii="宋体" w:hAnsi="宋体" w:eastAsia="宋体"/>
          <w:b/>
          <w:bCs/>
          <w:color w:val="FF0000"/>
          <w:sz w:val="32"/>
          <w:szCs w:val="44"/>
          <w:highlight w:val="none"/>
        </w:rPr>
      </w:sdtEndPr>
      <w:sdtContent>
        <w:p>
          <w:pPr>
            <w:keepNext w:val="0"/>
            <w:keepLines w:val="0"/>
            <w:pageBreakBefore w:val="0"/>
            <w:widowControl w:val="0"/>
            <w:kinsoku/>
            <w:wordWrap/>
            <w:overflowPunct w:val="0"/>
            <w:topLinePunct w:val="0"/>
            <w:autoSpaceDE/>
            <w:autoSpaceDN/>
            <w:bidi w:val="0"/>
            <w:adjustRightInd/>
            <w:jc w:val="center"/>
            <w:rPr>
              <w:rFonts w:ascii="宋体" w:hAnsi="宋体" w:eastAsia="宋体" w:cs="宋体"/>
              <w:b/>
              <w:bCs/>
              <w:sz w:val="36"/>
              <w:szCs w:val="36"/>
              <w:highlight w:val="none"/>
            </w:rPr>
          </w:pPr>
          <w:bookmarkStart w:id="162" w:name="_GoBack"/>
          <w:bookmarkEnd w:id="162"/>
          <w:r>
            <w:rPr>
              <w:rFonts w:hint="eastAsia" w:ascii="宋体" w:hAnsi="宋体" w:eastAsia="宋体" w:cs="宋体"/>
              <w:b/>
              <w:bCs/>
              <w:sz w:val="36"/>
              <w:szCs w:val="36"/>
              <w:highlight w:val="none"/>
            </w:rPr>
            <w:t>目  录</w:t>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TOC \o "1-2" \h \u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HYPERLINK \l _Toc13972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摘   要</w:t>
          </w:r>
          <w:r>
            <w:rPr>
              <w:rFonts w:hint="eastAsia" w:ascii="仿宋" w:hAnsi="仿宋" w:eastAsia="仿宋" w:cs="仿宋"/>
              <w:b/>
              <w:bCs/>
              <w:sz w:val="28"/>
              <w:szCs w:val="28"/>
              <w:highlight w:val="none"/>
            </w:rPr>
            <w:tab/>
          </w:r>
          <w:r>
            <w:rPr>
              <w:rFonts w:hint="eastAsia" w:ascii="仿宋" w:hAnsi="仿宋" w:eastAsia="仿宋" w:cs="仿宋"/>
              <w:b/>
              <w:bCs/>
              <w:sz w:val="28"/>
              <w:szCs w:val="28"/>
              <w:highlight w:val="none"/>
            </w:rPr>
            <w:fldChar w:fldCharType="begin"/>
          </w:r>
          <w:r>
            <w:rPr>
              <w:rFonts w:hint="eastAsia" w:ascii="仿宋" w:hAnsi="仿宋" w:eastAsia="仿宋" w:cs="仿宋"/>
              <w:b/>
              <w:bCs/>
              <w:sz w:val="28"/>
              <w:szCs w:val="28"/>
              <w:highlight w:val="none"/>
            </w:rPr>
            <w:instrText xml:space="preserve"> PAGEREF _Toc13972 \h </w:instrText>
          </w:r>
          <w:r>
            <w:rPr>
              <w:rFonts w:hint="eastAsia" w:ascii="仿宋" w:hAnsi="仿宋" w:eastAsia="仿宋" w:cs="仿宋"/>
              <w:b/>
              <w:bCs/>
              <w:sz w:val="28"/>
              <w:szCs w:val="28"/>
              <w:highlight w:val="none"/>
            </w:rPr>
            <w:fldChar w:fldCharType="separate"/>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rPr>
            <w:fldChar w:fldCharType="end"/>
          </w:r>
          <w:r>
            <w:rPr>
              <w:rFonts w:hint="eastAsia" w:ascii="仿宋" w:hAnsi="仿宋" w:eastAsia="仿宋" w:cs="仿宋"/>
              <w:b/>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_Toc30938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一、</w:t>
          </w:r>
          <w:r>
            <w:rPr>
              <w:rFonts w:hint="eastAsia" w:ascii="仿宋" w:hAnsi="仿宋" w:eastAsia="仿宋" w:cs="仿宋"/>
              <w:bCs/>
              <w:sz w:val="28"/>
              <w:szCs w:val="28"/>
              <w:highlight w:val="none"/>
            </w:rPr>
            <w:t>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_Toc30938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_Toc23942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（一）项目立项背景及实施目的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_Toc23942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_Toc23542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（二）项目预算安排和支出情况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_Toc23542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_Toc3708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（三）项目主要内容和实施情况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_Toc3708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_Toc5079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 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_Toc5079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_Toc31156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_Toc31156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_Toc16451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（二）202</w:t>
          </w: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年度绩效目标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_Toc16451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_Toc13906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w:t>
          </w:r>
          <w:r>
            <w:rPr>
              <w:rFonts w:hint="eastAsia" w:ascii="仿宋" w:hAnsi="仿宋" w:eastAsia="仿宋" w:cs="仿宋"/>
              <w:bCs/>
              <w:sz w:val="28"/>
              <w:szCs w:val="28"/>
              <w:highlight w:val="none"/>
            </w:rPr>
            <w:t>、评价基本情况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_Toc13906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_Toc8288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（一）评价目的、对象和范围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_Toc8288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_Toc16687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（二）评价原则、评价方法、评价指标体系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_Toc16687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_Toc14026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_Toc14026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_Toc12052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四、评价结论和绩效分析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_Toc12052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_Toc13270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五、存在问题及原因分析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_Toc13270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_Toc24846 </w:instrText>
          </w:r>
          <w:r>
            <w:rPr>
              <w:rFonts w:hint="eastAsia" w:ascii="仿宋" w:hAnsi="仿宋" w:eastAsia="仿宋" w:cs="仿宋"/>
              <w:bCs/>
              <w:sz w:val="28"/>
              <w:szCs w:val="28"/>
              <w:highlight w:val="none"/>
            </w:rPr>
            <w:fldChar w:fldCharType="separate"/>
          </w:r>
          <w:r>
            <w:rPr>
              <w:rFonts w:hint="eastAsia" w:ascii="仿宋" w:hAnsi="仿宋" w:eastAsia="仿宋" w:cs="仿宋"/>
              <w:bCs w:val="0"/>
              <w:sz w:val="28"/>
              <w:szCs w:val="28"/>
              <w:highlight w:val="none"/>
            </w:rPr>
            <w:t>六、有关建议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_Toc24846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b/>
              <w:bCs w:val="0"/>
              <w:sz w:val="28"/>
              <w:szCs w:val="28"/>
              <w:highlight w:val="none"/>
            </w:rPr>
          </w:pPr>
          <w:r>
            <w:rPr>
              <w:rFonts w:hint="eastAsia" w:ascii="仿宋" w:hAnsi="仿宋" w:eastAsia="仿宋" w:cs="仿宋"/>
              <w:b/>
              <w:bCs w:val="0"/>
              <w:sz w:val="28"/>
              <w:szCs w:val="28"/>
              <w:highlight w:val="none"/>
            </w:rPr>
            <w:fldChar w:fldCharType="begin"/>
          </w:r>
          <w:r>
            <w:rPr>
              <w:rFonts w:hint="eastAsia" w:ascii="仿宋" w:hAnsi="仿宋" w:eastAsia="仿宋" w:cs="仿宋"/>
              <w:b/>
              <w:bCs w:val="0"/>
              <w:sz w:val="28"/>
              <w:szCs w:val="28"/>
              <w:highlight w:val="none"/>
            </w:rPr>
            <w:instrText xml:space="preserve"> HYPERLINK \l _Toc19402 </w:instrText>
          </w:r>
          <w:r>
            <w:rPr>
              <w:rFonts w:hint="eastAsia" w:ascii="仿宋" w:hAnsi="仿宋" w:eastAsia="仿宋" w:cs="仿宋"/>
              <w:b/>
              <w:bCs w:val="0"/>
              <w:sz w:val="28"/>
              <w:szCs w:val="28"/>
              <w:highlight w:val="none"/>
            </w:rPr>
            <w:fldChar w:fldCharType="separate"/>
          </w:r>
          <w:r>
            <w:rPr>
              <w:rFonts w:hint="eastAsia" w:ascii="仿宋" w:hAnsi="仿宋" w:eastAsia="仿宋" w:cs="仿宋"/>
              <w:b/>
              <w:bCs w:val="0"/>
              <w:kern w:val="2"/>
              <w:sz w:val="28"/>
              <w:szCs w:val="28"/>
              <w:highlight w:val="none"/>
              <w:lang w:val="en-US" w:eastAsia="zh-CN" w:bidi="ar-SA"/>
            </w:rPr>
            <w:t>信息化建设经费绩效评价报告</w:t>
          </w:r>
          <w:r>
            <w:rPr>
              <w:rFonts w:hint="eastAsia" w:ascii="仿宋" w:hAnsi="仿宋" w:eastAsia="仿宋" w:cs="仿宋"/>
              <w:b/>
              <w:bCs w:val="0"/>
              <w:sz w:val="28"/>
              <w:szCs w:val="28"/>
              <w:highlight w:val="none"/>
            </w:rPr>
            <w:tab/>
          </w:r>
          <w:r>
            <w:rPr>
              <w:rFonts w:hint="eastAsia" w:ascii="仿宋" w:hAnsi="仿宋" w:eastAsia="仿宋" w:cs="仿宋"/>
              <w:b/>
              <w:bCs w:val="0"/>
              <w:sz w:val="28"/>
              <w:szCs w:val="28"/>
              <w:highlight w:val="none"/>
            </w:rPr>
            <w:fldChar w:fldCharType="begin"/>
          </w:r>
          <w:r>
            <w:rPr>
              <w:rFonts w:hint="eastAsia" w:ascii="仿宋" w:hAnsi="仿宋" w:eastAsia="仿宋" w:cs="仿宋"/>
              <w:b/>
              <w:bCs w:val="0"/>
              <w:sz w:val="28"/>
              <w:szCs w:val="28"/>
              <w:highlight w:val="none"/>
            </w:rPr>
            <w:instrText xml:space="preserve"> PAGEREF _Toc19402 \h </w:instrText>
          </w:r>
          <w:r>
            <w:rPr>
              <w:rFonts w:hint="eastAsia" w:ascii="仿宋" w:hAnsi="仿宋" w:eastAsia="仿宋" w:cs="仿宋"/>
              <w:b/>
              <w:bCs w:val="0"/>
              <w:sz w:val="28"/>
              <w:szCs w:val="28"/>
              <w:highlight w:val="none"/>
            </w:rPr>
            <w:fldChar w:fldCharType="separate"/>
          </w:r>
          <w:r>
            <w:rPr>
              <w:rFonts w:hint="eastAsia" w:ascii="仿宋" w:hAnsi="仿宋" w:eastAsia="仿宋" w:cs="仿宋"/>
              <w:b/>
              <w:bCs w:val="0"/>
              <w:sz w:val="28"/>
              <w:szCs w:val="28"/>
              <w:highlight w:val="none"/>
            </w:rPr>
            <w:t>5</w:t>
          </w:r>
          <w:r>
            <w:rPr>
              <w:rFonts w:hint="eastAsia" w:ascii="仿宋" w:hAnsi="仿宋" w:eastAsia="仿宋" w:cs="仿宋"/>
              <w:b/>
              <w:bCs w:val="0"/>
              <w:sz w:val="28"/>
              <w:szCs w:val="28"/>
              <w:highlight w:val="none"/>
            </w:rPr>
            <w:fldChar w:fldCharType="end"/>
          </w:r>
          <w:r>
            <w:rPr>
              <w:rFonts w:hint="eastAsia" w:ascii="仿宋" w:hAnsi="仿宋" w:eastAsia="仿宋" w:cs="仿宋"/>
              <w:b/>
              <w:bCs w:val="0"/>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_Toc13465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一、项目基本情况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_Toc13465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_Toc12377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（一）项目立项背景</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_Toc12377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_Toc10431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（二）项目预算安排及使用情况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_Toc10431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_Toc4617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（三）项目计划内容及实施情况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_Toc4617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_Toc8584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（四）项目组织管理</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_Toc8584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7</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_Toc23710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二、项目绩效目标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_Toc23710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_Toc26215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（一）总体目标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_Toc26215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_Toc32413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（二）年度目标</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_Toc32413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_Toc8501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三、评价基本情况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_Toc8501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_Toc5107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（一）评价目的</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_Toc5107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_Toc6043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（二）评价对象与范围</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_Toc6043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_Toc30375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（三）评价依据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_Toc30375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_Toc25189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（四）评价原则、评价方法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_Toc25189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_Toc17521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（五）绩效评价指标体系</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_Toc17521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_Toc2982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（六）评价人员组成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_Toc2982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14</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_Toc23386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（七）绩效评价工作过程</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_Toc23386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_Toc7641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四、评价结论及分析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_Toc7641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_Toc13485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（一）综合评价情况及评价结论</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_Toc13485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_Toc9156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val="en-US" w:eastAsia="zh-CN" w:bidi="ar"/>
            </w:rPr>
            <w:t>（二）非现场评价情况分析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_Toc9156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_Toc12343 </w:instrText>
          </w:r>
          <w:r>
            <w:rPr>
              <w:rFonts w:hint="eastAsia" w:ascii="仿宋" w:hAnsi="仿宋" w:eastAsia="仿宋" w:cs="仿宋"/>
              <w:bCs/>
              <w:sz w:val="28"/>
              <w:szCs w:val="28"/>
              <w:highlight w:val="none"/>
            </w:rPr>
            <w:fldChar w:fldCharType="separate"/>
          </w:r>
          <w:r>
            <w:rPr>
              <w:rFonts w:hint="eastAsia" w:ascii="仿宋" w:hAnsi="仿宋" w:eastAsia="仿宋" w:cs="仿宋"/>
              <w:bCs/>
              <w:kern w:val="0"/>
              <w:sz w:val="28"/>
              <w:szCs w:val="28"/>
              <w:highlight w:val="none"/>
              <w:lang w:val="en-US" w:eastAsia="zh-CN" w:bidi="ar"/>
            </w:rPr>
            <w:t>（三）现场评价情况分析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_Toc12343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_Toc24676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五、绩效评价指标分析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_Toc24676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_Toc26430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（一）项目决策情况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_Toc26430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_Toc1216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（二）项目过程情况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_Toc1216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23</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_Toc28028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（三）项目产出情况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_Toc28028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25</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_Toc10544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（四）项目效益情况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_Toc10544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28</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4"/>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_Toc10060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（五）满意度情况</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_Toc10060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29</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_Toc8319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六、项目主要经验及做法</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_Toc8319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30</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_Toc18018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七、存在的问题及原因分析</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_Toc18018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_Toc9837 </w:instrText>
          </w:r>
          <w:r>
            <w:rPr>
              <w:rFonts w:hint="eastAsia" w:ascii="仿宋" w:hAnsi="仿宋" w:eastAsia="仿宋" w:cs="仿宋"/>
              <w:bCs/>
              <w:sz w:val="28"/>
              <w:szCs w:val="28"/>
              <w:highlight w:val="none"/>
            </w:rPr>
            <w:fldChar w:fldCharType="separate"/>
          </w:r>
          <w:r>
            <w:rPr>
              <w:rFonts w:hint="eastAsia" w:ascii="仿宋" w:hAnsi="仿宋" w:eastAsia="仿宋" w:cs="仿宋"/>
              <w:sz w:val="28"/>
              <w:szCs w:val="28"/>
              <w:highlight w:val="none"/>
            </w:rPr>
            <w:t>八、有关建议</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_Toc9837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13"/>
            <w:keepNext w:val="0"/>
            <w:keepLines w:val="0"/>
            <w:pageBreakBefore w:val="0"/>
            <w:widowControl w:val="0"/>
            <w:tabs>
              <w:tab w:val="right" w:leader="dot" w:pos="8306"/>
            </w:tabs>
            <w:kinsoku/>
            <w:wordWrap/>
            <w:overflowPunct w:val="0"/>
            <w:topLinePunct w:val="0"/>
            <w:autoSpaceDE/>
            <w:autoSpaceDN/>
            <w:bidi w:val="0"/>
            <w:adjustRightInd/>
            <w:snapToGrid/>
            <w:spacing w:line="500" w:lineRule="exact"/>
            <w:jc w:val="both"/>
            <w:textAlignment w:val="auto"/>
            <w:rPr>
              <w:highlight w:val="none"/>
            </w:rPr>
          </w:pPr>
          <w:r>
            <w:rPr>
              <w:rFonts w:hint="eastAsia" w:ascii="仿宋" w:hAnsi="仿宋" w:eastAsia="仿宋" w:cs="仿宋"/>
              <w:bCs/>
              <w:sz w:val="28"/>
              <w:szCs w:val="28"/>
              <w:highlight w:val="none"/>
            </w:rPr>
            <w:fldChar w:fldCharType="begin"/>
          </w:r>
          <w:r>
            <w:rPr>
              <w:rFonts w:hint="eastAsia" w:ascii="仿宋" w:hAnsi="仿宋" w:eastAsia="仿宋" w:cs="仿宋"/>
              <w:bCs/>
              <w:sz w:val="28"/>
              <w:szCs w:val="28"/>
              <w:highlight w:val="none"/>
            </w:rPr>
            <w:instrText xml:space="preserve"> HYPERLINK \l _Toc20171 </w:instrText>
          </w:r>
          <w:r>
            <w:rPr>
              <w:rFonts w:hint="eastAsia" w:ascii="仿宋" w:hAnsi="仿宋" w:eastAsia="仿宋" w:cs="仿宋"/>
              <w:bCs/>
              <w:sz w:val="28"/>
              <w:szCs w:val="28"/>
              <w:highlight w:val="none"/>
            </w:rPr>
            <w:fldChar w:fldCharType="separate"/>
          </w:r>
          <w:r>
            <w:rPr>
              <w:rFonts w:hint="eastAsia" w:ascii="仿宋" w:hAnsi="仿宋" w:eastAsia="仿宋" w:cs="仿宋"/>
              <w:bCs/>
              <w:sz w:val="28"/>
              <w:szCs w:val="28"/>
              <w:highlight w:val="none"/>
            </w:rPr>
            <w:t>九、需要说明的问题</w:t>
          </w:r>
          <w:r>
            <w:rPr>
              <w:rFonts w:hint="eastAsia" w:ascii="仿宋" w:hAnsi="仿宋" w:eastAsia="仿宋" w:cs="仿宋"/>
              <w:sz w:val="28"/>
              <w:szCs w:val="28"/>
              <w:highlight w:val="none"/>
            </w:rPr>
            <w:tab/>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PAGEREF _Toc20171 \h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31</w:t>
          </w:r>
          <w:r>
            <w:rPr>
              <w:rFonts w:hint="eastAsia" w:ascii="仿宋" w:hAnsi="仿宋" w:eastAsia="仿宋" w:cs="仿宋"/>
              <w:sz w:val="28"/>
              <w:szCs w:val="28"/>
              <w:highlight w:val="none"/>
            </w:rPr>
            <w:fldChar w:fldCharType="end"/>
          </w:r>
          <w:r>
            <w:rPr>
              <w:rFonts w:hint="eastAsia" w:ascii="仿宋" w:hAnsi="仿宋" w:eastAsia="仿宋" w:cs="仿宋"/>
              <w:bCs/>
              <w:sz w:val="28"/>
              <w:szCs w:val="28"/>
              <w:highlight w:val="none"/>
            </w:rPr>
            <w:fldChar w:fldCharType="end"/>
          </w:r>
        </w:p>
        <w:p>
          <w:pPr>
            <w:pStyle w:val="2"/>
            <w:keepNext w:val="0"/>
            <w:keepLines w:val="0"/>
            <w:pageBreakBefore w:val="0"/>
            <w:widowControl w:val="0"/>
            <w:kinsoku/>
            <w:wordWrap/>
            <w:overflowPunct w:val="0"/>
            <w:topLinePunct w:val="0"/>
            <w:autoSpaceDE/>
            <w:autoSpaceDN/>
            <w:bidi w:val="0"/>
            <w:adjustRightInd/>
            <w:snapToGrid/>
            <w:spacing w:line="560" w:lineRule="exact"/>
            <w:jc w:val="both"/>
            <w:textAlignment w:val="auto"/>
            <w:rPr>
              <w:rFonts w:ascii="宋体" w:hAnsi="宋体" w:eastAsia="宋体"/>
              <w:b/>
              <w:bCs/>
              <w:szCs w:val="44"/>
              <w:highlight w:val="none"/>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r>
            <w:rPr>
              <w:rFonts w:hint="eastAsia" w:ascii="仿宋" w:hAnsi="仿宋" w:eastAsia="仿宋" w:cs="仿宋"/>
              <w:bCs/>
              <w:szCs w:val="28"/>
              <w:highlight w:val="none"/>
            </w:rPr>
            <w:fldChar w:fldCharType="end"/>
          </w:r>
        </w:p>
      </w:sdtContent>
    </w:sdt>
    <w:p>
      <w:pPr>
        <w:pStyle w:val="2"/>
        <w:keepNext w:val="0"/>
        <w:keepLines w:val="0"/>
        <w:pageBreakBefore w:val="0"/>
        <w:widowControl w:val="0"/>
        <w:kinsoku/>
        <w:wordWrap/>
        <w:overflowPunct w:val="0"/>
        <w:topLinePunct w:val="0"/>
        <w:autoSpaceDE/>
        <w:autoSpaceDN/>
        <w:bidi w:val="0"/>
        <w:adjustRightInd/>
        <w:spacing w:line="560" w:lineRule="exact"/>
        <w:ind w:firstLine="880" w:firstLineChars="200"/>
        <w:jc w:val="center"/>
        <w:outlineLvl w:val="0"/>
        <w:rPr>
          <w:rFonts w:ascii="方正小标宋简体" w:hAnsi="宋体" w:eastAsia="方正小标宋简体"/>
          <w:sz w:val="44"/>
          <w:szCs w:val="44"/>
          <w:highlight w:val="none"/>
        </w:rPr>
      </w:pPr>
      <w:bookmarkStart w:id="10" w:name="_Toc13972"/>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10"/>
    </w:p>
    <w:p>
      <w:pPr>
        <w:keepNext w:val="0"/>
        <w:keepLines w:val="0"/>
        <w:pageBreakBefore w:val="0"/>
        <w:widowControl w:val="0"/>
        <w:kinsoku/>
        <w:wordWrap/>
        <w:overflowPunct w:val="0"/>
        <w:topLinePunct w:val="0"/>
        <w:autoSpaceDE/>
        <w:autoSpaceDN/>
        <w:bidi w:val="0"/>
        <w:adjustRightInd/>
        <w:spacing w:line="560" w:lineRule="exact"/>
        <w:ind w:firstLine="420" w:firstLineChars="200"/>
        <w:jc w:val="both"/>
        <w:rPr>
          <w:highlight w:val="none"/>
        </w:rPr>
      </w:pPr>
    </w:p>
    <w:p>
      <w:pPr>
        <w:keepNext w:val="0"/>
        <w:keepLines w:val="0"/>
        <w:pageBreakBefore w:val="0"/>
        <w:widowControl w:val="0"/>
        <w:numPr>
          <w:ilvl w:val="0"/>
          <w:numId w:val="1"/>
        </w:numPr>
        <w:tabs>
          <w:tab w:val="left" w:pos="849"/>
        </w:tabs>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hAnsi="黑体" w:eastAsia="黑体" w:cs="黑体"/>
          <w:b w:val="0"/>
          <w:bCs w:val="0"/>
          <w:sz w:val="32"/>
          <w:szCs w:val="32"/>
          <w:highlight w:val="none"/>
        </w:rPr>
      </w:pPr>
      <w:bookmarkStart w:id="11" w:name="_Toc13873"/>
      <w:bookmarkStart w:id="12" w:name="_Toc30938"/>
      <w:r>
        <w:rPr>
          <w:rFonts w:hint="eastAsia" w:ascii="黑体" w:hAnsi="黑体" w:eastAsia="黑体" w:cs="黑体"/>
          <w:b w:val="0"/>
          <w:bCs w:val="0"/>
          <w:sz w:val="32"/>
          <w:szCs w:val="32"/>
          <w:highlight w:val="none"/>
        </w:rPr>
        <w:t>项目基本情况</w:t>
      </w:r>
      <w:bookmarkEnd w:id="11"/>
      <w:bookmarkEnd w:id="12"/>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3" w:name="_Toc23942"/>
      <w:bookmarkStart w:id="14" w:name="_Toc30374"/>
      <w:r>
        <w:rPr>
          <w:rFonts w:hint="eastAsia" w:ascii="楷体" w:hAnsi="楷体" w:eastAsia="楷体" w:cs="楷体"/>
          <w:b/>
          <w:bCs/>
          <w:highlight w:val="none"/>
        </w:rPr>
        <w:t>（一）项目立项背景及实施目的</w:t>
      </w:r>
      <w:bookmarkEnd w:id="13"/>
      <w:bookmarkEnd w:id="1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15" w:name="_Toc24239"/>
      <w:r>
        <w:rPr>
          <w:rFonts w:hint="eastAsia" w:ascii="仿宋_GB2312" w:hAnsi="仿宋_GB2312" w:eastAsia="仿宋_GB2312" w:cs="仿宋_GB2312"/>
          <w:highlight w:val="none"/>
        </w:rPr>
        <w:t>2019年以来，甘肃</w:t>
      </w:r>
      <w:r>
        <w:rPr>
          <w:rFonts w:hint="eastAsia" w:ascii="仿宋_GB2312" w:hAnsi="仿宋_GB2312" w:cs="仿宋_GB2312"/>
          <w:highlight w:val="none"/>
          <w:lang w:val="en-US" w:eastAsia="zh-CN"/>
        </w:rPr>
        <w:t>省高级人民</w:t>
      </w:r>
      <w:r>
        <w:rPr>
          <w:rFonts w:hint="eastAsia" w:ascii="仿宋_GB2312" w:hAnsi="仿宋_GB2312" w:eastAsia="仿宋_GB2312" w:cs="仿宋_GB2312"/>
          <w:highlight w:val="none"/>
        </w:rPr>
        <w:t>法院</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以下简称省法院</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抢抓信息化发展历史机遇，全面深化“智慧法院”建设，建设省法院“慧审云”平台，推进两个“一站式”建设，打造全流程智慧化辅助办案体系，不断提升审判体系和审判能力现代化水平，实现由传统法院向“智慧法院”的提档升级。</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省法院按照人民法院信息化4.0版建设要求，以全面推进审判体系和审判能力现代化为目标，系统深度融合为主线，打造的以数据和知识为驱动，“智能化、一体化、协同化、泛在化、自主化”为特征的甘肃法院“智慧法院”4.0版项目被列入国家“十四五”规划，该项目有效提升了信息化和审判业务融合程度，实现</w:t>
      </w:r>
      <w:r>
        <w:rPr>
          <w:rFonts w:hint="eastAsia" w:ascii="仿宋_GB2312" w:hAnsi="仿宋_GB2312" w:cs="仿宋_GB2312"/>
          <w:highlight w:val="none"/>
          <w:lang w:eastAsia="zh-CN"/>
        </w:rPr>
        <w:t>了</w:t>
      </w:r>
      <w:r>
        <w:rPr>
          <w:rFonts w:hint="eastAsia" w:ascii="仿宋_GB2312" w:hAnsi="仿宋_GB2312" w:eastAsia="仿宋_GB2312" w:cs="仿宋_GB2312"/>
          <w:highlight w:val="none"/>
        </w:rPr>
        <w:t>全业务信息化，为“一带一路”、黄河流域生态保护、西部大开发新格局构建等提供更加有力的司法保障。</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6" w:name="_Toc23542"/>
      <w:r>
        <w:rPr>
          <w:rFonts w:hint="eastAsia" w:ascii="楷体" w:hAnsi="楷体" w:eastAsia="楷体" w:cs="楷体"/>
          <w:b/>
          <w:bCs/>
          <w:highlight w:val="none"/>
        </w:rPr>
        <w:t>（二）项目预算安排和支出情况</w:t>
      </w:r>
      <w:bookmarkEnd w:id="15"/>
      <w:bookmarkEnd w:id="16"/>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yellow"/>
        </w:rPr>
      </w:pPr>
      <w:r>
        <w:rPr>
          <w:rFonts w:hint="eastAsia" w:ascii="仿宋_GB2312" w:hAnsi="仿宋_GB2312" w:cs="仿宋_GB2312"/>
          <w:highlight w:val="none"/>
          <w:lang w:eastAsia="zh-CN"/>
        </w:rPr>
        <w:t>信息化建设经费（其中“12368”司法平台运行维护费50万元）</w:t>
      </w:r>
      <w:r>
        <w:rPr>
          <w:rFonts w:hint="eastAsia" w:ascii="仿宋_GB2312" w:hAnsi="仿宋_GB2312" w:eastAsia="仿宋_GB2312" w:cs="仿宋_GB2312"/>
          <w:highlight w:val="none"/>
        </w:rPr>
        <w:t>项目根据202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年度预算安排，</w:t>
      </w:r>
      <w:r>
        <w:rPr>
          <w:rFonts w:hint="eastAsia" w:ascii="仿宋_GB2312" w:hAnsi="仿宋_GB2312" w:cs="仿宋_GB2312"/>
          <w:highlight w:val="none"/>
          <w:lang w:val="en-US" w:eastAsia="zh-CN"/>
        </w:rPr>
        <w:t>全年预算数1,048.26万元，其中当年财政拨款950.00</w:t>
      </w:r>
      <w:r>
        <w:rPr>
          <w:rFonts w:hint="eastAsia" w:ascii="仿宋_GB2312" w:hAnsi="仿宋_GB2312" w:eastAsia="仿宋_GB2312" w:cs="仿宋_GB2312"/>
          <w:highlight w:val="none"/>
        </w:rPr>
        <w:t>万元</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上年结转资金98.26万元</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截止2022年12月31日，实际支出1,048.26万元，预算执行率100%。</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7" w:name="_Toc3708"/>
      <w:bookmarkStart w:id="18" w:name="_Toc22406"/>
      <w:r>
        <w:rPr>
          <w:rFonts w:hint="eastAsia" w:ascii="楷体" w:hAnsi="楷体" w:eastAsia="楷体" w:cs="楷体"/>
          <w:b/>
          <w:bCs/>
          <w:highlight w:val="none"/>
        </w:rPr>
        <w:t>（三）项目主要内容和实施情况</w:t>
      </w:r>
      <w:bookmarkEnd w:id="17"/>
      <w:bookmarkEnd w:id="18"/>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按照人民法院信息化4.0版建设要求，进一步深化司法改革，切实做到司法公开，依托现代信息技术，建设智慧法院。展示现代法治文明，保障当事人诉讼权利，履行人民法院社会责任，方便人民群众诉讼，减轻当事人讼累。</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省法院本年度建成了省法院教育培训平台和省法院统一鉴定平台，对云桌面、智慧法院信息系统和信访管理系统进行升级换代，有效提升了法院信息化建设水平，方便了人民群众诉讼，减轻当事人诉累。</w:t>
      </w:r>
    </w:p>
    <w:p>
      <w:pPr>
        <w:keepNext w:val="0"/>
        <w:keepLines w:val="0"/>
        <w:pageBreakBefore w:val="0"/>
        <w:widowControl w:val="0"/>
        <w:numPr>
          <w:ilvl w:val="0"/>
          <w:numId w:val="1"/>
        </w:numPr>
        <w:tabs>
          <w:tab w:val="left" w:pos="849"/>
        </w:tabs>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hAnsi="黑体" w:eastAsia="黑体" w:cs="黑体"/>
          <w:b w:val="0"/>
          <w:bCs w:val="0"/>
          <w:sz w:val="32"/>
          <w:szCs w:val="32"/>
          <w:highlight w:val="none"/>
        </w:rPr>
      </w:pPr>
      <w:bookmarkStart w:id="19" w:name="_Toc4760"/>
      <w:bookmarkStart w:id="20" w:name="_Toc5079"/>
      <w:r>
        <w:rPr>
          <w:rFonts w:hint="eastAsia" w:ascii="黑体" w:hAnsi="黑体" w:eastAsia="黑体" w:cs="黑体"/>
          <w:b w:val="0"/>
          <w:bCs w:val="0"/>
          <w:sz w:val="32"/>
          <w:szCs w:val="32"/>
          <w:highlight w:val="none"/>
        </w:rPr>
        <w:t>项目绩效目标</w:t>
      </w:r>
      <w:bookmarkEnd w:id="19"/>
      <w:bookmarkEnd w:id="20"/>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仿宋" w:hAnsi="仿宋" w:eastAsia="仿宋" w:cs="仿宋"/>
          <w:b/>
          <w:bCs/>
          <w:highlight w:val="none"/>
        </w:rPr>
      </w:pPr>
      <w:bookmarkStart w:id="21" w:name="_Toc31156"/>
      <w:bookmarkStart w:id="22" w:name="_Toc1873"/>
      <w:r>
        <w:rPr>
          <w:rFonts w:hint="eastAsia" w:ascii="楷体" w:hAnsi="楷体" w:eastAsia="楷体" w:cs="楷体"/>
          <w:b/>
          <w:bCs/>
          <w:highlight w:val="none"/>
        </w:rPr>
        <w:t>（一）总体绩效目标</w:t>
      </w:r>
      <w:bookmarkEnd w:id="21"/>
      <w:bookmarkEnd w:id="2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highlight w:val="none"/>
        </w:rPr>
      </w:pPr>
      <w:bookmarkStart w:id="23" w:name="_Toc16451"/>
      <w:bookmarkStart w:id="24" w:name="_Toc13132"/>
      <w:r>
        <w:rPr>
          <w:rFonts w:hint="eastAsia" w:ascii="仿宋_GB2312" w:hAnsi="仿宋_GB2312" w:eastAsia="仿宋_GB2312" w:cs="仿宋_GB2312"/>
          <w:highlight w:val="none"/>
        </w:rPr>
        <w:t>以全面推进审判体系和审判能力现代化为目标，以系统深度融合为主线，打造以数据和知识为驱动，以“智能化、一体化、协同化、泛在化、自主化”为特征的我省法院信息化4.0版，有效提升信息化和审判业务融合程度，实现全业务信息化，为“一带一路”、黄河流域生态保护、西部大开发新格局构建等提供更加有力的司法保障。</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r>
        <w:rPr>
          <w:rFonts w:hint="eastAsia" w:ascii="楷体" w:hAnsi="楷体" w:eastAsia="楷体" w:cs="楷体"/>
          <w:b/>
          <w:bCs/>
          <w:highlight w:val="none"/>
        </w:rPr>
        <w:t>（二）202</w:t>
      </w:r>
      <w:r>
        <w:rPr>
          <w:rFonts w:hint="eastAsia" w:ascii="楷体" w:hAnsi="楷体" w:eastAsia="楷体" w:cs="楷体"/>
          <w:b/>
          <w:bCs/>
          <w:highlight w:val="none"/>
          <w:lang w:val="en-US" w:eastAsia="zh-CN"/>
        </w:rPr>
        <w:t>2</w:t>
      </w:r>
      <w:r>
        <w:rPr>
          <w:rFonts w:hint="eastAsia" w:ascii="楷体" w:hAnsi="楷体" w:eastAsia="楷体" w:cs="楷体"/>
          <w:b/>
          <w:bCs/>
          <w:highlight w:val="none"/>
        </w:rPr>
        <w:t>年度绩效目标</w:t>
      </w:r>
      <w:bookmarkEnd w:id="23"/>
      <w:bookmarkEnd w:id="24"/>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highlight w:val="none"/>
        </w:rPr>
      </w:pPr>
      <w:bookmarkStart w:id="25" w:name="_Toc23835"/>
      <w:r>
        <w:rPr>
          <w:rFonts w:hint="eastAsia" w:ascii="仿宋_GB2312" w:hAnsi="仿宋_GB2312" w:eastAsia="仿宋_GB2312" w:cs="仿宋_GB2312"/>
          <w:highlight w:val="none"/>
        </w:rPr>
        <w:t>进一步深化司法改革，切实做到司法公开，依托现代信息技术，建设智慧法院。2022年计划完成信息化设备购置、信息化平台建设、信息化系统升级改造等项目的建设，各项目验收合格率均达到100%。增进社会公众对司法的了解、信赖和监督。展示现代法治文明，保障当事人诉讼权利，履行人民法院社会责任，方便人民群众诉讼，减轻当事人讼累。做到所有案件审判信息公开度达到100%。</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hAnsi="黑体" w:eastAsia="黑体" w:cs="黑体"/>
          <w:b w:val="0"/>
          <w:bCs w:val="0"/>
          <w:highlight w:val="none"/>
        </w:rPr>
      </w:pPr>
      <w:bookmarkStart w:id="26" w:name="_Toc13906"/>
      <w:r>
        <w:rPr>
          <w:rFonts w:hint="eastAsia" w:ascii="黑体" w:hAnsi="黑体" w:eastAsia="黑体" w:cs="黑体"/>
          <w:b w:val="0"/>
          <w:bCs w:val="0"/>
          <w:highlight w:val="none"/>
        </w:rPr>
        <w:t>三、评价基本情况</w:t>
      </w:r>
      <w:bookmarkEnd w:id="25"/>
      <w:bookmarkEnd w:id="26"/>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27" w:name="_Toc8288"/>
      <w:bookmarkStart w:id="28" w:name="_Toc12764"/>
      <w:r>
        <w:rPr>
          <w:rFonts w:hint="eastAsia" w:ascii="楷体" w:hAnsi="楷体" w:eastAsia="楷体" w:cs="楷体"/>
          <w:b/>
          <w:bCs/>
          <w:highlight w:val="none"/>
        </w:rPr>
        <w:t>（一）评价目的、对象和范围</w:t>
      </w:r>
      <w:bookmarkEnd w:id="27"/>
      <w:bookmarkEnd w:id="28"/>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绩效评价的目的是对预算资金的执行情况、资金使用情况、项目的绩效情况进行综合分析，与预期绩效目标进行对比评价，优化资金使用、完善资金管理，为该项目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信息化建设经费（其中“12368”司法平台运行维护费50万元）</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项目；评价范围为</w:t>
      </w:r>
      <w:r>
        <w:rPr>
          <w:rFonts w:hint="eastAsia" w:ascii="仿宋_GB2312" w:hAnsi="仿宋_GB2312" w:cs="仿宋_GB2312"/>
          <w:highlight w:val="none"/>
          <w:lang w:val="en-US" w:eastAsia="zh-CN"/>
        </w:rPr>
        <w:t>该</w:t>
      </w:r>
      <w:r>
        <w:rPr>
          <w:rFonts w:hint="eastAsia" w:ascii="仿宋_GB2312" w:hAnsi="仿宋_GB2312" w:eastAsia="仿宋_GB2312" w:cs="仿宋_GB2312"/>
          <w:highlight w:val="none"/>
        </w:rPr>
        <w:t>项目</w:t>
      </w:r>
      <w:r>
        <w:rPr>
          <w:rFonts w:hint="eastAsia" w:ascii="仿宋_GB2312" w:hAnsi="仿宋_GB2312" w:cs="仿宋_GB2312"/>
          <w:highlight w:val="none"/>
          <w:lang w:val="en-US" w:eastAsia="zh-CN"/>
        </w:rPr>
        <w:t>全年预算资金1,048.26万元的</w:t>
      </w:r>
      <w:r>
        <w:rPr>
          <w:rFonts w:hint="eastAsia" w:ascii="仿宋_GB2312" w:hAnsi="仿宋_GB2312" w:eastAsia="仿宋_GB2312" w:cs="仿宋_GB2312"/>
          <w:highlight w:val="none"/>
        </w:rPr>
        <w:t>资金使用和项目实施效益情况。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29" w:name="_Toc16687"/>
      <w:bookmarkStart w:id="30" w:name="_Toc861"/>
      <w:r>
        <w:rPr>
          <w:rFonts w:hint="eastAsia" w:ascii="楷体" w:hAnsi="楷体" w:eastAsia="楷体" w:cs="楷体"/>
          <w:b/>
          <w:bCs/>
          <w:highlight w:val="none"/>
        </w:rPr>
        <w:t>（二）评价原则、评价方法、评价指标体系</w:t>
      </w:r>
      <w:bookmarkEnd w:id="29"/>
      <w:bookmarkEnd w:id="30"/>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本次绩效评价遵循</w:t>
      </w:r>
      <w:r>
        <w:rPr>
          <w:rFonts w:hint="eastAsia" w:ascii="仿宋_GB2312" w:hAnsi="仿宋_GB2312" w:eastAsia="仿宋_GB2312" w:cs="仿宋_GB2312"/>
          <w:color w:val="000000" w:themeColor="text1"/>
          <w:sz w:val="32"/>
          <w:szCs w:val="32"/>
          <w:highlight w:val="none"/>
          <w14:textFill>
            <w14:solidFill>
              <w14:schemeClr w14:val="tx1"/>
            </w14:solidFill>
          </w14:textFill>
        </w:rPr>
        <w:t>科学规范、绩效相关、公开透明、激励约束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的原</w:t>
      </w:r>
      <w:r>
        <w:rPr>
          <w:rFonts w:hint="eastAsia" w:ascii="仿宋_GB2312" w:hAnsi="仿宋_GB2312" w:eastAsia="仿宋_GB2312" w:cs="仿宋_GB2312"/>
          <w:sz w:val="32"/>
          <w:szCs w:val="32"/>
          <w:highlight w:val="none"/>
        </w:rPr>
        <w:t>则。</w:t>
      </w:r>
      <w:r>
        <w:rPr>
          <w:rFonts w:hint="eastAsia" w:ascii="仿宋_GB2312" w:hAnsi="仿宋_GB2312" w:eastAsia="仿宋_GB2312" w:cs="仿宋_GB2312"/>
          <w:color w:val="000000" w:themeColor="text1"/>
          <w:sz w:val="32"/>
          <w:szCs w:val="32"/>
          <w:highlight w:val="none"/>
          <w14:textFill>
            <w14:solidFill>
              <w14:schemeClr w14:val="tx1"/>
            </w14:solidFill>
          </w14:textFill>
        </w:rPr>
        <w:t>采用定量和定性分析相结合，第三方评价机构现场核实、资料评审相结合，综合运用比较法、因素分析法和专家评议等方法进行评价。</w:t>
      </w:r>
      <w:r>
        <w:rPr>
          <w:rFonts w:hint="eastAsia" w:ascii="仿宋_GB2312" w:hAnsi="仿宋_GB2312" w:eastAsia="仿宋_GB2312" w:cs="仿宋_GB2312"/>
          <w:sz w:val="32"/>
          <w:szCs w:val="32"/>
          <w:highlight w:val="none"/>
        </w:rPr>
        <w:t>根据相关文件规定，绩效评价指标划分为三级，一级指标主要包括：项目决策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过程、产出、效益、服务对象满意度情况，二级指标和三级指标根据项目情况量化、细化。</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31" w:name="_Toc7306"/>
      <w:bookmarkStart w:id="32" w:name="_Toc14026"/>
      <w:r>
        <w:rPr>
          <w:rFonts w:hint="eastAsia" w:ascii="楷体" w:hAnsi="楷体" w:eastAsia="楷体" w:cs="楷体"/>
          <w:b/>
          <w:bCs/>
          <w:highlight w:val="none"/>
        </w:rPr>
        <w:t>（三）绩效评价工作过程</w:t>
      </w:r>
      <w:bookmarkEnd w:id="31"/>
      <w:bookmarkEnd w:id="32"/>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bookmarkStart w:id="33" w:name="_Toc29824"/>
      <w:r>
        <w:rPr>
          <w:rFonts w:hint="eastAsia" w:ascii="仿宋_GB2312" w:hAnsi="仿宋_GB2312" w:eastAsia="仿宋_GB2312" w:cs="仿宋_GB2312"/>
          <w:sz w:val="32"/>
          <w:szCs w:val="32"/>
          <w:highlight w:val="none"/>
        </w:rPr>
        <w:t>本次评价由省法院委托甘肃卓诚财务咨询有限公司组成评价工作组，按照《甘肃省财政厅关于开展2022年度省级预算执行情况部门和财政重点绩效评价工作的通知》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要求，在充分开展前期调研的基础上，收集评价资料、开展现场评价、进行综合分析、撰写评价报告。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仿宋" w:hAnsi="仿宋" w:eastAsia="仿宋" w:cs="仿宋"/>
          <w:b w:val="0"/>
          <w:bCs w:val="0"/>
          <w:highlight w:val="none"/>
        </w:rPr>
      </w:pPr>
      <w:bookmarkStart w:id="34" w:name="_Toc12052"/>
      <w:r>
        <w:rPr>
          <w:rFonts w:hint="eastAsia" w:ascii="黑体" w:hAnsi="黑体" w:eastAsia="黑体" w:cs="黑体"/>
          <w:b w:val="0"/>
          <w:bCs w:val="0"/>
          <w:highlight w:val="none"/>
        </w:rPr>
        <w:t>四、评价结论和绩效分析</w:t>
      </w:r>
      <w:bookmarkEnd w:id="33"/>
      <w:bookmarkEnd w:id="34"/>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依据项目支出绩效评价指标体系和评分标准，综合评定202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年度信息化建设经费（其中“12368”司法平台运行维护费50万元）项目绩效评分为</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分，绩效等级为“</w:t>
      </w:r>
      <w:r>
        <w:rPr>
          <w:rFonts w:hint="eastAsia" w:ascii="仿宋_GB2312" w:hAnsi="仿宋_GB2312" w:eastAsia="仿宋_GB2312" w:cs="仿宋_GB2312"/>
          <w:sz w:val="32"/>
          <w:szCs w:val="32"/>
          <w:highlight w:val="none"/>
          <w:lang w:val="en-US" w:eastAsia="zh-CN"/>
        </w:rPr>
        <w:t>优</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评价认为，202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 w:eastAsia="仿宋_GB2312" w:cs="仿宋"/>
          <w:sz w:val="32"/>
          <w:szCs w:val="32"/>
          <w:highlight w:val="none"/>
          <w:lang w:eastAsia="zh-CN"/>
        </w:rPr>
        <w:t>信息化建设经费（其中“12368”司法平台运行维护费50万元）项目的立项能够很好地适应总体目标，</w:t>
      </w:r>
      <w:r>
        <w:rPr>
          <w:rFonts w:hint="eastAsia" w:ascii="仿宋_GB2312" w:hAnsi="仿宋_GB2312" w:eastAsia="仿宋_GB2312" w:cs="仿宋_GB2312"/>
          <w:sz w:val="32"/>
          <w:szCs w:val="32"/>
          <w:highlight w:val="none"/>
        </w:rPr>
        <w:t>立项依据充分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程序规范</w:t>
      </w:r>
      <w:r>
        <w:rPr>
          <w:rFonts w:hint="eastAsia" w:ascii="仿宋_GB2312" w:hAnsi="仿宋_GB2312" w:eastAsia="仿宋_GB2312" w:cs="仿宋_GB2312"/>
          <w:sz w:val="32"/>
          <w:szCs w:val="32"/>
          <w:highlight w:val="none"/>
          <w:lang w:eastAsia="zh-CN"/>
        </w:rPr>
        <w:t>；项目实施流程严谨，</w:t>
      </w:r>
      <w:r>
        <w:rPr>
          <w:rFonts w:hint="eastAsia" w:ascii="仿宋_GB2312" w:hAnsi="仿宋_GB2312" w:eastAsia="仿宋_GB2312" w:cs="仿宋_GB2312"/>
          <w:sz w:val="32"/>
          <w:szCs w:val="32"/>
          <w:highlight w:val="none"/>
        </w:rPr>
        <w:t>管理制度健全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预算编制科学，资金分配合理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资金</w:t>
      </w:r>
      <w:r>
        <w:rPr>
          <w:rFonts w:hint="eastAsia" w:ascii="仿宋_GB2312" w:hAnsi="仿宋_GB2312" w:eastAsia="仿宋_GB2312" w:cs="仿宋_GB2312"/>
          <w:sz w:val="32"/>
          <w:szCs w:val="32"/>
          <w:highlight w:val="none"/>
          <w:lang w:eastAsia="zh-CN"/>
        </w:rPr>
        <w:t>支付及时、</w:t>
      </w:r>
      <w:r>
        <w:rPr>
          <w:rFonts w:hint="eastAsia" w:ascii="仿宋_GB2312" w:hAnsi="仿宋_GB2312" w:eastAsia="仿宋_GB2312" w:cs="仿宋_GB2312"/>
          <w:sz w:val="32"/>
          <w:szCs w:val="32"/>
          <w:highlight w:val="none"/>
          <w:lang w:val="en-US" w:eastAsia="zh-CN"/>
        </w:rPr>
        <w:t>使用效果良好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 w:eastAsia="仿宋_GB2312" w:cs="仿宋"/>
          <w:sz w:val="32"/>
          <w:szCs w:val="32"/>
          <w:highlight w:val="none"/>
          <w:lang w:eastAsia="zh-CN"/>
        </w:rPr>
        <w:t>信息化建设经费（其中“12368”司法平台运行维护费50万元）项目</w:t>
      </w:r>
      <w:r>
        <w:rPr>
          <w:rFonts w:hint="eastAsia" w:ascii="仿宋_GB2312" w:hAnsi="仿宋" w:eastAsia="仿宋_GB2312" w:cs="仿宋"/>
          <w:sz w:val="32"/>
          <w:szCs w:val="32"/>
          <w:highlight w:val="none"/>
          <w:lang w:val="en-US" w:eastAsia="zh-CN"/>
        </w:rPr>
        <w:t>的实施确保新建和已建设的信息化项目正常运行，保障当事人诉讼权利，履行人民法院社会责任</w:t>
      </w:r>
      <w:r>
        <w:rPr>
          <w:rFonts w:hint="eastAsia" w:ascii="仿宋_GB2312" w:hAnsi="仿宋_GB2312" w:eastAsia="仿宋_GB2312" w:cs="仿宋_GB2312"/>
          <w:sz w:val="32"/>
          <w:szCs w:val="32"/>
          <w:highlight w:val="none"/>
          <w:lang w:eastAsia="zh-CN"/>
        </w:rPr>
        <w:t>，项目达到预期效果。</w:t>
      </w:r>
      <w:r>
        <w:rPr>
          <w:rFonts w:hint="eastAsia" w:ascii="仿宋_GB2312" w:hAnsi="仿宋_GB2312" w:eastAsia="仿宋_GB2312" w:cs="仿宋_GB2312"/>
          <w:sz w:val="32"/>
          <w:szCs w:val="32"/>
          <w:highlight w:val="none"/>
          <w:lang w:val="en-US" w:eastAsia="zh-CN"/>
        </w:rPr>
        <w:t>但该项目绩效目标编制有待进一步规范</w:t>
      </w:r>
      <w:r>
        <w:rPr>
          <w:rFonts w:hint="eastAsia" w:ascii="仿宋_GB2312" w:hAnsi="仿宋_GB2312" w:eastAsia="仿宋_GB2312" w:cs="仿宋_GB2312"/>
          <w:sz w:val="32"/>
          <w:szCs w:val="32"/>
          <w:highlight w:val="none"/>
        </w:rPr>
        <w:t>。</w:t>
      </w:r>
    </w:p>
    <w:p>
      <w:pPr>
        <w:pStyle w:val="4"/>
        <w:keepNext w:val="0"/>
        <w:keepLines w:val="0"/>
        <w:pageBreakBefore w:val="0"/>
        <w:widowControl w:val="0"/>
        <w:numPr>
          <w:ilvl w:val="0"/>
          <w:numId w:val="2"/>
        </w:numPr>
        <w:kinsoku/>
        <w:wordWrap/>
        <w:overflowPunct w:val="0"/>
        <w:topLinePunct w:val="0"/>
        <w:autoSpaceDE/>
        <w:autoSpaceDN/>
        <w:bidi w:val="0"/>
        <w:adjustRightInd/>
        <w:snapToGrid/>
        <w:spacing w:before="0" w:after="0" w:line="560" w:lineRule="exact"/>
        <w:ind w:firstLine="640" w:firstLineChars="200"/>
        <w:jc w:val="both"/>
        <w:textAlignment w:val="auto"/>
        <w:rPr>
          <w:rFonts w:ascii="黑体" w:hAnsi="黑体" w:eastAsia="黑体" w:cs="黑体"/>
          <w:b w:val="0"/>
          <w:bCs/>
          <w:sz w:val="32"/>
          <w:szCs w:val="32"/>
          <w:highlight w:val="none"/>
        </w:rPr>
      </w:pPr>
      <w:bookmarkStart w:id="35" w:name="_Toc13270"/>
      <w:bookmarkStart w:id="36" w:name="_Toc16038"/>
      <w:r>
        <w:rPr>
          <w:rFonts w:hint="eastAsia" w:ascii="黑体" w:hAnsi="黑体" w:eastAsia="黑体" w:cs="黑体"/>
          <w:b w:val="0"/>
          <w:bCs/>
          <w:sz w:val="32"/>
          <w:szCs w:val="32"/>
          <w:highlight w:val="none"/>
        </w:rPr>
        <w:t>存在问题及原因分析</w:t>
      </w:r>
      <w:bookmarkEnd w:id="35"/>
      <w:bookmarkEnd w:id="36"/>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bookmarkStart w:id="37" w:name="_Toc3318"/>
      <w:bookmarkStart w:id="38" w:name="_Toc24090"/>
      <w:bookmarkStart w:id="39" w:name="_Toc9017"/>
      <w:r>
        <w:rPr>
          <w:rFonts w:hint="eastAsia" w:ascii="仿宋_GB2312" w:hAnsi="仿宋_GB2312" w:eastAsia="仿宋_GB2312" w:cs="仿宋_GB2312"/>
          <w:sz w:val="32"/>
          <w:szCs w:val="32"/>
          <w:highlight w:val="none"/>
          <w:lang w:val="en-US" w:eastAsia="zh-CN"/>
        </w:rPr>
        <w:t>绩效目标编制合理性有待进一步提高</w:t>
      </w:r>
      <w:bookmarkEnd w:id="37"/>
      <w:r>
        <w:rPr>
          <w:rFonts w:hint="eastAsia" w:ascii="仿宋_GB2312" w:hAnsi="仿宋_GB2312" w:eastAsia="仿宋_GB2312" w:cs="仿宋_GB2312"/>
          <w:sz w:val="32"/>
          <w:szCs w:val="32"/>
          <w:highlight w:val="none"/>
          <w:lang w:val="en-US" w:eastAsia="zh-CN"/>
        </w:rPr>
        <w:t>。</w:t>
      </w:r>
    </w:p>
    <w:bookmarkEnd w:id="38"/>
    <w:p>
      <w:pPr>
        <w:pStyle w:val="4"/>
        <w:keepNext w:val="0"/>
        <w:keepLines w:val="0"/>
        <w:pageBreakBefore w:val="0"/>
        <w:widowControl w:val="0"/>
        <w:numPr>
          <w:ilvl w:val="0"/>
          <w:numId w:val="2"/>
        </w:numPr>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黑体" w:hAnsi="黑体" w:eastAsia="黑体" w:cs="黑体"/>
          <w:b w:val="0"/>
          <w:bCs/>
          <w:sz w:val="32"/>
          <w:szCs w:val="32"/>
          <w:highlight w:val="none"/>
        </w:rPr>
      </w:pPr>
      <w:bookmarkStart w:id="40" w:name="_Toc24846"/>
      <w:r>
        <w:rPr>
          <w:rFonts w:hint="eastAsia" w:ascii="黑体" w:hAnsi="黑体" w:eastAsia="黑体" w:cs="黑体"/>
          <w:b w:val="0"/>
          <w:bCs/>
          <w:sz w:val="32"/>
          <w:szCs w:val="32"/>
          <w:highlight w:val="none"/>
        </w:rPr>
        <w:t>有关建议</w:t>
      </w:r>
      <w:bookmarkEnd w:id="40"/>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bookmarkStart w:id="41" w:name="_Toc20417"/>
      <w:r>
        <w:rPr>
          <w:rFonts w:hint="eastAsia" w:ascii="仿宋_GB2312" w:hAnsi="仿宋_GB2312" w:eastAsia="仿宋_GB2312" w:cs="仿宋_GB2312"/>
          <w:sz w:val="32"/>
          <w:szCs w:val="32"/>
          <w:highlight w:val="none"/>
          <w:lang w:eastAsia="zh-CN"/>
        </w:rPr>
        <w:t>加强绩效管理，提高绩效</w:t>
      </w:r>
      <w:r>
        <w:rPr>
          <w:rFonts w:hint="eastAsia" w:ascii="仿宋_GB2312" w:hAnsi="仿宋_GB2312" w:eastAsia="仿宋_GB2312" w:cs="仿宋_GB2312"/>
          <w:sz w:val="32"/>
          <w:szCs w:val="32"/>
          <w:highlight w:val="none"/>
          <w:lang w:val="en-US" w:eastAsia="zh-CN"/>
        </w:rPr>
        <w:t>目标编制</w:t>
      </w:r>
      <w:r>
        <w:rPr>
          <w:rFonts w:hint="eastAsia" w:ascii="仿宋_GB2312" w:hAnsi="仿宋_GB2312" w:eastAsia="仿宋_GB2312" w:cs="仿宋_GB2312"/>
          <w:sz w:val="32"/>
          <w:szCs w:val="32"/>
          <w:highlight w:val="none"/>
          <w:lang w:eastAsia="zh-CN"/>
        </w:rPr>
        <w:t>的准确性</w:t>
      </w:r>
      <w:bookmarkEnd w:id="41"/>
      <w:r>
        <w:rPr>
          <w:rFonts w:hint="eastAsia" w:ascii="仿宋_GB2312" w:hAnsi="仿宋_GB2312" w:eastAsia="仿宋_GB2312" w:cs="仿宋_GB2312"/>
          <w:sz w:val="32"/>
          <w:szCs w:val="32"/>
          <w:highlight w:val="none"/>
          <w:lang w:eastAsia="zh-CN"/>
        </w:rPr>
        <w:t>。</w:t>
      </w:r>
    </w:p>
    <w:bookmarkEnd w:id="39"/>
    <w:p>
      <w:pPr>
        <w:keepNext w:val="0"/>
        <w:keepLines w:val="0"/>
        <w:pageBreakBefore w:val="0"/>
        <w:widowControl w:val="0"/>
        <w:kinsoku/>
        <w:wordWrap/>
        <w:overflowPunct w:val="0"/>
        <w:topLinePunct w:val="0"/>
        <w:autoSpaceDE/>
        <w:autoSpaceDN/>
        <w:bidi w:val="0"/>
        <w:adjustRightInd/>
        <w:jc w:val="both"/>
        <w:rPr>
          <w:rFonts w:hint="eastAsia" w:ascii="方正小标宋简体" w:hAnsi="宋体" w:eastAsia="方正小标宋简体"/>
          <w:sz w:val="44"/>
          <w:szCs w:val="44"/>
          <w:highlight w:val="none"/>
        </w:rPr>
      </w:pPr>
      <w:bookmarkStart w:id="42" w:name="_Toc1784"/>
      <w:bookmarkStart w:id="43" w:name="_Toc2283"/>
      <w:r>
        <w:rPr>
          <w:rFonts w:hint="eastAsia" w:ascii="方正小标宋简体" w:hAnsi="宋体" w:eastAsia="方正小标宋简体"/>
          <w:sz w:val="44"/>
          <w:szCs w:val="44"/>
          <w:highlight w:val="none"/>
        </w:rPr>
        <w:br w:type="page"/>
      </w:r>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hint="eastAsia" w:ascii="方正小标宋简体" w:hAnsi="宋体" w:eastAsia="方正小标宋简体"/>
          <w:sz w:val="44"/>
          <w:szCs w:val="44"/>
          <w:highlight w:val="none"/>
        </w:rPr>
      </w:pPr>
      <w:bookmarkStart w:id="44" w:name="_Toc19402"/>
      <w:r>
        <w:rPr>
          <w:rFonts w:hint="eastAsia" w:ascii="方正小标宋简体" w:hAnsi="宋体" w:eastAsia="方正小标宋简体"/>
          <w:sz w:val="44"/>
          <w:szCs w:val="44"/>
          <w:highlight w:val="none"/>
        </w:rPr>
        <w:t>202</w:t>
      </w:r>
      <w:r>
        <w:rPr>
          <w:rFonts w:hint="eastAsia" w:ascii="方正小标宋简体" w:hAnsi="宋体" w:eastAsia="方正小标宋简体"/>
          <w:sz w:val="44"/>
          <w:szCs w:val="44"/>
          <w:highlight w:val="none"/>
          <w:lang w:val="en-US" w:eastAsia="zh-CN"/>
        </w:rPr>
        <w:t>2</w:t>
      </w:r>
      <w:r>
        <w:rPr>
          <w:rFonts w:hint="eastAsia" w:ascii="方正小标宋简体" w:hAnsi="宋体" w:eastAsia="方正小标宋简体"/>
          <w:sz w:val="44"/>
          <w:szCs w:val="44"/>
          <w:highlight w:val="none"/>
        </w:rPr>
        <w:t>年度</w:t>
      </w:r>
      <w:r>
        <w:rPr>
          <w:rFonts w:hint="eastAsia" w:ascii="方正小标宋简体" w:hAnsi="宋体" w:eastAsia="方正小标宋简体"/>
          <w:sz w:val="44"/>
          <w:szCs w:val="44"/>
          <w:highlight w:val="none"/>
          <w:lang w:val="en-US" w:eastAsia="zh-CN"/>
        </w:rPr>
        <w:t>甘肃省高级人民法院</w:t>
      </w:r>
      <w:r>
        <w:rPr>
          <w:rFonts w:hint="eastAsia" w:ascii="方正小标宋简体" w:hAnsi="宋体" w:eastAsia="方正小标宋简体"/>
          <w:sz w:val="44"/>
          <w:szCs w:val="44"/>
          <w:highlight w:val="none"/>
        </w:rPr>
        <w:t>重点项目</w:t>
      </w:r>
      <w:bookmarkEnd w:id="44"/>
      <w:bookmarkStart w:id="45" w:name="_Toc25608"/>
      <w:bookmarkStart w:id="46" w:name="_Toc10434"/>
      <w:bookmarkStart w:id="47" w:name="_Toc21731"/>
    </w:p>
    <w:p>
      <w:pPr>
        <w:keepNext w:val="0"/>
        <w:keepLines w:val="0"/>
        <w:pageBreakBefore w:val="0"/>
        <w:widowControl w:val="0"/>
        <w:kinsoku/>
        <w:wordWrap/>
        <w:overflowPunct w:val="0"/>
        <w:topLinePunct w:val="0"/>
        <w:autoSpaceDE/>
        <w:autoSpaceDN/>
        <w:bidi w:val="0"/>
        <w:adjustRightInd/>
        <w:spacing w:line="560" w:lineRule="exact"/>
        <w:jc w:val="center"/>
        <w:outlineLvl w:val="0"/>
        <w:rPr>
          <w:rFonts w:ascii="方正小标宋简体" w:hAnsi="宋体" w:eastAsia="方正小标宋简体"/>
          <w:sz w:val="44"/>
          <w:szCs w:val="44"/>
          <w:highlight w:val="none"/>
        </w:rPr>
      </w:pPr>
      <w:r>
        <w:rPr>
          <w:rFonts w:hint="eastAsia" w:ascii="方正小标宋简体" w:hAnsi="宋体" w:eastAsia="方正小标宋简体"/>
          <w:sz w:val="44"/>
          <w:szCs w:val="44"/>
          <w:highlight w:val="none"/>
        </w:rPr>
        <w:t>—</w:t>
      </w:r>
      <w:r>
        <w:rPr>
          <w:rFonts w:hint="eastAsia" w:ascii="方正小标宋简体" w:hAnsi="宋体" w:eastAsia="方正小标宋简体"/>
          <w:sz w:val="44"/>
          <w:szCs w:val="44"/>
          <w:highlight w:val="none"/>
          <w:lang w:eastAsia="zh-CN"/>
        </w:rPr>
        <w:t>信息化建设经费（其中“12368”司法平台运行维护费50万元）</w:t>
      </w:r>
      <w:r>
        <w:rPr>
          <w:rFonts w:hint="eastAsia" w:ascii="方正小标宋简体" w:hAnsi="宋体" w:eastAsia="方正小标宋简体"/>
          <w:sz w:val="44"/>
          <w:szCs w:val="44"/>
          <w:highlight w:val="none"/>
        </w:rPr>
        <w:t>绩效评价报告</w:t>
      </w:r>
      <w:bookmarkEnd w:id="45"/>
      <w:bookmarkEnd w:id="46"/>
      <w:bookmarkEnd w:id="47"/>
    </w:p>
    <w:p>
      <w:pPr>
        <w:pStyle w:val="2"/>
        <w:keepNext w:val="0"/>
        <w:keepLines w:val="0"/>
        <w:pageBreakBefore w:val="0"/>
        <w:widowControl w:val="0"/>
        <w:kinsoku/>
        <w:wordWrap/>
        <w:overflowPunct w:val="0"/>
        <w:topLinePunct w:val="0"/>
        <w:autoSpaceDE/>
        <w:autoSpaceDN/>
        <w:bidi w:val="0"/>
        <w:adjustRightInd/>
        <w:spacing w:line="560" w:lineRule="exact"/>
        <w:ind w:firstLine="4760" w:firstLineChars="1700"/>
        <w:jc w:val="both"/>
        <w:outlineLvl w:val="9"/>
        <w:rPr>
          <w:rFonts w:ascii="宋体" w:hAnsi="宋体" w:eastAsia="宋体"/>
          <w:b/>
          <w:bCs/>
          <w:sz w:val="44"/>
          <w:szCs w:val="44"/>
          <w:highlight w:val="none"/>
        </w:rPr>
      </w:pPr>
      <w:r>
        <w:rPr>
          <w:rFonts w:hint="eastAsia" w:ascii="楷体" w:hAnsi="楷体" w:eastAsia="楷体" w:cs="楷体"/>
          <w:sz w:val="28"/>
          <w:szCs w:val="28"/>
        </w:rPr>
        <w:t>甘卓诚咨字【2023】第01</w:t>
      </w:r>
      <w:r>
        <w:rPr>
          <w:rFonts w:hint="eastAsia" w:ascii="楷体" w:hAnsi="楷体" w:eastAsia="楷体" w:cs="楷体"/>
          <w:sz w:val="28"/>
          <w:szCs w:val="28"/>
          <w:lang w:val="en-US" w:eastAsia="zh-CN"/>
        </w:rPr>
        <w:t>6</w:t>
      </w:r>
      <w:r>
        <w:rPr>
          <w:rFonts w:hint="eastAsia" w:ascii="楷体" w:hAnsi="楷体" w:eastAsia="楷体" w:cs="楷体"/>
          <w:sz w:val="28"/>
          <w:szCs w:val="28"/>
        </w:rPr>
        <w:t>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48" w:name="_Toc13465"/>
      <w:bookmarkStart w:id="49" w:name="_Toc28166"/>
      <w:r>
        <w:rPr>
          <w:rFonts w:hint="eastAsia" w:ascii="黑体" w:eastAsia="黑体"/>
          <w:highlight w:val="none"/>
        </w:rPr>
        <w:t>一、项目基本情况</w:t>
      </w:r>
      <w:bookmarkEnd w:id="42"/>
      <w:bookmarkEnd w:id="43"/>
      <w:bookmarkEnd w:id="48"/>
      <w:bookmarkEnd w:id="49"/>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50" w:name="_Toc12377"/>
      <w:bookmarkStart w:id="51" w:name="_Toc11404"/>
      <w:bookmarkStart w:id="52" w:name="_Toc21843"/>
      <w:r>
        <w:rPr>
          <w:rFonts w:hint="eastAsia" w:ascii="楷体" w:hAnsi="楷体" w:eastAsia="楷体" w:cs="楷体"/>
          <w:b/>
          <w:bCs/>
          <w:highlight w:val="none"/>
        </w:rPr>
        <w:t>（一）项目立项背景</w:t>
      </w:r>
      <w:bookmarkEnd w:id="50"/>
      <w:bookmarkEnd w:id="51"/>
      <w:bookmarkEnd w:id="5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53" w:name="_Hlk107005708"/>
      <w:bookmarkStart w:id="54" w:name="_Toc27159"/>
      <w:bookmarkStart w:id="55" w:name="_Toc10699"/>
      <w:r>
        <w:rPr>
          <w:rFonts w:hint="eastAsia" w:ascii="仿宋_GB2312" w:hAnsi="仿宋_GB2312" w:eastAsia="仿宋_GB2312" w:cs="仿宋_GB2312"/>
          <w:highlight w:val="none"/>
        </w:rPr>
        <w:t>2019年以来，甘肃法院抢抓信息化发展历史机遇，全面深化“智慧法院”建设，建设“慧审云”平台，推进两个“一站式”建设，打造全流程智慧化辅助办案体系，不断提升审判体系和审判能力现代化水平，实现由传统法院向“智慧法院”的提档升级。</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加强人民法院信息化建设科学发展是建设现代化法院的重要内容，作为审判工作的重要组成部分不断开拓进取，为审判工作和人民法院各项建设提供有力的技术支持和保证；加强信息化建设科学发展是人民法院增强司法能力，提高司法水平，促进审判工作的重要途径，是践行司法为民的重要措施；加强人民法院信息化建设的科学发展有利于人民法院广泛接受社会监督、提高司法透明度，同时个案在信息化系统内的公开，也有利于办案人员规范司法行为，接受审判监督。当前我省法院信息化建设虽然取得了一定的成效，但还需要进一步维护和建设，提升审判体系和审判能力现代化水平。</w:t>
      </w:r>
    </w:p>
    <w:bookmarkEnd w:id="53"/>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56" w:name="_Toc10431"/>
      <w:r>
        <w:rPr>
          <w:rFonts w:hint="eastAsia" w:ascii="楷体" w:hAnsi="楷体" w:eastAsia="楷体" w:cs="楷体"/>
          <w:b/>
          <w:bCs/>
          <w:highlight w:val="none"/>
        </w:rPr>
        <w:t>（二）项目预算安排及使用情况</w:t>
      </w:r>
      <w:bookmarkEnd w:id="54"/>
      <w:bookmarkEnd w:id="55"/>
      <w:bookmarkEnd w:id="56"/>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default"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1.预算安排情况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eastAsia="zh-CN"/>
        </w:rPr>
        <w:t>信息化建设经费</w:t>
      </w:r>
      <w:r>
        <w:rPr>
          <w:rFonts w:hint="eastAsia" w:ascii="仿宋_GB2312" w:hAnsi="仿宋_GB2312" w:eastAsia="仿宋_GB2312" w:cs="仿宋_GB2312"/>
          <w:highlight w:val="none"/>
        </w:rPr>
        <w:t>主要用于法院审判业务云计算、大数据、人工智能、4.0版信息化等建设，以及软件系统和高科技数字化设备，数字法庭，四级网络数据传输、门户网站以及服务业务外包等相关费用。</w:t>
      </w:r>
      <w:r>
        <w:rPr>
          <w:rFonts w:hint="eastAsia" w:ascii="仿宋_GB2312" w:hAnsi="仿宋_GB2312" w:cs="仿宋_GB2312"/>
          <w:highlight w:val="none"/>
          <w:lang w:eastAsia="zh-CN"/>
        </w:rPr>
        <w:t>根据省财政厅2022年度预算安排</w:t>
      </w:r>
      <w:r>
        <w:rPr>
          <w:rFonts w:hint="eastAsia" w:ascii="仿宋_GB2312" w:hAnsi="仿宋_GB2312" w:eastAsia="仿宋_GB2312" w:cs="仿宋_GB2312"/>
          <w:highlight w:val="none"/>
        </w:rPr>
        <w:t>，项目</w:t>
      </w:r>
      <w:r>
        <w:rPr>
          <w:rFonts w:hint="eastAsia" w:ascii="仿宋_GB2312" w:hAnsi="仿宋_GB2312" w:cs="仿宋_GB2312"/>
          <w:highlight w:val="none"/>
          <w:lang w:val="en-US" w:eastAsia="zh-CN"/>
        </w:rPr>
        <w:t>全年预算数1,048.26万元，其中当年财政拨款950.00</w:t>
      </w:r>
      <w:r>
        <w:rPr>
          <w:rFonts w:hint="eastAsia" w:ascii="仿宋_GB2312" w:hAnsi="仿宋_GB2312" w:eastAsia="仿宋_GB2312" w:cs="仿宋_GB2312"/>
          <w:highlight w:val="none"/>
        </w:rPr>
        <w:t>万元</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上年结转资金98.26万元</w:t>
      </w:r>
      <w:r>
        <w:rPr>
          <w:rFonts w:hint="eastAsia" w:ascii="仿宋_GB2312" w:hAnsi="仿宋_GB2312" w:eastAsia="仿宋_GB2312" w:cs="仿宋_GB231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2.资金使用情况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截止2022年12月31日，</w:t>
      </w:r>
      <w:r>
        <w:rPr>
          <w:rFonts w:hint="eastAsia" w:ascii="仿宋_GB2312" w:hAnsi="仿宋_GB2312" w:cs="仿宋_GB2312"/>
          <w:highlight w:val="none"/>
          <w:lang w:eastAsia="zh-CN"/>
        </w:rPr>
        <w:t>信息化建设经费</w:t>
      </w:r>
      <w:r>
        <w:rPr>
          <w:rFonts w:hint="eastAsia" w:ascii="仿宋_GB2312" w:hAnsi="仿宋_GB2312" w:cs="仿宋_GB2312"/>
          <w:highlight w:val="none"/>
          <w:lang w:val="en-US" w:eastAsia="zh-CN"/>
        </w:rPr>
        <w:t>项目实际支出1,048.26万元，预算执行率100%。</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57" w:name="_Toc15106"/>
      <w:bookmarkStart w:id="58" w:name="_Toc32586"/>
      <w:bookmarkStart w:id="59" w:name="_Toc4617"/>
      <w:r>
        <w:rPr>
          <w:rFonts w:hint="eastAsia" w:ascii="楷体" w:hAnsi="楷体" w:eastAsia="楷体" w:cs="楷体"/>
          <w:b/>
          <w:bCs/>
          <w:highlight w:val="none"/>
        </w:rPr>
        <w:t>（三）项目计划内容及实施情况</w:t>
      </w:r>
      <w:bookmarkEnd w:id="57"/>
      <w:bookmarkEnd w:id="58"/>
      <w:bookmarkEnd w:id="59"/>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1.项目计划内容</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2"/>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省法院按照人民法院信息化4.0版建设要求，进一步深化司法改革，切实做到司法公开，依托现代信息技术，建设智慧法院。2022年计划完成信息化设备购置、信息化平台建设、信息化系统升级改造等项目的建设，且项目验收合格率均达到100%。增进社会公众对司法的了解、信赖和监督。展示现代法治文明，保障当事人诉讼权利，履行人民法院社会责任，方便人民群众诉讼，减轻当事人讼累。做到所有案件审判信息公开度达到100%。</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14:textFill>
            <w14:solidFill>
              <w14:schemeClr w14:val="tx1"/>
            </w14:solidFill>
          </w14:textFill>
        </w:rPr>
      </w:pPr>
      <w:r>
        <w:rPr>
          <w:rFonts w:hint="eastAsia" w:ascii="仿宋_GB2312" w:hAnsi="仿宋_GB2312" w:eastAsia="仿宋_GB2312" w:cs="仿宋_GB2312"/>
          <w:b/>
          <w:bCs/>
          <w:color w:val="000000" w:themeColor="text1"/>
          <w:highlight w:val="none"/>
          <w14:textFill>
            <w14:solidFill>
              <w14:schemeClr w14:val="tx1"/>
            </w14:solidFill>
          </w14:textFill>
        </w:rPr>
        <w:t>2.项目实施情况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cs="仿宋_GB2312"/>
          <w:highlight w:val="none"/>
          <w:lang w:eastAsia="zh-CN"/>
        </w:rPr>
      </w:pPr>
      <w:bookmarkStart w:id="60" w:name="_Toc24168"/>
      <w:bookmarkStart w:id="61" w:name="_Toc25356"/>
      <w:bookmarkStart w:id="62" w:name="_Toc4490"/>
      <w:r>
        <w:rPr>
          <w:rFonts w:hint="eastAsia" w:ascii="仿宋_GB2312" w:hAnsi="仿宋_GB2312" w:cs="仿宋_GB2312"/>
          <w:highlight w:val="none"/>
          <w:lang w:val="en-US" w:eastAsia="zh-CN"/>
        </w:rPr>
        <w:t>省法院本年度建成了教育培训平台、统一鉴定平台，对甘肃法院云桌面、智慧法院信息系统和信访管理系统进行升级换代，目前均已进行验收，有效提升了法院信息化建设水平，方便了人民群众诉讼，减轻当事人诉累。</w:t>
      </w:r>
      <w:bookmarkEnd w:id="60"/>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63" w:name="_Toc8584"/>
      <w:r>
        <w:rPr>
          <w:rFonts w:hint="eastAsia" w:ascii="楷体" w:hAnsi="楷体" w:eastAsia="楷体" w:cs="楷体"/>
          <w:b/>
          <w:bCs/>
          <w:highlight w:val="none"/>
        </w:rPr>
        <w:t>（四）项目组织管理</w:t>
      </w:r>
      <w:bookmarkEnd w:id="61"/>
      <w:bookmarkEnd w:id="62"/>
      <w:bookmarkEnd w:id="63"/>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1.项目组织情况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预算资金拨付单位</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甘肃省财政厅是项目预算资金的拨付单位，负责项目预算的审核批复，保证</w:t>
      </w:r>
      <w:r>
        <w:rPr>
          <w:rFonts w:hint="eastAsia" w:ascii="仿宋_GB2312" w:hAnsi="仿宋_GB2312" w:cs="仿宋_GB2312"/>
          <w:highlight w:val="none"/>
          <w:lang w:eastAsia="zh-CN"/>
        </w:rPr>
        <w:t>信息化建设经费（其中“12368”司法平台运行维护费50万元）</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lang w:eastAsia="zh-CN"/>
        </w:rPr>
        <w:t>资金及时、足额拨付到位</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项目主管部门</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省法院是项目的主管部门，负责开展监督管理和绩效考评等工作，并对资金分配和使用的全过程进行监督、检查、评估、考核及奖惩，保证资金有效使用等</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组织实施部门</w:t>
      </w:r>
      <w:r>
        <w:rPr>
          <w:rFonts w:hint="eastAsia" w:ascii="仿宋_GB2312" w:hAnsi="仿宋_GB2312" w:cs="仿宋_GB2312"/>
          <w:highlight w:val="none"/>
          <w:lang w:eastAsia="zh-CN"/>
        </w:rPr>
        <w:t>：</w:t>
      </w:r>
      <w:r>
        <w:rPr>
          <w:rFonts w:hint="eastAsia" w:ascii="仿宋_GB2312" w:hAnsi="仿宋_GB2312" w:eastAsia="仿宋_GB2312" w:cs="仿宋_GB2312"/>
          <w:highlight w:val="none"/>
          <w:lang w:eastAsia="zh-CN"/>
        </w:rPr>
        <w:t>省法院</w:t>
      </w:r>
      <w:r>
        <w:rPr>
          <w:rFonts w:hint="eastAsia" w:ascii="Times New Roman" w:hAnsi="Times New Roman"/>
          <w:sz w:val="32"/>
          <w:szCs w:val="32"/>
          <w:highlight w:val="none"/>
          <w:lang w:val="en-US" w:eastAsia="zh-CN"/>
        </w:rPr>
        <w:t>是项目的组织实施部门</w:t>
      </w:r>
      <w:r>
        <w:rPr>
          <w:rFonts w:hint="eastAsia" w:ascii="仿宋_GB2312" w:hAnsi="仿宋_GB2312" w:cs="仿宋_GB2312"/>
          <w:highlight w:val="none"/>
          <w:lang w:val="en-US" w:eastAsia="zh-CN"/>
        </w:rPr>
        <w:t>，负责信息化建设项目具体实施。</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项目管理情况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default" w:ascii="仿宋_GB2312" w:hAnsi="仿宋_GB2312" w:eastAsia="仿宋_GB2312" w:cs="仿宋_GB2312"/>
          <w:highlight w:val="none"/>
          <w:lang w:val="en-US" w:eastAsia="zh-CN"/>
        </w:rPr>
        <w:t>省法院信息化建设经费（其中“12368”司法平台运行维护费50万元）项目的实施大体分为制定年度工作计划、项目执行和资金支付三个阶段。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（1）</w:t>
      </w:r>
      <w:r>
        <w:rPr>
          <w:rFonts w:hint="default" w:ascii="仿宋_GB2312" w:hAnsi="仿宋_GB2312" w:eastAsia="仿宋_GB2312" w:cs="仿宋_GB2312"/>
          <w:highlight w:val="none"/>
          <w:lang w:val="en-US" w:eastAsia="zh-CN"/>
        </w:rPr>
        <w:t>制定年度工作计划。预算执行</w:t>
      </w:r>
      <w:r>
        <w:rPr>
          <w:rFonts w:hint="eastAsia" w:ascii="仿宋_GB2312" w:hAnsi="仿宋_GB2312" w:cs="仿宋_GB2312"/>
          <w:highlight w:val="none"/>
          <w:lang w:val="en-US" w:eastAsia="zh-CN"/>
        </w:rPr>
        <w:t>部门</w:t>
      </w:r>
      <w:r>
        <w:rPr>
          <w:rFonts w:hint="default" w:ascii="仿宋_GB2312" w:hAnsi="仿宋_GB2312" w:eastAsia="仿宋_GB2312" w:cs="仿宋_GB2312"/>
          <w:highlight w:val="none"/>
          <w:lang w:val="en-US" w:eastAsia="zh-CN"/>
        </w:rPr>
        <w:t>制定年度工作计划，编制项目预算和绩效目标。在编制下一年度项目预算之前，首先制定下一年度的</w:t>
      </w:r>
      <w:r>
        <w:rPr>
          <w:rFonts w:hint="eastAsia" w:ascii="仿宋_GB2312" w:hAnsi="仿宋_GB2312" w:cs="仿宋_GB2312"/>
          <w:highlight w:val="none"/>
          <w:lang w:eastAsia="zh-CN"/>
        </w:rPr>
        <w:t>信息化建设经费（其中“12368”司法平台运行维护费50万元）</w:t>
      </w:r>
      <w:r>
        <w:rPr>
          <w:rFonts w:hint="default" w:ascii="仿宋_GB2312" w:hAnsi="仿宋_GB2312" w:eastAsia="仿宋_GB2312" w:cs="仿宋_GB2312"/>
          <w:highlight w:val="none"/>
          <w:lang w:val="en-US" w:eastAsia="zh-CN"/>
        </w:rPr>
        <w:t>相关工作及相应的资金使用计划，在初步明确下一年度工作计划和资金使用计划的基础上，依据工作计划和资金使用计划、有关年度预算编制要求以及往年项目预算和经费支出情况合理测算和编制项目经费预算和绩效目标，经审核通过后报省财政厅审批，省财政厅按规定程序批复下达项目预算</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（2）</w:t>
      </w:r>
      <w:r>
        <w:rPr>
          <w:rFonts w:hint="default" w:ascii="仿宋_GB2312" w:hAnsi="仿宋_GB2312" w:eastAsia="仿宋_GB2312" w:cs="仿宋_GB2312"/>
          <w:highlight w:val="none"/>
          <w:lang w:val="en-US" w:eastAsia="zh-CN"/>
        </w:rPr>
        <w:t>项目执行。项目预算和绩效目标批复下达以后，省法院按照工作计划、项目预算以及绩效目标组织开展</w:t>
      </w:r>
      <w:r>
        <w:rPr>
          <w:rFonts w:hint="eastAsia" w:ascii="仿宋_GB2312" w:hAnsi="仿宋_GB2312" w:cs="仿宋_GB2312"/>
          <w:highlight w:val="none"/>
          <w:lang w:val="en-US" w:eastAsia="zh-CN"/>
        </w:rPr>
        <w:t>信息化建设</w:t>
      </w:r>
      <w:r>
        <w:rPr>
          <w:rFonts w:hint="default" w:ascii="仿宋_GB2312" w:hAnsi="仿宋_GB2312" w:eastAsia="仿宋_GB2312" w:cs="仿宋_GB2312"/>
          <w:highlight w:val="none"/>
          <w:lang w:val="en-US" w:eastAsia="zh-CN"/>
        </w:rPr>
        <w:t>，完成年初制定的工作计划</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（3）</w:t>
      </w:r>
      <w:r>
        <w:rPr>
          <w:rFonts w:hint="default" w:ascii="仿宋_GB2312" w:hAnsi="仿宋_GB2312" w:eastAsia="仿宋_GB2312" w:cs="仿宋_GB2312"/>
          <w:highlight w:val="none"/>
          <w:lang w:val="en-US" w:eastAsia="zh-CN"/>
        </w:rPr>
        <w:t>资金支付。在组织正常开展</w:t>
      </w:r>
      <w:r>
        <w:rPr>
          <w:rFonts w:hint="eastAsia" w:ascii="仿宋_GB2312" w:hAnsi="仿宋_GB2312" w:cs="仿宋_GB2312"/>
          <w:highlight w:val="none"/>
          <w:lang w:val="en-US" w:eastAsia="zh-CN"/>
        </w:rPr>
        <w:t>项目</w:t>
      </w:r>
      <w:r>
        <w:rPr>
          <w:rFonts w:hint="default" w:ascii="仿宋_GB2312" w:hAnsi="仿宋_GB2312" w:eastAsia="仿宋_GB2312" w:cs="仿宋_GB2312"/>
          <w:highlight w:val="none"/>
          <w:lang w:val="en-US" w:eastAsia="zh-CN"/>
        </w:rPr>
        <w:t>实施工作的基础上，严格按照项目预算、内部管理制度流程以及项目进度要求完成项目经费支付以及相应的会计核算工作</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highlight w:val="none"/>
          <w:lang w:val="en-US" w:eastAsia="zh-CN"/>
          <w14:textFill>
            <w14:solidFill>
              <w14:schemeClr w14:val="tx1"/>
            </w14:solidFill>
          </w14:textFill>
        </w:rPr>
        <w:t>财务管理情况</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《甘肃省高级人民法院机关财务经费管理的规定》</w:t>
      </w:r>
      <w:r>
        <w:rPr>
          <w:rFonts w:hint="eastAsia" w:ascii="仿宋_GB2312" w:hAnsi="仿宋_GB2312" w:eastAsia="仿宋_GB2312" w:cs="仿宋_GB2312"/>
          <w:highlight w:val="none"/>
          <w:lang w:val="en-US" w:eastAsia="zh-CN"/>
        </w:rPr>
        <w:t>明确规定了经费报销实行统一审核，分级审批，基本原则是执行国家有关法律、法规和财务规章制度遵守</w:t>
      </w:r>
      <w:r>
        <w:rPr>
          <w:rFonts w:hint="eastAsia" w:ascii="仿宋_GB2312" w:hAnsi="仿宋_GB2312" w:cs="仿宋_GB2312"/>
          <w:highlight w:val="none"/>
          <w:lang w:val="en-US" w:eastAsia="zh-CN"/>
        </w:rPr>
        <w:t>政府</w:t>
      </w:r>
      <w:r>
        <w:rPr>
          <w:rFonts w:hint="eastAsia" w:ascii="仿宋_GB2312" w:hAnsi="仿宋_GB2312" w:eastAsia="仿宋_GB2312" w:cs="仿宋_GB2312"/>
          <w:highlight w:val="none"/>
          <w:lang w:val="en-US" w:eastAsia="zh-CN"/>
        </w:rPr>
        <w:t>会计准则，厉行节约</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量入为出</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保证重点</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兼顾一般为中心，充分发挥资金的使用效益。</w:t>
      </w:r>
    </w:p>
    <w:p>
      <w:pPr>
        <w:pStyle w:val="2"/>
        <w:keepNext w:val="0"/>
        <w:keepLines w:val="0"/>
        <w:pageBreakBefore w:val="0"/>
        <w:widowControl w:val="0"/>
        <w:kinsoku/>
        <w:wordWrap/>
        <w:overflowPunct w:val="0"/>
        <w:topLinePunct w:val="0"/>
        <w:autoSpaceDE/>
        <w:autoSpaceDN/>
        <w:bidi w:val="0"/>
        <w:adjustRightInd/>
        <w:snapToGrid/>
        <w:spacing w:line="240" w:lineRule="auto"/>
        <w:ind w:firstLine="640" w:firstLineChars="200"/>
        <w:jc w:val="both"/>
        <w:textAlignment w:val="auto"/>
        <w:outlineLvl w:val="9"/>
        <w:rPr>
          <w:rFonts w:ascii="黑体" w:eastAsia="黑体"/>
          <w:highlight w:val="none"/>
        </w:rPr>
      </w:pPr>
      <w:bookmarkStart w:id="64" w:name="_Toc23710"/>
      <w:bookmarkStart w:id="65" w:name="_Toc29508"/>
      <w:bookmarkStart w:id="66" w:name="_Toc319"/>
      <w:r>
        <w:rPr>
          <w:rFonts w:hint="eastAsia" w:ascii="黑体" w:eastAsia="黑体"/>
          <w:highlight w:val="none"/>
        </w:rPr>
        <w:t>二、项目绩效目标</w:t>
      </w:r>
      <w:bookmarkEnd w:id="64"/>
      <w:bookmarkEnd w:id="65"/>
      <w:bookmarkEnd w:id="66"/>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67" w:name="_Toc28577"/>
      <w:bookmarkStart w:id="68" w:name="_Toc21140"/>
      <w:bookmarkStart w:id="69" w:name="_Toc26215"/>
      <w:r>
        <w:rPr>
          <w:rFonts w:hint="eastAsia" w:ascii="楷体" w:hAnsi="楷体" w:eastAsia="楷体" w:cs="楷体"/>
          <w:b/>
          <w:bCs/>
          <w:highlight w:val="none"/>
        </w:rPr>
        <w:t>（一）总体目标</w:t>
      </w:r>
      <w:bookmarkEnd w:id="67"/>
      <w:bookmarkEnd w:id="68"/>
      <w:bookmarkEnd w:id="69"/>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highlight w:val="none"/>
        </w:rPr>
      </w:pPr>
      <w:r>
        <w:rPr>
          <w:rFonts w:hint="eastAsia" w:ascii="仿宋_GB2312" w:hAnsi="仿宋_GB2312" w:eastAsia="仿宋_GB2312" w:cs="仿宋_GB2312"/>
          <w:highlight w:val="none"/>
        </w:rPr>
        <w:t>以全面推进审判体系和审判能力现代化为目标，以系统深度融合为主线，打造以数据和知识为驱动，以“智能化、一体化、协同化、泛在化、自主化”为特征的我省法院信息化4.0版，有效提升信息化和审判业务融合程度，实现全业务信息化，为“一带一路”、黄河流域生态保护、西部大开发新格局构建等提供更加有力的司法保障。</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0" w:name="_Toc32085"/>
      <w:bookmarkStart w:id="71" w:name="_Toc32413"/>
      <w:bookmarkStart w:id="72" w:name="_Toc26047"/>
      <w:r>
        <w:rPr>
          <w:rFonts w:hint="eastAsia" w:ascii="楷体" w:hAnsi="楷体" w:eastAsia="楷体" w:cs="楷体"/>
          <w:b/>
          <w:bCs/>
          <w:highlight w:val="none"/>
        </w:rPr>
        <w:t>（二）年度目标</w:t>
      </w:r>
      <w:bookmarkEnd w:id="70"/>
      <w:bookmarkEnd w:id="71"/>
      <w:bookmarkEnd w:id="72"/>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highlight w:val="none"/>
        </w:rPr>
      </w:pPr>
      <w:bookmarkStart w:id="73" w:name="_Toc11016"/>
      <w:bookmarkStart w:id="74" w:name="_Toc24688"/>
      <w:r>
        <w:rPr>
          <w:rFonts w:hint="eastAsia" w:ascii="仿宋_GB2312" w:hAnsi="仿宋_GB2312" w:eastAsia="仿宋_GB2312" w:cs="仿宋_GB2312"/>
          <w:highlight w:val="none"/>
        </w:rPr>
        <w:t>进一步深化司法改革，切实做到司法公开，依托现代信息技术，建设智慧法院。2022年计划完成信息化设备购置、信息化平台建设、信息化系统升级改造等项目的建设，且项目验收合格率均达到100%。增进社会公众对司法</w:t>
      </w:r>
      <w:r>
        <w:rPr>
          <w:rFonts w:hint="eastAsia" w:ascii="仿宋_GB2312" w:hAnsi="仿宋_GB2312" w:cs="仿宋_GB2312"/>
          <w:highlight w:val="none"/>
          <w:lang w:val="en-US" w:eastAsia="zh-CN"/>
        </w:rPr>
        <w:t>工作</w:t>
      </w:r>
      <w:r>
        <w:rPr>
          <w:rFonts w:hint="eastAsia" w:ascii="仿宋_GB2312" w:hAnsi="仿宋_GB2312" w:eastAsia="仿宋_GB2312" w:cs="仿宋_GB2312"/>
          <w:highlight w:val="none"/>
        </w:rPr>
        <w:t>的了解、信赖和监督。展示现代法治文明，保障当事人诉讼权利，履行人民法院社会责任，方便人民群众诉讼，减轻当事人讼累。做到所有案件审判信息公开度达到100%。</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75" w:name="_Toc8501"/>
      <w:r>
        <w:rPr>
          <w:rFonts w:hint="eastAsia" w:ascii="黑体" w:eastAsia="黑体"/>
          <w:highlight w:val="none"/>
        </w:rPr>
        <w:t>三、评价基本情况</w:t>
      </w:r>
      <w:bookmarkEnd w:id="73"/>
      <w:bookmarkEnd w:id="74"/>
      <w:bookmarkEnd w:id="75"/>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6" w:name="_Toc5301"/>
      <w:bookmarkStart w:id="77" w:name="_Toc5107"/>
      <w:r>
        <w:rPr>
          <w:rFonts w:hint="eastAsia" w:ascii="楷体" w:hAnsi="楷体" w:eastAsia="楷体" w:cs="楷体"/>
          <w:b/>
          <w:bCs/>
          <w:highlight w:val="none"/>
        </w:rPr>
        <w:t>（一）评价目的</w:t>
      </w:r>
      <w:bookmarkEnd w:id="76"/>
      <w:bookmarkEnd w:id="77"/>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本次绩效评价工作，</w:t>
      </w:r>
      <w:r>
        <w:rPr>
          <w:rFonts w:hint="eastAsia" w:ascii="仿宋_GB2312" w:hAnsi="仿宋_GB2312" w:eastAsia="仿宋_GB2312" w:cs="仿宋_GB2312"/>
          <w:highlight w:val="none"/>
        </w:rPr>
        <w:t>通过运用规范的绩效评价指标体系和科学的绩效评价方法，全面</w:t>
      </w:r>
      <w:r>
        <w:rPr>
          <w:rFonts w:hint="eastAsia" w:ascii="仿宋_GB2312" w:hAnsi="仿宋_GB2312" w:cs="仿宋_GB2312"/>
          <w:highlight w:val="none"/>
          <w:lang w:eastAsia="zh-CN"/>
        </w:rPr>
        <w:t>客观地评价信息化建设经费（其中“12368”司法平台运行维护费50万元）</w:t>
      </w:r>
      <w:r>
        <w:rPr>
          <w:rFonts w:hint="eastAsia" w:ascii="仿宋_GB2312" w:hAnsi="仿宋_GB2312" w:eastAsia="仿宋_GB2312" w:cs="仿宋_GB2312"/>
          <w:highlight w:val="none"/>
        </w:rPr>
        <w:t>项目资金的</w:t>
      </w:r>
      <w:r>
        <w:rPr>
          <w:rFonts w:hint="eastAsia" w:ascii="仿宋_GB2312" w:hAnsi="仿宋_GB2312" w:cs="仿宋_GB2312"/>
          <w:highlight w:val="none"/>
          <w:lang w:val="en-US" w:eastAsia="zh-CN"/>
        </w:rPr>
        <w:t>预算</w:t>
      </w:r>
      <w:r>
        <w:rPr>
          <w:rFonts w:hint="eastAsia" w:ascii="仿宋_GB2312" w:hAnsi="仿宋_GB2312" w:eastAsia="仿宋_GB2312" w:cs="仿宋_GB2312"/>
          <w:highlight w:val="none"/>
        </w:rPr>
        <w:t>执行情况、资金使用情况，对项目的绩效情况进行综合分析，与预期绩效目标进行对比，总结信息化建设经费项目实施的成果与经验，揭示存在的问题与不足，在此基础上进一步优化资金使用、完善项目管理，为下一步的预算安排提供参考，不断提高资金的使用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本次绩效评价的侧重点和切入点</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重点关注项目资金使用管理以及保障项目预期绩效目标实现的相关措施</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重点关注采购流程规范性、资金使用合规性、</w:t>
      </w:r>
      <w:r>
        <w:rPr>
          <w:rFonts w:hint="eastAsia" w:ascii="仿宋_GB2312" w:hAnsi="仿宋_GB2312" w:cs="仿宋_GB2312"/>
          <w:highlight w:val="none"/>
          <w:lang w:val="en-US" w:eastAsia="zh-CN"/>
        </w:rPr>
        <w:t>制度实施</w:t>
      </w:r>
      <w:r>
        <w:rPr>
          <w:rFonts w:hint="eastAsia" w:ascii="仿宋_GB2312" w:hAnsi="仿宋_GB2312" w:eastAsia="仿宋_GB2312" w:cs="仿宋_GB2312"/>
          <w:highlight w:val="none"/>
        </w:rPr>
        <w:t>的有效性以及通过项目的实施为法院带来的产出与效益。</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78" w:name="_Toc6043"/>
      <w:bookmarkStart w:id="79" w:name="_Toc2071"/>
      <w:r>
        <w:rPr>
          <w:rFonts w:hint="eastAsia" w:ascii="楷体" w:hAnsi="楷体" w:eastAsia="楷体" w:cs="楷体"/>
          <w:b/>
          <w:bCs/>
          <w:highlight w:val="none"/>
        </w:rPr>
        <w:t>（二）评价对象与范围</w:t>
      </w:r>
      <w:bookmarkEnd w:id="78"/>
      <w:bookmarkEnd w:id="79"/>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本次评价对象为202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年省财政安排的“</w:t>
      </w:r>
      <w:r>
        <w:rPr>
          <w:rFonts w:hint="eastAsia" w:ascii="仿宋_GB2312" w:hAnsi="仿宋_GB2312" w:cs="仿宋_GB2312"/>
          <w:highlight w:val="none"/>
          <w:lang w:eastAsia="zh-CN"/>
        </w:rPr>
        <w:t>信息化建设经费（其中“12368”司法平台运行维护费50万元）</w:t>
      </w:r>
      <w:r>
        <w:rPr>
          <w:rFonts w:hint="eastAsia" w:ascii="仿宋_GB2312" w:hAnsi="仿宋_GB2312" w:eastAsia="仿宋_GB2312" w:cs="仿宋_GB2312"/>
          <w:highlight w:val="none"/>
        </w:rPr>
        <w:t>”项目</w:t>
      </w:r>
      <w:r>
        <w:rPr>
          <w:rFonts w:hint="eastAsia" w:ascii="仿宋_GB2312" w:hAnsi="仿宋_GB2312" w:cs="仿宋_GB231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评价范围为202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w:t>
      </w:r>
      <w:r>
        <w:rPr>
          <w:rFonts w:hint="eastAsia" w:ascii="仿宋_GB2312" w:hAnsi="仿宋_GB2312" w:cs="仿宋_GB2312"/>
          <w:highlight w:val="none"/>
          <w:lang w:val="en-US" w:eastAsia="zh-CN"/>
        </w:rPr>
        <w:t>省法院</w:t>
      </w:r>
      <w:r>
        <w:rPr>
          <w:rFonts w:hint="eastAsia" w:ascii="仿宋_GB2312" w:hAnsi="仿宋_GB2312" w:eastAsia="仿宋_GB2312" w:cs="仿宋_GB2312"/>
          <w:highlight w:val="none"/>
        </w:rPr>
        <w:t>“</w:t>
      </w:r>
      <w:r>
        <w:rPr>
          <w:rFonts w:hint="eastAsia" w:ascii="仿宋_GB2312" w:hAnsi="仿宋_GB2312" w:cs="仿宋_GB2312"/>
          <w:highlight w:val="none"/>
          <w:lang w:eastAsia="zh-CN"/>
        </w:rPr>
        <w:t>信息化建设经费（其中“12368”司法平台运行维护费50万元）</w:t>
      </w:r>
      <w:r>
        <w:rPr>
          <w:rFonts w:hint="eastAsia" w:ascii="仿宋_GB2312" w:hAnsi="仿宋_GB2312" w:eastAsia="仿宋_GB2312" w:cs="仿宋_GB2312"/>
          <w:highlight w:val="none"/>
        </w:rPr>
        <w:t>项目”</w:t>
      </w:r>
      <w:r>
        <w:rPr>
          <w:rFonts w:hint="eastAsia" w:ascii="仿宋_GB2312" w:hAnsi="仿宋_GB2312" w:cs="仿宋_GB2312"/>
          <w:highlight w:val="none"/>
          <w:lang w:val="en-US" w:eastAsia="zh-CN"/>
        </w:rPr>
        <w:t>全年预算资金1,048.26万元的</w:t>
      </w:r>
      <w:r>
        <w:rPr>
          <w:rFonts w:hint="eastAsia" w:ascii="仿宋_GB2312" w:hAnsi="仿宋_GB2312" w:eastAsia="仿宋_GB2312" w:cs="仿宋_GB2312"/>
          <w:highlight w:val="none"/>
        </w:rPr>
        <w:t>资金使用和项目实施效益情况</w:t>
      </w:r>
      <w:r>
        <w:rPr>
          <w:rFonts w:hint="eastAsia" w:ascii="仿宋_GB2312" w:hAnsi="仿宋_GB2312" w:cs="仿宋_GB2312"/>
          <w:highlight w:val="none"/>
          <w:lang w:eastAsia="zh-CN"/>
        </w:rPr>
        <w:t>，</w:t>
      </w:r>
      <w:r>
        <w:rPr>
          <w:rFonts w:hint="eastAsia" w:ascii="仿宋_GB2312" w:hAnsi="仿宋_GB2312" w:eastAsia="仿宋_GB2312" w:cs="仿宋_GB2312"/>
          <w:highlight w:val="none"/>
        </w:rPr>
        <w:t>评价基准日为202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年12月31日。</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0" w:name="_Toc17041"/>
      <w:bookmarkStart w:id="81" w:name="_Toc30375"/>
      <w:r>
        <w:rPr>
          <w:rFonts w:hint="eastAsia" w:ascii="楷体" w:hAnsi="楷体" w:eastAsia="楷体" w:cs="楷体"/>
          <w:b/>
          <w:bCs/>
          <w:highlight w:val="none"/>
        </w:rPr>
        <w:t>（三）评价依据</w:t>
      </w:r>
      <w:bookmarkEnd w:id="80"/>
      <w:bookmarkEnd w:id="81"/>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《中华人民共和国预算法》；</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2.《中华人民共和国预算法实施条例》；</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3.《中共中央 国务院关于全面实施预算绩效管理的意见》（中发〔2018〕34号）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《财政部关于印发〈项目支出绩效评价管理办法〉的通知》（财预〔2021〕10号）；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5.财政部《关于委托第三方机构参与预算绩效管理的指导意见》（财预〔2021〕6号）；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6.财政部关于印发《第三方机构预算绩效评价业务监督管理暂行办法》的通知（财监〔2021〕4号）</w:t>
      </w:r>
      <w:r>
        <w:rPr>
          <w:rFonts w:hint="eastAsia" w:ascii="仿宋_GB2312" w:hAnsi="仿宋_GB2312" w:cs="仿宋_GB2312"/>
          <w:highlight w:val="none"/>
          <w:lang w:val="en-US"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《中共甘肃省委 甘肃省人民政府关于全面实施预算绩效管理的实施意见》（甘发〔2018〕32号）；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甘肃省财政厅关于印发《甘肃省省级预算绩效管理办法》等6个办法和规程的通知（甘财绩〔2020〕5号）；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《甘肃省省级项目支出绩效部门评价和财政评价工作规程》（甘财绩〔2021〕5号）；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《甘肃省财政厅关于开展2022年度省级预算执行情况部门和财政重点绩效评价工作的通知》（甘财绩〔2023〕3号）；</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11</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甘肃省高级人民法院</w:t>
      </w:r>
      <w:r>
        <w:rPr>
          <w:rFonts w:hint="eastAsia" w:ascii="仿宋_GB2312" w:hAnsi="仿宋_GB2312" w:eastAsia="仿宋_GB2312" w:cs="仿宋_GB2312"/>
          <w:highlight w:val="none"/>
        </w:rPr>
        <w:t>职责相关规定；</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12</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行业相关政策、行业标准及专业技术规范；</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13</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eastAsia="zh-CN"/>
        </w:rPr>
        <w:t>被评价单位提供的立项背景、实施方案、预算批复相关文件、绩效目标、自评价相关资料、财政资金拨付凭证、工程全过程资料和项目实施效果等资料</w:t>
      </w:r>
      <w:r>
        <w:rPr>
          <w:rFonts w:hint="eastAsia" w:ascii="仿宋_GB2312" w:hAnsi="仿宋_GB2312" w:eastAsia="仿宋_GB2312" w:cs="仿宋_GB2312"/>
          <w:highlight w:val="none"/>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本级人大审查结果报告、审计报告及决定，财政监督稽核报告等；</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cs="仿宋_GB2312"/>
          <w:highlight w:val="none"/>
          <w:lang w:val="en-US" w:eastAsia="zh-CN"/>
        </w:rPr>
        <w:t>5</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评价组收集、调研、访谈、问卷调查获取的</w:t>
      </w:r>
      <w:r>
        <w:rPr>
          <w:rFonts w:hint="eastAsia" w:ascii="仿宋_GB2312" w:hAnsi="仿宋_GB2312" w:cs="仿宋_GB2312"/>
          <w:highlight w:val="none"/>
          <w:lang w:val="en-US" w:eastAsia="zh-CN"/>
        </w:rPr>
        <w:t>其他</w:t>
      </w:r>
      <w:r>
        <w:rPr>
          <w:rFonts w:hint="eastAsia" w:ascii="仿宋_GB2312" w:hAnsi="仿宋_GB2312" w:eastAsia="仿宋_GB2312" w:cs="仿宋_GB2312"/>
          <w:highlight w:val="none"/>
        </w:rPr>
        <w:t>相关资料。</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82" w:name="_Toc25189"/>
      <w:bookmarkStart w:id="83" w:name="_Toc17840"/>
      <w:r>
        <w:rPr>
          <w:rFonts w:hint="eastAsia" w:ascii="楷体" w:hAnsi="楷体" w:eastAsia="楷体" w:cs="楷体"/>
          <w:b/>
          <w:bCs/>
          <w:highlight w:val="none"/>
        </w:rPr>
        <w:t>（四）评价原则、评价方法</w:t>
      </w:r>
      <w:bookmarkEnd w:id="82"/>
      <w:bookmarkEnd w:id="83"/>
    </w:p>
    <w:p>
      <w:pPr>
        <w:keepNext w:val="0"/>
        <w:keepLines w:val="0"/>
        <w:pageBreakBefore w:val="0"/>
        <w:widowControl w:val="0"/>
        <w:kinsoku/>
        <w:wordWrap/>
        <w:overflowPunct w:val="0"/>
        <w:topLinePunct w:val="0"/>
        <w:autoSpaceDE/>
        <w:autoSpaceDN/>
        <w:bidi w:val="0"/>
        <w:adjustRightInd/>
        <w:snapToGrid/>
        <w:spacing w:before="0" w:line="560" w:lineRule="exact"/>
        <w:ind w:firstLine="643" w:firstLineChars="200"/>
        <w:jc w:val="both"/>
        <w:textAlignment w:val="auto"/>
        <w:outlineLvl w:val="2"/>
        <w:rPr>
          <w:rFonts w:hint="eastAsia" w:ascii="仿宋_GB2312" w:hAnsi="仿宋_GB2312" w:eastAsia="仿宋_GB2312" w:cs="仿宋_GB2312"/>
          <w:b/>
          <w:bCs w:val="0"/>
          <w:sz w:val="32"/>
          <w:szCs w:val="32"/>
          <w:highlight w:val="none"/>
        </w:rPr>
      </w:pPr>
      <w:bookmarkStart w:id="84" w:name="_Toc28601"/>
      <w:bookmarkStart w:id="85" w:name="_Toc32216"/>
      <w:bookmarkStart w:id="86" w:name="_Toc2871"/>
      <w:bookmarkStart w:id="87" w:name="_Toc25746"/>
      <w:r>
        <w:rPr>
          <w:rStyle w:val="25"/>
          <w:rFonts w:hint="eastAsia" w:ascii="仿宋_GB2312" w:hAnsi="仿宋_GB2312" w:eastAsia="仿宋_GB2312" w:cs="仿宋_GB2312"/>
          <w:b/>
          <w:bCs w:val="0"/>
          <w:sz w:val="32"/>
          <w:szCs w:val="32"/>
          <w:highlight w:val="none"/>
        </w:rPr>
        <w:t>1.评价原则</w:t>
      </w:r>
      <w:bookmarkEnd w:id="84"/>
      <w:bookmarkEnd w:id="85"/>
      <w:bookmarkEnd w:id="86"/>
      <w:bookmarkEnd w:id="87"/>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实现情况以及预算支出和绩效之间的对应关系。以绩效为核心导向，将事前绩效评估、绩效目标管理、绩效运行监控、绩效评价、评价结果反馈及应用深度融入预算管理的全过程，实现财政资金使用效益最大化。</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 </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pPr>
        <w:keepNext w:val="0"/>
        <w:keepLines w:val="0"/>
        <w:pageBreakBefore w:val="0"/>
        <w:widowControl w:val="0"/>
        <w:kinsoku/>
        <w:wordWrap/>
        <w:overflowPunct w:val="0"/>
        <w:topLinePunct w:val="0"/>
        <w:autoSpaceDE/>
        <w:autoSpaceDN/>
        <w:bidi w:val="0"/>
        <w:adjustRightInd/>
        <w:snapToGrid/>
        <w:spacing w:before="0" w:line="560" w:lineRule="exact"/>
        <w:ind w:firstLine="643" w:firstLineChars="200"/>
        <w:jc w:val="both"/>
        <w:textAlignment w:val="auto"/>
        <w:outlineLvl w:val="2"/>
        <w:rPr>
          <w:rStyle w:val="25"/>
          <w:rFonts w:hint="eastAsia" w:ascii="仿宋_GB2312" w:hAnsi="仿宋_GB2312" w:eastAsia="仿宋_GB2312" w:cs="仿宋_GB2312"/>
          <w:b/>
          <w:bCs w:val="0"/>
          <w:sz w:val="32"/>
          <w:szCs w:val="32"/>
          <w:highlight w:val="none"/>
        </w:rPr>
      </w:pPr>
      <w:bookmarkStart w:id="88" w:name="_Toc15034"/>
      <w:bookmarkStart w:id="89" w:name="_Toc21638"/>
      <w:bookmarkStart w:id="90" w:name="_Toc1742"/>
      <w:r>
        <w:rPr>
          <w:rStyle w:val="25"/>
          <w:rFonts w:hint="eastAsia" w:ascii="仿宋_GB2312" w:hAnsi="仿宋_GB2312" w:eastAsia="仿宋_GB2312" w:cs="仿宋_GB2312"/>
          <w:b/>
          <w:bCs w:val="0"/>
          <w:sz w:val="32"/>
          <w:szCs w:val="32"/>
          <w:highlight w:val="none"/>
        </w:rPr>
        <w:t>2.评价方法</w:t>
      </w:r>
      <w:bookmarkEnd w:id="88"/>
    </w:p>
    <w:bookmarkEnd w:id="89"/>
    <w:bookmarkEnd w:id="90"/>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项目预算执行情况的经济性、效率性、效益性进行客观</w:t>
      </w:r>
      <w:r>
        <w:rPr>
          <w:rFonts w:hint="eastAsia" w:ascii="仿宋_GB2312" w:hAnsi="仿宋_GB2312" w:eastAsia="仿宋_GB2312" w:cs="仿宋_GB2312"/>
          <w:sz w:val="32"/>
          <w:szCs w:val="32"/>
          <w:highlight w:val="none"/>
          <w:lang w:eastAsia="zh-CN"/>
        </w:rPr>
        <w:t>公正地分析</w:t>
      </w:r>
      <w:r>
        <w:rPr>
          <w:rFonts w:hint="eastAsia" w:ascii="仿宋_GB2312" w:hAnsi="仿宋_GB2312" w:eastAsia="仿宋_GB2312" w:cs="仿宋_GB2312"/>
          <w:sz w:val="32"/>
          <w:szCs w:val="32"/>
          <w:highlight w:val="none"/>
        </w:rPr>
        <w:t>评价，确保评价结论公正客观，评价意见有效可用。</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r>
        <w:rPr>
          <w:rFonts w:hint="eastAsia" w:ascii="仿宋_GB2312" w:hAnsi="仿宋_GB2312" w:eastAsia="仿宋_GB2312" w:cs="仿宋_GB2312"/>
          <w:sz w:val="32"/>
          <w:szCs w:val="32"/>
          <w:highlight w:val="none"/>
          <w:lang w:val="en-US" w:eastAsia="zh-CN"/>
        </w:rPr>
        <w:t>评价</w:t>
      </w:r>
      <w:r>
        <w:rPr>
          <w:rFonts w:hint="eastAsia" w:ascii="仿宋_GB2312" w:hAnsi="仿宋_GB2312" w:eastAsia="仿宋_GB2312" w:cs="仿宋_GB2312"/>
          <w:sz w:val="32"/>
          <w:szCs w:val="32"/>
          <w:highlight w:val="none"/>
        </w:rPr>
        <w:t>小组根据收集的资料和现场核查，了解</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实际情况，与</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支出申报时确定的绩效目标进行对比，评价绩效目标的实现程度。</w:t>
      </w:r>
    </w:p>
    <w:p>
      <w:pPr>
        <w:pStyle w:val="10"/>
        <w:keepNext w:val="0"/>
        <w:keepLines w:val="0"/>
        <w:pageBreakBefore w:val="0"/>
        <w:widowControl w:val="0"/>
        <w:kinsoku/>
        <w:wordWrap/>
        <w:overflowPunct w:val="0"/>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rPr>
        <w:t>（2）因素分析法。将影响投入和产出各项因素罗列出来进行分析，通过不同因素的权重评比，进行综合评分</w:t>
      </w:r>
      <w:r>
        <w:rPr>
          <w:rFonts w:hint="eastAsia" w:ascii="仿宋_GB2312" w:hAnsi="仿宋_GB2312" w:eastAsia="仿宋_GB2312" w:cs="仿宋_GB2312"/>
          <w:kern w:val="2"/>
          <w:sz w:val="32"/>
          <w:szCs w:val="32"/>
          <w:highlight w:val="none"/>
          <w:lang w:val="en-US" w:eastAsia="zh-CN" w:bidi="ar-SA"/>
        </w:rPr>
        <w:t>，最终确定项目的效率性和效益性。</w:t>
      </w:r>
    </w:p>
    <w:p>
      <w:pPr>
        <w:keepNext w:val="0"/>
        <w:keepLines w:val="0"/>
        <w:pageBreakBefore w:val="0"/>
        <w:widowControl w:val="0"/>
        <w:kinsoku/>
        <w:wordWrap/>
        <w:overflowPunct w:val="0"/>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w:t>
      </w:r>
      <w:r>
        <w:rPr>
          <w:rFonts w:hint="eastAsia" w:ascii="仿宋_GB2312" w:hAnsi="仿宋_GB2312" w:eastAsia="仿宋_GB2312" w:cs="仿宋_GB2312"/>
          <w:sz w:val="32"/>
          <w:szCs w:val="32"/>
          <w:highlight w:val="none"/>
          <w:lang w:val="en-US" w:eastAsia="zh-CN"/>
        </w:rPr>
        <w:t>是指通过专家评估、公众问卷对财政支出效果进行评判，评价绩效目标实现程度。评价小组对服务对象进行问卷调查，收集整体及项目具体完成情况和效果的相关证据，为绩效分析结论提供有力支撑。</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4</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成本效益分析法。是将投入与产出、效益进行关联性分析的方法。</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val="en-US" w:eastAsia="zh-CN" w:bidi="ar"/>
        </w:rPr>
        <w:t>5</w:t>
      </w:r>
      <w:r>
        <w:rPr>
          <w:rFonts w:hint="eastAsia" w:ascii="仿宋_GB2312" w:hAnsi="仿宋_GB2312" w:eastAsia="仿宋_GB2312" w:cs="仿宋_GB2312"/>
          <w:kern w:val="0"/>
          <w:sz w:val="32"/>
          <w:szCs w:val="32"/>
          <w:highlight w:val="none"/>
          <w:lang w:eastAsia="zh-CN" w:bidi="ar"/>
        </w:rPr>
        <w:t>）</w:t>
      </w:r>
      <w:r>
        <w:rPr>
          <w:rFonts w:hint="eastAsia" w:ascii="仿宋_GB2312" w:hAnsi="仿宋_GB2312" w:eastAsia="仿宋_GB2312" w:cs="仿宋_GB2312"/>
          <w:kern w:val="0"/>
          <w:sz w:val="32"/>
          <w:szCs w:val="32"/>
          <w:highlight w:val="none"/>
          <w:lang w:bidi="ar"/>
        </w:rPr>
        <w:t>访谈法。评价小组现场访谈</w:t>
      </w:r>
      <w:r>
        <w:rPr>
          <w:rFonts w:hint="eastAsia" w:ascii="仿宋_GB2312" w:hAnsi="仿宋_GB2312" w:eastAsia="仿宋_GB2312" w:cs="仿宋_GB2312"/>
          <w:kern w:val="0"/>
          <w:sz w:val="32"/>
          <w:szCs w:val="32"/>
          <w:highlight w:val="none"/>
          <w:lang w:val="en-US" w:eastAsia="zh-CN" w:bidi="ar"/>
        </w:rPr>
        <w:t>项目相关人员</w:t>
      </w:r>
      <w:r>
        <w:rPr>
          <w:rFonts w:hint="eastAsia" w:ascii="仿宋_GB2312" w:hAnsi="仿宋_GB2312" w:eastAsia="仿宋_GB2312" w:cs="仿宋_GB2312"/>
          <w:kern w:val="0"/>
          <w:sz w:val="32"/>
          <w:szCs w:val="32"/>
          <w:highlight w:val="none"/>
          <w:lang w:bidi="ar"/>
        </w:rPr>
        <w:t>，根据被询问者的答复收集客观的、不带偏见的事实材料。</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1" w:name="_Toc17521"/>
      <w:bookmarkStart w:id="92" w:name="_Toc4958"/>
      <w:r>
        <w:rPr>
          <w:rFonts w:hint="eastAsia" w:ascii="楷体" w:hAnsi="楷体" w:eastAsia="楷体" w:cs="楷体"/>
          <w:b/>
          <w:bCs/>
          <w:highlight w:val="none"/>
        </w:rPr>
        <w:t>（五）绩效评价指标体系</w:t>
      </w:r>
      <w:bookmarkEnd w:id="91"/>
      <w:bookmarkEnd w:id="92"/>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b/>
          <w:bCs/>
          <w:szCs w:val="28"/>
          <w:highlight w:val="none"/>
          <w:lang w:val="en-US" w:eastAsia="zh-CN"/>
        </w:rPr>
      </w:pPr>
      <w:r>
        <w:rPr>
          <w:rFonts w:hint="eastAsia" w:ascii="仿宋_GB2312" w:hAnsi="仿宋_GB2312" w:cs="仿宋_GB2312"/>
          <w:b/>
          <w:bCs/>
          <w:szCs w:val="28"/>
          <w:highlight w:val="none"/>
          <w:lang w:val="en-US" w:eastAsia="zh-CN"/>
        </w:rPr>
        <w:t>1.绩效评价指标体系</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根据《财政部关于印发</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项目支出绩效评价管理办法</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的通知》（财预〔2020〕10号）、</w:t>
      </w:r>
      <w:r>
        <w:rPr>
          <w:rFonts w:hint="eastAsia" w:ascii="仿宋_GB2312" w:hAnsi="仿宋_GB2312" w:eastAsia="仿宋_GB2312" w:cs="仿宋_GB2312"/>
          <w:sz w:val="32"/>
          <w:szCs w:val="32"/>
          <w:highlight w:val="none"/>
        </w:rPr>
        <w:t>《甘肃省财政厅关于开展2022年度省级预算执行情况部门和财政重点绩效评价工作的通知》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甘财绩〔2023〕3号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Cs w:val="28"/>
          <w:highlight w:val="none"/>
        </w:rPr>
        <w:t>要求，本次绩效评价内容包括：项目决策情况、资金管理和使用情况、相关管理制度的健全性和执行情况，项目实现的产出情况，取得的效益情况和其他相关内容，重点评价项目的产出和效益。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项目评价指标划分为三级，综合评价一级指标包括项目决策指标、过程指标、产出指标、效益指标、满意度指标。二、三级评价指标根据项目实际情况制定了可量化、可操作的细化绩效目标，指标分值根据项目指标重要程度、项目实施阶段等因素综合确定（项目评价指标体系详见附表1）。</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项目决策指标</w:t>
      </w:r>
      <w:r>
        <w:rPr>
          <w:rFonts w:hint="eastAsia" w:ascii="仿宋_GB2312" w:hAnsi="仿宋_GB2312" w:eastAsia="仿宋_GB2312" w:cs="仿宋_GB2312"/>
          <w:szCs w:val="28"/>
          <w:highlight w:val="none"/>
          <w:lang w:val="en-US" w:eastAsia="zh-CN"/>
        </w:rPr>
        <w:t>为一级指标</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权重1</w:t>
      </w:r>
      <w:r>
        <w:rPr>
          <w:rFonts w:hint="eastAsia" w:ascii="仿宋_GB2312" w:hAnsi="仿宋_GB2312" w:cs="仿宋_GB2312"/>
          <w:szCs w:val="28"/>
          <w:highlight w:val="none"/>
          <w:lang w:val="en-US" w:eastAsia="zh-CN"/>
        </w:rPr>
        <w:t>2</w:t>
      </w:r>
      <w:r>
        <w:rPr>
          <w:rFonts w:hint="eastAsia" w:ascii="仿宋_GB2312" w:hAnsi="仿宋_GB2312" w:eastAsia="仿宋_GB2312" w:cs="仿宋_GB2312"/>
          <w:szCs w:val="28"/>
          <w:highlight w:val="none"/>
        </w:rPr>
        <w:t>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从项目的立项、绩效目标和资金投入分析项目前期管理情况</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主要包括立项依据充分性、立项程序规范性等</w:t>
      </w:r>
      <w:r>
        <w:rPr>
          <w:rFonts w:hint="eastAsia" w:ascii="仿宋_GB2312" w:hAnsi="仿宋_GB2312" w:eastAsia="仿宋_GB2312" w:cs="仿宋_GB2312"/>
          <w:szCs w:val="28"/>
          <w:highlight w:val="none"/>
          <w:lang w:val="en-US" w:eastAsia="zh-CN"/>
        </w:rPr>
        <w:t>三级</w:t>
      </w:r>
      <w:r>
        <w:rPr>
          <w:rFonts w:hint="eastAsia" w:ascii="仿宋_GB2312" w:hAnsi="仿宋_GB2312" w:eastAsia="仿宋_GB2312" w:cs="仿宋_GB2312"/>
          <w:szCs w:val="28"/>
          <w:highlight w:val="none"/>
        </w:rPr>
        <w:t>指标。</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项目过程指标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cs="仿宋_GB2312"/>
          <w:szCs w:val="28"/>
          <w:highlight w:val="none"/>
          <w:lang w:val="en-US" w:eastAsia="zh-CN"/>
        </w:rPr>
        <w:t>18</w:t>
      </w:r>
      <w:r>
        <w:rPr>
          <w:rFonts w:hint="eastAsia" w:ascii="仿宋_GB2312" w:hAnsi="仿宋_GB2312" w:eastAsia="仿宋_GB2312" w:cs="仿宋_GB2312"/>
          <w:szCs w:val="28"/>
          <w:highlight w:val="none"/>
          <w:lang w:val="en-US" w:eastAsia="zh-CN"/>
        </w:rPr>
        <w:t>分。</w:t>
      </w:r>
      <w:r>
        <w:rPr>
          <w:rFonts w:hint="eastAsia" w:ascii="仿宋_GB2312" w:hAnsi="仿宋_GB2312" w:eastAsia="仿宋_GB2312" w:cs="仿宋_GB2312"/>
          <w:szCs w:val="28"/>
          <w:highlight w:val="none"/>
        </w:rPr>
        <w:t>从项目的资金管理、组织实施两个方面分析项目资金使用、实施过程的管理情况</w:t>
      </w:r>
      <w:r>
        <w:rPr>
          <w:rFonts w:hint="eastAsia" w:ascii="仿宋_GB2312" w:hAnsi="仿宋_GB2312" w:eastAsia="仿宋_GB2312" w:cs="仿宋_GB2312"/>
          <w:szCs w:val="28"/>
          <w:highlight w:val="none"/>
          <w:lang w:eastAsia="zh-CN"/>
        </w:rPr>
        <w:t>，主要包括资金到位率、预算执行率、资金使用合规性、管理制度健全性、制度执行有效性等三级指标</w:t>
      </w:r>
      <w:r>
        <w:rPr>
          <w:rFonts w:hint="eastAsia" w:ascii="仿宋_GB2312" w:hAnsi="仿宋_GB2312" w:eastAsia="仿宋_GB2312" w:cs="仿宋_GB2312"/>
          <w:szCs w:val="28"/>
          <w:highlight w:val="none"/>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项目产出指标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eastAsia="仿宋_GB2312" w:cs="仿宋_GB2312"/>
          <w:szCs w:val="28"/>
          <w:highlight w:val="none"/>
        </w:rPr>
        <w:t>50分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从数量、质量、时效、成本四个方面分析项目的产出情况</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主要包括信息化系统升级改造数量、统信息化系统运维数量等三级指标</w:t>
      </w:r>
      <w:r>
        <w:rPr>
          <w:rFonts w:hint="eastAsia" w:ascii="仿宋_GB2312" w:hAnsi="仿宋_GB2312" w:eastAsia="仿宋_GB2312" w:cs="仿宋_GB2312"/>
          <w:szCs w:val="28"/>
          <w:highlight w:val="none"/>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4</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项目效益指标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cs="仿宋_GB2312"/>
          <w:szCs w:val="28"/>
          <w:highlight w:val="none"/>
          <w:lang w:val="en-US" w:eastAsia="zh-CN"/>
        </w:rPr>
        <w:t>10</w:t>
      </w:r>
      <w:r>
        <w:rPr>
          <w:rFonts w:hint="eastAsia" w:ascii="仿宋_GB2312" w:hAnsi="仿宋_GB2312" w:eastAsia="仿宋_GB2312" w:cs="仿宋_GB2312"/>
          <w:szCs w:val="28"/>
          <w:highlight w:val="none"/>
        </w:rPr>
        <w:t>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从社会效益、可持续影响两个方面分析项目实施产生的效益</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lang w:val="en-US" w:eastAsia="zh-CN"/>
        </w:rPr>
        <w:t>主要包括有效保障审判服务</w:t>
      </w:r>
      <w:r>
        <w:rPr>
          <w:rFonts w:hint="eastAsia" w:ascii="仿宋_GB2312" w:hAnsi="仿宋_GB2312" w:cs="仿宋_GB2312"/>
          <w:szCs w:val="28"/>
          <w:highlight w:val="none"/>
          <w:lang w:val="en-US" w:eastAsia="zh-CN"/>
        </w:rPr>
        <w:t>、信息化运维考核机制健全性</w:t>
      </w:r>
      <w:r>
        <w:rPr>
          <w:rFonts w:hint="eastAsia" w:ascii="仿宋_GB2312" w:hAnsi="仿宋_GB2312" w:eastAsia="仿宋_GB2312" w:cs="仿宋_GB2312"/>
          <w:szCs w:val="28"/>
          <w:highlight w:val="none"/>
          <w:lang w:val="en-US" w:eastAsia="zh-CN"/>
        </w:rPr>
        <w:t>等三级指标</w:t>
      </w:r>
      <w:r>
        <w:rPr>
          <w:rFonts w:hint="eastAsia" w:ascii="仿宋_GB2312" w:hAnsi="仿宋_GB2312" w:eastAsia="仿宋_GB2312" w:cs="仿宋_GB2312"/>
          <w:szCs w:val="28"/>
          <w:highlight w:val="none"/>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项目满意度指标</w:t>
      </w:r>
      <w:r>
        <w:rPr>
          <w:rFonts w:hint="eastAsia" w:ascii="仿宋_GB2312" w:hAnsi="仿宋_GB2312" w:eastAsia="仿宋_GB2312" w:cs="仿宋_GB2312"/>
          <w:szCs w:val="28"/>
          <w:highlight w:val="none"/>
          <w:lang w:val="en-US" w:eastAsia="zh-CN"/>
        </w:rPr>
        <w:t>为一级指标，权重</w:t>
      </w:r>
      <w:r>
        <w:rPr>
          <w:rFonts w:hint="eastAsia" w:ascii="仿宋_GB2312" w:hAnsi="仿宋_GB2312" w:cs="仿宋_GB2312"/>
          <w:szCs w:val="28"/>
          <w:highlight w:val="none"/>
          <w:lang w:val="en-US" w:eastAsia="zh-CN"/>
        </w:rPr>
        <w:t>10</w:t>
      </w:r>
      <w:r>
        <w:rPr>
          <w:rFonts w:hint="eastAsia" w:ascii="仿宋_GB2312" w:hAnsi="仿宋_GB2312" w:eastAsia="仿宋_GB2312" w:cs="仿宋_GB2312"/>
          <w:szCs w:val="28"/>
          <w:highlight w:val="none"/>
        </w:rPr>
        <w:t>分</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分析</w:t>
      </w:r>
      <w:r>
        <w:rPr>
          <w:rFonts w:hint="eastAsia" w:ascii="仿宋_GB2312" w:hAnsi="仿宋_GB2312" w:cs="仿宋_GB2312"/>
          <w:szCs w:val="28"/>
          <w:highlight w:val="none"/>
          <w:lang w:val="en-US" w:eastAsia="zh-CN"/>
        </w:rPr>
        <w:t>法院工作人员</w:t>
      </w:r>
      <w:r>
        <w:rPr>
          <w:rFonts w:hint="eastAsia" w:ascii="仿宋_GB2312" w:hAnsi="仿宋_GB2312" w:eastAsia="仿宋_GB2312" w:cs="仿宋_GB2312"/>
          <w:szCs w:val="28"/>
          <w:highlight w:val="none"/>
        </w:rPr>
        <w:t>对项目实施效果的满意情况。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Cs w:val="28"/>
          <w:highlight w:val="none"/>
        </w:rPr>
      </w:pPr>
      <w:r>
        <w:rPr>
          <w:rFonts w:hint="eastAsia" w:ascii="仿宋_GB2312" w:hAnsi="仿宋_GB2312" w:eastAsia="仿宋_GB2312" w:cs="仿宋_GB2312"/>
          <w:b/>
          <w:bCs/>
          <w:szCs w:val="28"/>
          <w:highlight w:val="none"/>
        </w:rPr>
        <w:t>2</w:t>
      </w:r>
      <w:r>
        <w:rPr>
          <w:rFonts w:hint="eastAsia" w:ascii="仿宋_GB2312" w:hAnsi="仿宋_GB2312" w:cs="仿宋_GB2312"/>
          <w:b/>
          <w:bCs/>
          <w:szCs w:val="28"/>
          <w:highlight w:val="none"/>
          <w:lang w:val="en-US" w:eastAsia="zh-CN"/>
        </w:rPr>
        <w:t>.</w:t>
      </w:r>
      <w:r>
        <w:rPr>
          <w:rFonts w:hint="eastAsia" w:ascii="仿宋_GB2312" w:hAnsi="仿宋_GB2312" w:eastAsia="仿宋_GB2312" w:cs="仿宋_GB2312"/>
          <w:b/>
          <w:bCs/>
          <w:szCs w:val="28"/>
          <w:highlight w:val="none"/>
        </w:rPr>
        <w:t>数据来源及证据收集方式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评价组在前期调研的基础上，按照资料清单，收集法规文件、会议记录、财务凭证等资料，并通过发放调查问卷等方式收集佐证材料证据，全面考察项目执行情况。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eastAsia="仿宋_GB2312" w:cs="仿宋_GB2312"/>
          <w:szCs w:val="28"/>
          <w:highlight w:val="none"/>
        </w:rPr>
        <w:t>本次绩效评价的证据收集途径主要有</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1</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由省法院提供基础数据资料</w:t>
      </w:r>
      <w:r>
        <w:rPr>
          <w:rFonts w:hint="eastAsia" w:ascii="仿宋_GB2312" w:hAnsi="仿宋_GB2312" w:cs="仿宋_GB2312"/>
          <w:szCs w:val="28"/>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2</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通过与省法院</w:t>
      </w:r>
      <w:r>
        <w:rPr>
          <w:rFonts w:hint="eastAsia" w:ascii="仿宋_GB2312" w:hAnsi="仿宋_GB2312" w:cs="仿宋_GB2312"/>
          <w:szCs w:val="28"/>
          <w:highlight w:val="none"/>
          <w:lang w:val="en-US" w:eastAsia="zh-CN"/>
        </w:rPr>
        <w:t>相关工作人员</w:t>
      </w:r>
      <w:r>
        <w:rPr>
          <w:rFonts w:hint="eastAsia" w:ascii="仿宋_GB2312" w:hAnsi="仿宋_GB2312" w:eastAsia="仿宋_GB2312" w:cs="仿宋_GB2312"/>
          <w:szCs w:val="28"/>
          <w:highlight w:val="none"/>
        </w:rPr>
        <w:t>交流，获取信息，了解项目的成效</w:t>
      </w:r>
      <w:r>
        <w:rPr>
          <w:rFonts w:hint="eastAsia" w:ascii="仿宋_GB2312" w:hAnsi="仿宋_GB2312" w:cs="仿宋_GB2312"/>
          <w:szCs w:val="28"/>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cs="仿宋_GB2312"/>
          <w:szCs w:val="28"/>
          <w:highlight w:val="none"/>
          <w:lang w:eastAsia="zh-CN"/>
        </w:rPr>
      </w:pPr>
      <w:bookmarkStart w:id="93" w:name="_Toc6432"/>
      <w:bookmarkStart w:id="94" w:name="_Toc2982"/>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lang w:eastAsia="zh-CN"/>
        </w:rPr>
        <w:t>）</w:t>
      </w:r>
      <w:r>
        <w:rPr>
          <w:rFonts w:hint="eastAsia" w:ascii="仿宋_GB2312" w:hAnsi="仿宋_GB2312" w:eastAsia="仿宋_GB2312" w:cs="仿宋_GB2312"/>
          <w:szCs w:val="28"/>
          <w:highlight w:val="none"/>
        </w:rPr>
        <w:t>对</w:t>
      </w:r>
      <w:r>
        <w:rPr>
          <w:rFonts w:hint="eastAsia" w:ascii="仿宋_GB2312" w:hAnsi="仿宋_GB2312" w:cs="仿宋_GB2312"/>
          <w:szCs w:val="28"/>
          <w:highlight w:val="none"/>
          <w:lang w:val="en-US" w:eastAsia="zh-CN"/>
        </w:rPr>
        <w:t>项目服务对象</w:t>
      </w:r>
      <w:r>
        <w:rPr>
          <w:rFonts w:hint="eastAsia" w:ascii="仿宋_GB2312" w:hAnsi="仿宋_GB2312" w:eastAsia="仿宋_GB2312" w:cs="仿宋_GB2312"/>
          <w:szCs w:val="28"/>
          <w:highlight w:val="none"/>
        </w:rPr>
        <w:t>进行问卷调查，获取满意度数据</w:t>
      </w:r>
      <w:r>
        <w:rPr>
          <w:rFonts w:hint="eastAsia" w:ascii="仿宋_GB2312" w:hAnsi="仿宋_GB2312" w:cs="仿宋_GB2312"/>
          <w:szCs w:val="28"/>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r>
        <w:rPr>
          <w:rFonts w:hint="eastAsia" w:ascii="楷体" w:hAnsi="楷体" w:eastAsia="楷体" w:cs="楷体"/>
          <w:b/>
          <w:bCs/>
          <w:highlight w:val="none"/>
        </w:rPr>
        <w:t>（六）评价人员组成</w:t>
      </w:r>
      <w:bookmarkEnd w:id="93"/>
      <w:bookmarkEnd w:id="94"/>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bookmarkStart w:id="95" w:name="_Toc8104"/>
      <w:r>
        <w:rPr>
          <w:rFonts w:hint="eastAsia" w:ascii="仿宋_GB2312" w:hAnsi="仿宋_GB2312" w:eastAsia="仿宋_GB2312" w:cs="仿宋_GB2312"/>
          <w:szCs w:val="28"/>
          <w:highlight w:val="none"/>
        </w:rPr>
        <w:t>按照绩效评价工作要求</w:t>
      </w:r>
      <w:r>
        <w:rPr>
          <w:rFonts w:hint="eastAsia" w:ascii="仿宋_GB2312" w:hAnsi="仿宋_GB2312" w:eastAsia="仿宋_GB2312" w:cs="仿宋_GB2312"/>
          <w:szCs w:val="28"/>
          <w:highlight w:val="none"/>
          <w:lang w:eastAsia="zh-CN"/>
        </w:rPr>
        <w:t>，</w:t>
      </w:r>
      <w:r>
        <w:rPr>
          <w:rFonts w:hint="eastAsia" w:ascii="仿宋_GB2312" w:hAnsi="仿宋_GB2312" w:eastAsia="仿宋_GB2312" w:cs="仿宋_GB2312"/>
          <w:szCs w:val="28"/>
          <w:highlight w:val="none"/>
        </w:rPr>
        <w:t>为了较好地完成本次绩效评价工作，评价工作组人员名单及职责分工情况见下表：</w:t>
      </w:r>
    </w:p>
    <w:p>
      <w:pPr>
        <w:pStyle w:val="3"/>
        <w:rPr>
          <w:rFonts w:hint="eastAsia"/>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1161"/>
        <w:gridCol w:w="1470"/>
        <w:gridCol w:w="2176"/>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序号</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姓名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职务</w:t>
            </w:r>
          </w:p>
        </w:tc>
        <w:tc>
          <w:tcPr>
            <w:tcW w:w="2176"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职称和职业资格</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b/>
                <w:bCs/>
                <w:color w:val="auto"/>
                <w:kern w:val="2"/>
                <w:sz w:val="24"/>
                <w:szCs w:val="24"/>
                <w:highlight w:val="none"/>
                <w:shd w:val="clear" w:color="auto" w:fill="FFFFFF"/>
                <w:vertAlign w:val="baseline"/>
                <w:lang w:val="en-US" w:eastAsia="zh-CN" w:bidi="ar-SA"/>
              </w:rPr>
            </w:pPr>
            <w:r>
              <w:rPr>
                <w:rFonts w:hint="eastAsia" w:ascii="宋体" w:hAnsi="宋体" w:eastAsia="宋体" w:cs="Times New Roman"/>
                <w:b/>
                <w:bCs/>
                <w:color w:val="auto"/>
                <w:kern w:val="2"/>
                <w:sz w:val="24"/>
                <w:szCs w:val="24"/>
                <w:highlight w:val="none"/>
                <w:shd w:val="clear" w:color="auto" w:fill="FFFFFF"/>
                <w:vertAlign w:val="baseline"/>
                <w:lang w:val="en-US" w:eastAsia="zh-CN" w:bidi="ar-SA"/>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1</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郑生伟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复核人</w:t>
            </w:r>
          </w:p>
        </w:tc>
        <w:tc>
          <w:tcPr>
            <w:tcW w:w="2176"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绩效评价指导、复核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2</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刘燕</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6"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绩效评价师</w:t>
            </w:r>
          </w:p>
        </w:tc>
        <w:tc>
          <w:tcPr>
            <w:tcW w:w="2767" w:type="dxa"/>
            <w:vMerge w:val="restart"/>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制定评价方案、评价报告撰写、现场及非现场评价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3</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eastAsia="宋体" w:cs="Times New Roman"/>
                <w:color w:val="auto"/>
                <w:kern w:val="2"/>
                <w:sz w:val="24"/>
                <w:szCs w:val="24"/>
                <w:highlight w:val="none"/>
                <w:shd w:val="clear" w:color="auto" w:fill="FFFFFF"/>
                <w:vertAlign w:val="baseline"/>
                <w:lang w:val="en-US" w:eastAsia="zh-CN" w:bidi="ar-SA"/>
              </w:rPr>
              <w:t>刘淑萍</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主评人</w:t>
            </w:r>
          </w:p>
        </w:tc>
        <w:tc>
          <w:tcPr>
            <w:tcW w:w="2176"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高级会计师</w:t>
            </w:r>
          </w:p>
        </w:tc>
        <w:tc>
          <w:tcPr>
            <w:tcW w:w="2767" w:type="dxa"/>
            <w:vMerge w:val="continue"/>
            <w:noWrap w:val="0"/>
            <w:vAlign w:val="top"/>
          </w:tcPr>
          <w:p>
            <w:pPr>
              <w:pStyle w:val="2"/>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4</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向文霞</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6"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restart"/>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资料收集、审核、整理分析、现场及非现场评价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5</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吕晓芳</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6"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6</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肖涵</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组长</w:t>
            </w:r>
          </w:p>
        </w:tc>
        <w:tc>
          <w:tcPr>
            <w:tcW w:w="2176"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7</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张振勇</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6"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8</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赵悦江</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6"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9</w:t>
            </w:r>
          </w:p>
        </w:tc>
        <w:tc>
          <w:tcPr>
            <w:tcW w:w="1161"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李乐乐</w:t>
            </w:r>
          </w:p>
        </w:tc>
        <w:tc>
          <w:tcPr>
            <w:tcW w:w="1470" w:type="dxa"/>
            <w:noWrap w:val="0"/>
            <w:vAlign w:val="center"/>
          </w:tcPr>
          <w:p>
            <w:pPr>
              <w:pStyle w:val="2"/>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default"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组员</w:t>
            </w:r>
          </w:p>
        </w:tc>
        <w:tc>
          <w:tcPr>
            <w:tcW w:w="2176" w:type="dxa"/>
            <w:noWrap w:val="0"/>
            <w:vAlign w:val="center"/>
          </w:tcPr>
          <w:p>
            <w:pPr>
              <w:keepNext w:val="0"/>
              <w:keepLines w:val="0"/>
              <w:pageBreakBefore w:val="0"/>
              <w:widowControl w:val="0"/>
              <w:kinsoku/>
              <w:wordWrap/>
              <w:overflowPunct w:val="0"/>
              <w:topLinePunct w:val="0"/>
              <w:autoSpaceDE/>
              <w:autoSpaceDN/>
              <w:bidi w:val="0"/>
              <w:adjustRightInd/>
              <w:snapToGrid/>
              <w:spacing w:after="0" w:line="360" w:lineRule="auto"/>
              <w:jc w:val="center"/>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r>
              <w:rPr>
                <w:rFonts w:hint="eastAsia" w:ascii="宋体" w:hAnsi="宋体" w:eastAsia="宋体" w:cs="Times New Roman"/>
                <w:color w:val="auto"/>
                <w:kern w:val="2"/>
                <w:sz w:val="24"/>
                <w:szCs w:val="24"/>
                <w:highlight w:val="none"/>
                <w:shd w:val="clear" w:color="auto" w:fill="FFFFFF"/>
                <w:vertAlign w:val="baseline"/>
                <w:lang w:val="en-US" w:eastAsia="zh-CN" w:bidi="ar-SA"/>
              </w:rPr>
              <w:t>助理会计师</w:t>
            </w:r>
          </w:p>
        </w:tc>
        <w:tc>
          <w:tcPr>
            <w:tcW w:w="2767" w:type="dxa"/>
            <w:vMerge w:val="continue"/>
            <w:noWrap w:val="0"/>
            <w:vAlign w:val="top"/>
          </w:tcPr>
          <w:p>
            <w:pPr>
              <w:keepNext w:val="0"/>
              <w:keepLines w:val="0"/>
              <w:pageBreakBefore w:val="0"/>
              <w:widowControl w:val="0"/>
              <w:kinsoku/>
              <w:wordWrap/>
              <w:overflowPunct w:val="0"/>
              <w:topLinePunct w:val="0"/>
              <w:autoSpaceDE/>
              <w:autoSpaceDN/>
              <w:bidi w:val="0"/>
              <w:adjustRightInd/>
              <w:snapToGrid/>
              <w:spacing w:after="0" w:line="360" w:lineRule="auto"/>
              <w:textAlignment w:val="auto"/>
              <w:rPr>
                <w:rFonts w:hint="eastAsia" w:ascii="宋体" w:hAnsi="宋体" w:eastAsia="宋体" w:cs="Times New Roman"/>
                <w:color w:val="auto"/>
                <w:kern w:val="2"/>
                <w:sz w:val="24"/>
                <w:szCs w:val="24"/>
                <w:highlight w:val="none"/>
                <w:shd w:val="clear" w:color="auto" w:fill="FFFFFF"/>
                <w:vertAlign w:val="baseline"/>
                <w:lang w:val="en-US" w:eastAsia="zh-CN" w:bidi="ar-SA"/>
              </w:rPr>
            </w:pPr>
          </w:p>
        </w:tc>
      </w:tr>
    </w:tbl>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96" w:name="_Toc23386"/>
      <w:r>
        <w:rPr>
          <w:rFonts w:hint="eastAsia" w:ascii="楷体" w:hAnsi="楷体" w:eastAsia="楷体" w:cs="楷体"/>
          <w:b/>
          <w:bCs/>
          <w:highlight w:val="none"/>
        </w:rPr>
        <w:t>（七）绩效评价工作过程</w:t>
      </w:r>
      <w:bookmarkEnd w:id="95"/>
      <w:bookmarkEnd w:id="96"/>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sz w:val="32"/>
          <w:szCs w:val="32"/>
          <w:highlight w:val="none"/>
        </w:rPr>
      </w:pPr>
      <w:bookmarkStart w:id="97" w:name="_Toc32185"/>
      <w:bookmarkStart w:id="98" w:name="_Toc1946"/>
      <w:bookmarkStart w:id="99" w:name="_Toc27041"/>
      <w:bookmarkStart w:id="100" w:name="_Toc31135"/>
      <w:bookmarkStart w:id="101" w:name="_Toc10150"/>
      <w:r>
        <w:rPr>
          <w:rFonts w:hint="eastAsia" w:ascii="仿宋_GB2312" w:hAnsi="仿宋_GB2312" w:eastAsia="仿宋_GB2312" w:cs="仿宋_GB2312"/>
          <w:sz w:val="32"/>
          <w:szCs w:val="32"/>
          <w:highlight w:val="none"/>
        </w:rPr>
        <w:t>绩效评价工作过程主要包括</w:t>
      </w:r>
      <w:r>
        <w:rPr>
          <w:rFonts w:hint="eastAsia" w:ascii="仿宋_GB2312" w:hAnsi="仿宋_GB2312" w:eastAsia="仿宋_GB2312" w:cs="仿宋_GB2312"/>
          <w:sz w:val="32"/>
          <w:szCs w:val="32"/>
          <w:highlight w:val="none"/>
          <w:lang w:val="en-US" w:eastAsia="zh-CN"/>
        </w:rPr>
        <w:t>准备阶段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实施阶段、</w:t>
      </w:r>
      <w:r>
        <w:rPr>
          <w:rFonts w:hint="eastAsia" w:ascii="仿宋_GB2312" w:hAnsi="仿宋_GB2312" w:eastAsia="仿宋_GB2312" w:cs="仿宋_GB2312"/>
          <w:sz w:val="32"/>
          <w:szCs w:val="32"/>
          <w:highlight w:val="none"/>
        </w:rPr>
        <w:t>撰写报告阶段</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个阶段。</w:t>
      </w:r>
      <w:bookmarkEnd w:id="97"/>
      <w:bookmarkEnd w:id="98"/>
      <w:bookmarkEnd w:id="99"/>
      <w:bookmarkEnd w:id="100"/>
      <w:bookmarkEnd w:id="101"/>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jc w:val="both"/>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准备阶段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确定绩效评价组</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省法院组织召开了</w:t>
      </w:r>
      <w:r>
        <w:rPr>
          <w:rFonts w:hint="eastAsia" w:ascii="仿宋_GB2312" w:hAnsi="仿宋_GB2312" w:eastAsia="仿宋_GB2312" w:cs="仿宋_GB2312"/>
          <w:sz w:val="32"/>
          <w:szCs w:val="32"/>
          <w:highlight w:val="none"/>
        </w:rPr>
        <w:t>绩效评价专题工作会议，安排部署</w:t>
      </w:r>
      <w:r>
        <w:rPr>
          <w:rFonts w:hint="eastAsia" w:ascii="仿宋_GB2312" w:hAnsi="仿宋_GB2312" w:eastAsia="仿宋_GB2312" w:cs="仿宋_GB2312"/>
          <w:sz w:val="32"/>
          <w:szCs w:val="32"/>
          <w:highlight w:val="none"/>
          <w:lang w:val="en-US" w:eastAsia="zh-CN"/>
        </w:rPr>
        <w:t>本次</w:t>
      </w:r>
      <w:r>
        <w:rPr>
          <w:rFonts w:hint="eastAsia" w:ascii="仿宋_GB2312" w:hAnsi="仿宋_GB2312" w:eastAsia="仿宋_GB2312" w:cs="仿宋_GB2312"/>
          <w:sz w:val="32"/>
          <w:szCs w:val="32"/>
          <w:highlight w:val="none"/>
        </w:rPr>
        <w:t>绩效评价工作。绩效评价小组根据评价目的和评价内容，明确</w:t>
      </w:r>
      <w:r>
        <w:rPr>
          <w:rFonts w:hint="eastAsia" w:ascii="仿宋_GB2312" w:hAnsi="仿宋_GB2312" w:eastAsia="仿宋_GB2312" w:cs="仿宋_GB2312"/>
          <w:sz w:val="32"/>
          <w:szCs w:val="32"/>
          <w:highlight w:val="none"/>
          <w:lang w:eastAsia="zh-CN"/>
        </w:rPr>
        <w:t>了</w:t>
      </w:r>
      <w:r>
        <w:rPr>
          <w:rFonts w:hint="eastAsia" w:ascii="仿宋_GB2312" w:hAnsi="仿宋_GB2312" w:eastAsia="仿宋_GB2312" w:cs="仿宋_GB2312"/>
          <w:sz w:val="32"/>
          <w:szCs w:val="32"/>
          <w:highlight w:val="none"/>
        </w:rPr>
        <w:t>工作范围和职责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组织评价组人员进行业务培训，认真组织学习了相关政策法规制度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评价指标体系和评价方案，明确评价工作程序及要求，解析评价指标体系</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使各参评人员对</w:t>
      </w:r>
      <w:r>
        <w:rPr>
          <w:rFonts w:hint="eastAsia" w:ascii="仿宋_GB2312" w:hAnsi="仿宋_GB2312" w:eastAsia="仿宋_GB2312" w:cs="仿宋_GB2312"/>
          <w:sz w:val="32"/>
          <w:szCs w:val="32"/>
          <w:highlight w:val="none"/>
          <w:lang w:val="en-US" w:eastAsia="zh-CN"/>
        </w:rPr>
        <w:t>绩效评价</w:t>
      </w:r>
      <w:r>
        <w:rPr>
          <w:rFonts w:hint="eastAsia" w:ascii="仿宋_GB2312" w:hAnsi="仿宋_GB2312" w:eastAsia="仿宋_GB2312" w:cs="仿宋_GB2312"/>
          <w:sz w:val="32"/>
          <w:szCs w:val="32"/>
          <w:highlight w:val="none"/>
        </w:rPr>
        <w:t>情况做进一步了解</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评价时间安排</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根据《甘肃省财政厅关于开展2022年度省级预算执行情况部门和财政重点绩效评价工作的通知》（甘财绩〔2023〕3号）文件要求，以及和委托方</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的沟通协调，确定评价时间</w:t>
      </w:r>
      <w:r>
        <w:rPr>
          <w:rFonts w:hint="eastAsia" w:ascii="仿宋_GB2312" w:hAnsi="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2023年4月1日—2023年5月31日</w:t>
      </w:r>
      <w:r>
        <w:rPr>
          <w:rFonts w:hint="eastAsia" w:ascii="仿宋_GB2312" w:hAnsi="仿宋_GB2312" w:cs="仿宋_GB2312"/>
          <w:sz w:val="32"/>
          <w:szCs w:val="32"/>
          <w:highlight w:val="none"/>
          <w:lang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评价方式确定</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本次绩效评价的对象为</w:t>
      </w:r>
      <w:r>
        <w:rPr>
          <w:rFonts w:hint="eastAsia" w:ascii="仿宋_GB2312" w:hAnsi="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经与</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沟通决定采取现场评价</w:t>
      </w:r>
      <w:r>
        <w:rPr>
          <w:rFonts w:hint="eastAsia" w:ascii="仿宋_GB2312" w:hAnsi="仿宋_GB2312" w:cs="仿宋_GB2312"/>
          <w:sz w:val="32"/>
          <w:szCs w:val="32"/>
          <w:highlight w:val="none"/>
          <w:lang w:val="en-US" w:eastAsia="zh-CN"/>
        </w:rPr>
        <w:t>与非现场评价相结合</w:t>
      </w:r>
      <w:r>
        <w:rPr>
          <w:rFonts w:hint="eastAsia" w:ascii="仿宋_GB2312" w:hAnsi="仿宋_GB2312" w:eastAsia="仿宋_GB2312" w:cs="仿宋_GB2312"/>
          <w:sz w:val="32"/>
          <w:szCs w:val="32"/>
          <w:highlight w:val="none"/>
        </w:rPr>
        <w:t>的方式进行本次评价。</w:t>
      </w:r>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jc w:val="both"/>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2.实施阶段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default" w:ascii="仿宋_GB2312" w:hAnsi="仿宋_GB2312" w:eastAsia="仿宋_GB2312" w:cs="仿宋_GB2312"/>
          <w:sz w:val="32"/>
          <w:szCs w:val="32"/>
          <w:highlight w:val="none"/>
          <w:lang w:val="en-US" w:eastAsia="zh-CN"/>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发送资料清单</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绩效评价组在拟开展现场评价的5个工作日前向</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发送资料清单，</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提前准备评价资料。</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进驻评价单位</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评价组按时进驻</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，根据工作方案，</w:t>
      </w:r>
      <w:r>
        <w:rPr>
          <w:rFonts w:hint="eastAsia" w:ascii="仿宋_GB2312" w:hAnsi="仿宋_GB2312" w:cs="仿宋_GB2312"/>
          <w:sz w:val="32"/>
          <w:szCs w:val="32"/>
          <w:highlight w:val="none"/>
          <w:lang w:val="en-US" w:eastAsia="zh-CN"/>
        </w:rPr>
        <w:t>于2023</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rPr>
        <w:t>月</w:t>
      </w:r>
      <w:r>
        <w:rPr>
          <w:rFonts w:hint="eastAsia" w:ascii="仿宋_GB2312" w:hAnsi="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日，对相关工作人员进行了访谈，本次绩效评价访谈旨在通过与相关</w:t>
      </w:r>
      <w:r>
        <w:rPr>
          <w:rFonts w:hint="eastAsia" w:ascii="仿宋_GB2312" w:hAnsi="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人员进行沟通，了解</w:t>
      </w:r>
      <w:r>
        <w:rPr>
          <w:rFonts w:hint="eastAsia" w:ascii="仿宋_GB2312" w:hAnsi="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基本情况以及重点工作任务完成情况，听取</w:t>
      </w:r>
      <w:r>
        <w:rPr>
          <w:rFonts w:hint="eastAsia" w:ascii="仿宋_GB2312" w:hAnsi="仿宋_GB2312" w:cs="仿宋_GB2312"/>
          <w:sz w:val="32"/>
          <w:szCs w:val="32"/>
          <w:highlight w:val="none"/>
          <w:lang w:val="en-US" w:eastAsia="zh-CN"/>
        </w:rPr>
        <w:t>相关</w:t>
      </w:r>
      <w:r>
        <w:rPr>
          <w:rFonts w:hint="eastAsia" w:ascii="仿宋_GB2312" w:hAnsi="仿宋_GB2312" w:eastAsia="仿宋_GB2312" w:cs="仿宋_GB2312"/>
          <w:sz w:val="32"/>
          <w:szCs w:val="32"/>
          <w:highlight w:val="none"/>
          <w:lang w:val="en-US" w:eastAsia="zh-CN"/>
        </w:rPr>
        <w:t>工作人员</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的目标设定及完成程度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组织管理制度建立健全及落实情况、预算支出执行情况、财务管理状况、资产管理情况和项目实施产生的效益效果等情况介绍。</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①访谈对象</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的相关工作人员。</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②具体访谈的主要内容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相关工作人员介绍预算安排、</w:t>
      </w:r>
      <w:r>
        <w:rPr>
          <w:rFonts w:hint="eastAsia" w:ascii="仿宋_GB2312" w:hAnsi="仿宋_GB2312" w:cs="仿宋_GB2312"/>
          <w:sz w:val="32"/>
          <w:szCs w:val="32"/>
          <w:highlight w:val="none"/>
          <w:lang w:val="en-US" w:eastAsia="zh-CN"/>
        </w:rPr>
        <w:t>项目实施计划</w:t>
      </w:r>
      <w:r>
        <w:rPr>
          <w:rFonts w:hint="eastAsia" w:ascii="仿宋_GB2312" w:hAnsi="仿宋_GB2312" w:eastAsia="仿宋_GB2312" w:cs="仿宋_GB2312"/>
          <w:sz w:val="32"/>
          <w:szCs w:val="32"/>
          <w:highlight w:val="none"/>
        </w:rPr>
        <w:t>等方面的实际情况；项目考核、监督中发现的经验、问题、建议等；对项目开展的实际工作情况等进行调研。比如：具体的实施完成情况、经费使用情况等。</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③访谈类型</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访谈类型：标准化访谈。</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④访谈实施方式</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省法院相关工作人员进行</w:t>
      </w:r>
      <w:r>
        <w:rPr>
          <w:rFonts w:hint="eastAsia" w:ascii="仿宋_GB2312" w:hAnsi="仿宋_GB2312" w:eastAsia="仿宋_GB2312" w:cs="仿宋_GB2312"/>
          <w:sz w:val="32"/>
          <w:szCs w:val="32"/>
          <w:highlight w:val="none"/>
        </w:rPr>
        <w:t>现场访谈的方式开展。</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资料分析及复核</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根据访谈了解情况对</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提供的资料进行核对，核实其真实性。结合资料</w:t>
      </w:r>
      <w:r>
        <w:rPr>
          <w:rFonts w:hint="eastAsia" w:ascii="仿宋_GB2312" w:hAnsi="仿宋_GB2312" w:eastAsia="仿宋_GB2312" w:cs="仿宋_GB2312"/>
          <w:sz w:val="32"/>
          <w:szCs w:val="32"/>
          <w:highlight w:val="none"/>
          <w:lang w:val="en-US" w:eastAsia="zh-CN"/>
        </w:rPr>
        <w:t>进行现场查看</w:t>
      </w:r>
      <w:r>
        <w:rPr>
          <w:rFonts w:hint="eastAsia" w:ascii="仿宋_GB2312" w:hAnsi="仿宋_GB2312" w:eastAsia="仿宋_GB2312" w:cs="仿宋_GB2312"/>
          <w:sz w:val="32"/>
          <w:szCs w:val="32"/>
          <w:highlight w:val="none"/>
        </w:rPr>
        <w:t>，核实</w:t>
      </w:r>
      <w:r>
        <w:rPr>
          <w:rFonts w:hint="eastAsia" w:ascii="仿宋_GB2312" w:hAnsi="仿宋_GB2312" w:eastAsia="仿宋_GB2312" w:cs="仿宋_GB2312"/>
          <w:sz w:val="32"/>
          <w:szCs w:val="32"/>
          <w:highlight w:val="none"/>
          <w:lang w:val="en-US" w:eastAsia="zh-CN"/>
        </w:rPr>
        <w:t>各项重点工作任务的完成情况</w:t>
      </w:r>
      <w:r>
        <w:rPr>
          <w:rFonts w:hint="eastAsia" w:ascii="仿宋_GB2312" w:hAnsi="仿宋_GB2312" w:eastAsia="仿宋_GB2312" w:cs="仿宋_GB2312"/>
          <w:sz w:val="32"/>
          <w:szCs w:val="32"/>
          <w:highlight w:val="none"/>
        </w:rPr>
        <w:t>的真实性和规范性。</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4</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发放调查问卷</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采用调查问卷方式对项目服务对象</w:t>
      </w:r>
      <w:r>
        <w:rPr>
          <w:rFonts w:hint="eastAsia"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lang w:val="en-US" w:eastAsia="zh-CN"/>
        </w:rPr>
        <w:t>工作人员满意度”</w:t>
      </w:r>
      <w:r>
        <w:rPr>
          <w:rFonts w:hint="eastAsia" w:ascii="仿宋_GB2312" w:hAnsi="仿宋_GB2312" w:eastAsia="仿宋_GB2312" w:cs="仿宋_GB2312"/>
          <w:sz w:val="32"/>
          <w:szCs w:val="32"/>
          <w:highlight w:val="none"/>
        </w:rPr>
        <w:t>进行调查，根据需要收集的</w:t>
      </w:r>
      <w:r>
        <w:rPr>
          <w:rFonts w:hint="eastAsia" w:ascii="仿宋_GB2312" w:hAnsi="仿宋_GB2312" w:eastAsia="仿宋_GB2312" w:cs="仿宋_GB2312"/>
          <w:sz w:val="32"/>
          <w:szCs w:val="32"/>
          <w:highlight w:val="none"/>
          <w:lang w:val="en-US" w:eastAsia="zh-CN"/>
        </w:rPr>
        <w:t>满意度</w:t>
      </w:r>
      <w:r>
        <w:rPr>
          <w:rFonts w:hint="eastAsia" w:ascii="仿宋_GB2312" w:hAnsi="仿宋_GB2312" w:eastAsia="仿宋_GB2312" w:cs="仿宋_GB2312"/>
          <w:sz w:val="32"/>
          <w:szCs w:val="32"/>
          <w:highlight w:val="none"/>
        </w:rPr>
        <w:t>数据设置</w:t>
      </w:r>
      <w:r>
        <w:rPr>
          <w:rFonts w:hint="eastAsia" w:ascii="仿宋_GB2312" w:hAnsi="仿宋_GB2312" w:eastAsia="仿宋_GB2312" w:cs="仿宋_GB2312"/>
          <w:sz w:val="32"/>
          <w:szCs w:val="32"/>
          <w:highlight w:val="none"/>
          <w:lang w:val="en-US" w:eastAsia="zh-CN"/>
        </w:rPr>
        <w:t>调查问卷</w:t>
      </w:r>
      <w:r>
        <w:rPr>
          <w:rFonts w:hint="eastAsia" w:ascii="仿宋_GB2312" w:hAnsi="仿宋_GB2312" w:eastAsia="仿宋_GB2312" w:cs="仿宋_GB2312"/>
          <w:sz w:val="32"/>
          <w:szCs w:val="32"/>
          <w:highlight w:val="none"/>
        </w:rPr>
        <w:t>并认真做好调查表的发放与回收工作。</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5</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进行现场评分</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针对评价中发现的问题与</w:t>
      </w:r>
      <w:r>
        <w:rPr>
          <w:rFonts w:hint="eastAsia" w:ascii="仿宋_GB2312" w:hAnsi="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lang w:val="en-US" w:eastAsia="zh-CN"/>
        </w:rPr>
        <w:t>及时</w:t>
      </w:r>
      <w:r>
        <w:rPr>
          <w:rFonts w:hint="eastAsia" w:ascii="仿宋_GB2312" w:hAnsi="仿宋_GB2312" w:eastAsia="仿宋_GB2312" w:cs="仿宋_GB2312"/>
          <w:sz w:val="32"/>
          <w:szCs w:val="32"/>
          <w:highlight w:val="none"/>
        </w:rPr>
        <w:t>沟通，对各项评价指标进行分析讨论，经反复分析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研究，按预先设计的评价指标体系进行现场评价打分。</w:t>
      </w:r>
    </w:p>
    <w:p>
      <w:pPr>
        <w:pStyle w:val="6"/>
        <w:keepNext w:val="0"/>
        <w:keepLines w:val="0"/>
        <w:pageBreakBefore w:val="0"/>
        <w:widowControl w:val="0"/>
        <w:kinsoku/>
        <w:wordWrap/>
        <w:overflowPunct w:val="0"/>
        <w:topLinePunct w:val="0"/>
        <w:autoSpaceDE/>
        <w:autoSpaceDN/>
        <w:bidi w:val="0"/>
        <w:adjustRightInd/>
        <w:spacing w:before="0" w:after="0" w:line="560" w:lineRule="exact"/>
        <w:ind w:firstLine="643" w:firstLineChars="200"/>
        <w:jc w:val="both"/>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3.撰写报告阶段</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1</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撰写绩效评价报告</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小组根据现场评价收集的资料，运用科学、合理的绩效评价指标、评价标准和评价方法，对项目支出的经济性、效率性和效益性进行客观、公正的评价，按照财政厅下发的重点项目绩效评价报告模板撰写绩效评价报告，并做到依据充分、数据真实、内容完整、客观公正、结论明确、建议可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2</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绩效评价报告征求意见</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绩效评价报告初稿完成后，征</w:t>
      </w:r>
      <w:r>
        <w:rPr>
          <w:rFonts w:hint="eastAsia" w:ascii="仿宋_GB2312" w:hAnsi="仿宋_GB2312" w:eastAsia="仿宋_GB2312" w:cs="仿宋_GB2312"/>
          <w:sz w:val="32"/>
          <w:szCs w:val="32"/>
          <w:highlight w:val="none"/>
          <w:lang w:val="en-US" w:eastAsia="zh-CN"/>
        </w:rPr>
        <w:t>求省法院</w:t>
      </w:r>
      <w:r>
        <w:rPr>
          <w:rFonts w:hint="eastAsia" w:ascii="仿宋_GB2312" w:hAnsi="仿宋_GB2312" w:eastAsia="仿宋_GB2312" w:cs="仿宋_GB2312"/>
          <w:sz w:val="32"/>
          <w:szCs w:val="32"/>
          <w:highlight w:val="none"/>
        </w:rPr>
        <w:t>的意见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根据反馈的有效意见对评价报告进行修改。</w:t>
      </w:r>
    </w:p>
    <w:p>
      <w:pPr>
        <w:pStyle w:val="2"/>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提交绩效评价报告</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绩效评价报告经绩效评价负责人和</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确定，在规定时间内、按照规定的格式、要求，提交</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及财政部门</w:t>
      </w:r>
      <w:r>
        <w:rPr>
          <w:rFonts w:hint="eastAsia" w:ascii="仿宋_GB2312" w:hAnsi="仿宋_GB2312" w:eastAsia="仿宋_GB2312" w:cs="仿宋_GB2312"/>
          <w:sz w:val="32"/>
          <w:szCs w:val="32"/>
          <w:highlight w:val="none"/>
          <w:lang w:eastAsia="zh-CN"/>
        </w:rPr>
        <w:t>。</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102" w:name="_Toc22550"/>
      <w:bookmarkStart w:id="103" w:name="_Toc6529"/>
      <w:bookmarkStart w:id="104" w:name="_Toc7641"/>
      <w:r>
        <w:rPr>
          <w:rFonts w:hint="eastAsia" w:ascii="黑体" w:eastAsia="黑体"/>
          <w:highlight w:val="none"/>
        </w:rPr>
        <w:t>四、评价结论及分析</w:t>
      </w:r>
      <w:bookmarkEnd w:id="102"/>
      <w:bookmarkEnd w:id="103"/>
      <w:bookmarkEnd w:id="104"/>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sz w:val="32"/>
          <w:szCs w:val="32"/>
          <w:highlight w:val="none"/>
        </w:rPr>
      </w:pPr>
      <w:bookmarkStart w:id="105" w:name="_Toc13485"/>
      <w:bookmarkStart w:id="106" w:name="_Toc8446"/>
      <w:bookmarkStart w:id="107" w:name="_Toc20588"/>
      <w:r>
        <w:rPr>
          <w:rFonts w:hint="eastAsia" w:ascii="楷体" w:hAnsi="楷体" w:eastAsia="楷体" w:cs="楷体"/>
          <w:b/>
          <w:bCs/>
          <w:sz w:val="32"/>
          <w:szCs w:val="32"/>
          <w:highlight w:val="none"/>
        </w:rPr>
        <w:t>（一）综合评价情况及评价结论</w:t>
      </w:r>
      <w:bookmarkEnd w:id="105"/>
      <w:bookmarkEnd w:id="106"/>
      <w:bookmarkEnd w:id="107"/>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依据项目支出绩效评价指标体系和评分标准，总分设置为100分，分值和对应等级划分为四档：90分（含）-100分为“优”、80分（含）-90分为“良”、60分（含）-80分为“中”、60分以下为“差”。综合评定202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 w:eastAsia="仿宋_GB2312" w:cs="仿宋"/>
          <w:sz w:val="32"/>
          <w:szCs w:val="32"/>
          <w:highlight w:val="none"/>
          <w:lang w:eastAsia="zh-CN"/>
        </w:rPr>
        <w:t>信息化建设经费（其中“12368”司法平台运行维护费50万元）项目</w:t>
      </w:r>
      <w:r>
        <w:rPr>
          <w:rFonts w:hint="eastAsia" w:ascii="仿宋_GB2312" w:hAnsi="仿宋_GB2312" w:eastAsia="仿宋_GB2312" w:cs="仿宋_GB2312"/>
          <w:sz w:val="32"/>
          <w:szCs w:val="32"/>
          <w:highlight w:val="none"/>
        </w:rPr>
        <w:t>绩效评分为</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分，绩效等级为“</w:t>
      </w:r>
      <w:r>
        <w:rPr>
          <w:rFonts w:hint="eastAsia" w:ascii="仿宋_GB2312" w:hAnsi="仿宋_GB2312" w:eastAsia="仿宋_GB2312" w:cs="仿宋_GB2312"/>
          <w:sz w:val="32"/>
          <w:szCs w:val="32"/>
          <w:highlight w:val="none"/>
          <w:lang w:val="en-US" w:eastAsia="zh-CN"/>
        </w:rPr>
        <w:t>优</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yellow"/>
        </w:rPr>
      </w:pPr>
      <w:bookmarkStart w:id="108" w:name="_Toc16795"/>
      <w:bookmarkStart w:id="109" w:name="_Toc12668"/>
      <w:r>
        <w:rPr>
          <w:rFonts w:hint="eastAsia" w:ascii="仿宋_GB2312" w:hAnsi="仿宋_GB2312" w:eastAsia="仿宋_GB2312" w:cs="仿宋_GB2312"/>
          <w:sz w:val="32"/>
          <w:szCs w:val="32"/>
          <w:highlight w:val="none"/>
        </w:rPr>
        <w:t>评价认为，202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 w:eastAsia="仿宋_GB2312" w:cs="仿宋"/>
          <w:sz w:val="32"/>
          <w:szCs w:val="32"/>
          <w:highlight w:val="none"/>
          <w:lang w:eastAsia="zh-CN"/>
        </w:rPr>
        <w:t>信息化建设经费（其中“12368”司法平台运行维护费50万元）项目的立项能够很好地适应总体目标，</w:t>
      </w:r>
      <w:r>
        <w:rPr>
          <w:rFonts w:hint="eastAsia" w:ascii="仿宋_GB2312" w:hAnsi="仿宋_GB2312" w:eastAsia="仿宋_GB2312" w:cs="仿宋_GB2312"/>
          <w:sz w:val="32"/>
          <w:szCs w:val="32"/>
          <w:highlight w:val="none"/>
        </w:rPr>
        <w:t>立项依据充分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程序规范</w:t>
      </w:r>
      <w:r>
        <w:rPr>
          <w:rFonts w:hint="eastAsia" w:ascii="仿宋_GB2312" w:hAnsi="仿宋_GB2312" w:eastAsia="仿宋_GB2312" w:cs="仿宋_GB2312"/>
          <w:sz w:val="32"/>
          <w:szCs w:val="32"/>
          <w:highlight w:val="none"/>
          <w:lang w:eastAsia="zh-CN"/>
        </w:rPr>
        <w:t>；项目实施流程严谨，</w:t>
      </w:r>
      <w:r>
        <w:rPr>
          <w:rFonts w:hint="eastAsia" w:ascii="仿宋_GB2312" w:hAnsi="仿宋_GB2312" w:eastAsia="仿宋_GB2312" w:cs="仿宋_GB2312"/>
          <w:sz w:val="32"/>
          <w:szCs w:val="32"/>
          <w:highlight w:val="none"/>
        </w:rPr>
        <w:t>管理制度健全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预算编制科学，资金分配合理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资金</w:t>
      </w:r>
      <w:r>
        <w:rPr>
          <w:rFonts w:hint="eastAsia" w:ascii="仿宋_GB2312" w:hAnsi="仿宋_GB2312" w:eastAsia="仿宋_GB2312" w:cs="仿宋_GB2312"/>
          <w:sz w:val="32"/>
          <w:szCs w:val="32"/>
          <w:highlight w:val="none"/>
          <w:lang w:eastAsia="zh-CN"/>
        </w:rPr>
        <w:t>支付及时、</w:t>
      </w:r>
      <w:r>
        <w:rPr>
          <w:rFonts w:hint="eastAsia" w:ascii="仿宋_GB2312" w:hAnsi="仿宋_GB2312" w:eastAsia="仿宋_GB2312" w:cs="仿宋_GB2312"/>
          <w:sz w:val="32"/>
          <w:szCs w:val="32"/>
          <w:highlight w:val="none"/>
          <w:lang w:val="en-US" w:eastAsia="zh-CN"/>
        </w:rPr>
        <w:t>使用效果良好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 w:eastAsia="仿宋_GB2312" w:cs="仿宋"/>
          <w:sz w:val="32"/>
          <w:szCs w:val="32"/>
          <w:highlight w:val="none"/>
          <w:lang w:eastAsia="zh-CN"/>
        </w:rPr>
        <w:t>信息化建设经费（其中“12368”司法平台运行维护费50万元）项目</w:t>
      </w:r>
      <w:r>
        <w:rPr>
          <w:rFonts w:hint="eastAsia" w:ascii="仿宋_GB2312" w:hAnsi="仿宋" w:eastAsia="仿宋_GB2312" w:cs="仿宋"/>
          <w:sz w:val="32"/>
          <w:szCs w:val="32"/>
          <w:highlight w:val="none"/>
          <w:lang w:val="en-US" w:eastAsia="zh-CN"/>
        </w:rPr>
        <w:t>的实施确保新建和已建设的信息化项目正常运行，保障当事人诉讼权利，履行人民法院社会责任</w:t>
      </w:r>
      <w:r>
        <w:rPr>
          <w:rFonts w:hint="eastAsia" w:ascii="仿宋_GB2312" w:hAnsi="仿宋_GB2312" w:eastAsia="仿宋_GB2312" w:cs="仿宋_GB2312"/>
          <w:sz w:val="32"/>
          <w:szCs w:val="32"/>
          <w:highlight w:val="none"/>
          <w:lang w:eastAsia="zh-CN"/>
        </w:rPr>
        <w:t>，项目达到预期效果。</w:t>
      </w:r>
      <w:r>
        <w:rPr>
          <w:rFonts w:hint="eastAsia" w:ascii="仿宋_GB2312" w:hAnsi="仿宋_GB2312" w:eastAsia="仿宋_GB2312" w:cs="仿宋_GB2312"/>
          <w:sz w:val="32"/>
          <w:szCs w:val="32"/>
          <w:highlight w:val="none"/>
          <w:lang w:val="en-US" w:eastAsia="zh-CN"/>
        </w:rPr>
        <w:t>但该项目绩效目标编制有待规范</w:t>
      </w:r>
      <w:r>
        <w:rPr>
          <w:rFonts w:hint="eastAsia" w:ascii="仿宋_GB2312" w:hAnsi="仿宋_GB2312" w:eastAsia="仿宋_GB2312" w:cs="仿宋_GB2312"/>
          <w:sz w:val="32"/>
          <w:szCs w:val="32"/>
          <w:highlight w:val="none"/>
        </w:rPr>
        <w:t>。</w:t>
      </w:r>
    </w:p>
    <w:bookmarkEnd w:id="108"/>
    <w:bookmarkEnd w:id="109"/>
    <w:p>
      <w:pPr>
        <w:keepNext w:val="0"/>
        <w:keepLines w:val="0"/>
        <w:pageBreakBefore w:val="0"/>
        <w:widowControl w:val="0"/>
        <w:suppressLineNumbers w:val="0"/>
        <w:kinsoku/>
        <w:wordWrap/>
        <w:overflowPunct w:val="0"/>
        <w:topLinePunct w:val="0"/>
        <w:autoSpaceDE/>
        <w:autoSpaceDN/>
        <w:bidi w:val="0"/>
        <w:adjustRightInd/>
        <w:snapToGrid/>
        <w:ind w:firstLine="643" w:firstLineChars="200"/>
        <w:jc w:val="both"/>
        <w:textAlignment w:val="auto"/>
        <w:outlineLvl w:val="1"/>
        <w:rPr>
          <w:sz w:val="32"/>
          <w:szCs w:val="32"/>
          <w:highlight w:val="none"/>
        </w:rPr>
      </w:pPr>
      <w:bookmarkStart w:id="110" w:name="_Toc9156"/>
      <w:r>
        <w:rPr>
          <w:rFonts w:ascii="楷体" w:hAnsi="楷体" w:eastAsia="楷体" w:cs="楷体"/>
          <w:b/>
          <w:bCs/>
          <w:color w:val="000000"/>
          <w:kern w:val="0"/>
          <w:sz w:val="32"/>
          <w:szCs w:val="32"/>
          <w:highlight w:val="none"/>
          <w:lang w:val="en-US" w:eastAsia="zh-CN" w:bidi="ar"/>
        </w:rPr>
        <w:t>（二）非现场评价情况分析</w:t>
      </w:r>
      <w:bookmarkEnd w:id="110"/>
      <w:r>
        <w:rPr>
          <w:rFonts w:ascii="楷体" w:hAnsi="楷体" w:eastAsia="楷体" w:cs="楷体"/>
          <w:b/>
          <w:bCs/>
          <w:color w:val="000000"/>
          <w:kern w:val="0"/>
          <w:sz w:val="32"/>
          <w:szCs w:val="32"/>
          <w:highlight w:val="none"/>
          <w:lang w:val="en-US" w:eastAsia="zh-CN" w:bidi="ar"/>
        </w:rPr>
        <w:t xml:space="preserve">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both"/>
        <w:textAlignment w:val="auto"/>
        <w:rPr>
          <w:b/>
          <w:bCs/>
          <w:sz w:val="32"/>
          <w:szCs w:val="32"/>
          <w:highlight w:val="none"/>
        </w:rPr>
      </w:pPr>
      <w:r>
        <w:rPr>
          <w:rFonts w:ascii="仿宋_GB2312" w:hAnsi="宋体" w:eastAsia="仿宋_GB2312" w:cs="仿宋_GB2312"/>
          <w:b/>
          <w:bCs/>
          <w:color w:val="000000"/>
          <w:kern w:val="0"/>
          <w:sz w:val="32"/>
          <w:szCs w:val="32"/>
          <w:highlight w:val="none"/>
          <w:lang w:val="en-US" w:eastAsia="zh-CN" w:bidi="ar"/>
        </w:rPr>
        <w:t>1</w:t>
      </w:r>
      <w:r>
        <w:rPr>
          <w:rFonts w:hint="eastAsia" w:ascii="仿宋_GB2312" w:hAnsi="宋体" w:eastAsia="仿宋_GB2312" w:cs="仿宋_GB2312"/>
          <w:b/>
          <w:bCs/>
          <w:color w:val="000000"/>
          <w:kern w:val="0"/>
          <w:sz w:val="32"/>
          <w:szCs w:val="32"/>
          <w:highlight w:val="none"/>
          <w:lang w:val="en-US" w:eastAsia="zh-CN" w:bidi="ar"/>
        </w:rPr>
        <w:t>.</w:t>
      </w:r>
      <w:r>
        <w:rPr>
          <w:rFonts w:ascii="仿宋_GB2312" w:hAnsi="宋体" w:eastAsia="仿宋_GB2312" w:cs="仿宋_GB2312"/>
          <w:b/>
          <w:bCs/>
          <w:color w:val="000000"/>
          <w:kern w:val="0"/>
          <w:sz w:val="32"/>
          <w:szCs w:val="32"/>
          <w:highlight w:val="none"/>
          <w:lang w:val="en-US" w:eastAsia="zh-CN" w:bidi="ar"/>
        </w:rPr>
        <w:t xml:space="preserve">前期资料研读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 xml:space="preserve">评价组根据调研结果梳理并向省法院发送《资料收集清单》收集业务资料和财务资料，其中包括：部门预算批复文件、资金分配表、项目预算编制明细表、决算表、单位内部管理制度、项目绩效目标申报表、自评表及自评报告等资料。并在资料收集过程中通过网上收集、文献查阅等方式，获取与本项目有关的政策资料，全面了解项目内容，把握评价的重点，明确评价方式、方法，为制定实施方案、绩效评价指标体系奠定基础。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both"/>
        <w:textAlignment w:val="auto"/>
        <w:rPr>
          <w:b/>
          <w:bCs/>
          <w:sz w:val="32"/>
          <w:szCs w:val="32"/>
          <w:highlight w:val="none"/>
        </w:rPr>
      </w:pPr>
      <w:r>
        <w:rPr>
          <w:rFonts w:hint="eastAsia" w:ascii="仿宋_GB2312" w:hAnsi="宋体" w:eastAsia="仿宋_GB2312" w:cs="仿宋_GB2312"/>
          <w:b/>
          <w:bCs/>
          <w:color w:val="000000"/>
          <w:kern w:val="0"/>
          <w:sz w:val="32"/>
          <w:szCs w:val="32"/>
          <w:highlight w:val="none"/>
          <w:lang w:val="en-US" w:eastAsia="zh-CN" w:bidi="ar"/>
        </w:rPr>
        <w:t xml:space="preserve">2.资料整理分析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 xml:space="preserve">评价组对省法院提供的资料进行深入研读，将前期资料研读过程中通过各网站收集的资料与省法院提供的资料进行了汇总整合研究，并以此为依据设立评价指标体系。对于结果明确的指标直接进行打分，对于结果不明确的指标，评价组在此过程中继续整理缺失的数据，并形成二次数据收集清单，通过线上沟通再次省法院收集部分评价指标佐证材料，补充完善评价结果，以便全面、真实、客观的形成评价结果。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both"/>
        <w:textAlignment w:val="auto"/>
        <w:outlineLvl w:val="1"/>
        <w:rPr>
          <w:sz w:val="32"/>
          <w:szCs w:val="32"/>
          <w:highlight w:val="none"/>
        </w:rPr>
      </w:pPr>
      <w:bookmarkStart w:id="111" w:name="_Toc12343"/>
      <w:r>
        <w:rPr>
          <w:rFonts w:hint="eastAsia" w:ascii="楷体" w:hAnsi="楷体" w:eastAsia="楷体" w:cs="楷体"/>
          <w:b/>
          <w:bCs/>
          <w:color w:val="000000"/>
          <w:kern w:val="0"/>
          <w:sz w:val="32"/>
          <w:szCs w:val="32"/>
          <w:highlight w:val="none"/>
          <w:lang w:val="en-US" w:eastAsia="zh-CN" w:bidi="ar"/>
        </w:rPr>
        <w:t>（三）</w:t>
      </w:r>
      <w:r>
        <w:rPr>
          <w:rFonts w:ascii="楷体" w:hAnsi="楷体" w:eastAsia="楷体" w:cs="楷体"/>
          <w:b/>
          <w:bCs/>
          <w:color w:val="000000"/>
          <w:kern w:val="0"/>
          <w:sz w:val="32"/>
          <w:szCs w:val="32"/>
          <w:highlight w:val="none"/>
          <w:lang w:val="en-US" w:eastAsia="zh-CN" w:bidi="ar"/>
        </w:rPr>
        <w:t>现场评价情况分析</w:t>
      </w:r>
      <w:bookmarkEnd w:id="111"/>
      <w:r>
        <w:rPr>
          <w:rFonts w:ascii="楷体" w:hAnsi="楷体" w:eastAsia="楷体" w:cs="楷体"/>
          <w:b/>
          <w:bCs/>
          <w:color w:val="000000"/>
          <w:kern w:val="0"/>
          <w:sz w:val="32"/>
          <w:szCs w:val="32"/>
          <w:highlight w:val="none"/>
          <w:lang w:val="en-US" w:eastAsia="zh-CN" w:bidi="ar"/>
        </w:rPr>
        <w:t xml:space="preserve">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both"/>
        <w:textAlignment w:val="auto"/>
        <w:rPr>
          <w:b/>
          <w:bCs/>
          <w:sz w:val="32"/>
          <w:szCs w:val="32"/>
          <w:highlight w:val="none"/>
        </w:rPr>
      </w:pPr>
      <w:r>
        <w:rPr>
          <w:rFonts w:ascii="仿宋_GB2312" w:hAnsi="宋体" w:eastAsia="仿宋_GB2312" w:cs="仿宋_GB2312"/>
          <w:b/>
          <w:bCs/>
          <w:color w:val="000000"/>
          <w:kern w:val="0"/>
          <w:sz w:val="32"/>
          <w:szCs w:val="32"/>
          <w:highlight w:val="none"/>
          <w:lang w:val="en-US" w:eastAsia="zh-CN" w:bidi="ar"/>
        </w:rPr>
        <w:t>1</w:t>
      </w:r>
      <w:r>
        <w:rPr>
          <w:rFonts w:hint="eastAsia" w:ascii="仿宋_GB2312" w:hAnsi="宋体" w:eastAsia="仿宋_GB2312" w:cs="仿宋_GB2312"/>
          <w:b/>
          <w:bCs/>
          <w:color w:val="000000"/>
          <w:kern w:val="0"/>
          <w:sz w:val="32"/>
          <w:szCs w:val="32"/>
          <w:highlight w:val="none"/>
          <w:lang w:val="en-US" w:eastAsia="zh-CN" w:bidi="ar"/>
        </w:rPr>
        <w:t>.</w:t>
      </w:r>
      <w:r>
        <w:rPr>
          <w:rFonts w:ascii="仿宋_GB2312" w:hAnsi="宋体" w:eastAsia="仿宋_GB2312" w:cs="仿宋_GB2312"/>
          <w:b/>
          <w:bCs/>
          <w:color w:val="000000"/>
          <w:kern w:val="0"/>
          <w:sz w:val="32"/>
          <w:szCs w:val="32"/>
          <w:highlight w:val="none"/>
          <w:lang w:val="en-US" w:eastAsia="zh-CN" w:bidi="ar"/>
        </w:rPr>
        <w:t xml:space="preserve">前期调研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 xml:space="preserve">评价组通过查阅相关文献资料以及在省法院官网了解到被评价项目及相关业务情况，自行收集了预决算公开资料，全面了解项目立项、绩效目标设置、预算安排、实施内容、组织管理等情况，为编制指标体系奠定基础。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3" w:firstLineChars="200"/>
        <w:jc w:val="both"/>
        <w:textAlignment w:val="auto"/>
        <w:rPr>
          <w:b/>
          <w:bCs/>
          <w:sz w:val="32"/>
          <w:szCs w:val="32"/>
          <w:highlight w:val="none"/>
        </w:rPr>
      </w:pPr>
      <w:r>
        <w:rPr>
          <w:rFonts w:hint="eastAsia" w:ascii="仿宋_GB2312" w:hAnsi="宋体" w:eastAsia="仿宋_GB2312" w:cs="仿宋_GB2312"/>
          <w:b/>
          <w:bCs/>
          <w:color w:val="000000"/>
          <w:kern w:val="0"/>
          <w:sz w:val="32"/>
          <w:szCs w:val="32"/>
          <w:highlight w:val="none"/>
          <w:lang w:val="en-US" w:eastAsia="zh-CN" w:bidi="ar"/>
        </w:rPr>
        <w:t xml:space="preserve">2.现场核查 </w:t>
      </w:r>
    </w:p>
    <w:p>
      <w:pPr>
        <w:keepNext w:val="0"/>
        <w:keepLines w:val="0"/>
        <w:pageBreakBefore w:val="0"/>
        <w:widowControl w:val="0"/>
        <w:suppressLineNumbers w:val="0"/>
        <w:kinsoku/>
        <w:wordWrap/>
        <w:overflowPunct w:val="0"/>
        <w:topLinePunct w:val="0"/>
        <w:autoSpaceDE/>
        <w:autoSpaceDN/>
        <w:bidi w:val="0"/>
        <w:adjustRightInd/>
        <w:snapToGri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评价组在前期现场调研与非现场评价工作的基础上，梳理了问题清单，对本项目资金拨付凭证、采购合同、报销凭证等记录资料以及资料整理阶段发现的问题进行现场核实，对该项目进行了逐项全面检查。</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eastAsia="黑体"/>
          <w:highlight w:val="none"/>
        </w:rPr>
      </w:pPr>
      <w:bookmarkStart w:id="112" w:name="_Toc25412"/>
      <w:bookmarkStart w:id="113" w:name="_Toc24676"/>
      <w:bookmarkStart w:id="114" w:name="_Toc30293"/>
      <w:r>
        <w:rPr>
          <w:rFonts w:hint="eastAsia" w:ascii="黑体" w:eastAsia="黑体"/>
          <w:highlight w:val="none"/>
        </w:rPr>
        <w:t>五、绩效评价指标分析</w:t>
      </w:r>
      <w:bookmarkEnd w:id="112"/>
      <w:bookmarkEnd w:id="113"/>
      <w:bookmarkEnd w:id="114"/>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项目绩效评价分级设计项目决策、过程、产出、效益、满意度五个一级指标，一级指标具体得分情况见</w:t>
      </w:r>
      <w:r>
        <w:rPr>
          <w:rFonts w:hint="eastAsia" w:ascii="仿宋_GB2312" w:hAnsi="仿宋_GB2312" w:eastAsia="仿宋_GB2312" w:cs="仿宋_GB2312"/>
          <w:sz w:val="32"/>
          <w:szCs w:val="32"/>
          <w:highlight w:val="none"/>
          <w:lang w:val="en-US" w:eastAsia="zh-CN"/>
        </w:rPr>
        <w:t>下表</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before="156" w:beforeLines="50"/>
        <w:jc w:val="both"/>
        <w:textAlignment w:val="auto"/>
        <w:rPr>
          <w:rFonts w:hint="eastAsia" w:cs="黑体" w:asciiTheme="minorEastAsia" w:hAnsiTheme="minorEastAsia"/>
          <w:sz w:val="28"/>
          <w:szCs w:val="24"/>
          <w:highlight w:val="none"/>
        </w:rPr>
      </w:pPr>
      <w:r>
        <w:rPr>
          <w:rFonts w:hint="eastAsia" w:asciiTheme="minorEastAsia" w:hAnsiTheme="minorEastAsia" w:eastAsiaTheme="minorEastAsia" w:cstheme="minorEastAsia"/>
          <w:kern w:val="0"/>
          <w:sz w:val="28"/>
          <w:szCs w:val="28"/>
          <w:highlight w:val="none"/>
          <w:lang w:eastAsia="zh-CN"/>
        </w:rPr>
        <w:drawing>
          <wp:inline distT="0" distB="0" distL="114300" distR="114300">
            <wp:extent cx="5122545" cy="3027680"/>
            <wp:effectExtent l="4445" t="4445" r="16510" b="1587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15" w:name="_Toc26430"/>
      <w:bookmarkStart w:id="116" w:name="_Toc30072"/>
      <w:bookmarkStart w:id="117" w:name="_Toc23689"/>
      <w:r>
        <w:rPr>
          <w:rFonts w:hint="eastAsia" w:ascii="楷体" w:hAnsi="楷体" w:eastAsia="楷体" w:cs="楷体"/>
          <w:b/>
          <w:bCs/>
          <w:highlight w:val="none"/>
        </w:rPr>
        <w:t>（一）项目决策情况</w:t>
      </w:r>
      <w:bookmarkEnd w:id="115"/>
      <w:bookmarkEnd w:id="116"/>
      <w:bookmarkEnd w:id="117"/>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w:t>
      </w:r>
      <w:r>
        <w:rPr>
          <w:rFonts w:hint="eastAsia" w:ascii="仿宋_GB2312" w:hAnsi="仿宋_GB2312" w:eastAsia="仿宋_GB2312" w:cs="仿宋_GB2312"/>
          <w:sz w:val="32"/>
          <w:szCs w:val="32"/>
          <w:highlight w:val="none"/>
          <w:lang w:val="en-US" w:eastAsia="zh-CN"/>
        </w:rPr>
        <w:t>包括</w:t>
      </w:r>
      <w:r>
        <w:rPr>
          <w:rFonts w:hint="eastAsia" w:ascii="仿宋_GB2312" w:hAnsi="仿宋_GB2312" w:eastAsia="仿宋_GB2312" w:cs="仿宋_GB2312"/>
          <w:sz w:val="32"/>
          <w:szCs w:val="32"/>
          <w:highlight w:val="none"/>
        </w:rPr>
        <w:t>绩效目标合理性</w:t>
      </w:r>
      <w:r>
        <w:rPr>
          <w:rFonts w:hint="eastAsia" w:ascii="仿宋_GB2312" w:hAnsi="仿宋_GB2312" w:eastAsia="仿宋_GB2312" w:cs="仿宋_GB2312"/>
          <w:sz w:val="32"/>
          <w:szCs w:val="32"/>
          <w:highlight w:val="none"/>
          <w:lang w:eastAsia="zh-CN"/>
        </w:rPr>
        <w:t>、绩效指标明确性</w:t>
      </w:r>
      <w:r>
        <w:rPr>
          <w:rFonts w:hint="eastAsia" w:ascii="仿宋_GB2312" w:hAnsi="仿宋_GB2312" w:eastAsia="仿宋_GB2312" w:cs="仿宋_GB2312"/>
          <w:sz w:val="32"/>
          <w:szCs w:val="32"/>
          <w:highlight w:val="none"/>
          <w:lang w:val="en-US" w:eastAsia="zh-CN"/>
        </w:rPr>
        <w:t>两</w:t>
      </w:r>
      <w:r>
        <w:rPr>
          <w:rFonts w:hint="eastAsia" w:ascii="仿宋_GB2312" w:hAnsi="仿宋_GB2312" w:eastAsia="仿宋_GB2312" w:cs="仿宋_GB2312"/>
          <w:sz w:val="32"/>
          <w:szCs w:val="32"/>
          <w:highlight w:val="none"/>
        </w:rPr>
        <w:t>个三级指标，资金投入指标包括预算编制科学性、资金分配合理性两个三级指标。指标分值</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91.67</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决策指标二级指标得分情况表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项目立项</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4</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绩效目标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3</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75</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资金投入</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4</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4</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
                <w:bCs/>
                <w:color w:val="000000"/>
                <w:kern w:val="0"/>
                <w:sz w:val="22"/>
                <w:highlight w:val="none"/>
                <w:lang w:eastAsia="zh-CN" w:bidi="ar"/>
              </w:rPr>
            </w:pPr>
            <w:r>
              <w:rPr>
                <w:rFonts w:hint="eastAsia" w:ascii="宋体" w:hAnsi="宋体" w:eastAsia="宋体" w:cs="宋体"/>
                <w:b/>
                <w:bCs/>
                <w:color w:val="000000"/>
                <w:kern w:val="0"/>
                <w:sz w:val="22"/>
                <w:highlight w:val="none"/>
                <w:lang w:bidi="ar"/>
              </w:rPr>
              <w:t>1</w:t>
            </w:r>
            <w:r>
              <w:rPr>
                <w:rFonts w:hint="eastAsia" w:ascii="宋体" w:hAnsi="宋体" w:eastAsia="宋体" w:cs="宋体"/>
                <w:b/>
                <w:bCs/>
                <w:color w:val="000000"/>
                <w:kern w:val="0"/>
                <w:sz w:val="22"/>
                <w:highlight w:val="none"/>
                <w:lang w:val="en-US" w:eastAsia="zh-CN" w:bidi="ar"/>
              </w:rPr>
              <w:t>2</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11</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91.67</w:t>
            </w:r>
            <w:r>
              <w:rPr>
                <w:rFonts w:hint="eastAsia" w:ascii="宋体" w:hAnsi="宋体" w:eastAsia="宋体" w:cs="宋体"/>
                <w:b/>
                <w:bCs/>
                <w:color w:val="000000"/>
                <w:kern w:val="0"/>
                <w:sz w:val="22"/>
                <w:highlight w:val="none"/>
                <w:lang w:bidi="ar"/>
              </w:rPr>
              <w:t>%</w:t>
            </w:r>
          </w:p>
        </w:tc>
      </w:tr>
    </w:tbl>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项目严格按照预算绩效制度管理流程履行了项目立项手续，项目立项依据充分、立项程序规范，立项工作达到预期目标。</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分，评价得分为</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目根据《国家电子政务“十二五”规划》、最高人民法院《人民法院信息化建设五年发展规划（2016-2020）》、最高人民法院《关于加快建设智慧法院的意见》（法发〔2017〕12号）、《诉讼服务指导中心信息平台质效评估指标体系2.0版》等政策依据设立</w:t>
      </w:r>
      <w:r>
        <w:rPr>
          <w:rFonts w:hint="eastAsia" w:ascii="仿宋_GB2312" w:hAnsi="仿宋_GB2312" w:eastAsia="仿宋_GB2312" w:cs="仿宋_GB2312"/>
          <w:sz w:val="32"/>
          <w:szCs w:val="32"/>
          <w:highlight w:val="none"/>
        </w:rPr>
        <w:t>，项目立项依据充分，立项符合法规政策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属于专项资金支持范围。</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该项目根据《全省法院系统项目预算资金申报使用管理规程（试行）》（甘高法〔2018〕269号）申报并通过省财政厅、省法院批复设立</w:t>
      </w:r>
      <w:r>
        <w:rPr>
          <w:rFonts w:hint="eastAsia" w:ascii="仿宋_GB2312" w:hAnsi="仿宋_GB2312" w:eastAsia="仿宋_GB2312" w:cs="仿宋_GB2312"/>
          <w:sz w:val="32"/>
          <w:szCs w:val="32"/>
          <w:highlight w:val="none"/>
        </w:rPr>
        <w:t>，项目事前已经过必要的集体决策并按照规定的程序申请设立，审批文件、材料符合相关要求。</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项目立项程序规范，预算、审批材料齐全。</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）绩效目标合理性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分。项目严格按照《甘肃省省级预算绩效目标管理办法》要求，设置了绩效目标和评价指标，年度自评按照年初设定的绩效目标进行评价，自评程序</w:t>
      </w:r>
      <w:r>
        <w:rPr>
          <w:rFonts w:hint="eastAsia" w:ascii="仿宋_GB2312" w:hAnsi="仿宋_GB2312" w:eastAsia="仿宋_GB2312" w:cs="仿宋_GB2312"/>
          <w:sz w:val="32"/>
          <w:szCs w:val="32"/>
          <w:highlight w:val="none"/>
          <w:lang w:val="en-US" w:eastAsia="zh-CN"/>
        </w:rPr>
        <w:t>总体</w:t>
      </w:r>
      <w:r>
        <w:rPr>
          <w:rFonts w:hint="eastAsia" w:ascii="仿宋_GB2312" w:hAnsi="仿宋_GB2312" w:eastAsia="仿宋_GB2312" w:cs="仿宋_GB2312"/>
          <w:sz w:val="32"/>
          <w:szCs w:val="32"/>
          <w:highlight w:val="none"/>
        </w:rPr>
        <w:t>较为规范。</w:t>
      </w:r>
      <w:r>
        <w:rPr>
          <w:rFonts w:hint="eastAsia" w:ascii="仿宋_GB2312" w:hAnsi="仿宋_GB2312" w:eastAsia="仿宋_GB2312" w:cs="仿宋_GB2312"/>
          <w:sz w:val="32"/>
          <w:szCs w:val="32"/>
          <w:highlight w:val="none"/>
          <w:lang w:val="en-US" w:eastAsia="zh-CN"/>
        </w:rPr>
        <w:t>但可持续影响指标－信息化运维人数不属于效益指标，应调整为数量指标，本次绩效评价已根据调整后指标进行评价。</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绩效指标明确性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绩效指标明确性指标分值2分，评价得分2分。</w:t>
      </w:r>
      <w:r>
        <w:rPr>
          <w:rFonts w:hint="default" w:ascii="仿宋_GB2312" w:hAnsi="仿宋_GB2312" w:eastAsia="仿宋_GB2312" w:cs="仿宋_GB2312"/>
          <w:sz w:val="32"/>
          <w:szCs w:val="32"/>
          <w:highlight w:val="none"/>
          <w:lang w:val="en-US" w:eastAsia="zh-CN"/>
        </w:rPr>
        <w:t>经核查省法院</w:t>
      </w:r>
      <w:r>
        <w:rPr>
          <w:rFonts w:hint="eastAsia" w:ascii="仿宋_GB2312" w:hAnsi="仿宋_GB2312" w:eastAsia="仿宋_GB2312" w:cs="仿宋_GB2312"/>
          <w:sz w:val="32"/>
          <w:szCs w:val="32"/>
          <w:highlight w:val="none"/>
          <w:lang w:val="en-US" w:eastAsia="zh-CN"/>
        </w:rPr>
        <w:t>年初制定了</w:t>
      </w:r>
      <w:r>
        <w:rPr>
          <w:rFonts w:hint="default" w:ascii="仿宋_GB2312" w:hAnsi="仿宋_GB2312" w:eastAsia="仿宋_GB2312" w:cs="仿宋_GB2312"/>
          <w:sz w:val="32"/>
          <w:szCs w:val="32"/>
          <w:highlight w:val="none"/>
          <w:lang w:val="en-US" w:eastAsia="zh-CN"/>
        </w:rPr>
        <w:t>《202</w:t>
      </w: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US" w:eastAsia="zh-CN"/>
        </w:rPr>
        <w:t>年度省级部门</w:t>
      </w:r>
      <w:r>
        <w:rPr>
          <w:rFonts w:hint="eastAsia" w:ascii="仿宋_GB2312" w:hAnsi="仿宋_GB2312" w:eastAsia="仿宋_GB2312" w:cs="仿宋_GB2312"/>
          <w:sz w:val="32"/>
          <w:szCs w:val="32"/>
          <w:highlight w:val="none"/>
          <w:lang w:val="en-US" w:eastAsia="zh-CN"/>
        </w:rPr>
        <w:t>信息化建设经费（其中“12368”司法平台运行维护费50万元）</w:t>
      </w:r>
      <w:r>
        <w:rPr>
          <w:rFonts w:hint="default" w:ascii="仿宋_GB2312" w:hAnsi="仿宋_GB2312" w:eastAsia="仿宋_GB2312" w:cs="仿宋_GB2312"/>
          <w:sz w:val="32"/>
          <w:szCs w:val="32"/>
          <w:highlight w:val="none"/>
          <w:lang w:val="en-US" w:eastAsia="zh-CN"/>
        </w:rPr>
        <w:t>项目绩效目标表》，设置的绩效指标能够将项目绩效目标细化分解为具体的绩效指标，指标目标值清晰、可衡量</w:t>
      </w:r>
      <w:r>
        <w:rPr>
          <w:rFonts w:hint="eastAsia" w:ascii="仿宋_GB2312" w:hAnsi="仿宋_GB2312" w:eastAsia="仿宋_GB2312" w:cs="仿宋_GB2312"/>
          <w:sz w:val="32"/>
          <w:szCs w:val="32"/>
          <w:highlight w:val="none"/>
          <w:lang w:val="en-US" w:eastAsia="zh-CN"/>
        </w:rPr>
        <w:t>；与项目年度计划相对应；与预算确定的项目投资额或资金量相匹配。</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项目资金投入方向符合政策规定，按照年度预算合理分配。</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项目实施前，</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严格按照预算管理制度，分析研究并制定项目专项资金使用计划，项目实施中专项资金严格按照预算执行。评价认为，项目预算编制科学、合理、规范。</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pPr>
        <w:pStyle w:val="20"/>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项目实际发生额均控制在预算批复</w:t>
      </w:r>
      <w:r>
        <w:rPr>
          <w:rFonts w:hint="eastAsia" w:ascii="仿宋_GB2312" w:hAnsi="仿宋_GB2312" w:eastAsia="仿宋_GB2312" w:cs="仿宋_GB2312"/>
          <w:sz w:val="32"/>
          <w:szCs w:val="32"/>
          <w:highlight w:val="none"/>
          <w:lang w:val="en-US" w:eastAsia="zh-CN"/>
        </w:rPr>
        <w:t>1,048.26</w:t>
      </w:r>
      <w:r>
        <w:rPr>
          <w:rFonts w:hint="eastAsia" w:ascii="仿宋_GB2312" w:hAnsi="仿宋_GB2312" w:eastAsia="仿宋_GB2312" w:cs="仿宋_GB2312"/>
          <w:sz w:val="32"/>
          <w:szCs w:val="32"/>
          <w:highlight w:val="none"/>
        </w:rPr>
        <w:t>万元以内。项目支出均符合项目预算批复或项目规定的用途，不存在无依据支出和虚列支出等情况。评价认为，项目资金分配合理。</w:t>
      </w:r>
    </w:p>
    <w:p>
      <w:pPr>
        <w:pStyle w:val="2"/>
        <w:keepNext w:val="0"/>
        <w:keepLines w:val="0"/>
        <w:pageBreakBefore w:val="0"/>
        <w:widowControl w:val="0"/>
        <w:kinsoku/>
        <w:wordWrap/>
        <w:overflowPunct w:val="0"/>
        <w:topLinePunct w:val="0"/>
        <w:autoSpaceDE/>
        <w:autoSpaceDN/>
        <w:bidi w:val="0"/>
        <w:adjustRightInd/>
        <w:snapToGrid/>
        <w:spacing w:line="560" w:lineRule="exact"/>
        <w:ind w:left="0" w:firstLine="643" w:firstLineChars="200"/>
        <w:jc w:val="both"/>
        <w:textAlignment w:val="auto"/>
        <w:outlineLvl w:val="1"/>
        <w:rPr>
          <w:rFonts w:ascii="楷体" w:hAnsi="楷体" w:eastAsia="楷体" w:cs="楷体"/>
          <w:b/>
          <w:bCs/>
          <w:highlight w:val="none"/>
        </w:rPr>
      </w:pPr>
      <w:bookmarkStart w:id="118" w:name="_Toc5353"/>
      <w:bookmarkStart w:id="119" w:name="_Toc22593"/>
      <w:bookmarkStart w:id="120" w:name="_Toc1216"/>
      <w:r>
        <w:rPr>
          <w:rFonts w:hint="eastAsia" w:ascii="楷体" w:hAnsi="楷体" w:eastAsia="楷体" w:cs="楷体"/>
          <w:b/>
          <w:bCs/>
          <w:highlight w:val="none"/>
        </w:rPr>
        <w:t>（二）项目过程情况</w:t>
      </w:r>
      <w:bookmarkEnd w:id="118"/>
      <w:bookmarkEnd w:id="119"/>
      <w:bookmarkEnd w:id="120"/>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sz w:val="32"/>
          <w:szCs w:val="32"/>
          <w:highlight w:val="none"/>
          <w:lang w:eastAsia="zh-CN"/>
        </w:rPr>
        <w:t>、采购管理规范性、合同管理完备性</w:t>
      </w:r>
      <w:r>
        <w:rPr>
          <w:rFonts w:hint="eastAsia" w:ascii="仿宋_GB2312" w:hAnsi="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个三级指标。指标分值</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分，评价得分</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分，得分率</w:t>
      </w:r>
      <w:r>
        <w:rPr>
          <w:rFonts w:hint="eastAsia" w:ascii="仿宋_GB2312" w:hAnsi="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2"/>
        <w:keepNext w:val="0"/>
        <w:keepLines w:val="0"/>
        <w:pageBreakBefore w:val="0"/>
        <w:widowControl w:val="0"/>
        <w:tabs>
          <w:tab w:val="left" w:pos="0"/>
        </w:tabs>
        <w:kinsoku/>
        <w:wordWrap/>
        <w:overflowPunct w:val="0"/>
        <w:topLinePunct w:val="0"/>
        <w:autoSpaceDE/>
        <w:autoSpaceDN/>
        <w:bidi w:val="0"/>
        <w:adjustRightInd/>
        <w:snapToGrid/>
        <w:spacing w:line="240" w:lineRule="auto"/>
        <w:jc w:val="center"/>
        <w:textAlignment w:val="auto"/>
        <w:rPr>
          <w:rFonts w:cs="仿宋" w:asciiTheme="minorEastAsia" w:hAnsiTheme="minorEastAsia"/>
          <w:highlight w:val="none"/>
        </w:rPr>
      </w:pPr>
      <w:r>
        <w:rPr>
          <w:rFonts w:hint="eastAsia" w:cs="黑体" w:asciiTheme="minorEastAsia" w:hAnsiTheme="minorEastAsia"/>
          <w:bCs/>
          <w:sz w:val="28"/>
          <w:szCs w:val="24"/>
          <w:highlight w:val="none"/>
        </w:rPr>
        <w:t>过程指标二级指标得分情况表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blHeader/>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资金管理</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组织实施</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8</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8</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18</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18</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100</w:t>
            </w:r>
            <w:r>
              <w:rPr>
                <w:rFonts w:hint="eastAsia" w:ascii="宋体" w:hAnsi="宋体" w:eastAsia="宋体" w:cs="宋体"/>
                <w:b/>
                <w:bCs/>
                <w:color w:val="000000"/>
                <w:kern w:val="0"/>
                <w:sz w:val="22"/>
                <w:highlight w:val="none"/>
                <w:lang w:bidi="ar"/>
              </w:rPr>
              <w:t>%</w:t>
            </w:r>
          </w:p>
        </w:tc>
      </w:tr>
    </w:tbl>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1.资金管理</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资金随省法院部门预算一同下达，</w:t>
      </w:r>
      <w:r>
        <w:rPr>
          <w:rFonts w:hint="eastAsia" w:ascii="仿宋_GB2312" w:hAnsi="仿宋_GB2312" w:eastAsia="仿宋_GB2312" w:cs="仿宋_GB2312"/>
          <w:sz w:val="32"/>
          <w:szCs w:val="32"/>
          <w:highlight w:val="none"/>
        </w:rPr>
        <w:t>资金及时足额到位，到位率100%。</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项目全年预算数</w:t>
      </w:r>
      <w:r>
        <w:rPr>
          <w:rFonts w:hint="eastAsia" w:ascii="仿宋_GB2312" w:hAnsi="仿宋_GB2312" w:eastAsia="仿宋_GB2312" w:cs="仿宋_GB2312"/>
          <w:sz w:val="32"/>
          <w:szCs w:val="32"/>
          <w:highlight w:val="none"/>
          <w:lang w:val="en-US" w:eastAsia="zh-CN"/>
        </w:rPr>
        <w:t>1,048.26</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其中当年财政拨款950.00万元，上年结转资金98.26万元，截止2022年12月31日，项目</w:t>
      </w:r>
      <w:r>
        <w:rPr>
          <w:rFonts w:hint="eastAsia" w:ascii="仿宋_GB2312" w:hAnsi="仿宋_GB2312" w:eastAsia="仿宋_GB2312" w:cs="仿宋_GB2312"/>
          <w:sz w:val="32"/>
          <w:szCs w:val="32"/>
          <w:highlight w:val="none"/>
        </w:rPr>
        <w:t>全年</w:t>
      </w:r>
      <w:r>
        <w:rPr>
          <w:rFonts w:hint="eastAsia" w:ascii="仿宋_GB2312" w:hAnsi="仿宋_GB2312" w:eastAsia="仿宋_GB2312" w:cs="仿宋_GB2312"/>
          <w:sz w:val="32"/>
          <w:szCs w:val="32"/>
          <w:highlight w:val="none"/>
          <w:lang w:val="en-US" w:eastAsia="zh-CN"/>
        </w:rPr>
        <w:t>支出</w:t>
      </w:r>
      <w:r>
        <w:rPr>
          <w:rFonts w:hint="eastAsia" w:ascii="仿宋_GB2312" w:hAnsi="仿宋_GB2312" w:eastAsia="仿宋_GB2312" w:cs="仿宋_GB2312"/>
          <w:sz w:val="32"/>
          <w:szCs w:val="32"/>
          <w:highlight w:val="none"/>
        </w:rPr>
        <w:t>数</w:t>
      </w:r>
      <w:r>
        <w:rPr>
          <w:rFonts w:hint="eastAsia" w:ascii="仿宋_GB2312" w:hAnsi="仿宋_GB2312" w:eastAsia="仿宋_GB2312" w:cs="仿宋_GB2312"/>
          <w:sz w:val="32"/>
          <w:szCs w:val="32"/>
          <w:highlight w:val="none"/>
          <w:lang w:val="en-US" w:eastAsia="zh-CN"/>
        </w:rPr>
        <w:t>1,048.26</w:t>
      </w:r>
      <w:r>
        <w:rPr>
          <w:rFonts w:hint="eastAsia" w:ascii="仿宋_GB2312" w:hAnsi="仿宋_GB2312" w:eastAsia="仿宋_GB2312" w:cs="仿宋_GB2312"/>
          <w:sz w:val="32"/>
          <w:szCs w:val="32"/>
          <w:highlight w:val="none"/>
        </w:rPr>
        <w:t>万元，预算执行率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none"/>
        </w:rPr>
        <w:t>资金使用合规性指标分值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分。评价认为专项资金的使用符合国家财经法规和财务管理制度以及</w:t>
      </w:r>
      <w:r>
        <w:rPr>
          <w:rFonts w:hint="eastAsia" w:ascii="仿宋_GB2312" w:hAnsi="仿宋_GB2312" w:eastAsia="仿宋_GB2312" w:cs="仿宋_GB2312"/>
          <w:sz w:val="32"/>
          <w:szCs w:val="32"/>
          <w:highlight w:val="none"/>
          <w:lang w:val="en-US" w:eastAsia="zh-CN"/>
        </w:rPr>
        <w:t>《甘肃省高级人民法院机关财务经费管理规定》</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val="en-US" w:eastAsia="zh-CN"/>
        </w:rPr>
        <w:t>制度</w:t>
      </w:r>
      <w:r>
        <w:rPr>
          <w:rFonts w:hint="eastAsia" w:ascii="仿宋_GB2312" w:hAnsi="仿宋_GB2312" w:eastAsia="仿宋_GB2312" w:cs="仿宋_GB2312"/>
          <w:sz w:val="32"/>
          <w:szCs w:val="32"/>
          <w:highlight w:val="none"/>
        </w:rPr>
        <w:t>要求，资金支出的审批程序完整，符合会计制度的规定，财务信息真实、完整，资金支出、会计核算方面</w:t>
      </w:r>
      <w:r>
        <w:rPr>
          <w:rFonts w:hint="eastAsia" w:ascii="仿宋_GB2312" w:hAnsi="仿宋_GB2312" w:eastAsia="仿宋_GB2312" w:cs="仿宋_GB2312"/>
          <w:sz w:val="32"/>
          <w:szCs w:val="32"/>
          <w:highlight w:val="none"/>
          <w:lang w:val="en-US" w:eastAsia="zh-CN"/>
        </w:rPr>
        <w:t>基本</w:t>
      </w:r>
      <w:r>
        <w:rPr>
          <w:rFonts w:hint="eastAsia" w:ascii="仿宋_GB2312" w:hAnsi="仿宋_GB2312" w:eastAsia="仿宋_GB2312" w:cs="仿宋_GB2312"/>
          <w:sz w:val="32"/>
          <w:szCs w:val="32"/>
          <w:highlight w:val="none"/>
        </w:rPr>
        <w:t>规范，年度例行审计未发现违规支付及超标准开支的情况。符合项目预算批复或项目规定的用途，不存在虚列支出情况。</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2.组织实施</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管理制度健全性指标分值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分。为加强和规范省级预算</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经费管理，提高项目工作质量和资金效益</w:t>
      </w:r>
      <w:r>
        <w:rPr>
          <w:rFonts w:hint="eastAsia" w:ascii="仿宋_GB2312" w:hAnsi="仿宋_GB2312" w:eastAsia="仿宋_GB2312" w:cs="仿宋_GB2312"/>
          <w:sz w:val="32"/>
          <w:szCs w:val="32"/>
          <w:highlight w:val="none"/>
          <w:lang w:eastAsia="zh-CN"/>
        </w:rPr>
        <w:t>，《甘肃省法院系统财物统管制度汇编》对于法院系统内各项工作的实施提供了强有力的政策制度支撑。</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省法院</w:t>
      </w:r>
      <w:r>
        <w:rPr>
          <w:rFonts w:hint="eastAsia" w:ascii="仿宋_GB2312" w:hAnsi="仿宋_GB2312" w:eastAsia="仿宋_GB2312" w:cs="仿宋_GB2312"/>
          <w:sz w:val="32"/>
          <w:szCs w:val="32"/>
          <w:highlight w:val="none"/>
        </w:rPr>
        <w:t>制定了适用于本项目的财务管理制度及业务管理制度，且符合相关财务及业务制度的规定，制度健全。</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制度执行有效性指标分值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分。项目实施过程中，能够严格按照制度管理进行资金申请和下达、使用、监督，评价认为，制度执行总体有效。</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）采购管理规范性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采购管理规范性指标分值2分，评价得分2分。经核查采购合同、采购工作会议记录等资料，省法院采购方式符合甘肃省财政厅、甘肃省高级人民法院、甘肃省人民检察院《关于甘肃省省以下地方法院检察院政府采购活动有关事项的通知》（甘财采〔2018〕12号）的要求。</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（4）合同管理完备性</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合同管理完备性指标分值2分，评价得分2分。经查验该项目签订的各项合同，合同中有明确、清晰、完整的质量标准、付款方式和履约期限，且合同由专人保管，资料管理完备。</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hint="eastAsia" w:ascii="仿宋_GB2312" w:hAnsi="仿宋_GB2312" w:eastAsia="仿宋_GB2312" w:cs="仿宋_GB2312"/>
          <w:b/>
          <w:bCs/>
          <w:highlight w:val="none"/>
        </w:rPr>
      </w:pPr>
      <w:bookmarkStart w:id="121" w:name="_Toc28028"/>
      <w:bookmarkStart w:id="122" w:name="_Toc20113"/>
      <w:bookmarkStart w:id="123" w:name="_Toc3677"/>
      <w:r>
        <w:rPr>
          <w:rFonts w:hint="eastAsia" w:ascii="仿宋_GB2312" w:hAnsi="仿宋_GB2312" w:eastAsia="仿宋_GB2312" w:cs="仿宋_GB2312"/>
          <w:b/>
          <w:bCs/>
          <w:highlight w:val="none"/>
        </w:rPr>
        <w:t>（三）项目产出情况</w:t>
      </w:r>
      <w:bookmarkEnd w:id="121"/>
      <w:bookmarkEnd w:id="122"/>
      <w:bookmarkEnd w:id="123"/>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数量、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质量、</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时效、</w:t>
      </w:r>
      <w:r>
        <w:rPr>
          <w:rFonts w:hint="eastAsia" w:ascii="仿宋_GB2312" w:hAnsi="仿宋_GB2312" w:eastAsia="仿宋_GB2312" w:cs="仿宋_GB2312"/>
          <w:sz w:val="32"/>
          <w:szCs w:val="32"/>
          <w:highlight w:val="none"/>
          <w:lang w:val="en-US" w:eastAsia="zh-CN"/>
        </w:rPr>
        <w:t>产出</w:t>
      </w:r>
      <w:r>
        <w:rPr>
          <w:rFonts w:hint="eastAsia" w:ascii="仿宋_GB2312" w:hAnsi="仿宋_GB2312" w:eastAsia="仿宋_GB2312" w:cs="仿宋_GB2312"/>
          <w:sz w:val="32"/>
          <w:szCs w:val="32"/>
          <w:highlight w:val="none"/>
        </w:rPr>
        <w:t>成本四个二级指标，指标分值</w:t>
      </w:r>
      <w:r>
        <w:rPr>
          <w:rFonts w:hint="eastAsia" w:ascii="仿宋_GB2312" w:hAnsi="仿宋_GB2312" w:eastAsia="仿宋_GB2312" w:cs="仿宋_GB2312"/>
          <w:sz w:val="32"/>
          <w:szCs w:val="32"/>
          <w:highlight w:val="none"/>
          <w:lang w:val="en-US" w:eastAsia="zh-CN"/>
        </w:rPr>
        <w:t>50分</w:t>
      </w:r>
      <w:r>
        <w:rPr>
          <w:rFonts w:hint="eastAsia" w:ascii="仿宋_GB2312" w:hAnsi="仿宋_GB2312" w:eastAsia="仿宋_GB2312" w:cs="仿宋_GB2312"/>
          <w:sz w:val="32"/>
          <w:szCs w:val="32"/>
          <w:highlight w:val="none"/>
        </w:rPr>
        <w:t>，评价得分</w:t>
      </w:r>
      <w:r>
        <w:rPr>
          <w:rFonts w:hint="eastAsia" w:ascii="仿宋_GB2312" w:hAnsi="仿宋_GB2312" w:eastAsia="仿宋_GB2312" w:cs="仿宋_GB2312"/>
          <w:sz w:val="32"/>
          <w:szCs w:val="32"/>
          <w:highlight w:val="none"/>
          <w:lang w:val="en-US" w:eastAsia="zh-CN"/>
        </w:rPr>
        <w:t>50</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pPr>
        <w:pStyle w:val="20"/>
        <w:keepNext w:val="0"/>
        <w:keepLines w:val="0"/>
        <w:pageBreakBefore w:val="0"/>
        <w:widowControl w:val="0"/>
        <w:kinsoku/>
        <w:wordWrap/>
        <w:overflowPunct w:val="0"/>
        <w:topLinePunct w:val="0"/>
        <w:autoSpaceDE/>
        <w:autoSpaceDN/>
        <w:bidi w:val="0"/>
        <w:adjustRightInd/>
        <w:snapToGrid/>
        <w:spacing w:line="240" w:lineRule="atLeas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产出指标二级指标得分情况表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highlight w:val="none"/>
              </w:rPr>
            </w:pPr>
            <w:r>
              <w:rPr>
                <w:rFonts w:hint="eastAsia" w:ascii="宋体" w:hAnsi="宋体" w:eastAsia="宋体" w:cs="宋体"/>
                <w:bCs/>
                <w:color w:val="000000"/>
                <w:kern w:val="0"/>
                <w:sz w:val="22"/>
                <w:highlight w:val="none"/>
                <w:lang w:bidi="ar"/>
              </w:rPr>
              <w:t>数量指标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13</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13</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质量指标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16</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16</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时效指标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16</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16</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w:t>
            </w:r>
            <w:r>
              <w:rPr>
                <w:rFonts w:hint="eastAsia" w:ascii="宋体" w:hAnsi="宋体" w:eastAsia="宋体" w:cs="宋体"/>
                <w:bCs/>
                <w:color w:val="000000"/>
                <w:kern w:val="0"/>
                <w:sz w:val="22"/>
                <w:highlight w:val="none"/>
                <w:lang w:bidi="ar"/>
              </w:rPr>
              <w:t>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成本指标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5</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eastAsia" w:ascii="宋体" w:hAnsi="宋体" w:eastAsia="宋体" w:cs="宋体"/>
                <w:bCs/>
                <w:color w:val="000000"/>
                <w:kern w:val="0"/>
                <w:sz w:val="22"/>
                <w:highlight w:val="none"/>
                <w:lang w:eastAsia="zh-CN" w:bidi="ar"/>
              </w:rPr>
            </w:pPr>
            <w:r>
              <w:rPr>
                <w:rFonts w:hint="eastAsia" w:ascii="宋体" w:hAnsi="宋体" w:eastAsia="宋体" w:cs="宋体"/>
                <w:bCs/>
                <w:color w:val="000000"/>
                <w:kern w:val="0"/>
                <w:sz w:val="22"/>
                <w:highlight w:val="none"/>
                <w:lang w:val="en-US" w:eastAsia="zh-CN" w:bidi="ar"/>
              </w:rPr>
              <w:t>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50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50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100</w:t>
            </w:r>
            <w:r>
              <w:rPr>
                <w:rFonts w:hint="eastAsia" w:ascii="宋体" w:hAnsi="宋体" w:eastAsia="宋体" w:cs="宋体"/>
                <w:b/>
                <w:bCs/>
                <w:color w:val="000000"/>
                <w:kern w:val="0"/>
                <w:sz w:val="22"/>
                <w:highlight w:val="none"/>
                <w:lang w:bidi="ar"/>
              </w:rPr>
              <w:t>%</w:t>
            </w:r>
          </w:p>
        </w:tc>
      </w:tr>
    </w:tbl>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信息化系统升级改造数量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指标分值4分，评价得分4分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。为进一步深化司法改革，</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省法院</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依托现代信息技术，建设智慧法院，</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本年度完成了信息化系统升级改造年度计划任务24个。</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信息化系统运维数量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4分，评价得分4分，省法院将信息化系统运维服务外包给北京华宇信息技术有限公司，服务内容包括基础设施运维服务、应用系统运维服务、数据运维服务、网络安全运维服务、文稿类服务、运维绩效服务、技术支持和服务、运维服务台和运维工具等40项运维服务工作。</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信息化运维人数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5分，评价得分5分，《中共甘肃省高级人民法院党组》（2020年第6次）会议指出：近年来，网络处通过专业化的运维服务使省法院的各类信息系统得到了有效的管理维护，为审判执行工作的顺利开展提供了重要支撑。随着省法院智慧法院的不断深化推进，目前的运维服务能力已不能满足全省审判执行工作的需要，主要存在运维人员力量不足（特别是中、基层法院），缺乏应用培训、网络安全等方面运维人员，未建立统一的质效运维管理体系等问题。省法院在借鉴其他法院的运维工作模式的基础上，结合省法院信息化工作实际，提出建设省法院大运维中心，统筹负责全省法院业务系统的运维和技术支持，同时兼顾省法院机关所有信息系统运维。会议同意增加必要的运维人员，将运维人员增加至45人。</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bookmarkStart w:id="124" w:name="_Toc27458"/>
      <w:bookmarkStart w:id="125" w:name="_Toc7509"/>
      <w:r>
        <w:rPr>
          <w:rFonts w:hint="eastAsia" w:ascii="仿宋_GB2312" w:hAnsi="仿宋_GB2312" w:eastAsia="仿宋_GB2312" w:cs="仿宋_GB2312"/>
          <w:color w:val="000000" w:themeColor="text1"/>
          <w:sz w:val="32"/>
          <w:szCs w:val="32"/>
          <w:highlight w:val="none"/>
          <w14:textFill>
            <w14:solidFill>
              <w14:schemeClr w14:val="tx1"/>
            </w14:solidFill>
          </w14:textFill>
        </w:rPr>
        <w:t>信息化平台建设验收合格率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4分，评价得分4分。《甘肃省高级人民法院网络安全和信息化领导小组会议纪要》（2021年第2次），会议审议了省法院云平台和智慧法院项目整体验收工作情况的报告。省法院云平台和智慧法院项目，已完成各项既定的建设内容，并分标段组织了验收。</w:t>
      </w:r>
    </w:p>
    <w:p>
      <w:pPr>
        <w:pStyle w:val="10"/>
        <w:keepNext w:val="0"/>
        <w:keepLines w:val="0"/>
        <w:pageBreakBefore w:val="0"/>
        <w:widowControl w:val="0"/>
        <w:kinsoku/>
        <w:wordWrap/>
        <w:overflowPunct w:val="0"/>
        <w:topLinePunct w:val="0"/>
        <w:autoSpaceDE/>
        <w:autoSpaceDN/>
        <w:bidi w:val="0"/>
        <w:adjustRightInd/>
        <w:snapToGrid/>
        <w:spacing w:after="0" w:line="560" w:lineRule="exact"/>
        <w:ind w:left="0" w:leftChars="0" w:firstLine="640" w:firstLineChars="20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信息化设备购置验收合格率指标分值4分，评价得分4分。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本年度已完成信息化设备购置，并通过验收，验收合格率为100%。</w:t>
      </w:r>
    </w:p>
    <w:p>
      <w:pPr>
        <w:pStyle w:val="11"/>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jc w:val="both"/>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信息化系统升级改造验收合格率</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指标分值4分，评价得分4分。</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信息化系统升级改造</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合同约定服务满一个季度后，由甲方对乙方进行绩效考核，并由甲方按照考核结果确认应付款金额乙方向甲方提供发票及付款申请书，甲方收到发票及付款申请后按照甲方报销流程向方支付相应款项。每季度服务完成后，省法院按合同要求对供应商服务进行季度绩效考核，服务均通过考核。</w:t>
      </w:r>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信息化运维验收合格率</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指标分值4分，评价得分4分。《甘肃省高级人民法院信息化系统运维服务外包项目政府采购合同》约定“当运维服务期满半年、一年后，采购方组织对服务提供方开展的运维服务工作按照考核细则管理办法进行考核，以考核结果（分四等：优秀、良好、合格、不合格）为依据，考核结果评定为优秀的，全额支付该期费用，反之按照考核结果核减后支付该期费用。”省法院根据合同约定，在服务期内按时对供应商进行考核，</w:t>
      </w:r>
      <w:r>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信息化运维</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服务通过考核。</w:t>
      </w:r>
    </w:p>
    <w:bookmarkEnd w:id="124"/>
    <w:bookmarkEnd w:id="125"/>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信息化平台建设及时性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指标分值4分，评价得分4分。本年度信息化平台建设均合同约定进度进行，已及时完成并通过验收。</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信息化设备购置及时性指标分值4分，评价得分4分。及时购置了信息化设备，保障信息化建设按计划进行。</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信息化系统升级改造及时性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指标分值4分，评价得分4分。本年度信息化系统升级改造均合同约定进度进行，已及时完成并通过验收。</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信息化运维及时性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指标分值4分，评价得分4分。省法院委托第三方运维机构对信息系统进行日常运维管理，信息化运维及时。</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4.成本指标</w:t>
      </w:r>
    </w:p>
    <w:p>
      <w:pPr>
        <w:pStyle w:val="20"/>
        <w:keepNext w:val="0"/>
        <w:keepLines w:val="0"/>
        <w:pageBreakBefore w:val="0"/>
        <w:widowControl w:val="0"/>
        <w:kinsoku/>
        <w:wordWrap/>
        <w:overflowPunct w:val="0"/>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成本控制情况</w:t>
      </w:r>
      <w:r>
        <w:rPr>
          <w:rFonts w:hint="eastAsia" w:ascii="仿宋_GB2312" w:hAnsi="仿宋_GB2312" w:eastAsia="仿宋_GB2312" w:cs="仿宋_GB2312"/>
          <w:sz w:val="32"/>
          <w:szCs w:val="32"/>
          <w:highlight w:val="none"/>
          <w:lang w:val="en-US" w:eastAsia="zh-CN"/>
        </w:rPr>
        <w:t>指标</w:t>
      </w:r>
      <w:r>
        <w:rPr>
          <w:rFonts w:hint="eastAsia" w:ascii="仿宋_GB2312" w:hAnsi="仿宋_GB2312" w:eastAsia="仿宋_GB2312" w:cs="仿宋_GB2312"/>
          <w:sz w:val="32"/>
          <w:szCs w:val="32"/>
          <w:highlight w:val="none"/>
        </w:rPr>
        <w:t>分值</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分。省法院积极响应国家相关政策，坚持节约资金的原则，严格控制项目预算金额，在提高服务质量水平的同时，降低成本开支</w:t>
      </w:r>
      <w:r>
        <w:rPr>
          <w:rFonts w:hint="eastAsia" w:ascii="仿宋_GB2312" w:hAnsi="仿宋_GB2312" w:eastAsia="仿宋_GB2312" w:cs="仿宋_GB2312"/>
          <w:sz w:val="32"/>
          <w:szCs w:val="32"/>
          <w:highlight w:val="none"/>
          <w:lang w:eastAsia="zh-CN"/>
        </w:rPr>
        <w:t>，信息化建设经费（其中“12368”司法平台运行维护费50万元）</w:t>
      </w:r>
      <w:r>
        <w:rPr>
          <w:rFonts w:hint="eastAsia" w:ascii="仿宋_GB2312" w:hAnsi="仿宋_GB2312" w:eastAsia="仿宋_GB2312" w:cs="仿宋_GB2312"/>
          <w:sz w:val="32"/>
          <w:szCs w:val="32"/>
          <w:highlight w:val="none"/>
        </w:rPr>
        <w:t>项目成本控制在</w:t>
      </w:r>
      <w:r>
        <w:rPr>
          <w:rFonts w:hint="eastAsia" w:ascii="仿宋_GB2312" w:hAnsi="仿宋_GB2312" w:eastAsia="仿宋_GB2312" w:cs="仿宋_GB2312"/>
          <w:sz w:val="32"/>
          <w:szCs w:val="32"/>
          <w:highlight w:val="none"/>
          <w:lang w:val="en-US" w:eastAsia="zh-CN"/>
        </w:rPr>
        <w:t>预算范围</w:t>
      </w:r>
      <w:r>
        <w:rPr>
          <w:rFonts w:hint="eastAsia" w:ascii="仿宋_GB2312" w:hAnsi="仿宋_GB2312" w:eastAsia="仿宋_GB2312" w:cs="仿宋_GB2312"/>
          <w:sz w:val="32"/>
          <w:szCs w:val="32"/>
          <w:highlight w:val="none"/>
        </w:rPr>
        <w:t>以内，</w:t>
      </w:r>
      <w:r>
        <w:rPr>
          <w:rFonts w:hint="eastAsia" w:ascii="仿宋_GB2312" w:hAnsi="仿宋_GB2312" w:eastAsia="仿宋_GB2312" w:cs="仿宋_GB2312"/>
          <w:sz w:val="32"/>
          <w:szCs w:val="32"/>
          <w:highlight w:val="none"/>
          <w:lang w:val="en-US" w:eastAsia="zh-CN"/>
        </w:rPr>
        <w:t>未超预算。</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26" w:name="_Toc10544"/>
      <w:bookmarkStart w:id="127" w:name="_Toc4582"/>
      <w:bookmarkStart w:id="128" w:name="_Toc19675"/>
      <w:r>
        <w:rPr>
          <w:rFonts w:hint="eastAsia" w:ascii="楷体" w:hAnsi="楷体" w:eastAsia="楷体" w:cs="楷体"/>
          <w:b/>
          <w:bCs/>
          <w:highlight w:val="none"/>
        </w:rPr>
        <w:t>（四）项目效益情况</w:t>
      </w:r>
      <w:bookmarkEnd w:id="126"/>
      <w:bookmarkEnd w:id="127"/>
      <w:bookmarkEnd w:id="128"/>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项目效益指标包括社会效益</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、可持续影响</w:t>
      </w:r>
      <w:r>
        <w:rPr>
          <w:rFonts w:hint="eastAsia" w:ascii="仿宋_GB2312" w:hAnsi="仿宋_GB2312" w:cs="仿宋_GB2312"/>
          <w:highlight w:val="none"/>
          <w:lang w:val="en-US" w:eastAsia="zh-CN"/>
        </w:rPr>
        <w:t>指标</w:t>
      </w:r>
      <w:r>
        <w:rPr>
          <w:rFonts w:hint="eastAsia" w:ascii="仿宋_GB2312" w:hAnsi="仿宋_GB2312" w:eastAsia="仿宋_GB2312" w:cs="仿宋_GB2312"/>
          <w:highlight w:val="none"/>
        </w:rPr>
        <w:t>两个二级指标，</w:t>
      </w:r>
      <w:r>
        <w:rPr>
          <w:rFonts w:hint="eastAsia" w:ascii="仿宋_GB2312" w:hAnsi="仿宋_GB2312" w:cs="仿宋_GB2312"/>
          <w:highlight w:val="none"/>
          <w:lang w:val="en-US" w:eastAsia="zh-CN"/>
        </w:rPr>
        <w:t>下设两个三级指标，</w:t>
      </w:r>
      <w:r>
        <w:rPr>
          <w:rFonts w:hint="eastAsia" w:ascii="仿宋_GB2312" w:hAnsi="仿宋_GB2312" w:eastAsia="仿宋_GB2312" w:cs="仿宋_GB2312"/>
          <w:highlight w:val="none"/>
        </w:rPr>
        <w:t>指标分值</w:t>
      </w: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rPr>
        <w:t>分，评价得分</w:t>
      </w: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rPr>
        <w:t>分，得分率100%。</w:t>
      </w:r>
    </w:p>
    <w:p>
      <w:pPr>
        <w:pStyle w:val="20"/>
        <w:keepNext w:val="0"/>
        <w:keepLines w:val="0"/>
        <w:pageBreakBefore w:val="0"/>
        <w:widowControl w:val="0"/>
        <w:kinsoku/>
        <w:wordWrap/>
        <w:overflowPunct w:val="0"/>
        <w:topLinePunct w:val="0"/>
        <w:autoSpaceDE/>
        <w:autoSpaceDN/>
        <w:bidi w:val="0"/>
        <w:adjustRightInd/>
        <w:snapToGrid/>
        <w:spacing w:line="240" w:lineRule="atLeast"/>
        <w:ind w:firstLine="0" w:firstLineChars="0"/>
        <w:jc w:val="center"/>
        <w:textAlignment w:val="auto"/>
        <w:rPr>
          <w:rFonts w:cs="仿宋" w:asciiTheme="minorEastAsia" w:hAnsiTheme="minorEastAsia"/>
          <w:sz w:val="32"/>
          <w:szCs w:val="32"/>
          <w:highlight w:val="none"/>
        </w:rPr>
      </w:pPr>
      <w:r>
        <w:rPr>
          <w:rFonts w:hint="eastAsia" w:cs="黑体" w:asciiTheme="minorEastAsia" w:hAnsiTheme="minorEastAsia"/>
          <w:bCs/>
          <w:sz w:val="28"/>
          <w:szCs w:val="24"/>
          <w:highlight w:val="none"/>
        </w:rPr>
        <w:t>效益指标二级指标得分情况表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highlight w:val="none"/>
              </w:rPr>
            </w:pPr>
            <w:r>
              <w:rPr>
                <w:rFonts w:hint="eastAsia" w:ascii="宋体" w:hAnsi="宋体" w:eastAsia="宋体" w:cs="宋体"/>
                <w:bCs/>
                <w:color w:val="000000"/>
                <w:kern w:val="0"/>
                <w:sz w:val="22"/>
                <w:highlight w:val="none"/>
                <w:lang w:bidi="ar"/>
              </w:rPr>
              <w:t>社会效益指标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5</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可持续影响指标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5</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hint="default" w:ascii="宋体" w:hAnsi="宋体" w:eastAsia="宋体" w:cs="宋体"/>
                <w:bCs/>
                <w:color w:val="000000"/>
                <w:kern w:val="0"/>
                <w:sz w:val="22"/>
                <w:highlight w:val="none"/>
                <w:lang w:val="en-US" w:bidi="ar"/>
              </w:rPr>
            </w:pPr>
            <w:r>
              <w:rPr>
                <w:rFonts w:hint="eastAsia" w:ascii="宋体" w:hAnsi="宋体" w:eastAsia="宋体" w:cs="宋体"/>
                <w:bCs/>
                <w:color w:val="000000"/>
                <w:kern w:val="0"/>
                <w:sz w:val="22"/>
                <w:highlight w:val="none"/>
                <w:lang w:val="en-US" w:eastAsia="zh-CN" w:bidi="ar"/>
              </w:rPr>
              <w:t>5</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val="en-US" w:eastAsia="zh-CN" w:bidi="ar"/>
              </w:rPr>
              <w:t>1</w:t>
            </w:r>
            <w:r>
              <w:rPr>
                <w:rFonts w:hint="eastAsia" w:ascii="宋体" w:hAnsi="宋体" w:eastAsia="宋体" w:cs="宋体"/>
                <w:b/>
                <w:bCs/>
                <w:color w:val="000000"/>
                <w:kern w:val="0"/>
                <w:sz w:val="22"/>
                <w:highlight w:val="none"/>
                <w:lang w:bidi="ar"/>
              </w:rPr>
              <w:t>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hint="default" w:ascii="宋体" w:hAnsi="宋体" w:eastAsia="宋体" w:cs="宋体"/>
                <w:b/>
                <w:bCs/>
                <w:color w:val="000000"/>
                <w:kern w:val="0"/>
                <w:sz w:val="22"/>
                <w:highlight w:val="none"/>
                <w:lang w:val="en-US" w:eastAsia="zh-CN" w:bidi="ar"/>
              </w:rPr>
            </w:pPr>
            <w:r>
              <w:rPr>
                <w:rFonts w:hint="eastAsia" w:ascii="宋体" w:hAnsi="宋体" w:eastAsia="宋体" w:cs="宋体"/>
                <w:b/>
                <w:bCs/>
                <w:color w:val="000000"/>
                <w:kern w:val="0"/>
                <w:sz w:val="22"/>
                <w:highlight w:val="none"/>
                <w:lang w:val="en-US" w:eastAsia="zh-CN" w:bidi="ar"/>
              </w:rPr>
              <w:t>10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both"/>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100%</w:t>
            </w:r>
          </w:p>
        </w:tc>
      </w:tr>
    </w:tbl>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1.社会效益指标</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有效保障审判服务</w:t>
      </w:r>
      <w:r>
        <w:rPr>
          <w:rFonts w:hint="eastAsia" w:ascii="仿宋_GB2312" w:hAnsi="仿宋_GB2312" w:cs="仿宋_GB2312"/>
          <w:highlight w:val="none"/>
          <w:lang w:val="en-US" w:eastAsia="zh-CN"/>
        </w:rPr>
        <w:t>指标分值5分，评价得分5分。全面推进法院信息化建设是贯彻落实中央、省委和最高人民法院关于信息化建设工作决策部署的重要举措，是服务人民群众、服务审判执行、服务司法管理，提高审判质效的有效措施，是持续保持省法院以智慧法院4.0版建设为核心，编制完成《甘肃法院信息化建设五年规划（2021-2025）》，制定《全省智慧法院建设标准》，信息化建设长效管理机制健全。</w:t>
      </w:r>
    </w:p>
    <w:p>
      <w:pPr>
        <w:pStyle w:val="2"/>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jc w:val="both"/>
        <w:textAlignment w:val="auto"/>
        <w:outlineLvl w:val="2"/>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2.可持续影响指标</w:t>
      </w:r>
    </w:p>
    <w:p>
      <w:pPr>
        <w:pStyle w:val="2"/>
        <w:keepNext w:val="0"/>
        <w:keepLines w:val="0"/>
        <w:pageBreakBefore w:val="0"/>
        <w:widowControl w:val="0"/>
        <w:kinsoku/>
        <w:wordWrap/>
        <w:overflowPunct w:val="0"/>
        <w:topLinePunct w:val="0"/>
        <w:autoSpaceDE/>
        <w:autoSpaceDN/>
        <w:bidi w:val="0"/>
        <w:adjustRightInd/>
        <w:snapToGrid/>
        <w:ind w:firstLine="640" w:firstLineChars="200"/>
        <w:jc w:val="both"/>
        <w:textAlignment w:val="auto"/>
        <w:rPr>
          <w:rFonts w:hint="default"/>
          <w:highlight w:val="none"/>
          <w:lang w:val="en-US" w:eastAsia="zh-CN"/>
        </w:rPr>
      </w:pPr>
      <w:bookmarkStart w:id="129" w:name="_Toc31732"/>
      <w:bookmarkStart w:id="130" w:name="_Toc7892"/>
      <w:r>
        <w:rPr>
          <w:rFonts w:hint="eastAsia" w:ascii="仿宋_GB2312" w:hAnsi="仿宋_GB2312" w:eastAsia="仿宋_GB2312" w:cs="仿宋_GB2312"/>
          <w:kern w:val="2"/>
          <w:sz w:val="32"/>
          <w:szCs w:val="32"/>
          <w:highlight w:val="none"/>
          <w:lang w:val="en-US" w:eastAsia="zh-CN" w:bidi="ar-SA"/>
        </w:rPr>
        <w:t>信息化运维考核机制健全性指标分值5分，评价得分5分。</w:t>
      </w:r>
      <w:r>
        <w:rPr>
          <w:rFonts w:hint="eastAsia"/>
          <w:highlight w:val="none"/>
          <w:lang w:val="en-US" w:eastAsia="zh-CN"/>
        </w:rPr>
        <w:t>信息化系统升级改造合同约定服务满一个季度后，由省法院对乙方进行绩效考核，并由省法院按照考核结果确认应付款金额乙方向省法院提供发票及付款申请书，省法院收到发票及付款申请后按照报销流程向方支付相应款项，信息化考核机制逐步完善，省法院各项审判工作得到有效保障。</w:t>
      </w:r>
    </w:p>
    <w:bookmarkEnd w:id="129"/>
    <w:bookmarkEnd w:id="130"/>
    <w:p>
      <w:pPr>
        <w:pStyle w:val="2"/>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Fonts w:ascii="楷体" w:hAnsi="楷体" w:eastAsia="楷体" w:cs="楷体"/>
          <w:b/>
          <w:bCs/>
          <w:highlight w:val="none"/>
        </w:rPr>
      </w:pPr>
      <w:bookmarkStart w:id="131" w:name="_Toc10060"/>
      <w:r>
        <w:rPr>
          <w:rFonts w:hint="eastAsia" w:ascii="楷体" w:hAnsi="楷体" w:eastAsia="楷体" w:cs="楷体"/>
          <w:b/>
          <w:bCs/>
          <w:highlight w:val="none"/>
        </w:rPr>
        <w:t>（五）满意度情况</w:t>
      </w:r>
      <w:bookmarkEnd w:id="131"/>
    </w:p>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bookmarkStart w:id="132" w:name="_Toc5674"/>
      <w:bookmarkStart w:id="133" w:name="_Toc63435075"/>
      <w:bookmarkStart w:id="134" w:name="_Toc64731198"/>
      <w:bookmarkStart w:id="135" w:name="_Toc23326"/>
      <w:bookmarkStart w:id="136" w:name="_Toc65235686"/>
      <w:bookmarkStart w:id="137" w:name="_Toc2918"/>
      <w:bookmarkStart w:id="138" w:name="_Toc4285"/>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考核法院工作人员满意度</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，指标分值10分，评价得分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分，得分率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132"/>
      <w:bookmarkEnd w:id="133"/>
      <w:bookmarkEnd w:id="134"/>
      <w:bookmarkEnd w:id="135"/>
      <w:bookmarkEnd w:id="136"/>
      <w:bookmarkEnd w:id="137"/>
      <w:bookmarkEnd w:id="138"/>
    </w:p>
    <w:p>
      <w:pPr>
        <w:pStyle w:val="20"/>
        <w:keepNext w:val="0"/>
        <w:keepLines w:val="0"/>
        <w:pageBreakBefore w:val="0"/>
        <w:widowControl w:val="0"/>
        <w:kinsoku/>
        <w:wordWrap/>
        <w:overflowPunct w:val="0"/>
        <w:topLinePunct w:val="0"/>
        <w:autoSpaceDE/>
        <w:autoSpaceDN/>
        <w:bidi w:val="0"/>
        <w:adjustRightInd/>
        <w:snapToGrid/>
        <w:spacing w:line="240" w:lineRule="atLeast"/>
        <w:ind w:firstLine="0" w:firstLineChars="0"/>
        <w:jc w:val="center"/>
        <w:textAlignment w:val="auto"/>
        <w:rPr>
          <w:rFonts w:hint="eastAsia" w:cs="黑体" w:asciiTheme="minorEastAsia" w:hAnsiTheme="minorEastAsia"/>
          <w:bCs/>
          <w:sz w:val="28"/>
          <w:szCs w:val="24"/>
          <w:highlight w:val="none"/>
        </w:rPr>
      </w:pPr>
      <w:r>
        <w:rPr>
          <w:rFonts w:hint="eastAsia" w:cs="黑体" w:asciiTheme="minorEastAsia" w:hAnsiTheme="minorEastAsia"/>
          <w:bCs/>
          <w:sz w:val="28"/>
          <w:szCs w:val="24"/>
          <w:highlight w:val="none"/>
        </w:rPr>
        <w:t>满意度指标二级指标得分情况表</w:t>
      </w:r>
    </w:p>
    <w:tbl>
      <w:tblPr>
        <w:tblStyle w:val="15"/>
        <w:tblW w:w="4998" w:type="pct"/>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840"/>
        <w:gridCol w:w="1805"/>
        <w:gridCol w:w="1602"/>
        <w:gridCol w:w="2272"/>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二级指标</w:t>
            </w:r>
          </w:p>
        </w:tc>
        <w:tc>
          <w:tcPr>
            <w:tcW w:w="1059"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分值</w:t>
            </w:r>
          </w:p>
        </w:tc>
        <w:tc>
          <w:tcPr>
            <w:tcW w:w="940"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w:t>
            </w:r>
          </w:p>
        </w:tc>
        <w:tc>
          <w:tcPr>
            <w:tcW w:w="1333" w:type="pct"/>
            <w:shd w:val="clear" w:color="auto" w:fill="BDD6EE" w:themeFill="accent1" w:themeFillTint="66"/>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bidi="ar"/>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auto"/>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highlight w:val="none"/>
              </w:rPr>
            </w:pPr>
            <w:r>
              <w:rPr>
                <w:rFonts w:hint="eastAsia" w:ascii="宋体" w:hAnsi="宋体" w:eastAsia="宋体" w:cs="宋体"/>
                <w:bCs/>
                <w:color w:val="000000"/>
                <w:kern w:val="0"/>
                <w:sz w:val="22"/>
                <w:highlight w:val="none"/>
                <w:lang w:bidi="ar"/>
              </w:rPr>
              <w:t>服务对象满意度指标</w:t>
            </w:r>
          </w:p>
        </w:tc>
        <w:tc>
          <w:tcPr>
            <w:tcW w:w="1059"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bidi="ar"/>
              </w:rPr>
              <w:t>10</w:t>
            </w:r>
          </w:p>
        </w:tc>
        <w:tc>
          <w:tcPr>
            <w:tcW w:w="940"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hint="default" w:ascii="宋体" w:hAnsi="宋体" w:eastAsia="宋体" w:cs="宋体"/>
                <w:bCs/>
                <w:color w:val="000000"/>
                <w:kern w:val="0"/>
                <w:sz w:val="22"/>
                <w:highlight w:val="none"/>
                <w:lang w:val="en-US" w:eastAsia="zh-CN" w:bidi="ar"/>
              </w:rPr>
            </w:pPr>
            <w:r>
              <w:rPr>
                <w:rFonts w:hint="eastAsia" w:ascii="宋体" w:hAnsi="宋体" w:eastAsia="宋体" w:cs="宋体"/>
                <w:bCs/>
                <w:color w:val="000000"/>
                <w:kern w:val="0"/>
                <w:sz w:val="22"/>
                <w:highlight w:val="none"/>
                <w:lang w:val="en-US" w:eastAsia="zh-CN" w:bidi="ar"/>
              </w:rPr>
              <w:t>10</w:t>
            </w:r>
          </w:p>
        </w:tc>
        <w:tc>
          <w:tcPr>
            <w:tcW w:w="1333" w:type="pct"/>
            <w:shd w:val="clear" w:color="auto" w:fill="auto"/>
            <w:noWrap/>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Cs/>
                <w:color w:val="000000"/>
                <w:kern w:val="0"/>
                <w:sz w:val="22"/>
                <w:highlight w:val="none"/>
                <w:lang w:bidi="ar"/>
              </w:rPr>
            </w:pPr>
            <w:r>
              <w:rPr>
                <w:rFonts w:hint="eastAsia" w:ascii="宋体" w:hAnsi="宋体" w:eastAsia="宋体" w:cs="宋体"/>
                <w:bCs/>
                <w:color w:val="000000"/>
                <w:kern w:val="0"/>
                <w:sz w:val="22"/>
                <w:highlight w:val="none"/>
                <w:lang w:val="en-US" w:eastAsia="zh-CN" w:bidi="ar"/>
              </w:rPr>
              <w:t>100</w:t>
            </w:r>
            <w:r>
              <w:rPr>
                <w:rFonts w:hint="eastAsia" w:ascii="宋体" w:hAnsi="宋体" w:eastAsia="宋体" w:cs="宋体"/>
                <w:bCs/>
                <w:color w:val="000000"/>
                <w:kern w:val="0"/>
                <w:sz w:val="22"/>
                <w:highlight w:val="none"/>
                <w:lang w:bidi="ar"/>
              </w:rPr>
              <w:t>%</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1666"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合计</w:t>
            </w:r>
          </w:p>
        </w:tc>
        <w:tc>
          <w:tcPr>
            <w:tcW w:w="1059"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940"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bCs/>
                <w:color w:val="000000"/>
                <w:kern w:val="0"/>
                <w:sz w:val="22"/>
                <w:highlight w:val="none"/>
                <w:lang w:bidi="ar"/>
              </w:rPr>
            </w:pPr>
            <w:r>
              <w:rPr>
                <w:rFonts w:hint="eastAsia" w:ascii="宋体" w:hAnsi="宋体" w:eastAsia="宋体" w:cs="宋体"/>
                <w:b/>
                <w:bCs/>
                <w:color w:val="000000"/>
                <w:kern w:val="0"/>
                <w:sz w:val="22"/>
                <w:highlight w:val="none"/>
                <w:lang w:bidi="ar"/>
              </w:rPr>
              <w:t>10</w:t>
            </w:r>
          </w:p>
        </w:tc>
        <w:tc>
          <w:tcPr>
            <w:tcW w:w="1333" w:type="pct"/>
            <w:shd w:val="clear" w:color="auto" w:fill="BDD6EE" w:themeFill="accent1" w:themeFillTint="66"/>
            <w:vAlign w:val="center"/>
          </w:tcPr>
          <w:p>
            <w:pPr>
              <w:keepNext w:val="0"/>
              <w:keepLines w:val="0"/>
              <w:pageBreakBefore w:val="0"/>
              <w:widowControl w:val="0"/>
              <w:kinsoku/>
              <w:wordWrap/>
              <w:overflowPunct w:val="0"/>
              <w:topLinePunct w:val="0"/>
              <w:autoSpaceDE/>
              <w:autoSpaceDN/>
              <w:bidi w:val="0"/>
              <w:adjustRightInd/>
              <w:snapToGrid/>
              <w:spacing w:line="240" w:lineRule="atLeast"/>
              <w:jc w:val="center"/>
              <w:textAlignment w:val="center"/>
              <w:rPr>
                <w:rFonts w:ascii="宋体" w:hAnsi="宋体" w:eastAsia="宋体" w:cs="宋体"/>
                <w:b/>
                <w:color w:val="000000"/>
                <w:kern w:val="0"/>
                <w:sz w:val="22"/>
                <w:highlight w:val="none"/>
                <w:lang w:bidi="ar"/>
              </w:rPr>
            </w:pPr>
            <w:r>
              <w:rPr>
                <w:rFonts w:hint="eastAsia" w:ascii="宋体" w:hAnsi="宋体" w:eastAsia="宋体" w:cs="宋体"/>
                <w:b/>
                <w:color w:val="000000"/>
                <w:kern w:val="0"/>
                <w:sz w:val="22"/>
                <w:highlight w:val="none"/>
                <w:lang w:val="en-US" w:eastAsia="zh-CN" w:bidi="ar"/>
              </w:rPr>
              <w:t>100</w:t>
            </w:r>
            <w:r>
              <w:rPr>
                <w:rFonts w:hint="eastAsia" w:ascii="宋体" w:hAnsi="宋体" w:eastAsia="宋体" w:cs="宋体"/>
                <w:b/>
                <w:color w:val="000000"/>
                <w:kern w:val="0"/>
                <w:sz w:val="22"/>
                <w:highlight w:val="none"/>
                <w:lang w:bidi="ar"/>
              </w:rPr>
              <w:t>%</w:t>
            </w:r>
          </w:p>
        </w:tc>
      </w:tr>
    </w:tbl>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评价组针对信息化建设经费项目服务对象“</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法院工作人员</w:t>
      </w:r>
      <w:r>
        <w:rPr>
          <w:rFonts w:hint="eastAsia" w:ascii="仿宋_GB2312" w:hAnsi="仿宋_GB2312" w:cs="仿宋_GB2312"/>
          <w:sz w:val="32"/>
          <w:szCs w:val="32"/>
          <w:highlight w:val="none"/>
          <w:lang w:val="en-US" w:eastAsia="zh-CN"/>
        </w:rPr>
        <w:t>满意度”制作调查问卷，</w:t>
      </w:r>
      <w:r>
        <w:rPr>
          <w:rFonts w:hint="eastAsia" w:ascii="仿宋_GB2312" w:hAnsi="仿宋_GB2312" w:eastAsia="仿宋_GB2312" w:cs="仿宋_GB2312"/>
          <w:sz w:val="32"/>
          <w:szCs w:val="32"/>
          <w:highlight w:val="none"/>
          <w:lang w:val="en-US" w:eastAsia="zh-CN"/>
        </w:rPr>
        <w:t>共发放调查问卷样本</w:t>
      </w:r>
      <w:r>
        <w:rPr>
          <w:rFonts w:hint="eastAsia" w:ascii="仿宋_GB2312" w:hAnsi="仿宋_GB2312" w:cs="仿宋_GB2312"/>
          <w:sz w:val="32"/>
          <w:szCs w:val="32"/>
          <w:highlight w:val="none"/>
          <w:lang w:val="en-US" w:eastAsia="zh-CN"/>
        </w:rPr>
        <w:t>157</w:t>
      </w:r>
      <w:r>
        <w:rPr>
          <w:rFonts w:hint="eastAsia" w:ascii="仿宋_GB2312" w:hAnsi="仿宋_GB2312" w:eastAsia="仿宋_GB2312" w:cs="仿宋_GB2312"/>
          <w:sz w:val="32"/>
          <w:szCs w:val="32"/>
          <w:highlight w:val="none"/>
          <w:lang w:val="en-US" w:eastAsia="zh-CN"/>
        </w:rPr>
        <w:t>份，回收调查问卷</w:t>
      </w:r>
      <w:r>
        <w:rPr>
          <w:rFonts w:hint="eastAsia" w:ascii="仿宋_GB2312" w:hAnsi="仿宋_GB2312" w:cs="仿宋_GB2312"/>
          <w:sz w:val="32"/>
          <w:szCs w:val="32"/>
          <w:highlight w:val="none"/>
          <w:lang w:val="en-US" w:eastAsia="zh-CN"/>
        </w:rPr>
        <w:t>157</w:t>
      </w:r>
      <w:r>
        <w:rPr>
          <w:rFonts w:hint="eastAsia" w:ascii="仿宋_GB2312" w:hAnsi="仿宋_GB2312" w:eastAsia="仿宋_GB2312" w:cs="仿宋_GB2312"/>
          <w:sz w:val="32"/>
          <w:szCs w:val="32"/>
          <w:highlight w:val="none"/>
          <w:lang w:val="en-US" w:eastAsia="zh-CN"/>
        </w:rPr>
        <w:t>份</w:t>
      </w:r>
      <w:r>
        <w:rPr>
          <w:rFonts w:hint="eastAsia" w:ascii="仿宋_GB2312" w:hAnsi="仿宋_GB2312" w:cs="仿宋_GB2312"/>
          <w:sz w:val="32"/>
          <w:szCs w:val="32"/>
          <w:highlight w:val="none"/>
          <w:lang w:val="en-US" w:eastAsia="zh-CN"/>
        </w:rPr>
        <w:t>。</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法院工作</w:t>
      </w:r>
      <w:r>
        <w:rPr>
          <w:rFonts w:hint="eastAsia" w:ascii="仿宋_GB2312" w:hAnsi="仿宋_GB2312" w:eastAsia="仿宋_GB2312" w:cs="仿宋_GB2312"/>
          <w:color w:val="000000" w:themeColor="text1"/>
          <w:sz w:val="32"/>
          <w:szCs w:val="32"/>
          <w:highlight w:val="none"/>
          <w14:textFill>
            <w14:solidFill>
              <w14:schemeClr w14:val="tx1"/>
            </w14:solidFill>
          </w14:textFill>
        </w:rPr>
        <w:t>人员</w:t>
      </w:r>
      <w:r>
        <w:rPr>
          <w:rFonts w:hint="eastAsia" w:ascii="仿宋_GB2312" w:hAnsi="仿宋_GB2312" w:cs="仿宋_GB2312"/>
          <w:sz w:val="32"/>
          <w:szCs w:val="32"/>
          <w:highlight w:val="none"/>
          <w:lang w:val="en-US" w:eastAsia="zh-CN"/>
        </w:rPr>
        <w:t>对信息化平台操作过程</w:t>
      </w:r>
      <w:r>
        <w:rPr>
          <w:rFonts w:hint="eastAsia"/>
          <w:highlight w:val="none"/>
          <w:lang w:val="en-US" w:eastAsia="zh-CN"/>
        </w:rPr>
        <w:t>、</w:t>
      </w:r>
      <w:r>
        <w:rPr>
          <w:rFonts w:hint="eastAsia" w:ascii="仿宋_GB2312" w:hAnsi="仿宋_GB2312" w:cs="仿宋_GB2312"/>
          <w:sz w:val="32"/>
          <w:szCs w:val="32"/>
          <w:highlight w:val="none"/>
          <w:lang w:val="en-US" w:eastAsia="zh-CN"/>
        </w:rPr>
        <w:t>工作效率</w:t>
      </w:r>
      <w:r>
        <w:rPr>
          <w:rFonts w:hint="eastAsia"/>
          <w:highlight w:val="none"/>
          <w:lang w:val="en-US" w:eastAsia="zh-CN"/>
        </w:rPr>
        <w:t>、</w:t>
      </w:r>
      <w:r>
        <w:rPr>
          <w:rFonts w:hint="eastAsia" w:ascii="仿宋_GB2312" w:hAnsi="仿宋_GB2312" w:cs="仿宋_GB2312"/>
          <w:sz w:val="32"/>
          <w:szCs w:val="32"/>
          <w:highlight w:val="none"/>
          <w:lang w:val="en-US" w:eastAsia="zh-CN"/>
        </w:rPr>
        <w:t>信息化建设</w:t>
      </w:r>
      <w:r>
        <w:rPr>
          <w:rFonts w:hint="eastAsia"/>
          <w:highlight w:val="none"/>
          <w:lang w:val="en-US" w:eastAsia="zh-CN"/>
        </w:rPr>
        <w:t>整体情况均表示满意</w:t>
      </w:r>
      <w:r>
        <w:rPr>
          <w:rFonts w:hint="eastAsia" w:ascii="仿宋_GB2312" w:hAnsi="仿宋_GB2312" w:eastAsia="仿宋_GB2312" w:cs="仿宋_GB2312"/>
          <w:sz w:val="32"/>
          <w:szCs w:val="32"/>
          <w:highlight w:val="none"/>
          <w:lang w:val="en-US" w:eastAsia="zh-CN"/>
        </w:rPr>
        <w:t>。</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从汇总数据看，</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法院工作</w:t>
      </w:r>
      <w:r>
        <w:rPr>
          <w:rFonts w:hint="eastAsia" w:ascii="仿宋_GB2312" w:hAnsi="仿宋_GB2312" w:eastAsia="仿宋_GB2312" w:cs="仿宋_GB2312"/>
          <w:color w:val="000000" w:themeColor="text1"/>
          <w:sz w:val="32"/>
          <w:szCs w:val="32"/>
          <w:highlight w:val="none"/>
          <w14:textFill>
            <w14:solidFill>
              <w14:schemeClr w14:val="tx1"/>
            </w14:solidFill>
          </w14:textFill>
        </w:rPr>
        <w:t>人员</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对</w:t>
      </w:r>
      <w:r>
        <w:rPr>
          <w:rFonts w:hint="eastAsia" w:ascii="仿宋_GB2312" w:hAnsi="仿宋_GB2312" w:cs="仿宋_GB2312"/>
          <w:sz w:val="32"/>
          <w:szCs w:val="32"/>
          <w:highlight w:val="none"/>
          <w:lang w:val="en-US" w:eastAsia="zh-CN"/>
        </w:rPr>
        <w:t>信息化建设整体满意度较好</w:t>
      </w:r>
      <w:r>
        <w:rPr>
          <w:rFonts w:hint="eastAsia" w:ascii="仿宋_GB2312" w:hAnsi="仿宋_GB2312" w:eastAsia="仿宋_GB2312" w:cs="仿宋_GB2312"/>
          <w:sz w:val="32"/>
          <w:szCs w:val="32"/>
          <w:highlight w:val="none"/>
          <w:lang w:val="en-US" w:eastAsia="zh-CN"/>
        </w:rPr>
        <w:t>，整体满意度在</w:t>
      </w:r>
      <w:r>
        <w:rPr>
          <w:rFonts w:hint="eastAsia" w:ascii="仿宋_GB2312" w:hAnsi="仿宋_GB2312" w:cs="仿宋_GB2312"/>
          <w:sz w:val="32"/>
          <w:szCs w:val="32"/>
          <w:highlight w:val="none"/>
          <w:lang w:val="en-US" w:eastAsia="zh-CN"/>
        </w:rPr>
        <w:t>90.01</w:t>
      </w:r>
      <w:r>
        <w:rPr>
          <w:rFonts w:hint="eastAsia" w:ascii="仿宋_GB2312" w:hAnsi="仿宋_GB2312" w:eastAsia="仿宋_GB2312" w:cs="仿宋_GB2312"/>
          <w:sz w:val="32"/>
          <w:szCs w:val="32"/>
          <w:highlight w:val="none"/>
          <w:lang w:val="en-US" w:eastAsia="zh-CN"/>
        </w:rPr>
        <w:t>%，达到了该项目的实施目的，带来了很好的社会效益和社会反响。根据评分标准，据评分标准，本指标分值10分，评价得分10分。</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hAnsi="黑体" w:eastAsia="黑体" w:cs="仿宋"/>
          <w:b w:val="0"/>
          <w:bCs w:val="0"/>
          <w:highlight w:val="none"/>
        </w:rPr>
      </w:pPr>
      <w:bookmarkStart w:id="139" w:name="_Toc14909"/>
      <w:bookmarkStart w:id="140" w:name="_Toc8319"/>
      <w:bookmarkStart w:id="141" w:name="_Toc27911"/>
      <w:r>
        <w:rPr>
          <w:rFonts w:hint="eastAsia" w:ascii="黑体" w:hAnsi="黑体" w:eastAsia="黑体" w:cs="仿宋"/>
          <w:b w:val="0"/>
          <w:bCs w:val="0"/>
          <w:highlight w:val="none"/>
        </w:rPr>
        <w:t>六、项目主要经验及做法</w:t>
      </w:r>
      <w:bookmarkEnd w:id="139"/>
      <w:bookmarkEnd w:id="140"/>
      <w:bookmarkEnd w:id="141"/>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jc w:val="both"/>
        <w:textAlignment w:val="auto"/>
        <w:outlineLvl w:val="1"/>
        <w:rPr>
          <w:rFonts w:hint="eastAsia" w:ascii="仿宋_GB2312" w:hAnsi="仿宋_GB2312" w:cs="仿宋_GB2312"/>
          <w:highlight w:val="none"/>
          <w:lang w:val="en-US" w:eastAsia="zh-CN"/>
        </w:rPr>
      </w:pPr>
      <w:bookmarkStart w:id="142" w:name="_Toc10538"/>
      <w:r>
        <w:rPr>
          <w:rFonts w:hint="eastAsia" w:ascii="楷体" w:hAnsi="楷体" w:eastAsia="楷体" w:cs="楷体"/>
          <w:b/>
          <w:bCs/>
          <w:highlight w:val="none"/>
          <w:lang w:val="en-US" w:eastAsia="zh-CN"/>
        </w:rPr>
        <w:t>对信息化运维服务全过程进行监督，</w:t>
      </w:r>
      <w:bookmarkEnd w:id="142"/>
      <w:r>
        <w:rPr>
          <w:rFonts w:hint="eastAsia" w:ascii="楷体" w:hAnsi="楷体" w:eastAsia="楷体" w:cs="楷体"/>
          <w:b/>
          <w:bCs/>
          <w:highlight w:val="none"/>
          <w:lang w:val="en-US" w:eastAsia="zh-CN"/>
        </w:rPr>
        <w:t>确保运维服务和运维工作得到有效履行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中共甘肃省高级人民法院党组议纪要》（2018年第24次）会议提出，在项目建设过程中，聘请专业的第三方监理公司全程参与建设，监理公司负责项目的质量把关，按照设计要求监督项目建设方的建设工作。《甘肃省高级人民法院院长办公会会议纪要》（2020年第1次）会议提出，院党组会研究通过了省法院大运维中心建设方案，要求省法院大运维中心引入运维监理，通过第三方监管，确保运维服务合同内容和各项运维工作要求得到有效履行。</w:t>
      </w:r>
    </w:p>
    <w:p>
      <w:pPr>
        <w:pStyle w:val="2"/>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监理方严格按照合同委托，对省法院信息化系统外包服务实施监理，在监理服务工作周期内，按时提交月报、季报，运维工作监理考核报告、监理周报、监理工作联系单、会议记录、机房检查记录、客户满意度调研表等相关资料。监理人员督促运维人员完善各项巡检记录表，目前运维项目工作流程已逐步完善，并制定了《运维人员着装管理办法》和《软硬件系统建设监督管理流程》。监理方完善了规范的运维服务体系，对运维服务全过程进行监督，有效地保障了运维服务。</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hAnsi="黑体" w:eastAsia="黑体" w:cs="仿宋"/>
          <w:b w:val="0"/>
          <w:bCs w:val="0"/>
          <w:highlight w:val="none"/>
        </w:rPr>
      </w:pPr>
      <w:bookmarkStart w:id="143" w:name="_Toc18018"/>
      <w:bookmarkStart w:id="144" w:name="_Toc15152"/>
      <w:bookmarkStart w:id="145" w:name="_Toc25717"/>
      <w:r>
        <w:rPr>
          <w:rFonts w:hint="eastAsia" w:ascii="黑体" w:hAnsi="黑体" w:eastAsia="黑体" w:cs="仿宋"/>
          <w:b w:val="0"/>
          <w:bCs w:val="0"/>
          <w:highlight w:val="none"/>
        </w:rPr>
        <w:t>七、存在的问题及原因分析</w:t>
      </w:r>
      <w:bookmarkEnd w:id="143"/>
      <w:bookmarkEnd w:id="144"/>
      <w:bookmarkEnd w:id="145"/>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Style w:val="25"/>
          <w:rFonts w:hint="default" w:ascii="楷体" w:hAnsi="楷体" w:eastAsia="楷体" w:cs="楷体"/>
          <w:szCs w:val="32"/>
          <w:highlight w:val="none"/>
          <w:lang w:val="en-US" w:eastAsia="zh-CN"/>
        </w:rPr>
      </w:pPr>
      <w:bookmarkStart w:id="146" w:name="_Toc5494"/>
      <w:bookmarkStart w:id="147" w:name="_Toc2874"/>
      <w:bookmarkStart w:id="148" w:name="_Toc14622"/>
      <w:bookmarkStart w:id="149" w:name="_Toc19507"/>
      <w:r>
        <w:rPr>
          <w:rStyle w:val="25"/>
          <w:rFonts w:hint="eastAsia" w:ascii="楷体" w:hAnsi="楷体" w:eastAsia="楷体" w:cs="楷体"/>
          <w:szCs w:val="32"/>
          <w:highlight w:val="none"/>
          <w:lang w:val="en-US" w:eastAsia="zh-CN"/>
        </w:rPr>
        <w:t>绩效目标编制合理性有待进一步提高</w:t>
      </w:r>
      <w:bookmarkEnd w:id="146"/>
    </w:p>
    <w:bookmarkEnd w:id="147"/>
    <w:p>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sz w:val="32"/>
          <w:szCs w:val="32"/>
          <w:highlight w:val="none"/>
          <w:lang w:val="en-US" w:eastAsia="zh-CN"/>
        </w:rPr>
      </w:pPr>
      <w:bookmarkStart w:id="150" w:name="_Toc8562"/>
      <w:bookmarkStart w:id="151" w:name="_Toc10778"/>
      <w:bookmarkStart w:id="152" w:name="_Toc8095"/>
      <w:r>
        <w:rPr>
          <w:rFonts w:hint="eastAsia" w:ascii="仿宋_GB2312" w:hAnsi="仿宋_GB2312" w:eastAsia="仿宋_GB2312" w:cs="仿宋_GB2312"/>
          <w:sz w:val="32"/>
          <w:szCs w:val="32"/>
          <w:highlight w:val="none"/>
          <w:lang w:val="en-US" w:eastAsia="zh-CN"/>
        </w:rPr>
        <w:t>绩效指标是绩效目标的具体化，在项目实施的各个阶段发挥引导、考核、监督的作用。经查看信息化建设经费项目绩效目标，“可持续影响指标－信息化运维人数”不属于效益指标，应调整为数量指标，本次绩效评价已根据调整后指标进行评价。</w:t>
      </w:r>
      <w:bookmarkEnd w:id="150"/>
    </w:p>
    <w:bookmarkEnd w:id="148"/>
    <w:bookmarkEnd w:id="149"/>
    <w:bookmarkEnd w:id="151"/>
    <w:bookmarkEnd w:id="152"/>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ascii="黑体" w:hAnsi="黑体" w:eastAsia="黑体" w:cs="仿宋"/>
          <w:highlight w:val="none"/>
        </w:rPr>
      </w:pPr>
      <w:bookmarkStart w:id="153" w:name="_Toc15149"/>
      <w:bookmarkStart w:id="154" w:name="_Toc9837"/>
      <w:bookmarkStart w:id="155" w:name="_Toc20992"/>
      <w:r>
        <w:rPr>
          <w:rFonts w:hint="eastAsia" w:ascii="黑体" w:hAnsi="黑体" w:eastAsia="黑体" w:cs="仿宋"/>
          <w:highlight w:val="none"/>
        </w:rPr>
        <w:t>八、有关建议</w:t>
      </w:r>
      <w:bookmarkEnd w:id="153"/>
      <w:bookmarkEnd w:id="154"/>
      <w:bookmarkEnd w:id="155"/>
    </w:p>
    <w:p>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jc w:val="both"/>
        <w:textAlignment w:val="auto"/>
        <w:outlineLvl w:val="1"/>
        <w:rPr>
          <w:rStyle w:val="25"/>
          <w:rFonts w:ascii="楷体" w:hAnsi="楷体" w:eastAsia="楷体" w:cs="楷体"/>
          <w:szCs w:val="32"/>
          <w:highlight w:val="none"/>
        </w:rPr>
      </w:pPr>
      <w:bookmarkStart w:id="156" w:name="_Toc8978"/>
      <w:r>
        <w:rPr>
          <w:rStyle w:val="25"/>
          <w:rFonts w:hint="eastAsia" w:ascii="楷体" w:hAnsi="楷体" w:eastAsia="楷体" w:cs="楷体"/>
          <w:szCs w:val="32"/>
          <w:highlight w:val="none"/>
        </w:rPr>
        <w:t>加强绩效管理，提高绩效</w:t>
      </w:r>
      <w:r>
        <w:rPr>
          <w:rStyle w:val="25"/>
          <w:rFonts w:hint="eastAsia" w:ascii="楷体" w:hAnsi="楷体" w:eastAsia="楷体" w:cs="楷体"/>
          <w:szCs w:val="32"/>
          <w:highlight w:val="none"/>
          <w:lang w:val="en-US" w:eastAsia="zh-CN"/>
        </w:rPr>
        <w:t>目标编制</w:t>
      </w:r>
      <w:r>
        <w:rPr>
          <w:rStyle w:val="25"/>
          <w:rFonts w:hint="eastAsia" w:ascii="楷体" w:hAnsi="楷体" w:eastAsia="楷体" w:cs="楷体"/>
          <w:szCs w:val="32"/>
          <w:highlight w:val="none"/>
        </w:rPr>
        <w:t>的准确性</w:t>
      </w:r>
      <w:bookmarkEnd w:id="156"/>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ascii="仿宋" w:hAnsi="仿宋" w:eastAsia="仿宋" w:cs="仿宋"/>
          <w:highlight w:val="none"/>
        </w:rPr>
      </w:pPr>
      <w:r>
        <w:rPr>
          <w:rFonts w:hint="eastAsia" w:ascii="仿宋_GB2312" w:hAnsi="仿宋_GB2312" w:cs="仿宋_GB2312"/>
          <w:highlight w:val="none"/>
          <w:lang w:val="en-US" w:eastAsia="zh-CN"/>
        </w:rPr>
        <w:t>一是</w:t>
      </w:r>
      <w:r>
        <w:rPr>
          <w:rFonts w:hint="eastAsia" w:ascii="仿宋_GB2312" w:hAnsi="仿宋_GB2312" w:eastAsia="仿宋_GB2312" w:cs="仿宋_GB2312"/>
          <w:highlight w:val="none"/>
          <w:lang w:val="en-US" w:eastAsia="zh-CN"/>
        </w:rPr>
        <w:t>明确业务部门和财务部门在绩效目标管理中的工作分工，加强协调配合，由各业务部门负责根据所承担业务的工作计划编制明确、细化、量化的整体产出和效果指标，财务部门负责指导、审核和汇总各业务部门编制的项目产出和效果目标，完成绩效目标申报表的填报；</w:t>
      </w:r>
      <w:r>
        <w:rPr>
          <w:rFonts w:hint="eastAsia" w:ascii="仿宋_GB2312" w:hAnsi="仿宋_GB2312" w:cs="仿宋_GB2312"/>
          <w:highlight w:val="none"/>
          <w:lang w:val="en-US" w:eastAsia="zh-CN"/>
        </w:rPr>
        <w:t>二是</w:t>
      </w:r>
      <w:r>
        <w:rPr>
          <w:rFonts w:hint="eastAsia" w:ascii="仿宋_GB2312" w:hAnsi="仿宋_GB2312" w:eastAsia="仿宋_GB2312" w:cs="仿宋_GB2312"/>
          <w:highlight w:val="none"/>
          <w:lang w:val="en-US" w:eastAsia="zh-CN"/>
        </w:rPr>
        <w:t>组织开展预算绩效管理相关业务知识和技能培训，帮助相关的业务人员掌握编制绩效目标的原理和方法，从而提高绩效目标编制的水平和质量。</w:t>
      </w:r>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outlineLvl w:val="0"/>
        <w:rPr>
          <w:rFonts w:hint="eastAsia" w:ascii="黑体" w:hAnsi="黑体" w:eastAsia="黑体" w:cs="仿宋"/>
          <w:highlight w:val="none"/>
        </w:rPr>
      </w:pPr>
      <w:bookmarkStart w:id="157" w:name="_Toc14765"/>
      <w:bookmarkStart w:id="158" w:name="_Toc8653"/>
      <w:bookmarkStart w:id="159" w:name="_Toc20171"/>
      <w:r>
        <w:rPr>
          <w:rFonts w:hint="eastAsia" w:ascii="黑体" w:hAnsi="黑体" w:eastAsia="黑体" w:cs="仿宋"/>
          <w:highlight w:val="none"/>
        </w:rPr>
        <w:t>九、需要说明的问题</w:t>
      </w:r>
      <w:bookmarkEnd w:id="157"/>
      <w:bookmarkEnd w:id="158"/>
      <w:bookmarkEnd w:id="159"/>
    </w:p>
    <w:p>
      <w:pPr>
        <w:pStyle w:val="2"/>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无。</w:t>
      </w:r>
    </w:p>
    <w:p>
      <w:pPr>
        <w:pStyle w:val="2"/>
        <w:keepNext w:val="0"/>
        <w:keepLines w:val="0"/>
        <w:pageBreakBefore w:val="0"/>
        <w:widowControl w:val="0"/>
        <w:kinsoku/>
        <w:wordWrap/>
        <w:overflowPunct w:val="0"/>
        <w:topLinePunct w:val="0"/>
        <w:autoSpaceDE/>
        <w:autoSpaceDN/>
        <w:bidi w:val="0"/>
        <w:adjustRightInd/>
        <w:spacing w:line="660" w:lineRule="exact"/>
        <w:jc w:val="both"/>
        <w:outlineLvl w:val="9"/>
        <w:rPr>
          <w:rFonts w:hint="eastAsia" w:ascii="仿宋" w:hAnsi="仿宋" w:eastAsia="仿宋" w:cs="仿宋"/>
          <w:highlight w:val="none"/>
          <w:lang w:eastAsia="zh-CN"/>
        </w:rPr>
      </w:pPr>
      <w:bookmarkStart w:id="160" w:name="_Toc28005"/>
      <w:r>
        <w:rPr>
          <w:rFonts w:hint="eastAsia" w:ascii="仿宋" w:hAnsi="仿宋" w:eastAsia="仿宋" w:cs="仿宋"/>
          <w:highlight w:val="none"/>
          <w:lang w:eastAsia="zh-CN"/>
        </w:rPr>
        <w:t>（</w:t>
      </w:r>
      <w:r>
        <w:rPr>
          <w:rFonts w:hint="eastAsia" w:ascii="仿宋" w:hAnsi="仿宋" w:eastAsia="仿宋" w:cs="仿宋"/>
          <w:highlight w:val="none"/>
          <w:lang w:val="en-US" w:eastAsia="zh-CN"/>
        </w:rPr>
        <w:t>本页无正文</w:t>
      </w:r>
      <w:r>
        <w:rPr>
          <w:rFonts w:hint="eastAsia" w:ascii="仿宋" w:hAnsi="仿宋" w:eastAsia="仿宋" w:cs="仿宋"/>
          <w:highlight w:val="none"/>
          <w:lang w:eastAsia="zh-CN"/>
        </w:rPr>
        <w:t>）</w:t>
      </w:r>
    </w:p>
    <w:p>
      <w:pPr>
        <w:pStyle w:val="2"/>
        <w:keepNext w:val="0"/>
        <w:keepLines w:val="0"/>
        <w:pageBreakBefore w:val="0"/>
        <w:widowControl w:val="0"/>
        <w:kinsoku/>
        <w:wordWrap/>
        <w:overflowPunct w:val="0"/>
        <w:topLinePunct w:val="0"/>
        <w:autoSpaceDE/>
        <w:autoSpaceDN/>
        <w:bidi w:val="0"/>
        <w:adjustRightInd/>
        <w:spacing w:line="660" w:lineRule="exact"/>
        <w:jc w:val="both"/>
        <w:outlineLvl w:val="9"/>
        <w:rPr>
          <w:rFonts w:ascii="仿宋" w:hAnsi="仿宋" w:eastAsia="仿宋" w:cs="仿宋"/>
          <w:highlight w:val="none"/>
        </w:rPr>
      </w:pPr>
      <w:r>
        <w:rPr>
          <w:rFonts w:hint="eastAsia" w:ascii="仿宋" w:hAnsi="仿宋" w:eastAsia="仿宋" w:cs="仿宋"/>
          <w:highlight w:val="none"/>
        </w:rPr>
        <w:t>附表：1.</w:t>
      </w:r>
      <w:bookmarkEnd w:id="160"/>
      <w:r>
        <w:rPr>
          <w:rFonts w:hint="eastAsia" w:ascii="仿宋" w:hAnsi="仿宋" w:eastAsia="仿宋" w:cs="仿宋"/>
          <w:highlight w:val="none"/>
        </w:rPr>
        <w:t>信息化建设经费（其中“12368”司法平台运行维护费50万元）项目支出绩效评价评分表</w:t>
      </w:r>
    </w:p>
    <w:p>
      <w:pPr>
        <w:pStyle w:val="2"/>
        <w:keepNext w:val="0"/>
        <w:keepLines w:val="0"/>
        <w:pageBreakBefore w:val="0"/>
        <w:widowControl w:val="0"/>
        <w:kinsoku/>
        <w:wordWrap/>
        <w:overflowPunct w:val="0"/>
        <w:topLinePunct w:val="0"/>
        <w:autoSpaceDE/>
        <w:autoSpaceDN/>
        <w:bidi w:val="0"/>
        <w:adjustRightInd/>
        <w:snapToGrid/>
        <w:spacing w:line="660" w:lineRule="exact"/>
        <w:ind w:left="0" w:leftChars="0" w:firstLine="960" w:firstLineChars="300"/>
        <w:jc w:val="both"/>
        <w:textAlignment w:val="auto"/>
        <w:outlineLvl w:val="9"/>
        <w:rPr>
          <w:rFonts w:ascii="仿宋" w:hAnsi="仿宋" w:eastAsia="仿宋" w:cs="仿宋"/>
          <w:highlight w:val="none"/>
        </w:rPr>
      </w:pPr>
      <w:bookmarkStart w:id="161" w:name="_Toc15958"/>
      <w:r>
        <w:rPr>
          <w:rFonts w:hint="eastAsia" w:ascii="仿宋" w:hAnsi="仿宋" w:eastAsia="仿宋" w:cs="仿宋"/>
          <w:highlight w:val="none"/>
        </w:rPr>
        <w:t>2.202</w:t>
      </w:r>
      <w:r>
        <w:rPr>
          <w:rFonts w:hint="eastAsia" w:ascii="仿宋" w:hAnsi="仿宋" w:eastAsia="仿宋" w:cs="仿宋"/>
          <w:highlight w:val="none"/>
          <w:lang w:val="en-US" w:eastAsia="zh-CN"/>
        </w:rPr>
        <w:t>2</w:t>
      </w:r>
      <w:r>
        <w:rPr>
          <w:rFonts w:hint="eastAsia" w:ascii="仿宋" w:hAnsi="仿宋" w:eastAsia="仿宋" w:cs="仿宋"/>
          <w:highlight w:val="none"/>
        </w:rPr>
        <w:t>年部门</w:t>
      </w:r>
      <w:r>
        <w:rPr>
          <w:rFonts w:hint="eastAsia" w:ascii="仿宋" w:hAnsi="仿宋" w:eastAsia="仿宋" w:cs="仿宋"/>
          <w:highlight w:val="none"/>
          <w:lang w:eastAsia="zh-CN"/>
        </w:rPr>
        <w:t>信息化建设经费（其中“12368”司法平台运行维护费50万元）</w:t>
      </w:r>
      <w:r>
        <w:rPr>
          <w:rFonts w:ascii="仿宋" w:hAnsi="仿宋" w:eastAsia="仿宋" w:cs="仿宋"/>
          <w:highlight w:val="none"/>
        </w:rPr>
        <w:t>项目</w:t>
      </w:r>
      <w:r>
        <w:rPr>
          <w:rFonts w:hint="eastAsia" w:ascii="仿宋" w:hAnsi="仿宋" w:eastAsia="仿宋" w:cs="仿宋"/>
          <w:highlight w:val="none"/>
        </w:rPr>
        <w:t>支出绩效评价表</w:t>
      </w:r>
    </w:p>
    <w:bookmarkEnd w:id="161"/>
    <w:p>
      <w:pPr>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r>
        <w:rPr>
          <w:rFonts w:hint="eastAsia" w:ascii="仿宋" w:hAnsi="仿宋" w:eastAsia="仿宋" w:cs="仿宋"/>
          <w:sz w:val="32"/>
          <w:szCs w:val="32"/>
          <w:highlight w:val="none"/>
        </w:rPr>
        <w:t xml:space="preserve">                           甘肃卓诚财务咨询有限公司</w:t>
      </w:r>
    </w:p>
    <w:p>
      <w:pPr>
        <w:pStyle w:val="12"/>
        <w:keepNext w:val="0"/>
        <w:keepLines w:val="0"/>
        <w:pageBreakBefore w:val="0"/>
        <w:widowControl w:val="0"/>
        <w:kinsoku/>
        <w:wordWrap/>
        <w:overflowPunct w:val="0"/>
        <w:topLinePunct w:val="0"/>
        <w:autoSpaceDE/>
        <w:autoSpaceDN/>
        <w:bidi w:val="0"/>
        <w:adjustRightInd/>
        <w:jc w:val="both"/>
        <w:rPr>
          <w:rFonts w:ascii="仿宋" w:hAnsi="仿宋" w:eastAsia="仿宋" w:cs="仿宋"/>
          <w:sz w:val="32"/>
          <w:szCs w:val="32"/>
          <w:highlight w:val="none"/>
        </w:rPr>
      </w:pPr>
      <w:r>
        <w:rPr>
          <w:rFonts w:hint="eastAsia" w:ascii="仿宋" w:hAnsi="仿宋" w:eastAsia="仿宋" w:cs="仿宋"/>
          <w:sz w:val="32"/>
          <w:szCs w:val="32"/>
          <w:highlight w:val="none"/>
        </w:rPr>
        <w:t xml:space="preserve">                                     </w:t>
      </w:r>
    </w:p>
    <w:p>
      <w:pPr>
        <w:pStyle w:val="12"/>
        <w:keepNext w:val="0"/>
        <w:keepLines w:val="0"/>
        <w:pageBreakBefore w:val="0"/>
        <w:widowControl w:val="0"/>
        <w:kinsoku/>
        <w:wordWrap/>
        <w:overflowPunct w:val="0"/>
        <w:topLinePunct w:val="0"/>
        <w:autoSpaceDE/>
        <w:autoSpaceDN/>
        <w:bidi w:val="0"/>
        <w:adjustRightInd/>
        <w:ind w:firstLine="5120" w:firstLineChars="1600"/>
        <w:jc w:val="both"/>
        <w:rPr>
          <w:rFonts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月</w:t>
      </w:r>
      <w:r>
        <w:rPr>
          <w:rFonts w:hint="eastAsia" w:ascii="仿宋" w:hAnsi="仿宋" w:eastAsia="仿宋" w:cs="仿宋"/>
          <w:sz w:val="32"/>
          <w:szCs w:val="32"/>
          <w:highlight w:val="none"/>
          <w:lang w:val="en-US" w:eastAsia="zh-CN"/>
        </w:rPr>
        <w:t>29</w:t>
      </w:r>
      <w:r>
        <w:rPr>
          <w:rFonts w:hint="eastAsia" w:ascii="仿宋" w:hAnsi="仿宋" w:eastAsia="仿宋" w:cs="仿宋"/>
          <w:sz w:val="32"/>
          <w:szCs w:val="32"/>
          <w:highlight w:val="none"/>
        </w:rPr>
        <w:t>日</w:t>
      </w:r>
    </w:p>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72329B-B19D-462C-A26B-AF63DDBC44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DF62C5EF-6BC8-4F41-A9C5-E284D2ED57D8}"/>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49630445-935D-43E1-AFF9-2C4D785FF67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embedRegular r:id="rId4" w:fontKey="{9089578C-CCCE-45B0-A01F-565C5DBAB604}"/>
  </w:font>
  <w:font w:name="楷体">
    <w:panose1 w:val="02010609060101010101"/>
    <w:charset w:val="86"/>
    <w:family w:val="modern"/>
    <w:pitch w:val="default"/>
    <w:sig w:usb0="800002BF" w:usb1="38CF7CFA" w:usb2="00000016" w:usb3="00000000" w:csb0="00040001" w:csb1="00000000"/>
    <w:embedRegular r:id="rId5" w:fontKey="{4FF29845-456B-4BC6-9DB6-C19AB1D1BD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none" w:color="auto" w:sz="0" w:space="1"/>
        <w:left w:val="none" w:color="auto" w:sz="0" w:space="4"/>
        <w:bottom w:val="none" w:color="auto" w:sz="0" w:space="1"/>
        <w:right w:val="none" w:color="auto" w:sz="0" w:space="4"/>
        <w:between w:val="none" w:color="auto" w:sz="0" w:space="0"/>
      </w:pBdr>
      <w:snapToGrid w:val="0"/>
      <w:spacing w:line="360" w:lineRule="auto"/>
      <w:ind w:firstLine="0" w:firstLineChars="0"/>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spacing w:line="360" w:lineRule="auto"/>
      <w:ind w:firstLine="0" w:firstLineChars="0"/>
      <w:jc w:val="center"/>
      <w:rPr>
        <w:rFonts w:hint="eastAsia" w:ascii="黑体" w:hAnsi="黑体" w:eastAsia="黑体" w:cs="黑体"/>
        <w:b w:val="0"/>
        <w:bCs w:val="0"/>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val="0"/>
      <w:pBdr>
        <w:top w:val="single" w:color="auto" w:sz="4" w:space="1"/>
        <w:left w:val="none" w:color="auto" w:sz="0" w:space="4"/>
        <w:bottom w:val="none" w:color="auto" w:sz="0" w:space="1"/>
        <w:right w:val="none" w:color="auto" w:sz="0" w:space="4"/>
        <w:between w:val="none" w:color="auto" w:sz="0" w:space="0"/>
      </w:pBdr>
      <w:snapToGrid w:val="0"/>
      <w:jc w:val="center"/>
      <w:rPr>
        <w:rFonts w:hint="eastAsia" w:ascii="黑体" w:hAnsi="黑体" w:eastAsia="黑体" w:cs="黑体"/>
        <w:b w:val="0"/>
        <w:bCs w:val="0"/>
      </w:rPr>
    </w:pPr>
    <w:r>
      <w:rPr>
        <w:rFonts w:hint="eastAsia" w:ascii="黑体" w:hAnsi="黑体" w:eastAsia="黑体" w:cs="黑体"/>
        <w:b w:val="0"/>
        <w:bCs w:val="0"/>
      </w:rPr>
      <w:t>地址：甘肃省兰州市城关区</w:t>
    </w:r>
    <w:r>
      <w:rPr>
        <w:rFonts w:hint="eastAsia" w:ascii="黑体" w:hAnsi="黑体" w:eastAsia="黑体" w:cs="黑体"/>
        <w:b w:val="0"/>
        <w:bCs w:val="0"/>
        <w:lang w:val="en-US" w:eastAsia="zh-CN"/>
      </w:rPr>
      <w:t>南滨河</w:t>
    </w:r>
    <w:r>
      <w:rPr>
        <w:rFonts w:hint="eastAsia" w:ascii="黑体" w:hAnsi="黑体" w:eastAsia="黑体" w:cs="黑体"/>
        <w:b w:val="0"/>
        <w:bCs w:val="0"/>
      </w:rPr>
      <w:t>东路</w:t>
    </w:r>
    <w:r>
      <w:rPr>
        <w:rFonts w:hint="eastAsia" w:ascii="黑体" w:hAnsi="黑体" w:eastAsia="黑体" w:cs="黑体"/>
        <w:b w:val="0"/>
        <w:bCs w:val="0"/>
        <w:lang w:val="en-US" w:eastAsia="zh-CN"/>
      </w:rPr>
      <w:t>5148</w:t>
    </w:r>
    <w:r>
      <w:rPr>
        <w:rFonts w:hint="eastAsia" w:ascii="黑体" w:hAnsi="黑体" w:eastAsia="黑体" w:cs="黑体"/>
        <w:b w:val="0"/>
        <w:bCs w:val="0"/>
      </w:rPr>
      <w:t>号</w:t>
    </w:r>
    <w:r>
      <w:rPr>
        <w:rFonts w:hint="eastAsia" w:ascii="黑体" w:hAnsi="黑体" w:eastAsia="黑体" w:cs="黑体"/>
        <w:b w:val="0"/>
        <w:bCs w:val="0"/>
        <w:lang w:val="en-US" w:eastAsia="zh-CN"/>
      </w:rPr>
      <w:t>名城广场1栋1单元20</w:t>
    </w:r>
    <w:r>
      <w:rPr>
        <w:rFonts w:hint="eastAsia" w:ascii="黑体" w:hAnsi="黑体" w:eastAsia="黑体" w:cs="黑体"/>
        <w:b w:val="0"/>
        <w:bCs w:val="0"/>
      </w:rPr>
      <w:t>层</w:t>
    </w:r>
    <w:r>
      <w:rPr>
        <w:rFonts w:hint="eastAsia" w:ascii="黑体" w:hAnsi="黑体" w:eastAsia="黑体" w:cs="黑体"/>
        <w:b w:val="0"/>
        <w:bCs w:val="0"/>
        <w:lang w:val="en-US" w:eastAsia="zh-CN"/>
      </w:rPr>
      <w:t>2016室</w:t>
    </w:r>
    <w:r>
      <w:rPr>
        <w:rFonts w:hint="eastAsia" w:ascii="黑体" w:hAnsi="黑体" w:eastAsia="黑体" w:cs="黑体"/>
        <w:b w:val="0"/>
        <w:bCs w:val="0"/>
      </w:rPr>
      <w:t xml:space="preserve">    </w:t>
    </w:r>
    <w:r>
      <w:rPr>
        <w:rFonts w:hint="eastAsia" w:ascii="黑体" w:hAnsi="黑体" w:eastAsia="黑体" w:cs="黑体"/>
        <w:b w:val="0"/>
        <w:bCs w:val="0"/>
        <w:lang w:val="en-US" w:eastAsia="zh-CN"/>
      </w:rPr>
      <w:t xml:space="preserve">   </w:t>
    </w:r>
    <w:r>
      <w:rPr>
        <w:rFonts w:hint="eastAsia" w:ascii="黑体" w:hAnsi="黑体" w:eastAsia="黑体" w:cs="黑体"/>
        <w:b w:val="0"/>
        <w:bCs w:val="0"/>
      </w:rPr>
      <w:t>电话：0931-2906259</w:t>
    </w:r>
  </w:p>
  <w:p>
    <w:pPr>
      <w:pStyle w:val="3"/>
      <w:widowControl w:val="0"/>
      <w:pBdr>
        <w:top w:val="single" w:color="auto" w:sz="4" w:space="1"/>
        <w:left w:val="none" w:color="auto" w:sz="0" w:space="4"/>
        <w:bottom w:val="none" w:color="auto" w:sz="0" w:space="1"/>
        <w:right w:val="none" w:color="auto" w:sz="0" w:space="4"/>
        <w:between w:val="none" w:color="auto" w:sz="0" w:space="0"/>
      </w:pBdr>
      <w:snapToGrid w:val="0"/>
    </w:pPr>
    <w:r>
      <mc:AlternateContent>
        <mc:Choice Requires="wps">
          <w:drawing>
            <wp:anchor distT="0" distB="0" distL="114300" distR="114300" simplePos="0" relativeHeight="251659264" behindDoc="0" locked="0" layoutInCell="1" allowOverlap="1">
              <wp:simplePos x="0" y="0"/>
              <wp:positionH relativeFrom="margin">
                <wp:posOffset>2500630</wp:posOffset>
              </wp:positionH>
              <wp:positionV relativeFrom="paragraph">
                <wp:posOffset>3175</wp:posOffset>
              </wp:positionV>
              <wp:extent cx="273050" cy="3200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73050" cy="3200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87246988"/>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18"/>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6.9pt;margin-top:0.25pt;height:25.2pt;width:21.5pt;mso-position-horizontal-relative:margin;z-index:251659264;mso-width-relative:page;mso-height-relative:page;" filled="f" stroked="f" coordsize="21600,21600" o:gfxdata="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XqUkNdQAAAAHAQAADwAAAAAAAAABACAAAAAiAAAAZHJzL2Rvd25yZXYueG1sUEsBAhQA&#10;FAAAAAgAh07iQBgpJfkvAgAAVQQAAA4AAAAAAAAAAQAgAAAAIwEAAGRycy9lMm9Eb2MueG1sUEsF&#10;BgAAAAAGAAYAWQEAAMQFAAAAAA==&#10;">
              <v:fill on="f" focussize="0,0"/>
              <v:stroke on="f" weight="0.5pt"/>
              <v:imagedata o:title=""/>
              <o:lock v:ext="edit" aspectratio="f"/>
              <v:textbox inset="0mm,0mm,0mm,0mm">
                <w:txbxContent>
                  <w:sdt>
                    <w:sdtPr>
                      <w:id w:val="-487246988"/>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18"/>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firstLineChars="0"/>
      <w:jc w:val="both"/>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1333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绩效评价报告</w:t>
    </w:r>
  </w:p>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7D1ACB"/>
    <w:multiLevelType w:val="singleLevel"/>
    <w:tmpl w:val="1A7D1ACB"/>
    <w:lvl w:ilvl="0" w:tentative="0">
      <w:start w:val="5"/>
      <w:numFmt w:val="chineseCounting"/>
      <w:suff w:val="nothing"/>
      <w:lvlText w:val="%1、"/>
      <w:lvlJc w:val="left"/>
      <w:rPr>
        <w:rFonts w:hint="eastAsia"/>
      </w:rPr>
    </w:lvl>
  </w:abstractNum>
  <w:abstractNum w:abstractNumId="1">
    <w:nsid w:val="7B6D6B77"/>
    <w:multiLevelType w:val="singleLevel"/>
    <w:tmpl w:val="7B6D6B7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lYmY1MTgwOGU5Yjc1ZjhiNGE5NWFhODQxN2YyNjIifQ=="/>
  </w:docVars>
  <w:rsids>
    <w:rsidRoot w:val="0F9473FE"/>
    <w:rsid w:val="0000216A"/>
    <w:rsid w:val="00037090"/>
    <w:rsid w:val="00046BCA"/>
    <w:rsid w:val="00051C05"/>
    <w:rsid w:val="00064326"/>
    <w:rsid w:val="000643BA"/>
    <w:rsid w:val="000753A4"/>
    <w:rsid w:val="000A4E2C"/>
    <w:rsid w:val="000C1B1E"/>
    <w:rsid w:val="000F2060"/>
    <w:rsid w:val="000F34E0"/>
    <w:rsid w:val="00100C77"/>
    <w:rsid w:val="001104A4"/>
    <w:rsid w:val="001105B7"/>
    <w:rsid w:val="00112EEC"/>
    <w:rsid w:val="001318C8"/>
    <w:rsid w:val="00137C9D"/>
    <w:rsid w:val="00140940"/>
    <w:rsid w:val="0014363A"/>
    <w:rsid w:val="001531B6"/>
    <w:rsid w:val="0015398F"/>
    <w:rsid w:val="00170334"/>
    <w:rsid w:val="00172CD5"/>
    <w:rsid w:val="00172DFF"/>
    <w:rsid w:val="001B6342"/>
    <w:rsid w:val="00203DC9"/>
    <w:rsid w:val="00232042"/>
    <w:rsid w:val="002324DF"/>
    <w:rsid w:val="00246D16"/>
    <w:rsid w:val="002555FD"/>
    <w:rsid w:val="00256EBC"/>
    <w:rsid w:val="00267454"/>
    <w:rsid w:val="002967A9"/>
    <w:rsid w:val="00296D38"/>
    <w:rsid w:val="002A7299"/>
    <w:rsid w:val="002D1330"/>
    <w:rsid w:val="002D789A"/>
    <w:rsid w:val="002D79DD"/>
    <w:rsid w:val="002E3891"/>
    <w:rsid w:val="002E6422"/>
    <w:rsid w:val="002F33E7"/>
    <w:rsid w:val="00307F85"/>
    <w:rsid w:val="0031439E"/>
    <w:rsid w:val="00351E08"/>
    <w:rsid w:val="00355885"/>
    <w:rsid w:val="00355CF4"/>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900CD"/>
    <w:rsid w:val="0079033E"/>
    <w:rsid w:val="007A100D"/>
    <w:rsid w:val="007C2CDD"/>
    <w:rsid w:val="007C7458"/>
    <w:rsid w:val="007D441F"/>
    <w:rsid w:val="007E3DA4"/>
    <w:rsid w:val="0080585C"/>
    <w:rsid w:val="00822FBE"/>
    <w:rsid w:val="00831664"/>
    <w:rsid w:val="00832BAA"/>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68A7"/>
    <w:rsid w:val="008F3CDC"/>
    <w:rsid w:val="0092595D"/>
    <w:rsid w:val="00951D57"/>
    <w:rsid w:val="009522FA"/>
    <w:rsid w:val="00952A97"/>
    <w:rsid w:val="009532AE"/>
    <w:rsid w:val="009556AA"/>
    <w:rsid w:val="00962C53"/>
    <w:rsid w:val="00984208"/>
    <w:rsid w:val="009A5F10"/>
    <w:rsid w:val="009C488C"/>
    <w:rsid w:val="009C7579"/>
    <w:rsid w:val="00A0647F"/>
    <w:rsid w:val="00A130AA"/>
    <w:rsid w:val="00A4749D"/>
    <w:rsid w:val="00A50ACF"/>
    <w:rsid w:val="00A65C51"/>
    <w:rsid w:val="00A779D6"/>
    <w:rsid w:val="00A94859"/>
    <w:rsid w:val="00A95371"/>
    <w:rsid w:val="00AA7F7A"/>
    <w:rsid w:val="00AE6EF7"/>
    <w:rsid w:val="00AF3AD7"/>
    <w:rsid w:val="00B07904"/>
    <w:rsid w:val="00B07C4B"/>
    <w:rsid w:val="00B14C20"/>
    <w:rsid w:val="00B2231F"/>
    <w:rsid w:val="00B31FF4"/>
    <w:rsid w:val="00B570AE"/>
    <w:rsid w:val="00B61F9A"/>
    <w:rsid w:val="00B77331"/>
    <w:rsid w:val="00B9317B"/>
    <w:rsid w:val="00B95E7C"/>
    <w:rsid w:val="00BC1290"/>
    <w:rsid w:val="00BD3CCA"/>
    <w:rsid w:val="00BD632C"/>
    <w:rsid w:val="00C010A7"/>
    <w:rsid w:val="00C34C1C"/>
    <w:rsid w:val="00C4547F"/>
    <w:rsid w:val="00C63032"/>
    <w:rsid w:val="00C84D69"/>
    <w:rsid w:val="00CA5249"/>
    <w:rsid w:val="00CB64D6"/>
    <w:rsid w:val="00CE12D1"/>
    <w:rsid w:val="00D37060"/>
    <w:rsid w:val="00D40F23"/>
    <w:rsid w:val="00D42B30"/>
    <w:rsid w:val="00D71E50"/>
    <w:rsid w:val="00D71E6D"/>
    <w:rsid w:val="00D7279D"/>
    <w:rsid w:val="00D76F46"/>
    <w:rsid w:val="00D97669"/>
    <w:rsid w:val="00DC76C2"/>
    <w:rsid w:val="00DD753B"/>
    <w:rsid w:val="00DE6582"/>
    <w:rsid w:val="00E070C6"/>
    <w:rsid w:val="00E35CB0"/>
    <w:rsid w:val="00E67E6B"/>
    <w:rsid w:val="00E7278C"/>
    <w:rsid w:val="00EB0813"/>
    <w:rsid w:val="00ED264E"/>
    <w:rsid w:val="00ED2CC9"/>
    <w:rsid w:val="00ED629E"/>
    <w:rsid w:val="00EE1878"/>
    <w:rsid w:val="00EE1E54"/>
    <w:rsid w:val="00EE2984"/>
    <w:rsid w:val="00F1037C"/>
    <w:rsid w:val="00F12EF7"/>
    <w:rsid w:val="00F613D1"/>
    <w:rsid w:val="00F62C47"/>
    <w:rsid w:val="00F772C2"/>
    <w:rsid w:val="00F80F07"/>
    <w:rsid w:val="00F835CD"/>
    <w:rsid w:val="00FA6867"/>
    <w:rsid w:val="00FD1277"/>
    <w:rsid w:val="00FD6444"/>
    <w:rsid w:val="01110171"/>
    <w:rsid w:val="01A7022B"/>
    <w:rsid w:val="022C686B"/>
    <w:rsid w:val="03E97283"/>
    <w:rsid w:val="045645C0"/>
    <w:rsid w:val="047B2C96"/>
    <w:rsid w:val="08D5288D"/>
    <w:rsid w:val="08F22909"/>
    <w:rsid w:val="0C9D657A"/>
    <w:rsid w:val="0F9473FE"/>
    <w:rsid w:val="0FF03D3B"/>
    <w:rsid w:val="10D92909"/>
    <w:rsid w:val="12680B13"/>
    <w:rsid w:val="13071A5B"/>
    <w:rsid w:val="13C56C85"/>
    <w:rsid w:val="142D5185"/>
    <w:rsid w:val="144A0E07"/>
    <w:rsid w:val="178E68E1"/>
    <w:rsid w:val="187769F1"/>
    <w:rsid w:val="19871A5C"/>
    <w:rsid w:val="1A2F6BB8"/>
    <w:rsid w:val="1F037124"/>
    <w:rsid w:val="226D6F9C"/>
    <w:rsid w:val="229929C4"/>
    <w:rsid w:val="22B834CC"/>
    <w:rsid w:val="22BA6C58"/>
    <w:rsid w:val="22F977E7"/>
    <w:rsid w:val="24B3368D"/>
    <w:rsid w:val="24FF4DBF"/>
    <w:rsid w:val="254663B5"/>
    <w:rsid w:val="256D300D"/>
    <w:rsid w:val="26C329A6"/>
    <w:rsid w:val="26C47DB8"/>
    <w:rsid w:val="277C2B6C"/>
    <w:rsid w:val="27AC78A6"/>
    <w:rsid w:val="28B34DD4"/>
    <w:rsid w:val="295237C1"/>
    <w:rsid w:val="29D7417D"/>
    <w:rsid w:val="2CB02D9F"/>
    <w:rsid w:val="2D046F8C"/>
    <w:rsid w:val="2D637948"/>
    <w:rsid w:val="2E3A29A3"/>
    <w:rsid w:val="2E84611B"/>
    <w:rsid w:val="2EDD7228"/>
    <w:rsid w:val="31190175"/>
    <w:rsid w:val="32B1544F"/>
    <w:rsid w:val="32CE57A2"/>
    <w:rsid w:val="336851BD"/>
    <w:rsid w:val="34017E64"/>
    <w:rsid w:val="36784DF1"/>
    <w:rsid w:val="36AC53C0"/>
    <w:rsid w:val="38210014"/>
    <w:rsid w:val="38830D8A"/>
    <w:rsid w:val="38C45C47"/>
    <w:rsid w:val="394E275F"/>
    <w:rsid w:val="39B32F0A"/>
    <w:rsid w:val="3A22275E"/>
    <w:rsid w:val="3BAC7A40"/>
    <w:rsid w:val="3BF42446"/>
    <w:rsid w:val="3C6E1044"/>
    <w:rsid w:val="3D2E71FB"/>
    <w:rsid w:val="3E1D2536"/>
    <w:rsid w:val="3EC4544A"/>
    <w:rsid w:val="4057746F"/>
    <w:rsid w:val="40692574"/>
    <w:rsid w:val="40BA7762"/>
    <w:rsid w:val="41BF01F2"/>
    <w:rsid w:val="42C321E3"/>
    <w:rsid w:val="44CF424F"/>
    <w:rsid w:val="44FE7ACA"/>
    <w:rsid w:val="45420B3F"/>
    <w:rsid w:val="45706814"/>
    <w:rsid w:val="468E250E"/>
    <w:rsid w:val="46D11360"/>
    <w:rsid w:val="46F96E62"/>
    <w:rsid w:val="47207120"/>
    <w:rsid w:val="483B5A4C"/>
    <w:rsid w:val="49F22E5E"/>
    <w:rsid w:val="4A2B01D9"/>
    <w:rsid w:val="4A7A052A"/>
    <w:rsid w:val="516F4797"/>
    <w:rsid w:val="531A233B"/>
    <w:rsid w:val="54AA7074"/>
    <w:rsid w:val="54E52762"/>
    <w:rsid w:val="55EB5D70"/>
    <w:rsid w:val="560120B9"/>
    <w:rsid w:val="57114DA6"/>
    <w:rsid w:val="57BA3C8B"/>
    <w:rsid w:val="587A4EC7"/>
    <w:rsid w:val="58A36161"/>
    <w:rsid w:val="58E5630E"/>
    <w:rsid w:val="5A6C52CE"/>
    <w:rsid w:val="5CD6112E"/>
    <w:rsid w:val="5D4D151D"/>
    <w:rsid w:val="5D5C1A81"/>
    <w:rsid w:val="5D923BA2"/>
    <w:rsid w:val="5EF872DF"/>
    <w:rsid w:val="5F39627B"/>
    <w:rsid w:val="62D957B2"/>
    <w:rsid w:val="65527A8B"/>
    <w:rsid w:val="67746BAD"/>
    <w:rsid w:val="68807C45"/>
    <w:rsid w:val="6B2807B2"/>
    <w:rsid w:val="6B9D61A3"/>
    <w:rsid w:val="6E2C310F"/>
    <w:rsid w:val="6ED83431"/>
    <w:rsid w:val="6FC00ECA"/>
    <w:rsid w:val="6FCA5E2A"/>
    <w:rsid w:val="70593D8C"/>
    <w:rsid w:val="70D40212"/>
    <w:rsid w:val="73BB0416"/>
    <w:rsid w:val="760D4365"/>
    <w:rsid w:val="76DB73B0"/>
    <w:rsid w:val="77703019"/>
    <w:rsid w:val="79AB0441"/>
    <w:rsid w:val="7B1F124E"/>
    <w:rsid w:val="7B5F3D7C"/>
    <w:rsid w:val="7B833794"/>
    <w:rsid w:val="7BE944F5"/>
    <w:rsid w:val="7C367028"/>
    <w:rsid w:val="7C557896"/>
    <w:rsid w:val="7CFF6209"/>
    <w:rsid w:val="7D323C12"/>
    <w:rsid w:val="7F042647"/>
    <w:rsid w:val="7F234065"/>
    <w:rsid w:val="7F3D0469"/>
    <w:rsid w:val="7FCF34E1"/>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25"/>
    <w:unhideWhenUsed/>
    <w:qFormat/>
    <w:uiPriority w:val="0"/>
    <w:pPr>
      <w:keepNext/>
      <w:keepLines/>
      <w:spacing w:line="360" w:lineRule="auto"/>
      <w:ind w:firstLine="200" w:firstLineChars="200"/>
      <w:outlineLvl w:val="1"/>
    </w:pPr>
    <w:rPr>
      <w:rFonts w:ascii="Arial" w:hAnsi="Arial" w:eastAsia="仿宋"/>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eastAsia="仿宋_GB2312" w:asciiTheme="minorAscii" w:hAnsiTheme="minorAscii"/>
      <w:sz w:val="32"/>
      <w:szCs w:val="32"/>
    </w:rPr>
  </w:style>
  <w:style w:type="paragraph" w:styleId="3">
    <w:name w:val="footer"/>
    <w:basedOn w:val="1"/>
    <w:link w:val="26"/>
    <w:qFormat/>
    <w:uiPriority w:val="99"/>
    <w:pPr>
      <w:tabs>
        <w:tab w:val="center" w:pos="4153"/>
        <w:tab w:val="right" w:pos="8306"/>
      </w:tabs>
      <w:snapToGrid w:val="0"/>
      <w:jc w:val="left"/>
    </w:pPr>
    <w:rPr>
      <w:sz w:val="18"/>
    </w:rPr>
  </w:style>
  <w:style w:type="paragraph" w:styleId="8">
    <w:name w:val="annotation text"/>
    <w:basedOn w:val="1"/>
    <w:qFormat/>
    <w:uiPriority w:val="0"/>
    <w:pPr>
      <w:jc w:val="left"/>
    </w:pPr>
  </w:style>
  <w:style w:type="paragraph" w:styleId="9">
    <w:name w:val="toc 3"/>
    <w:basedOn w:val="1"/>
    <w:next w:val="1"/>
    <w:qFormat/>
    <w:uiPriority w:val="0"/>
    <w:pPr>
      <w:ind w:left="840" w:leftChars="400"/>
    </w:pPr>
  </w:style>
  <w:style w:type="paragraph" w:styleId="10">
    <w:name w:val="Body Text Indent 2"/>
    <w:basedOn w:val="1"/>
    <w:next w:val="11"/>
    <w:qFormat/>
    <w:uiPriority w:val="0"/>
    <w:pPr>
      <w:spacing w:after="120" w:line="480" w:lineRule="auto"/>
      <w:ind w:left="420" w:leftChars="200"/>
    </w:pPr>
    <w:rPr>
      <w:rFonts w:ascii="Calibri" w:hAnsi="Calibri" w:eastAsia="宋体"/>
    </w:rPr>
  </w:style>
  <w:style w:type="paragraph" w:styleId="11">
    <w:name w:val="toc 9"/>
    <w:next w:val="1"/>
    <w:qFormat/>
    <w:uiPriority w:val="0"/>
    <w:pPr>
      <w:wordWrap w:val="0"/>
      <w:ind w:left="2975"/>
      <w:jc w:val="both"/>
    </w:pPr>
    <w:rPr>
      <w:rFonts w:ascii="Calibri" w:hAnsi="Calibri" w:eastAsia="宋体" w:cs="Times New Roman"/>
      <w:sz w:val="21"/>
      <w:szCs w:val="22"/>
      <w:lang w:val="en-US" w:eastAsia="zh-CN"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文本缩进 21"/>
    <w:basedOn w:val="1"/>
    <w:next w:val="12"/>
    <w:qFormat/>
    <w:uiPriority w:val="0"/>
    <w:pPr>
      <w:spacing w:line="480" w:lineRule="auto"/>
      <w:ind w:left="420" w:leftChars="200"/>
    </w:pPr>
  </w:style>
  <w:style w:type="paragraph" w:customStyle="1" w:styleId="19">
    <w:name w:val="样式  + 首行缩进:  2 字符"/>
    <w:basedOn w:val="1"/>
    <w:qFormat/>
    <w:uiPriority w:val="0"/>
    <w:pPr>
      <w:adjustRightInd w:val="0"/>
      <w:snapToGrid w:val="0"/>
      <w:ind w:firstLine="480"/>
    </w:pPr>
    <w:rPr>
      <w:kern w:val="0"/>
      <w:sz w:val="24"/>
    </w:rPr>
  </w:style>
  <w:style w:type="paragraph" w:styleId="20">
    <w:name w:val="List Paragraph"/>
    <w:basedOn w:val="1"/>
    <w:qFormat/>
    <w:uiPriority w:val="99"/>
    <w:pPr>
      <w:ind w:firstLine="420" w:firstLineChars="200"/>
    </w:p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3">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4">
    <w:name w:val="标题 1 字符"/>
    <w:basedOn w:val="17"/>
    <w:link w:val="4"/>
    <w:qFormat/>
    <w:uiPriority w:val="0"/>
    <w:rPr>
      <w:rFonts w:asciiTheme="minorHAnsi" w:hAnsiTheme="minorHAnsi" w:eastAsiaTheme="minorEastAsia" w:cstheme="minorBidi"/>
      <w:b/>
      <w:bCs/>
      <w:kern w:val="44"/>
      <w:sz w:val="44"/>
      <w:szCs w:val="44"/>
    </w:rPr>
  </w:style>
  <w:style w:type="character" w:customStyle="1" w:styleId="25">
    <w:name w:val="标题 2 字符"/>
    <w:link w:val="5"/>
    <w:qFormat/>
    <w:uiPriority w:val="0"/>
    <w:rPr>
      <w:rFonts w:ascii="Arial" w:hAnsi="Arial" w:eastAsia="仿宋"/>
      <w:b/>
      <w:sz w:val="32"/>
    </w:rPr>
  </w:style>
  <w:style w:type="character" w:customStyle="1" w:styleId="26">
    <w:name w:val="页脚 字符"/>
    <w:basedOn w:val="17"/>
    <w:link w:val="3"/>
    <w:qFormat/>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00" b="0" i="0" u="none" strike="noStrike" kern="1200" spc="0" baseline="0">
                <a:solidFill>
                  <a:schemeClr val="tx1"/>
                </a:solidFill>
                <a:latin typeface="+mn-lt"/>
                <a:ea typeface="+mn-ea"/>
                <a:cs typeface="+mn-cs"/>
              </a:defRPr>
            </a:pPr>
            <a:r>
              <a:rPr lang="en-US" altLang="zh-CN" sz="1200"/>
              <a:t>       2022</a:t>
            </a:r>
            <a:r>
              <a:rPr altLang="en-US" sz="1200"/>
              <a:t>年度信息化建设项目绩效评价指标得分情况</a:t>
            </a:r>
            <a:endParaRPr lang="en-US" altLang="zh-CN" sz="1200"/>
          </a:p>
        </c:rich>
      </c:tx>
      <c:layout>
        <c:manualLayout>
          <c:xMode val="edge"/>
          <c:yMode val="edge"/>
          <c:x val="0.161523146126551"/>
          <c:y val="0.0247364584768804"/>
        </c:manualLayout>
      </c:layout>
      <c:overlay val="0"/>
      <c:spPr>
        <a:noFill/>
        <a:ln>
          <a:noFill/>
        </a:ln>
        <a:effectLst/>
      </c:spPr>
    </c:title>
    <c:autoTitleDeleted val="0"/>
    <c:plotArea>
      <c:layout>
        <c:manualLayout>
          <c:layoutTarget val="inner"/>
          <c:xMode val="edge"/>
          <c:yMode val="edge"/>
          <c:x val="0.126675"/>
          <c:y val="0.127"/>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Sheet1!$B$2:$B$6</c:f>
              <c:numCache>
                <c:formatCode>General</c:formatCode>
                <c:ptCount val="5"/>
                <c:pt idx="0">
                  <c:v>12</c:v>
                </c:pt>
                <c:pt idx="1">
                  <c:v>18</c:v>
                </c:pt>
                <c:pt idx="2">
                  <c:v>50</c:v>
                </c:pt>
                <c:pt idx="3">
                  <c:v>10</c:v>
                </c:pt>
                <c:pt idx="4">
                  <c:v>10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Sheet1!$C$2:$C$6</c:f>
              <c:numCache>
                <c:formatCode>General</c:formatCode>
                <c:ptCount val="5"/>
                <c:pt idx="0">
                  <c:v>11</c:v>
                </c:pt>
                <c:pt idx="1">
                  <c:v>18</c:v>
                </c:pt>
                <c:pt idx="2">
                  <c:v>50</c:v>
                </c:pt>
                <c:pt idx="3">
                  <c:v>10</c:v>
                </c:pt>
                <c:pt idx="4">
                  <c:v>10</c:v>
                </c:pt>
              </c:numCache>
            </c:numRef>
          </c:val>
        </c:ser>
        <c:ser>
          <c:idx val="2"/>
          <c:order val="2"/>
          <c:tx>
            <c:strRef>
              <c:f>Sheet1!$D$1</c:f>
              <c:strCache>
                <c:ptCount val="1"/>
                <c:pt idx="0">
                  <c:v>得分率</c:v>
                </c:pt>
              </c:strCache>
            </c:strRef>
          </c:tx>
          <c:spPr>
            <a:noFill/>
            <a:ln>
              <a:noFill/>
            </a:ln>
            <a:effectLst/>
          </c:spPr>
          <c:invertIfNegative val="0"/>
          <c:dLbls>
            <c:dLbl>
              <c:idx val="0"/>
              <c:layout>
                <c:manualLayout>
                  <c:x val="0.0152722201561919"/>
                  <c:y val="0.0054277029960920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179528635180364"/>
                  <c:y val="0.001261036329425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32547725300607"/>
                  <c:y val="0.0014277029960920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47672306929466"/>
                  <c:y val="0.004855405992184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0768563282508987"/>
                  <c:y val="-0.0054277029960920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产出指标</c:v>
                </c:pt>
                <c:pt idx="3">
                  <c:v>效益指标</c:v>
                </c:pt>
                <c:pt idx="4">
                  <c:v>满意度指标</c:v>
                </c:pt>
              </c:strCache>
            </c:strRef>
          </c:cat>
          <c:val>
            <c:numRef>
              <c:f>Sheet1!$D$2:$D$6</c:f>
              <c:numCache>
                <c:formatCode>0.00%</c:formatCode>
                <c:ptCount val="5"/>
                <c:pt idx="0">
                  <c:v>0.916666666666667</c:v>
                </c:pt>
                <c:pt idx="1" c:formatCode="0%">
                  <c:v>1</c:v>
                </c:pt>
                <c:pt idx="2" c:formatCode="0%">
                  <c:v>1</c:v>
                </c:pt>
                <c:pt idx="3" c:formatCode="0%">
                  <c:v>1</c:v>
                </c:pt>
                <c:pt idx="4" c:formatCode="0%">
                  <c:v>1</c:v>
                </c:pt>
              </c:numCache>
            </c:numRef>
          </c:val>
        </c:ser>
        <c:dLbls>
          <c:showLegendKey val="0"/>
          <c:showVal val="1"/>
          <c:showCatName val="0"/>
          <c:showSerName val="0"/>
          <c:showPercent val="0"/>
          <c:showBubbleSize val="0"/>
        </c:dLbls>
        <c:gapWidth val="219"/>
        <c:overlap val="-27"/>
        <c:axId val="33121172"/>
        <c:axId val="262562026"/>
      </c:barChart>
      <c:catAx>
        <c:axId val="3312117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262562026"/>
        <c:crosses val="autoZero"/>
        <c:auto val="1"/>
        <c:lblAlgn val="ctr"/>
        <c:lblOffset val="100"/>
        <c:noMultiLvlLbl val="0"/>
      </c:catAx>
      <c:valAx>
        <c:axId val="26256202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331211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dTable>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manualLayout>
          <c:xMode val="edge"/>
          <c:yMode val="edge"/>
          <c:x val="0.369096318333953"/>
          <c:y val="0.9238674496644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chemeClr val="bg1">
        <a:alpha val="91000"/>
      </a:schemeClr>
    </a:solidFill>
    <a:ln w="9525" cap="flat" cmpd="sng" algn="ctr">
      <a:solidFill>
        <a:schemeClr val="tx1">
          <a:lumMod val="15000"/>
          <a:lumOff val="85000"/>
        </a:schemeClr>
      </a:solidFill>
      <a:round/>
    </a:ln>
    <a:effectLst/>
  </c:spPr>
  <c:txPr>
    <a:bodyPr/>
    <a:lstStyle/>
    <a:p>
      <a:pPr>
        <a:defRPr lang="zh-CN" sz="900">
          <a:solidFill>
            <a:schemeClr val="tx1"/>
          </a:solidFill>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E1B691-4768-4DC5-997A-E5D4811F1E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35</Pages>
  <Words>15386</Words>
  <Characters>16103</Characters>
  <Lines>40</Lines>
  <Paragraphs>35</Paragraphs>
  <TotalTime>5</TotalTime>
  <ScaleCrop>false</ScaleCrop>
  <LinksUpToDate>false</LinksUpToDate>
  <CharactersWithSpaces>16792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2021-05-13T03:50:00Z</dcterms:created>
  <dc:creator>1129</dc:creator>
  <cp:lastModifiedBy>燕子 13893107503</cp:lastModifiedBy>
  <cp:lastPrinted>2023-05-29T09:55:00Z</cp:lastPrinted>
  <dcterms:modified xsi:type="dcterms:W3CDTF">2023-06-19T04:10:29Z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A05276CF9A854D28B71535C61CA91004_13</vt:lpwstr>
  </property>
</Properties>
</file>