
<file path=[Content_Types].xml><?xml version="1.0" encoding="utf-8"?>
<Types xmlns="http://schemas.openxmlformats.org/package/2006/content-types">
  <Default Extension="xml" ContentType="application/xml"/>
  <Default Extension="xlsx" ContentType="application/vnd.openxmlformats-officedocument.spreadsheetml.sheet"/>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olors1.xml" ContentType="application/vnd.ms-office.chartcolorstyle+xml"/>
  <Override PartName="/word/charts/style1.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54A7BC">
      <w:pPr>
        <w:pStyle w:val="10"/>
        <w:overflowPunct w:val="0"/>
        <w:spacing w:line="680" w:lineRule="exact"/>
        <w:rPr>
          <w:rFonts w:hint="eastAsia" w:ascii="仿宋_GB2312"/>
        </w:rPr>
      </w:pPr>
    </w:p>
    <w:p w14:paraId="3222BA78">
      <w:pPr>
        <w:overflowPunct w:val="0"/>
        <w:spacing w:line="680" w:lineRule="exact"/>
        <w:ind w:left="6" w:right="4"/>
        <w:jc w:val="center"/>
        <w:rPr>
          <w:rFonts w:ascii="宋体" w:hAnsi="宋体" w:eastAsia="宋体" w:cs="Times New Roman"/>
          <w:b/>
          <w:sz w:val="44"/>
          <w:szCs w:val="44"/>
        </w:rPr>
      </w:pPr>
    </w:p>
    <w:p w14:paraId="0A211A71">
      <w:pPr>
        <w:overflowPunct w:val="0"/>
        <w:spacing w:line="680" w:lineRule="exact"/>
        <w:ind w:left="6" w:right="4"/>
        <w:jc w:val="center"/>
        <w:rPr>
          <w:rFonts w:ascii="宋体" w:hAnsi="宋体" w:eastAsia="宋体" w:cs="Times New Roman"/>
          <w:b/>
          <w:sz w:val="44"/>
          <w:szCs w:val="44"/>
        </w:rPr>
      </w:pPr>
    </w:p>
    <w:p w14:paraId="6330DA71">
      <w:pPr>
        <w:overflowPunct w:val="0"/>
        <w:spacing w:line="680" w:lineRule="exact"/>
        <w:ind w:left="6" w:right="4"/>
        <w:jc w:val="center"/>
        <w:rPr>
          <w:rFonts w:hint="eastAsia" w:ascii="方正小标宋简体" w:hAnsi="方正小标宋简体" w:eastAsia="方正小标宋简体" w:cs="方正小标宋简体"/>
          <w:b/>
          <w:bCs/>
          <w:sz w:val="44"/>
          <w:szCs w:val="44"/>
          <w:lang w:eastAsia="zh-CN"/>
        </w:rPr>
      </w:pPr>
      <w:r>
        <w:rPr>
          <w:rFonts w:hint="eastAsia" w:ascii="方正小标宋简体" w:hAnsi="方正小标宋简体" w:eastAsia="方正小标宋简体" w:cs="方正小标宋简体"/>
          <w:sz w:val="44"/>
          <w:szCs w:val="44"/>
          <w:lang w:eastAsia="zh-CN"/>
        </w:rPr>
        <w:t>2023年度甘肃省高级人民法院重点项目</w:t>
      </w:r>
    </w:p>
    <w:p w14:paraId="0F9E9378">
      <w:pPr>
        <w:overflowPunct w:val="0"/>
        <w:spacing w:line="680" w:lineRule="exact"/>
        <w:ind w:left="6" w:right="4"/>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w:t>
      </w:r>
      <w:r>
        <w:rPr>
          <w:rFonts w:hint="eastAsia" w:ascii="方正小标宋简体" w:hAnsi="方正小标宋简体" w:eastAsia="方正小标宋简体" w:cs="方正小标宋简体"/>
          <w:sz w:val="44"/>
          <w:szCs w:val="44"/>
          <w:lang w:eastAsia="zh-CN"/>
        </w:rPr>
        <w:t>法庭运维费</w:t>
      </w:r>
      <w:r>
        <w:rPr>
          <w:rFonts w:hint="eastAsia" w:ascii="方正小标宋简体" w:hAnsi="方正小标宋简体" w:eastAsia="方正小标宋简体" w:cs="方正小标宋简体"/>
          <w:sz w:val="44"/>
          <w:szCs w:val="44"/>
          <w:lang w:val="en-US" w:eastAsia="zh-CN"/>
        </w:rPr>
        <w:t>项目</w:t>
      </w:r>
      <w:r>
        <w:rPr>
          <w:rFonts w:hint="eastAsia" w:ascii="方正小标宋简体" w:hAnsi="方正小标宋简体" w:eastAsia="方正小标宋简体" w:cs="方正小标宋简体"/>
          <w:sz w:val="44"/>
          <w:szCs w:val="44"/>
        </w:rPr>
        <w:t>绩效评价报告</w:t>
      </w:r>
    </w:p>
    <w:p w14:paraId="2F9F4BE0">
      <w:pPr>
        <w:pStyle w:val="10"/>
        <w:overflowPunct w:val="0"/>
        <w:spacing w:line="680" w:lineRule="exact"/>
        <w:rPr>
          <w:sz w:val="56"/>
        </w:rPr>
      </w:pPr>
    </w:p>
    <w:p w14:paraId="61380D9C">
      <w:pPr>
        <w:pStyle w:val="15"/>
      </w:pPr>
    </w:p>
    <w:p w14:paraId="51EB8271">
      <w:pPr>
        <w:pStyle w:val="10"/>
        <w:overflowPunct w:val="0"/>
        <w:spacing w:line="680" w:lineRule="exact"/>
        <w:rPr>
          <w:sz w:val="56"/>
        </w:rPr>
      </w:pPr>
    </w:p>
    <w:p w14:paraId="30FF7971">
      <w:pPr>
        <w:pStyle w:val="15"/>
        <w:rPr>
          <w:sz w:val="56"/>
        </w:rPr>
      </w:pPr>
    </w:p>
    <w:p w14:paraId="5D1E29DC">
      <w:pPr>
        <w:spacing w:line="578" w:lineRule="exact"/>
        <w:ind w:firstLine="300" w:firstLineChars="100"/>
        <w:rPr>
          <w:rFonts w:ascii="仿宋_GB2312" w:hAnsi="仿宋" w:eastAsia="仿宋_GB2312" w:cs="仿宋"/>
          <w:sz w:val="30"/>
          <w:szCs w:val="32"/>
          <w:u w:val="single"/>
        </w:rPr>
      </w:pPr>
      <w:r>
        <w:rPr>
          <w:rFonts w:hint="eastAsia" w:ascii="仿宋_GB2312" w:hAnsi="仿宋" w:eastAsia="仿宋_GB2312" w:cs="仿宋"/>
          <w:sz w:val="30"/>
          <w:szCs w:val="32"/>
        </w:rPr>
        <w:t>评价类型：</w:t>
      </w:r>
      <w:r>
        <w:rPr>
          <w:rFonts w:hint="eastAsia" w:ascii="仿宋_GB2312" w:hAnsi="仿宋" w:eastAsia="仿宋_GB2312" w:cs="仿宋"/>
          <w:sz w:val="30"/>
          <w:szCs w:val="32"/>
          <w:u w:val="single"/>
          <w:lang w:eastAsia="zh-CN"/>
        </w:rPr>
        <w:t>□</w:t>
      </w:r>
      <w:r>
        <w:rPr>
          <w:rFonts w:hint="eastAsia" w:ascii="仿宋_GB2312" w:hAnsi="仿宋" w:eastAsia="仿宋_GB2312" w:cs="仿宋"/>
          <w:sz w:val="30"/>
          <w:szCs w:val="32"/>
          <w:u w:val="single"/>
        </w:rPr>
        <w:t>实施过程评价</w:t>
      </w:r>
      <w:r>
        <w:rPr>
          <w:rFonts w:hint="eastAsia" w:ascii="仿宋_GB2312" w:hAnsi="仿宋" w:eastAsia="仿宋_GB2312" w:cs="仿宋"/>
          <w:sz w:val="30"/>
          <w:szCs w:val="32"/>
        </w:rPr>
        <w:t xml:space="preserve">          </w:t>
      </w:r>
      <w:r>
        <w:rPr>
          <w:rFonts w:hint="eastAsia" w:ascii="仿宋_GB2312" w:hAnsi="仿宋" w:eastAsia="仿宋_GB2312" w:cs="仿宋"/>
          <w:sz w:val="30"/>
          <w:szCs w:val="32"/>
          <w:u w:val="single"/>
          <w:lang w:eastAsia="zh-CN"/>
        </w:rPr>
        <w:t>☑</w:t>
      </w:r>
      <w:r>
        <w:rPr>
          <w:rFonts w:hint="eastAsia" w:ascii="仿宋_GB2312" w:hAnsi="仿宋" w:eastAsia="仿宋_GB2312" w:cs="仿宋"/>
          <w:sz w:val="30"/>
          <w:szCs w:val="32"/>
          <w:u w:val="single"/>
        </w:rPr>
        <w:t>完成结果评价</w:t>
      </w:r>
    </w:p>
    <w:p w14:paraId="4C390171">
      <w:pPr>
        <w:spacing w:line="578" w:lineRule="exact"/>
        <w:ind w:left="1800" w:right="456" w:rightChars="217" w:hanging="1800" w:hangingChars="600"/>
        <w:jc w:val="left"/>
        <w:rPr>
          <w:rFonts w:hint="default" w:ascii="仿宋_GB2312" w:hAnsi="仿宋" w:eastAsia="仿宋_GB2312" w:cs="仿宋"/>
          <w:sz w:val="30"/>
          <w:szCs w:val="32"/>
          <w:u w:val="single"/>
          <w:lang w:val="en-US" w:eastAsia="zh-CN"/>
        </w:rPr>
      </w:pPr>
      <w:r>
        <w:rPr>
          <w:rFonts w:hint="eastAsia" w:ascii="仿宋_GB2312" w:hAnsi="仿宋" w:eastAsia="仿宋_GB2312" w:cs="仿宋"/>
          <w:sz w:val="30"/>
          <w:szCs w:val="32"/>
        </w:rPr>
        <w:t xml:space="preserve">  项目名称：</w:t>
      </w:r>
      <w:r>
        <w:rPr>
          <w:rFonts w:hint="eastAsia" w:ascii="仿宋_GB2312" w:hAnsi="仿宋" w:eastAsia="仿宋_GB2312" w:cs="仿宋"/>
          <w:sz w:val="30"/>
          <w:szCs w:val="32"/>
          <w:u w:val="single"/>
          <w:lang w:eastAsia="zh-CN"/>
        </w:rPr>
        <w:t>2023年度甘肃省高级人民法院重点项目</w:t>
      </w:r>
      <w:r>
        <w:rPr>
          <w:rFonts w:hint="eastAsia" w:ascii="仿宋_GB2312" w:hAnsi="仿宋" w:eastAsia="仿宋_GB2312" w:cs="仿宋"/>
          <w:sz w:val="30"/>
          <w:szCs w:val="32"/>
          <w:u w:val="single"/>
          <w:lang w:val="en-US" w:eastAsia="zh-CN"/>
        </w:rPr>
        <w:t xml:space="preserve">   </w:t>
      </w:r>
    </w:p>
    <w:p w14:paraId="0FC0312C">
      <w:pPr>
        <w:spacing w:line="578" w:lineRule="exact"/>
        <w:ind w:left="1791" w:leftChars="710" w:right="456" w:rightChars="217" w:hanging="300" w:hangingChars="100"/>
        <w:jc w:val="left"/>
        <w:rPr>
          <w:rFonts w:hint="default" w:ascii="仿宋_GB2312" w:hAnsi="仿宋" w:eastAsia="仿宋_GB2312" w:cs="仿宋"/>
          <w:sz w:val="30"/>
          <w:szCs w:val="32"/>
          <w:lang w:val="en-US" w:eastAsia="zh-CN"/>
        </w:rPr>
      </w:pPr>
      <w:r>
        <w:rPr>
          <w:rFonts w:hint="eastAsia" w:ascii="仿宋_GB2312" w:hAnsi="仿宋" w:eastAsia="仿宋_GB2312" w:cs="仿宋"/>
          <w:sz w:val="30"/>
          <w:szCs w:val="32"/>
        </w:rPr>
        <w:t xml:space="preserve">  </w:t>
      </w:r>
      <w:r>
        <w:rPr>
          <w:rFonts w:hint="eastAsia" w:ascii="仿宋_GB2312" w:hAnsi="仿宋" w:eastAsia="仿宋_GB2312" w:cs="仿宋"/>
          <w:sz w:val="30"/>
          <w:szCs w:val="32"/>
          <w:u w:val="single"/>
        </w:rPr>
        <w:t>—</w:t>
      </w:r>
      <w:r>
        <w:rPr>
          <w:rFonts w:hint="eastAsia" w:ascii="仿宋_GB2312" w:hAnsi="仿宋" w:eastAsia="仿宋_GB2312" w:cs="仿宋"/>
          <w:sz w:val="30"/>
          <w:szCs w:val="32"/>
          <w:u w:val="single"/>
          <w:lang w:eastAsia="zh-CN"/>
        </w:rPr>
        <w:t>法庭运维费</w:t>
      </w:r>
      <w:r>
        <w:rPr>
          <w:rFonts w:hint="eastAsia" w:ascii="仿宋_GB2312" w:hAnsi="仿宋" w:eastAsia="仿宋_GB2312" w:cs="仿宋"/>
          <w:sz w:val="30"/>
          <w:szCs w:val="32"/>
          <w:u w:val="single"/>
          <w:lang w:val="en-US" w:eastAsia="zh-CN"/>
        </w:rPr>
        <w:t>项目</w:t>
      </w:r>
      <w:r>
        <w:rPr>
          <w:rFonts w:hint="eastAsia" w:ascii="仿宋_GB2312" w:hAnsi="仿宋" w:eastAsia="仿宋_GB2312" w:cs="仿宋"/>
          <w:b w:val="0"/>
          <w:bCs w:val="0"/>
          <w:color w:val="auto"/>
          <w:sz w:val="30"/>
          <w:szCs w:val="32"/>
          <w:u w:val="single"/>
        </w:rPr>
        <w:t xml:space="preserve"> </w:t>
      </w:r>
      <w:r>
        <w:rPr>
          <w:rFonts w:hint="eastAsia" w:ascii="仿宋_GB2312" w:hAnsi="仿宋" w:eastAsia="仿宋_GB2312" w:cs="仿宋"/>
          <w:sz w:val="30"/>
          <w:szCs w:val="32"/>
          <w:u w:val="single"/>
        </w:rPr>
        <w:t xml:space="preserve"> </w:t>
      </w:r>
      <w:r>
        <w:rPr>
          <w:rFonts w:hint="eastAsia" w:ascii="仿宋_GB2312" w:hAnsi="仿宋" w:eastAsia="仿宋_GB2312" w:cs="仿宋"/>
          <w:sz w:val="30"/>
          <w:szCs w:val="32"/>
          <w:u w:val="single"/>
          <w:lang w:val="en-US" w:eastAsia="zh-CN"/>
        </w:rPr>
        <w:t xml:space="preserve">     </w:t>
      </w:r>
    </w:p>
    <w:p w14:paraId="3EA16B15">
      <w:pPr>
        <w:spacing w:line="578" w:lineRule="exact"/>
        <w:ind w:left="1800" w:right="456" w:rightChars="217" w:hanging="1800" w:hangingChars="600"/>
        <w:jc w:val="left"/>
        <w:rPr>
          <w:rFonts w:ascii="仿宋_GB2312" w:hAnsi="仿宋" w:eastAsia="仿宋_GB2312" w:cs="仿宋"/>
          <w:sz w:val="30"/>
          <w:szCs w:val="32"/>
        </w:rPr>
      </w:pPr>
      <w:r>
        <w:rPr>
          <w:rFonts w:hint="eastAsia" w:ascii="仿宋_GB2312" w:hAnsi="仿宋" w:eastAsia="仿宋_GB2312" w:cs="仿宋"/>
          <w:sz w:val="30"/>
          <w:szCs w:val="32"/>
        </w:rPr>
        <w:t xml:space="preserve">  </w:t>
      </w:r>
      <w:r>
        <w:rPr>
          <w:rFonts w:hint="eastAsia" w:ascii="仿宋_GB2312" w:hAnsi="仿宋" w:eastAsia="仿宋_GB2312" w:cs="仿宋"/>
          <w:sz w:val="30"/>
          <w:szCs w:val="32"/>
          <w:lang w:val="en-US" w:eastAsia="zh-CN"/>
        </w:rPr>
        <w:t>主管部门</w:t>
      </w:r>
      <w:r>
        <w:rPr>
          <w:rFonts w:hint="eastAsia" w:ascii="仿宋_GB2312" w:hAnsi="仿宋" w:eastAsia="仿宋_GB2312" w:cs="仿宋"/>
          <w:sz w:val="30"/>
          <w:szCs w:val="32"/>
        </w:rPr>
        <w:t>：</w:t>
      </w:r>
      <w:r>
        <w:rPr>
          <w:rFonts w:hint="eastAsia" w:ascii="仿宋_GB2312" w:hAnsi="仿宋" w:eastAsia="仿宋_GB2312" w:cs="仿宋"/>
          <w:sz w:val="30"/>
          <w:szCs w:val="32"/>
          <w:u w:val="single"/>
          <w:lang w:val="en-US" w:eastAsia="zh-CN"/>
        </w:rPr>
        <w:t>甘肃省高级人民法院</w:t>
      </w:r>
      <w:r>
        <w:rPr>
          <w:rFonts w:hint="eastAsia" w:ascii="仿宋_GB2312" w:hAnsi="仿宋" w:eastAsia="仿宋_GB2312" w:cs="仿宋"/>
          <w:sz w:val="30"/>
          <w:szCs w:val="32"/>
          <w:u w:val="single"/>
        </w:rPr>
        <w:t xml:space="preserve"> </w:t>
      </w:r>
    </w:p>
    <w:p w14:paraId="5C2A81DA">
      <w:pPr>
        <w:spacing w:line="578" w:lineRule="exact"/>
        <w:ind w:left="1800" w:right="456" w:rightChars="217" w:hanging="1800" w:hangingChars="600"/>
        <w:jc w:val="left"/>
        <w:rPr>
          <w:rFonts w:hint="default" w:ascii="仿宋_GB2312" w:hAnsi="仿宋" w:eastAsia="仿宋_GB2312" w:cs="仿宋"/>
          <w:sz w:val="30"/>
          <w:szCs w:val="32"/>
          <w:u w:val="single"/>
          <w:lang w:val="en-US" w:eastAsia="zh-CN"/>
        </w:rPr>
      </w:pPr>
      <w:r>
        <w:rPr>
          <w:rFonts w:hint="eastAsia" w:ascii="仿宋_GB2312" w:hAnsi="仿宋" w:eastAsia="仿宋_GB2312" w:cs="仿宋"/>
          <w:sz w:val="30"/>
          <w:szCs w:val="32"/>
        </w:rPr>
        <w:t xml:space="preserve">  评价时间：</w:t>
      </w:r>
      <w:r>
        <w:rPr>
          <w:rFonts w:hint="eastAsia" w:ascii="仿宋_GB2312" w:hAnsi="仿宋" w:eastAsia="仿宋_GB2312" w:cs="仿宋"/>
          <w:sz w:val="30"/>
          <w:szCs w:val="32"/>
          <w:u w:val="single"/>
        </w:rPr>
        <w:t>2023年01月01日至 2023年12月31日</w:t>
      </w:r>
      <w:r>
        <w:rPr>
          <w:rFonts w:hint="eastAsia" w:ascii="仿宋_GB2312" w:hAnsi="仿宋" w:eastAsia="仿宋_GB2312" w:cs="仿宋"/>
          <w:sz w:val="30"/>
          <w:szCs w:val="32"/>
          <w:u w:val="single"/>
          <w:lang w:val="en-US" w:eastAsia="zh-CN"/>
        </w:rPr>
        <w:t xml:space="preserve">  </w:t>
      </w:r>
    </w:p>
    <w:p w14:paraId="1DD3E881">
      <w:pPr>
        <w:spacing w:line="578" w:lineRule="exact"/>
        <w:ind w:left="1800" w:right="456" w:rightChars="217" w:hanging="1800" w:hangingChars="600"/>
        <w:jc w:val="left"/>
        <w:rPr>
          <w:rFonts w:ascii="仿宋_GB2312" w:hAnsi="仿宋" w:eastAsia="仿宋_GB2312" w:cs="仿宋"/>
          <w:sz w:val="30"/>
          <w:szCs w:val="32"/>
        </w:rPr>
      </w:pPr>
      <w:r>
        <w:rPr>
          <w:rFonts w:hint="eastAsia" w:ascii="仿宋_GB2312" w:hAnsi="仿宋" w:eastAsia="仿宋_GB2312" w:cs="仿宋"/>
          <w:sz w:val="30"/>
          <w:szCs w:val="32"/>
        </w:rPr>
        <w:t xml:space="preserve">  组织方式：</w:t>
      </w:r>
      <w:r>
        <w:rPr>
          <w:rFonts w:hint="eastAsia" w:ascii="仿宋_GB2312" w:hAnsi="仿宋" w:eastAsia="仿宋_GB2312" w:cs="仿宋"/>
          <w:sz w:val="30"/>
          <w:szCs w:val="32"/>
          <w:u w:val="single"/>
        </w:rPr>
        <w:t>□财政部门</w:t>
      </w:r>
      <w:r>
        <w:rPr>
          <w:rFonts w:hint="eastAsia" w:ascii="仿宋_GB2312" w:hAnsi="仿宋" w:eastAsia="仿宋_GB2312" w:cs="仿宋"/>
          <w:sz w:val="30"/>
          <w:szCs w:val="32"/>
        </w:rPr>
        <w:t xml:space="preserve">    </w:t>
      </w:r>
      <w:r>
        <w:rPr>
          <w:rFonts w:hint="eastAsia" w:ascii="仿宋_GB2312" w:hAnsi="仿宋" w:eastAsia="仿宋_GB2312" w:cs="仿宋"/>
          <w:sz w:val="30"/>
          <w:szCs w:val="32"/>
          <w:u w:val="single"/>
        </w:rPr>
        <w:t xml:space="preserve"> </w:t>
      </w:r>
      <w:r>
        <w:rPr>
          <w:rFonts w:hint="eastAsia" w:ascii="仿宋_GB2312" w:hAnsi="仿宋" w:eastAsia="仿宋_GB2312" w:cs="仿宋"/>
          <w:sz w:val="30"/>
          <w:szCs w:val="32"/>
          <w:u w:val="single"/>
          <w:lang w:eastAsia="zh-CN"/>
        </w:rPr>
        <w:t>☑</w:t>
      </w:r>
      <w:r>
        <w:rPr>
          <w:rFonts w:hint="eastAsia" w:ascii="仿宋_GB2312" w:hAnsi="仿宋" w:eastAsia="仿宋_GB2312" w:cs="仿宋"/>
          <w:sz w:val="30"/>
          <w:szCs w:val="32"/>
          <w:u w:val="single"/>
        </w:rPr>
        <w:t>主管部门</w:t>
      </w:r>
      <w:r>
        <w:rPr>
          <w:rFonts w:hint="eastAsia" w:ascii="仿宋_GB2312" w:hAnsi="仿宋" w:eastAsia="仿宋_GB2312" w:cs="仿宋"/>
          <w:sz w:val="30"/>
          <w:szCs w:val="32"/>
        </w:rPr>
        <w:t xml:space="preserve">     </w:t>
      </w:r>
      <w:r>
        <w:rPr>
          <w:rFonts w:hint="eastAsia" w:ascii="仿宋_GB2312" w:hAnsi="仿宋" w:eastAsia="仿宋_GB2312" w:cs="仿宋"/>
          <w:sz w:val="30"/>
          <w:szCs w:val="32"/>
          <w:u w:val="single"/>
          <w:lang w:eastAsia="zh-CN"/>
        </w:rPr>
        <w:t>□</w:t>
      </w:r>
      <w:r>
        <w:rPr>
          <w:rFonts w:hint="eastAsia" w:ascii="仿宋_GB2312" w:hAnsi="仿宋" w:eastAsia="仿宋_GB2312" w:cs="仿宋"/>
          <w:sz w:val="30"/>
          <w:szCs w:val="32"/>
          <w:u w:val="single"/>
        </w:rPr>
        <w:t>项目单位</w:t>
      </w:r>
      <w:r>
        <w:rPr>
          <w:rFonts w:hint="eastAsia" w:ascii="仿宋_GB2312" w:hAnsi="仿宋" w:eastAsia="仿宋_GB2312" w:cs="仿宋"/>
          <w:sz w:val="30"/>
          <w:szCs w:val="32"/>
        </w:rPr>
        <w:t xml:space="preserve"> </w:t>
      </w:r>
    </w:p>
    <w:p w14:paraId="6E12BC11">
      <w:pPr>
        <w:spacing w:line="578" w:lineRule="exact"/>
        <w:ind w:left="1800" w:right="456" w:rightChars="217" w:hanging="1800" w:hangingChars="600"/>
        <w:jc w:val="left"/>
        <w:rPr>
          <w:rFonts w:ascii="仿宋_GB2312" w:hAnsi="仿宋" w:eastAsia="仿宋_GB2312" w:cs="仿宋"/>
          <w:sz w:val="30"/>
          <w:szCs w:val="32"/>
        </w:rPr>
      </w:pPr>
      <w:r>
        <w:rPr>
          <w:rFonts w:hint="eastAsia" w:ascii="仿宋_GB2312" w:hAnsi="仿宋" w:eastAsia="仿宋_GB2312" w:cs="仿宋"/>
          <w:sz w:val="30"/>
          <w:szCs w:val="32"/>
        </w:rPr>
        <w:t xml:space="preserve">  评价机构：</w:t>
      </w:r>
      <w:r>
        <w:rPr>
          <w:rFonts w:hint="eastAsia" w:ascii="仿宋_GB2312" w:hAnsi="仿宋" w:eastAsia="仿宋_GB2312" w:cs="仿宋"/>
          <w:sz w:val="30"/>
          <w:szCs w:val="32"/>
          <w:u w:val="single"/>
        </w:rPr>
        <w:t>☑中介机构</w:t>
      </w:r>
      <w:r>
        <w:rPr>
          <w:rFonts w:hint="eastAsia" w:ascii="仿宋_GB2312" w:hAnsi="仿宋" w:eastAsia="仿宋_GB2312" w:cs="仿宋"/>
          <w:sz w:val="30"/>
          <w:szCs w:val="32"/>
        </w:rPr>
        <w:t xml:space="preserve">    </w:t>
      </w:r>
      <w:r>
        <w:rPr>
          <w:rFonts w:hint="eastAsia" w:ascii="仿宋_GB2312" w:hAnsi="仿宋" w:eastAsia="仿宋_GB2312" w:cs="仿宋"/>
          <w:sz w:val="30"/>
          <w:szCs w:val="32"/>
          <w:u w:val="single"/>
        </w:rPr>
        <w:t>□专家组</w:t>
      </w:r>
      <w:r>
        <w:rPr>
          <w:rFonts w:hint="eastAsia" w:ascii="仿宋_GB2312" w:hAnsi="仿宋" w:eastAsia="仿宋_GB2312" w:cs="仿宋"/>
          <w:sz w:val="30"/>
          <w:szCs w:val="32"/>
        </w:rPr>
        <w:t xml:space="preserve">   </w:t>
      </w:r>
      <w:r>
        <w:rPr>
          <w:rFonts w:hint="eastAsia" w:ascii="仿宋_GB2312" w:hAnsi="仿宋" w:eastAsia="仿宋_GB2312" w:cs="仿宋"/>
          <w:sz w:val="30"/>
          <w:szCs w:val="32"/>
          <w:u w:val="single"/>
        </w:rPr>
        <w:t>□项目单位评价组</w:t>
      </w:r>
    </w:p>
    <w:p w14:paraId="5CBB52E7">
      <w:pPr>
        <w:spacing w:line="578" w:lineRule="exact"/>
        <w:rPr>
          <w:rFonts w:ascii="仿宋_GB2312" w:hAnsi="仿宋" w:eastAsia="仿宋_GB2312" w:cs="仿宋"/>
          <w:sz w:val="30"/>
          <w:szCs w:val="32"/>
        </w:rPr>
      </w:pPr>
    </w:p>
    <w:p w14:paraId="6E72E177">
      <w:pPr>
        <w:spacing w:line="578" w:lineRule="exact"/>
        <w:ind w:left="4800" w:hanging="4800" w:hangingChars="1600"/>
        <w:rPr>
          <w:rFonts w:hint="eastAsia" w:ascii="仿宋_GB2312" w:hAnsi="仿宋" w:eastAsia="仿宋_GB2312" w:cs="仿宋"/>
          <w:sz w:val="30"/>
          <w:szCs w:val="32"/>
        </w:rPr>
      </w:pPr>
      <w:r>
        <w:rPr>
          <w:rFonts w:hint="eastAsia" w:ascii="仿宋_GB2312" w:hAnsi="仿宋" w:eastAsia="仿宋_GB2312" w:cs="仿宋"/>
          <w:sz w:val="30"/>
          <w:szCs w:val="32"/>
        </w:rPr>
        <w:t xml:space="preserve">           </w:t>
      </w:r>
    </w:p>
    <w:p w14:paraId="16385D38">
      <w:pPr>
        <w:spacing w:line="578" w:lineRule="exact"/>
        <w:ind w:left="4800" w:hanging="4800" w:hangingChars="1600"/>
        <w:rPr>
          <w:rFonts w:ascii="仿宋_GB2312" w:hAnsi="仿宋" w:eastAsia="仿宋_GB2312" w:cs="仿宋"/>
          <w:sz w:val="30"/>
          <w:szCs w:val="32"/>
        </w:rPr>
      </w:pPr>
      <w:r>
        <w:rPr>
          <w:rFonts w:hint="eastAsia" w:ascii="仿宋_GB2312" w:hAnsi="仿宋" w:eastAsia="仿宋_GB2312" w:cs="仿宋"/>
          <w:sz w:val="30"/>
          <w:szCs w:val="32"/>
        </w:rPr>
        <w:t xml:space="preserve">  </w:t>
      </w:r>
    </w:p>
    <w:p w14:paraId="189AFC62">
      <w:pPr>
        <w:spacing w:line="578" w:lineRule="exact"/>
        <w:ind w:right="456" w:rightChars="217" w:firstLine="300" w:firstLineChars="100"/>
        <w:jc w:val="center"/>
        <w:rPr>
          <w:rFonts w:ascii="宋体" w:hAnsi="宋体" w:eastAsia="宋体" w:cs="宋体"/>
          <w:sz w:val="30"/>
          <w:szCs w:val="32"/>
        </w:rPr>
      </w:pPr>
      <w:r>
        <w:rPr>
          <w:rFonts w:hint="eastAsia" w:ascii="宋体" w:hAnsi="宋体" w:eastAsia="宋体" w:cs="宋体"/>
          <w:sz w:val="30"/>
          <w:szCs w:val="32"/>
        </w:rPr>
        <w:t>评价单位：甘肃卓诚财务咨询有限公司</w:t>
      </w:r>
    </w:p>
    <w:p w14:paraId="0E1B603F">
      <w:pPr>
        <w:spacing w:line="578" w:lineRule="exact"/>
        <w:ind w:right="456" w:rightChars="217" w:firstLine="1500" w:firstLineChars="500"/>
        <w:jc w:val="both"/>
        <w:rPr>
          <w:rFonts w:hint="default" w:ascii="宋体" w:hAnsi="宋体" w:eastAsia="宋体" w:cs="宋体"/>
          <w:sz w:val="30"/>
          <w:szCs w:val="32"/>
          <w:lang w:val="en-US" w:eastAsia="zh-CN"/>
        </w:rPr>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720" w:num="1"/>
          <w:titlePg/>
          <w:docGrid w:type="lines" w:linePitch="312" w:charSpace="0"/>
        </w:sectPr>
      </w:pPr>
      <w:r>
        <w:rPr>
          <w:rFonts w:hint="eastAsia" w:ascii="宋体" w:hAnsi="宋体" w:eastAsia="宋体" w:cs="宋体"/>
          <w:sz w:val="30"/>
          <w:szCs w:val="32"/>
        </w:rPr>
        <w:t>编制日期：</w:t>
      </w:r>
      <w:r>
        <w:rPr>
          <w:rFonts w:hint="eastAsia" w:ascii="宋体" w:hAnsi="宋体" w:eastAsia="宋体" w:cs="宋体"/>
          <w:sz w:val="30"/>
          <w:szCs w:val="32"/>
          <w:highlight w:val="none"/>
        </w:rPr>
        <w:t>202</w:t>
      </w:r>
      <w:r>
        <w:rPr>
          <w:rFonts w:hint="eastAsia" w:ascii="宋体" w:hAnsi="宋体" w:eastAsia="宋体" w:cs="宋体"/>
          <w:sz w:val="30"/>
          <w:szCs w:val="32"/>
          <w:highlight w:val="none"/>
          <w:lang w:val="en-US" w:eastAsia="zh-CN"/>
        </w:rPr>
        <w:t>4</w:t>
      </w:r>
      <w:r>
        <w:rPr>
          <w:rFonts w:hint="eastAsia" w:ascii="宋体" w:hAnsi="宋体" w:eastAsia="宋体" w:cs="宋体"/>
          <w:sz w:val="30"/>
          <w:szCs w:val="32"/>
          <w:highlight w:val="none"/>
        </w:rPr>
        <w:t>年</w:t>
      </w:r>
      <w:r>
        <w:rPr>
          <w:rFonts w:hint="eastAsia" w:ascii="宋体" w:hAnsi="宋体" w:eastAsia="宋体" w:cs="宋体"/>
          <w:sz w:val="30"/>
          <w:szCs w:val="32"/>
          <w:highlight w:val="none"/>
          <w:lang w:val="en-US" w:eastAsia="zh-CN"/>
        </w:rPr>
        <w:t>7</w:t>
      </w:r>
      <w:r>
        <w:rPr>
          <w:rFonts w:hint="eastAsia" w:ascii="宋体" w:hAnsi="宋体" w:eastAsia="宋体" w:cs="宋体"/>
          <w:sz w:val="30"/>
          <w:szCs w:val="32"/>
          <w:highlight w:val="none"/>
        </w:rPr>
        <w:t>月</w:t>
      </w:r>
      <w:r>
        <w:rPr>
          <w:rFonts w:hint="eastAsia" w:ascii="宋体" w:hAnsi="宋体" w:eastAsia="宋体" w:cs="宋体"/>
          <w:sz w:val="30"/>
          <w:szCs w:val="32"/>
          <w:highlight w:val="none"/>
          <w:lang w:val="en-US" w:eastAsia="zh-CN"/>
        </w:rPr>
        <w:t>31日</w:t>
      </w:r>
    </w:p>
    <w:sdt>
      <w:sdtPr>
        <w:rPr>
          <w:rFonts w:hint="eastAsia" w:ascii="宋体" w:hAnsi="宋体" w:eastAsia="宋体" w:cs="宋体"/>
          <w:color w:val="FF0000"/>
          <w:sz w:val="40"/>
          <w:szCs w:val="40"/>
        </w:rPr>
        <w:id w:val="147453237"/>
        <w15:color w:val="DBDBDB"/>
        <w:docPartObj>
          <w:docPartGallery w:val="Table of Contents"/>
          <w:docPartUnique/>
        </w:docPartObj>
      </w:sdtPr>
      <w:sdtEndPr>
        <w:rPr>
          <w:rFonts w:hint="eastAsia" w:ascii="宋体" w:hAnsi="宋体" w:eastAsia="宋体" w:cs="宋体"/>
          <w:b/>
          <w:bCs/>
          <w:color w:val="FF0000"/>
          <w:sz w:val="32"/>
          <w:szCs w:val="44"/>
          <w:highlight w:val="yellow"/>
        </w:rPr>
      </w:sdtEndPr>
      <w:sdtContent>
        <w:p w14:paraId="1E626EC8">
          <w:pPr>
            <w:jc w:val="center"/>
            <w:rPr>
              <w:rFonts w:ascii="宋体" w:hAnsi="宋体" w:eastAsia="宋体" w:cs="宋体"/>
              <w:b/>
              <w:bCs/>
              <w:sz w:val="36"/>
              <w:szCs w:val="36"/>
            </w:rPr>
          </w:pPr>
          <w:r>
            <w:rPr>
              <w:rFonts w:hint="eastAsia" w:ascii="宋体" w:hAnsi="宋体" w:eastAsia="宋体" w:cs="宋体"/>
              <w:b/>
              <w:bCs/>
              <w:sz w:val="36"/>
              <w:szCs w:val="36"/>
            </w:rPr>
            <w:t>目  录</w:t>
          </w:r>
        </w:p>
        <w:p w14:paraId="05CA430E">
          <w:pPr>
            <w:pStyle w:val="17"/>
            <w:tabs>
              <w:tab w:val="right" w:leader="dot" w:pos="8306"/>
            </w:tabs>
            <w:rPr>
              <w:rFonts w:hint="eastAsia" w:ascii="宋体" w:hAnsi="宋体" w:eastAsia="宋体" w:cs="宋体"/>
              <w:b/>
              <w:bCs/>
              <w:sz w:val="28"/>
              <w:szCs w:val="28"/>
            </w:rPr>
          </w:pPr>
          <w:r>
            <w:rPr>
              <w:rFonts w:hint="eastAsia" w:ascii="宋体" w:hAnsi="宋体" w:eastAsia="宋体" w:cs="宋体"/>
              <w:b/>
              <w:bCs/>
              <w:sz w:val="28"/>
              <w:szCs w:val="28"/>
              <w:highlight w:val="yellow"/>
            </w:rPr>
            <w:fldChar w:fldCharType="begin"/>
          </w:r>
          <w:r>
            <w:rPr>
              <w:rFonts w:hint="eastAsia" w:ascii="宋体" w:hAnsi="宋体" w:eastAsia="宋体" w:cs="宋体"/>
              <w:b/>
              <w:bCs/>
              <w:sz w:val="28"/>
              <w:szCs w:val="28"/>
              <w:highlight w:val="yellow"/>
            </w:rPr>
            <w:instrText xml:space="preserve">TOC \o "1-2" \h \u </w:instrText>
          </w:r>
          <w:r>
            <w:rPr>
              <w:rFonts w:hint="eastAsia" w:ascii="宋体" w:hAnsi="宋体" w:eastAsia="宋体" w:cs="宋体"/>
              <w:b/>
              <w:bCs/>
              <w:sz w:val="28"/>
              <w:szCs w:val="28"/>
              <w:highlight w:val="yellow"/>
            </w:rPr>
            <w:fldChar w:fldCharType="separate"/>
          </w:r>
          <w:r>
            <w:rPr>
              <w:rFonts w:hint="eastAsia" w:ascii="宋体" w:hAnsi="宋体" w:eastAsia="宋体" w:cs="宋体"/>
              <w:b/>
              <w:bCs/>
              <w:sz w:val="28"/>
              <w:szCs w:val="28"/>
              <w:highlight w:val="yellow"/>
            </w:rPr>
            <w:fldChar w:fldCharType="begin"/>
          </w:r>
          <w:r>
            <w:rPr>
              <w:rFonts w:hint="eastAsia" w:ascii="宋体" w:hAnsi="宋体" w:eastAsia="宋体" w:cs="宋体"/>
              <w:b/>
              <w:bCs/>
              <w:sz w:val="28"/>
              <w:szCs w:val="28"/>
              <w:highlight w:val="yellow"/>
            </w:rPr>
            <w:instrText xml:space="preserve"> HYPERLINK \l _Toc11002 </w:instrText>
          </w:r>
          <w:r>
            <w:rPr>
              <w:rFonts w:hint="eastAsia" w:ascii="宋体" w:hAnsi="宋体" w:eastAsia="宋体" w:cs="宋体"/>
              <w:b/>
              <w:bCs/>
              <w:sz w:val="28"/>
              <w:szCs w:val="28"/>
              <w:highlight w:val="yellow"/>
            </w:rPr>
            <w:fldChar w:fldCharType="separate"/>
          </w:r>
          <w:r>
            <w:rPr>
              <w:rFonts w:hint="eastAsia" w:ascii="宋体" w:hAnsi="宋体" w:eastAsia="宋体" w:cs="宋体"/>
              <w:b/>
              <w:bCs/>
              <w:sz w:val="28"/>
              <w:szCs w:val="28"/>
              <w:highlight w:val="none"/>
            </w:rPr>
            <w:t>摘   要</w:t>
          </w:r>
          <w:r>
            <w:rPr>
              <w:rFonts w:hint="eastAsia" w:ascii="宋体" w:hAnsi="宋体" w:eastAsia="宋体" w:cs="宋体"/>
              <w:b/>
              <w:bCs/>
              <w:sz w:val="28"/>
              <w:szCs w:val="28"/>
            </w:rPr>
            <w:tab/>
          </w:r>
          <w:r>
            <w:rPr>
              <w:rFonts w:hint="eastAsia" w:ascii="宋体" w:hAnsi="宋体" w:eastAsia="宋体" w:cs="宋体"/>
              <w:b/>
              <w:bCs/>
              <w:sz w:val="28"/>
              <w:szCs w:val="28"/>
            </w:rPr>
            <w:fldChar w:fldCharType="begin"/>
          </w:r>
          <w:r>
            <w:rPr>
              <w:rFonts w:hint="eastAsia" w:ascii="宋体" w:hAnsi="宋体" w:eastAsia="宋体" w:cs="宋体"/>
              <w:b/>
              <w:bCs/>
              <w:sz w:val="28"/>
              <w:szCs w:val="28"/>
            </w:rPr>
            <w:instrText xml:space="preserve"> PAGEREF _Toc11002 \h </w:instrText>
          </w:r>
          <w:r>
            <w:rPr>
              <w:rFonts w:hint="eastAsia" w:ascii="宋体" w:hAnsi="宋体" w:eastAsia="宋体" w:cs="宋体"/>
              <w:b/>
              <w:bCs/>
              <w:sz w:val="28"/>
              <w:szCs w:val="28"/>
            </w:rPr>
            <w:fldChar w:fldCharType="separate"/>
          </w:r>
          <w:r>
            <w:rPr>
              <w:rFonts w:hint="eastAsia" w:ascii="宋体" w:hAnsi="宋体" w:eastAsia="宋体" w:cs="宋体"/>
              <w:b/>
              <w:bCs/>
              <w:sz w:val="28"/>
              <w:szCs w:val="28"/>
            </w:rPr>
            <w:t>1</w:t>
          </w:r>
          <w:r>
            <w:rPr>
              <w:rFonts w:hint="eastAsia" w:ascii="宋体" w:hAnsi="宋体" w:eastAsia="宋体" w:cs="宋体"/>
              <w:b/>
              <w:bCs/>
              <w:sz w:val="28"/>
              <w:szCs w:val="28"/>
            </w:rPr>
            <w:fldChar w:fldCharType="end"/>
          </w:r>
          <w:r>
            <w:rPr>
              <w:rFonts w:hint="eastAsia" w:ascii="宋体" w:hAnsi="宋体" w:eastAsia="宋体" w:cs="宋体"/>
              <w:b/>
              <w:bCs/>
              <w:sz w:val="28"/>
              <w:szCs w:val="28"/>
              <w:highlight w:val="yellow"/>
            </w:rPr>
            <w:fldChar w:fldCharType="end"/>
          </w:r>
        </w:p>
        <w:p w14:paraId="657EB7AB">
          <w:pPr>
            <w:pStyle w:val="17"/>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_Toc1612 </w:instrText>
          </w:r>
          <w:r>
            <w:rPr>
              <w:rFonts w:hint="eastAsia" w:ascii="宋体" w:hAnsi="宋体" w:eastAsia="宋体" w:cs="宋体"/>
              <w:bCs/>
              <w:sz w:val="28"/>
              <w:szCs w:val="28"/>
              <w:highlight w:val="yellow"/>
            </w:rPr>
            <w:fldChar w:fldCharType="separate"/>
          </w:r>
          <w:r>
            <w:rPr>
              <w:rFonts w:hint="eastAsia" w:ascii="宋体" w:hAnsi="宋体" w:eastAsia="宋体" w:cs="宋体"/>
              <w:sz w:val="28"/>
              <w:szCs w:val="28"/>
            </w:rPr>
            <w:t>一、</w:t>
          </w:r>
          <w:r>
            <w:rPr>
              <w:rFonts w:hint="eastAsia" w:ascii="宋体" w:hAnsi="宋体" w:eastAsia="宋体" w:cs="宋体"/>
              <w:bCs/>
              <w:sz w:val="28"/>
              <w:szCs w:val="28"/>
              <w:highlight w:val="none"/>
            </w:rPr>
            <w:t>项目基本情况</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_Toc1612 \h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63CB1CA0">
          <w:pPr>
            <w:pStyle w:val="18"/>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_Toc12039 </w:instrText>
          </w:r>
          <w:r>
            <w:rPr>
              <w:rFonts w:hint="eastAsia" w:ascii="宋体" w:hAnsi="宋体" w:eastAsia="宋体" w:cs="宋体"/>
              <w:bCs/>
              <w:sz w:val="28"/>
              <w:szCs w:val="28"/>
              <w:highlight w:val="yellow"/>
            </w:rPr>
            <w:fldChar w:fldCharType="separate"/>
          </w:r>
          <w:r>
            <w:rPr>
              <w:rFonts w:hint="eastAsia" w:ascii="宋体" w:hAnsi="宋体" w:eastAsia="宋体" w:cs="宋体"/>
              <w:bCs/>
              <w:sz w:val="28"/>
              <w:szCs w:val="28"/>
              <w:highlight w:val="none"/>
            </w:rPr>
            <w:t>（一）项目立项背景及实施目的</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_Toc12039 \h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13B66F21">
          <w:pPr>
            <w:pStyle w:val="18"/>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_Toc19635 </w:instrText>
          </w:r>
          <w:r>
            <w:rPr>
              <w:rFonts w:hint="eastAsia" w:ascii="宋体" w:hAnsi="宋体" w:eastAsia="宋体" w:cs="宋体"/>
              <w:bCs/>
              <w:sz w:val="28"/>
              <w:szCs w:val="28"/>
              <w:highlight w:val="yellow"/>
            </w:rPr>
            <w:fldChar w:fldCharType="separate"/>
          </w:r>
          <w:r>
            <w:rPr>
              <w:rFonts w:hint="eastAsia" w:ascii="宋体" w:hAnsi="宋体" w:eastAsia="宋体" w:cs="宋体"/>
              <w:bCs/>
              <w:sz w:val="28"/>
              <w:szCs w:val="28"/>
              <w:highlight w:val="none"/>
            </w:rPr>
            <w:t>（二）项目预算安排和支出情况</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_Toc19635 \h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51559326">
          <w:pPr>
            <w:pStyle w:val="18"/>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_Toc5194 </w:instrText>
          </w:r>
          <w:r>
            <w:rPr>
              <w:rFonts w:hint="eastAsia" w:ascii="宋体" w:hAnsi="宋体" w:eastAsia="宋体" w:cs="宋体"/>
              <w:bCs/>
              <w:sz w:val="28"/>
              <w:szCs w:val="28"/>
              <w:highlight w:val="yellow"/>
            </w:rPr>
            <w:fldChar w:fldCharType="separate"/>
          </w:r>
          <w:r>
            <w:rPr>
              <w:rFonts w:hint="eastAsia" w:ascii="宋体" w:hAnsi="宋体" w:eastAsia="宋体" w:cs="宋体"/>
              <w:bCs/>
              <w:sz w:val="28"/>
              <w:szCs w:val="28"/>
              <w:highlight w:val="none"/>
              <w:lang w:eastAsia="zh-CN"/>
            </w:rPr>
            <w:t>（</w:t>
          </w:r>
          <w:r>
            <w:rPr>
              <w:rFonts w:hint="eastAsia" w:ascii="宋体" w:hAnsi="宋体" w:eastAsia="宋体" w:cs="宋体"/>
              <w:bCs/>
              <w:sz w:val="28"/>
              <w:szCs w:val="28"/>
              <w:highlight w:val="none"/>
              <w:lang w:val="en-US" w:eastAsia="zh-CN"/>
            </w:rPr>
            <w:t>三</w:t>
          </w:r>
          <w:r>
            <w:rPr>
              <w:rFonts w:hint="eastAsia" w:ascii="宋体" w:hAnsi="宋体" w:eastAsia="宋体" w:cs="宋体"/>
              <w:bCs/>
              <w:sz w:val="28"/>
              <w:szCs w:val="28"/>
              <w:highlight w:val="none"/>
              <w:lang w:eastAsia="zh-CN"/>
            </w:rPr>
            <w:t>）</w:t>
          </w:r>
          <w:r>
            <w:rPr>
              <w:rFonts w:hint="eastAsia" w:ascii="宋体" w:hAnsi="宋体" w:eastAsia="宋体" w:cs="宋体"/>
              <w:bCs/>
              <w:sz w:val="28"/>
              <w:szCs w:val="28"/>
              <w:highlight w:val="none"/>
              <w:lang w:val="en-US" w:eastAsia="zh-CN"/>
            </w:rPr>
            <w:t>项目实施情况</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_Toc5194 \h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7A5FF95D">
          <w:pPr>
            <w:pStyle w:val="17"/>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_Toc25378 </w:instrText>
          </w:r>
          <w:r>
            <w:rPr>
              <w:rFonts w:hint="eastAsia" w:ascii="宋体" w:hAnsi="宋体" w:eastAsia="宋体" w:cs="宋体"/>
              <w:bCs/>
              <w:sz w:val="28"/>
              <w:szCs w:val="28"/>
              <w:highlight w:val="yellow"/>
            </w:rPr>
            <w:fldChar w:fldCharType="separate"/>
          </w:r>
          <w:r>
            <w:rPr>
              <w:rFonts w:hint="eastAsia" w:ascii="宋体" w:hAnsi="宋体" w:eastAsia="宋体" w:cs="宋体"/>
              <w:bCs/>
              <w:sz w:val="28"/>
              <w:szCs w:val="28"/>
              <w:highlight w:val="none"/>
              <w:lang w:val="en-US" w:eastAsia="zh-CN"/>
            </w:rPr>
            <w:t>二</w:t>
          </w:r>
          <w:r>
            <w:rPr>
              <w:rFonts w:hint="eastAsia" w:ascii="宋体" w:hAnsi="宋体" w:eastAsia="宋体" w:cs="宋体"/>
              <w:bCs/>
              <w:sz w:val="28"/>
              <w:szCs w:val="28"/>
              <w:highlight w:val="none"/>
            </w:rPr>
            <w:t>、评价结论和绩效分析</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_Toc25378 \h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69B42BA6">
          <w:pPr>
            <w:pStyle w:val="18"/>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_Toc12143 </w:instrText>
          </w:r>
          <w:r>
            <w:rPr>
              <w:rFonts w:hint="eastAsia" w:ascii="宋体" w:hAnsi="宋体" w:eastAsia="宋体" w:cs="宋体"/>
              <w:bCs/>
              <w:sz w:val="28"/>
              <w:szCs w:val="28"/>
              <w:highlight w:val="yellow"/>
            </w:rPr>
            <w:fldChar w:fldCharType="separate"/>
          </w:r>
          <w:r>
            <w:rPr>
              <w:rFonts w:hint="eastAsia" w:ascii="宋体" w:hAnsi="宋体" w:eastAsia="宋体" w:cs="宋体"/>
              <w:bCs/>
              <w:sz w:val="28"/>
              <w:szCs w:val="28"/>
              <w:highlight w:val="none"/>
            </w:rPr>
            <w:t>（一）综合评价结论</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_Toc12143 \h </w:instrText>
          </w:r>
          <w:r>
            <w:rPr>
              <w:rFonts w:hint="eastAsia" w:ascii="宋体" w:hAnsi="宋体" w:eastAsia="宋体" w:cs="宋体"/>
              <w:sz w:val="28"/>
              <w:szCs w:val="28"/>
            </w:rPr>
            <w:fldChar w:fldCharType="separate"/>
          </w:r>
          <w:r>
            <w:rPr>
              <w:rFonts w:hint="eastAsia" w:ascii="宋体" w:hAnsi="宋体" w:eastAsia="宋体" w:cs="宋体"/>
              <w:sz w:val="28"/>
              <w:szCs w:val="28"/>
            </w:rPr>
            <w:t>2</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7B7D46BF">
          <w:pPr>
            <w:pStyle w:val="18"/>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_Toc25341 </w:instrText>
          </w:r>
          <w:r>
            <w:rPr>
              <w:rFonts w:hint="eastAsia" w:ascii="宋体" w:hAnsi="宋体" w:eastAsia="宋体" w:cs="宋体"/>
              <w:bCs/>
              <w:sz w:val="28"/>
              <w:szCs w:val="28"/>
              <w:highlight w:val="yellow"/>
            </w:rPr>
            <w:fldChar w:fldCharType="separate"/>
          </w:r>
          <w:r>
            <w:rPr>
              <w:rFonts w:hint="eastAsia" w:ascii="宋体" w:hAnsi="宋体" w:eastAsia="宋体" w:cs="宋体"/>
              <w:bCs/>
              <w:sz w:val="28"/>
              <w:szCs w:val="28"/>
              <w:highlight w:val="none"/>
            </w:rPr>
            <w:t>（二）绩效分析</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_Toc25341 \h </w:instrText>
          </w:r>
          <w:r>
            <w:rPr>
              <w:rFonts w:hint="eastAsia" w:ascii="宋体" w:hAnsi="宋体" w:eastAsia="宋体" w:cs="宋体"/>
              <w:sz w:val="28"/>
              <w:szCs w:val="28"/>
            </w:rPr>
            <w:fldChar w:fldCharType="separate"/>
          </w:r>
          <w:r>
            <w:rPr>
              <w:rFonts w:hint="eastAsia" w:ascii="宋体" w:hAnsi="宋体" w:eastAsia="宋体" w:cs="宋体"/>
              <w:sz w:val="28"/>
              <w:szCs w:val="28"/>
            </w:rPr>
            <w:t>2</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5B4F9165">
          <w:pPr>
            <w:pStyle w:val="17"/>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_Toc30246 </w:instrText>
          </w:r>
          <w:r>
            <w:rPr>
              <w:rFonts w:hint="eastAsia" w:ascii="宋体" w:hAnsi="宋体" w:eastAsia="宋体" w:cs="宋体"/>
              <w:bCs/>
              <w:sz w:val="28"/>
              <w:szCs w:val="28"/>
              <w:highlight w:val="yellow"/>
            </w:rPr>
            <w:fldChar w:fldCharType="separate"/>
          </w:r>
          <w:r>
            <w:rPr>
              <w:rFonts w:hint="eastAsia" w:ascii="宋体" w:hAnsi="宋体" w:eastAsia="宋体" w:cs="宋体"/>
              <w:bCs w:val="0"/>
              <w:kern w:val="44"/>
              <w:sz w:val="28"/>
              <w:szCs w:val="28"/>
              <w:highlight w:val="none"/>
              <w:lang w:val="en-US" w:eastAsia="zh-CN" w:bidi="ar-SA"/>
            </w:rPr>
            <w:t>三、</w:t>
          </w:r>
          <w:r>
            <w:rPr>
              <w:rFonts w:hint="eastAsia" w:ascii="宋体" w:hAnsi="宋体" w:eastAsia="宋体" w:cs="宋体"/>
              <w:bCs w:val="0"/>
              <w:sz w:val="28"/>
              <w:szCs w:val="28"/>
              <w:highlight w:val="none"/>
            </w:rPr>
            <w:t>存在问题及原因分析</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_Toc30246 \h </w:instrText>
          </w:r>
          <w:r>
            <w:rPr>
              <w:rFonts w:hint="eastAsia" w:ascii="宋体" w:hAnsi="宋体" w:eastAsia="宋体" w:cs="宋体"/>
              <w:sz w:val="28"/>
              <w:szCs w:val="28"/>
            </w:rPr>
            <w:fldChar w:fldCharType="separate"/>
          </w:r>
          <w:r>
            <w:rPr>
              <w:rFonts w:hint="eastAsia" w:ascii="宋体" w:hAnsi="宋体" w:eastAsia="宋体" w:cs="宋体"/>
              <w:sz w:val="28"/>
              <w:szCs w:val="28"/>
            </w:rPr>
            <w:t>2</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4D32E001">
          <w:pPr>
            <w:pStyle w:val="17"/>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_Toc19054 </w:instrText>
          </w:r>
          <w:r>
            <w:rPr>
              <w:rFonts w:hint="eastAsia" w:ascii="宋体" w:hAnsi="宋体" w:eastAsia="宋体" w:cs="宋体"/>
              <w:bCs/>
              <w:sz w:val="28"/>
              <w:szCs w:val="28"/>
              <w:highlight w:val="yellow"/>
            </w:rPr>
            <w:fldChar w:fldCharType="separate"/>
          </w:r>
          <w:r>
            <w:rPr>
              <w:rFonts w:hint="eastAsia" w:ascii="宋体" w:hAnsi="宋体" w:eastAsia="宋体" w:cs="宋体"/>
              <w:bCs w:val="0"/>
              <w:kern w:val="44"/>
              <w:sz w:val="28"/>
              <w:szCs w:val="28"/>
              <w:highlight w:val="none"/>
              <w:lang w:val="en-US" w:eastAsia="zh-CN" w:bidi="ar-SA"/>
            </w:rPr>
            <w:t>四、</w:t>
          </w:r>
          <w:r>
            <w:rPr>
              <w:rFonts w:hint="eastAsia" w:ascii="宋体" w:hAnsi="宋体" w:eastAsia="宋体" w:cs="宋体"/>
              <w:bCs w:val="0"/>
              <w:sz w:val="28"/>
              <w:szCs w:val="28"/>
              <w:highlight w:val="none"/>
            </w:rPr>
            <w:t>有关建议</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_Toc19054 \h </w:instrText>
          </w:r>
          <w:r>
            <w:rPr>
              <w:rFonts w:hint="eastAsia" w:ascii="宋体" w:hAnsi="宋体" w:eastAsia="宋体" w:cs="宋体"/>
              <w:sz w:val="28"/>
              <w:szCs w:val="28"/>
            </w:rPr>
            <w:fldChar w:fldCharType="separate"/>
          </w:r>
          <w:r>
            <w:rPr>
              <w:rFonts w:hint="eastAsia" w:ascii="宋体" w:hAnsi="宋体" w:eastAsia="宋体" w:cs="宋体"/>
              <w:sz w:val="28"/>
              <w:szCs w:val="28"/>
            </w:rPr>
            <w:t>3</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1E9172E2">
          <w:pPr>
            <w:pStyle w:val="17"/>
            <w:tabs>
              <w:tab w:val="right" w:leader="dot" w:pos="8306"/>
            </w:tabs>
            <w:rPr>
              <w:rFonts w:hint="eastAsia" w:ascii="宋体" w:hAnsi="宋体" w:eastAsia="宋体" w:cs="宋体"/>
              <w:b/>
              <w:bCs/>
              <w:sz w:val="28"/>
              <w:szCs w:val="28"/>
            </w:rPr>
          </w:pPr>
          <w:r>
            <w:rPr>
              <w:rFonts w:hint="eastAsia" w:ascii="宋体" w:hAnsi="宋体" w:eastAsia="宋体" w:cs="宋体"/>
              <w:b/>
              <w:bCs/>
              <w:sz w:val="28"/>
              <w:szCs w:val="28"/>
              <w:highlight w:val="yellow"/>
            </w:rPr>
            <w:fldChar w:fldCharType="begin"/>
          </w:r>
          <w:r>
            <w:rPr>
              <w:rFonts w:hint="eastAsia" w:ascii="宋体" w:hAnsi="宋体" w:eastAsia="宋体" w:cs="宋体"/>
              <w:b/>
              <w:bCs/>
              <w:sz w:val="28"/>
              <w:szCs w:val="28"/>
              <w:highlight w:val="yellow"/>
            </w:rPr>
            <w:instrText xml:space="preserve"> HYPERLINK \l _Toc1604 </w:instrText>
          </w:r>
          <w:r>
            <w:rPr>
              <w:rFonts w:hint="eastAsia" w:ascii="宋体" w:hAnsi="宋体" w:eastAsia="宋体" w:cs="宋体"/>
              <w:b/>
              <w:bCs/>
              <w:sz w:val="28"/>
              <w:szCs w:val="28"/>
              <w:highlight w:val="yellow"/>
            </w:rPr>
            <w:fldChar w:fldCharType="separate"/>
          </w:r>
          <w:r>
            <w:rPr>
              <w:rFonts w:hint="eastAsia" w:ascii="宋体" w:hAnsi="宋体" w:eastAsia="宋体" w:cs="宋体"/>
              <w:b/>
              <w:bCs/>
              <w:sz w:val="28"/>
              <w:szCs w:val="28"/>
              <w:highlight w:val="none"/>
              <w:lang w:eastAsia="zh-CN"/>
            </w:rPr>
            <w:t>2023年度甘肃省高级人民法院重点项目法庭运维费</w:t>
          </w:r>
          <w:r>
            <w:rPr>
              <w:rFonts w:hint="eastAsia" w:ascii="宋体" w:hAnsi="宋体" w:eastAsia="宋体" w:cs="宋体"/>
              <w:b/>
              <w:bCs/>
              <w:sz w:val="28"/>
              <w:szCs w:val="28"/>
              <w:highlight w:val="none"/>
            </w:rPr>
            <w:t>绩效评价报告</w:t>
          </w:r>
          <w:r>
            <w:rPr>
              <w:rFonts w:hint="eastAsia" w:ascii="宋体" w:hAnsi="宋体" w:eastAsia="宋体" w:cs="宋体"/>
              <w:b/>
              <w:bCs/>
              <w:sz w:val="28"/>
              <w:szCs w:val="28"/>
              <w:highlight w:val="yellow"/>
            </w:rPr>
            <w:fldChar w:fldCharType="end"/>
          </w:r>
        </w:p>
        <w:p w14:paraId="6469E3AD">
          <w:pPr>
            <w:pStyle w:val="17"/>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_Toc19448 </w:instrText>
          </w:r>
          <w:r>
            <w:rPr>
              <w:rFonts w:hint="eastAsia" w:ascii="宋体" w:hAnsi="宋体" w:eastAsia="宋体" w:cs="宋体"/>
              <w:bCs/>
              <w:sz w:val="28"/>
              <w:szCs w:val="28"/>
              <w:highlight w:val="yellow"/>
            </w:rPr>
            <w:fldChar w:fldCharType="separate"/>
          </w:r>
          <w:r>
            <w:rPr>
              <w:rFonts w:hint="eastAsia" w:ascii="宋体" w:hAnsi="宋体" w:eastAsia="宋体" w:cs="宋体"/>
              <w:sz w:val="28"/>
              <w:szCs w:val="28"/>
              <w:highlight w:val="none"/>
            </w:rPr>
            <w:t>一、项目基本情况</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_Toc19448 \h </w:instrText>
          </w:r>
          <w:r>
            <w:rPr>
              <w:rFonts w:hint="eastAsia" w:ascii="宋体" w:hAnsi="宋体" w:eastAsia="宋体" w:cs="宋体"/>
              <w:sz w:val="28"/>
              <w:szCs w:val="28"/>
            </w:rPr>
            <w:fldChar w:fldCharType="separate"/>
          </w:r>
          <w:r>
            <w:rPr>
              <w:rFonts w:hint="eastAsia" w:ascii="宋体" w:hAnsi="宋体" w:eastAsia="宋体" w:cs="宋体"/>
              <w:sz w:val="28"/>
              <w:szCs w:val="28"/>
            </w:rPr>
            <w:t>4</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10CF47F0">
          <w:pPr>
            <w:pStyle w:val="18"/>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_Toc12968 </w:instrText>
          </w:r>
          <w:r>
            <w:rPr>
              <w:rFonts w:hint="eastAsia" w:ascii="宋体" w:hAnsi="宋体" w:eastAsia="宋体" w:cs="宋体"/>
              <w:bCs/>
              <w:sz w:val="28"/>
              <w:szCs w:val="28"/>
              <w:highlight w:val="yellow"/>
            </w:rPr>
            <w:fldChar w:fldCharType="separate"/>
          </w:r>
          <w:r>
            <w:rPr>
              <w:rFonts w:hint="eastAsia" w:ascii="宋体" w:hAnsi="宋体" w:eastAsia="宋体" w:cs="宋体"/>
              <w:bCs/>
              <w:sz w:val="28"/>
              <w:szCs w:val="28"/>
              <w:highlight w:val="none"/>
            </w:rPr>
            <w:t>（一）项目立项背景</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_Toc12968 \h </w:instrText>
          </w:r>
          <w:r>
            <w:rPr>
              <w:rFonts w:hint="eastAsia" w:ascii="宋体" w:hAnsi="宋体" w:eastAsia="宋体" w:cs="宋体"/>
              <w:sz w:val="28"/>
              <w:szCs w:val="28"/>
            </w:rPr>
            <w:fldChar w:fldCharType="separate"/>
          </w:r>
          <w:r>
            <w:rPr>
              <w:rFonts w:hint="eastAsia" w:ascii="宋体" w:hAnsi="宋体" w:eastAsia="宋体" w:cs="宋体"/>
              <w:sz w:val="28"/>
              <w:szCs w:val="28"/>
            </w:rPr>
            <w:t>4</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08530FA5">
          <w:pPr>
            <w:pStyle w:val="18"/>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_Toc22818 </w:instrText>
          </w:r>
          <w:r>
            <w:rPr>
              <w:rFonts w:hint="eastAsia" w:ascii="宋体" w:hAnsi="宋体" w:eastAsia="宋体" w:cs="宋体"/>
              <w:bCs/>
              <w:sz w:val="28"/>
              <w:szCs w:val="28"/>
              <w:highlight w:val="yellow"/>
            </w:rPr>
            <w:fldChar w:fldCharType="separate"/>
          </w:r>
          <w:r>
            <w:rPr>
              <w:rFonts w:hint="eastAsia" w:ascii="宋体" w:hAnsi="宋体" w:eastAsia="宋体" w:cs="宋体"/>
              <w:bCs/>
              <w:sz w:val="28"/>
              <w:szCs w:val="28"/>
              <w:highlight w:val="none"/>
            </w:rPr>
            <w:t>（二）项目预算安排及使用情况</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_Toc22818 \h </w:instrText>
          </w:r>
          <w:r>
            <w:rPr>
              <w:rFonts w:hint="eastAsia" w:ascii="宋体" w:hAnsi="宋体" w:eastAsia="宋体" w:cs="宋体"/>
              <w:sz w:val="28"/>
              <w:szCs w:val="28"/>
            </w:rPr>
            <w:fldChar w:fldCharType="separate"/>
          </w:r>
          <w:r>
            <w:rPr>
              <w:rFonts w:hint="eastAsia" w:ascii="宋体" w:hAnsi="宋体" w:eastAsia="宋体" w:cs="宋体"/>
              <w:sz w:val="28"/>
              <w:szCs w:val="28"/>
            </w:rPr>
            <w:t>4</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086B22CC">
          <w:pPr>
            <w:pStyle w:val="18"/>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_Toc26946 </w:instrText>
          </w:r>
          <w:r>
            <w:rPr>
              <w:rFonts w:hint="eastAsia" w:ascii="宋体" w:hAnsi="宋体" w:eastAsia="宋体" w:cs="宋体"/>
              <w:bCs/>
              <w:sz w:val="28"/>
              <w:szCs w:val="28"/>
              <w:highlight w:val="yellow"/>
            </w:rPr>
            <w:fldChar w:fldCharType="separate"/>
          </w:r>
          <w:r>
            <w:rPr>
              <w:rFonts w:hint="eastAsia" w:ascii="宋体" w:hAnsi="宋体" w:eastAsia="宋体" w:cs="宋体"/>
              <w:bCs/>
              <w:sz w:val="28"/>
              <w:szCs w:val="28"/>
              <w:highlight w:val="none"/>
            </w:rPr>
            <w:t>（三）项目计划内容及实施情况</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_Toc26946 \h </w:instrText>
          </w:r>
          <w:r>
            <w:rPr>
              <w:rFonts w:hint="eastAsia" w:ascii="宋体" w:hAnsi="宋体" w:eastAsia="宋体" w:cs="宋体"/>
              <w:sz w:val="28"/>
              <w:szCs w:val="28"/>
            </w:rPr>
            <w:fldChar w:fldCharType="separate"/>
          </w:r>
          <w:r>
            <w:rPr>
              <w:rFonts w:hint="eastAsia" w:ascii="宋体" w:hAnsi="宋体" w:eastAsia="宋体" w:cs="宋体"/>
              <w:sz w:val="28"/>
              <w:szCs w:val="28"/>
            </w:rPr>
            <w:t>5</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740E5C8B">
          <w:pPr>
            <w:pStyle w:val="18"/>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_Toc13479 </w:instrText>
          </w:r>
          <w:r>
            <w:rPr>
              <w:rFonts w:hint="eastAsia" w:ascii="宋体" w:hAnsi="宋体" w:eastAsia="宋体" w:cs="宋体"/>
              <w:bCs/>
              <w:sz w:val="28"/>
              <w:szCs w:val="28"/>
              <w:highlight w:val="yellow"/>
            </w:rPr>
            <w:fldChar w:fldCharType="separate"/>
          </w:r>
          <w:r>
            <w:rPr>
              <w:rFonts w:hint="eastAsia" w:ascii="宋体" w:hAnsi="宋体" w:eastAsia="宋体" w:cs="宋体"/>
              <w:bCs/>
              <w:sz w:val="28"/>
              <w:szCs w:val="28"/>
              <w:highlight w:val="none"/>
            </w:rPr>
            <w:t>（四）项目组织管理</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_Toc13479 \h </w:instrText>
          </w:r>
          <w:r>
            <w:rPr>
              <w:rFonts w:hint="eastAsia" w:ascii="宋体" w:hAnsi="宋体" w:eastAsia="宋体" w:cs="宋体"/>
              <w:sz w:val="28"/>
              <w:szCs w:val="28"/>
            </w:rPr>
            <w:fldChar w:fldCharType="separate"/>
          </w:r>
          <w:r>
            <w:rPr>
              <w:rFonts w:hint="eastAsia" w:ascii="宋体" w:hAnsi="宋体" w:eastAsia="宋体" w:cs="宋体"/>
              <w:sz w:val="28"/>
              <w:szCs w:val="28"/>
            </w:rPr>
            <w:t>8</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6E2851DF">
          <w:pPr>
            <w:pStyle w:val="17"/>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_Toc3037 </w:instrText>
          </w:r>
          <w:r>
            <w:rPr>
              <w:rFonts w:hint="eastAsia" w:ascii="宋体" w:hAnsi="宋体" w:eastAsia="宋体" w:cs="宋体"/>
              <w:bCs/>
              <w:sz w:val="28"/>
              <w:szCs w:val="28"/>
              <w:highlight w:val="yellow"/>
            </w:rPr>
            <w:fldChar w:fldCharType="separate"/>
          </w:r>
          <w:r>
            <w:rPr>
              <w:rFonts w:hint="eastAsia" w:ascii="宋体" w:hAnsi="宋体" w:eastAsia="宋体" w:cs="宋体"/>
              <w:sz w:val="28"/>
              <w:szCs w:val="28"/>
              <w:highlight w:val="none"/>
            </w:rPr>
            <w:t>二、项目绩效目标</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_Toc3037 \h </w:instrText>
          </w:r>
          <w:r>
            <w:rPr>
              <w:rFonts w:hint="eastAsia" w:ascii="宋体" w:hAnsi="宋体" w:eastAsia="宋体" w:cs="宋体"/>
              <w:sz w:val="28"/>
              <w:szCs w:val="28"/>
            </w:rPr>
            <w:fldChar w:fldCharType="separate"/>
          </w:r>
          <w:r>
            <w:rPr>
              <w:rFonts w:hint="eastAsia" w:ascii="宋体" w:hAnsi="宋体" w:eastAsia="宋体" w:cs="宋体"/>
              <w:sz w:val="28"/>
              <w:szCs w:val="28"/>
            </w:rPr>
            <w:t>11</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30EE51B6">
          <w:pPr>
            <w:pStyle w:val="18"/>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_Toc5114 </w:instrText>
          </w:r>
          <w:r>
            <w:rPr>
              <w:rFonts w:hint="eastAsia" w:ascii="宋体" w:hAnsi="宋体" w:eastAsia="宋体" w:cs="宋体"/>
              <w:bCs/>
              <w:sz w:val="28"/>
              <w:szCs w:val="28"/>
              <w:highlight w:val="yellow"/>
            </w:rPr>
            <w:fldChar w:fldCharType="separate"/>
          </w:r>
          <w:r>
            <w:rPr>
              <w:rFonts w:hint="eastAsia" w:ascii="宋体" w:hAnsi="宋体" w:eastAsia="宋体" w:cs="宋体"/>
              <w:bCs/>
              <w:sz w:val="28"/>
              <w:szCs w:val="28"/>
              <w:highlight w:val="none"/>
            </w:rPr>
            <w:t>（一）总体目标</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_Toc5114 \h </w:instrText>
          </w:r>
          <w:r>
            <w:rPr>
              <w:rFonts w:hint="eastAsia" w:ascii="宋体" w:hAnsi="宋体" w:eastAsia="宋体" w:cs="宋体"/>
              <w:sz w:val="28"/>
              <w:szCs w:val="28"/>
            </w:rPr>
            <w:fldChar w:fldCharType="separate"/>
          </w:r>
          <w:r>
            <w:rPr>
              <w:rFonts w:hint="eastAsia" w:ascii="宋体" w:hAnsi="宋体" w:eastAsia="宋体" w:cs="宋体"/>
              <w:sz w:val="28"/>
              <w:szCs w:val="28"/>
            </w:rPr>
            <w:t>11</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6254D6FB">
          <w:pPr>
            <w:pStyle w:val="18"/>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_Toc25750 </w:instrText>
          </w:r>
          <w:r>
            <w:rPr>
              <w:rFonts w:hint="eastAsia" w:ascii="宋体" w:hAnsi="宋体" w:eastAsia="宋体" w:cs="宋体"/>
              <w:bCs/>
              <w:sz w:val="28"/>
              <w:szCs w:val="28"/>
              <w:highlight w:val="yellow"/>
            </w:rPr>
            <w:fldChar w:fldCharType="separate"/>
          </w:r>
          <w:r>
            <w:rPr>
              <w:rFonts w:hint="eastAsia" w:ascii="宋体" w:hAnsi="宋体" w:eastAsia="宋体" w:cs="宋体"/>
              <w:bCs/>
              <w:sz w:val="28"/>
              <w:szCs w:val="28"/>
              <w:highlight w:val="none"/>
            </w:rPr>
            <w:t>（二）年度目标</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_Toc25750 \h </w:instrText>
          </w:r>
          <w:r>
            <w:rPr>
              <w:rFonts w:hint="eastAsia" w:ascii="宋体" w:hAnsi="宋体" w:eastAsia="宋体" w:cs="宋体"/>
              <w:sz w:val="28"/>
              <w:szCs w:val="28"/>
            </w:rPr>
            <w:fldChar w:fldCharType="separate"/>
          </w:r>
          <w:r>
            <w:rPr>
              <w:rFonts w:hint="eastAsia" w:ascii="宋体" w:hAnsi="宋体" w:eastAsia="宋体" w:cs="宋体"/>
              <w:sz w:val="28"/>
              <w:szCs w:val="28"/>
            </w:rPr>
            <w:t>11</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5A07E8B2">
          <w:pPr>
            <w:pStyle w:val="17"/>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_Toc16726 </w:instrText>
          </w:r>
          <w:r>
            <w:rPr>
              <w:rFonts w:hint="eastAsia" w:ascii="宋体" w:hAnsi="宋体" w:eastAsia="宋体" w:cs="宋体"/>
              <w:bCs/>
              <w:sz w:val="28"/>
              <w:szCs w:val="28"/>
              <w:highlight w:val="yellow"/>
            </w:rPr>
            <w:fldChar w:fldCharType="separate"/>
          </w:r>
          <w:r>
            <w:rPr>
              <w:rFonts w:hint="eastAsia" w:ascii="宋体" w:hAnsi="宋体" w:eastAsia="宋体" w:cs="宋体"/>
              <w:sz w:val="28"/>
              <w:szCs w:val="28"/>
              <w:highlight w:val="none"/>
            </w:rPr>
            <w:t>三、评价基本情况</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_Toc16726 \h </w:instrText>
          </w:r>
          <w:r>
            <w:rPr>
              <w:rFonts w:hint="eastAsia" w:ascii="宋体" w:hAnsi="宋体" w:eastAsia="宋体" w:cs="宋体"/>
              <w:sz w:val="28"/>
              <w:szCs w:val="28"/>
            </w:rPr>
            <w:fldChar w:fldCharType="separate"/>
          </w:r>
          <w:r>
            <w:rPr>
              <w:rFonts w:hint="eastAsia" w:ascii="宋体" w:hAnsi="宋体" w:eastAsia="宋体" w:cs="宋体"/>
              <w:sz w:val="28"/>
              <w:szCs w:val="28"/>
            </w:rPr>
            <w:t>11</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2B89547F">
          <w:pPr>
            <w:pStyle w:val="18"/>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_Toc25351 </w:instrText>
          </w:r>
          <w:r>
            <w:rPr>
              <w:rFonts w:hint="eastAsia" w:ascii="宋体" w:hAnsi="宋体" w:eastAsia="宋体" w:cs="宋体"/>
              <w:bCs/>
              <w:sz w:val="28"/>
              <w:szCs w:val="28"/>
              <w:highlight w:val="yellow"/>
            </w:rPr>
            <w:fldChar w:fldCharType="separate"/>
          </w:r>
          <w:r>
            <w:rPr>
              <w:rFonts w:hint="eastAsia" w:ascii="宋体" w:hAnsi="宋体" w:eastAsia="宋体" w:cs="宋体"/>
              <w:bCs/>
              <w:sz w:val="28"/>
              <w:szCs w:val="28"/>
              <w:highlight w:val="none"/>
            </w:rPr>
            <w:t>（一）评价目的</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_Toc25351 \h </w:instrText>
          </w:r>
          <w:r>
            <w:rPr>
              <w:rFonts w:hint="eastAsia" w:ascii="宋体" w:hAnsi="宋体" w:eastAsia="宋体" w:cs="宋体"/>
              <w:sz w:val="28"/>
              <w:szCs w:val="28"/>
            </w:rPr>
            <w:fldChar w:fldCharType="separate"/>
          </w:r>
          <w:r>
            <w:rPr>
              <w:rFonts w:hint="eastAsia" w:ascii="宋体" w:hAnsi="宋体" w:eastAsia="宋体" w:cs="宋体"/>
              <w:sz w:val="28"/>
              <w:szCs w:val="28"/>
            </w:rPr>
            <w:t>12</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485B6CD4">
          <w:pPr>
            <w:pStyle w:val="18"/>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_Toc11027 </w:instrText>
          </w:r>
          <w:r>
            <w:rPr>
              <w:rFonts w:hint="eastAsia" w:ascii="宋体" w:hAnsi="宋体" w:eastAsia="宋体" w:cs="宋体"/>
              <w:bCs/>
              <w:sz w:val="28"/>
              <w:szCs w:val="28"/>
              <w:highlight w:val="yellow"/>
            </w:rPr>
            <w:fldChar w:fldCharType="separate"/>
          </w:r>
          <w:r>
            <w:rPr>
              <w:rFonts w:hint="eastAsia" w:ascii="宋体" w:hAnsi="宋体" w:eastAsia="宋体" w:cs="宋体"/>
              <w:bCs/>
              <w:sz w:val="28"/>
              <w:szCs w:val="28"/>
              <w:highlight w:val="none"/>
            </w:rPr>
            <w:t>（二）评价对象与范围</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_Toc11027 \h </w:instrText>
          </w:r>
          <w:r>
            <w:rPr>
              <w:rFonts w:hint="eastAsia" w:ascii="宋体" w:hAnsi="宋体" w:eastAsia="宋体" w:cs="宋体"/>
              <w:sz w:val="28"/>
              <w:szCs w:val="28"/>
            </w:rPr>
            <w:fldChar w:fldCharType="separate"/>
          </w:r>
          <w:r>
            <w:rPr>
              <w:rFonts w:hint="eastAsia" w:ascii="宋体" w:hAnsi="宋体" w:eastAsia="宋体" w:cs="宋体"/>
              <w:sz w:val="28"/>
              <w:szCs w:val="28"/>
            </w:rPr>
            <w:t>12</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222A7D54">
          <w:pPr>
            <w:pStyle w:val="18"/>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_Toc3267 </w:instrText>
          </w:r>
          <w:r>
            <w:rPr>
              <w:rFonts w:hint="eastAsia" w:ascii="宋体" w:hAnsi="宋体" w:eastAsia="宋体" w:cs="宋体"/>
              <w:bCs/>
              <w:sz w:val="28"/>
              <w:szCs w:val="28"/>
              <w:highlight w:val="yellow"/>
            </w:rPr>
            <w:fldChar w:fldCharType="separate"/>
          </w:r>
          <w:r>
            <w:rPr>
              <w:rFonts w:hint="eastAsia" w:ascii="宋体" w:hAnsi="宋体" w:eastAsia="宋体" w:cs="宋体"/>
              <w:bCs/>
              <w:sz w:val="28"/>
              <w:szCs w:val="28"/>
              <w:highlight w:val="none"/>
            </w:rPr>
            <w:t>（三）评价依据</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_Toc3267 \h </w:instrText>
          </w:r>
          <w:r>
            <w:rPr>
              <w:rFonts w:hint="eastAsia" w:ascii="宋体" w:hAnsi="宋体" w:eastAsia="宋体" w:cs="宋体"/>
              <w:sz w:val="28"/>
              <w:szCs w:val="28"/>
            </w:rPr>
            <w:fldChar w:fldCharType="separate"/>
          </w:r>
          <w:r>
            <w:rPr>
              <w:rFonts w:hint="eastAsia" w:ascii="宋体" w:hAnsi="宋体" w:eastAsia="宋体" w:cs="宋体"/>
              <w:sz w:val="28"/>
              <w:szCs w:val="28"/>
            </w:rPr>
            <w:t>13</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51D74BEF">
          <w:pPr>
            <w:pStyle w:val="18"/>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_Toc13992 </w:instrText>
          </w:r>
          <w:r>
            <w:rPr>
              <w:rFonts w:hint="eastAsia" w:ascii="宋体" w:hAnsi="宋体" w:eastAsia="宋体" w:cs="宋体"/>
              <w:bCs/>
              <w:sz w:val="28"/>
              <w:szCs w:val="28"/>
              <w:highlight w:val="yellow"/>
            </w:rPr>
            <w:fldChar w:fldCharType="separate"/>
          </w:r>
          <w:r>
            <w:rPr>
              <w:rFonts w:hint="eastAsia" w:ascii="宋体" w:hAnsi="宋体" w:eastAsia="宋体" w:cs="宋体"/>
              <w:bCs/>
              <w:sz w:val="28"/>
              <w:szCs w:val="28"/>
              <w:highlight w:val="none"/>
            </w:rPr>
            <w:t>（四）评价原则、评价方法</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_Toc13992 \h </w:instrText>
          </w:r>
          <w:r>
            <w:rPr>
              <w:rFonts w:hint="eastAsia" w:ascii="宋体" w:hAnsi="宋体" w:eastAsia="宋体" w:cs="宋体"/>
              <w:sz w:val="28"/>
              <w:szCs w:val="28"/>
            </w:rPr>
            <w:fldChar w:fldCharType="separate"/>
          </w:r>
          <w:r>
            <w:rPr>
              <w:rFonts w:hint="eastAsia" w:ascii="宋体" w:hAnsi="宋体" w:eastAsia="宋体" w:cs="宋体"/>
              <w:sz w:val="28"/>
              <w:szCs w:val="28"/>
            </w:rPr>
            <w:t>14</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23122E1E">
          <w:pPr>
            <w:pStyle w:val="18"/>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_Toc6116 </w:instrText>
          </w:r>
          <w:r>
            <w:rPr>
              <w:rFonts w:hint="eastAsia" w:ascii="宋体" w:hAnsi="宋体" w:eastAsia="宋体" w:cs="宋体"/>
              <w:bCs/>
              <w:sz w:val="28"/>
              <w:szCs w:val="28"/>
              <w:highlight w:val="yellow"/>
            </w:rPr>
            <w:fldChar w:fldCharType="separate"/>
          </w:r>
          <w:r>
            <w:rPr>
              <w:rFonts w:hint="eastAsia" w:ascii="宋体" w:hAnsi="宋体" w:eastAsia="宋体" w:cs="宋体"/>
              <w:bCs/>
              <w:sz w:val="28"/>
              <w:szCs w:val="28"/>
              <w:highlight w:val="none"/>
            </w:rPr>
            <w:t>（五）绩效评价指标体系</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_Toc6116 \h </w:instrText>
          </w:r>
          <w:r>
            <w:rPr>
              <w:rFonts w:hint="eastAsia" w:ascii="宋体" w:hAnsi="宋体" w:eastAsia="宋体" w:cs="宋体"/>
              <w:sz w:val="28"/>
              <w:szCs w:val="28"/>
            </w:rPr>
            <w:fldChar w:fldCharType="separate"/>
          </w:r>
          <w:r>
            <w:rPr>
              <w:rFonts w:hint="eastAsia" w:ascii="宋体" w:hAnsi="宋体" w:eastAsia="宋体" w:cs="宋体"/>
              <w:sz w:val="28"/>
              <w:szCs w:val="28"/>
            </w:rPr>
            <w:t>15</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6139FDC1">
          <w:pPr>
            <w:pStyle w:val="18"/>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_Toc32532 </w:instrText>
          </w:r>
          <w:r>
            <w:rPr>
              <w:rFonts w:hint="eastAsia" w:ascii="宋体" w:hAnsi="宋体" w:eastAsia="宋体" w:cs="宋体"/>
              <w:bCs/>
              <w:sz w:val="28"/>
              <w:szCs w:val="28"/>
              <w:highlight w:val="yellow"/>
            </w:rPr>
            <w:fldChar w:fldCharType="separate"/>
          </w:r>
          <w:r>
            <w:rPr>
              <w:rFonts w:hint="eastAsia" w:ascii="宋体" w:hAnsi="宋体" w:eastAsia="宋体" w:cs="宋体"/>
              <w:bCs/>
              <w:sz w:val="28"/>
              <w:szCs w:val="28"/>
              <w:highlight w:val="none"/>
            </w:rPr>
            <w:t>（</w:t>
          </w:r>
          <w:r>
            <w:rPr>
              <w:rFonts w:hint="eastAsia" w:ascii="宋体" w:hAnsi="宋体" w:eastAsia="宋体" w:cs="宋体"/>
              <w:bCs/>
              <w:sz w:val="28"/>
              <w:szCs w:val="28"/>
              <w:highlight w:val="none"/>
              <w:lang w:val="en-US" w:eastAsia="zh-CN"/>
            </w:rPr>
            <w:t>六</w:t>
          </w:r>
          <w:r>
            <w:rPr>
              <w:rFonts w:hint="eastAsia" w:ascii="宋体" w:hAnsi="宋体" w:eastAsia="宋体" w:cs="宋体"/>
              <w:bCs/>
              <w:sz w:val="28"/>
              <w:szCs w:val="28"/>
              <w:highlight w:val="none"/>
            </w:rPr>
            <w:t>）绩效评价工作过程</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_Toc32532 \h </w:instrText>
          </w:r>
          <w:r>
            <w:rPr>
              <w:rFonts w:hint="eastAsia" w:ascii="宋体" w:hAnsi="宋体" w:eastAsia="宋体" w:cs="宋体"/>
              <w:sz w:val="28"/>
              <w:szCs w:val="28"/>
            </w:rPr>
            <w:fldChar w:fldCharType="separate"/>
          </w:r>
          <w:r>
            <w:rPr>
              <w:rFonts w:hint="eastAsia" w:ascii="宋体" w:hAnsi="宋体" w:eastAsia="宋体" w:cs="宋体"/>
              <w:sz w:val="28"/>
              <w:szCs w:val="28"/>
            </w:rPr>
            <w:t>17</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305E904C">
          <w:pPr>
            <w:pStyle w:val="17"/>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_Toc350 </w:instrText>
          </w:r>
          <w:r>
            <w:rPr>
              <w:rFonts w:hint="eastAsia" w:ascii="宋体" w:hAnsi="宋体" w:eastAsia="宋体" w:cs="宋体"/>
              <w:bCs/>
              <w:sz w:val="28"/>
              <w:szCs w:val="28"/>
              <w:highlight w:val="yellow"/>
            </w:rPr>
            <w:fldChar w:fldCharType="separate"/>
          </w:r>
          <w:r>
            <w:rPr>
              <w:rFonts w:hint="eastAsia" w:ascii="宋体" w:hAnsi="宋体" w:eastAsia="宋体" w:cs="宋体"/>
              <w:sz w:val="28"/>
              <w:szCs w:val="28"/>
              <w:highlight w:val="none"/>
            </w:rPr>
            <w:t>四、评价结论及分析</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_Toc350 \h </w:instrText>
          </w:r>
          <w:r>
            <w:rPr>
              <w:rFonts w:hint="eastAsia" w:ascii="宋体" w:hAnsi="宋体" w:eastAsia="宋体" w:cs="宋体"/>
              <w:sz w:val="28"/>
              <w:szCs w:val="28"/>
            </w:rPr>
            <w:fldChar w:fldCharType="separate"/>
          </w:r>
          <w:r>
            <w:rPr>
              <w:rFonts w:hint="eastAsia" w:ascii="宋体" w:hAnsi="宋体" w:eastAsia="宋体" w:cs="宋体"/>
              <w:sz w:val="28"/>
              <w:szCs w:val="28"/>
            </w:rPr>
            <w:t>20</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15F7DEE3">
          <w:pPr>
            <w:pStyle w:val="17"/>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_Toc11745 </w:instrText>
          </w:r>
          <w:r>
            <w:rPr>
              <w:rFonts w:hint="eastAsia" w:ascii="宋体" w:hAnsi="宋体" w:eastAsia="宋体" w:cs="宋体"/>
              <w:bCs/>
              <w:sz w:val="28"/>
              <w:szCs w:val="28"/>
              <w:highlight w:val="yellow"/>
            </w:rPr>
            <w:fldChar w:fldCharType="separate"/>
          </w:r>
          <w:r>
            <w:rPr>
              <w:rFonts w:hint="eastAsia" w:ascii="宋体" w:hAnsi="宋体" w:eastAsia="宋体" w:cs="宋体"/>
              <w:sz w:val="28"/>
              <w:szCs w:val="28"/>
              <w:highlight w:val="none"/>
            </w:rPr>
            <w:t>五、绩效评价指标分析</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_Toc11745 \h </w:instrText>
          </w:r>
          <w:r>
            <w:rPr>
              <w:rFonts w:hint="eastAsia" w:ascii="宋体" w:hAnsi="宋体" w:eastAsia="宋体" w:cs="宋体"/>
              <w:sz w:val="28"/>
              <w:szCs w:val="28"/>
            </w:rPr>
            <w:fldChar w:fldCharType="separate"/>
          </w:r>
          <w:r>
            <w:rPr>
              <w:rFonts w:hint="eastAsia" w:ascii="宋体" w:hAnsi="宋体" w:eastAsia="宋体" w:cs="宋体"/>
              <w:sz w:val="28"/>
              <w:szCs w:val="28"/>
            </w:rPr>
            <w:t>21</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43A0B594">
          <w:pPr>
            <w:pStyle w:val="18"/>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_Toc15715 </w:instrText>
          </w:r>
          <w:r>
            <w:rPr>
              <w:rFonts w:hint="eastAsia" w:ascii="宋体" w:hAnsi="宋体" w:eastAsia="宋体" w:cs="宋体"/>
              <w:bCs/>
              <w:sz w:val="28"/>
              <w:szCs w:val="28"/>
              <w:highlight w:val="yellow"/>
            </w:rPr>
            <w:fldChar w:fldCharType="separate"/>
          </w:r>
          <w:r>
            <w:rPr>
              <w:rFonts w:hint="eastAsia" w:ascii="宋体" w:hAnsi="宋体" w:eastAsia="宋体" w:cs="宋体"/>
              <w:bCs/>
              <w:sz w:val="28"/>
              <w:szCs w:val="28"/>
              <w:highlight w:val="none"/>
            </w:rPr>
            <w:t>（一）项目决策情况</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_Toc15715 \h </w:instrText>
          </w:r>
          <w:r>
            <w:rPr>
              <w:rFonts w:hint="eastAsia" w:ascii="宋体" w:hAnsi="宋体" w:eastAsia="宋体" w:cs="宋体"/>
              <w:sz w:val="28"/>
              <w:szCs w:val="28"/>
            </w:rPr>
            <w:fldChar w:fldCharType="separate"/>
          </w:r>
          <w:r>
            <w:rPr>
              <w:rFonts w:hint="eastAsia" w:ascii="宋体" w:hAnsi="宋体" w:eastAsia="宋体" w:cs="宋体"/>
              <w:sz w:val="28"/>
              <w:szCs w:val="28"/>
            </w:rPr>
            <w:t>22</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67194364">
          <w:pPr>
            <w:pStyle w:val="18"/>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_Toc559 </w:instrText>
          </w:r>
          <w:r>
            <w:rPr>
              <w:rFonts w:hint="eastAsia" w:ascii="宋体" w:hAnsi="宋体" w:eastAsia="宋体" w:cs="宋体"/>
              <w:bCs/>
              <w:sz w:val="28"/>
              <w:szCs w:val="28"/>
              <w:highlight w:val="yellow"/>
            </w:rPr>
            <w:fldChar w:fldCharType="separate"/>
          </w:r>
          <w:r>
            <w:rPr>
              <w:rFonts w:hint="eastAsia" w:ascii="宋体" w:hAnsi="宋体" w:eastAsia="宋体" w:cs="宋体"/>
              <w:bCs/>
              <w:sz w:val="28"/>
              <w:szCs w:val="28"/>
              <w:highlight w:val="none"/>
            </w:rPr>
            <w:t>（二）项目过程情况</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_Toc559 \h </w:instrText>
          </w:r>
          <w:r>
            <w:rPr>
              <w:rFonts w:hint="eastAsia" w:ascii="宋体" w:hAnsi="宋体" w:eastAsia="宋体" w:cs="宋体"/>
              <w:sz w:val="28"/>
              <w:szCs w:val="28"/>
            </w:rPr>
            <w:fldChar w:fldCharType="separate"/>
          </w:r>
          <w:r>
            <w:rPr>
              <w:rFonts w:hint="eastAsia" w:ascii="宋体" w:hAnsi="宋体" w:eastAsia="宋体" w:cs="宋体"/>
              <w:sz w:val="28"/>
              <w:szCs w:val="28"/>
            </w:rPr>
            <w:t>25</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2CC98BA5">
          <w:pPr>
            <w:pStyle w:val="18"/>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_Toc643 </w:instrText>
          </w:r>
          <w:r>
            <w:rPr>
              <w:rFonts w:hint="eastAsia" w:ascii="宋体" w:hAnsi="宋体" w:eastAsia="宋体" w:cs="宋体"/>
              <w:bCs/>
              <w:sz w:val="28"/>
              <w:szCs w:val="28"/>
              <w:highlight w:val="yellow"/>
            </w:rPr>
            <w:fldChar w:fldCharType="separate"/>
          </w:r>
          <w:r>
            <w:rPr>
              <w:rFonts w:hint="eastAsia" w:ascii="宋体" w:hAnsi="宋体" w:eastAsia="宋体" w:cs="宋体"/>
              <w:bCs/>
              <w:sz w:val="28"/>
              <w:szCs w:val="28"/>
              <w:highlight w:val="none"/>
            </w:rPr>
            <w:t>（</w:t>
          </w:r>
          <w:r>
            <w:rPr>
              <w:rFonts w:hint="eastAsia" w:ascii="宋体" w:hAnsi="宋体" w:eastAsia="宋体" w:cs="宋体"/>
              <w:bCs/>
              <w:sz w:val="28"/>
              <w:szCs w:val="28"/>
              <w:highlight w:val="none"/>
              <w:lang w:val="en-US" w:eastAsia="zh-CN"/>
            </w:rPr>
            <w:t>三</w:t>
          </w:r>
          <w:r>
            <w:rPr>
              <w:rFonts w:hint="eastAsia" w:ascii="宋体" w:hAnsi="宋体" w:eastAsia="宋体" w:cs="宋体"/>
              <w:bCs/>
              <w:sz w:val="28"/>
              <w:szCs w:val="28"/>
              <w:highlight w:val="none"/>
            </w:rPr>
            <w:t>）项目产出情况</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_Toc643 \h </w:instrText>
          </w:r>
          <w:r>
            <w:rPr>
              <w:rFonts w:hint="eastAsia" w:ascii="宋体" w:hAnsi="宋体" w:eastAsia="宋体" w:cs="宋体"/>
              <w:sz w:val="28"/>
              <w:szCs w:val="28"/>
            </w:rPr>
            <w:fldChar w:fldCharType="separate"/>
          </w:r>
          <w:r>
            <w:rPr>
              <w:rFonts w:hint="eastAsia" w:ascii="宋体" w:hAnsi="宋体" w:eastAsia="宋体" w:cs="宋体"/>
              <w:sz w:val="28"/>
              <w:szCs w:val="28"/>
            </w:rPr>
            <w:t>31</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7C1D8BC3">
          <w:pPr>
            <w:pStyle w:val="18"/>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_Toc23375 </w:instrText>
          </w:r>
          <w:r>
            <w:rPr>
              <w:rFonts w:hint="eastAsia" w:ascii="宋体" w:hAnsi="宋体" w:eastAsia="宋体" w:cs="宋体"/>
              <w:bCs/>
              <w:sz w:val="28"/>
              <w:szCs w:val="28"/>
              <w:highlight w:val="yellow"/>
            </w:rPr>
            <w:fldChar w:fldCharType="separate"/>
          </w:r>
          <w:r>
            <w:rPr>
              <w:rFonts w:hint="eastAsia" w:ascii="宋体" w:hAnsi="宋体" w:eastAsia="宋体" w:cs="宋体"/>
              <w:bCs/>
              <w:sz w:val="28"/>
              <w:szCs w:val="28"/>
              <w:highlight w:val="none"/>
            </w:rPr>
            <w:t>（四）项目效益情况</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_Toc23375 \h </w:instrText>
          </w:r>
          <w:r>
            <w:rPr>
              <w:rFonts w:hint="eastAsia" w:ascii="宋体" w:hAnsi="宋体" w:eastAsia="宋体" w:cs="宋体"/>
              <w:sz w:val="28"/>
              <w:szCs w:val="28"/>
            </w:rPr>
            <w:fldChar w:fldCharType="separate"/>
          </w:r>
          <w:r>
            <w:rPr>
              <w:rFonts w:hint="eastAsia" w:ascii="宋体" w:hAnsi="宋体" w:eastAsia="宋体" w:cs="宋体"/>
              <w:sz w:val="28"/>
              <w:szCs w:val="28"/>
            </w:rPr>
            <w:t>33</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14E45BF7">
          <w:pPr>
            <w:pStyle w:val="17"/>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_Toc12745 </w:instrText>
          </w:r>
          <w:r>
            <w:rPr>
              <w:rFonts w:hint="eastAsia" w:ascii="宋体" w:hAnsi="宋体" w:eastAsia="宋体" w:cs="宋体"/>
              <w:bCs/>
              <w:sz w:val="28"/>
              <w:szCs w:val="28"/>
              <w:highlight w:val="yellow"/>
            </w:rPr>
            <w:fldChar w:fldCharType="separate"/>
          </w:r>
          <w:r>
            <w:rPr>
              <w:rFonts w:hint="eastAsia" w:ascii="宋体" w:hAnsi="宋体" w:eastAsia="宋体" w:cs="宋体"/>
              <w:sz w:val="28"/>
              <w:szCs w:val="28"/>
              <w:highlight w:val="none"/>
            </w:rPr>
            <w:t>六、项目主要经验及做法</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_Toc12745 \h </w:instrText>
          </w:r>
          <w:r>
            <w:rPr>
              <w:rFonts w:hint="eastAsia" w:ascii="宋体" w:hAnsi="宋体" w:eastAsia="宋体" w:cs="宋体"/>
              <w:sz w:val="28"/>
              <w:szCs w:val="28"/>
            </w:rPr>
            <w:fldChar w:fldCharType="separate"/>
          </w:r>
          <w:r>
            <w:rPr>
              <w:rFonts w:hint="eastAsia" w:ascii="宋体" w:hAnsi="宋体" w:eastAsia="宋体" w:cs="宋体"/>
              <w:sz w:val="28"/>
              <w:szCs w:val="28"/>
            </w:rPr>
            <w:t>34</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408149A2">
          <w:pPr>
            <w:pStyle w:val="17"/>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_Toc302 </w:instrText>
          </w:r>
          <w:r>
            <w:rPr>
              <w:rFonts w:hint="eastAsia" w:ascii="宋体" w:hAnsi="宋体" w:eastAsia="宋体" w:cs="宋体"/>
              <w:bCs/>
              <w:sz w:val="28"/>
              <w:szCs w:val="28"/>
              <w:highlight w:val="yellow"/>
            </w:rPr>
            <w:fldChar w:fldCharType="separate"/>
          </w:r>
          <w:r>
            <w:rPr>
              <w:rFonts w:hint="eastAsia" w:ascii="宋体" w:hAnsi="宋体" w:eastAsia="宋体" w:cs="宋体"/>
              <w:sz w:val="28"/>
              <w:szCs w:val="28"/>
              <w:highlight w:val="none"/>
            </w:rPr>
            <w:t>七、存在的问题及原因分析</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_Toc302 \h </w:instrText>
          </w:r>
          <w:r>
            <w:rPr>
              <w:rFonts w:hint="eastAsia" w:ascii="宋体" w:hAnsi="宋体" w:eastAsia="宋体" w:cs="宋体"/>
              <w:sz w:val="28"/>
              <w:szCs w:val="28"/>
            </w:rPr>
            <w:fldChar w:fldCharType="separate"/>
          </w:r>
          <w:r>
            <w:rPr>
              <w:rFonts w:hint="eastAsia" w:ascii="宋体" w:hAnsi="宋体" w:eastAsia="宋体" w:cs="宋体"/>
              <w:sz w:val="28"/>
              <w:szCs w:val="28"/>
            </w:rPr>
            <w:t>35</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00207C53">
          <w:pPr>
            <w:pStyle w:val="17"/>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_Toc1483 </w:instrText>
          </w:r>
          <w:r>
            <w:rPr>
              <w:rFonts w:hint="eastAsia" w:ascii="宋体" w:hAnsi="宋体" w:eastAsia="宋体" w:cs="宋体"/>
              <w:bCs/>
              <w:sz w:val="28"/>
              <w:szCs w:val="28"/>
              <w:highlight w:val="yellow"/>
            </w:rPr>
            <w:fldChar w:fldCharType="separate"/>
          </w:r>
          <w:r>
            <w:rPr>
              <w:rFonts w:hint="eastAsia" w:ascii="宋体" w:hAnsi="宋体" w:eastAsia="宋体" w:cs="宋体"/>
              <w:sz w:val="28"/>
              <w:szCs w:val="28"/>
              <w:highlight w:val="none"/>
            </w:rPr>
            <w:t>八、有关建议</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_Toc1483 \h </w:instrText>
          </w:r>
          <w:r>
            <w:rPr>
              <w:rFonts w:hint="eastAsia" w:ascii="宋体" w:hAnsi="宋体" w:eastAsia="宋体" w:cs="宋体"/>
              <w:sz w:val="28"/>
              <w:szCs w:val="28"/>
            </w:rPr>
            <w:fldChar w:fldCharType="separate"/>
          </w:r>
          <w:r>
            <w:rPr>
              <w:rFonts w:hint="eastAsia" w:ascii="宋体" w:hAnsi="宋体" w:eastAsia="宋体" w:cs="宋体"/>
              <w:sz w:val="28"/>
              <w:szCs w:val="28"/>
            </w:rPr>
            <w:t>36</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72A13278">
          <w:pPr>
            <w:pStyle w:val="17"/>
            <w:tabs>
              <w:tab w:val="right" w:leader="dot" w:pos="8306"/>
            </w:tabs>
            <w:rPr>
              <w:rFonts w:hint="eastAsia" w:ascii="宋体" w:hAnsi="宋体" w:eastAsia="宋体" w:cs="宋体"/>
              <w:sz w:val="28"/>
              <w:szCs w:val="28"/>
            </w:rPr>
          </w:pPr>
          <w:r>
            <w:rPr>
              <w:rFonts w:hint="eastAsia" w:ascii="宋体" w:hAnsi="宋体" w:eastAsia="宋体" w:cs="宋体"/>
              <w:bCs/>
              <w:sz w:val="28"/>
              <w:szCs w:val="28"/>
              <w:highlight w:val="yellow"/>
            </w:rPr>
            <w:fldChar w:fldCharType="begin"/>
          </w:r>
          <w:r>
            <w:rPr>
              <w:rFonts w:hint="eastAsia" w:ascii="宋体" w:hAnsi="宋体" w:eastAsia="宋体" w:cs="宋体"/>
              <w:bCs/>
              <w:sz w:val="28"/>
              <w:szCs w:val="28"/>
              <w:highlight w:val="yellow"/>
            </w:rPr>
            <w:instrText xml:space="preserve"> HYPERLINK \l _Toc3425 </w:instrText>
          </w:r>
          <w:r>
            <w:rPr>
              <w:rFonts w:hint="eastAsia" w:ascii="宋体" w:hAnsi="宋体" w:eastAsia="宋体" w:cs="宋体"/>
              <w:bCs/>
              <w:sz w:val="28"/>
              <w:szCs w:val="28"/>
              <w:highlight w:val="yellow"/>
            </w:rPr>
            <w:fldChar w:fldCharType="separate"/>
          </w:r>
          <w:r>
            <w:rPr>
              <w:rFonts w:hint="eastAsia" w:ascii="宋体" w:hAnsi="宋体" w:eastAsia="宋体" w:cs="宋体"/>
              <w:sz w:val="28"/>
              <w:szCs w:val="28"/>
              <w:highlight w:val="none"/>
            </w:rPr>
            <w:t>九、需要说明的问题</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_Toc3425 \h </w:instrText>
          </w:r>
          <w:r>
            <w:rPr>
              <w:rFonts w:hint="eastAsia" w:ascii="宋体" w:hAnsi="宋体" w:eastAsia="宋体" w:cs="宋体"/>
              <w:sz w:val="28"/>
              <w:szCs w:val="28"/>
            </w:rPr>
            <w:fldChar w:fldCharType="separate"/>
          </w:r>
          <w:r>
            <w:rPr>
              <w:rFonts w:hint="eastAsia" w:ascii="宋体" w:hAnsi="宋体" w:eastAsia="宋体" w:cs="宋体"/>
              <w:sz w:val="28"/>
              <w:szCs w:val="28"/>
            </w:rPr>
            <w:t>37</w:t>
          </w:r>
          <w:r>
            <w:rPr>
              <w:rFonts w:hint="eastAsia" w:ascii="宋体" w:hAnsi="宋体" w:eastAsia="宋体" w:cs="宋体"/>
              <w:sz w:val="28"/>
              <w:szCs w:val="28"/>
            </w:rPr>
            <w:fldChar w:fldCharType="end"/>
          </w:r>
          <w:r>
            <w:rPr>
              <w:rFonts w:hint="eastAsia" w:ascii="宋体" w:hAnsi="宋体" w:eastAsia="宋体" w:cs="宋体"/>
              <w:bCs/>
              <w:sz w:val="28"/>
              <w:szCs w:val="28"/>
              <w:highlight w:val="yellow"/>
            </w:rPr>
            <w:fldChar w:fldCharType="end"/>
          </w:r>
        </w:p>
        <w:p w14:paraId="66CC4871">
          <w:pPr>
            <w:pStyle w:val="10"/>
            <w:overflowPunct w:val="0"/>
            <w:spacing w:line="560" w:lineRule="exact"/>
            <w:rPr>
              <w:rFonts w:ascii="宋体" w:hAnsi="宋体" w:eastAsia="宋体"/>
              <w:b/>
              <w:bCs/>
              <w:szCs w:val="44"/>
              <w:highlight w:val="yellow"/>
            </w:rPr>
            <w:sectPr>
              <w:headerReference r:id="rId6" w:type="first"/>
              <w:footerReference r:id="rId8" w:type="first"/>
              <w:headerReference r:id="rId5" w:type="default"/>
              <w:footerReference r:id="rId7" w:type="default"/>
              <w:pgSz w:w="11906" w:h="16838"/>
              <w:pgMar w:top="1440" w:right="1800" w:bottom="1440" w:left="1800" w:header="851" w:footer="992" w:gutter="0"/>
              <w:pgBorders>
                <w:top w:val="none" w:sz="0" w:space="0"/>
                <w:left w:val="none" w:sz="0" w:space="0"/>
                <w:bottom w:val="none" w:sz="0" w:space="0"/>
                <w:right w:val="none" w:sz="0" w:space="0"/>
              </w:pgBorders>
              <w:pgNumType w:start="1"/>
              <w:cols w:space="425" w:num="1"/>
              <w:titlePg/>
              <w:docGrid w:type="lines" w:linePitch="312" w:charSpace="0"/>
            </w:sectPr>
          </w:pPr>
          <w:r>
            <w:rPr>
              <w:rFonts w:hint="eastAsia" w:ascii="宋体" w:hAnsi="宋体" w:eastAsia="宋体" w:cs="宋体"/>
              <w:bCs/>
              <w:sz w:val="28"/>
              <w:szCs w:val="28"/>
              <w:highlight w:val="yellow"/>
            </w:rPr>
            <w:fldChar w:fldCharType="end"/>
          </w:r>
        </w:p>
      </w:sdtContent>
    </w:sdt>
    <w:p w14:paraId="3ADED8AA">
      <w:pPr>
        <w:pStyle w:val="10"/>
        <w:overflowPunct w:val="0"/>
        <w:spacing w:line="560" w:lineRule="exact"/>
        <w:jc w:val="center"/>
        <w:outlineLvl w:val="0"/>
        <w:rPr>
          <w:rFonts w:ascii="方正小标宋简体" w:hAnsi="宋体" w:eastAsia="方正小标宋简体"/>
          <w:sz w:val="44"/>
          <w:szCs w:val="44"/>
          <w:highlight w:val="none"/>
        </w:rPr>
      </w:pPr>
      <w:bookmarkStart w:id="0" w:name="_Toc11002"/>
      <w:r>
        <w:rPr>
          <w:rFonts w:hint="eastAsia" w:ascii="方正小标宋简体" w:hAnsi="宋体" w:eastAsia="方正小标宋简体"/>
          <w:sz w:val="44"/>
          <w:szCs w:val="44"/>
          <w:highlight w:val="none"/>
        </w:rPr>
        <w:t xml:space="preserve">摘 </w:t>
      </w:r>
      <w:r>
        <w:rPr>
          <w:rFonts w:ascii="方正小标宋简体" w:hAnsi="宋体" w:eastAsia="方正小标宋简体"/>
          <w:sz w:val="44"/>
          <w:szCs w:val="44"/>
          <w:highlight w:val="none"/>
        </w:rPr>
        <w:t xml:space="preserve">  </w:t>
      </w:r>
      <w:r>
        <w:rPr>
          <w:rFonts w:hint="eastAsia" w:ascii="方正小标宋简体" w:hAnsi="宋体" w:eastAsia="方正小标宋简体"/>
          <w:sz w:val="44"/>
          <w:szCs w:val="44"/>
          <w:highlight w:val="none"/>
        </w:rPr>
        <w:t>要</w:t>
      </w:r>
      <w:bookmarkEnd w:id="0"/>
    </w:p>
    <w:p w14:paraId="44BC916C">
      <w:pPr>
        <w:overflowPunct w:val="0"/>
        <w:spacing w:line="560" w:lineRule="exact"/>
        <w:ind w:firstLine="420" w:firstLineChars="200"/>
        <w:jc w:val="center"/>
        <w:rPr>
          <w:highlight w:val="yellow"/>
        </w:rPr>
      </w:pPr>
    </w:p>
    <w:p w14:paraId="78B36FEC">
      <w:pPr>
        <w:keepNext w:val="0"/>
        <w:keepLines w:val="0"/>
        <w:pageBreakBefore w:val="0"/>
        <w:widowControl w:val="0"/>
        <w:numPr>
          <w:ilvl w:val="0"/>
          <w:numId w:val="1"/>
        </w:numPr>
        <w:tabs>
          <w:tab w:val="left" w:pos="849"/>
        </w:tabs>
        <w:kinsoku/>
        <w:wordWrap/>
        <w:overflowPunct/>
        <w:topLinePunct w:val="0"/>
        <w:autoSpaceDE/>
        <w:autoSpaceDN/>
        <w:bidi w:val="0"/>
        <w:adjustRightInd/>
        <w:snapToGrid/>
        <w:spacing w:line="560" w:lineRule="exact"/>
        <w:ind w:firstLine="643" w:firstLineChars="200"/>
        <w:textAlignment w:val="auto"/>
        <w:outlineLvl w:val="0"/>
        <w:rPr>
          <w:rFonts w:ascii="黑体" w:hAnsi="黑体" w:eastAsia="黑体" w:cs="黑体"/>
          <w:color w:val="auto"/>
          <w:sz w:val="32"/>
          <w:szCs w:val="32"/>
          <w:highlight w:val="none"/>
        </w:rPr>
      </w:pPr>
      <w:bookmarkStart w:id="1" w:name="_Toc13873"/>
      <w:bookmarkStart w:id="2" w:name="_Toc1612"/>
      <w:bookmarkStart w:id="3" w:name="_Toc3638"/>
      <w:r>
        <w:rPr>
          <w:rFonts w:hint="eastAsia" w:ascii="黑体" w:hAnsi="黑体" w:eastAsia="黑体" w:cs="黑体"/>
          <w:b/>
          <w:bCs/>
          <w:color w:val="auto"/>
          <w:sz w:val="32"/>
          <w:szCs w:val="32"/>
          <w:highlight w:val="none"/>
        </w:rPr>
        <w:t>项目基本情况</w:t>
      </w:r>
      <w:bookmarkEnd w:id="1"/>
      <w:bookmarkEnd w:id="2"/>
      <w:bookmarkEnd w:id="3"/>
    </w:p>
    <w:p w14:paraId="58FD3C1B">
      <w:pPr>
        <w:pStyle w:val="10"/>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1"/>
        <w:rPr>
          <w:rFonts w:ascii="楷体" w:hAnsi="楷体" w:eastAsia="楷体" w:cs="楷体"/>
          <w:b/>
          <w:bCs/>
          <w:color w:val="auto"/>
          <w:highlight w:val="none"/>
        </w:rPr>
      </w:pPr>
      <w:bookmarkStart w:id="4" w:name="_Toc4031"/>
      <w:bookmarkStart w:id="5" w:name="_Toc30374"/>
      <w:bookmarkStart w:id="6" w:name="_Toc12039"/>
      <w:r>
        <w:rPr>
          <w:rFonts w:hint="eastAsia" w:ascii="楷体" w:hAnsi="楷体" w:eastAsia="楷体" w:cs="楷体"/>
          <w:b/>
          <w:bCs/>
          <w:color w:val="auto"/>
          <w:highlight w:val="none"/>
        </w:rPr>
        <w:t>（一）项目立项背景及实施目的</w:t>
      </w:r>
      <w:bookmarkEnd w:id="4"/>
      <w:bookmarkEnd w:id="5"/>
      <w:bookmarkEnd w:id="6"/>
    </w:p>
    <w:p w14:paraId="321101E2">
      <w:pPr>
        <w:pStyle w:val="10"/>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highlight w:val="none"/>
        </w:rPr>
      </w:pPr>
      <w:bookmarkStart w:id="7" w:name="_Toc24239"/>
      <w:r>
        <w:rPr>
          <w:rFonts w:hint="eastAsia" w:ascii="仿宋_GB2312" w:hAnsi="仿宋_GB2312" w:cs="仿宋_GB2312"/>
          <w:highlight w:val="none"/>
          <w:lang w:val="en-US" w:eastAsia="zh-CN"/>
        </w:rPr>
        <w:t>在社会迅速发展时期，矛盾纠纷加剧且复杂化，人民法院辐射范围有限，基层法庭有其自身的优势和作用，在为有效解决我国基层社会纠纷，推动法治建设发挥了独特的作用。为确保基层人民法庭审判、执行工作的正常运转，充分发挥人民法庭的职能作用，保证基层人民法庭审判工作人员的正常工作，为人民群众到基层人民法庭解决诉讼争议，创造良好的环境，特设立法庭运维费项目。该项目为延续性项目，主要用于支付全省法院338个基层法庭所产生的水电暖费、办公费、设备购置等费用，保障基层法庭正常运转，发挥审判职能。</w:t>
      </w:r>
    </w:p>
    <w:p w14:paraId="2FE11AD1">
      <w:pPr>
        <w:pStyle w:val="10"/>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1"/>
        <w:rPr>
          <w:rFonts w:ascii="楷体" w:hAnsi="楷体" w:eastAsia="楷体" w:cs="楷体"/>
          <w:b/>
          <w:bCs/>
          <w:color w:val="auto"/>
          <w:highlight w:val="none"/>
        </w:rPr>
      </w:pPr>
      <w:bookmarkStart w:id="8" w:name="_Toc15128"/>
      <w:bookmarkStart w:id="9" w:name="_Toc19635"/>
      <w:r>
        <w:rPr>
          <w:rFonts w:hint="eastAsia" w:ascii="楷体" w:hAnsi="楷体" w:eastAsia="楷体" w:cs="楷体"/>
          <w:b/>
          <w:bCs/>
          <w:color w:val="auto"/>
          <w:highlight w:val="none"/>
        </w:rPr>
        <w:t>（二）项目预算安排和支出情况</w:t>
      </w:r>
      <w:bookmarkEnd w:id="7"/>
      <w:bookmarkEnd w:id="8"/>
      <w:bookmarkEnd w:id="9"/>
    </w:p>
    <w:p w14:paraId="3136CBB2">
      <w:pPr>
        <w:pStyle w:val="10"/>
        <w:keepNext w:val="0"/>
        <w:keepLines w:val="0"/>
        <w:pageBreakBefore w:val="0"/>
        <w:widowControl w:val="0"/>
        <w:kinsoku/>
        <w:wordWrap/>
        <w:overflowPunct w:val="0"/>
        <w:topLinePunct w:val="0"/>
        <w:autoSpaceDE/>
        <w:autoSpaceDN/>
        <w:bidi w:val="0"/>
        <w:adjustRightInd/>
        <w:spacing w:line="560" w:lineRule="exact"/>
        <w:ind w:firstLine="640" w:firstLineChars="200"/>
        <w:textAlignment w:val="auto"/>
        <w:rPr>
          <w:rFonts w:hint="eastAsia" w:ascii="仿宋_GB2312" w:hAnsi="仿宋_GB2312" w:eastAsia="仿宋_GB2312" w:cs="仿宋_GB2312"/>
          <w:highlight w:val="none"/>
          <w:lang w:eastAsia="zh-CN"/>
        </w:rPr>
      </w:pPr>
      <w:r>
        <w:rPr>
          <w:rFonts w:hint="eastAsia" w:ascii="仿宋_GB2312" w:hAnsi="仿宋_GB2312" w:cs="仿宋_GB2312"/>
          <w:highlight w:val="none"/>
          <w:lang w:val="en-US" w:eastAsia="zh-CN"/>
        </w:rPr>
        <w:t>经批复，全省84家基层人民法院法庭运维费年初预算资金合计3,400.00万元，上年结转资金合计234.34万元，全年预算资金共计3,634.34万元</w:t>
      </w:r>
      <w:r>
        <w:rPr>
          <w:rFonts w:hint="eastAsia" w:ascii="仿宋_GB2312" w:hAnsi="仿宋_GB2312" w:eastAsia="仿宋_GB2312" w:cs="仿宋_GB2312"/>
          <w:color w:val="auto"/>
          <w:highlight w:val="none"/>
        </w:rPr>
        <w:t>。</w:t>
      </w:r>
      <w:r>
        <w:rPr>
          <w:rFonts w:hint="eastAsia" w:ascii="仿宋_GB2312" w:hAnsi="仿宋_GB2312" w:cs="仿宋_GB2312"/>
          <w:highlight w:val="none"/>
          <w:lang w:eastAsia="zh-CN"/>
        </w:rPr>
        <w:t>截至2023年</w:t>
      </w:r>
      <w:r>
        <w:rPr>
          <w:rFonts w:hint="eastAsia" w:ascii="仿宋_GB2312" w:hAnsi="仿宋_GB2312" w:cs="仿宋_GB2312"/>
          <w:highlight w:val="none"/>
        </w:rPr>
        <w:t>12月31日，</w:t>
      </w:r>
      <w:r>
        <w:rPr>
          <w:rFonts w:hint="eastAsia" w:ascii="仿宋_GB2312" w:hAnsi="仿宋_GB2312" w:cs="仿宋_GB2312"/>
          <w:highlight w:val="none"/>
          <w:lang w:val="en-US" w:eastAsia="zh-CN"/>
        </w:rPr>
        <w:t>法庭运维费</w:t>
      </w:r>
      <w:r>
        <w:rPr>
          <w:rFonts w:hint="eastAsia" w:ascii="仿宋_GB2312" w:hAnsi="仿宋_GB2312" w:cs="仿宋_GB2312"/>
          <w:highlight w:val="none"/>
        </w:rPr>
        <w:t>项目</w:t>
      </w:r>
      <w:r>
        <w:rPr>
          <w:rFonts w:hint="eastAsia" w:ascii="仿宋_GB2312" w:hAnsi="仿宋_GB2312" w:cs="仿宋_GB2312"/>
          <w:highlight w:val="none"/>
          <w:lang w:val="en-US" w:eastAsia="zh-CN"/>
        </w:rPr>
        <w:t>资金</w:t>
      </w:r>
      <w:r>
        <w:rPr>
          <w:rFonts w:hint="eastAsia" w:ascii="仿宋_GB2312" w:hAnsi="仿宋_GB2312" w:cs="仿宋_GB2312"/>
          <w:highlight w:val="none"/>
        </w:rPr>
        <w:t>实际支出3,488.21万元，预算执行率95.98%</w:t>
      </w:r>
      <w:r>
        <w:rPr>
          <w:rFonts w:hint="eastAsia" w:ascii="仿宋_GB2312" w:hAnsi="仿宋_GB2312" w:cs="仿宋_GB2312"/>
          <w:highlight w:val="none"/>
          <w:lang w:eastAsia="zh-CN"/>
        </w:rPr>
        <w:t>。</w:t>
      </w:r>
    </w:p>
    <w:p w14:paraId="325D9164">
      <w:pPr>
        <w:pStyle w:val="10"/>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1"/>
        <w:rPr>
          <w:rFonts w:hint="eastAsia" w:ascii="楷体" w:hAnsi="楷体" w:eastAsia="楷体" w:cs="楷体"/>
          <w:b/>
          <w:bCs/>
          <w:color w:val="auto"/>
          <w:highlight w:val="none"/>
          <w:lang w:val="en-US" w:eastAsia="zh-CN"/>
        </w:rPr>
      </w:pPr>
      <w:bookmarkStart w:id="10" w:name="_Toc5194"/>
      <w:r>
        <w:rPr>
          <w:rFonts w:hint="eastAsia" w:ascii="楷体" w:hAnsi="楷体" w:eastAsia="楷体" w:cs="楷体"/>
          <w:b/>
          <w:bCs/>
          <w:color w:val="auto"/>
          <w:highlight w:val="none"/>
          <w:lang w:eastAsia="zh-CN"/>
        </w:rPr>
        <w:t>（</w:t>
      </w:r>
      <w:r>
        <w:rPr>
          <w:rFonts w:hint="eastAsia" w:ascii="楷体" w:hAnsi="楷体" w:eastAsia="楷体" w:cs="楷体"/>
          <w:b/>
          <w:bCs/>
          <w:color w:val="auto"/>
          <w:highlight w:val="none"/>
          <w:lang w:val="en-US" w:eastAsia="zh-CN"/>
        </w:rPr>
        <w:t>三</w:t>
      </w:r>
      <w:r>
        <w:rPr>
          <w:rFonts w:hint="eastAsia" w:ascii="楷体" w:hAnsi="楷体" w:eastAsia="楷体" w:cs="楷体"/>
          <w:b/>
          <w:bCs/>
          <w:color w:val="auto"/>
          <w:highlight w:val="none"/>
          <w:lang w:eastAsia="zh-CN"/>
        </w:rPr>
        <w:t>）</w:t>
      </w:r>
      <w:r>
        <w:rPr>
          <w:rFonts w:hint="eastAsia" w:ascii="楷体" w:hAnsi="楷体" w:eastAsia="楷体" w:cs="楷体"/>
          <w:b/>
          <w:bCs/>
          <w:color w:val="auto"/>
          <w:highlight w:val="none"/>
          <w:lang w:val="en-US" w:eastAsia="zh-CN"/>
        </w:rPr>
        <w:t>项目实施情况</w:t>
      </w:r>
      <w:bookmarkEnd w:id="10"/>
    </w:p>
    <w:p w14:paraId="0CAACE85">
      <w:pPr>
        <w:pStyle w:val="15"/>
        <w:keepNext w:val="0"/>
        <w:keepLines w:val="0"/>
        <w:pageBreakBefore w:val="0"/>
        <w:widowControl w:val="0"/>
        <w:numPr>
          <w:ilvl w:val="0"/>
          <w:numId w:val="0"/>
        </w:numPr>
        <w:kinsoku/>
        <w:wordWrap/>
        <w:topLinePunct w:val="0"/>
        <w:autoSpaceDE/>
        <w:autoSpaceDN/>
        <w:bidi w:val="0"/>
        <w:adjustRightInd/>
        <w:spacing w:line="560" w:lineRule="exact"/>
        <w:ind w:firstLine="640" w:firstLineChars="200"/>
        <w:jc w:val="both"/>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通过项目实施，确保了全省法院</w:t>
      </w:r>
      <w:bookmarkStart w:id="179" w:name="_GoBack"/>
      <w:bookmarkEnd w:id="179"/>
      <w:r>
        <w:rPr>
          <w:rFonts w:hint="eastAsia" w:ascii="仿宋_GB2312" w:hAnsi="仿宋_GB2312" w:eastAsia="仿宋_GB2312" w:cs="仿宋_GB2312"/>
          <w:sz w:val="32"/>
          <w:szCs w:val="32"/>
          <w:highlight w:val="none"/>
          <w:lang w:val="en-US" w:eastAsia="zh-CN"/>
        </w:rPr>
        <w:t>338个基层法庭的正常运转，保障了全省法院人民法庭水电暖正常供应，各法院按照年初预算及日常维护所需，完成相关设备的维修维护工作，延长设备使用寿命，有效保障了审判服务的正常开展。</w:t>
      </w:r>
    </w:p>
    <w:p w14:paraId="151927E2">
      <w:pPr>
        <w:pStyle w:val="10"/>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ascii="仿宋" w:hAnsi="仿宋" w:eastAsia="仿宋" w:cs="仿宋"/>
          <w:b w:val="0"/>
          <w:bCs w:val="0"/>
          <w:color w:val="auto"/>
          <w:highlight w:val="none"/>
        </w:rPr>
      </w:pPr>
      <w:bookmarkStart w:id="11" w:name="_Toc25378"/>
      <w:bookmarkStart w:id="12" w:name="_Toc26463"/>
      <w:bookmarkStart w:id="13" w:name="_Toc29824"/>
      <w:r>
        <w:rPr>
          <w:rFonts w:hint="eastAsia" w:ascii="黑体" w:hAnsi="黑体" w:eastAsia="黑体" w:cs="黑体"/>
          <w:b w:val="0"/>
          <w:bCs w:val="0"/>
          <w:color w:val="auto"/>
          <w:highlight w:val="none"/>
          <w:lang w:val="en-US" w:eastAsia="zh-CN"/>
        </w:rPr>
        <w:t>二</w:t>
      </w:r>
      <w:r>
        <w:rPr>
          <w:rFonts w:hint="eastAsia" w:ascii="黑体" w:hAnsi="黑体" w:eastAsia="黑体" w:cs="黑体"/>
          <w:b w:val="0"/>
          <w:bCs w:val="0"/>
          <w:color w:val="auto"/>
          <w:highlight w:val="none"/>
        </w:rPr>
        <w:t>、评价结论和绩效分析</w:t>
      </w:r>
      <w:bookmarkEnd w:id="11"/>
      <w:bookmarkEnd w:id="12"/>
      <w:bookmarkEnd w:id="13"/>
    </w:p>
    <w:p w14:paraId="04E8A007">
      <w:pPr>
        <w:pStyle w:val="10"/>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1"/>
        <w:rPr>
          <w:rFonts w:ascii="楷体" w:hAnsi="楷体" w:eastAsia="楷体" w:cs="楷体"/>
          <w:b/>
          <w:bCs/>
          <w:color w:val="auto"/>
          <w:highlight w:val="none"/>
        </w:rPr>
      </w:pPr>
      <w:bookmarkStart w:id="14" w:name="_Toc12143"/>
      <w:bookmarkStart w:id="15" w:name="_Toc3082"/>
      <w:bookmarkStart w:id="16" w:name="_Toc11898"/>
      <w:r>
        <w:rPr>
          <w:rFonts w:hint="eastAsia" w:ascii="楷体" w:hAnsi="楷体" w:eastAsia="楷体" w:cs="楷体"/>
          <w:b/>
          <w:bCs/>
          <w:color w:val="auto"/>
          <w:highlight w:val="none"/>
        </w:rPr>
        <w:t>（一）综合评价结论</w:t>
      </w:r>
      <w:bookmarkEnd w:id="14"/>
      <w:bookmarkEnd w:id="15"/>
      <w:bookmarkEnd w:id="16"/>
    </w:p>
    <w:p w14:paraId="5752866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评价小组根据项目实际，运用事先设置的评价指标体系及评分标准，对本次绩效评价指标体系进行适当调整，并经过数据采集、问卷调查及访谈、专家论证等</w:t>
      </w:r>
      <w:r>
        <w:rPr>
          <w:rFonts w:hint="eastAsia" w:ascii="仿宋_GB2312" w:hAnsi="仿宋_GB2312" w:eastAsia="仿宋_GB2312" w:cs="仿宋_GB2312"/>
          <w:color w:val="auto"/>
          <w:sz w:val="32"/>
          <w:szCs w:val="32"/>
          <w:highlight w:val="none"/>
          <w:lang w:val="en-US" w:eastAsia="zh-CN"/>
        </w:rPr>
        <w:t>评价方法</w:t>
      </w:r>
      <w:r>
        <w:rPr>
          <w:rFonts w:hint="eastAsia" w:ascii="仿宋_GB2312" w:hAnsi="仿宋_GB2312" w:eastAsia="仿宋_GB2312" w:cs="仿宋_GB2312"/>
          <w:color w:val="auto"/>
          <w:sz w:val="32"/>
          <w:szCs w:val="32"/>
          <w:highlight w:val="none"/>
        </w:rPr>
        <w:t>，客观公正地评价，评定2023年度法庭运维费项目综合评价得分为9</w:t>
      </w:r>
      <w:r>
        <w:rPr>
          <w:rFonts w:hint="eastAsia" w:ascii="仿宋_GB2312" w:hAnsi="仿宋_GB2312" w:eastAsia="仿宋_GB2312" w:cs="仿宋_GB2312"/>
          <w:color w:val="auto"/>
          <w:sz w:val="32"/>
          <w:szCs w:val="32"/>
          <w:highlight w:val="none"/>
          <w:lang w:val="en-US" w:eastAsia="zh-CN"/>
        </w:rPr>
        <w:t>6</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05</w:t>
      </w:r>
      <w:r>
        <w:rPr>
          <w:rFonts w:hint="eastAsia" w:ascii="仿宋_GB2312" w:hAnsi="仿宋_GB2312" w:eastAsia="仿宋_GB2312" w:cs="仿宋_GB2312"/>
          <w:color w:val="auto"/>
          <w:sz w:val="32"/>
          <w:szCs w:val="32"/>
          <w:highlight w:val="none"/>
        </w:rPr>
        <w:t>分</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评价等级为“</w:t>
      </w:r>
      <w:r>
        <w:rPr>
          <w:rFonts w:hint="eastAsia" w:ascii="仿宋_GB2312" w:hAnsi="仿宋_GB2312" w:eastAsia="仿宋_GB2312" w:cs="仿宋_GB2312"/>
          <w:color w:val="auto"/>
          <w:sz w:val="32"/>
          <w:szCs w:val="32"/>
          <w:highlight w:val="none"/>
          <w:lang w:val="en-US" w:eastAsia="zh-CN"/>
        </w:rPr>
        <w:t>优</w:t>
      </w:r>
      <w:r>
        <w:rPr>
          <w:rFonts w:hint="eastAsia" w:ascii="仿宋_GB2312" w:hAnsi="仿宋_GB2312" w:eastAsia="仿宋_GB2312" w:cs="仿宋_GB2312"/>
          <w:color w:val="auto"/>
          <w:sz w:val="32"/>
          <w:szCs w:val="32"/>
          <w:highlight w:val="none"/>
        </w:rPr>
        <w:t>”。</w:t>
      </w:r>
    </w:p>
    <w:p w14:paraId="349A831E">
      <w:pPr>
        <w:pStyle w:val="10"/>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1"/>
        <w:rPr>
          <w:rFonts w:ascii="楷体" w:hAnsi="楷体" w:eastAsia="楷体" w:cs="楷体"/>
          <w:b/>
          <w:bCs/>
          <w:color w:val="auto"/>
          <w:highlight w:val="none"/>
        </w:rPr>
      </w:pPr>
      <w:bookmarkStart w:id="17" w:name="_Toc25341"/>
      <w:bookmarkStart w:id="18" w:name="_Toc24181"/>
      <w:bookmarkStart w:id="19" w:name="_Toc14316"/>
      <w:r>
        <w:rPr>
          <w:rFonts w:hint="eastAsia" w:ascii="楷体" w:hAnsi="楷体" w:eastAsia="楷体" w:cs="楷体"/>
          <w:b/>
          <w:bCs/>
          <w:color w:val="auto"/>
          <w:highlight w:val="none"/>
        </w:rPr>
        <w:t>（二）绩效分析</w:t>
      </w:r>
      <w:bookmarkEnd w:id="17"/>
      <w:bookmarkEnd w:id="18"/>
      <w:bookmarkEnd w:id="19"/>
    </w:p>
    <w:p w14:paraId="44D17E5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yellow"/>
          <w:lang w:eastAsia="zh-CN"/>
        </w:rPr>
      </w:pPr>
      <w:r>
        <w:rPr>
          <w:rFonts w:hint="eastAsia" w:ascii="仿宋_GB2312" w:hAnsi="仿宋_GB2312" w:eastAsia="仿宋_GB2312" w:cs="仿宋_GB2312"/>
          <w:sz w:val="32"/>
          <w:szCs w:val="32"/>
          <w:highlight w:val="none"/>
        </w:rPr>
        <w:t>评价认为，</w:t>
      </w:r>
      <w:r>
        <w:rPr>
          <w:rFonts w:hint="eastAsia" w:ascii="仿宋_GB2312" w:hAnsi="仿宋_GB2312" w:eastAsia="仿宋_GB2312" w:cs="仿宋_GB2312"/>
          <w:sz w:val="32"/>
          <w:szCs w:val="32"/>
          <w:highlight w:val="none"/>
          <w:lang w:eastAsia="zh-CN"/>
        </w:rPr>
        <w:t>法庭运维费</w:t>
      </w:r>
      <w:r>
        <w:rPr>
          <w:rFonts w:hint="eastAsia" w:ascii="仿宋_GB2312" w:hAnsi="仿宋_GB2312" w:eastAsia="仿宋_GB2312" w:cs="仿宋_GB2312"/>
          <w:sz w:val="32"/>
          <w:szCs w:val="32"/>
          <w:highlight w:val="none"/>
        </w:rPr>
        <w:t>项目立项程序规范，依据充分，项目实施必要。在</w:t>
      </w:r>
      <w:r>
        <w:rPr>
          <w:rFonts w:hint="eastAsia" w:ascii="仿宋_GB2312" w:hAnsi="仿宋_GB2312" w:eastAsia="仿宋_GB2312" w:cs="仿宋_GB2312"/>
          <w:sz w:val="32"/>
          <w:szCs w:val="32"/>
          <w:highlight w:val="none"/>
          <w:lang w:val="en-US" w:eastAsia="zh-CN"/>
        </w:rPr>
        <w:t>专项</w:t>
      </w:r>
      <w:r>
        <w:rPr>
          <w:rFonts w:hint="eastAsia" w:ascii="仿宋_GB2312" w:hAnsi="仿宋_GB2312" w:eastAsia="仿宋_GB2312" w:cs="仿宋_GB2312"/>
          <w:sz w:val="32"/>
          <w:szCs w:val="32"/>
          <w:highlight w:val="none"/>
        </w:rPr>
        <w:t>资金统一保障下，项目顺利开展，项目实施流程严谨，执行管理到位，资金使用效果良好。项目总体组织规范，</w:t>
      </w:r>
      <w:r>
        <w:rPr>
          <w:rFonts w:hint="eastAsia" w:ascii="仿宋_GB2312" w:hAnsi="仿宋_GB2312" w:eastAsia="仿宋_GB2312" w:cs="仿宋_GB2312"/>
          <w:sz w:val="32"/>
          <w:szCs w:val="32"/>
          <w:highlight w:val="none"/>
          <w:lang w:val="en-US" w:eastAsia="zh-CN"/>
        </w:rPr>
        <w:t>通过项目实施，</w:t>
      </w:r>
      <w:r>
        <w:rPr>
          <w:rFonts w:hint="eastAsia" w:ascii="仿宋_GB2312" w:hAnsi="仿宋_GB2312" w:eastAsia="仿宋_GB2312" w:cs="仿宋_GB2312"/>
          <w:sz w:val="32"/>
          <w:szCs w:val="32"/>
          <w:highlight w:val="none"/>
        </w:rPr>
        <w:t>保</w:t>
      </w:r>
      <w:r>
        <w:rPr>
          <w:rFonts w:hint="eastAsia" w:ascii="仿宋_GB2312" w:hAnsi="仿宋_GB2312" w:eastAsia="仿宋_GB2312" w:cs="仿宋_GB2312"/>
          <w:sz w:val="32"/>
          <w:szCs w:val="32"/>
          <w:highlight w:val="none"/>
          <w:lang w:val="en-US" w:eastAsia="zh-CN"/>
        </w:rPr>
        <w:t>证</w:t>
      </w:r>
      <w:r>
        <w:rPr>
          <w:rFonts w:hint="eastAsia" w:ascii="仿宋_GB2312" w:hAnsi="仿宋_GB2312" w:eastAsia="仿宋_GB2312" w:cs="仿宋_GB2312"/>
          <w:sz w:val="32"/>
          <w:szCs w:val="32"/>
          <w:highlight w:val="none"/>
        </w:rPr>
        <w:t>了</w:t>
      </w:r>
      <w:r>
        <w:rPr>
          <w:rFonts w:hint="eastAsia" w:ascii="仿宋_GB2312" w:hAnsi="仿宋_GB2312" w:eastAsia="仿宋_GB2312" w:cs="仿宋_GB2312"/>
          <w:sz w:val="32"/>
          <w:szCs w:val="32"/>
          <w:highlight w:val="none"/>
          <w:lang w:val="en-US" w:eastAsia="zh-CN"/>
        </w:rPr>
        <w:t>338个基层法庭</w:t>
      </w:r>
      <w:r>
        <w:rPr>
          <w:rFonts w:hint="eastAsia" w:ascii="仿宋_GB2312" w:hAnsi="仿宋_GB2312" w:eastAsia="仿宋_GB2312" w:cs="仿宋_GB2312"/>
          <w:sz w:val="32"/>
          <w:szCs w:val="32"/>
          <w:highlight w:val="none"/>
        </w:rPr>
        <w:t>水电暖正常供应，有效保障了审判服务的正常开展。但该项目也</w:t>
      </w:r>
      <w:r>
        <w:rPr>
          <w:rFonts w:hint="eastAsia" w:ascii="仿宋_GB2312" w:hAnsi="仿宋_GB2312" w:eastAsia="仿宋_GB2312" w:cs="仿宋_GB2312"/>
          <w:sz w:val="32"/>
          <w:szCs w:val="32"/>
          <w:highlight w:val="none"/>
          <w:lang w:val="en-US" w:eastAsia="zh-CN"/>
        </w:rPr>
        <w:t>存在部分绩效目标编制不合理，个别法院绩效指标设置不明确等</w:t>
      </w:r>
      <w:r>
        <w:rPr>
          <w:rFonts w:hint="eastAsia" w:ascii="仿宋_GB2312" w:hAnsi="仿宋_GB2312" w:eastAsia="仿宋_GB2312" w:cs="仿宋_GB2312"/>
          <w:sz w:val="32"/>
          <w:szCs w:val="32"/>
          <w:highlight w:val="none"/>
        </w:rPr>
        <w:t>问题</w:t>
      </w:r>
      <w:r>
        <w:rPr>
          <w:rFonts w:hint="eastAsia" w:ascii="仿宋_GB2312" w:hAnsi="仿宋_GB2312" w:eastAsia="仿宋_GB2312" w:cs="仿宋_GB2312"/>
          <w:sz w:val="32"/>
          <w:szCs w:val="32"/>
          <w:highlight w:val="none"/>
          <w:lang w:eastAsia="zh-CN"/>
        </w:rPr>
        <w:t>。</w:t>
      </w:r>
    </w:p>
    <w:p w14:paraId="2AC05F4A">
      <w:pPr>
        <w:pStyle w:val="3"/>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firstLine="640" w:firstLineChars="200"/>
        <w:textAlignment w:val="auto"/>
        <w:rPr>
          <w:rFonts w:ascii="黑体" w:hAnsi="黑体" w:eastAsia="黑体" w:cs="黑体"/>
          <w:b w:val="0"/>
          <w:bCs/>
          <w:color w:val="auto"/>
          <w:sz w:val="32"/>
          <w:szCs w:val="32"/>
          <w:highlight w:val="none"/>
        </w:rPr>
      </w:pPr>
      <w:bookmarkStart w:id="20" w:name="_Toc30246"/>
      <w:bookmarkStart w:id="21" w:name="_Toc26660"/>
      <w:bookmarkStart w:id="22" w:name="_Toc16038"/>
      <w:r>
        <w:rPr>
          <w:rFonts w:hint="eastAsia" w:ascii="黑体" w:hAnsi="黑体" w:eastAsia="黑体" w:cs="黑体"/>
          <w:b w:val="0"/>
          <w:bCs/>
          <w:color w:val="auto"/>
          <w:kern w:val="44"/>
          <w:sz w:val="32"/>
          <w:szCs w:val="32"/>
          <w:highlight w:val="none"/>
          <w:lang w:val="en-US" w:eastAsia="zh-CN" w:bidi="ar-SA"/>
        </w:rPr>
        <w:t>三、</w:t>
      </w:r>
      <w:r>
        <w:rPr>
          <w:rFonts w:hint="eastAsia" w:ascii="黑体" w:hAnsi="黑体" w:eastAsia="黑体" w:cs="黑体"/>
          <w:b w:val="0"/>
          <w:bCs/>
          <w:color w:val="auto"/>
          <w:sz w:val="32"/>
          <w:szCs w:val="32"/>
          <w:highlight w:val="none"/>
        </w:rPr>
        <w:t>存在问题</w:t>
      </w:r>
      <w:bookmarkEnd w:id="20"/>
      <w:bookmarkEnd w:id="21"/>
      <w:bookmarkEnd w:id="22"/>
    </w:p>
    <w:p w14:paraId="581287CE">
      <w:pPr>
        <w:keepNext w:val="0"/>
        <w:keepLines w:val="0"/>
        <w:pageBreakBefore w:val="0"/>
        <w:widowControl w:val="0"/>
        <w:kinsoku/>
        <w:wordWrap/>
        <w:overflowPunct w:val="0"/>
        <w:topLinePunct w:val="0"/>
        <w:autoSpaceDE/>
        <w:autoSpaceDN/>
        <w:bidi w:val="0"/>
        <w:adjustRightInd/>
        <w:snapToGrid/>
        <w:spacing w:line="560" w:lineRule="exact"/>
        <w:ind w:firstLine="643" w:firstLineChars="200"/>
        <w:textAlignment w:val="auto"/>
        <w:outlineLvl w:val="1"/>
        <w:rPr>
          <w:rFonts w:hint="eastAsia" w:ascii="楷体" w:hAnsi="楷体" w:eastAsia="楷体" w:cs="楷体"/>
          <w:b/>
          <w:bCs/>
          <w:sz w:val="32"/>
          <w:szCs w:val="32"/>
          <w:highlight w:val="none"/>
          <w:lang w:val="en-US" w:eastAsia="zh-CN"/>
        </w:rPr>
      </w:pPr>
      <w:bookmarkStart w:id="23" w:name="_Toc16708"/>
      <w:bookmarkStart w:id="24" w:name="_Toc16824"/>
      <w:bookmarkStart w:id="25" w:name="_Toc4321"/>
      <w:bookmarkStart w:id="26" w:name="_Toc16290"/>
      <w:r>
        <w:rPr>
          <w:rFonts w:hint="eastAsia" w:ascii="楷体" w:hAnsi="楷体" w:eastAsia="楷体" w:cs="楷体"/>
          <w:b/>
          <w:bCs/>
          <w:sz w:val="32"/>
          <w:szCs w:val="32"/>
          <w:highlight w:val="none"/>
          <w:lang w:val="en-US" w:eastAsia="zh-CN"/>
        </w:rPr>
        <w:t>（一）绩效目标管理有待加强，绩效目标合理性及指标明确性有待提高</w:t>
      </w:r>
    </w:p>
    <w:p w14:paraId="2DAE7E74">
      <w:pPr>
        <w:keepNext w:val="0"/>
        <w:keepLines w:val="0"/>
        <w:pageBreakBefore w:val="0"/>
        <w:widowControl w:val="0"/>
        <w:kinsoku/>
        <w:wordWrap/>
        <w:overflowPunct w:val="0"/>
        <w:topLinePunct w:val="0"/>
        <w:autoSpaceDE/>
        <w:autoSpaceDN/>
        <w:bidi w:val="0"/>
        <w:adjustRightInd/>
        <w:spacing w:line="560" w:lineRule="exact"/>
        <w:ind w:firstLine="640" w:firstLineChars="200"/>
        <w:textAlignment w:val="auto"/>
        <w:outlineLvl w:val="1"/>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经评价组核查全省84家基层人民法院填报的《法庭运维费项目支出绩效自评表》发现，一是个别法院存在指标目标值设置预期产出不符合正常业绩水平的问题，二是个别法院项目绩效目标设置不符合单位实际情况，三是崇信县人民法院保障供暖面积未设置具体的指标值，不能够很好的衡量及对比指标的完成情况。四是灵台县人民法院保障基层法庭个数年度指标值3个，绩效自评实际完成值填写为100个，民勤县人民法院水电暖服务保障率年度指标值100%，绩效自评实际完成值填写为8%，以上法院的绩效自评质量有待提升。</w:t>
      </w:r>
    </w:p>
    <w:p w14:paraId="29532369">
      <w:pPr>
        <w:keepNext w:val="0"/>
        <w:keepLines w:val="0"/>
        <w:pageBreakBefore w:val="0"/>
        <w:widowControl w:val="0"/>
        <w:kinsoku/>
        <w:wordWrap/>
        <w:overflowPunct w:val="0"/>
        <w:topLinePunct w:val="0"/>
        <w:autoSpaceDE/>
        <w:autoSpaceDN/>
        <w:bidi w:val="0"/>
        <w:adjustRightInd/>
        <w:spacing w:line="560" w:lineRule="exact"/>
        <w:ind w:firstLine="643" w:firstLineChars="200"/>
        <w:textAlignment w:val="auto"/>
        <w:outlineLvl w:val="1"/>
        <w:rPr>
          <w:rFonts w:hint="eastAsia" w:ascii="楷体" w:hAnsi="楷体" w:eastAsia="楷体" w:cs="楷体"/>
          <w:b/>
          <w:bCs/>
          <w:sz w:val="32"/>
          <w:szCs w:val="32"/>
          <w:highlight w:val="none"/>
          <w:lang w:val="en-US" w:eastAsia="zh-CN"/>
        </w:rPr>
      </w:pPr>
      <w:r>
        <w:rPr>
          <w:rFonts w:hint="eastAsia" w:ascii="楷体" w:hAnsi="楷体" w:eastAsia="楷体" w:cs="楷体"/>
          <w:b/>
          <w:bCs/>
          <w:sz w:val="32"/>
          <w:szCs w:val="32"/>
          <w:highlight w:val="none"/>
          <w:lang w:val="en-US" w:eastAsia="zh-CN"/>
        </w:rPr>
        <w:t>（二）资金预算执行率未达到年度目标值</w:t>
      </w:r>
    </w:p>
    <w:p w14:paraId="2E9B2352">
      <w:pPr>
        <w:keepNext w:val="0"/>
        <w:keepLines w:val="0"/>
        <w:pageBreakBefore w:val="0"/>
        <w:widowControl w:val="0"/>
        <w:kinsoku/>
        <w:wordWrap/>
        <w:overflowPunct w:val="0"/>
        <w:topLinePunct w:val="0"/>
        <w:autoSpaceDE/>
        <w:autoSpaceDN/>
        <w:bidi w:val="0"/>
        <w:adjustRightInd/>
        <w:spacing w:line="560" w:lineRule="exact"/>
        <w:ind w:firstLine="640" w:firstLineChars="200"/>
        <w:textAlignment w:val="auto"/>
        <w:outlineLvl w:val="1"/>
        <w:rPr>
          <w:rStyle w:val="32"/>
          <w:rFonts w:hint="default" w:ascii="楷体" w:hAnsi="楷体" w:eastAsia="仿宋_GB2312" w:cs="楷体"/>
          <w:szCs w:val="32"/>
          <w:highlight w:val="none"/>
          <w:lang w:val="en-US" w:eastAsia="zh-CN"/>
        </w:rPr>
      </w:pPr>
      <w:r>
        <w:rPr>
          <w:rFonts w:hint="eastAsia" w:ascii="仿宋_GB2312" w:hAnsi="仿宋_GB2312" w:eastAsia="仿宋_GB2312" w:cs="仿宋_GB2312"/>
          <w:sz w:val="32"/>
          <w:szCs w:val="32"/>
          <w:highlight w:val="none"/>
          <w:lang w:val="en-US" w:eastAsia="zh-CN"/>
        </w:rPr>
        <w:t>资金预算执行率目标值为100%，实际完成95.98%，未达到年度目标值。</w:t>
      </w:r>
      <w:bookmarkEnd w:id="23"/>
    </w:p>
    <w:bookmarkEnd w:id="24"/>
    <w:bookmarkEnd w:id="25"/>
    <w:bookmarkEnd w:id="26"/>
    <w:p w14:paraId="34D1C0C9">
      <w:pPr>
        <w:pStyle w:val="3"/>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firstLine="640" w:firstLineChars="200"/>
        <w:textAlignment w:val="auto"/>
        <w:rPr>
          <w:rFonts w:hint="eastAsia" w:ascii="黑体" w:hAnsi="黑体" w:eastAsia="黑体" w:cs="黑体"/>
          <w:b w:val="0"/>
          <w:bCs/>
          <w:color w:val="auto"/>
          <w:sz w:val="32"/>
          <w:szCs w:val="32"/>
          <w:highlight w:val="none"/>
        </w:rPr>
      </w:pPr>
      <w:bookmarkStart w:id="27" w:name="_Toc7706"/>
      <w:bookmarkStart w:id="28" w:name="_Toc19054"/>
      <w:r>
        <w:rPr>
          <w:rFonts w:hint="eastAsia" w:ascii="黑体" w:hAnsi="黑体" w:eastAsia="黑体" w:cs="黑体"/>
          <w:b w:val="0"/>
          <w:bCs/>
          <w:color w:val="auto"/>
          <w:kern w:val="44"/>
          <w:sz w:val="32"/>
          <w:szCs w:val="32"/>
          <w:highlight w:val="none"/>
          <w:lang w:val="en-US" w:eastAsia="zh-CN" w:bidi="ar-SA"/>
        </w:rPr>
        <w:t>四、</w:t>
      </w:r>
      <w:r>
        <w:rPr>
          <w:rFonts w:hint="eastAsia" w:ascii="黑体" w:hAnsi="黑体" w:eastAsia="黑体" w:cs="黑体"/>
          <w:b w:val="0"/>
          <w:bCs/>
          <w:color w:val="auto"/>
          <w:sz w:val="32"/>
          <w:szCs w:val="32"/>
          <w:highlight w:val="none"/>
        </w:rPr>
        <w:t>有关建议</w:t>
      </w:r>
      <w:bookmarkEnd w:id="27"/>
      <w:bookmarkEnd w:id="28"/>
    </w:p>
    <w:p w14:paraId="1DB8445A">
      <w:pPr>
        <w:keepNext w:val="0"/>
        <w:keepLines w:val="0"/>
        <w:pageBreakBefore w:val="0"/>
        <w:widowControl w:val="0"/>
        <w:kinsoku/>
        <w:wordWrap/>
        <w:overflowPunct w:val="0"/>
        <w:topLinePunct w:val="0"/>
        <w:autoSpaceDE/>
        <w:autoSpaceDN/>
        <w:bidi w:val="0"/>
        <w:adjustRightInd/>
        <w:snapToGrid/>
        <w:spacing w:line="560" w:lineRule="exact"/>
        <w:ind w:firstLine="643" w:firstLineChars="200"/>
        <w:textAlignment w:val="auto"/>
        <w:outlineLvl w:val="1"/>
        <w:rPr>
          <w:rStyle w:val="32"/>
          <w:rFonts w:hint="default" w:ascii="楷体" w:hAnsi="楷体" w:eastAsia="楷体" w:cs="楷体"/>
          <w:szCs w:val="32"/>
          <w:highlight w:val="none"/>
          <w:lang w:val="en-US" w:eastAsia="zh-CN"/>
        </w:rPr>
      </w:pPr>
      <w:bookmarkStart w:id="29" w:name="_Toc12922"/>
      <w:r>
        <w:rPr>
          <w:rStyle w:val="32"/>
          <w:rFonts w:hint="eastAsia" w:ascii="楷体" w:hAnsi="楷体" w:eastAsia="楷体" w:cs="楷体"/>
          <w:szCs w:val="32"/>
          <w:highlight w:val="none"/>
        </w:rPr>
        <w:t>（一）加强绩效管理，提高</w:t>
      </w:r>
      <w:r>
        <w:rPr>
          <w:rStyle w:val="32"/>
          <w:rFonts w:hint="eastAsia" w:ascii="楷体" w:hAnsi="楷体" w:eastAsia="楷体" w:cs="楷体"/>
          <w:szCs w:val="32"/>
          <w:highlight w:val="none"/>
          <w:lang w:val="en-US" w:eastAsia="zh-CN"/>
        </w:rPr>
        <w:t>资金使用效益</w:t>
      </w:r>
    </w:p>
    <w:p w14:paraId="7ED52DF9">
      <w:pPr>
        <w:pStyle w:val="10"/>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rPr>
          <w:rFonts w:ascii="仿宋_GB2312" w:hAnsi="仿宋_GB2312" w:cs="仿宋_GB2312"/>
          <w:highlight w:val="none"/>
        </w:rPr>
      </w:pPr>
      <w:r>
        <w:rPr>
          <w:rFonts w:hint="eastAsia" w:ascii="仿宋_GB2312" w:hAnsi="仿宋_GB2312" w:cs="仿宋_GB2312"/>
          <w:highlight w:val="none"/>
          <w:lang w:val="en-US" w:eastAsia="zh-CN"/>
        </w:rPr>
        <w:t>一是</w:t>
      </w:r>
      <w:r>
        <w:rPr>
          <w:rFonts w:hint="eastAsia" w:ascii="仿宋_GB2312" w:hAnsi="仿宋_GB2312" w:cs="仿宋_GB2312"/>
          <w:highlight w:val="none"/>
        </w:rPr>
        <w:t>建议</w:t>
      </w:r>
      <w:r>
        <w:rPr>
          <w:rFonts w:hint="eastAsia" w:ascii="仿宋_GB2312" w:hAnsi="仿宋_GB2312" w:cs="仿宋_GB2312"/>
          <w:highlight w:val="none"/>
          <w:lang w:val="en-US" w:eastAsia="zh-CN"/>
        </w:rPr>
        <w:t>各法院</w:t>
      </w:r>
      <w:r>
        <w:rPr>
          <w:rFonts w:hint="eastAsia" w:ascii="仿宋_GB2312" w:hAnsi="仿宋_GB2312" w:cs="仿宋_GB2312"/>
          <w:highlight w:val="none"/>
        </w:rPr>
        <w:t>进行项目申报时，按照</w:t>
      </w:r>
      <w:r>
        <w:rPr>
          <w:rFonts w:hint="eastAsia" w:ascii="仿宋_GB2312" w:hAnsi="仿宋_GB2312" w:cs="仿宋_GB2312"/>
          <w:highlight w:val="none"/>
          <w:lang w:val="en-US" w:eastAsia="zh-CN"/>
        </w:rPr>
        <w:t>相关文件</w:t>
      </w:r>
      <w:r>
        <w:rPr>
          <w:rFonts w:hint="eastAsia" w:ascii="仿宋_GB2312" w:hAnsi="仿宋_GB2312" w:cs="仿宋_GB2312"/>
          <w:highlight w:val="none"/>
        </w:rPr>
        <w:t>要求，根据本年度项目计划内容和上年度工作量填报绩效目标申报表，设定绩效目标时，应与计划期内的任务数或计划数相对应，与预算确定的资金量相匹配；绩效目标应具有可行性，对完成任务目标具有约束力，不宜过高或过低，</w:t>
      </w:r>
      <w:r>
        <w:rPr>
          <w:rFonts w:hint="eastAsia" w:ascii="仿宋_GB2312" w:hAnsi="仿宋_GB2312" w:cs="仿宋_GB2312"/>
          <w:highlight w:val="none"/>
          <w:lang w:val="en-US" w:eastAsia="zh-CN"/>
        </w:rPr>
        <w:t>以便</w:t>
      </w:r>
      <w:r>
        <w:rPr>
          <w:rFonts w:hint="eastAsia" w:ascii="仿宋_GB2312" w:hAnsi="仿宋_GB2312" w:cs="仿宋_GB2312"/>
          <w:highlight w:val="none"/>
        </w:rPr>
        <w:t>更好地反映和考核项目绩效目标与项目实施的相符情况，提高预算管理水平。</w:t>
      </w:r>
      <w:r>
        <w:rPr>
          <w:rFonts w:hint="eastAsia" w:ascii="仿宋_GB2312" w:hAnsi="仿宋_GB2312" w:cs="仿宋_GB2312"/>
          <w:highlight w:val="none"/>
          <w:lang w:val="en-US" w:eastAsia="zh-CN"/>
        </w:rPr>
        <w:t>二是</w:t>
      </w:r>
      <w:r>
        <w:rPr>
          <w:rFonts w:hint="eastAsia" w:ascii="仿宋_GB2312" w:hAnsi="仿宋_GB2312" w:cs="仿宋_GB2312"/>
          <w:highlight w:val="none"/>
        </w:rPr>
        <w:t>加强部门自评工作，根据实际情况对项目自评表进行填写，并完善项目自评报告，自评报告应包含项目实施情况、项目预算执行情况，项目存在问题及</w:t>
      </w:r>
      <w:r>
        <w:rPr>
          <w:rFonts w:hint="eastAsia" w:ascii="仿宋_GB2312" w:hAnsi="仿宋_GB2312" w:cs="仿宋_GB2312"/>
          <w:highlight w:val="none"/>
          <w:lang w:val="en-US" w:eastAsia="zh-CN"/>
        </w:rPr>
        <w:t>改进措施</w:t>
      </w:r>
      <w:r>
        <w:rPr>
          <w:rFonts w:hint="eastAsia" w:ascii="仿宋_GB2312" w:hAnsi="仿宋_GB2312" w:cs="仿宋_GB2312"/>
          <w:highlight w:val="none"/>
        </w:rPr>
        <w:t>等，真实、准确地反映项目实际产出、效益及存在的问题。</w:t>
      </w:r>
    </w:p>
    <w:p w14:paraId="68EE133F">
      <w:pPr>
        <w:keepNext w:val="0"/>
        <w:keepLines w:val="0"/>
        <w:pageBreakBefore w:val="0"/>
        <w:widowControl w:val="0"/>
        <w:kinsoku/>
        <w:wordWrap/>
        <w:overflowPunct w:val="0"/>
        <w:topLinePunct w:val="0"/>
        <w:autoSpaceDE/>
        <w:autoSpaceDN/>
        <w:bidi w:val="0"/>
        <w:adjustRightInd/>
        <w:snapToGrid/>
        <w:spacing w:line="560" w:lineRule="exact"/>
        <w:ind w:firstLine="643" w:firstLineChars="200"/>
        <w:textAlignment w:val="auto"/>
        <w:outlineLvl w:val="1"/>
        <w:rPr>
          <w:rStyle w:val="32"/>
          <w:rFonts w:hint="eastAsia" w:ascii="楷体" w:hAnsi="楷体" w:eastAsia="楷体" w:cs="楷体"/>
          <w:szCs w:val="32"/>
          <w:highlight w:val="none"/>
        </w:rPr>
      </w:pPr>
      <w:r>
        <w:rPr>
          <w:rStyle w:val="32"/>
          <w:rFonts w:hint="eastAsia" w:ascii="楷体" w:hAnsi="楷体" w:eastAsia="楷体" w:cs="楷体"/>
          <w:szCs w:val="32"/>
          <w:highlight w:val="none"/>
        </w:rPr>
        <w:t>（二）严格执行预算，提高财政资金使用效率</w:t>
      </w:r>
    </w:p>
    <w:p w14:paraId="7ACFEBA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hint="eastAsia" w:ascii="仿宋_GB2312" w:hAnsi="仿宋_GB2312" w:eastAsia="仿宋_GB2312" w:cs="仿宋_GB2312"/>
          <w:b w:val="0"/>
          <w:bCs/>
          <w:sz w:val="32"/>
          <w:szCs w:val="32"/>
          <w:highlight w:val="none"/>
        </w:rPr>
      </w:pPr>
      <w:r>
        <w:rPr>
          <w:rFonts w:hint="eastAsia" w:ascii="仿宋_GB2312" w:hAnsi="仿宋_GB2312" w:eastAsia="仿宋_GB2312" w:cs="仿宋_GB2312"/>
          <w:kern w:val="2"/>
          <w:sz w:val="32"/>
          <w:szCs w:val="32"/>
          <w:highlight w:val="none"/>
          <w:lang w:val="en-US" w:eastAsia="zh-CN" w:bidi="ar-SA"/>
        </w:rPr>
        <w:t>严格执行预算。落实预算执行分析，在预算的执行阶段，严格控制每笔支出，并定期监控预算资金使用情况，切实提高部门预算收支管理水平。</w:t>
      </w:r>
      <w:bookmarkEnd w:id="29"/>
    </w:p>
    <w:p w14:paraId="0A4080E5">
      <w:pPr>
        <w:pStyle w:val="10"/>
        <w:overflowPunct w:val="0"/>
        <w:spacing w:line="560" w:lineRule="exact"/>
        <w:ind w:firstLine="640" w:firstLineChars="200"/>
        <w:rPr>
          <w:rFonts w:ascii="仿宋_GB2312" w:hAnsi="仿宋_GB2312" w:cs="仿宋_GB2312"/>
          <w:highlight w:val="none"/>
        </w:rPr>
      </w:pPr>
      <w:bookmarkStart w:id="30" w:name="_Toc2283"/>
      <w:bookmarkStart w:id="31" w:name="_Toc1784"/>
    </w:p>
    <w:p w14:paraId="041E4B08">
      <w:pPr>
        <w:overflowPunct w:val="0"/>
        <w:spacing w:line="560" w:lineRule="exact"/>
        <w:jc w:val="center"/>
        <w:rPr>
          <w:rFonts w:ascii="方正小标宋简体" w:hAnsi="宋体" w:eastAsia="方正小标宋简体"/>
          <w:sz w:val="44"/>
          <w:szCs w:val="44"/>
          <w:highlight w:val="none"/>
        </w:rPr>
        <w:sectPr>
          <w:headerReference r:id="rId9" w:type="first"/>
          <w:footerReference r:id="rId11" w:type="first"/>
          <w:footerReference r:id="rId10" w:type="default"/>
          <w:pgSz w:w="11906" w:h="16838"/>
          <w:pgMar w:top="1440" w:right="1519" w:bottom="1440" w:left="1633" w:header="851" w:footer="992" w:gutter="0"/>
          <w:pgBorders>
            <w:top w:val="none" w:sz="0" w:space="0"/>
            <w:left w:val="none" w:sz="0" w:space="0"/>
            <w:bottom w:val="none" w:sz="0" w:space="0"/>
            <w:right w:val="none" w:sz="0" w:space="0"/>
          </w:pgBorders>
          <w:pgNumType w:start="1"/>
          <w:cols w:space="0" w:num="1"/>
          <w:titlePg/>
          <w:docGrid w:type="lines" w:linePitch="312" w:charSpace="0"/>
        </w:sectPr>
      </w:pPr>
    </w:p>
    <w:p w14:paraId="49BE7FB2">
      <w:pPr>
        <w:overflowPunct w:val="0"/>
        <w:spacing w:line="560" w:lineRule="exact"/>
        <w:jc w:val="center"/>
        <w:outlineLvl w:val="0"/>
        <w:rPr>
          <w:rFonts w:hint="eastAsia" w:ascii="方正小标宋简体" w:hAnsi="宋体" w:eastAsia="方正小标宋简体"/>
          <w:sz w:val="44"/>
          <w:szCs w:val="44"/>
          <w:highlight w:val="none"/>
          <w:lang w:eastAsia="zh-CN"/>
        </w:rPr>
      </w:pPr>
      <w:r>
        <w:rPr>
          <w:rFonts w:hint="eastAsia" w:ascii="方正小标宋简体" w:hAnsi="宋体" w:eastAsia="方正小标宋简体"/>
          <w:sz w:val="44"/>
          <w:szCs w:val="44"/>
          <w:highlight w:val="none"/>
          <w:lang w:eastAsia="zh-CN"/>
        </w:rPr>
        <w:t>2023年度甘肃省高级人民法院重点项目</w:t>
      </w:r>
    </w:p>
    <w:p w14:paraId="30297D84">
      <w:pPr>
        <w:overflowPunct w:val="0"/>
        <w:spacing w:line="560" w:lineRule="exact"/>
        <w:jc w:val="center"/>
        <w:outlineLvl w:val="0"/>
        <w:rPr>
          <w:rFonts w:ascii="方正小标宋简体" w:hAnsi="宋体" w:eastAsia="方正小标宋简体"/>
          <w:sz w:val="44"/>
          <w:szCs w:val="44"/>
          <w:highlight w:val="none"/>
        </w:rPr>
      </w:pPr>
      <w:bookmarkStart w:id="32" w:name="_Toc7337"/>
      <w:r>
        <w:rPr>
          <w:rFonts w:hint="eastAsia" w:ascii="方正小标宋简体" w:hAnsi="宋体" w:eastAsia="方正小标宋简体"/>
          <w:sz w:val="44"/>
          <w:szCs w:val="44"/>
          <w:highlight w:val="none"/>
        </w:rPr>
        <w:t>—</w:t>
      </w:r>
      <w:bookmarkStart w:id="33" w:name="_Toc13609"/>
      <w:r>
        <w:rPr>
          <w:rFonts w:hint="eastAsia" w:ascii="方正小标宋简体" w:hAnsi="宋体" w:eastAsia="方正小标宋简体"/>
          <w:sz w:val="44"/>
          <w:szCs w:val="44"/>
          <w:highlight w:val="none"/>
          <w:lang w:eastAsia="zh-CN"/>
        </w:rPr>
        <w:t>法庭运维费</w:t>
      </w:r>
      <w:r>
        <w:rPr>
          <w:rFonts w:hint="eastAsia" w:ascii="方正小标宋简体" w:hAnsi="宋体" w:eastAsia="方正小标宋简体"/>
          <w:sz w:val="44"/>
          <w:szCs w:val="44"/>
          <w:highlight w:val="none"/>
        </w:rPr>
        <w:t>绩效评价报告</w:t>
      </w:r>
      <w:bookmarkEnd w:id="32"/>
      <w:bookmarkEnd w:id="33"/>
    </w:p>
    <w:p w14:paraId="79C80276">
      <w:pPr>
        <w:pStyle w:val="10"/>
        <w:overflowPunct w:val="0"/>
        <w:spacing w:before="156" w:beforeLines="50" w:after="156" w:afterLines="50" w:line="560" w:lineRule="exact"/>
        <w:ind w:firstLine="560" w:firstLineChars="200"/>
        <w:jc w:val="right"/>
        <w:outlineLvl w:val="0"/>
        <w:rPr>
          <w:rFonts w:ascii="黑体" w:eastAsia="黑体"/>
          <w:sz w:val="28"/>
          <w:szCs w:val="28"/>
          <w:highlight w:val="none"/>
        </w:rPr>
      </w:pPr>
      <w:bookmarkStart w:id="34" w:name="_Toc13825"/>
      <w:bookmarkStart w:id="35" w:name="_Toc11834"/>
      <w:bookmarkStart w:id="36" w:name="_Toc20544"/>
      <w:bookmarkStart w:id="37" w:name="_Toc26720"/>
      <w:bookmarkStart w:id="38" w:name="_Toc9789"/>
      <w:bookmarkStart w:id="39" w:name="_Toc28166"/>
      <w:r>
        <w:rPr>
          <w:rFonts w:hint="eastAsia" w:ascii="楷体" w:hAnsi="楷体" w:eastAsia="楷体" w:cs="楷体"/>
          <w:sz w:val="28"/>
          <w:szCs w:val="28"/>
          <w:highlight w:val="none"/>
        </w:rPr>
        <w:t>甘卓诚咨字【202</w:t>
      </w:r>
      <w:r>
        <w:rPr>
          <w:rFonts w:hint="eastAsia" w:ascii="楷体" w:hAnsi="楷体" w:eastAsia="楷体" w:cs="楷体"/>
          <w:sz w:val="28"/>
          <w:szCs w:val="28"/>
          <w:highlight w:val="none"/>
          <w:lang w:val="en-US" w:eastAsia="zh-CN"/>
        </w:rPr>
        <w:t>4</w:t>
      </w:r>
      <w:r>
        <w:rPr>
          <w:rFonts w:hint="eastAsia" w:ascii="楷体" w:hAnsi="楷体" w:eastAsia="楷体" w:cs="楷体"/>
          <w:sz w:val="28"/>
          <w:szCs w:val="28"/>
          <w:highlight w:val="none"/>
        </w:rPr>
        <w:t>】第</w:t>
      </w:r>
      <w:r>
        <w:rPr>
          <w:rFonts w:hint="eastAsia" w:ascii="楷体" w:hAnsi="楷体" w:eastAsia="楷体" w:cs="楷体"/>
          <w:sz w:val="28"/>
          <w:szCs w:val="28"/>
          <w:highlight w:val="none"/>
          <w:lang w:val="en-US" w:eastAsia="zh-CN"/>
        </w:rPr>
        <w:t>196</w:t>
      </w:r>
      <w:r>
        <w:rPr>
          <w:rFonts w:hint="eastAsia" w:ascii="楷体" w:hAnsi="楷体" w:eastAsia="楷体" w:cs="楷体"/>
          <w:sz w:val="28"/>
          <w:szCs w:val="28"/>
          <w:highlight w:val="none"/>
        </w:rPr>
        <w:t>号</w:t>
      </w:r>
      <w:bookmarkEnd w:id="34"/>
      <w:bookmarkEnd w:id="35"/>
      <w:bookmarkEnd w:id="36"/>
      <w:bookmarkEnd w:id="37"/>
      <w:bookmarkEnd w:id="38"/>
    </w:p>
    <w:p w14:paraId="2BC55005">
      <w:pPr>
        <w:pStyle w:val="10"/>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outlineLvl w:val="0"/>
        <w:rPr>
          <w:rFonts w:ascii="黑体" w:eastAsia="黑体"/>
          <w:highlight w:val="none"/>
        </w:rPr>
      </w:pPr>
      <w:bookmarkStart w:id="40" w:name="_Toc19448"/>
      <w:r>
        <w:rPr>
          <w:rFonts w:hint="eastAsia" w:ascii="黑体" w:eastAsia="黑体"/>
          <w:highlight w:val="none"/>
        </w:rPr>
        <w:t>一、项目基本情况</w:t>
      </w:r>
      <w:bookmarkEnd w:id="30"/>
      <w:bookmarkEnd w:id="31"/>
      <w:bookmarkEnd w:id="39"/>
      <w:bookmarkEnd w:id="40"/>
    </w:p>
    <w:p w14:paraId="59E98529">
      <w:pPr>
        <w:pStyle w:val="10"/>
        <w:keepNext w:val="0"/>
        <w:keepLines w:val="0"/>
        <w:pageBreakBefore w:val="0"/>
        <w:widowControl w:val="0"/>
        <w:kinsoku/>
        <w:wordWrap/>
        <w:overflowPunct w:val="0"/>
        <w:topLinePunct w:val="0"/>
        <w:autoSpaceDE/>
        <w:autoSpaceDN/>
        <w:bidi w:val="0"/>
        <w:adjustRightInd/>
        <w:snapToGrid/>
        <w:spacing w:line="560" w:lineRule="exact"/>
        <w:ind w:firstLine="643" w:firstLineChars="200"/>
        <w:textAlignment w:val="auto"/>
        <w:outlineLvl w:val="1"/>
        <w:rPr>
          <w:rFonts w:ascii="楷体" w:hAnsi="楷体" w:eastAsia="楷体" w:cs="楷体"/>
          <w:b/>
          <w:bCs/>
          <w:highlight w:val="none"/>
        </w:rPr>
      </w:pPr>
      <w:bookmarkStart w:id="41" w:name="_Toc21843"/>
      <w:bookmarkStart w:id="42" w:name="_Toc11404"/>
      <w:bookmarkStart w:id="43" w:name="_Toc12968"/>
      <w:r>
        <w:rPr>
          <w:rFonts w:hint="eastAsia" w:ascii="楷体" w:hAnsi="楷体" w:eastAsia="楷体" w:cs="楷体"/>
          <w:b/>
          <w:bCs/>
          <w:highlight w:val="none"/>
        </w:rPr>
        <w:t>（一）项目立项背景</w:t>
      </w:r>
      <w:bookmarkEnd w:id="41"/>
      <w:bookmarkEnd w:id="42"/>
      <w:bookmarkEnd w:id="43"/>
    </w:p>
    <w:p w14:paraId="1B348618">
      <w:pPr>
        <w:pStyle w:val="10"/>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rPr>
          <w:rFonts w:hint="default" w:ascii="仿宋_GB2312" w:hAnsi="仿宋_GB2312" w:cs="仿宋_GB2312"/>
          <w:highlight w:val="none"/>
          <w:lang w:val="en-US" w:eastAsia="zh-CN"/>
        </w:rPr>
      </w:pPr>
      <w:bookmarkStart w:id="44" w:name="_Toc27159"/>
      <w:bookmarkStart w:id="45" w:name="_Toc10699"/>
      <w:r>
        <w:rPr>
          <w:rFonts w:hint="eastAsia" w:ascii="仿宋_GB2312" w:hAnsi="仿宋_GB2312" w:cs="仿宋_GB2312"/>
          <w:highlight w:val="none"/>
          <w:lang w:val="en-US" w:eastAsia="zh-CN"/>
        </w:rPr>
        <w:t>在社会迅速发展时期，矛盾纠纷加剧且复杂化，人民法院辐射范围有限，基层法庭有其自身的优势和作用，在为有效解决我国基层社会纠纷，推动法治建设发挥了独特的作用。为确保基层人民法庭审判、执行工作的正常运转，充分发挥人民法庭的职能作用，保证基层人民法庭审判工作人员的正常工作，为人民群众到基层人民法庭解决诉讼争议，创造良好的环境，特设立法庭运维费项目。</w:t>
      </w:r>
      <w:r>
        <w:rPr>
          <w:rFonts w:hint="default" w:ascii="仿宋_GB2312" w:hAnsi="仿宋_GB2312" w:cs="仿宋_GB2312"/>
          <w:highlight w:val="none"/>
          <w:lang w:val="en-US" w:eastAsia="zh-CN"/>
        </w:rPr>
        <w:t>人民法庭是最基层的部门，维护其正常运转可以更好地为干警提供办案场所、维护社会公平正义。</w:t>
      </w:r>
    </w:p>
    <w:p w14:paraId="5F5F9262">
      <w:pPr>
        <w:pStyle w:val="10"/>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rPr>
          <w:rFonts w:hint="default" w:ascii="仿宋_GB2312" w:hAnsi="仿宋_GB2312" w:cs="仿宋_GB2312"/>
          <w:highlight w:val="none"/>
          <w:lang w:val="en-US" w:eastAsia="zh-CN"/>
        </w:rPr>
      </w:pPr>
      <w:r>
        <w:rPr>
          <w:rFonts w:hint="eastAsia" w:ascii="仿宋_GB2312" w:hAnsi="仿宋_GB2312" w:cs="仿宋_GB2312"/>
          <w:highlight w:val="none"/>
          <w:lang w:val="en-US" w:eastAsia="zh-CN"/>
        </w:rPr>
        <w:t>该项目为延续性项目，主要用于支付全省法院338个基层法庭所产生的水电暖费、办公费、设备购置等费用，</w:t>
      </w:r>
      <w:r>
        <w:rPr>
          <w:rFonts w:hint="default" w:ascii="仿宋_GB2312" w:hAnsi="仿宋_GB2312" w:cs="仿宋_GB2312"/>
          <w:highlight w:val="none"/>
          <w:lang w:val="en-US" w:eastAsia="zh-CN"/>
        </w:rPr>
        <w:t>确保基层人民法庭审判、执行工作的正常运转，充分发挥人民法庭的职能作用，保证基层人民法庭审判工作人员的正常工作，为人民群众到</w:t>
      </w:r>
      <w:r>
        <w:rPr>
          <w:rFonts w:hint="eastAsia" w:ascii="仿宋_GB2312" w:hAnsi="仿宋_GB2312" w:cs="仿宋_GB2312"/>
          <w:highlight w:val="none"/>
          <w:lang w:val="en-US" w:eastAsia="zh-CN"/>
        </w:rPr>
        <w:t>基层人民法庭</w:t>
      </w:r>
      <w:r>
        <w:rPr>
          <w:rFonts w:hint="default" w:ascii="仿宋_GB2312" w:hAnsi="仿宋_GB2312" w:cs="仿宋_GB2312"/>
          <w:highlight w:val="none"/>
          <w:lang w:val="en-US" w:eastAsia="zh-CN"/>
        </w:rPr>
        <w:t>解决诉讼争议，创造良好的环境。</w:t>
      </w:r>
    </w:p>
    <w:p w14:paraId="552E2D2D">
      <w:pPr>
        <w:pStyle w:val="10"/>
        <w:keepNext w:val="0"/>
        <w:keepLines w:val="0"/>
        <w:pageBreakBefore w:val="0"/>
        <w:widowControl w:val="0"/>
        <w:kinsoku/>
        <w:wordWrap/>
        <w:overflowPunct w:val="0"/>
        <w:topLinePunct w:val="0"/>
        <w:autoSpaceDE/>
        <w:autoSpaceDN/>
        <w:bidi w:val="0"/>
        <w:adjustRightInd/>
        <w:snapToGrid/>
        <w:spacing w:line="560" w:lineRule="exact"/>
        <w:ind w:firstLine="643" w:firstLineChars="200"/>
        <w:textAlignment w:val="auto"/>
        <w:outlineLvl w:val="1"/>
        <w:rPr>
          <w:rFonts w:ascii="楷体" w:hAnsi="楷体" w:eastAsia="楷体" w:cs="楷体"/>
          <w:b/>
          <w:bCs/>
          <w:highlight w:val="none"/>
        </w:rPr>
      </w:pPr>
      <w:bookmarkStart w:id="46" w:name="_Toc22818"/>
      <w:r>
        <w:rPr>
          <w:rFonts w:hint="eastAsia" w:ascii="楷体" w:hAnsi="楷体" w:eastAsia="楷体" w:cs="楷体"/>
          <w:b/>
          <w:bCs/>
          <w:highlight w:val="none"/>
        </w:rPr>
        <w:t>（二）项目预算安排及使用情况</w:t>
      </w:r>
      <w:bookmarkEnd w:id="44"/>
      <w:bookmarkEnd w:id="45"/>
      <w:bookmarkEnd w:id="46"/>
    </w:p>
    <w:p w14:paraId="3659C53C">
      <w:pPr>
        <w:pStyle w:val="10"/>
        <w:keepNext w:val="0"/>
        <w:keepLines w:val="0"/>
        <w:pageBreakBefore w:val="0"/>
        <w:widowControl w:val="0"/>
        <w:kinsoku/>
        <w:wordWrap/>
        <w:overflowPunct w:val="0"/>
        <w:topLinePunct w:val="0"/>
        <w:autoSpaceDE/>
        <w:autoSpaceDN/>
        <w:bidi w:val="0"/>
        <w:adjustRightInd/>
        <w:snapToGrid/>
        <w:spacing w:line="560" w:lineRule="exact"/>
        <w:ind w:firstLine="643" w:firstLineChars="200"/>
        <w:textAlignment w:val="auto"/>
        <w:outlineLvl w:val="2"/>
        <w:rPr>
          <w:rFonts w:ascii="仿宋_GB2312" w:hAnsi="仿宋_GB2312" w:cs="仿宋_GB2312"/>
          <w:b/>
          <w:bCs/>
          <w:color w:val="000000" w:themeColor="text1"/>
          <w:highlight w:val="none"/>
          <w14:textFill>
            <w14:solidFill>
              <w14:schemeClr w14:val="tx1"/>
            </w14:solidFill>
          </w14:textFill>
        </w:rPr>
      </w:pPr>
      <w:r>
        <w:rPr>
          <w:rFonts w:hint="eastAsia" w:ascii="仿宋_GB2312" w:hAnsi="仿宋_GB2312" w:cs="仿宋_GB2312"/>
          <w:b/>
          <w:bCs/>
          <w:color w:val="000000" w:themeColor="text1"/>
          <w:highlight w:val="none"/>
          <w14:textFill>
            <w14:solidFill>
              <w14:schemeClr w14:val="tx1"/>
            </w14:solidFill>
          </w14:textFill>
        </w:rPr>
        <w:t>1.预算安排情况</w:t>
      </w:r>
    </w:p>
    <w:p w14:paraId="0C8A415F">
      <w:pPr>
        <w:pStyle w:val="10"/>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highlight w:val="none"/>
          <w:lang w:val="en-US" w:eastAsia="zh-CN"/>
        </w:rPr>
      </w:pPr>
      <w:r>
        <w:rPr>
          <w:rFonts w:hint="eastAsia" w:ascii="仿宋_GB2312" w:hAnsi="仿宋_GB2312" w:cs="仿宋_GB2312"/>
          <w:highlight w:val="none"/>
          <w:lang w:val="en-US" w:eastAsia="zh-CN"/>
        </w:rPr>
        <w:t>经批复法庭运维费项目年初预算合计3,400.00万元，上年结转资金合计234.34万元，全年预算资金共计3,634.34万元。84家基层人民法院根据甘肃省高级人民法院《关于印发〈全省法院系统项目预算资金申报使用管理规程〉（试行）的通知》（甘高法〔2018〕269号）申报和使用资金。</w:t>
      </w:r>
    </w:p>
    <w:p w14:paraId="7E9231B0">
      <w:pPr>
        <w:pStyle w:val="10"/>
        <w:keepNext w:val="0"/>
        <w:keepLines w:val="0"/>
        <w:pageBreakBefore w:val="0"/>
        <w:widowControl w:val="0"/>
        <w:kinsoku/>
        <w:wordWrap/>
        <w:overflowPunct w:val="0"/>
        <w:topLinePunct w:val="0"/>
        <w:autoSpaceDE/>
        <w:autoSpaceDN/>
        <w:bidi w:val="0"/>
        <w:adjustRightInd/>
        <w:snapToGrid/>
        <w:spacing w:line="560" w:lineRule="exact"/>
        <w:ind w:firstLine="643" w:firstLineChars="200"/>
        <w:textAlignment w:val="auto"/>
        <w:outlineLvl w:val="2"/>
        <w:rPr>
          <w:rFonts w:hint="default" w:ascii="仿宋_GB2312" w:hAnsi="仿宋_GB2312" w:eastAsia="仿宋_GB2312" w:cs="仿宋_GB2312"/>
          <w:b/>
          <w:bCs/>
          <w:color w:val="000000" w:themeColor="text1"/>
          <w:highlight w:val="none"/>
          <w:lang w:val="en-US" w:eastAsia="zh-CN"/>
          <w14:textFill>
            <w14:solidFill>
              <w14:schemeClr w14:val="tx1"/>
            </w14:solidFill>
          </w14:textFill>
        </w:rPr>
      </w:pPr>
      <w:r>
        <w:rPr>
          <w:rFonts w:hint="eastAsia" w:ascii="仿宋_GB2312" w:hAnsi="仿宋_GB2312" w:cs="仿宋_GB2312"/>
          <w:b/>
          <w:bCs/>
          <w:color w:val="000000" w:themeColor="text1"/>
          <w:highlight w:val="none"/>
          <w14:textFill>
            <w14:solidFill>
              <w14:schemeClr w14:val="tx1"/>
            </w14:solidFill>
          </w14:textFill>
        </w:rPr>
        <w:t>2.</w:t>
      </w:r>
      <w:r>
        <w:rPr>
          <w:rFonts w:hint="eastAsia" w:ascii="仿宋_GB2312" w:hAnsi="仿宋_GB2312" w:cs="仿宋_GB2312"/>
          <w:b/>
          <w:bCs/>
          <w:color w:val="000000" w:themeColor="text1"/>
          <w:highlight w:val="none"/>
          <w:lang w:val="en-US" w:eastAsia="zh-CN"/>
          <w14:textFill>
            <w14:solidFill>
              <w14:schemeClr w14:val="tx1"/>
            </w14:solidFill>
          </w14:textFill>
        </w:rPr>
        <w:t>资金下达情况</w:t>
      </w:r>
    </w:p>
    <w:p w14:paraId="7DCC300C">
      <w:pPr>
        <w:pStyle w:val="10"/>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outlineLvl w:val="2"/>
        <w:rPr>
          <w:rFonts w:hint="default" w:ascii="仿宋_GB2312" w:hAnsi="仿宋_GB2312" w:cs="仿宋_GB2312"/>
          <w:highlight w:val="none"/>
          <w:lang w:val="en-US" w:eastAsia="zh-CN"/>
        </w:rPr>
      </w:pPr>
      <w:r>
        <w:rPr>
          <w:rFonts w:hint="eastAsia" w:ascii="仿宋_GB2312" w:hAnsi="仿宋_GB2312" w:cs="仿宋_GB2312"/>
          <w:b w:val="0"/>
          <w:bCs w:val="0"/>
          <w:color w:val="000000" w:themeColor="text1"/>
          <w:highlight w:val="none"/>
          <w:lang w:val="en-US" w:eastAsia="zh-CN"/>
          <w14:textFill>
            <w14:solidFill>
              <w14:schemeClr w14:val="tx1"/>
            </w14:solidFill>
          </w14:textFill>
        </w:rPr>
        <w:t>2023年法庭运维费共下达专项资金</w:t>
      </w:r>
      <w:r>
        <w:rPr>
          <w:rFonts w:hint="eastAsia" w:ascii="仿宋_GB2312" w:hAnsi="仿宋_GB2312" w:cs="仿宋_GB2312"/>
          <w:highlight w:val="none"/>
          <w:lang w:val="en-US" w:eastAsia="zh-CN"/>
        </w:rPr>
        <w:t>3,634.34</w:t>
      </w:r>
      <w:r>
        <w:rPr>
          <w:rFonts w:hint="eastAsia" w:ascii="仿宋_GB2312" w:hAnsi="仿宋_GB2312" w:cs="仿宋_GB2312"/>
          <w:b w:val="0"/>
          <w:bCs w:val="0"/>
          <w:color w:val="000000" w:themeColor="text1"/>
          <w:highlight w:val="none"/>
          <w:lang w:val="en-US" w:eastAsia="zh-CN"/>
          <w14:textFill>
            <w14:solidFill>
              <w14:schemeClr w14:val="tx1"/>
            </w14:solidFill>
          </w14:textFill>
        </w:rPr>
        <w:t>万元，年初随部门预算下达至84家基层人民法院。</w:t>
      </w:r>
    </w:p>
    <w:p w14:paraId="711F38C2">
      <w:pPr>
        <w:pStyle w:val="10"/>
        <w:keepNext w:val="0"/>
        <w:keepLines w:val="0"/>
        <w:pageBreakBefore w:val="0"/>
        <w:widowControl w:val="0"/>
        <w:kinsoku/>
        <w:wordWrap/>
        <w:overflowPunct w:val="0"/>
        <w:topLinePunct w:val="0"/>
        <w:autoSpaceDE/>
        <w:autoSpaceDN/>
        <w:bidi w:val="0"/>
        <w:adjustRightInd/>
        <w:snapToGrid/>
        <w:spacing w:line="560" w:lineRule="exact"/>
        <w:ind w:firstLine="643" w:firstLineChars="200"/>
        <w:textAlignment w:val="auto"/>
        <w:outlineLvl w:val="2"/>
        <w:rPr>
          <w:rFonts w:hint="eastAsia" w:ascii="仿宋_GB2312" w:hAnsi="仿宋_GB2312" w:cs="仿宋_GB2312"/>
          <w:b/>
          <w:bCs/>
          <w:color w:val="000000" w:themeColor="text1"/>
          <w:highlight w:val="none"/>
          <w14:textFill>
            <w14:solidFill>
              <w14:schemeClr w14:val="tx1"/>
            </w14:solidFill>
          </w14:textFill>
        </w:rPr>
      </w:pPr>
      <w:r>
        <w:rPr>
          <w:rFonts w:hint="eastAsia" w:ascii="仿宋_GB2312" w:hAnsi="仿宋_GB2312" w:cs="仿宋_GB2312"/>
          <w:b/>
          <w:bCs/>
          <w:color w:val="000000" w:themeColor="text1"/>
          <w:highlight w:val="none"/>
          <w:lang w:val="en-US" w:eastAsia="zh-CN"/>
          <w14:textFill>
            <w14:solidFill>
              <w14:schemeClr w14:val="tx1"/>
            </w14:solidFill>
          </w14:textFill>
        </w:rPr>
        <w:t>3.</w:t>
      </w:r>
      <w:r>
        <w:rPr>
          <w:rFonts w:hint="eastAsia" w:ascii="仿宋_GB2312" w:hAnsi="仿宋_GB2312" w:cs="仿宋_GB2312"/>
          <w:b/>
          <w:bCs/>
          <w:color w:val="000000" w:themeColor="text1"/>
          <w:highlight w:val="none"/>
          <w14:textFill>
            <w14:solidFill>
              <w14:schemeClr w14:val="tx1"/>
            </w14:solidFill>
          </w14:textFill>
        </w:rPr>
        <w:t>资金使用情况</w:t>
      </w:r>
    </w:p>
    <w:p w14:paraId="20A5277C">
      <w:pPr>
        <w:pStyle w:val="10"/>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outlineLvl w:val="2"/>
        <w:rPr>
          <w:rFonts w:hint="eastAsia" w:ascii="仿宋_GB2312" w:hAnsi="仿宋_GB2312" w:cs="仿宋_GB2312"/>
          <w:b/>
          <w:bCs/>
          <w:color w:val="000000" w:themeColor="text1"/>
          <w:highlight w:val="none"/>
          <w:lang w:val="en-US" w:eastAsia="zh-CN"/>
          <w14:textFill>
            <w14:solidFill>
              <w14:schemeClr w14:val="tx1"/>
            </w14:solidFill>
          </w14:textFill>
        </w:rPr>
      </w:pPr>
      <w:r>
        <w:rPr>
          <w:rFonts w:hint="eastAsia" w:ascii="仿宋_GB2312" w:hAnsi="仿宋_GB2312" w:cs="仿宋_GB2312"/>
          <w:highlight w:val="none"/>
          <w:lang w:eastAsia="zh-CN"/>
        </w:rPr>
        <w:t>截至2023年</w:t>
      </w:r>
      <w:r>
        <w:rPr>
          <w:rFonts w:hint="eastAsia" w:ascii="仿宋_GB2312" w:hAnsi="仿宋_GB2312" w:cs="仿宋_GB2312"/>
          <w:highlight w:val="none"/>
        </w:rPr>
        <w:t>12月31日，</w:t>
      </w:r>
      <w:r>
        <w:rPr>
          <w:rFonts w:hint="eastAsia" w:ascii="仿宋_GB2312" w:hAnsi="仿宋_GB2312" w:cs="仿宋_GB2312"/>
          <w:highlight w:val="none"/>
          <w:lang w:val="en-US" w:eastAsia="zh-CN"/>
        </w:rPr>
        <w:t>法庭运维费</w:t>
      </w:r>
      <w:r>
        <w:rPr>
          <w:rFonts w:hint="eastAsia" w:ascii="仿宋_GB2312" w:hAnsi="仿宋_GB2312" w:cs="仿宋_GB2312"/>
          <w:highlight w:val="none"/>
        </w:rPr>
        <w:t>项目实际支出3,488.21万元，预算执行率95.98%</w:t>
      </w:r>
      <w:r>
        <w:rPr>
          <w:rFonts w:hint="eastAsia" w:ascii="仿宋_GB2312" w:hAnsi="仿宋_GB2312" w:cs="仿宋_GB2312"/>
          <w:highlight w:val="none"/>
          <w:lang w:eastAsia="zh-CN"/>
        </w:rPr>
        <w:t>，</w:t>
      </w:r>
      <w:r>
        <w:rPr>
          <w:rFonts w:hint="eastAsia" w:ascii="仿宋_GB2312" w:hAnsi="仿宋_GB2312" w:cs="仿宋_GB2312"/>
          <w:highlight w:val="none"/>
          <w:lang w:val="en-US" w:eastAsia="zh-CN"/>
        </w:rPr>
        <w:t>年末结转结余146.13万元，资金使用明细如下：</w:t>
      </w:r>
    </w:p>
    <w:p w14:paraId="37F4494E">
      <w:pPr>
        <w:pStyle w:val="10"/>
        <w:overflowPunct w:val="0"/>
        <w:spacing w:line="560" w:lineRule="exact"/>
        <w:ind w:firstLine="480" w:firstLineChars="200"/>
        <w:jc w:val="right"/>
        <w:outlineLvl w:val="2"/>
        <w:rPr>
          <w:rFonts w:hint="default" w:ascii="仿宋_GB2312" w:hAnsi="仿宋_GB2312" w:cs="仿宋_GB2312"/>
          <w:sz w:val="24"/>
          <w:szCs w:val="24"/>
          <w:highlight w:val="none"/>
          <w:lang w:val="en-US" w:eastAsia="zh-CN"/>
        </w:rPr>
      </w:pPr>
      <w:r>
        <w:rPr>
          <w:rFonts w:hint="eastAsia" w:ascii="仿宋_GB2312" w:hAnsi="仿宋_GB2312" w:cs="仿宋_GB2312"/>
          <w:sz w:val="24"/>
          <w:szCs w:val="24"/>
          <w:highlight w:val="none"/>
          <w:lang w:val="en-US" w:eastAsia="zh-CN"/>
        </w:rPr>
        <w:t>单位：万元</w:t>
      </w:r>
    </w:p>
    <w:tbl>
      <w:tblPr>
        <w:tblStyle w:val="20"/>
        <w:tblW w:w="8670"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98"/>
        <w:gridCol w:w="3156"/>
        <w:gridCol w:w="1234"/>
        <w:gridCol w:w="1226"/>
        <w:gridCol w:w="1234"/>
        <w:gridCol w:w="1022"/>
      </w:tblGrid>
      <w:tr w14:paraId="686A6E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blHeader/>
        </w:trPr>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1442C4">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bookmarkStart w:id="47" w:name="_Toc26946"/>
            <w:bookmarkStart w:id="48" w:name="_Toc32586"/>
            <w:bookmarkStart w:id="49" w:name="_Toc15106"/>
            <w:r>
              <w:rPr>
                <w:rFonts w:hint="eastAsia" w:ascii="宋体" w:hAnsi="宋体" w:eastAsia="宋体" w:cs="宋体"/>
                <w:b/>
                <w:bCs/>
                <w:i w:val="0"/>
                <w:iCs w:val="0"/>
                <w:color w:val="auto"/>
                <w:kern w:val="0"/>
                <w:sz w:val="21"/>
                <w:szCs w:val="21"/>
                <w:u w:val="none"/>
                <w:lang w:val="en-US" w:eastAsia="zh-CN" w:bidi="ar"/>
              </w:rPr>
              <w:t>序号</w:t>
            </w:r>
          </w:p>
        </w:tc>
        <w:tc>
          <w:tcPr>
            <w:tcW w:w="2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3B26C1">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预算单位</w:t>
            </w:r>
          </w:p>
        </w:tc>
        <w:tc>
          <w:tcPr>
            <w:tcW w:w="12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C3F627">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 xml:space="preserve">年初预算金额   </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B245C8">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上年结转金额</w:t>
            </w:r>
          </w:p>
        </w:tc>
        <w:tc>
          <w:tcPr>
            <w:tcW w:w="12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57265D">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 xml:space="preserve">支出金额   </w:t>
            </w:r>
          </w:p>
        </w:tc>
        <w:tc>
          <w:tcPr>
            <w:tcW w:w="10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EB3F3">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预算执行率</w:t>
            </w:r>
          </w:p>
        </w:tc>
      </w:tr>
      <w:tr w14:paraId="56E5AB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8A30E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2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0D9502">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白龙江林区法院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55D4FA">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8.00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E2471F">
            <w:pPr>
              <w:jc w:val="right"/>
              <w:rPr>
                <w:rFonts w:hint="eastAsia" w:ascii="宋体" w:hAnsi="宋体" w:eastAsia="宋体" w:cs="宋体"/>
                <w:i w:val="0"/>
                <w:iCs w:val="0"/>
                <w:color w:val="auto"/>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963AA8">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8.00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EAA2C7">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100.00%</w:t>
            </w:r>
          </w:p>
        </w:tc>
      </w:tr>
      <w:tr w14:paraId="0C6677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10A94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2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91FBD1">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兰州市城关区人民法院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74CEFF">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89.00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576114">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89.00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43D9C3">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123.92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0D2C2D">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69.62%</w:t>
            </w:r>
          </w:p>
        </w:tc>
      </w:tr>
      <w:tr w14:paraId="70AF73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16B4A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w:t>
            </w:r>
          </w:p>
        </w:tc>
        <w:tc>
          <w:tcPr>
            <w:tcW w:w="2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F11CD">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兰州市七里河区人民法院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265A64">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75.00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42FCDA">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9.18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8A1CEE">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84.18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35F9AF">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100.00%</w:t>
            </w:r>
          </w:p>
        </w:tc>
      </w:tr>
      <w:tr w14:paraId="71970C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3A472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w:t>
            </w:r>
          </w:p>
        </w:tc>
        <w:tc>
          <w:tcPr>
            <w:tcW w:w="2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20D627">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兰州市西固区人民法院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3B9299">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32.00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B5F93D">
            <w:pPr>
              <w:jc w:val="right"/>
              <w:rPr>
                <w:rFonts w:hint="eastAsia" w:ascii="宋体" w:hAnsi="宋体" w:eastAsia="宋体" w:cs="宋体"/>
                <w:i w:val="0"/>
                <w:iCs w:val="0"/>
                <w:color w:val="auto"/>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896A83">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32.00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125005">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100.00%</w:t>
            </w:r>
          </w:p>
        </w:tc>
      </w:tr>
      <w:tr w14:paraId="01DDA5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1B02F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F6D6B5">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兰州市红古区人民法院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C0E35B">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24.00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493933">
            <w:pPr>
              <w:jc w:val="right"/>
              <w:rPr>
                <w:rFonts w:hint="eastAsia" w:ascii="宋体" w:hAnsi="宋体" w:eastAsia="宋体" w:cs="宋体"/>
                <w:i w:val="0"/>
                <w:iCs w:val="0"/>
                <w:color w:val="auto"/>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0CE935">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24.00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982EBF">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100.00%</w:t>
            </w:r>
          </w:p>
        </w:tc>
      </w:tr>
      <w:tr w14:paraId="7F075B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75E62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09C478">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兰州新区人民法院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596312">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12.00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92819B">
            <w:pPr>
              <w:jc w:val="right"/>
              <w:rPr>
                <w:rFonts w:hint="eastAsia" w:ascii="宋体" w:hAnsi="宋体" w:eastAsia="宋体" w:cs="宋体"/>
                <w:i w:val="0"/>
                <w:iCs w:val="0"/>
                <w:color w:val="auto"/>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EF41BF">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12.00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D2E815">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100.00%</w:t>
            </w:r>
          </w:p>
        </w:tc>
      </w:tr>
      <w:tr w14:paraId="56B1ED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BBE2A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1264E7">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永登县人民法院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0928B5">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43.00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49FADC">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3.40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CC6132">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46.40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F0CFB6">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100.00%</w:t>
            </w:r>
          </w:p>
        </w:tc>
      </w:tr>
      <w:tr w14:paraId="737F1B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48F53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CB14AA">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榆中县人民法院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C977D1">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56.00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5528EF">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24.58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FA4772">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56.47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434F4D">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70.08%</w:t>
            </w:r>
          </w:p>
        </w:tc>
      </w:tr>
      <w:tr w14:paraId="66ACDA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85514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B57B54">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皋兰县人民法院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20787E">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16.00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9DABDC">
            <w:pPr>
              <w:jc w:val="right"/>
              <w:rPr>
                <w:rFonts w:hint="eastAsia" w:ascii="宋体" w:hAnsi="宋体" w:eastAsia="宋体" w:cs="宋体"/>
                <w:i w:val="0"/>
                <w:iCs w:val="0"/>
                <w:color w:val="auto"/>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DF5E7A">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16.00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824756">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100.00%</w:t>
            </w:r>
          </w:p>
        </w:tc>
      </w:tr>
      <w:tr w14:paraId="5AD12D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81B84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AA9644">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金昌市金川区人民法院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00AFC1">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32.00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14328C">
            <w:pPr>
              <w:jc w:val="right"/>
              <w:rPr>
                <w:rFonts w:hint="eastAsia" w:ascii="宋体" w:hAnsi="宋体" w:eastAsia="宋体" w:cs="宋体"/>
                <w:i w:val="0"/>
                <w:iCs w:val="0"/>
                <w:color w:val="auto"/>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4FE994">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32.00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A18475">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100.00%</w:t>
            </w:r>
          </w:p>
        </w:tc>
      </w:tr>
      <w:tr w14:paraId="73C4F7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9D987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80B265">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永昌县人民法院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87B7CD">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69.00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7B9F9B">
            <w:pPr>
              <w:jc w:val="right"/>
              <w:rPr>
                <w:rFonts w:hint="eastAsia" w:ascii="宋体" w:hAnsi="宋体" w:eastAsia="宋体" w:cs="宋体"/>
                <w:i w:val="0"/>
                <w:iCs w:val="0"/>
                <w:color w:val="auto"/>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31DF17">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69.00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37C887">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100.00%</w:t>
            </w:r>
          </w:p>
        </w:tc>
      </w:tr>
      <w:tr w14:paraId="0F2866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BA230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D63383">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白银市白银区人民法院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854F1C">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12.00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39CFF9">
            <w:pPr>
              <w:jc w:val="right"/>
              <w:rPr>
                <w:rFonts w:hint="eastAsia" w:ascii="宋体" w:hAnsi="宋体" w:eastAsia="宋体" w:cs="宋体"/>
                <w:i w:val="0"/>
                <w:iCs w:val="0"/>
                <w:color w:val="auto"/>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780463">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12.00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F6CB71">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100.00%</w:t>
            </w:r>
          </w:p>
        </w:tc>
      </w:tr>
      <w:tr w14:paraId="4BD304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160E9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CDC2AF">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白银市平川区人民法院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39E657">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20.00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59D2CF">
            <w:pPr>
              <w:jc w:val="right"/>
              <w:rPr>
                <w:rFonts w:hint="eastAsia" w:ascii="宋体" w:hAnsi="宋体" w:eastAsia="宋体" w:cs="宋体"/>
                <w:i w:val="0"/>
                <w:iCs w:val="0"/>
                <w:color w:val="auto"/>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A7626D">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20.00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2E8BAE">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100.00%</w:t>
            </w:r>
          </w:p>
        </w:tc>
      </w:tr>
      <w:tr w14:paraId="5B3461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386F6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29AF38">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会宁县人民法院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16134E">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71.00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9A5A5B">
            <w:pPr>
              <w:jc w:val="right"/>
              <w:rPr>
                <w:rFonts w:hint="eastAsia" w:ascii="宋体" w:hAnsi="宋体" w:eastAsia="宋体" w:cs="宋体"/>
                <w:i w:val="0"/>
                <w:iCs w:val="0"/>
                <w:color w:val="auto"/>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0211E7">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71.00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1597E6">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100.00%</w:t>
            </w:r>
          </w:p>
        </w:tc>
      </w:tr>
      <w:tr w14:paraId="6BD3BA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49848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658A6E">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靖远县人民法院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F1D341">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71.00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251FA9">
            <w:pPr>
              <w:jc w:val="right"/>
              <w:rPr>
                <w:rFonts w:hint="eastAsia" w:ascii="宋体" w:hAnsi="宋体" w:eastAsia="宋体" w:cs="宋体"/>
                <w:i w:val="0"/>
                <w:iCs w:val="0"/>
                <w:color w:val="auto"/>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5CF061">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71.00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04ACCD">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100.00%</w:t>
            </w:r>
          </w:p>
        </w:tc>
      </w:tr>
      <w:tr w14:paraId="061840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B068F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73EC45">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景泰县人民法院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ABA447">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16.00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8EF0B9">
            <w:pPr>
              <w:jc w:val="right"/>
              <w:rPr>
                <w:rFonts w:hint="eastAsia" w:ascii="宋体" w:hAnsi="宋体" w:eastAsia="宋体" w:cs="宋体"/>
                <w:i w:val="0"/>
                <w:iCs w:val="0"/>
                <w:color w:val="auto"/>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B05057">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16.00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9ECF09">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100.00%</w:t>
            </w:r>
          </w:p>
        </w:tc>
      </w:tr>
      <w:tr w14:paraId="688F1D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BB74E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CF7361">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天水市秦州区人民法院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2E3D6D">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71.00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0AE890">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1.50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CCF40C">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72.50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BDF0EF">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100.00%</w:t>
            </w:r>
          </w:p>
        </w:tc>
      </w:tr>
      <w:tr w14:paraId="13AD81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1A17A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AA8542">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天水市麦积区人民法院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830E78">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76.00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592BD1">
            <w:pPr>
              <w:jc w:val="right"/>
              <w:rPr>
                <w:rFonts w:hint="eastAsia" w:ascii="宋体" w:hAnsi="宋体" w:eastAsia="宋体" w:cs="宋体"/>
                <w:i w:val="0"/>
                <w:iCs w:val="0"/>
                <w:color w:val="auto"/>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12239B">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76.00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ED52F4">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100.00%</w:t>
            </w:r>
          </w:p>
        </w:tc>
      </w:tr>
      <w:tr w14:paraId="5D4BA1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0B04F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4C991D">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秦安县人民法院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1AD53F">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32.00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5840F8">
            <w:pPr>
              <w:jc w:val="right"/>
              <w:rPr>
                <w:rFonts w:hint="eastAsia" w:ascii="宋体" w:hAnsi="宋体" w:eastAsia="宋体" w:cs="宋体"/>
                <w:i w:val="0"/>
                <w:iCs w:val="0"/>
                <w:color w:val="auto"/>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D382FB">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32.00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A0B8F5">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100.00%</w:t>
            </w:r>
          </w:p>
        </w:tc>
      </w:tr>
      <w:tr w14:paraId="799851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7241C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0DBFB3">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甘谷县人民法院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311A25">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36.00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339D5E">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0.45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39F4A8">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36.45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F5D605">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100.00%</w:t>
            </w:r>
          </w:p>
        </w:tc>
      </w:tr>
      <w:tr w14:paraId="206DA7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8FA57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98FE0A">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武山县人民法院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793649">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24.00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896AD5">
            <w:pPr>
              <w:jc w:val="right"/>
              <w:rPr>
                <w:rFonts w:hint="eastAsia" w:ascii="宋体" w:hAnsi="宋体" w:eastAsia="宋体" w:cs="宋体"/>
                <w:i w:val="0"/>
                <w:iCs w:val="0"/>
                <w:color w:val="auto"/>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3BBA48">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24.00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BAC8D6">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100.00%</w:t>
            </w:r>
          </w:p>
        </w:tc>
      </w:tr>
      <w:tr w14:paraId="05E285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3921B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B7D299">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清水县人民法院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D23D26">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32.00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5E11D7">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0.33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E13B53">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32.33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63F59B">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100.00%</w:t>
            </w:r>
          </w:p>
        </w:tc>
      </w:tr>
      <w:tr w14:paraId="53EEC1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812D0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B776E6">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张家川回族自治县人民法院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46572E">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24.00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1A7E38">
            <w:pPr>
              <w:jc w:val="right"/>
              <w:rPr>
                <w:rFonts w:hint="eastAsia" w:ascii="宋体" w:hAnsi="宋体" w:eastAsia="宋体" w:cs="宋体"/>
                <w:i w:val="0"/>
                <w:iCs w:val="0"/>
                <w:color w:val="auto"/>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E92F1A">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24.00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80F41E">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100.00%</w:t>
            </w:r>
          </w:p>
        </w:tc>
      </w:tr>
      <w:tr w14:paraId="1A7045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728D1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3FB103">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金塔县人民法院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31F4A5">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28.00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CBB2B3">
            <w:pPr>
              <w:jc w:val="right"/>
              <w:rPr>
                <w:rFonts w:hint="eastAsia" w:ascii="宋体" w:hAnsi="宋体" w:eastAsia="宋体" w:cs="宋体"/>
                <w:i w:val="0"/>
                <w:iCs w:val="0"/>
                <w:color w:val="auto"/>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C832CA">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28.00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DA337A">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100.00%</w:t>
            </w:r>
          </w:p>
        </w:tc>
      </w:tr>
      <w:tr w14:paraId="78214A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576C3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CDC38D">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玉门市人民法院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B6B553">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35.00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A53F9C">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12.42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1897D5">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47.42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9345B4">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100.00%</w:t>
            </w:r>
          </w:p>
        </w:tc>
      </w:tr>
      <w:tr w14:paraId="77E5FC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212DE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F31C42">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阿克塞哈萨克族自治县人民法院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DF89B2">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8.00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4EB0A5">
            <w:pPr>
              <w:jc w:val="right"/>
              <w:rPr>
                <w:rFonts w:hint="eastAsia" w:ascii="宋体" w:hAnsi="宋体" w:eastAsia="宋体" w:cs="宋体"/>
                <w:i w:val="0"/>
                <w:iCs w:val="0"/>
                <w:color w:val="auto"/>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DEF45D">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8.00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2D5101">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100.00%</w:t>
            </w:r>
          </w:p>
        </w:tc>
      </w:tr>
      <w:tr w14:paraId="587980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13AE7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3FF31A">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肃北蒙古族自治县人民法院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05B53C">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16.00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20BD9C">
            <w:pPr>
              <w:jc w:val="right"/>
              <w:rPr>
                <w:rFonts w:hint="eastAsia" w:ascii="宋体" w:hAnsi="宋体" w:eastAsia="宋体" w:cs="宋体"/>
                <w:i w:val="0"/>
                <w:iCs w:val="0"/>
                <w:color w:val="auto"/>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BBDB02">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16.00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77F53E">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100.00%</w:t>
            </w:r>
          </w:p>
        </w:tc>
      </w:tr>
      <w:tr w14:paraId="0F4A85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3206A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9F774B">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酒泉市肃州区人民法院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207C91">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66.00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44F1A5">
            <w:pPr>
              <w:jc w:val="right"/>
              <w:rPr>
                <w:rFonts w:hint="eastAsia" w:ascii="宋体" w:hAnsi="宋体" w:eastAsia="宋体" w:cs="宋体"/>
                <w:i w:val="0"/>
                <w:iCs w:val="0"/>
                <w:color w:val="auto"/>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0A73B5">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66.00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B25F51">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100.00%</w:t>
            </w:r>
          </w:p>
        </w:tc>
      </w:tr>
      <w:tr w14:paraId="191A84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DA527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B17930">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敦煌市人民法院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2A4AC6">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24.00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C3F535">
            <w:pPr>
              <w:jc w:val="right"/>
              <w:rPr>
                <w:rFonts w:hint="eastAsia" w:ascii="宋体" w:hAnsi="宋体" w:eastAsia="宋体" w:cs="宋体"/>
                <w:i w:val="0"/>
                <w:iCs w:val="0"/>
                <w:color w:val="auto"/>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13735D">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24.00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EDE377">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100.00%</w:t>
            </w:r>
          </w:p>
        </w:tc>
      </w:tr>
      <w:tr w14:paraId="7DFA10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590B2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B9EF99">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瓜州县人民法院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9027F4">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40.00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D3EBE7">
            <w:pPr>
              <w:jc w:val="right"/>
              <w:rPr>
                <w:rFonts w:hint="eastAsia" w:ascii="宋体" w:hAnsi="宋体" w:eastAsia="宋体" w:cs="宋体"/>
                <w:i w:val="0"/>
                <w:iCs w:val="0"/>
                <w:color w:val="auto"/>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54850A">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40.00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A3B479">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100.00%</w:t>
            </w:r>
          </w:p>
        </w:tc>
      </w:tr>
      <w:tr w14:paraId="7EC359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0AC88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38FEBB">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张掖市甘州区人民法院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147171">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118.00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B963F8">
            <w:pPr>
              <w:jc w:val="right"/>
              <w:rPr>
                <w:rFonts w:hint="eastAsia" w:ascii="宋体" w:hAnsi="宋体" w:eastAsia="宋体" w:cs="宋体"/>
                <w:i w:val="0"/>
                <w:iCs w:val="0"/>
                <w:color w:val="auto"/>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19DE9F">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118.00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ACE72D">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100.00%</w:t>
            </w:r>
          </w:p>
        </w:tc>
      </w:tr>
      <w:tr w14:paraId="208C2C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D806A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55028A">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高台县人民法院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C9DBEB">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24.00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AFEDE7">
            <w:pPr>
              <w:jc w:val="right"/>
              <w:rPr>
                <w:rFonts w:hint="eastAsia" w:ascii="宋体" w:hAnsi="宋体" w:eastAsia="宋体" w:cs="宋体"/>
                <w:i w:val="0"/>
                <w:iCs w:val="0"/>
                <w:color w:val="auto"/>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3BE7FB">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24.00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C5E244">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100.00%</w:t>
            </w:r>
          </w:p>
        </w:tc>
      </w:tr>
      <w:tr w14:paraId="10C604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CD3E9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49DD43">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临泽县人民法院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F4E546">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24.00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720EEA">
            <w:pPr>
              <w:jc w:val="right"/>
              <w:rPr>
                <w:rFonts w:hint="eastAsia" w:ascii="宋体" w:hAnsi="宋体" w:eastAsia="宋体" w:cs="宋体"/>
                <w:i w:val="0"/>
                <w:iCs w:val="0"/>
                <w:color w:val="auto"/>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8BECCF">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24.00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1323B0">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100.00%</w:t>
            </w:r>
          </w:p>
        </w:tc>
      </w:tr>
      <w:tr w14:paraId="59E265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8D78C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8F0162">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山丹县人民法院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08E555">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24.00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FB1439">
            <w:pPr>
              <w:jc w:val="right"/>
              <w:rPr>
                <w:rFonts w:hint="eastAsia" w:ascii="宋体" w:hAnsi="宋体" w:eastAsia="宋体" w:cs="宋体"/>
                <w:i w:val="0"/>
                <w:iCs w:val="0"/>
                <w:color w:val="auto"/>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FFCAD3">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24.00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199FB5">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100.00%</w:t>
            </w:r>
          </w:p>
        </w:tc>
      </w:tr>
      <w:tr w14:paraId="4CA6DD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17400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888A04">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肃南裕固族自治县人民法院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AA4C3B">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24.00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101EFE">
            <w:pPr>
              <w:jc w:val="right"/>
              <w:rPr>
                <w:rFonts w:hint="eastAsia" w:ascii="宋体" w:hAnsi="宋体" w:eastAsia="宋体" w:cs="宋体"/>
                <w:i w:val="0"/>
                <w:iCs w:val="0"/>
                <w:color w:val="auto"/>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2A5536">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24.00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21F1C9">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100.00%</w:t>
            </w:r>
          </w:p>
        </w:tc>
      </w:tr>
      <w:tr w14:paraId="3B330A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5D144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01DD08">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民乐县人民法院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AD622F">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23.00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E32B93">
            <w:pPr>
              <w:jc w:val="right"/>
              <w:rPr>
                <w:rFonts w:hint="eastAsia" w:ascii="宋体" w:hAnsi="宋体" w:eastAsia="宋体" w:cs="宋体"/>
                <w:i w:val="0"/>
                <w:iCs w:val="0"/>
                <w:color w:val="auto"/>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57D26D">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23.00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7FB3C4">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100.00%</w:t>
            </w:r>
          </w:p>
        </w:tc>
      </w:tr>
      <w:tr w14:paraId="3B9803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2FBD1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84A0F0">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凉州区人民法院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4D133E">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181.00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9F5411">
            <w:pPr>
              <w:jc w:val="right"/>
              <w:rPr>
                <w:rFonts w:hint="eastAsia" w:ascii="宋体" w:hAnsi="宋体" w:eastAsia="宋体" w:cs="宋体"/>
                <w:i w:val="0"/>
                <w:iCs w:val="0"/>
                <w:color w:val="auto"/>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C3830B">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181.00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DBA8BB">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100.00%</w:t>
            </w:r>
          </w:p>
        </w:tc>
      </w:tr>
      <w:tr w14:paraId="064B06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D02B9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78565A">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民勤县人民法院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C8D256">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52.00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D68476">
            <w:pPr>
              <w:jc w:val="right"/>
              <w:rPr>
                <w:rFonts w:hint="eastAsia" w:ascii="宋体" w:hAnsi="宋体" w:eastAsia="宋体" w:cs="宋体"/>
                <w:i w:val="0"/>
                <w:iCs w:val="0"/>
                <w:color w:val="auto"/>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0A938C">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52.00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8B1044">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100.00%</w:t>
            </w:r>
          </w:p>
        </w:tc>
      </w:tr>
      <w:tr w14:paraId="2640F4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86CBB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137C22">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古浪县人民法院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03E25E">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48.00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4E90CB">
            <w:pPr>
              <w:jc w:val="right"/>
              <w:rPr>
                <w:rFonts w:hint="eastAsia" w:ascii="宋体" w:hAnsi="宋体" w:eastAsia="宋体" w:cs="宋体"/>
                <w:i w:val="0"/>
                <w:iCs w:val="0"/>
                <w:color w:val="auto"/>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AB06E3">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48.00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16CFB6">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100.00%</w:t>
            </w:r>
          </w:p>
        </w:tc>
      </w:tr>
      <w:tr w14:paraId="53DDE7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04E3A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98EBEC">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天祝藏族自治县人民法院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4A0C3C">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54.00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FC9FBA">
            <w:pPr>
              <w:jc w:val="right"/>
              <w:rPr>
                <w:rFonts w:hint="eastAsia" w:ascii="宋体" w:hAnsi="宋体" w:eastAsia="宋体" w:cs="宋体"/>
                <w:i w:val="0"/>
                <w:iCs w:val="0"/>
                <w:color w:val="auto"/>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0D0F31">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54.00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5838A7">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100.00%</w:t>
            </w:r>
          </w:p>
        </w:tc>
      </w:tr>
      <w:tr w14:paraId="4F5567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76D0C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A0E068">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安定区人民法院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EDC9A0">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51.00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4217A3">
            <w:pPr>
              <w:jc w:val="right"/>
              <w:rPr>
                <w:rFonts w:hint="eastAsia" w:ascii="宋体" w:hAnsi="宋体" w:eastAsia="宋体" w:cs="宋体"/>
                <w:i w:val="0"/>
                <w:iCs w:val="0"/>
                <w:color w:val="auto"/>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92AFC0">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51.00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7FFACA">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100.00%</w:t>
            </w:r>
          </w:p>
        </w:tc>
      </w:tr>
      <w:tr w14:paraId="09AF97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497A0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65DB00">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通渭县人民法院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406BAF">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52.00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5AED74">
            <w:pPr>
              <w:jc w:val="right"/>
              <w:rPr>
                <w:rFonts w:hint="eastAsia" w:ascii="宋体" w:hAnsi="宋体" w:eastAsia="宋体" w:cs="宋体"/>
                <w:i w:val="0"/>
                <w:iCs w:val="0"/>
                <w:color w:val="auto"/>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82B681">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52.00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266CF1">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100.00%</w:t>
            </w:r>
          </w:p>
        </w:tc>
      </w:tr>
      <w:tr w14:paraId="69B556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39F50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775FE7">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陇西县人民法院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EA1EA0">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60.00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2BBE4D">
            <w:pPr>
              <w:jc w:val="right"/>
              <w:rPr>
                <w:rFonts w:hint="eastAsia" w:ascii="宋体" w:hAnsi="宋体" w:eastAsia="宋体" w:cs="宋体"/>
                <w:i w:val="0"/>
                <w:iCs w:val="0"/>
                <w:color w:val="auto"/>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69DFD2">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60.00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CA1DC1">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100.00%</w:t>
            </w:r>
          </w:p>
        </w:tc>
      </w:tr>
      <w:tr w14:paraId="6A2E25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232B8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84247A">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渭源县人民法院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5BC1B0">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39.00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48E0DF">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1.92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3EC7C8">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40.92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E33C68">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100.00%</w:t>
            </w:r>
          </w:p>
        </w:tc>
      </w:tr>
      <w:tr w14:paraId="5EF407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C1B5F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2D2877">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临洮县人民法院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692D54">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87.00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76DA9A">
            <w:pPr>
              <w:jc w:val="right"/>
              <w:rPr>
                <w:rFonts w:hint="eastAsia" w:ascii="宋体" w:hAnsi="宋体" w:eastAsia="宋体" w:cs="宋体"/>
                <w:i w:val="0"/>
                <w:iCs w:val="0"/>
                <w:color w:val="auto"/>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C4E196">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87.00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3C4A03">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100.00%</w:t>
            </w:r>
          </w:p>
        </w:tc>
      </w:tr>
      <w:tr w14:paraId="0FB49A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CBCDC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835129">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漳县人民法院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D213A8">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32.00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C32C9C">
            <w:pPr>
              <w:jc w:val="right"/>
              <w:rPr>
                <w:rFonts w:hint="eastAsia" w:ascii="宋体" w:hAnsi="宋体" w:eastAsia="宋体" w:cs="宋体"/>
                <w:i w:val="0"/>
                <w:iCs w:val="0"/>
                <w:color w:val="auto"/>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C07402">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32.00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F342C2">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100.00%</w:t>
            </w:r>
          </w:p>
        </w:tc>
      </w:tr>
      <w:tr w14:paraId="605396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50AE7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3C2CCC">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岷县人民法院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2BE5AF">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56.00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73D96B">
            <w:pPr>
              <w:jc w:val="right"/>
              <w:rPr>
                <w:rFonts w:hint="eastAsia" w:ascii="宋体" w:hAnsi="宋体" w:eastAsia="宋体" w:cs="宋体"/>
                <w:i w:val="0"/>
                <w:iCs w:val="0"/>
                <w:color w:val="auto"/>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B55F3E">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56.00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3C20B8">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100.00%</w:t>
            </w:r>
          </w:p>
        </w:tc>
      </w:tr>
      <w:tr w14:paraId="77E18B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BFC87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303B55">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徽县人民法院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DBA888">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46.00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542D9A">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19.41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A95F7F">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65.41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FD2689">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100.00%</w:t>
            </w:r>
          </w:p>
        </w:tc>
      </w:tr>
      <w:tr w14:paraId="4758D2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2F7DB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F771E3">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成县人民法院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92A2D2">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40.00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858288">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0.15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60AA07">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34.95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E86D4A">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87.05%</w:t>
            </w:r>
          </w:p>
        </w:tc>
      </w:tr>
      <w:tr w14:paraId="7BBA4C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9748C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BBF980">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康县人民法院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658A76">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32.00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CF23B5">
            <w:pPr>
              <w:jc w:val="right"/>
              <w:rPr>
                <w:rFonts w:hint="eastAsia" w:ascii="宋体" w:hAnsi="宋体" w:eastAsia="宋体" w:cs="宋体"/>
                <w:i w:val="0"/>
                <w:iCs w:val="0"/>
                <w:color w:val="auto"/>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700A31">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32.00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2CE591">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100.00%</w:t>
            </w:r>
          </w:p>
        </w:tc>
      </w:tr>
      <w:tr w14:paraId="6D09C0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66BC6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07D152">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礼县人民法院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6D6ED6">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47.00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8A44C3">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22.12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2FC23F">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43.45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A3B8FA">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62.86%</w:t>
            </w:r>
          </w:p>
        </w:tc>
      </w:tr>
      <w:tr w14:paraId="681F0E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93EB2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A829AE">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文县人民法院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CBD65A">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24.00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C75AA9">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1.29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F73655">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25.29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DBCA4A">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100.00%</w:t>
            </w:r>
          </w:p>
        </w:tc>
      </w:tr>
      <w:tr w14:paraId="26690B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9D8B7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89F213">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陇南市武都区人民法院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86CC7E">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52.00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2CF521">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14.51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44A5F2">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66.51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7488C1">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100.00%</w:t>
            </w:r>
          </w:p>
        </w:tc>
      </w:tr>
      <w:tr w14:paraId="511117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4734C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D85B56">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宕昌县人民法院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1E2299">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40.00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D7D587">
            <w:pPr>
              <w:jc w:val="right"/>
              <w:rPr>
                <w:rFonts w:hint="eastAsia" w:ascii="宋体" w:hAnsi="宋体" w:eastAsia="宋体" w:cs="宋体"/>
                <w:i w:val="0"/>
                <w:iCs w:val="0"/>
                <w:color w:val="auto"/>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94D339">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40.00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2EFB78">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100.00%</w:t>
            </w:r>
          </w:p>
        </w:tc>
      </w:tr>
      <w:tr w14:paraId="26F53E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A46AD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82BB01">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西和县人民法院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26A700">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38.00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D401AF">
            <w:pPr>
              <w:jc w:val="right"/>
              <w:rPr>
                <w:rFonts w:hint="eastAsia" w:ascii="宋体" w:hAnsi="宋体" w:eastAsia="宋体" w:cs="宋体"/>
                <w:i w:val="0"/>
                <w:iCs w:val="0"/>
                <w:color w:val="auto"/>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60DD67">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38.00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8F386E">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100.00%</w:t>
            </w:r>
          </w:p>
        </w:tc>
      </w:tr>
      <w:tr w14:paraId="4A67E7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9064E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4D2DEA">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两当县人民法院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1866BF">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24.00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FC7B54">
            <w:pPr>
              <w:jc w:val="right"/>
              <w:rPr>
                <w:rFonts w:hint="eastAsia" w:ascii="宋体" w:hAnsi="宋体" w:eastAsia="宋体" w:cs="宋体"/>
                <w:i w:val="0"/>
                <w:iCs w:val="0"/>
                <w:color w:val="auto"/>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FB57D0">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24.00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E7A19C">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100.00%</w:t>
            </w:r>
          </w:p>
        </w:tc>
      </w:tr>
      <w:tr w14:paraId="43FE24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42F0C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BD947F">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平凉市崆峒区人民法院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2CB2ED">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60.00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9B9C33">
            <w:pPr>
              <w:jc w:val="right"/>
              <w:rPr>
                <w:rFonts w:hint="eastAsia" w:ascii="宋体" w:hAnsi="宋体" w:eastAsia="宋体" w:cs="宋体"/>
                <w:i w:val="0"/>
                <w:iCs w:val="0"/>
                <w:color w:val="auto"/>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47B09D">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60.00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8DD249">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100.00%</w:t>
            </w:r>
          </w:p>
        </w:tc>
      </w:tr>
      <w:tr w14:paraId="3B3C43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F9007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24B98D">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庄浪县人民法院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8D7728">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40.00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563196">
            <w:pPr>
              <w:jc w:val="right"/>
              <w:rPr>
                <w:rFonts w:hint="eastAsia" w:ascii="宋体" w:hAnsi="宋体" w:eastAsia="宋体" w:cs="宋体"/>
                <w:i w:val="0"/>
                <w:iCs w:val="0"/>
                <w:color w:val="auto"/>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8D75FD">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40.00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4B75AC">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100.00%</w:t>
            </w:r>
          </w:p>
        </w:tc>
      </w:tr>
      <w:tr w14:paraId="571704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CA966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051E71">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崇信县人民法院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16D070">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16.00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9057FF">
            <w:pPr>
              <w:jc w:val="right"/>
              <w:rPr>
                <w:rFonts w:hint="eastAsia" w:ascii="宋体" w:hAnsi="宋体" w:eastAsia="宋体" w:cs="宋体"/>
                <w:i w:val="0"/>
                <w:iCs w:val="0"/>
                <w:color w:val="auto"/>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947F32">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16.00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7F77E3">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100.00%</w:t>
            </w:r>
          </w:p>
        </w:tc>
      </w:tr>
      <w:tr w14:paraId="6C3D1E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2B054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F57D7D">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灵台县人民法院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B67AD8">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24.00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F17FCA">
            <w:pPr>
              <w:jc w:val="right"/>
              <w:rPr>
                <w:rFonts w:hint="eastAsia" w:ascii="宋体" w:hAnsi="宋体" w:eastAsia="宋体" w:cs="宋体"/>
                <w:i w:val="0"/>
                <w:iCs w:val="0"/>
                <w:color w:val="auto"/>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5B77DD">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24.00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7E9740">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100.00%</w:t>
            </w:r>
          </w:p>
        </w:tc>
      </w:tr>
      <w:tr w14:paraId="4C1482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6B52F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D7516C">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华亭市人民法院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3E10F5">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23.00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2BEC19">
            <w:pPr>
              <w:jc w:val="right"/>
              <w:rPr>
                <w:rFonts w:hint="eastAsia" w:ascii="宋体" w:hAnsi="宋体" w:eastAsia="宋体" w:cs="宋体"/>
                <w:i w:val="0"/>
                <w:iCs w:val="0"/>
                <w:color w:val="auto"/>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9A9C9F">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23.00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A54934">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100.00%</w:t>
            </w:r>
          </w:p>
        </w:tc>
      </w:tr>
      <w:tr w14:paraId="137394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D8058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50D94B">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静宁县人民法院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E9304A">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32.00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70A1E7">
            <w:pPr>
              <w:jc w:val="right"/>
              <w:rPr>
                <w:rFonts w:hint="eastAsia" w:ascii="宋体" w:hAnsi="宋体" w:eastAsia="宋体" w:cs="宋体"/>
                <w:i w:val="0"/>
                <w:iCs w:val="0"/>
                <w:color w:val="auto"/>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6BF83D">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32.00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E813A0">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100.00%</w:t>
            </w:r>
          </w:p>
        </w:tc>
      </w:tr>
      <w:tr w14:paraId="63ABA3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BD2E8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3445D1">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泾川县人民法院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47ADB2">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24.00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CFFD52">
            <w:pPr>
              <w:jc w:val="right"/>
              <w:rPr>
                <w:rFonts w:hint="eastAsia" w:ascii="宋体" w:hAnsi="宋体" w:eastAsia="宋体" w:cs="宋体"/>
                <w:i w:val="0"/>
                <w:iCs w:val="0"/>
                <w:color w:val="auto"/>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20A339">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24.00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9EAD38">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100.00%</w:t>
            </w:r>
          </w:p>
        </w:tc>
      </w:tr>
      <w:tr w14:paraId="77D985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244D6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66057C">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环县人民法院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3CECED">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54.00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1D0B39">
            <w:pPr>
              <w:jc w:val="right"/>
              <w:rPr>
                <w:rFonts w:hint="eastAsia" w:ascii="宋体" w:hAnsi="宋体" w:eastAsia="宋体" w:cs="宋体"/>
                <w:i w:val="0"/>
                <w:iCs w:val="0"/>
                <w:color w:val="auto"/>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737446">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54.00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093559">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100.00%</w:t>
            </w:r>
          </w:p>
        </w:tc>
      </w:tr>
      <w:tr w14:paraId="1DE0B3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C193F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5C2085">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正宁县人民法院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888B1A">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40.00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D9E072">
            <w:pPr>
              <w:jc w:val="right"/>
              <w:rPr>
                <w:rFonts w:hint="eastAsia" w:ascii="宋体" w:hAnsi="宋体" w:eastAsia="宋体" w:cs="宋体"/>
                <w:i w:val="0"/>
                <w:iCs w:val="0"/>
                <w:color w:val="auto"/>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A127FC">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40.00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E6188D">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100.00%</w:t>
            </w:r>
          </w:p>
        </w:tc>
      </w:tr>
      <w:tr w14:paraId="3E420B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E95A4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26D090">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合水县人民法院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82F411">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40.00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099FA7">
            <w:pPr>
              <w:jc w:val="right"/>
              <w:rPr>
                <w:rFonts w:hint="eastAsia" w:ascii="宋体" w:hAnsi="宋体" w:eastAsia="宋体" w:cs="宋体"/>
                <w:i w:val="0"/>
                <w:iCs w:val="0"/>
                <w:color w:val="auto"/>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70DBDB">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40.00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6F5066">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100.00%</w:t>
            </w:r>
          </w:p>
        </w:tc>
      </w:tr>
      <w:tr w14:paraId="16F0E5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8360B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DDC15F">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镇原县人民法院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89575F">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44.00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550930">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1.85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725655">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45.85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D32E0B">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100.00%</w:t>
            </w:r>
          </w:p>
        </w:tc>
      </w:tr>
      <w:tr w14:paraId="50A4EF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654C3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6ADB12">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华池县人民法院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DE3694">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32.00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D173D0">
            <w:pPr>
              <w:jc w:val="right"/>
              <w:rPr>
                <w:rFonts w:hint="eastAsia" w:ascii="宋体" w:hAnsi="宋体" w:eastAsia="宋体" w:cs="宋体"/>
                <w:i w:val="0"/>
                <w:iCs w:val="0"/>
                <w:color w:val="auto"/>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C6C0CF">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32.00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E9BBB2">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100.00%</w:t>
            </w:r>
          </w:p>
        </w:tc>
      </w:tr>
      <w:tr w14:paraId="6275A7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15944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39ABE2">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宁县人民法院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71CEFE">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63.00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E994D5">
            <w:pPr>
              <w:jc w:val="right"/>
              <w:rPr>
                <w:rFonts w:hint="eastAsia" w:ascii="宋体" w:hAnsi="宋体" w:eastAsia="宋体" w:cs="宋体"/>
                <w:i w:val="0"/>
                <w:iCs w:val="0"/>
                <w:color w:val="auto"/>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2D4648">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63.00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81F1CA">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100.00%</w:t>
            </w:r>
          </w:p>
        </w:tc>
      </w:tr>
      <w:tr w14:paraId="39AAB7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83A22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5AC8D6">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子午岭林区法院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CD81E3">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16.00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AFB69F">
            <w:pPr>
              <w:jc w:val="right"/>
              <w:rPr>
                <w:rFonts w:hint="eastAsia" w:ascii="宋体" w:hAnsi="宋体" w:eastAsia="宋体" w:cs="宋体"/>
                <w:i w:val="0"/>
                <w:iCs w:val="0"/>
                <w:color w:val="auto"/>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7F0F99">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7.55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C026F6">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47.19%</w:t>
            </w:r>
          </w:p>
        </w:tc>
      </w:tr>
      <w:tr w14:paraId="3C5EA4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7694E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6CACEA">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庆城县人民法院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47CA36">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44.00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0F1A52">
            <w:pPr>
              <w:jc w:val="right"/>
              <w:rPr>
                <w:rFonts w:hint="eastAsia" w:ascii="宋体" w:hAnsi="宋体" w:eastAsia="宋体" w:cs="宋体"/>
                <w:i w:val="0"/>
                <w:iCs w:val="0"/>
                <w:color w:val="auto"/>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00051F">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44.00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64933E">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100.00%</w:t>
            </w:r>
          </w:p>
        </w:tc>
      </w:tr>
      <w:tr w14:paraId="6F5C7D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D1315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347DC0">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西峰区人民法院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16C184">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66.00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C09849">
            <w:pPr>
              <w:jc w:val="right"/>
              <w:rPr>
                <w:rFonts w:hint="eastAsia" w:ascii="宋体" w:hAnsi="宋体" w:eastAsia="宋体" w:cs="宋体"/>
                <w:i w:val="0"/>
                <w:iCs w:val="0"/>
                <w:color w:val="auto"/>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CFFDE1">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66.00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513A52">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100.00%</w:t>
            </w:r>
          </w:p>
        </w:tc>
      </w:tr>
      <w:tr w14:paraId="242EF8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0F38F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77C013">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东乡族自治县人民法院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44AD97">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40.00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311D35">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1.39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DCC1CC">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41.39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6BE7FE">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100.00%</w:t>
            </w:r>
          </w:p>
        </w:tc>
      </w:tr>
      <w:tr w14:paraId="41DC8E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EAAA6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12B904">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临夏市人民法院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4A2AB3">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24.00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46B2CB">
            <w:pPr>
              <w:jc w:val="right"/>
              <w:rPr>
                <w:rFonts w:hint="eastAsia" w:ascii="宋体" w:hAnsi="宋体" w:eastAsia="宋体" w:cs="宋体"/>
                <w:i w:val="0"/>
                <w:iCs w:val="0"/>
                <w:color w:val="auto"/>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36E066">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24.00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2C81F4">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100.00%</w:t>
            </w:r>
          </w:p>
        </w:tc>
      </w:tr>
      <w:tr w14:paraId="0D45DD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F7291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72C7F6">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广河县人民法院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26ED4A">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32.00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E9AD5B">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2.36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957FCE">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28.15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1E59D1">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81.91%</w:t>
            </w:r>
          </w:p>
        </w:tc>
      </w:tr>
      <w:tr w14:paraId="709D24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313DC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1050F4">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康乐县人民法院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CD60D4">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32.00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A4A675">
            <w:pPr>
              <w:jc w:val="right"/>
              <w:rPr>
                <w:rFonts w:hint="eastAsia" w:ascii="宋体" w:hAnsi="宋体" w:eastAsia="宋体" w:cs="宋体"/>
                <w:i w:val="0"/>
                <w:iCs w:val="0"/>
                <w:color w:val="auto"/>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A2E380">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32.00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906E24">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100.00%</w:t>
            </w:r>
          </w:p>
        </w:tc>
      </w:tr>
      <w:tr w14:paraId="161299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FE87D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646494">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临夏县人民法院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D6B2CA">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36.00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6E9D68">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11.05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BE58D9">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44.14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96F414">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93.82%</w:t>
            </w:r>
          </w:p>
        </w:tc>
      </w:tr>
      <w:tr w14:paraId="0A3963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D41A9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B40984">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和政县人民法院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C12D72">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24.00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159F7E">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0.91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A2B5F8">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24.91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E2D99D">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100.00%</w:t>
            </w:r>
          </w:p>
        </w:tc>
      </w:tr>
      <w:tr w14:paraId="0B0F5A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6FF78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36E744">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积石山县人民法院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323014">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24.00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931DD0">
            <w:pPr>
              <w:jc w:val="right"/>
              <w:rPr>
                <w:rFonts w:hint="eastAsia" w:ascii="宋体" w:hAnsi="宋体" w:eastAsia="宋体" w:cs="宋体"/>
                <w:i w:val="0"/>
                <w:iCs w:val="0"/>
                <w:color w:val="auto"/>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A7D85A">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24.00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48A808">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100.00%</w:t>
            </w:r>
          </w:p>
        </w:tc>
      </w:tr>
      <w:tr w14:paraId="304F6A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7D832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F6B09E">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永靖县人民法院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EE4F4B">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40.00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D3D585">
            <w:pPr>
              <w:jc w:val="right"/>
              <w:rPr>
                <w:rFonts w:hint="eastAsia" w:ascii="宋体" w:hAnsi="宋体" w:eastAsia="宋体" w:cs="宋体"/>
                <w:i w:val="0"/>
                <w:iCs w:val="0"/>
                <w:color w:val="auto"/>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3CCECA">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40.00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B9F749">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100.00%</w:t>
            </w:r>
          </w:p>
        </w:tc>
      </w:tr>
      <w:tr w14:paraId="122043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E68A7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6B134E">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临潭县人民法院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7AD30E">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32.00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EFB26B">
            <w:pPr>
              <w:jc w:val="right"/>
              <w:rPr>
                <w:rFonts w:hint="eastAsia" w:ascii="宋体" w:hAnsi="宋体" w:eastAsia="宋体" w:cs="宋体"/>
                <w:i w:val="0"/>
                <w:iCs w:val="0"/>
                <w:color w:val="auto"/>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1E7047">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32.00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0023B9">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100.00%</w:t>
            </w:r>
          </w:p>
        </w:tc>
      </w:tr>
      <w:tr w14:paraId="01AD7C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3E710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08CFA3">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夏河县人民法院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58C60C">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16.00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982D8C">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10.06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63BD06">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26.06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1062A5">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100.00%</w:t>
            </w:r>
          </w:p>
        </w:tc>
      </w:tr>
      <w:tr w14:paraId="1DB6C1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54489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391E4A">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卓尼县人民法院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9897CB">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24.00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9FF764">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6.46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6B9D06">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10.96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69F18D">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35.98%</w:t>
            </w:r>
          </w:p>
        </w:tc>
      </w:tr>
      <w:tr w14:paraId="03EC9B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4A396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15D2C6">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玛曲县人民法院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CD8BED">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8.00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221F87">
            <w:pPr>
              <w:jc w:val="right"/>
              <w:rPr>
                <w:rFonts w:hint="eastAsia" w:ascii="宋体" w:hAnsi="宋体" w:eastAsia="宋体" w:cs="宋体"/>
                <w:i w:val="0"/>
                <w:iCs w:val="0"/>
                <w:color w:val="auto"/>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EBD77C">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8.00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B04B96">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100.00%</w:t>
            </w:r>
          </w:p>
        </w:tc>
      </w:tr>
      <w:tr w14:paraId="6F0A16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F73955">
            <w:pPr>
              <w:jc w:val="both"/>
              <w:rPr>
                <w:rFonts w:hint="eastAsia" w:ascii="宋体" w:hAnsi="宋体" w:eastAsia="宋体" w:cs="宋体"/>
                <w:i w:val="0"/>
                <w:iCs w:val="0"/>
                <w:color w:val="auto"/>
                <w:sz w:val="20"/>
                <w:szCs w:val="20"/>
                <w:u w:val="none"/>
              </w:rPr>
            </w:pPr>
          </w:p>
        </w:tc>
        <w:tc>
          <w:tcPr>
            <w:tcW w:w="2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91EBC">
            <w:pPr>
              <w:keepNext w:val="0"/>
              <w:keepLines w:val="0"/>
              <w:widowControl/>
              <w:suppressLineNumbers w:val="0"/>
              <w:jc w:val="center"/>
              <w:textAlignment w:val="center"/>
              <w:rPr>
                <w:rFonts w:hint="eastAsia" w:ascii="宋体" w:hAnsi="宋体" w:eastAsia="宋体" w:cs="宋体"/>
                <w:b/>
                <w:bCs/>
                <w:i w:val="0"/>
                <w:iCs w:val="0"/>
                <w:color w:val="auto"/>
                <w:sz w:val="20"/>
                <w:szCs w:val="20"/>
                <w:u w:val="none"/>
              </w:rPr>
            </w:pPr>
            <w:r>
              <w:rPr>
                <w:rStyle w:val="41"/>
                <w:color w:val="auto"/>
                <w:lang w:val="en-US" w:eastAsia="zh-CN" w:bidi="ar"/>
              </w:rPr>
              <w:t>合计</w:t>
            </w:r>
          </w:p>
        </w:tc>
        <w:tc>
          <w:tcPr>
            <w:tcW w:w="12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81E562">
            <w:pPr>
              <w:keepNext w:val="0"/>
              <w:keepLines w:val="0"/>
              <w:widowControl/>
              <w:suppressLineNumbers w:val="0"/>
              <w:jc w:val="right"/>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 xml:space="preserve"> 3,400.00 </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BB3CE">
            <w:pPr>
              <w:keepNext w:val="0"/>
              <w:keepLines w:val="0"/>
              <w:widowControl/>
              <w:suppressLineNumbers w:val="0"/>
              <w:jc w:val="right"/>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 xml:space="preserve"> 234.34 </w:t>
            </w:r>
          </w:p>
        </w:tc>
        <w:tc>
          <w:tcPr>
            <w:tcW w:w="12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A79D0F">
            <w:pPr>
              <w:keepNext w:val="0"/>
              <w:keepLines w:val="0"/>
              <w:widowControl/>
              <w:suppressLineNumbers w:val="0"/>
              <w:jc w:val="right"/>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 xml:space="preserve"> 3,488.21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AA5232">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95.98%</w:t>
            </w:r>
          </w:p>
        </w:tc>
      </w:tr>
    </w:tbl>
    <w:p w14:paraId="779FC345">
      <w:pPr>
        <w:pStyle w:val="10"/>
        <w:keepNext w:val="0"/>
        <w:keepLines w:val="0"/>
        <w:pageBreakBefore w:val="0"/>
        <w:widowControl w:val="0"/>
        <w:kinsoku/>
        <w:wordWrap/>
        <w:overflowPunct w:val="0"/>
        <w:topLinePunct w:val="0"/>
        <w:autoSpaceDE/>
        <w:autoSpaceDN/>
        <w:bidi w:val="0"/>
        <w:adjustRightInd/>
        <w:spacing w:line="560" w:lineRule="exact"/>
        <w:ind w:firstLine="643" w:firstLineChars="200"/>
        <w:textAlignment w:val="auto"/>
        <w:outlineLvl w:val="1"/>
        <w:rPr>
          <w:rFonts w:ascii="楷体" w:hAnsi="楷体" w:eastAsia="楷体" w:cs="楷体"/>
          <w:b/>
          <w:bCs/>
          <w:highlight w:val="none"/>
        </w:rPr>
      </w:pPr>
      <w:r>
        <w:rPr>
          <w:rFonts w:hint="eastAsia" w:ascii="楷体" w:hAnsi="楷体" w:eastAsia="楷体" w:cs="楷体"/>
          <w:b/>
          <w:bCs/>
          <w:highlight w:val="none"/>
        </w:rPr>
        <w:t>（三）项目计划内容及实施情况</w:t>
      </w:r>
      <w:bookmarkEnd w:id="47"/>
      <w:bookmarkEnd w:id="48"/>
      <w:bookmarkEnd w:id="49"/>
    </w:p>
    <w:p w14:paraId="2C22219B">
      <w:pPr>
        <w:pStyle w:val="10"/>
        <w:keepNext w:val="0"/>
        <w:keepLines w:val="0"/>
        <w:pageBreakBefore w:val="0"/>
        <w:widowControl w:val="0"/>
        <w:kinsoku/>
        <w:wordWrap/>
        <w:overflowPunct w:val="0"/>
        <w:topLinePunct w:val="0"/>
        <w:autoSpaceDE/>
        <w:autoSpaceDN/>
        <w:bidi w:val="0"/>
        <w:adjustRightInd/>
        <w:spacing w:line="560" w:lineRule="exact"/>
        <w:ind w:firstLine="643" w:firstLineChars="200"/>
        <w:textAlignment w:val="auto"/>
        <w:outlineLvl w:val="2"/>
        <w:rPr>
          <w:rFonts w:ascii="仿宋_GB2312" w:hAnsi="仿宋_GB2312" w:cs="仿宋_GB2312"/>
          <w:b/>
          <w:bCs/>
          <w:color w:val="000000" w:themeColor="text1"/>
          <w:highlight w:val="none"/>
          <w14:textFill>
            <w14:solidFill>
              <w14:schemeClr w14:val="tx1"/>
            </w14:solidFill>
          </w14:textFill>
        </w:rPr>
      </w:pPr>
      <w:r>
        <w:rPr>
          <w:rFonts w:hint="eastAsia" w:ascii="仿宋_GB2312" w:hAnsi="仿宋_GB2312" w:cs="仿宋_GB2312"/>
          <w:b/>
          <w:bCs/>
          <w:color w:val="000000" w:themeColor="text1"/>
          <w:highlight w:val="none"/>
          <w14:textFill>
            <w14:solidFill>
              <w14:schemeClr w14:val="tx1"/>
            </w14:solidFill>
          </w14:textFill>
        </w:rPr>
        <w:t>1.项目计划内容</w:t>
      </w:r>
    </w:p>
    <w:p w14:paraId="665C9704">
      <w:pPr>
        <w:pStyle w:val="10"/>
        <w:keepNext w:val="0"/>
        <w:keepLines w:val="0"/>
        <w:pageBreakBefore w:val="0"/>
        <w:widowControl w:val="0"/>
        <w:kinsoku/>
        <w:wordWrap/>
        <w:overflowPunct w:val="0"/>
        <w:topLinePunct w:val="0"/>
        <w:autoSpaceDE/>
        <w:autoSpaceDN/>
        <w:bidi w:val="0"/>
        <w:adjustRightInd/>
        <w:spacing w:line="560" w:lineRule="exact"/>
        <w:ind w:firstLine="640" w:firstLineChars="200"/>
        <w:textAlignment w:val="auto"/>
        <w:outlineLvl w:val="2"/>
        <w:rPr>
          <w:rFonts w:hint="eastAsia" w:ascii="仿宋_GB2312" w:hAnsi="仿宋_GB2312" w:cs="仿宋_GB2312"/>
          <w:highlight w:val="none"/>
        </w:rPr>
      </w:pPr>
      <w:r>
        <w:rPr>
          <w:rFonts w:hint="eastAsia" w:ascii="仿宋_GB2312" w:hAnsi="仿宋_GB2312" w:cs="仿宋_GB2312"/>
          <w:highlight w:val="none"/>
        </w:rPr>
        <w:t>确保全省法院</w:t>
      </w:r>
      <w:r>
        <w:rPr>
          <w:rFonts w:hint="eastAsia" w:ascii="仿宋_GB2312" w:hAnsi="仿宋_GB2312" w:cs="仿宋_GB2312"/>
          <w:highlight w:val="none"/>
          <w:lang w:eastAsia="zh-CN"/>
        </w:rPr>
        <w:t>338个基层法庭</w:t>
      </w:r>
      <w:r>
        <w:rPr>
          <w:rFonts w:hint="eastAsia" w:ascii="仿宋_GB2312" w:hAnsi="仿宋_GB2312" w:cs="仿宋_GB2312"/>
          <w:highlight w:val="none"/>
        </w:rPr>
        <w:t>的正常运转；保障全省法院人民法庭水电暖正常供应；各法院按照年初预算及日常维护所需，完成相关设备的维修维护工作，延长设备使用寿命。</w:t>
      </w:r>
    </w:p>
    <w:p w14:paraId="35C8B678">
      <w:pPr>
        <w:pStyle w:val="10"/>
        <w:keepNext w:val="0"/>
        <w:keepLines w:val="0"/>
        <w:pageBreakBefore w:val="0"/>
        <w:widowControl w:val="0"/>
        <w:kinsoku/>
        <w:wordWrap/>
        <w:overflowPunct w:val="0"/>
        <w:topLinePunct w:val="0"/>
        <w:autoSpaceDE/>
        <w:autoSpaceDN/>
        <w:bidi w:val="0"/>
        <w:adjustRightInd/>
        <w:spacing w:line="560" w:lineRule="exact"/>
        <w:ind w:firstLine="643" w:firstLineChars="200"/>
        <w:textAlignment w:val="auto"/>
        <w:outlineLvl w:val="2"/>
        <w:rPr>
          <w:rFonts w:ascii="仿宋_GB2312" w:hAnsi="仿宋_GB2312" w:cs="仿宋_GB2312"/>
          <w:b/>
          <w:bCs/>
          <w:color w:val="000000" w:themeColor="text1"/>
          <w:highlight w:val="none"/>
          <w14:textFill>
            <w14:solidFill>
              <w14:schemeClr w14:val="tx1"/>
            </w14:solidFill>
          </w14:textFill>
        </w:rPr>
      </w:pPr>
      <w:r>
        <w:rPr>
          <w:rFonts w:hint="eastAsia" w:ascii="仿宋_GB2312" w:hAnsi="仿宋_GB2312" w:cs="仿宋_GB2312"/>
          <w:b/>
          <w:bCs/>
          <w:color w:val="000000" w:themeColor="text1"/>
          <w:highlight w:val="none"/>
          <w14:textFill>
            <w14:solidFill>
              <w14:schemeClr w14:val="tx1"/>
            </w14:solidFill>
          </w14:textFill>
        </w:rPr>
        <w:t>2.项目实施情况</w:t>
      </w:r>
    </w:p>
    <w:p w14:paraId="517D331C">
      <w:pPr>
        <w:pStyle w:val="15"/>
        <w:keepNext w:val="0"/>
        <w:keepLines w:val="0"/>
        <w:pageBreakBefore w:val="0"/>
        <w:widowControl w:val="0"/>
        <w:numPr>
          <w:ilvl w:val="0"/>
          <w:numId w:val="0"/>
        </w:numPr>
        <w:kinsoku/>
        <w:wordWrap/>
        <w:topLinePunct w:val="0"/>
        <w:autoSpaceDE/>
        <w:autoSpaceDN/>
        <w:bidi w:val="0"/>
        <w:adjustRightInd/>
        <w:spacing w:line="560" w:lineRule="exact"/>
        <w:ind w:firstLine="640" w:firstLineChars="200"/>
        <w:jc w:val="both"/>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确保了全省法院338个基层法庭的正常运转，保障了全省法院人民法庭水电暖正常供应，各法院按照年初预算及日常维护所需，完成相关设备的维修维护工作，延长设备使用寿命，有效保障了审判服务的正常开展。</w:t>
      </w:r>
    </w:p>
    <w:p w14:paraId="20456B22">
      <w:pPr>
        <w:pStyle w:val="10"/>
        <w:keepNext w:val="0"/>
        <w:keepLines w:val="0"/>
        <w:pageBreakBefore w:val="0"/>
        <w:widowControl w:val="0"/>
        <w:kinsoku/>
        <w:wordWrap/>
        <w:overflowPunct w:val="0"/>
        <w:topLinePunct w:val="0"/>
        <w:autoSpaceDE/>
        <w:autoSpaceDN/>
        <w:bidi w:val="0"/>
        <w:adjustRightInd/>
        <w:spacing w:line="560" w:lineRule="exact"/>
        <w:ind w:firstLine="643" w:firstLineChars="200"/>
        <w:textAlignment w:val="auto"/>
        <w:outlineLvl w:val="1"/>
        <w:rPr>
          <w:rFonts w:ascii="楷体" w:hAnsi="楷体" w:eastAsia="楷体" w:cs="楷体"/>
          <w:b/>
          <w:bCs/>
          <w:highlight w:val="none"/>
        </w:rPr>
      </w:pPr>
      <w:bookmarkStart w:id="50" w:name="_Toc25356"/>
      <w:bookmarkStart w:id="51" w:name="_Toc4490"/>
      <w:bookmarkStart w:id="52" w:name="_Toc13479"/>
      <w:r>
        <w:rPr>
          <w:rFonts w:hint="eastAsia" w:ascii="楷体" w:hAnsi="楷体" w:eastAsia="楷体" w:cs="楷体"/>
          <w:b/>
          <w:bCs/>
          <w:highlight w:val="none"/>
        </w:rPr>
        <w:t>（四）项目组织管理</w:t>
      </w:r>
      <w:bookmarkEnd w:id="50"/>
      <w:bookmarkEnd w:id="51"/>
      <w:bookmarkEnd w:id="52"/>
    </w:p>
    <w:p w14:paraId="2546AA4D">
      <w:pPr>
        <w:pStyle w:val="10"/>
        <w:keepNext w:val="0"/>
        <w:keepLines w:val="0"/>
        <w:pageBreakBefore w:val="0"/>
        <w:widowControl w:val="0"/>
        <w:kinsoku/>
        <w:wordWrap/>
        <w:overflowPunct w:val="0"/>
        <w:topLinePunct w:val="0"/>
        <w:autoSpaceDE/>
        <w:autoSpaceDN/>
        <w:bidi w:val="0"/>
        <w:adjustRightInd/>
        <w:spacing w:line="560" w:lineRule="exact"/>
        <w:ind w:firstLine="643" w:firstLineChars="200"/>
        <w:textAlignment w:val="auto"/>
        <w:rPr>
          <w:rFonts w:hint="default" w:ascii="仿宋_GB2312" w:hAnsi="仿宋_GB2312" w:cs="仿宋_GB2312"/>
          <w:b/>
          <w:bCs/>
          <w:highlight w:val="none"/>
          <w:lang w:val="en-US" w:eastAsia="zh-CN"/>
        </w:rPr>
      </w:pPr>
      <w:r>
        <w:rPr>
          <w:rFonts w:hint="eastAsia" w:ascii="仿宋_GB2312" w:hAnsi="仿宋_GB2312" w:cs="仿宋_GB2312"/>
          <w:b/>
          <w:bCs/>
          <w:highlight w:val="none"/>
          <w:lang w:val="en-US" w:eastAsia="zh-CN"/>
        </w:rPr>
        <w:t>1.项目组织流程</w:t>
      </w:r>
    </w:p>
    <w:p w14:paraId="39C2DDCF">
      <w:pPr>
        <w:pStyle w:val="10"/>
        <w:keepNext w:val="0"/>
        <w:keepLines w:val="0"/>
        <w:pageBreakBefore w:val="0"/>
        <w:widowControl w:val="0"/>
        <w:kinsoku/>
        <w:wordWrap/>
        <w:overflowPunct w:val="0"/>
        <w:topLinePunct w:val="0"/>
        <w:autoSpaceDE/>
        <w:autoSpaceDN/>
        <w:bidi w:val="0"/>
        <w:adjustRightInd/>
        <w:spacing w:line="560" w:lineRule="exact"/>
        <w:ind w:firstLine="640" w:firstLineChars="200"/>
        <w:textAlignment w:val="auto"/>
        <w:rPr>
          <w:rFonts w:hint="eastAsia" w:ascii="仿宋_GB2312" w:hAnsi="仿宋_GB2312" w:eastAsia="仿宋_GB2312" w:cs="仿宋_GB2312"/>
          <w:highlight w:val="none"/>
          <w:lang w:eastAsia="zh-CN"/>
        </w:rPr>
      </w:pPr>
      <w:r>
        <w:rPr>
          <w:rFonts w:hint="eastAsia" w:ascii="仿宋_GB2312" w:hAnsi="仿宋_GB2312" w:cs="仿宋_GB2312"/>
          <w:highlight w:val="none"/>
        </w:rPr>
        <w:t>预算资金拨付单位：</w:t>
      </w:r>
      <w:r>
        <w:rPr>
          <w:rFonts w:hint="eastAsia" w:ascii="仿宋_GB2312" w:hAnsi="仿宋_GB2312" w:cs="仿宋_GB2312"/>
          <w:highlight w:val="none"/>
          <w:lang w:eastAsia="zh-CN"/>
        </w:rPr>
        <w:t>甘肃省财政厅</w:t>
      </w:r>
      <w:r>
        <w:rPr>
          <w:rFonts w:hint="eastAsia" w:ascii="仿宋_GB2312" w:hAnsi="仿宋_GB2312" w:cs="仿宋_GB2312"/>
          <w:highlight w:val="none"/>
        </w:rPr>
        <w:t>是项目预算资金的拨付单位，负责项目预算的审核批复，保证</w:t>
      </w:r>
      <w:r>
        <w:rPr>
          <w:rFonts w:hint="eastAsia" w:ascii="仿宋_GB2312" w:hAnsi="仿宋_GB2312" w:cs="仿宋_GB2312"/>
          <w:highlight w:val="none"/>
          <w:lang w:eastAsia="zh-CN"/>
        </w:rPr>
        <w:t>法庭运维费</w:t>
      </w:r>
      <w:r>
        <w:rPr>
          <w:rFonts w:hint="eastAsia" w:ascii="仿宋_GB2312" w:hAnsi="仿宋_GB2312" w:cs="仿宋_GB2312"/>
          <w:highlight w:val="none"/>
        </w:rPr>
        <w:t>项目资金及时、足额拨付到位</w:t>
      </w:r>
      <w:r>
        <w:rPr>
          <w:rFonts w:hint="eastAsia" w:ascii="仿宋_GB2312" w:hAnsi="仿宋_GB2312" w:cs="仿宋_GB2312"/>
          <w:highlight w:val="none"/>
          <w:lang w:eastAsia="zh-CN"/>
        </w:rPr>
        <w:t>，</w:t>
      </w:r>
      <w:r>
        <w:rPr>
          <w:rFonts w:hint="eastAsia" w:ascii="仿宋_GB2312" w:hAnsi="仿宋_GB2312" w:cs="仿宋_GB2312"/>
          <w:highlight w:val="none"/>
        </w:rPr>
        <w:t>对资金使用情况进行监督管理</w:t>
      </w:r>
      <w:r>
        <w:rPr>
          <w:rFonts w:hint="eastAsia" w:ascii="仿宋_GB2312" w:hAnsi="仿宋_GB2312" w:cs="仿宋_GB2312"/>
          <w:highlight w:val="none"/>
          <w:lang w:eastAsia="zh-CN"/>
        </w:rPr>
        <w:t>；</w:t>
      </w:r>
    </w:p>
    <w:p w14:paraId="560D0392">
      <w:pPr>
        <w:pStyle w:val="10"/>
        <w:keepNext w:val="0"/>
        <w:keepLines w:val="0"/>
        <w:pageBreakBefore w:val="0"/>
        <w:widowControl w:val="0"/>
        <w:kinsoku/>
        <w:wordWrap/>
        <w:overflowPunct w:val="0"/>
        <w:topLinePunct w:val="0"/>
        <w:autoSpaceDE/>
        <w:autoSpaceDN/>
        <w:bidi w:val="0"/>
        <w:adjustRightInd/>
        <w:spacing w:line="560" w:lineRule="exact"/>
        <w:ind w:firstLine="640" w:firstLineChars="200"/>
        <w:textAlignment w:val="auto"/>
        <w:rPr>
          <w:rFonts w:hint="eastAsia" w:ascii="仿宋_GB2312" w:hAnsi="仿宋_GB2312" w:eastAsia="仿宋_GB2312" w:cs="仿宋_GB2312"/>
          <w:highlight w:val="none"/>
          <w:lang w:eastAsia="zh-CN"/>
        </w:rPr>
      </w:pPr>
      <w:r>
        <w:rPr>
          <w:rFonts w:hint="eastAsia" w:ascii="仿宋_GB2312" w:hAnsi="仿宋_GB2312" w:cs="仿宋_GB2312"/>
          <w:highlight w:val="none"/>
        </w:rPr>
        <w:t>项目主管部门：甘肃省高级人民法院是项目的主管部门，负责</w:t>
      </w:r>
      <w:r>
        <w:rPr>
          <w:rFonts w:hint="eastAsia" w:ascii="仿宋_GB2312" w:hAnsi="仿宋_GB2312" w:cs="仿宋_GB2312"/>
          <w:highlight w:val="none"/>
          <w:lang w:val="en-US" w:eastAsia="zh-CN"/>
        </w:rPr>
        <w:t>对84家基层人民法院实施的法庭运维费项目进行</w:t>
      </w:r>
      <w:r>
        <w:rPr>
          <w:rFonts w:hint="eastAsia" w:ascii="仿宋_GB2312" w:hAnsi="仿宋_GB2312" w:cs="仿宋_GB2312"/>
          <w:highlight w:val="none"/>
        </w:rPr>
        <w:t>监督管理和绩效考评等工作，并出具自评报告</w:t>
      </w:r>
      <w:r>
        <w:rPr>
          <w:rFonts w:hint="eastAsia" w:ascii="仿宋_GB2312" w:hAnsi="仿宋_GB2312" w:cs="仿宋_GB2312"/>
          <w:highlight w:val="none"/>
          <w:lang w:eastAsia="zh-CN"/>
        </w:rPr>
        <w:t>；</w:t>
      </w:r>
    </w:p>
    <w:p w14:paraId="32304053">
      <w:pPr>
        <w:pStyle w:val="10"/>
        <w:keepNext w:val="0"/>
        <w:keepLines w:val="0"/>
        <w:pageBreakBefore w:val="0"/>
        <w:widowControl w:val="0"/>
        <w:kinsoku/>
        <w:wordWrap/>
        <w:overflowPunct w:val="0"/>
        <w:topLinePunct w:val="0"/>
        <w:autoSpaceDE/>
        <w:autoSpaceDN/>
        <w:bidi w:val="0"/>
        <w:adjustRightInd/>
        <w:spacing w:line="560" w:lineRule="exact"/>
        <w:ind w:firstLine="640" w:firstLineChars="200"/>
        <w:textAlignment w:val="auto"/>
        <w:rPr>
          <w:rFonts w:hint="eastAsia" w:ascii="仿宋_GB2312" w:hAnsi="仿宋_GB2312" w:cs="仿宋_GB2312"/>
          <w:highlight w:val="none"/>
        </w:rPr>
      </w:pPr>
      <w:r>
        <w:rPr>
          <w:rFonts w:hint="eastAsia" w:ascii="仿宋_GB2312" w:hAnsi="仿宋_GB2312" w:cs="仿宋_GB2312"/>
          <w:highlight w:val="none"/>
        </w:rPr>
        <w:t>预算执行单位：</w:t>
      </w:r>
      <w:r>
        <w:rPr>
          <w:rFonts w:hint="eastAsia" w:ascii="仿宋_GB2312" w:hAnsi="仿宋_GB2312" w:cs="仿宋_GB2312"/>
          <w:highlight w:val="none"/>
          <w:lang w:val="en-US" w:eastAsia="zh-CN"/>
        </w:rPr>
        <w:t>全省84家基层人民法院</w:t>
      </w:r>
      <w:r>
        <w:rPr>
          <w:rFonts w:hint="eastAsia" w:ascii="仿宋_GB2312" w:hAnsi="仿宋_GB2312" w:cs="仿宋_GB2312"/>
          <w:highlight w:val="none"/>
          <w:lang w:val="en-US" w:eastAsia="zh-CN"/>
        </w:rPr>
        <w:t>负责项目的经费申报、预算执行及管理、组织实施运维业务以及相应的项目经费支出等工作。</w:t>
      </w:r>
    </w:p>
    <w:p w14:paraId="76654300">
      <w:pPr>
        <w:pStyle w:val="10"/>
        <w:keepNext w:val="0"/>
        <w:keepLines w:val="0"/>
        <w:pageBreakBefore w:val="0"/>
        <w:widowControl w:val="0"/>
        <w:kinsoku/>
        <w:wordWrap/>
        <w:overflowPunct w:val="0"/>
        <w:topLinePunct w:val="0"/>
        <w:autoSpaceDE/>
        <w:autoSpaceDN/>
        <w:bidi w:val="0"/>
        <w:adjustRightInd/>
        <w:spacing w:line="560" w:lineRule="exact"/>
        <w:ind w:firstLine="643" w:firstLineChars="200"/>
        <w:textAlignment w:val="auto"/>
        <w:rPr>
          <w:rFonts w:hint="default" w:ascii="仿宋_GB2312" w:hAnsi="仿宋_GB2312" w:eastAsia="仿宋_GB2312" w:cs="仿宋_GB2312"/>
          <w:b/>
          <w:bCs/>
          <w:sz w:val="32"/>
          <w:szCs w:val="32"/>
          <w:highlight w:val="none"/>
          <w:lang w:val="en-US"/>
        </w:rPr>
      </w:pPr>
      <w:r>
        <w:rPr>
          <w:rFonts w:hint="eastAsia" w:ascii="仿宋_GB2312" w:hAnsi="仿宋_GB2312" w:cs="仿宋_GB2312"/>
          <w:b/>
          <w:bCs/>
          <w:sz w:val="32"/>
          <w:szCs w:val="32"/>
          <w:highlight w:val="none"/>
          <w:lang w:val="en-US" w:eastAsia="zh-CN"/>
        </w:rPr>
        <w:t>2.项目实施流程</w:t>
      </w:r>
    </w:p>
    <w:p w14:paraId="4391F0BC">
      <w:pPr>
        <w:pStyle w:val="10"/>
        <w:keepNext w:val="0"/>
        <w:keepLines w:val="0"/>
        <w:pageBreakBefore w:val="0"/>
        <w:widowControl w:val="0"/>
        <w:kinsoku/>
        <w:wordWrap/>
        <w:overflowPunct w:val="0"/>
        <w:topLinePunct w:val="0"/>
        <w:autoSpaceDE/>
        <w:autoSpaceDN/>
        <w:bidi w:val="0"/>
        <w:adjustRightInd/>
        <w:spacing w:line="560" w:lineRule="exact"/>
        <w:ind w:firstLine="640" w:firstLineChars="200"/>
        <w:textAlignment w:val="auto"/>
        <w:rPr>
          <w:rFonts w:hint="eastAsia" w:ascii="仿宋_GB2312" w:hAnsi="仿宋_GB2312" w:cs="仿宋_GB2312"/>
          <w:sz w:val="32"/>
          <w:szCs w:val="32"/>
          <w:highlight w:val="none"/>
          <w:lang w:eastAsia="zh-CN"/>
        </w:rPr>
      </w:pPr>
      <w:r>
        <w:rPr>
          <w:rFonts w:hint="eastAsia" w:ascii="仿宋_GB2312" w:hAnsi="仿宋_GB2312" w:cs="仿宋_GB2312"/>
          <w:sz w:val="32"/>
          <w:szCs w:val="32"/>
          <w:highlight w:val="none"/>
          <w:lang w:eastAsia="zh-CN"/>
        </w:rPr>
        <w:t>甘肃省高级人民法院法庭运维费项目</w:t>
      </w:r>
      <w:r>
        <w:rPr>
          <w:rFonts w:hint="eastAsia" w:ascii="仿宋_GB2312" w:hAnsi="仿宋_GB2312" w:eastAsia="仿宋_GB2312" w:cs="仿宋_GB2312"/>
          <w:sz w:val="32"/>
          <w:szCs w:val="32"/>
          <w:highlight w:val="none"/>
        </w:rPr>
        <w:t>的实施流程包括</w:t>
      </w:r>
      <w:r>
        <w:rPr>
          <w:rFonts w:hint="eastAsia" w:ascii="仿宋_GB2312" w:hAnsi="仿宋_GB2312" w:cs="仿宋_GB2312"/>
          <w:sz w:val="32"/>
          <w:szCs w:val="32"/>
          <w:highlight w:val="none"/>
          <w:lang w:eastAsia="zh-CN"/>
        </w:rPr>
        <w:t>：</w:t>
      </w:r>
      <w:r>
        <w:rPr>
          <w:rFonts w:hint="eastAsia" w:ascii="仿宋_GB2312" w:hAnsi="仿宋_GB2312" w:eastAsia="仿宋_GB2312" w:cs="仿宋_GB2312"/>
          <w:sz w:val="32"/>
          <w:szCs w:val="32"/>
          <w:highlight w:val="none"/>
        </w:rPr>
        <w:t>项目资金预算申报、项目</w:t>
      </w:r>
      <w:r>
        <w:rPr>
          <w:rFonts w:hint="eastAsia" w:ascii="仿宋_GB2312" w:hAnsi="仿宋_GB2312" w:cs="仿宋_GB2312"/>
          <w:sz w:val="32"/>
          <w:szCs w:val="32"/>
          <w:highlight w:val="none"/>
          <w:lang w:val="en-US" w:eastAsia="zh-CN"/>
        </w:rPr>
        <w:t>资金实施管理</w:t>
      </w:r>
      <w:r>
        <w:rPr>
          <w:rFonts w:hint="eastAsia" w:ascii="仿宋_GB2312" w:hAnsi="仿宋_GB2312" w:eastAsia="仿宋_GB2312" w:cs="仿宋_GB2312"/>
          <w:sz w:val="32"/>
          <w:szCs w:val="32"/>
          <w:highlight w:val="none"/>
        </w:rPr>
        <w:t>、</w:t>
      </w:r>
      <w:r>
        <w:rPr>
          <w:rFonts w:hint="eastAsia" w:ascii="仿宋_GB2312" w:hAnsi="仿宋_GB2312" w:cs="仿宋_GB2312"/>
          <w:sz w:val="32"/>
          <w:szCs w:val="32"/>
          <w:highlight w:val="none"/>
          <w:lang w:val="en-US" w:eastAsia="zh-CN"/>
        </w:rPr>
        <w:t>项目资金绩效管理</w:t>
      </w:r>
      <w:r>
        <w:rPr>
          <w:rFonts w:hint="eastAsia" w:ascii="仿宋_GB2312" w:hAnsi="仿宋_GB2312" w:eastAsia="仿宋_GB2312" w:cs="仿宋_GB2312"/>
          <w:sz w:val="32"/>
          <w:szCs w:val="32"/>
          <w:highlight w:val="none"/>
        </w:rPr>
        <w:t>、</w:t>
      </w:r>
      <w:r>
        <w:rPr>
          <w:rFonts w:hint="eastAsia" w:ascii="仿宋_GB2312" w:hAnsi="仿宋_GB2312" w:cs="仿宋_GB2312"/>
          <w:sz w:val="32"/>
          <w:szCs w:val="32"/>
          <w:highlight w:val="none"/>
          <w:lang w:val="en-US" w:eastAsia="zh-CN"/>
        </w:rPr>
        <w:t>项目资金监督管理</w:t>
      </w:r>
      <w:r>
        <w:rPr>
          <w:rFonts w:hint="eastAsia" w:ascii="仿宋_GB2312" w:hAnsi="仿宋_GB2312" w:eastAsia="仿宋_GB2312" w:cs="仿宋_GB2312"/>
          <w:sz w:val="32"/>
          <w:szCs w:val="32"/>
          <w:highlight w:val="none"/>
        </w:rPr>
        <w:t>等流程</w:t>
      </w:r>
      <w:r>
        <w:rPr>
          <w:rFonts w:hint="eastAsia" w:ascii="仿宋_GB2312" w:hAnsi="仿宋_GB2312" w:cs="仿宋_GB2312"/>
          <w:sz w:val="32"/>
          <w:szCs w:val="32"/>
          <w:highlight w:val="none"/>
          <w:lang w:eastAsia="zh-CN"/>
        </w:rPr>
        <w:t>。</w:t>
      </w:r>
    </w:p>
    <w:p w14:paraId="4138840B">
      <w:pPr>
        <w:pStyle w:val="10"/>
        <w:keepNext w:val="0"/>
        <w:keepLines w:val="0"/>
        <w:pageBreakBefore w:val="0"/>
        <w:widowControl w:val="0"/>
        <w:kinsoku/>
        <w:wordWrap/>
        <w:overflowPunct w:val="0"/>
        <w:topLinePunct w:val="0"/>
        <w:autoSpaceDE/>
        <w:autoSpaceDN/>
        <w:bidi w:val="0"/>
        <w:adjustRightInd/>
        <w:spacing w:line="560" w:lineRule="exact"/>
        <w:ind w:firstLine="640" w:firstLineChars="200"/>
        <w:textAlignment w:val="auto"/>
        <w:rPr>
          <w:rFonts w:hint="eastAsia" w:ascii="仿宋_GB2312" w:hAnsi="仿宋_GB2312" w:cs="仿宋_GB2312"/>
          <w:sz w:val="32"/>
          <w:szCs w:val="32"/>
          <w:highlight w:val="none"/>
          <w:lang w:eastAsia="zh-CN"/>
        </w:rPr>
      </w:pPr>
      <w:r>
        <w:rPr>
          <w:rFonts w:hint="eastAsia" w:ascii="仿宋_GB2312" w:hAnsi="仿宋_GB2312" w:eastAsia="仿宋_GB2312" w:cs="仿宋_GB2312"/>
          <w:sz w:val="32"/>
          <w:szCs w:val="32"/>
          <w:highlight w:val="none"/>
        </w:rPr>
        <w:t>项目资金预算申报</w:t>
      </w:r>
      <w:r>
        <w:rPr>
          <w:rFonts w:hint="eastAsia" w:ascii="仿宋_GB2312" w:hAnsi="仿宋_GB2312" w:cs="仿宋_GB2312"/>
          <w:sz w:val="32"/>
          <w:szCs w:val="32"/>
          <w:highlight w:val="none"/>
          <w:lang w:eastAsia="zh-CN"/>
        </w:rPr>
        <w:t>。</w:t>
      </w:r>
      <w:r>
        <w:rPr>
          <w:rFonts w:hint="eastAsia" w:ascii="仿宋_GB2312" w:hAnsi="仿宋_GB2312" w:cs="仿宋_GB2312"/>
          <w:sz w:val="32"/>
          <w:szCs w:val="32"/>
          <w:highlight w:val="none"/>
          <w:lang w:val="en-US" w:eastAsia="zh-CN"/>
        </w:rPr>
        <w:t>84家基层人民法院为省级财政部门的预算单位</w:t>
      </w:r>
      <w:r>
        <w:rPr>
          <w:rFonts w:hint="eastAsia" w:ascii="仿宋_GB2312" w:hAnsi="仿宋_GB2312" w:cs="仿宋_GB2312"/>
          <w:sz w:val="32"/>
          <w:szCs w:val="32"/>
          <w:highlight w:val="none"/>
          <w:lang w:eastAsia="zh-CN"/>
        </w:rPr>
        <w:t>，</w:t>
      </w:r>
      <w:r>
        <w:rPr>
          <w:rFonts w:hint="eastAsia" w:ascii="仿宋_GB2312" w:hAnsi="仿宋_GB2312" w:cs="仿宋_GB2312"/>
          <w:sz w:val="32"/>
          <w:szCs w:val="32"/>
          <w:highlight w:val="none"/>
          <w:lang w:val="en-US" w:eastAsia="zh-CN"/>
        </w:rPr>
        <w:t>都要按年度、按程序、按要求</w:t>
      </w:r>
      <w:r>
        <w:rPr>
          <w:rFonts w:hint="eastAsia" w:ascii="仿宋_GB2312" w:hAnsi="仿宋_GB2312" w:cs="仿宋_GB2312"/>
          <w:sz w:val="32"/>
          <w:szCs w:val="32"/>
          <w:highlight w:val="none"/>
          <w:lang w:eastAsia="zh-CN"/>
        </w:rPr>
        <w:t>编制项目预算和绩效目标。</w:t>
      </w:r>
      <w:r>
        <w:rPr>
          <w:rFonts w:hint="eastAsia" w:ascii="仿宋_GB2312" w:hAnsi="仿宋_GB2312" w:cs="仿宋_GB2312"/>
          <w:sz w:val="32"/>
          <w:szCs w:val="32"/>
          <w:highlight w:val="none"/>
          <w:lang w:val="en-US" w:eastAsia="zh-CN"/>
        </w:rPr>
        <w:t>凡是经过省财政审定列入部门预算，报请人代会批准后，由甘肃省财政厅做预算批复并下达指标，确定由甘肃省高级人民法院统筹提出分配意见的项目预算经费，在预算执行过程中对各级法院的申请进行合规性、真实性、可行性做初审筛选后，每季度末向甘肃省财政厅申报；</w:t>
      </w:r>
    </w:p>
    <w:p w14:paraId="4EEEEE72">
      <w:pPr>
        <w:pStyle w:val="10"/>
        <w:keepNext w:val="0"/>
        <w:keepLines w:val="0"/>
        <w:pageBreakBefore w:val="0"/>
        <w:widowControl w:val="0"/>
        <w:kinsoku/>
        <w:wordWrap/>
        <w:overflowPunct w:val="0"/>
        <w:topLinePunct w:val="0"/>
        <w:autoSpaceDE/>
        <w:autoSpaceDN/>
        <w:bidi w:val="0"/>
        <w:adjustRightInd/>
        <w:spacing w:line="560" w:lineRule="exact"/>
        <w:ind w:firstLine="640" w:firstLineChars="200"/>
        <w:textAlignment w:val="auto"/>
        <w:rPr>
          <w:rFonts w:hint="eastAsia" w:ascii="仿宋_GB2312" w:hAnsi="仿宋_GB2312" w:cs="仿宋_GB2312"/>
          <w:sz w:val="32"/>
          <w:szCs w:val="32"/>
          <w:highlight w:val="none"/>
          <w:lang w:eastAsia="zh-CN"/>
        </w:rPr>
      </w:pPr>
      <w:r>
        <w:rPr>
          <w:rFonts w:hint="eastAsia" w:ascii="仿宋_GB2312" w:hAnsi="仿宋_GB2312" w:cs="仿宋_GB2312"/>
          <w:sz w:val="32"/>
          <w:szCs w:val="32"/>
          <w:highlight w:val="none"/>
          <w:lang w:val="en-US" w:eastAsia="zh-CN"/>
        </w:rPr>
        <w:t>项目资金实施管理：</w:t>
      </w:r>
      <w:r>
        <w:rPr>
          <w:rFonts w:hint="eastAsia" w:ascii="仿宋_GB2312" w:hAnsi="仿宋_GB2312" w:cs="仿宋_GB2312"/>
          <w:sz w:val="32"/>
          <w:szCs w:val="32"/>
          <w:highlight w:val="none"/>
          <w:lang w:eastAsia="zh-CN"/>
        </w:rPr>
        <w:t>项目预算和绩效目标</w:t>
      </w:r>
      <w:r>
        <w:rPr>
          <w:rFonts w:hint="eastAsia" w:ascii="仿宋_GB2312" w:hAnsi="仿宋_GB2312" w:cs="仿宋_GB2312"/>
          <w:sz w:val="32"/>
          <w:szCs w:val="32"/>
          <w:highlight w:val="none"/>
          <w:lang w:val="en-US" w:eastAsia="zh-CN"/>
        </w:rPr>
        <w:t>经甘肃省财政厅按照程序审核、调整、修改、批准后，通过部门预算系统和国库集中支付系统，将资金指标分配下达到84家基层人民法院，各法院严格按照项目资金计划和项目进度申报用款计划；</w:t>
      </w:r>
    </w:p>
    <w:p w14:paraId="78045121">
      <w:pPr>
        <w:pStyle w:val="10"/>
        <w:keepNext w:val="0"/>
        <w:keepLines w:val="0"/>
        <w:pageBreakBefore w:val="0"/>
        <w:widowControl w:val="0"/>
        <w:kinsoku/>
        <w:wordWrap/>
        <w:overflowPunct w:val="0"/>
        <w:topLinePunct w:val="0"/>
        <w:autoSpaceDE/>
        <w:autoSpaceDN/>
        <w:bidi w:val="0"/>
        <w:adjustRightInd/>
        <w:spacing w:line="56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cs="仿宋_GB2312"/>
          <w:sz w:val="32"/>
          <w:szCs w:val="32"/>
          <w:highlight w:val="none"/>
          <w:lang w:val="en-US" w:eastAsia="zh-CN"/>
        </w:rPr>
        <w:t>项目资金绩效管理：84家基层人民法院</w:t>
      </w:r>
      <w:r>
        <w:rPr>
          <w:rFonts w:hint="eastAsia" w:ascii="仿宋_GB2312" w:hAnsi="仿宋_GB2312" w:eastAsia="仿宋_GB2312" w:cs="仿宋_GB2312"/>
          <w:sz w:val="32"/>
          <w:szCs w:val="32"/>
          <w:highlight w:val="none"/>
        </w:rPr>
        <w:t>在做</w:t>
      </w:r>
      <w:r>
        <w:rPr>
          <w:rFonts w:hint="eastAsia" w:ascii="仿宋_GB2312" w:hAnsi="仿宋_GB2312" w:cs="仿宋_GB2312"/>
          <w:sz w:val="32"/>
          <w:szCs w:val="32"/>
          <w:highlight w:val="none"/>
          <w:lang w:val="en-US" w:eastAsia="zh-CN"/>
        </w:rPr>
        <w:t>年度</w:t>
      </w:r>
      <w:r>
        <w:rPr>
          <w:rFonts w:hint="eastAsia" w:ascii="仿宋_GB2312" w:hAnsi="仿宋_GB2312" w:eastAsia="仿宋_GB2312" w:cs="仿宋_GB2312"/>
          <w:sz w:val="32"/>
          <w:szCs w:val="32"/>
          <w:highlight w:val="none"/>
        </w:rPr>
        <w:t>预算编制前，按照规定时间、程序先编制项目资金预算绩效目标。项目资金预算绩效目标将作为预算编制、执行、审计的约束性条件推进预算绩效管理与预算编制、执行、监督有机结合，提高预算编制的科学性、合理性和规范性。项目资金预算绩效评价结果作为以后年度资金安排的参考依据。对绩效评价不达标、资金损失浪费严重、发生违反财经纪律、存在重大责任事故的项目，取消项目实施单位下一年度同类财政专项资金的申报资格</w:t>
      </w:r>
      <w:r>
        <w:rPr>
          <w:rFonts w:hint="eastAsia" w:ascii="仿宋_GB2312" w:hAnsi="仿宋_GB2312" w:cs="仿宋_GB2312"/>
          <w:sz w:val="32"/>
          <w:szCs w:val="32"/>
          <w:highlight w:val="none"/>
          <w:lang w:eastAsia="zh-CN"/>
        </w:rPr>
        <w:t>；</w:t>
      </w:r>
    </w:p>
    <w:p w14:paraId="76E0E8E1">
      <w:pPr>
        <w:pStyle w:val="10"/>
        <w:keepNext w:val="0"/>
        <w:keepLines w:val="0"/>
        <w:pageBreakBefore w:val="0"/>
        <w:widowControl w:val="0"/>
        <w:kinsoku/>
        <w:wordWrap/>
        <w:overflowPunct w:val="0"/>
        <w:topLinePunct w:val="0"/>
        <w:autoSpaceDE/>
        <w:autoSpaceDN/>
        <w:bidi w:val="0"/>
        <w:adjustRightInd/>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cs="仿宋_GB2312"/>
          <w:sz w:val="32"/>
          <w:szCs w:val="32"/>
          <w:highlight w:val="none"/>
          <w:lang w:val="en-US" w:eastAsia="zh-CN"/>
        </w:rPr>
        <w:t>项目资金监督管理</w:t>
      </w:r>
      <w:r>
        <w:rPr>
          <w:rFonts w:hint="eastAsia" w:ascii="仿宋_GB2312" w:hAnsi="仿宋_GB2312" w:cs="仿宋_GB2312"/>
          <w:sz w:val="32"/>
          <w:szCs w:val="32"/>
          <w:highlight w:val="none"/>
          <w:lang w:eastAsia="zh-CN"/>
        </w:rPr>
        <w:t>：</w:t>
      </w:r>
      <w:r>
        <w:rPr>
          <w:rFonts w:hint="eastAsia" w:ascii="仿宋_GB2312" w:hAnsi="仿宋_GB2312" w:cs="仿宋_GB2312"/>
          <w:sz w:val="32"/>
          <w:szCs w:val="32"/>
          <w:highlight w:val="none"/>
          <w:lang w:val="en-US" w:eastAsia="zh-CN"/>
        </w:rPr>
        <w:t>84家基层人民法院在项目资金的管理中主动接受省法院内审机构、财政、审计等部门的监督检查。省法院联合省财政厅、省发改委等职能部门定期或不定期的对专项资金使用和项目进展进行监督检查，督促建设单位加强专项资金和项目管理</w:t>
      </w:r>
      <w:r>
        <w:rPr>
          <w:rFonts w:hint="eastAsia" w:ascii="仿宋_GB2312" w:hAnsi="仿宋_GB2312" w:eastAsia="仿宋_GB2312" w:cs="仿宋_GB2312"/>
          <w:sz w:val="32"/>
          <w:szCs w:val="32"/>
          <w:highlight w:val="none"/>
        </w:rPr>
        <w:t>。</w:t>
      </w:r>
    </w:p>
    <w:p w14:paraId="30D9A5DA">
      <w:pPr>
        <w:pStyle w:val="10"/>
        <w:keepNext w:val="0"/>
        <w:keepLines w:val="0"/>
        <w:pageBreakBefore w:val="0"/>
        <w:widowControl w:val="0"/>
        <w:kinsoku/>
        <w:wordWrap/>
        <w:overflowPunct w:val="0"/>
        <w:topLinePunct w:val="0"/>
        <w:autoSpaceDE/>
        <w:autoSpaceDN/>
        <w:bidi w:val="0"/>
        <w:adjustRightInd/>
        <w:spacing w:line="560" w:lineRule="exact"/>
        <w:ind w:firstLine="643" w:firstLineChars="200"/>
        <w:textAlignment w:val="auto"/>
        <w:rPr>
          <w:rFonts w:hint="eastAsia" w:ascii="仿宋_GB2312" w:hAnsi="仿宋_GB2312" w:eastAsia="仿宋_GB2312" w:cs="仿宋_GB2312"/>
          <w:b/>
          <w:bCs/>
          <w:sz w:val="32"/>
          <w:szCs w:val="32"/>
          <w:highlight w:val="none"/>
        </w:rPr>
      </w:pPr>
      <w:r>
        <w:rPr>
          <w:rFonts w:hint="eastAsia" w:ascii="仿宋_GB2312" w:hAnsi="仿宋_GB2312" w:cs="仿宋_GB2312"/>
          <w:b/>
          <w:bCs/>
          <w:sz w:val="32"/>
          <w:szCs w:val="32"/>
          <w:highlight w:val="none"/>
          <w:lang w:val="en-US" w:eastAsia="zh-CN"/>
        </w:rPr>
        <w:t>3.</w:t>
      </w:r>
      <w:r>
        <w:rPr>
          <w:rFonts w:hint="eastAsia" w:ascii="仿宋_GB2312" w:hAnsi="仿宋_GB2312" w:eastAsia="仿宋_GB2312" w:cs="仿宋_GB2312"/>
          <w:b/>
          <w:bCs/>
          <w:sz w:val="32"/>
          <w:szCs w:val="32"/>
          <w:highlight w:val="none"/>
        </w:rPr>
        <w:t>资金管理流程</w:t>
      </w:r>
    </w:p>
    <w:p w14:paraId="1F4CE295">
      <w:pPr>
        <w:pStyle w:val="10"/>
        <w:keepNext w:val="0"/>
        <w:keepLines w:val="0"/>
        <w:pageBreakBefore w:val="0"/>
        <w:widowControl w:val="0"/>
        <w:kinsoku/>
        <w:wordWrap/>
        <w:overflowPunct w:val="0"/>
        <w:topLinePunct w:val="0"/>
        <w:autoSpaceDE/>
        <w:autoSpaceDN/>
        <w:bidi w:val="0"/>
        <w:adjustRightInd/>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甘肃省高级人民法院将指标下达到一体化平台，各预算</w:t>
      </w:r>
      <w:r>
        <w:rPr>
          <w:rFonts w:hint="eastAsia" w:ascii="仿宋_GB2312" w:hAnsi="仿宋_GB2312" w:cs="仿宋_GB2312"/>
          <w:sz w:val="32"/>
          <w:szCs w:val="32"/>
          <w:highlight w:val="none"/>
          <w:lang w:val="en-US" w:eastAsia="zh-CN"/>
        </w:rPr>
        <w:t>法院</w:t>
      </w:r>
      <w:r>
        <w:rPr>
          <w:rFonts w:hint="eastAsia" w:ascii="仿宋_GB2312" w:hAnsi="仿宋_GB2312" w:eastAsia="仿宋_GB2312" w:cs="仿宋_GB2312"/>
          <w:sz w:val="32"/>
          <w:szCs w:val="32"/>
          <w:highlight w:val="none"/>
        </w:rPr>
        <w:t>制定资金计划并上报给甘肃省高级人民法院，甘肃省高级人民法院对各预算</w:t>
      </w:r>
      <w:r>
        <w:rPr>
          <w:rFonts w:hint="eastAsia" w:ascii="仿宋_GB2312" w:hAnsi="仿宋_GB2312" w:cs="仿宋_GB2312"/>
          <w:sz w:val="32"/>
          <w:szCs w:val="32"/>
          <w:highlight w:val="none"/>
          <w:lang w:val="en-US" w:eastAsia="zh-CN"/>
        </w:rPr>
        <w:t>法院</w:t>
      </w:r>
      <w:r>
        <w:rPr>
          <w:rFonts w:hint="eastAsia" w:ascii="仿宋_GB2312" w:hAnsi="仿宋_GB2312" w:eastAsia="仿宋_GB2312" w:cs="仿宋_GB2312"/>
          <w:sz w:val="32"/>
          <w:szCs w:val="32"/>
          <w:highlight w:val="none"/>
        </w:rPr>
        <w:t>上报的资金计划进行审核并汇总上报至甘肃省财政厅，甘肃省财政厅</w:t>
      </w:r>
      <w:r>
        <w:rPr>
          <w:rFonts w:hint="eastAsia" w:ascii="仿宋_GB2312" w:hAnsi="仿宋_GB2312" w:cs="仿宋_GB2312"/>
          <w:sz w:val="32"/>
          <w:szCs w:val="32"/>
          <w:highlight w:val="none"/>
          <w:lang w:val="en-US" w:eastAsia="zh-CN"/>
        </w:rPr>
        <w:t>同年初部门预算</w:t>
      </w:r>
      <w:r>
        <w:rPr>
          <w:rFonts w:hint="eastAsia" w:ascii="仿宋_GB2312" w:hAnsi="仿宋_GB2312" w:eastAsia="仿宋_GB2312" w:cs="仿宋_GB2312"/>
          <w:sz w:val="32"/>
          <w:szCs w:val="32"/>
          <w:highlight w:val="none"/>
        </w:rPr>
        <w:t>下达至各预算</w:t>
      </w:r>
      <w:r>
        <w:rPr>
          <w:rFonts w:hint="eastAsia" w:ascii="仿宋_GB2312" w:hAnsi="仿宋_GB2312" w:cs="仿宋_GB2312"/>
          <w:sz w:val="32"/>
          <w:szCs w:val="32"/>
          <w:highlight w:val="none"/>
          <w:lang w:val="en-US" w:eastAsia="zh-CN"/>
        </w:rPr>
        <w:t>法院</w:t>
      </w:r>
      <w:r>
        <w:rPr>
          <w:rFonts w:hint="eastAsia" w:ascii="仿宋_GB2312" w:hAnsi="仿宋_GB2312" w:eastAsia="仿宋_GB2312" w:cs="仿宋_GB2312"/>
          <w:sz w:val="32"/>
          <w:szCs w:val="32"/>
          <w:highlight w:val="none"/>
        </w:rPr>
        <w:t>，预算单位通过一体化支付平台使用预算资金</w:t>
      </w:r>
      <w:r>
        <w:rPr>
          <w:rFonts w:hint="eastAsia" w:ascii="仿宋_GB2312" w:hAnsi="仿宋_GB2312" w:cs="仿宋_GB2312"/>
          <w:sz w:val="32"/>
          <w:szCs w:val="32"/>
          <w:highlight w:val="none"/>
          <w:lang w:eastAsia="zh-CN"/>
        </w:rPr>
        <w:t>。</w:t>
      </w:r>
      <w:r>
        <w:rPr>
          <w:rFonts w:hint="eastAsia" w:ascii="仿宋_GB2312" w:hAnsi="仿宋_GB2312" w:cs="仿宋_GB2312"/>
          <w:sz w:val="32"/>
          <w:szCs w:val="32"/>
          <w:highlight w:val="none"/>
          <w:lang w:val="en-US" w:eastAsia="zh-CN"/>
        </w:rPr>
        <w:t>项目</w:t>
      </w:r>
      <w:r>
        <w:rPr>
          <w:rFonts w:hint="eastAsia" w:ascii="仿宋_GB2312" w:hAnsi="仿宋_GB2312" w:eastAsia="仿宋_GB2312" w:cs="仿宋_GB2312"/>
          <w:sz w:val="32"/>
          <w:szCs w:val="32"/>
          <w:highlight w:val="none"/>
        </w:rPr>
        <w:t>资金用于保障全省法院人民法庭水电暖正常供应</w:t>
      </w:r>
      <w:r>
        <w:rPr>
          <w:rFonts w:hint="eastAsia" w:ascii="仿宋_GB2312" w:hAnsi="仿宋_GB2312" w:cs="仿宋_GB2312"/>
          <w:sz w:val="32"/>
          <w:szCs w:val="32"/>
          <w:highlight w:val="none"/>
          <w:lang w:eastAsia="zh-CN"/>
        </w:rPr>
        <w:t>、相关设备的维修维护工作</w:t>
      </w:r>
      <w:r>
        <w:rPr>
          <w:rFonts w:hint="eastAsia" w:ascii="仿宋_GB2312" w:hAnsi="仿宋_GB2312" w:eastAsia="仿宋_GB2312" w:cs="仿宋_GB2312"/>
          <w:sz w:val="32"/>
          <w:szCs w:val="32"/>
          <w:highlight w:val="none"/>
        </w:rPr>
        <w:t>。</w:t>
      </w:r>
    </w:p>
    <w:p w14:paraId="643D7734">
      <w:pPr>
        <w:pStyle w:val="10"/>
        <w:keepNext w:val="0"/>
        <w:keepLines w:val="0"/>
        <w:pageBreakBefore w:val="0"/>
        <w:widowControl w:val="0"/>
        <w:kinsoku/>
        <w:wordWrap/>
        <w:overflowPunct w:val="0"/>
        <w:topLinePunct w:val="0"/>
        <w:autoSpaceDE/>
        <w:autoSpaceDN/>
        <w:bidi w:val="0"/>
        <w:adjustRightInd/>
        <w:spacing w:line="560" w:lineRule="exact"/>
        <w:ind w:firstLine="640" w:firstLineChars="200"/>
        <w:textAlignment w:val="auto"/>
        <w:rPr>
          <w:rFonts w:ascii="仿宋_GB2312" w:hAnsi="仿宋_GB2312" w:eastAsia="仿宋_GB2312" w:cs="仿宋_GB2312"/>
          <w:sz w:val="32"/>
          <w:szCs w:val="32"/>
          <w:highlight w:val="yellow"/>
        </w:rPr>
      </w:pPr>
      <w:r>
        <w:rPr>
          <w:rFonts w:hint="eastAsia" w:ascii="仿宋_GB2312" w:hAnsi="仿宋_GB2312" w:cs="仿宋_GB2312"/>
          <w:sz w:val="32"/>
          <w:szCs w:val="32"/>
          <w:highlight w:val="none"/>
          <w:lang w:val="en-US" w:eastAsia="zh-CN"/>
        </w:rPr>
        <w:t>项目</w:t>
      </w:r>
      <w:r>
        <w:rPr>
          <w:rFonts w:hint="eastAsia" w:ascii="仿宋_GB2312" w:hAnsi="仿宋_GB2312" w:eastAsia="仿宋_GB2312" w:cs="仿宋_GB2312"/>
          <w:sz w:val="32"/>
          <w:szCs w:val="32"/>
          <w:highlight w:val="none"/>
        </w:rPr>
        <w:t>资金按照“谁主办，谁负责”的原则，</w:t>
      </w:r>
      <w:r>
        <w:rPr>
          <w:rFonts w:hint="eastAsia" w:ascii="仿宋_GB2312" w:hAnsi="仿宋_GB2312" w:cs="仿宋_GB2312"/>
          <w:sz w:val="32"/>
          <w:szCs w:val="32"/>
          <w:highlight w:val="none"/>
          <w:lang w:val="en-US" w:eastAsia="zh-CN"/>
        </w:rPr>
        <w:t>各预算法院依据相关项目资金的科目规范核算资金，纳入年度部门决算，并接受审计部门和上级法院的监督检查。</w:t>
      </w:r>
    </w:p>
    <w:p w14:paraId="1A5570C9">
      <w:pPr>
        <w:pStyle w:val="10"/>
        <w:keepNext w:val="0"/>
        <w:keepLines w:val="0"/>
        <w:pageBreakBefore w:val="0"/>
        <w:widowControl w:val="0"/>
        <w:kinsoku/>
        <w:wordWrap/>
        <w:overflowPunct w:val="0"/>
        <w:topLinePunct w:val="0"/>
        <w:autoSpaceDE/>
        <w:autoSpaceDN/>
        <w:bidi w:val="0"/>
        <w:adjustRightInd/>
        <w:spacing w:line="560" w:lineRule="exact"/>
        <w:ind w:firstLine="640" w:firstLineChars="200"/>
        <w:textAlignment w:val="auto"/>
        <w:outlineLvl w:val="0"/>
        <w:rPr>
          <w:rFonts w:ascii="黑体" w:eastAsia="黑体"/>
          <w:highlight w:val="none"/>
        </w:rPr>
      </w:pPr>
      <w:bookmarkStart w:id="53" w:name="_Toc29508"/>
      <w:bookmarkStart w:id="54" w:name="_Toc319"/>
      <w:bookmarkStart w:id="55" w:name="_Toc3037"/>
      <w:r>
        <w:rPr>
          <w:rFonts w:hint="eastAsia" w:ascii="黑体" w:eastAsia="黑体"/>
          <w:highlight w:val="none"/>
        </w:rPr>
        <w:t>二、项目绩效目标</w:t>
      </w:r>
      <w:bookmarkEnd w:id="53"/>
      <w:bookmarkEnd w:id="54"/>
      <w:bookmarkEnd w:id="55"/>
    </w:p>
    <w:p w14:paraId="2873BCC1">
      <w:pPr>
        <w:pStyle w:val="10"/>
        <w:keepNext w:val="0"/>
        <w:keepLines w:val="0"/>
        <w:pageBreakBefore w:val="0"/>
        <w:widowControl w:val="0"/>
        <w:kinsoku/>
        <w:wordWrap/>
        <w:overflowPunct w:val="0"/>
        <w:topLinePunct w:val="0"/>
        <w:autoSpaceDE/>
        <w:autoSpaceDN/>
        <w:bidi w:val="0"/>
        <w:adjustRightInd/>
        <w:spacing w:line="560" w:lineRule="exact"/>
        <w:ind w:firstLine="643" w:firstLineChars="200"/>
        <w:textAlignment w:val="auto"/>
        <w:outlineLvl w:val="1"/>
        <w:rPr>
          <w:rFonts w:ascii="楷体" w:hAnsi="楷体" w:eastAsia="楷体" w:cs="楷体"/>
          <w:b/>
          <w:bCs/>
          <w:highlight w:val="none"/>
        </w:rPr>
      </w:pPr>
      <w:bookmarkStart w:id="56" w:name="_Toc21140"/>
      <w:bookmarkStart w:id="57" w:name="_Toc28577"/>
      <w:bookmarkStart w:id="58" w:name="_Toc5114"/>
      <w:r>
        <w:rPr>
          <w:rFonts w:hint="eastAsia" w:ascii="楷体" w:hAnsi="楷体" w:eastAsia="楷体" w:cs="楷体"/>
          <w:b/>
          <w:bCs/>
          <w:highlight w:val="none"/>
        </w:rPr>
        <w:t>（一）总体目标</w:t>
      </w:r>
      <w:bookmarkEnd w:id="56"/>
      <w:bookmarkEnd w:id="57"/>
      <w:bookmarkEnd w:id="58"/>
    </w:p>
    <w:p w14:paraId="4D6D860A">
      <w:pPr>
        <w:pStyle w:val="15"/>
        <w:keepNext w:val="0"/>
        <w:keepLines w:val="0"/>
        <w:pageBreakBefore w:val="0"/>
        <w:widowControl w:val="0"/>
        <w:kinsoku/>
        <w:wordWrap/>
        <w:topLinePunct w:val="0"/>
        <w:autoSpaceDE/>
        <w:autoSpaceDN/>
        <w:bidi w:val="0"/>
        <w:adjustRightInd/>
        <w:spacing w:line="560" w:lineRule="exact"/>
        <w:ind w:firstLine="640" w:firstLineChars="200"/>
        <w:textAlignment w:val="auto"/>
        <w:rPr>
          <w:rFonts w:hint="eastAsia" w:ascii="仿宋_GB2312" w:hAnsi="仿宋_GB2312" w:eastAsia="仿宋_GB2312" w:cs="仿宋_GB2312"/>
          <w:kern w:val="2"/>
          <w:sz w:val="32"/>
          <w:szCs w:val="32"/>
          <w:highlight w:val="none"/>
          <w:lang w:val="en-US" w:eastAsia="zh-CN" w:bidi="ar-SA"/>
        </w:rPr>
      </w:pPr>
      <w:bookmarkStart w:id="59" w:name="_Toc32085"/>
      <w:bookmarkStart w:id="60" w:name="_Toc26047"/>
      <w:r>
        <w:rPr>
          <w:rFonts w:hint="eastAsia" w:ascii="仿宋_GB2312" w:hAnsi="仿宋_GB2312" w:eastAsia="仿宋_GB2312" w:cs="仿宋_GB2312"/>
          <w:kern w:val="2"/>
          <w:sz w:val="32"/>
          <w:szCs w:val="32"/>
          <w:highlight w:val="none"/>
          <w:lang w:val="en-US" w:eastAsia="zh-CN" w:bidi="ar-SA"/>
        </w:rPr>
        <w:t>着力改善基层人民法庭办案办公条件，确保基层人民法庭审判、执行工作的正常运转，充分发挥人民法庭的职能作用，为人民群众到基层人民法庭解决诉讼争议，创造良好的环境，更好地执行及维护国家法制、法律的权威，维护社会稳定和谐。</w:t>
      </w:r>
    </w:p>
    <w:p w14:paraId="272E30AE">
      <w:pPr>
        <w:pStyle w:val="10"/>
        <w:keepNext w:val="0"/>
        <w:keepLines w:val="0"/>
        <w:pageBreakBefore w:val="0"/>
        <w:widowControl w:val="0"/>
        <w:kinsoku/>
        <w:wordWrap/>
        <w:overflowPunct w:val="0"/>
        <w:topLinePunct w:val="0"/>
        <w:autoSpaceDE/>
        <w:autoSpaceDN/>
        <w:bidi w:val="0"/>
        <w:adjustRightInd/>
        <w:spacing w:line="560" w:lineRule="exact"/>
        <w:ind w:firstLine="643" w:firstLineChars="200"/>
        <w:textAlignment w:val="auto"/>
        <w:outlineLvl w:val="1"/>
        <w:rPr>
          <w:rFonts w:ascii="楷体" w:hAnsi="楷体" w:eastAsia="楷体" w:cs="楷体"/>
          <w:b/>
          <w:bCs/>
          <w:highlight w:val="none"/>
        </w:rPr>
      </w:pPr>
      <w:bookmarkStart w:id="61" w:name="_Toc25750"/>
      <w:r>
        <w:rPr>
          <w:rFonts w:hint="eastAsia" w:ascii="楷体" w:hAnsi="楷体" w:eastAsia="楷体" w:cs="楷体"/>
          <w:b/>
          <w:bCs/>
          <w:highlight w:val="none"/>
        </w:rPr>
        <w:t>（二）年度目标</w:t>
      </w:r>
      <w:bookmarkEnd w:id="59"/>
      <w:bookmarkEnd w:id="60"/>
      <w:bookmarkEnd w:id="61"/>
    </w:p>
    <w:p w14:paraId="3D6DC43E">
      <w:pPr>
        <w:pStyle w:val="15"/>
        <w:keepNext w:val="0"/>
        <w:keepLines w:val="0"/>
        <w:pageBreakBefore w:val="0"/>
        <w:widowControl w:val="0"/>
        <w:kinsoku/>
        <w:wordWrap/>
        <w:topLinePunct w:val="0"/>
        <w:autoSpaceDE/>
        <w:autoSpaceDN/>
        <w:bidi w:val="0"/>
        <w:adjustRightInd/>
        <w:spacing w:line="560" w:lineRule="exact"/>
        <w:ind w:firstLine="640" w:firstLineChars="200"/>
        <w:textAlignment w:val="auto"/>
        <w:rPr>
          <w:rFonts w:hint="eastAsia" w:ascii="仿宋_GB2312" w:hAnsi="仿宋_GB2312" w:eastAsia="仿宋_GB2312" w:cs="仿宋_GB2312"/>
          <w:sz w:val="32"/>
          <w:szCs w:val="32"/>
          <w:highlight w:val="none"/>
        </w:rPr>
      </w:pPr>
      <w:bookmarkStart w:id="62" w:name="_Toc7330"/>
      <w:bookmarkStart w:id="63" w:name="_Toc11613"/>
      <w:r>
        <w:rPr>
          <w:rFonts w:hint="eastAsia" w:ascii="仿宋_GB2312" w:hAnsi="仿宋_GB2312" w:eastAsia="仿宋_GB2312" w:cs="仿宋_GB2312"/>
          <w:kern w:val="2"/>
          <w:sz w:val="32"/>
          <w:szCs w:val="32"/>
          <w:highlight w:val="none"/>
          <w:lang w:val="en-US" w:eastAsia="zh-CN" w:bidi="ar-SA"/>
        </w:rPr>
        <w:t>确保全省法院338个基层法庭的正常运转；保障全省法院人民法庭水电暖正常供应；各法院按照年初预算及日常维护所需，完成相关设备的维修维护工作，延长设备使用寿命。</w:t>
      </w:r>
      <w:r>
        <w:rPr>
          <w:rFonts w:hint="eastAsia" w:ascii="仿宋_GB2312" w:hAnsi="仿宋_GB2312" w:eastAsia="仿宋_GB2312" w:cs="仿宋_GB2312"/>
          <w:sz w:val="32"/>
          <w:szCs w:val="32"/>
          <w:highlight w:val="none"/>
        </w:rPr>
        <w:t>具体指标详见下表：</w:t>
      </w:r>
      <w:bookmarkEnd w:id="62"/>
      <w:bookmarkEnd w:id="63"/>
    </w:p>
    <w:tbl>
      <w:tblPr>
        <w:tblStyle w:val="20"/>
        <w:tblpPr w:leftFromText="180" w:rightFromText="180" w:vertAnchor="text" w:horzAnchor="page" w:tblpX="1736" w:tblpY="28"/>
        <w:tblOverlap w:val="never"/>
        <w:tblW w:w="4895" w:type="pct"/>
        <w:tblInd w:w="0" w:type="dxa"/>
        <w:tblLayout w:type="autofit"/>
        <w:tblCellMar>
          <w:top w:w="0" w:type="dxa"/>
          <w:left w:w="108" w:type="dxa"/>
          <w:bottom w:w="0" w:type="dxa"/>
          <w:right w:w="108" w:type="dxa"/>
        </w:tblCellMar>
      </w:tblPr>
      <w:tblGrid>
        <w:gridCol w:w="1697"/>
        <w:gridCol w:w="1855"/>
        <w:gridCol w:w="3381"/>
        <w:gridCol w:w="1938"/>
      </w:tblGrid>
      <w:tr w14:paraId="77080B24">
        <w:tblPrEx>
          <w:tblCellMar>
            <w:top w:w="0" w:type="dxa"/>
            <w:left w:w="108" w:type="dxa"/>
            <w:bottom w:w="0" w:type="dxa"/>
            <w:right w:w="108" w:type="dxa"/>
          </w:tblCellMar>
        </w:tblPrEx>
        <w:trPr>
          <w:trHeight w:val="454" w:hRule="atLeast"/>
        </w:trPr>
        <w:tc>
          <w:tcPr>
            <w:tcW w:w="956" w:type="pct"/>
            <w:tcBorders>
              <w:top w:val="single" w:color="000000" w:sz="4" w:space="0"/>
              <w:left w:val="single" w:color="000000" w:sz="4" w:space="0"/>
              <w:bottom w:val="single" w:color="auto" w:sz="4" w:space="0"/>
              <w:right w:val="single" w:color="000000" w:sz="4" w:space="0"/>
            </w:tcBorders>
            <w:shd w:val="clear" w:color="auto" w:fill="auto"/>
            <w:vAlign w:val="center"/>
          </w:tcPr>
          <w:p w14:paraId="7F77ADDA">
            <w:pPr>
              <w:widowControl/>
              <w:jc w:val="center"/>
              <w:textAlignment w:val="center"/>
              <w:rPr>
                <w:rFonts w:hint="eastAsia" w:ascii="宋体" w:hAnsi="宋体" w:eastAsia="宋体" w:cs="宋体"/>
                <w:kern w:val="0"/>
                <w:sz w:val="21"/>
                <w:szCs w:val="21"/>
                <w:highlight w:val="none"/>
                <w:lang w:bidi="ar"/>
              </w:rPr>
            </w:pPr>
            <w:bookmarkStart w:id="64" w:name="_Toc11016"/>
            <w:bookmarkStart w:id="65" w:name="_Toc24688"/>
            <w:r>
              <w:rPr>
                <w:rFonts w:hint="eastAsia" w:ascii="宋体" w:hAnsi="宋体" w:eastAsia="宋体" w:cs="宋体"/>
                <w:kern w:val="0"/>
                <w:sz w:val="21"/>
                <w:szCs w:val="21"/>
                <w:highlight w:val="none"/>
                <w:lang w:bidi="ar"/>
              </w:rPr>
              <w:t>一级指标</w:t>
            </w:r>
          </w:p>
        </w:tc>
        <w:tc>
          <w:tcPr>
            <w:tcW w:w="10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A6626B">
            <w:pPr>
              <w:widowControl/>
              <w:jc w:val="center"/>
              <w:textAlignment w:val="center"/>
              <w:rPr>
                <w:rFonts w:hint="eastAsia"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二级指标</w:t>
            </w:r>
          </w:p>
        </w:tc>
        <w:tc>
          <w:tcPr>
            <w:tcW w:w="19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D80D3D">
            <w:pPr>
              <w:widowControl/>
              <w:jc w:val="center"/>
              <w:textAlignment w:val="center"/>
              <w:rPr>
                <w:rFonts w:hint="eastAsia"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三级指标</w:t>
            </w:r>
          </w:p>
        </w:tc>
        <w:tc>
          <w:tcPr>
            <w:tcW w:w="10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7D09CD">
            <w:pPr>
              <w:widowControl/>
              <w:jc w:val="center"/>
              <w:textAlignment w:val="center"/>
              <w:rPr>
                <w:rFonts w:hint="eastAsia"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目标值</w:t>
            </w:r>
          </w:p>
        </w:tc>
      </w:tr>
      <w:tr w14:paraId="72E3C60F">
        <w:tblPrEx>
          <w:tblCellMar>
            <w:top w:w="0" w:type="dxa"/>
            <w:left w:w="108" w:type="dxa"/>
            <w:bottom w:w="0" w:type="dxa"/>
            <w:right w:w="108" w:type="dxa"/>
          </w:tblCellMar>
        </w:tblPrEx>
        <w:trPr>
          <w:trHeight w:val="454" w:hRule="atLeast"/>
        </w:trPr>
        <w:tc>
          <w:tcPr>
            <w:tcW w:w="956" w:type="pct"/>
            <w:tcBorders>
              <w:top w:val="single" w:color="auto" w:sz="4" w:space="0"/>
              <w:left w:val="single" w:color="auto" w:sz="4" w:space="0"/>
              <w:bottom w:val="single" w:color="auto" w:sz="4" w:space="0"/>
              <w:right w:val="single" w:color="auto" w:sz="4" w:space="0"/>
            </w:tcBorders>
            <w:shd w:val="clear" w:color="auto" w:fill="auto"/>
            <w:vAlign w:val="center"/>
          </w:tcPr>
          <w:p w14:paraId="323697E0">
            <w:pPr>
              <w:spacing w:line="320" w:lineRule="exact"/>
              <w:jc w:val="center"/>
              <w:rPr>
                <w:rFonts w:hint="eastAsia" w:ascii="宋体" w:hAnsi="宋体" w:eastAsia="宋体" w:cs="宋体"/>
                <w:kern w:val="2"/>
                <w:sz w:val="21"/>
                <w:szCs w:val="21"/>
                <w:highlight w:val="none"/>
                <w:lang w:val="en-US" w:eastAsia="zh-CN" w:bidi="ar-SA"/>
              </w:rPr>
            </w:pPr>
            <w:r>
              <w:rPr>
                <w:rFonts w:hint="eastAsia" w:ascii="宋体" w:hAnsi="宋体" w:eastAsia="宋体" w:cs="宋体"/>
                <w:sz w:val="21"/>
                <w:szCs w:val="21"/>
                <w:highlight w:val="none"/>
              </w:rPr>
              <w:t>成本指标</w:t>
            </w:r>
          </w:p>
        </w:tc>
        <w:tc>
          <w:tcPr>
            <w:tcW w:w="1045" w:type="pct"/>
            <w:tcBorders>
              <w:top w:val="single" w:color="000000" w:sz="4" w:space="0"/>
              <w:left w:val="single" w:color="auto" w:sz="4" w:space="0"/>
              <w:bottom w:val="single" w:color="auto" w:sz="4" w:space="0"/>
              <w:right w:val="single" w:color="000000" w:sz="4" w:space="0"/>
            </w:tcBorders>
            <w:shd w:val="clear" w:color="auto" w:fill="auto"/>
            <w:vAlign w:val="center"/>
          </w:tcPr>
          <w:p w14:paraId="79D4427C">
            <w:pPr>
              <w:spacing w:line="320" w:lineRule="exact"/>
              <w:jc w:val="center"/>
              <w:rPr>
                <w:rFonts w:hint="eastAsia" w:ascii="宋体" w:hAnsi="宋体" w:eastAsia="宋体" w:cs="宋体"/>
                <w:kern w:val="2"/>
                <w:sz w:val="21"/>
                <w:szCs w:val="21"/>
                <w:highlight w:val="none"/>
                <w:lang w:val="en-US" w:eastAsia="zh-CN" w:bidi="ar-SA"/>
              </w:rPr>
            </w:pPr>
            <w:r>
              <w:rPr>
                <w:rFonts w:hint="eastAsia" w:ascii="宋体" w:hAnsi="宋体" w:eastAsia="宋体" w:cs="宋体"/>
                <w:sz w:val="21"/>
                <w:szCs w:val="21"/>
                <w:highlight w:val="none"/>
              </w:rPr>
              <w:t>经济成本指标</w:t>
            </w:r>
          </w:p>
        </w:tc>
        <w:tc>
          <w:tcPr>
            <w:tcW w:w="19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7B5541">
            <w:pPr>
              <w:keepNext w:val="0"/>
              <w:keepLines w:val="0"/>
              <w:widowControl/>
              <w:suppressLineNumbers w:val="0"/>
              <w:jc w:val="center"/>
              <w:textAlignment w:val="center"/>
              <w:rPr>
                <w:rFonts w:hint="eastAsia" w:ascii="宋体" w:hAnsi="宋体" w:eastAsia="宋体" w:cs="宋体"/>
                <w:i w:val="0"/>
                <w:color w:val="000000"/>
                <w:kern w:val="0"/>
                <w:sz w:val="21"/>
                <w:szCs w:val="21"/>
                <w:highlight w:val="none"/>
                <w:u w:val="none"/>
                <w:lang w:val="en-US" w:eastAsia="zh-CN" w:bidi="ar"/>
              </w:rPr>
            </w:pPr>
            <w:r>
              <w:rPr>
                <w:rFonts w:hint="eastAsia" w:ascii="宋体" w:hAnsi="宋体" w:eastAsia="宋体" w:cs="宋体"/>
                <w:i w:val="0"/>
                <w:color w:val="000000"/>
                <w:kern w:val="0"/>
                <w:sz w:val="21"/>
                <w:szCs w:val="21"/>
                <w:highlight w:val="none"/>
                <w:u w:val="none"/>
                <w:lang w:val="en-US" w:eastAsia="zh-CN" w:bidi="ar"/>
              </w:rPr>
              <w:t>年度预算控制率</w:t>
            </w:r>
          </w:p>
        </w:tc>
        <w:tc>
          <w:tcPr>
            <w:tcW w:w="10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AC3CE4">
            <w:pPr>
              <w:keepNext w:val="0"/>
              <w:keepLines w:val="0"/>
              <w:widowControl/>
              <w:suppressLineNumbers w:val="0"/>
              <w:jc w:val="center"/>
              <w:textAlignment w:val="center"/>
              <w:rPr>
                <w:rFonts w:hint="eastAsia" w:ascii="宋体" w:hAnsi="宋体" w:eastAsia="宋体" w:cs="宋体"/>
                <w:i w:val="0"/>
                <w:color w:val="000000"/>
                <w:kern w:val="0"/>
                <w:sz w:val="21"/>
                <w:szCs w:val="21"/>
                <w:highlight w:val="none"/>
                <w:u w:val="none"/>
                <w:lang w:val="en-US" w:eastAsia="zh-CN" w:bidi="ar"/>
              </w:rPr>
            </w:pPr>
            <w:r>
              <w:rPr>
                <w:rFonts w:hint="eastAsia" w:ascii="宋体" w:hAnsi="宋体" w:eastAsia="宋体" w:cs="宋体"/>
                <w:i w:val="0"/>
                <w:color w:val="000000"/>
                <w:kern w:val="0"/>
                <w:sz w:val="21"/>
                <w:szCs w:val="21"/>
                <w:highlight w:val="none"/>
                <w:u w:val="none"/>
                <w:lang w:val="en-US" w:eastAsia="zh-CN" w:bidi="ar"/>
              </w:rPr>
              <w:t>≥90%</w:t>
            </w:r>
          </w:p>
        </w:tc>
      </w:tr>
      <w:tr w14:paraId="595C40F4">
        <w:tblPrEx>
          <w:tblCellMar>
            <w:top w:w="0" w:type="dxa"/>
            <w:left w:w="108" w:type="dxa"/>
            <w:bottom w:w="0" w:type="dxa"/>
            <w:right w:w="108" w:type="dxa"/>
          </w:tblCellMar>
        </w:tblPrEx>
        <w:trPr>
          <w:trHeight w:val="454" w:hRule="atLeast"/>
        </w:trPr>
        <w:tc>
          <w:tcPr>
            <w:tcW w:w="956"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5EFFE12">
            <w:pPr>
              <w:spacing w:line="320" w:lineRule="exact"/>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产出</w:t>
            </w:r>
            <w:r>
              <w:rPr>
                <w:rFonts w:hint="eastAsia" w:ascii="宋体" w:hAnsi="宋体" w:eastAsia="宋体" w:cs="宋体"/>
                <w:sz w:val="21"/>
                <w:szCs w:val="21"/>
                <w:highlight w:val="none"/>
                <w:lang w:val="en-US" w:eastAsia="zh-CN"/>
              </w:rPr>
              <w:t>指标</w:t>
            </w:r>
          </w:p>
        </w:tc>
        <w:tc>
          <w:tcPr>
            <w:tcW w:w="1045" w:type="pct"/>
            <w:vMerge w:val="restart"/>
            <w:tcBorders>
              <w:top w:val="single" w:color="000000" w:sz="4" w:space="0"/>
              <w:left w:val="single" w:color="auto" w:sz="4" w:space="0"/>
              <w:bottom w:val="single" w:color="auto" w:sz="4" w:space="0"/>
              <w:right w:val="single" w:color="000000" w:sz="4" w:space="0"/>
            </w:tcBorders>
            <w:shd w:val="clear" w:color="auto" w:fill="auto"/>
            <w:vAlign w:val="center"/>
          </w:tcPr>
          <w:p w14:paraId="69489162">
            <w:pPr>
              <w:spacing w:line="320" w:lineRule="exact"/>
              <w:jc w:val="center"/>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数量指标</w:t>
            </w:r>
          </w:p>
        </w:tc>
        <w:tc>
          <w:tcPr>
            <w:tcW w:w="19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6E1851">
            <w:pPr>
              <w:keepNext w:val="0"/>
              <w:keepLines w:val="0"/>
              <w:widowControl/>
              <w:suppressLineNumbers w:val="0"/>
              <w:jc w:val="center"/>
              <w:textAlignment w:val="center"/>
              <w:rPr>
                <w:rFonts w:hint="eastAsia" w:ascii="宋体" w:hAnsi="宋体" w:eastAsia="宋体" w:cs="宋体"/>
                <w:sz w:val="21"/>
                <w:szCs w:val="21"/>
                <w:highlight w:val="none"/>
              </w:rPr>
            </w:pPr>
            <w:r>
              <w:rPr>
                <w:rFonts w:hint="eastAsia" w:ascii="宋体" w:hAnsi="宋体" w:eastAsia="宋体" w:cs="宋体"/>
                <w:i w:val="0"/>
                <w:iCs w:val="0"/>
                <w:color w:val="000000"/>
                <w:kern w:val="0"/>
                <w:sz w:val="21"/>
                <w:szCs w:val="21"/>
                <w:highlight w:val="none"/>
                <w:u w:val="none"/>
                <w:lang w:val="en-US" w:eastAsia="zh-CN" w:bidi="ar"/>
              </w:rPr>
              <w:t>保障基层法庭个数</w:t>
            </w:r>
          </w:p>
        </w:tc>
        <w:tc>
          <w:tcPr>
            <w:tcW w:w="10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2E9C5B">
            <w:pPr>
              <w:keepNext w:val="0"/>
              <w:keepLines w:val="0"/>
              <w:widowControl/>
              <w:suppressLineNumbers w:val="0"/>
              <w:jc w:val="center"/>
              <w:textAlignment w:val="center"/>
              <w:rPr>
                <w:rFonts w:hint="eastAsia" w:ascii="宋体" w:hAnsi="宋体" w:eastAsia="宋体" w:cs="宋体"/>
                <w:kern w:val="0"/>
                <w:sz w:val="21"/>
                <w:szCs w:val="21"/>
                <w:highlight w:val="none"/>
                <w:lang w:bidi="ar"/>
              </w:rPr>
            </w:pPr>
            <w:r>
              <w:rPr>
                <w:rFonts w:hint="eastAsia" w:ascii="宋体" w:hAnsi="宋体" w:eastAsia="宋体" w:cs="宋体"/>
                <w:i w:val="0"/>
                <w:iCs w:val="0"/>
                <w:color w:val="000000"/>
                <w:kern w:val="0"/>
                <w:sz w:val="21"/>
                <w:szCs w:val="21"/>
                <w:highlight w:val="none"/>
                <w:u w:val="none"/>
                <w:lang w:val="en-US" w:eastAsia="zh-CN" w:bidi="ar"/>
              </w:rPr>
              <w:t>=338个</w:t>
            </w:r>
          </w:p>
        </w:tc>
      </w:tr>
      <w:tr w14:paraId="777306A9">
        <w:tblPrEx>
          <w:tblCellMar>
            <w:top w:w="0" w:type="dxa"/>
            <w:left w:w="108" w:type="dxa"/>
            <w:bottom w:w="0" w:type="dxa"/>
            <w:right w:w="108" w:type="dxa"/>
          </w:tblCellMar>
        </w:tblPrEx>
        <w:trPr>
          <w:trHeight w:val="454" w:hRule="atLeast"/>
        </w:trPr>
        <w:tc>
          <w:tcPr>
            <w:tcW w:w="956"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505745E">
            <w:pPr>
              <w:tabs>
                <w:tab w:val="left" w:pos="104"/>
              </w:tabs>
              <w:spacing w:line="320" w:lineRule="exact"/>
              <w:jc w:val="center"/>
              <w:rPr>
                <w:rFonts w:hint="eastAsia" w:ascii="宋体" w:hAnsi="宋体" w:eastAsia="宋体" w:cs="宋体"/>
                <w:sz w:val="21"/>
                <w:szCs w:val="21"/>
                <w:highlight w:val="none"/>
              </w:rPr>
            </w:pPr>
          </w:p>
        </w:tc>
        <w:tc>
          <w:tcPr>
            <w:tcW w:w="1045" w:type="pct"/>
            <w:vMerge w:val="continue"/>
            <w:tcBorders>
              <w:top w:val="single" w:color="auto" w:sz="4" w:space="0"/>
              <w:left w:val="single" w:color="auto" w:sz="4" w:space="0"/>
              <w:bottom w:val="single" w:color="auto" w:sz="4" w:space="0"/>
              <w:right w:val="single" w:color="000000" w:sz="4" w:space="0"/>
            </w:tcBorders>
            <w:shd w:val="clear" w:color="auto" w:fill="auto"/>
            <w:vAlign w:val="center"/>
          </w:tcPr>
          <w:p w14:paraId="5389437D">
            <w:pPr>
              <w:tabs>
                <w:tab w:val="left" w:pos="104"/>
              </w:tabs>
              <w:spacing w:line="320" w:lineRule="exact"/>
              <w:jc w:val="center"/>
              <w:rPr>
                <w:rFonts w:hint="eastAsia" w:ascii="宋体" w:hAnsi="宋体" w:eastAsia="宋体" w:cs="宋体"/>
                <w:sz w:val="21"/>
                <w:szCs w:val="21"/>
                <w:highlight w:val="none"/>
              </w:rPr>
            </w:pPr>
          </w:p>
        </w:tc>
        <w:tc>
          <w:tcPr>
            <w:tcW w:w="19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DDF9E0">
            <w:pPr>
              <w:keepNext w:val="0"/>
              <w:keepLines w:val="0"/>
              <w:widowControl/>
              <w:suppressLineNumbers w:val="0"/>
              <w:jc w:val="center"/>
              <w:textAlignment w:val="center"/>
              <w:rPr>
                <w:rFonts w:hint="eastAsia" w:ascii="宋体" w:hAnsi="宋体" w:eastAsia="宋体" w:cs="宋体"/>
                <w:sz w:val="21"/>
                <w:szCs w:val="21"/>
                <w:highlight w:val="none"/>
              </w:rPr>
            </w:pPr>
            <w:r>
              <w:rPr>
                <w:rFonts w:hint="eastAsia" w:ascii="宋体" w:hAnsi="宋体" w:eastAsia="宋体" w:cs="宋体"/>
                <w:i w:val="0"/>
                <w:iCs w:val="0"/>
                <w:color w:val="000000"/>
                <w:kern w:val="0"/>
                <w:sz w:val="21"/>
                <w:szCs w:val="21"/>
                <w:highlight w:val="none"/>
                <w:u w:val="none"/>
                <w:lang w:val="en-US" w:eastAsia="zh-CN" w:bidi="ar"/>
              </w:rPr>
              <w:t>资金拨付法院数</w:t>
            </w:r>
          </w:p>
        </w:tc>
        <w:tc>
          <w:tcPr>
            <w:tcW w:w="10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6EAC7F">
            <w:pPr>
              <w:keepNext w:val="0"/>
              <w:keepLines w:val="0"/>
              <w:widowControl/>
              <w:suppressLineNumbers w:val="0"/>
              <w:jc w:val="center"/>
              <w:textAlignment w:val="center"/>
              <w:rPr>
                <w:rFonts w:hint="eastAsia" w:ascii="宋体" w:hAnsi="宋体" w:eastAsia="宋体" w:cs="宋体"/>
                <w:kern w:val="0"/>
                <w:sz w:val="21"/>
                <w:szCs w:val="21"/>
                <w:highlight w:val="none"/>
                <w:lang w:bidi="ar"/>
              </w:rPr>
            </w:pPr>
            <w:r>
              <w:rPr>
                <w:rFonts w:hint="eastAsia" w:ascii="宋体" w:hAnsi="宋体" w:eastAsia="宋体" w:cs="宋体"/>
                <w:i w:val="0"/>
                <w:iCs w:val="0"/>
                <w:color w:val="000000"/>
                <w:kern w:val="0"/>
                <w:sz w:val="21"/>
                <w:szCs w:val="21"/>
                <w:highlight w:val="none"/>
                <w:u w:val="none"/>
                <w:lang w:val="en-US" w:eastAsia="zh-CN" w:bidi="ar"/>
              </w:rPr>
              <w:t>=84家</w:t>
            </w:r>
          </w:p>
        </w:tc>
      </w:tr>
      <w:tr w14:paraId="6734049F">
        <w:tblPrEx>
          <w:tblCellMar>
            <w:top w:w="0" w:type="dxa"/>
            <w:left w:w="108" w:type="dxa"/>
            <w:bottom w:w="0" w:type="dxa"/>
            <w:right w:w="108" w:type="dxa"/>
          </w:tblCellMar>
        </w:tblPrEx>
        <w:trPr>
          <w:trHeight w:val="454" w:hRule="atLeast"/>
        </w:trPr>
        <w:tc>
          <w:tcPr>
            <w:tcW w:w="956"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3D13074">
            <w:pPr>
              <w:tabs>
                <w:tab w:val="left" w:pos="104"/>
              </w:tabs>
              <w:spacing w:line="320" w:lineRule="exact"/>
              <w:jc w:val="center"/>
              <w:rPr>
                <w:rFonts w:hint="eastAsia" w:ascii="宋体" w:hAnsi="宋体" w:eastAsia="宋体" w:cs="宋体"/>
                <w:sz w:val="21"/>
                <w:szCs w:val="21"/>
                <w:highlight w:val="none"/>
              </w:rPr>
            </w:pPr>
          </w:p>
        </w:tc>
        <w:tc>
          <w:tcPr>
            <w:tcW w:w="1045" w:type="pct"/>
            <w:vMerge w:val="continue"/>
            <w:tcBorders>
              <w:top w:val="single" w:color="auto" w:sz="4" w:space="0"/>
              <w:left w:val="single" w:color="auto" w:sz="4" w:space="0"/>
              <w:bottom w:val="single" w:color="auto" w:sz="4" w:space="0"/>
              <w:right w:val="single" w:color="000000" w:sz="4" w:space="0"/>
            </w:tcBorders>
            <w:shd w:val="clear" w:color="auto" w:fill="auto"/>
            <w:vAlign w:val="center"/>
          </w:tcPr>
          <w:p w14:paraId="154E5BAD">
            <w:pPr>
              <w:tabs>
                <w:tab w:val="left" w:pos="104"/>
              </w:tabs>
              <w:spacing w:line="320" w:lineRule="exact"/>
              <w:jc w:val="center"/>
              <w:rPr>
                <w:rFonts w:hint="eastAsia" w:ascii="宋体" w:hAnsi="宋体" w:eastAsia="宋体" w:cs="宋体"/>
                <w:sz w:val="21"/>
                <w:szCs w:val="21"/>
                <w:highlight w:val="none"/>
              </w:rPr>
            </w:pPr>
          </w:p>
        </w:tc>
        <w:tc>
          <w:tcPr>
            <w:tcW w:w="19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8C98C8">
            <w:pPr>
              <w:keepNext w:val="0"/>
              <w:keepLines w:val="0"/>
              <w:widowControl/>
              <w:suppressLineNumbers w:val="0"/>
              <w:jc w:val="center"/>
              <w:textAlignment w:val="center"/>
              <w:rPr>
                <w:rFonts w:hint="eastAsia" w:ascii="宋体" w:hAnsi="宋体" w:eastAsia="宋体" w:cs="宋体"/>
                <w:sz w:val="21"/>
                <w:szCs w:val="21"/>
                <w:highlight w:val="none"/>
              </w:rPr>
            </w:pPr>
            <w:r>
              <w:rPr>
                <w:rFonts w:hint="eastAsia" w:ascii="宋体" w:hAnsi="宋体" w:eastAsia="宋体" w:cs="宋体"/>
                <w:i w:val="0"/>
                <w:iCs w:val="0"/>
                <w:color w:val="000000"/>
                <w:kern w:val="0"/>
                <w:sz w:val="21"/>
                <w:szCs w:val="21"/>
                <w:highlight w:val="none"/>
                <w:u w:val="none"/>
                <w:lang w:val="en-US" w:eastAsia="zh-CN" w:bidi="ar"/>
              </w:rPr>
              <w:t>维修维护工作完成率</w:t>
            </w:r>
          </w:p>
        </w:tc>
        <w:tc>
          <w:tcPr>
            <w:tcW w:w="10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4249F1">
            <w:pPr>
              <w:keepNext w:val="0"/>
              <w:keepLines w:val="0"/>
              <w:widowControl/>
              <w:suppressLineNumbers w:val="0"/>
              <w:jc w:val="center"/>
              <w:textAlignment w:val="center"/>
              <w:rPr>
                <w:rFonts w:hint="eastAsia" w:ascii="宋体" w:hAnsi="宋体" w:eastAsia="宋体" w:cs="宋体"/>
                <w:kern w:val="0"/>
                <w:sz w:val="21"/>
                <w:szCs w:val="21"/>
                <w:highlight w:val="none"/>
                <w:lang w:bidi="ar"/>
              </w:rPr>
            </w:pPr>
            <w:r>
              <w:rPr>
                <w:rFonts w:hint="eastAsia" w:ascii="宋体" w:hAnsi="宋体" w:eastAsia="宋体" w:cs="宋体"/>
                <w:i w:val="0"/>
                <w:color w:val="000000"/>
                <w:kern w:val="0"/>
                <w:sz w:val="21"/>
                <w:szCs w:val="21"/>
                <w:highlight w:val="none"/>
                <w:u w:val="none"/>
                <w:lang w:val="en-US" w:eastAsia="zh-CN" w:bidi="ar"/>
              </w:rPr>
              <w:t>≥</w:t>
            </w:r>
            <w:r>
              <w:rPr>
                <w:rFonts w:hint="eastAsia" w:ascii="宋体" w:hAnsi="宋体" w:eastAsia="宋体" w:cs="宋体"/>
                <w:i w:val="0"/>
                <w:iCs w:val="0"/>
                <w:color w:val="000000"/>
                <w:kern w:val="0"/>
                <w:sz w:val="21"/>
                <w:szCs w:val="21"/>
                <w:highlight w:val="none"/>
                <w:u w:val="none"/>
                <w:lang w:val="en-US" w:eastAsia="zh-CN" w:bidi="ar"/>
              </w:rPr>
              <w:t>90%</w:t>
            </w:r>
          </w:p>
        </w:tc>
      </w:tr>
      <w:tr w14:paraId="50BF63A2">
        <w:tblPrEx>
          <w:tblCellMar>
            <w:top w:w="0" w:type="dxa"/>
            <w:left w:w="108" w:type="dxa"/>
            <w:bottom w:w="0" w:type="dxa"/>
            <w:right w:w="108" w:type="dxa"/>
          </w:tblCellMar>
        </w:tblPrEx>
        <w:trPr>
          <w:trHeight w:val="454" w:hRule="atLeast"/>
        </w:trPr>
        <w:tc>
          <w:tcPr>
            <w:tcW w:w="956"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AF5DD7E">
            <w:pPr>
              <w:spacing w:line="320" w:lineRule="exact"/>
              <w:jc w:val="center"/>
              <w:rPr>
                <w:rFonts w:hint="eastAsia" w:ascii="宋体" w:hAnsi="宋体" w:eastAsia="宋体" w:cs="宋体"/>
                <w:sz w:val="21"/>
                <w:szCs w:val="21"/>
                <w:highlight w:val="none"/>
              </w:rPr>
            </w:pPr>
          </w:p>
        </w:tc>
        <w:tc>
          <w:tcPr>
            <w:tcW w:w="1045" w:type="pct"/>
            <w:vMerge w:val="restart"/>
            <w:tcBorders>
              <w:top w:val="single" w:color="auto" w:sz="4" w:space="0"/>
              <w:left w:val="single" w:color="auto" w:sz="4" w:space="0"/>
              <w:bottom w:val="single" w:color="auto" w:sz="4" w:space="0"/>
              <w:right w:val="single" w:color="000000" w:sz="4" w:space="0"/>
            </w:tcBorders>
            <w:shd w:val="clear" w:color="auto" w:fill="auto"/>
            <w:vAlign w:val="center"/>
          </w:tcPr>
          <w:p w14:paraId="365987A4">
            <w:pPr>
              <w:spacing w:line="320" w:lineRule="exac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质量目标</w:t>
            </w:r>
          </w:p>
        </w:tc>
        <w:tc>
          <w:tcPr>
            <w:tcW w:w="19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FF3F9C">
            <w:pPr>
              <w:keepNext w:val="0"/>
              <w:keepLines w:val="0"/>
              <w:widowControl/>
              <w:suppressLineNumbers w:val="0"/>
              <w:jc w:val="center"/>
              <w:textAlignment w:val="center"/>
              <w:rPr>
                <w:rFonts w:hint="eastAsia" w:ascii="宋体" w:hAnsi="宋体" w:eastAsia="宋体" w:cs="宋体"/>
                <w:color w:val="000000"/>
                <w:kern w:val="0"/>
                <w:sz w:val="21"/>
                <w:szCs w:val="21"/>
                <w:highlight w:val="none"/>
                <w:lang w:bidi="ar"/>
              </w:rPr>
            </w:pPr>
            <w:r>
              <w:rPr>
                <w:rFonts w:hint="eastAsia" w:ascii="宋体" w:hAnsi="宋体" w:eastAsia="宋体" w:cs="宋体"/>
                <w:i w:val="0"/>
                <w:iCs w:val="0"/>
                <w:color w:val="000000"/>
                <w:kern w:val="0"/>
                <w:sz w:val="21"/>
                <w:szCs w:val="21"/>
                <w:highlight w:val="none"/>
                <w:u w:val="none"/>
                <w:lang w:val="en-US" w:eastAsia="zh-CN" w:bidi="ar"/>
              </w:rPr>
              <w:t>法庭正常运转保障率</w:t>
            </w:r>
          </w:p>
        </w:tc>
        <w:tc>
          <w:tcPr>
            <w:tcW w:w="10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C6F145">
            <w:pPr>
              <w:keepNext w:val="0"/>
              <w:keepLines w:val="0"/>
              <w:widowControl/>
              <w:suppressLineNumbers w:val="0"/>
              <w:jc w:val="center"/>
              <w:textAlignment w:val="center"/>
              <w:rPr>
                <w:rStyle w:val="38"/>
                <w:rFonts w:hint="eastAsia" w:ascii="宋体" w:hAnsi="宋体" w:eastAsia="宋体" w:cs="宋体"/>
                <w:sz w:val="21"/>
                <w:szCs w:val="21"/>
                <w:highlight w:val="none"/>
                <w:lang w:bidi="ar"/>
              </w:rPr>
            </w:pPr>
            <w:r>
              <w:rPr>
                <w:rFonts w:hint="eastAsia" w:ascii="宋体" w:hAnsi="宋体" w:eastAsia="宋体" w:cs="宋体"/>
                <w:i w:val="0"/>
                <w:iCs w:val="0"/>
                <w:color w:val="000000"/>
                <w:kern w:val="0"/>
                <w:sz w:val="21"/>
                <w:szCs w:val="21"/>
                <w:highlight w:val="none"/>
                <w:u w:val="none"/>
                <w:lang w:val="en-US" w:eastAsia="zh-CN" w:bidi="ar"/>
              </w:rPr>
              <w:t>=100%</w:t>
            </w:r>
          </w:p>
        </w:tc>
      </w:tr>
      <w:tr w14:paraId="46078A1E">
        <w:tblPrEx>
          <w:tblCellMar>
            <w:top w:w="0" w:type="dxa"/>
            <w:left w:w="108" w:type="dxa"/>
            <w:bottom w:w="0" w:type="dxa"/>
            <w:right w:w="108" w:type="dxa"/>
          </w:tblCellMar>
        </w:tblPrEx>
        <w:trPr>
          <w:trHeight w:val="454" w:hRule="atLeast"/>
        </w:trPr>
        <w:tc>
          <w:tcPr>
            <w:tcW w:w="956"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61DEE09">
            <w:pPr>
              <w:spacing w:line="320" w:lineRule="exact"/>
              <w:jc w:val="center"/>
              <w:rPr>
                <w:rFonts w:hint="eastAsia" w:ascii="宋体" w:hAnsi="宋体" w:eastAsia="宋体" w:cs="宋体"/>
                <w:sz w:val="21"/>
                <w:szCs w:val="21"/>
                <w:highlight w:val="none"/>
              </w:rPr>
            </w:pPr>
          </w:p>
        </w:tc>
        <w:tc>
          <w:tcPr>
            <w:tcW w:w="1045" w:type="pct"/>
            <w:vMerge w:val="continue"/>
            <w:tcBorders>
              <w:top w:val="single" w:color="auto" w:sz="4" w:space="0"/>
              <w:left w:val="single" w:color="auto" w:sz="4" w:space="0"/>
              <w:bottom w:val="single" w:color="auto" w:sz="4" w:space="0"/>
              <w:right w:val="single" w:color="000000" w:sz="4" w:space="0"/>
            </w:tcBorders>
            <w:shd w:val="clear" w:color="auto" w:fill="auto"/>
            <w:vAlign w:val="center"/>
          </w:tcPr>
          <w:p w14:paraId="46AED6E4">
            <w:pPr>
              <w:spacing w:line="320" w:lineRule="exact"/>
              <w:jc w:val="center"/>
              <w:rPr>
                <w:rFonts w:hint="eastAsia" w:ascii="宋体" w:hAnsi="宋体" w:eastAsia="宋体" w:cs="宋体"/>
                <w:sz w:val="21"/>
                <w:szCs w:val="21"/>
                <w:highlight w:val="none"/>
              </w:rPr>
            </w:pPr>
          </w:p>
        </w:tc>
        <w:tc>
          <w:tcPr>
            <w:tcW w:w="19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8B62F3">
            <w:pPr>
              <w:keepNext w:val="0"/>
              <w:keepLines w:val="0"/>
              <w:widowControl/>
              <w:suppressLineNumbers w:val="0"/>
              <w:jc w:val="center"/>
              <w:textAlignment w:val="center"/>
              <w:rPr>
                <w:rFonts w:hint="eastAsia" w:ascii="宋体" w:hAnsi="宋体" w:eastAsia="宋体" w:cs="宋体"/>
                <w:color w:val="000000"/>
                <w:kern w:val="0"/>
                <w:sz w:val="21"/>
                <w:szCs w:val="21"/>
                <w:highlight w:val="none"/>
                <w:lang w:bidi="ar"/>
              </w:rPr>
            </w:pPr>
            <w:r>
              <w:rPr>
                <w:rFonts w:hint="eastAsia" w:ascii="宋体" w:hAnsi="宋体" w:eastAsia="宋体" w:cs="宋体"/>
                <w:i w:val="0"/>
                <w:iCs w:val="0"/>
                <w:color w:val="000000"/>
                <w:kern w:val="0"/>
                <w:sz w:val="21"/>
                <w:szCs w:val="21"/>
                <w:highlight w:val="none"/>
                <w:u w:val="none"/>
                <w:lang w:val="en-US" w:eastAsia="zh-CN" w:bidi="ar"/>
              </w:rPr>
              <w:t>基层法庭水电暖日常运转稳定率</w:t>
            </w:r>
          </w:p>
        </w:tc>
        <w:tc>
          <w:tcPr>
            <w:tcW w:w="10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1806F8">
            <w:pPr>
              <w:keepNext w:val="0"/>
              <w:keepLines w:val="0"/>
              <w:widowControl/>
              <w:suppressLineNumbers w:val="0"/>
              <w:jc w:val="center"/>
              <w:textAlignment w:val="center"/>
              <w:rPr>
                <w:rStyle w:val="38"/>
                <w:rFonts w:hint="eastAsia" w:ascii="宋体" w:hAnsi="宋体" w:eastAsia="宋体" w:cs="宋体"/>
                <w:sz w:val="21"/>
                <w:szCs w:val="21"/>
                <w:highlight w:val="none"/>
                <w:lang w:bidi="ar"/>
              </w:rPr>
            </w:pPr>
            <w:r>
              <w:rPr>
                <w:rFonts w:hint="eastAsia" w:ascii="宋体" w:hAnsi="宋体" w:eastAsia="宋体" w:cs="宋体"/>
                <w:i w:val="0"/>
                <w:iCs w:val="0"/>
                <w:color w:val="000000"/>
                <w:kern w:val="0"/>
                <w:sz w:val="21"/>
                <w:szCs w:val="21"/>
                <w:highlight w:val="none"/>
                <w:u w:val="none"/>
                <w:lang w:val="en-US" w:eastAsia="zh-CN" w:bidi="ar"/>
              </w:rPr>
              <w:t>=100%</w:t>
            </w:r>
          </w:p>
        </w:tc>
      </w:tr>
      <w:tr w14:paraId="1335FFE0">
        <w:tblPrEx>
          <w:tblCellMar>
            <w:top w:w="0" w:type="dxa"/>
            <w:left w:w="108" w:type="dxa"/>
            <w:bottom w:w="0" w:type="dxa"/>
            <w:right w:w="108" w:type="dxa"/>
          </w:tblCellMar>
        </w:tblPrEx>
        <w:trPr>
          <w:trHeight w:val="454" w:hRule="atLeast"/>
        </w:trPr>
        <w:tc>
          <w:tcPr>
            <w:tcW w:w="956"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F9988E9">
            <w:pPr>
              <w:spacing w:line="320" w:lineRule="exact"/>
              <w:jc w:val="center"/>
              <w:rPr>
                <w:rFonts w:hint="eastAsia" w:ascii="宋体" w:hAnsi="宋体" w:eastAsia="宋体" w:cs="宋体"/>
                <w:sz w:val="21"/>
                <w:szCs w:val="21"/>
                <w:highlight w:val="none"/>
              </w:rPr>
            </w:pPr>
          </w:p>
        </w:tc>
        <w:tc>
          <w:tcPr>
            <w:tcW w:w="1045" w:type="pct"/>
            <w:vMerge w:val="continue"/>
            <w:tcBorders>
              <w:top w:val="single" w:color="auto" w:sz="4" w:space="0"/>
              <w:left w:val="single" w:color="auto" w:sz="4" w:space="0"/>
              <w:bottom w:val="single" w:color="auto" w:sz="4" w:space="0"/>
              <w:right w:val="single" w:color="000000" w:sz="4" w:space="0"/>
            </w:tcBorders>
            <w:shd w:val="clear" w:color="auto" w:fill="auto"/>
            <w:vAlign w:val="center"/>
          </w:tcPr>
          <w:p w14:paraId="4443C67E">
            <w:pPr>
              <w:spacing w:line="320" w:lineRule="exact"/>
              <w:jc w:val="center"/>
              <w:rPr>
                <w:rFonts w:hint="eastAsia" w:ascii="宋体" w:hAnsi="宋体" w:eastAsia="宋体" w:cs="宋体"/>
                <w:sz w:val="21"/>
                <w:szCs w:val="21"/>
                <w:highlight w:val="none"/>
              </w:rPr>
            </w:pPr>
          </w:p>
        </w:tc>
        <w:tc>
          <w:tcPr>
            <w:tcW w:w="19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65D118">
            <w:pPr>
              <w:keepNext w:val="0"/>
              <w:keepLines w:val="0"/>
              <w:widowControl/>
              <w:suppressLineNumbers w:val="0"/>
              <w:jc w:val="center"/>
              <w:textAlignment w:val="center"/>
              <w:rPr>
                <w:rFonts w:hint="eastAsia" w:ascii="宋体" w:hAnsi="宋体" w:eastAsia="宋体" w:cs="宋体"/>
                <w:i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维修维护合格率</w:t>
            </w:r>
          </w:p>
        </w:tc>
        <w:tc>
          <w:tcPr>
            <w:tcW w:w="10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F4CB33">
            <w:pPr>
              <w:keepNext w:val="0"/>
              <w:keepLines w:val="0"/>
              <w:widowControl/>
              <w:suppressLineNumbers w:val="0"/>
              <w:jc w:val="center"/>
              <w:textAlignment w:val="center"/>
              <w:rPr>
                <w:rFonts w:hint="eastAsia" w:ascii="宋体" w:hAnsi="宋体" w:eastAsia="宋体" w:cs="宋体"/>
                <w:i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=100%</w:t>
            </w:r>
          </w:p>
        </w:tc>
      </w:tr>
      <w:tr w14:paraId="0F832F0A">
        <w:tblPrEx>
          <w:tblCellMar>
            <w:top w:w="0" w:type="dxa"/>
            <w:left w:w="108" w:type="dxa"/>
            <w:bottom w:w="0" w:type="dxa"/>
            <w:right w:w="108" w:type="dxa"/>
          </w:tblCellMar>
        </w:tblPrEx>
        <w:trPr>
          <w:trHeight w:val="454" w:hRule="atLeast"/>
        </w:trPr>
        <w:tc>
          <w:tcPr>
            <w:tcW w:w="956"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C6D1ED6">
            <w:pPr>
              <w:spacing w:line="320" w:lineRule="exact"/>
              <w:jc w:val="center"/>
              <w:rPr>
                <w:rFonts w:hint="eastAsia" w:ascii="宋体" w:hAnsi="宋体" w:eastAsia="宋体" w:cs="宋体"/>
                <w:sz w:val="21"/>
                <w:szCs w:val="21"/>
                <w:highlight w:val="none"/>
              </w:rPr>
            </w:pPr>
          </w:p>
        </w:tc>
        <w:tc>
          <w:tcPr>
            <w:tcW w:w="1045" w:type="pct"/>
            <w:vMerge w:val="restart"/>
            <w:tcBorders>
              <w:top w:val="single" w:color="auto" w:sz="4" w:space="0"/>
              <w:left w:val="single" w:color="auto" w:sz="4" w:space="0"/>
              <w:right w:val="single" w:color="000000" w:sz="4" w:space="0"/>
            </w:tcBorders>
            <w:shd w:val="clear" w:color="auto" w:fill="auto"/>
            <w:vAlign w:val="center"/>
          </w:tcPr>
          <w:p w14:paraId="31A13153">
            <w:pPr>
              <w:spacing w:line="320" w:lineRule="exac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时效目标</w:t>
            </w:r>
          </w:p>
        </w:tc>
        <w:tc>
          <w:tcPr>
            <w:tcW w:w="19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EAEE80">
            <w:pPr>
              <w:keepNext w:val="0"/>
              <w:keepLines w:val="0"/>
              <w:widowControl/>
              <w:suppressLineNumbers w:val="0"/>
              <w:jc w:val="center"/>
              <w:textAlignment w:val="center"/>
              <w:rPr>
                <w:rFonts w:hint="eastAsia" w:ascii="宋体" w:hAnsi="宋体" w:eastAsia="宋体" w:cs="宋体"/>
                <w:i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法庭运维及时性</w:t>
            </w:r>
          </w:p>
        </w:tc>
        <w:tc>
          <w:tcPr>
            <w:tcW w:w="10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79653A">
            <w:pPr>
              <w:keepNext w:val="0"/>
              <w:keepLines w:val="0"/>
              <w:widowControl/>
              <w:suppressLineNumbers w:val="0"/>
              <w:jc w:val="center"/>
              <w:textAlignment w:val="center"/>
              <w:rPr>
                <w:rFonts w:hint="eastAsia" w:ascii="宋体" w:hAnsi="宋体" w:eastAsia="宋体" w:cs="宋体"/>
                <w:i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及时</w:t>
            </w:r>
          </w:p>
        </w:tc>
      </w:tr>
      <w:tr w14:paraId="006B4251">
        <w:tblPrEx>
          <w:tblCellMar>
            <w:top w:w="0" w:type="dxa"/>
            <w:left w:w="108" w:type="dxa"/>
            <w:bottom w:w="0" w:type="dxa"/>
            <w:right w:w="108" w:type="dxa"/>
          </w:tblCellMar>
        </w:tblPrEx>
        <w:trPr>
          <w:trHeight w:val="454" w:hRule="atLeast"/>
        </w:trPr>
        <w:tc>
          <w:tcPr>
            <w:tcW w:w="956"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D1C721F">
            <w:pPr>
              <w:spacing w:line="320" w:lineRule="exact"/>
              <w:jc w:val="center"/>
              <w:rPr>
                <w:rFonts w:hint="eastAsia" w:ascii="宋体" w:hAnsi="宋体" w:eastAsia="宋体" w:cs="宋体"/>
                <w:sz w:val="21"/>
                <w:szCs w:val="21"/>
                <w:highlight w:val="none"/>
              </w:rPr>
            </w:pPr>
          </w:p>
        </w:tc>
        <w:tc>
          <w:tcPr>
            <w:tcW w:w="1045" w:type="pct"/>
            <w:vMerge w:val="continue"/>
            <w:tcBorders>
              <w:left w:val="single" w:color="auto" w:sz="4" w:space="0"/>
              <w:right w:val="single" w:color="000000" w:sz="4" w:space="0"/>
            </w:tcBorders>
            <w:shd w:val="clear" w:color="auto" w:fill="auto"/>
            <w:vAlign w:val="center"/>
          </w:tcPr>
          <w:p w14:paraId="3414987B">
            <w:pPr>
              <w:spacing w:line="320" w:lineRule="exact"/>
              <w:jc w:val="center"/>
              <w:rPr>
                <w:rFonts w:hint="eastAsia" w:ascii="宋体" w:hAnsi="宋体" w:eastAsia="宋体" w:cs="宋体"/>
                <w:sz w:val="21"/>
                <w:szCs w:val="21"/>
                <w:highlight w:val="none"/>
              </w:rPr>
            </w:pPr>
          </w:p>
        </w:tc>
        <w:tc>
          <w:tcPr>
            <w:tcW w:w="19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C3A26B">
            <w:pPr>
              <w:keepNext w:val="0"/>
              <w:keepLines w:val="0"/>
              <w:widowControl/>
              <w:suppressLineNumbers w:val="0"/>
              <w:jc w:val="center"/>
              <w:textAlignment w:val="center"/>
              <w:rPr>
                <w:rFonts w:hint="eastAsia" w:ascii="宋体" w:hAnsi="宋体" w:eastAsia="宋体" w:cs="宋体"/>
                <w:i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日常维护工作完成及时性</w:t>
            </w:r>
          </w:p>
        </w:tc>
        <w:tc>
          <w:tcPr>
            <w:tcW w:w="10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ECCA20">
            <w:pPr>
              <w:keepNext w:val="0"/>
              <w:keepLines w:val="0"/>
              <w:widowControl/>
              <w:suppressLineNumbers w:val="0"/>
              <w:jc w:val="center"/>
              <w:textAlignment w:val="center"/>
              <w:rPr>
                <w:rFonts w:hint="eastAsia" w:ascii="宋体" w:hAnsi="宋体" w:eastAsia="宋体" w:cs="宋体"/>
                <w:i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及时</w:t>
            </w:r>
          </w:p>
        </w:tc>
      </w:tr>
      <w:tr w14:paraId="2835902E">
        <w:tblPrEx>
          <w:tblCellMar>
            <w:top w:w="0" w:type="dxa"/>
            <w:left w:w="108" w:type="dxa"/>
            <w:bottom w:w="0" w:type="dxa"/>
            <w:right w:w="108" w:type="dxa"/>
          </w:tblCellMar>
        </w:tblPrEx>
        <w:trPr>
          <w:trHeight w:val="454" w:hRule="atLeast"/>
        </w:trPr>
        <w:tc>
          <w:tcPr>
            <w:tcW w:w="956"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0DAA4B3">
            <w:pPr>
              <w:spacing w:line="320" w:lineRule="exact"/>
              <w:jc w:val="center"/>
              <w:rPr>
                <w:rFonts w:hint="eastAsia" w:ascii="宋体" w:hAnsi="宋体" w:eastAsia="宋体" w:cs="宋体"/>
                <w:sz w:val="21"/>
                <w:szCs w:val="21"/>
                <w:highlight w:val="none"/>
              </w:rPr>
            </w:pPr>
          </w:p>
        </w:tc>
        <w:tc>
          <w:tcPr>
            <w:tcW w:w="1045" w:type="pct"/>
            <w:vMerge w:val="continue"/>
            <w:tcBorders>
              <w:left w:val="single" w:color="auto" w:sz="4" w:space="0"/>
              <w:bottom w:val="single" w:color="000000" w:sz="4" w:space="0"/>
              <w:right w:val="single" w:color="000000" w:sz="4" w:space="0"/>
            </w:tcBorders>
            <w:shd w:val="clear" w:color="auto" w:fill="auto"/>
            <w:vAlign w:val="center"/>
          </w:tcPr>
          <w:p w14:paraId="49723F28">
            <w:pPr>
              <w:spacing w:line="320" w:lineRule="exact"/>
              <w:jc w:val="center"/>
              <w:rPr>
                <w:rFonts w:hint="eastAsia" w:ascii="宋体" w:hAnsi="宋体" w:eastAsia="宋体" w:cs="宋体"/>
                <w:sz w:val="21"/>
                <w:szCs w:val="21"/>
                <w:highlight w:val="none"/>
              </w:rPr>
            </w:pPr>
          </w:p>
        </w:tc>
        <w:tc>
          <w:tcPr>
            <w:tcW w:w="19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8BA805">
            <w:pPr>
              <w:keepNext w:val="0"/>
              <w:keepLines w:val="0"/>
              <w:widowControl/>
              <w:suppressLineNumbers w:val="0"/>
              <w:jc w:val="center"/>
              <w:textAlignment w:val="center"/>
              <w:rPr>
                <w:rFonts w:hint="eastAsia" w:ascii="宋体" w:hAnsi="宋体" w:eastAsia="宋体" w:cs="宋体"/>
                <w:i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水电暖服务保障工作及时性</w:t>
            </w:r>
          </w:p>
        </w:tc>
        <w:tc>
          <w:tcPr>
            <w:tcW w:w="10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BD0117">
            <w:pPr>
              <w:keepNext w:val="0"/>
              <w:keepLines w:val="0"/>
              <w:widowControl/>
              <w:suppressLineNumbers w:val="0"/>
              <w:jc w:val="center"/>
              <w:textAlignment w:val="center"/>
              <w:rPr>
                <w:rFonts w:hint="eastAsia" w:ascii="宋体" w:hAnsi="宋体" w:eastAsia="宋体" w:cs="宋体"/>
                <w:i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及时</w:t>
            </w:r>
          </w:p>
        </w:tc>
      </w:tr>
      <w:tr w14:paraId="3604F8A7">
        <w:tblPrEx>
          <w:tblCellMar>
            <w:top w:w="0" w:type="dxa"/>
            <w:left w:w="108" w:type="dxa"/>
            <w:bottom w:w="0" w:type="dxa"/>
            <w:right w:w="108" w:type="dxa"/>
          </w:tblCellMar>
        </w:tblPrEx>
        <w:trPr>
          <w:trHeight w:val="454" w:hRule="atLeast"/>
        </w:trPr>
        <w:tc>
          <w:tcPr>
            <w:tcW w:w="956"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14502FE">
            <w:pPr>
              <w:spacing w:line="320" w:lineRule="exac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效果</w:t>
            </w:r>
            <w:r>
              <w:rPr>
                <w:rFonts w:hint="eastAsia" w:ascii="宋体" w:hAnsi="宋体" w:eastAsia="宋体" w:cs="宋体"/>
                <w:sz w:val="21"/>
                <w:szCs w:val="21"/>
                <w:highlight w:val="none"/>
                <w:lang w:val="en-US" w:eastAsia="zh-CN"/>
              </w:rPr>
              <w:t>指标</w:t>
            </w:r>
          </w:p>
        </w:tc>
        <w:tc>
          <w:tcPr>
            <w:tcW w:w="1045" w:type="pct"/>
            <w:tcBorders>
              <w:top w:val="single" w:color="000000" w:sz="4" w:space="0"/>
              <w:left w:val="single" w:color="auto" w:sz="4" w:space="0"/>
              <w:bottom w:val="single" w:color="000000" w:sz="4" w:space="0"/>
              <w:right w:val="single" w:color="000000" w:sz="4" w:space="0"/>
            </w:tcBorders>
            <w:shd w:val="clear" w:color="auto" w:fill="auto"/>
            <w:vAlign w:val="center"/>
          </w:tcPr>
          <w:p w14:paraId="519A0B00">
            <w:pPr>
              <w:spacing w:line="320" w:lineRule="exac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社会效益</w:t>
            </w:r>
          </w:p>
        </w:tc>
        <w:tc>
          <w:tcPr>
            <w:tcW w:w="19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B14111">
            <w:pPr>
              <w:spacing w:line="320" w:lineRule="exact"/>
              <w:ind w:firstLine="420" w:firstLineChars="200"/>
              <w:jc w:val="left"/>
              <w:rPr>
                <w:rFonts w:hint="eastAsia" w:ascii="宋体" w:hAnsi="宋体" w:eastAsia="宋体" w:cs="宋体"/>
                <w:i w:val="0"/>
                <w:color w:val="000000"/>
                <w:kern w:val="0"/>
                <w:sz w:val="21"/>
                <w:szCs w:val="21"/>
                <w:highlight w:val="none"/>
                <w:u w:val="none"/>
                <w:lang w:val="en-US" w:eastAsia="zh-CN" w:bidi="ar"/>
              </w:rPr>
            </w:pPr>
            <w:r>
              <w:rPr>
                <w:rFonts w:hint="eastAsia" w:ascii="宋体" w:hAnsi="宋体" w:eastAsia="宋体" w:cs="宋体"/>
                <w:sz w:val="21"/>
                <w:szCs w:val="21"/>
                <w:highlight w:val="none"/>
                <w:lang w:val="en-US" w:eastAsia="zh-CN"/>
              </w:rPr>
              <w:t>有效保障审判服务</w:t>
            </w:r>
          </w:p>
        </w:tc>
        <w:tc>
          <w:tcPr>
            <w:tcW w:w="10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40402F">
            <w:pPr>
              <w:spacing w:line="320" w:lineRule="exact"/>
              <w:jc w:val="center"/>
              <w:rPr>
                <w:rFonts w:hint="eastAsia" w:ascii="宋体" w:hAnsi="宋体" w:eastAsia="宋体" w:cs="宋体"/>
                <w:i w:val="0"/>
                <w:color w:val="000000"/>
                <w:kern w:val="0"/>
                <w:sz w:val="21"/>
                <w:szCs w:val="21"/>
                <w:highlight w:val="none"/>
                <w:u w:val="none"/>
                <w:lang w:val="en-US" w:eastAsia="zh-CN" w:bidi="ar"/>
              </w:rPr>
            </w:pPr>
            <w:r>
              <w:rPr>
                <w:rFonts w:hint="eastAsia" w:ascii="宋体" w:hAnsi="宋体" w:eastAsia="宋体" w:cs="宋体"/>
                <w:sz w:val="21"/>
                <w:szCs w:val="21"/>
                <w:highlight w:val="none"/>
                <w:lang w:val="en-US" w:eastAsia="zh-CN"/>
              </w:rPr>
              <w:t>有效保障</w:t>
            </w:r>
          </w:p>
        </w:tc>
      </w:tr>
      <w:tr w14:paraId="28AC7B2E">
        <w:tblPrEx>
          <w:tblCellMar>
            <w:top w:w="0" w:type="dxa"/>
            <w:left w:w="108" w:type="dxa"/>
            <w:bottom w:w="0" w:type="dxa"/>
            <w:right w:w="108" w:type="dxa"/>
          </w:tblCellMar>
        </w:tblPrEx>
        <w:trPr>
          <w:trHeight w:val="454" w:hRule="atLeast"/>
        </w:trPr>
        <w:tc>
          <w:tcPr>
            <w:tcW w:w="956"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38CA64A">
            <w:pPr>
              <w:spacing w:line="320" w:lineRule="exact"/>
              <w:jc w:val="center"/>
              <w:rPr>
                <w:rFonts w:hint="eastAsia" w:ascii="宋体" w:hAnsi="宋体" w:eastAsia="宋体" w:cs="宋体"/>
                <w:sz w:val="21"/>
                <w:szCs w:val="21"/>
                <w:highlight w:val="none"/>
              </w:rPr>
            </w:pPr>
          </w:p>
        </w:tc>
        <w:tc>
          <w:tcPr>
            <w:tcW w:w="1045" w:type="pct"/>
            <w:vMerge w:val="restart"/>
            <w:tcBorders>
              <w:top w:val="single" w:color="000000" w:sz="4" w:space="0"/>
              <w:left w:val="single" w:color="auto" w:sz="4" w:space="0"/>
              <w:bottom w:val="single" w:color="000000" w:sz="4" w:space="0"/>
              <w:right w:val="single" w:color="000000" w:sz="4" w:space="0"/>
            </w:tcBorders>
            <w:shd w:val="clear" w:color="auto" w:fill="auto"/>
            <w:vAlign w:val="center"/>
          </w:tcPr>
          <w:p w14:paraId="4A5A446A">
            <w:pPr>
              <w:spacing w:line="320" w:lineRule="exac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满意度</w:t>
            </w:r>
          </w:p>
        </w:tc>
        <w:tc>
          <w:tcPr>
            <w:tcW w:w="19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900983">
            <w:pPr>
              <w:keepNext w:val="0"/>
              <w:keepLines w:val="0"/>
              <w:widowControl/>
              <w:suppressLineNumbers w:val="0"/>
              <w:jc w:val="center"/>
              <w:textAlignment w:val="center"/>
              <w:rPr>
                <w:rFonts w:hint="eastAsia" w:ascii="宋体" w:hAnsi="宋体" w:eastAsia="宋体" w:cs="宋体"/>
                <w:i w:val="0"/>
                <w:color w:val="000000"/>
                <w:kern w:val="0"/>
                <w:sz w:val="21"/>
                <w:szCs w:val="21"/>
                <w:highlight w:val="none"/>
                <w:u w:val="none"/>
                <w:lang w:val="en-US" w:eastAsia="zh-CN" w:bidi="ar"/>
              </w:rPr>
            </w:pPr>
            <w:r>
              <w:rPr>
                <w:rFonts w:hint="eastAsia" w:ascii="宋体" w:hAnsi="宋体" w:eastAsia="宋体" w:cs="宋体"/>
                <w:i w:val="0"/>
                <w:iCs w:val="0"/>
                <w:color w:val="333333"/>
                <w:kern w:val="0"/>
                <w:sz w:val="22"/>
                <w:szCs w:val="22"/>
                <w:highlight w:val="none"/>
                <w:u w:val="none"/>
                <w:lang w:val="en-US" w:eastAsia="zh-CN" w:bidi="ar"/>
              </w:rPr>
              <w:t>服务群众对审判工作满意度</w:t>
            </w:r>
          </w:p>
        </w:tc>
        <w:tc>
          <w:tcPr>
            <w:tcW w:w="10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DF6DFC">
            <w:pPr>
              <w:keepNext w:val="0"/>
              <w:keepLines w:val="0"/>
              <w:widowControl/>
              <w:suppressLineNumbers w:val="0"/>
              <w:jc w:val="center"/>
              <w:textAlignment w:val="center"/>
              <w:rPr>
                <w:rFonts w:hint="eastAsia" w:ascii="宋体" w:hAnsi="宋体" w:eastAsia="宋体" w:cs="宋体"/>
                <w:i w:val="0"/>
                <w:color w:val="000000"/>
                <w:kern w:val="0"/>
                <w:sz w:val="21"/>
                <w:szCs w:val="21"/>
                <w:highlight w:val="none"/>
                <w:u w:val="none"/>
                <w:lang w:val="en-US" w:eastAsia="zh-CN" w:bidi="ar"/>
              </w:rPr>
            </w:pPr>
            <w:r>
              <w:rPr>
                <w:rFonts w:hint="eastAsia" w:ascii="宋体" w:hAnsi="宋体" w:eastAsia="宋体" w:cs="宋体"/>
                <w:i w:val="0"/>
                <w:color w:val="000000"/>
                <w:kern w:val="0"/>
                <w:sz w:val="21"/>
                <w:szCs w:val="21"/>
                <w:highlight w:val="none"/>
                <w:u w:val="none"/>
                <w:lang w:val="en-US" w:eastAsia="zh-CN" w:bidi="ar"/>
              </w:rPr>
              <w:t>≥</w:t>
            </w:r>
            <w:r>
              <w:rPr>
                <w:rFonts w:hint="eastAsia" w:ascii="宋体" w:hAnsi="宋体" w:eastAsia="宋体" w:cs="宋体"/>
                <w:i w:val="0"/>
                <w:iCs w:val="0"/>
                <w:color w:val="000000"/>
                <w:kern w:val="0"/>
                <w:sz w:val="22"/>
                <w:szCs w:val="22"/>
                <w:highlight w:val="none"/>
                <w:u w:val="none"/>
                <w:lang w:val="en-US" w:eastAsia="zh-CN" w:bidi="ar"/>
              </w:rPr>
              <w:t>95%</w:t>
            </w:r>
          </w:p>
        </w:tc>
      </w:tr>
      <w:tr w14:paraId="2BB31572">
        <w:tblPrEx>
          <w:tblCellMar>
            <w:top w:w="0" w:type="dxa"/>
            <w:left w:w="108" w:type="dxa"/>
            <w:bottom w:w="0" w:type="dxa"/>
            <w:right w:w="108" w:type="dxa"/>
          </w:tblCellMar>
        </w:tblPrEx>
        <w:trPr>
          <w:trHeight w:val="454" w:hRule="atLeast"/>
        </w:trPr>
        <w:tc>
          <w:tcPr>
            <w:tcW w:w="956"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6FE43E3">
            <w:pPr>
              <w:tabs>
                <w:tab w:val="left" w:pos="104"/>
              </w:tabs>
              <w:spacing w:line="320" w:lineRule="exact"/>
              <w:jc w:val="center"/>
              <w:rPr>
                <w:rFonts w:hint="eastAsia" w:ascii="宋体" w:hAnsi="宋体" w:eastAsia="宋体" w:cs="宋体"/>
                <w:sz w:val="21"/>
                <w:szCs w:val="21"/>
                <w:highlight w:val="none"/>
              </w:rPr>
            </w:pPr>
          </w:p>
        </w:tc>
        <w:tc>
          <w:tcPr>
            <w:tcW w:w="1045" w:type="pct"/>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11043280">
            <w:pPr>
              <w:tabs>
                <w:tab w:val="left" w:pos="104"/>
              </w:tabs>
              <w:spacing w:line="320" w:lineRule="exact"/>
              <w:jc w:val="center"/>
              <w:rPr>
                <w:rFonts w:hint="eastAsia" w:ascii="宋体" w:hAnsi="宋体" w:eastAsia="宋体" w:cs="宋体"/>
                <w:sz w:val="21"/>
                <w:szCs w:val="21"/>
                <w:highlight w:val="none"/>
              </w:rPr>
            </w:pPr>
          </w:p>
        </w:tc>
        <w:tc>
          <w:tcPr>
            <w:tcW w:w="19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5FBAFA">
            <w:pPr>
              <w:keepNext w:val="0"/>
              <w:keepLines w:val="0"/>
              <w:widowControl/>
              <w:suppressLineNumbers w:val="0"/>
              <w:jc w:val="center"/>
              <w:textAlignment w:val="center"/>
              <w:rPr>
                <w:rFonts w:hint="eastAsia" w:ascii="宋体" w:hAnsi="宋体" w:eastAsia="宋体" w:cs="宋体"/>
                <w:i w:val="0"/>
                <w:color w:val="000000"/>
                <w:kern w:val="0"/>
                <w:sz w:val="21"/>
                <w:szCs w:val="21"/>
                <w:highlight w:val="none"/>
                <w:u w:val="none"/>
                <w:lang w:val="en-US" w:eastAsia="zh-CN" w:bidi="ar"/>
              </w:rPr>
            </w:pPr>
            <w:r>
              <w:rPr>
                <w:rFonts w:hint="eastAsia" w:ascii="宋体" w:hAnsi="宋体" w:eastAsia="宋体" w:cs="宋体"/>
                <w:i w:val="0"/>
                <w:iCs w:val="0"/>
                <w:color w:val="333333"/>
                <w:kern w:val="0"/>
                <w:sz w:val="22"/>
                <w:szCs w:val="22"/>
                <w:highlight w:val="none"/>
                <w:u w:val="none"/>
                <w:lang w:val="en-US" w:eastAsia="zh-CN" w:bidi="ar"/>
              </w:rPr>
              <w:t>派出法庭工作人员满意度</w:t>
            </w:r>
          </w:p>
        </w:tc>
        <w:tc>
          <w:tcPr>
            <w:tcW w:w="10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8E90C9">
            <w:pPr>
              <w:keepNext w:val="0"/>
              <w:keepLines w:val="0"/>
              <w:widowControl/>
              <w:suppressLineNumbers w:val="0"/>
              <w:jc w:val="center"/>
              <w:textAlignment w:val="center"/>
              <w:rPr>
                <w:rFonts w:hint="eastAsia" w:ascii="宋体" w:hAnsi="宋体" w:eastAsia="宋体" w:cs="宋体"/>
                <w:i w:val="0"/>
                <w:color w:val="000000"/>
                <w:kern w:val="0"/>
                <w:sz w:val="21"/>
                <w:szCs w:val="21"/>
                <w:highlight w:val="none"/>
                <w:u w:val="none"/>
                <w:lang w:val="en-US" w:eastAsia="zh-CN" w:bidi="ar"/>
              </w:rPr>
            </w:pPr>
            <w:r>
              <w:rPr>
                <w:rFonts w:hint="eastAsia" w:ascii="宋体" w:hAnsi="宋体" w:eastAsia="宋体" w:cs="宋体"/>
                <w:i w:val="0"/>
                <w:color w:val="000000"/>
                <w:kern w:val="0"/>
                <w:sz w:val="21"/>
                <w:szCs w:val="21"/>
                <w:highlight w:val="none"/>
                <w:u w:val="none"/>
                <w:lang w:val="en-US" w:eastAsia="zh-CN" w:bidi="ar"/>
              </w:rPr>
              <w:t>≥</w:t>
            </w:r>
            <w:r>
              <w:rPr>
                <w:rFonts w:hint="eastAsia" w:ascii="宋体" w:hAnsi="宋体" w:eastAsia="宋体" w:cs="宋体"/>
                <w:i w:val="0"/>
                <w:iCs w:val="0"/>
                <w:color w:val="000000"/>
                <w:kern w:val="0"/>
                <w:sz w:val="22"/>
                <w:szCs w:val="22"/>
                <w:highlight w:val="none"/>
                <w:u w:val="none"/>
                <w:lang w:val="en-US" w:eastAsia="zh-CN" w:bidi="ar"/>
              </w:rPr>
              <w:t>93%</w:t>
            </w:r>
          </w:p>
        </w:tc>
      </w:tr>
    </w:tbl>
    <w:p w14:paraId="589AE451">
      <w:pPr>
        <w:pStyle w:val="10"/>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outlineLvl w:val="0"/>
        <w:rPr>
          <w:rFonts w:ascii="黑体" w:eastAsia="黑体"/>
          <w:highlight w:val="none"/>
        </w:rPr>
      </w:pPr>
      <w:bookmarkStart w:id="66" w:name="_Toc16726"/>
      <w:r>
        <w:rPr>
          <w:rFonts w:hint="eastAsia" w:ascii="黑体" w:eastAsia="黑体"/>
          <w:highlight w:val="none"/>
        </w:rPr>
        <w:t>三、评价基本情况</w:t>
      </w:r>
      <w:bookmarkEnd w:id="64"/>
      <w:bookmarkEnd w:id="65"/>
      <w:bookmarkEnd w:id="66"/>
    </w:p>
    <w:p w14:paraId="52701DEE">
      <w:pPr>
        <w:pStyle w:val="10"/>
        <w:keepNext w:val="0"/>
        <w:keepLines w:val="0"/>
        <w:pageBreakBefore w:val="0"/>
        <w:widowControl w:val="0"/>
        <w:kinsoku/>
        <w:wordWrap/>
        <w:overflowPunct w:val="0"/>
        <w:topLinePunct w:val="0"/>
        <w:autoSpaceDE/>
        <w:autoSpaceDN/>
        <w:bidi w:val="0"/>
        <w:adjustRightInd/>
        <w:snapToGrid/>
        <w:spacing w:line="560" w:lineRule="exact"/>
        <w:ind w:firstLine="643" w:firstLineChars="200"/>
        <w:textAlignment w:val="auto"/>
        <w:outlineLvl w:val="1"/>
        <w:rPr>
          <w:rFonts w:ascii="楷体" w:hAnsi="楷体" w:eastAsia="楷体" w:cs="楷体"/>
          <w:b/>
          <w:bCs/>
          <w:highlight w:val="none"/>
        </w:rPr>
      </w:pPr>
      <w:bookmarkStart w:id="67" w:name="_Toc5301"/>
      <w:bookmarkStart w:id="68" w:name="_Toc25351"/>
      <w:r>
        <w:rPr>
          <w:rFonts w:hint="eastAsia" w:ascii="楷体" w:hAnsi="楷体" w:eastAsia="楷体" w:cs="楷体"/>
          <w:b/>
          <w:bCs/>
          <w:highlight w:val="none"/>
        </w:rPr>
        <w:t>（一）评价目的</w:t>
      </w:r>
      <w:bookmarkEnd w:id="67"/>
      <w:bookmarkEnd w:id="68"/>
    </w:p>
    <w:p w14:paraId="6E63A150">
      <w:pPr>
        <w:pStyle w:val="10"/>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rPr>
          <w:rFonts w:ascii="仿宋_GB2312" w:hAnsi="仿宋_GB2312" w:cs="仿宋_GB2312"/>
          <w:highlight w:val="none"/>
        </w:rPr>
      </w:pPr>
      <w:r>
        <w:rPr>
          <w:rFonts w:hint="eastAsia" w:ascii="仿宋_GB2312" w:hAnsi="仿宋_GB2312" w:cs="仿宋_GB2312"/>
          <w:highlight w:val="none"/>
        </w:rPr>
        <w:t>本次绩效评价工作通过运用规范的绩效评价指标体系和科学的绩效评价方法，引入第三方开展绩效评价，客观公正地核查</w:t>
      </w:r>
      <w:r>
        <w:rPr>
          <w:rFonts w:hint="eastAsia" w:ascii="仿宋_GB2312" w:hAnsi="仿宋_GB2312" w:cs="仿宋_GB2312"/>
          <w:highlight w:val="none"/>
          <w:lang w:val="en-US" w:eastAsia="zh-CN"/>
        </w:rPr>
        <w:t>甘肃省高级人民法院</w:t>
      </w:r>
      <w:r>
        <w:rPr>
          <w:rFonts w:hint="eastAsia" w:ascii="仿宋_GB2312" w:hAnsi="仿宋_GB2312" w:cs="仿宋_GB2312"/>
          <w:highlight w:val="none"/>
        </w:rPr>
        <w:t>2023年重点绩效评价项目目标的完成情况。第三方通过对项目资料的审阅、现场核查、问卷调查等方式，了解该项目从决策到实施全过程，查验项目资金支出及项目实施的合规性，考评资金分配的合理性、资金支出效率、效益和综合效果，及时总结项目管理经验，分析存在的问题及原因，提出切实可行的改进措施，规范项目和资金管理行为，从而进一步规范财政资金支出管理，加强财政资金全方位监督，杜绝违纪违规行为发生。评价结果将作为下一年资金分配的重要参考依据，同时协助</w:t>
      </w:r>
      <w:r>
        <w:rPr>
          <w:rFonts w:hint="eastAsia" w:ascii="仿宋_GB2312" w:hAnsi="仿宋_GB2312" w:cs="仿宋_GB2312"/>
          <w:highlight w:val="none"/>
          <w:lang w:val="en-US" w:eastAsia="zh-CN"/>
        </w:rPr>
        <w:t>甘肃省高级人民法院</w:t>
      </w:r>
      <w:r>
        <w:rPr>
          <w:rFonts w:hint="eastAsia" w:ascii="仿宋_GB2312" w:hAnsi="仿宋_GB2312" w:cs="仿宋_GB2312"/>
          <w:highlight w:val="none"/>
        </w:rPr>
        <w:t>重新梳理项目绩效目标，切实提高财政资金使用效益。</w:t>
      </w:r>
    </w:p>
    <w:p w14:paraId="598771CB">
      <w:pPr>
        <w:pStyle w:val="10"/>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rPr>
          <w:rFonts w:ascii="仿宋_GB2312" w:hAnsi="仿宋_GB2312" w:cs="仿宋_GB2312"/>
          <w:highlight w:val="none"/>
        </w:rPr>
      </w:pPr>
      <w:r>
        <w:rPr>
          <w:rFonts w:hint="eastAsia" w:ascii="仿宋_GB2312" w:hAnsi="仿宋_GB2312" w:cs="仿宋_GB2312"/>
          <w:highlight w:val="none"/>
        </w:rPr>
        <w:t>本次绩效评价的侧重点和切入点：</w:t>
      </w:r>
    </w:p>
    <w:p w14:paraId="2F25D47B">
      <w:pPr>
        <w:pStyle w:val="10"/>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rPr>
          <w:rFonts w:ascii="仿宋_GB2312" w:hAnsi="仿宋_GB2312" w:cs="仿宋_GB2312"/>
          <w:highlight w:val="none"/>
        </w:rPr>
      </w:pPr>
      <w:r>
        <w:rPr>
          <w:rFonts w:hint="eastAsia" w:ascii="仿宋_GB2312" w:hAnsi="仿宋_GB2312" w:cs="仿宋_GB2312"/>
          <w:highlight w:val="none"/>
        </w:rPr>
        <w:t>1.重点关注项目资金使用管理以及保障项目预期绩效目标实现的相关措施；</w:t>
      </w:r>
    </w:p>
    <w:p w14:paraId="621177A7">
      <w:pPr>
        <w:pStyle w:val="10"/>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rPr>
          <w:rFonts w:hint="eastAsia" w:ascii="楷体" w:hAnsi="楷体" w:eastAsia="楷体" w:cs="楷体"/>
          <w:b/>
          <w:bCs/>
          <w:highlight w:val="none"/>
        </w:rPr>
      </w:pPr>
      <w:r>
        <w:rPr>
          <w:rFonts w:hint="eastAsia" w:ascii="仿宋_GB2312" w:hAnsi="仿宋_GB2312" w:cs="仿宋_GB2312"/>
          <w:highlight w:val="none"/>
        </w:rPr>
        <w:t>2.重点关注采购流程规范性、资金使用合规性、项目合同管理的有效性以及通过项目的实施为</w:t>
      </w:r>
      <w:r>
        <w:rPr>
          <w:rFonts w:hint="eastAsia" w:ascii="仿宋_GB2312" w:hAnsi="仿宋_GB2312" w:cs="仿宋_GB2312"/>
          <w:highlight w:val="none"/>
          <w:lang w:val="en-US" w:eastAsia="zh-CN"/>
        </w:rPr>
        <w:t>甘肃省高级人民法院</w:t>
      </w:r>
      <w:r>
        <w:rPr>
          <w:rFonts w:hint="eastAsia" w:ascii="仿宋_GB2312" w:hAnsi="仿宋_GB2312" w:cs="仿宋_GB2312"/>
          <w:highlight w:val="none"/>
        </w:rPr>
        <w:t>带来的产出与效益。</w:t>
      </w:r>
      <w:bookmarkStart w:id="69" w:name="_Toc11027"/>
      <w:bookmarkStart w:id="70" w:name="_Toc2071"/>
    </w:p>
    <w:p w14:paraId="480560A9">
      <w:pPr>
        <w:pStyle w:val="10"/>
        <w:keepNext w:val="0"/>
        <w:keepLines w:val="0"/>
        <w:pageBreakBefore w:val="0"/>
        <w:kinsoku/>
        <w:wordWrap/>
        <w:overflowPunct w:val="0"/>
        <w:topLinePunct w:val="0"/>
        <w:autoSpaceDE/>
        <w:autoSpaceDN/>
        <w:bidi w:val="0"/>
        <w:adjustRightInd/>
        <w:snapToGrid/>
        <w:spacing w:line="560" w:lineRule="exact"/>
        <w:ind w:firstLine="643" w:firstLineChars="200"/>
        <w:textAlignment w:val="auto"/>
        <w:outlineLvl w:val="1"/>
        <w:rPr>
          <w:rFonts w:ascii="楷体" w:hAnsi="楷体" w:eastAsia="楷体" w:cs="楷体"/>
          <w:b/>
          <w:bCs/>
          <w:highlight w:val="none"/>
        </w:rPr>
      </w:pPr>
      <w:r>
        <w:rPr>
          <w:rFonts w:hint="eastAsia" w:ascii="楷体" w:hAnsi="楷体" w:eastAsia="楷体" w:cs="楷体"/>
          <w:b/>
          <w:bCs/>
          <w:highlight w:val="none"/>
        </w:rPr>
        <w:t>（二）评价对象与范围</w:t>
      </w:r>
      <w:bookmarkEnd w:id="69"/>
      <w:bookmarkEnd w:id="70"/>
    </w:p>
    <w:p w14:paraId="388719CA">
      <w:pPr>
        <w:pStyle w:val="10"/>
        <w:keepNext w:val="0"/>
        <w:keepLines w:val="0"/>
        <w:pageBreakBefore w:val="0"/>
        <w:kinsoku/>
        <w:wordWrap/>
        <w:overflowPunct w:val="0"/>
        <w:topLinePunct w:val="0"/>
        <w:autoSpaceDE/>
        <w:autoSpaceDN/>
        <w:bidi w:val="0"/>
        <w:adjustRightInd/>
        <w:snapToGrid/>
        <w:spacing w:line="560" w:lineRule="exact"/>
        <w:ind w:firstLine="640" w:firstLineChars="200"/>
        <w:textAlignment w:val="auto"/>
        <w:rPr>
          <w:rFonts w:ascii="仿宋_GB2312" w:hAnsi="仿宋_GB2312" w:cs="仿宋_GB2312"/>
          <w:highlight w:val="none"/>
        </w:rPr>
      </w:pPr>
      <w:r>
        <w:rPr>
          <w:rFonts w:hint="eastAsia" w:ascii="仿宋_GB2312" w:hAnsi="仿宋_GB2312" w:cs="仿宋_GB2312"/>
          <w:highlight w:val="none"/>
        </w:rPr>
        <w:t>本次评价对象为</w:t>
      </w:r>
      <w:r>
        <w:rPr>
          <w:rFonts w:hint="eastAsia" w:ascii="仿宋_GB2312" w:hAnsi="仿宋_GB2312" w:cs="仿宋_GB2312"/>
          <w:highlight w:val="none"/>
          <w:lang w:val="en-US" w:eastAsia="zh-CN"/>
        </w:rPr>
        <w:t>甘肃省高级人民法院</w:t>
      </w:r>
      <w:r>
        <w:rPr>
          <w:rFonts w:hint="eastAsia" w:ascii="仿宋_GB2312" w:hAnsi="仿宋_GB2312" w:cs="仿宋_GB2312"/>
          <w:highlight w:val="none"/>
        </w:rPr>
        <w:t>2023年绩效评价重点项目</w:t>
      </w:r>
      <w:r>
        <w:rPr>
          <w:rFonts w:hint="eastAsia" w:ascii="仿宋_GB2312" w:hAnsi="仿宋_GB2312" w:cs="仿宋_GB2312"/>
          <w:highlight w:val="none"/>
          <w:lang w:eastAsia="zh-CN"/>
        </w:rPr>
        <w:t>－法庭运维费</w:t>
      </w:r>
      <w:r>
        <w:rPr>
          <w:rFonts w:hint="eastAsia" w:ascii="仿宋_GB2312" w:hAnsi="仿宋_GB2312" w:cs="仿宋_GB2312"/>
          <w:highlight w:val="none"/>
        </w:rPr>
        <w:t>。</w:t>
      </w:r>
    </w:p>
    <w:p w14:paraId="053C3147">
      <w:pPr>
        <w:pStyle w:val="10"/>
        <w:keepNext w:val="0"/>
        <w:keepLines w:val="0"/>
        <w:pageBreakBefore w:val="0"/>
        <w:kinsoku/>
        <w:wordWrap/>
        <w:overflowPunct w:val="0"/>
        <w:topLinePunct w:val="0"/>
        <w:autoSpaceDE/>
        <w:autoSpaceDN/>
        <w:bidi w:val="0"/>
        <w:adjustRightInd/>
        <w:snapToGrid/>
        <w:spacing w:line="560" w:lineRule="exact"/>
        <w:ind w:firstLine="640" w:firstLineChars="200"/>
        <w:textAlignment w:val="auto"/>
        <w:rPr>
          <w:rFonts w:ascii="仿宋_GB2312" w:hAnsi="仿宋_GB2312" w:cs="仿宋_GB2312"/>
          <w:highlight w:val="none"/>
        </w:rPr>
      </w:pPr>
      <w:r>
        <w:rPr>
          <w:rFonts w:hint="eastAsia" w:ascii="仿宋_GB2312" w:hAnsi="仿宋_GB2312" w:cs="仿宋_GB2312"/>
          <w:highlight w:val="none"/>
        </w:rPr>
        <w:t>评价范围为</w:t>
      </w:r>
      <w:r>
        <w:rPr>
          <w:rFonts w:hint="eastAsia" w:ascii="仿宋_GB2312" w:hAnsi="仿宋_GB2312" w:cs="仿宋_GB2312"/>
          <w:highlight w:val="none"/>
          <w:lang w:eastAsia="zh-CN"/>
        </w:rPr>
        <w:t>法庭运维费</w:t>
      </w:r>
      <w:r>
        <w:rPr>
          <w:rFonts w:hint="eastAsia" w:ascii="仿宋_GB2312" w:hAnsi="仿宋_GB2312" w:cs="仿宋_GB2312"/>
          <w:highlight w:val="none"/>
        </w:rPr>
        <w:t>项目预算资金3,634.34万元的资金使用和项目实施效益情况，评价基准日为2023年12月31日。</w:t>
      </w:r>
    </w:p>
    <w:p w14:paraId="0AC8CD74">
      <w:pPr>
        <w:pStyle w:val="10"/>
        <w:keepNext w:val="0"/>
        <w:keepLines w:val="0"/>
        <w:pageBreakBefore w:val="0"/>
        <w:kinsoku/>
        <w:wordWrap/>
        <w:overflowPunct w:val="0"/>
        <w:topLinePunct w:val="0"/>
        <w:autoSpaceDE/>
        <w:autoSpaceDN/>
        <w:bidi w:val="0"/>
        <w:adjustRightInd/>
        <w:snapToGrid/>
        <w:spacing w:line="560" w:lineRule="exact"/>
        <w:ind w:firstLine="643" w:firstLineChars="200"/>
        <w:textAlignment w:val="auto"/>
        <w:outlineLvl w:val="1"/>
        <w:rPr>
          <w:rFonts w:ascii="楷体" w:hAnsi="楷体" w:eastAsia="楷体" w:cs="楷体"/>
          <w:b/>
          <w:bCs/>
          <w:highlight w:val="none"/>
        </w:rPr>
      </w:pPr>
      <w:bookmarkStart w:id="71" w:name="_Toc3267"/>
      <w:bookmarkStart w:id="72" w:name="_Toc17041"/>
      <w:r>
        <w:rPr>
          <w:rFonts w:hint="eastAsia" w:ascii="楷体" w:hAnsi="楷体" w:eastAsia="楷体" w:cs="楷体"/>
          <w:b/>
          <w:bCs/>
          <w:highlight w:val="none"/>
        </w:rPr>
        <w:t>（三）评价依据</w:t>
      </w:r>
      <w:bookmarkEnd w:id="71"/>
      <w:bookmarkEnd w:id="72"/>
    </w:p>
    <w:p w14:paraId="7F8C8B97">
      <w:pPr>
        <w:pStyle w:val="10"/>
        <w:keepNext w:val="0"/>
        <w:keepLines w:val="0"/>
        <w:pageBreakBefore w:val="0"/>
        <w:kinsoku/>
        <w:wordWrap/>
        <w:overflowPunct w:val="0"/>
        <w:topLinePunct w:val="0"/>
        <w:autoSpaceDE/>
        <w:autoSpaceDN/>
        <w:bidi w:val="0"/>
        <w:adjustRightInd/>
        <w:snapToGrid/>
        <w:spacing w:line="560" w:lineRule="exact"/>
        <w:ind w:firstLine="640" w:firstLineChars="200"/>
        <w:textAlignment w:val="auto"/>
        <w:rPr>
          <w:rFonts w:ascii="仿宋_GB2312" w:hAnsi="仿宋_GB2312" w:cs="仿宋_GB2312"/>
          <w:highlight w:val="none"/>
        </w:rPr>
      </w:pPr>
      <w:bookmarkStart w:id="73" w:name="_Toc17840"/>
      <w:r>
        <w:rPr>
          <w:rFonts w:hint="eastAsia" w:ascii="仿宋_GB2312" w:hAnsi="仿宋_GB2312" w:cs="仿宋_GB2312"/>
          <w:highlight w:val="none"/>
        </w:rPr>
        <w:t>1.《中华人民共和国预算法》；</w:t>
      </w:r>
    </w:p>
    <w:p w14:paraId="631FEC54">
      <w:pPr>
        <w:pStyle w:val="10"/>
        <w:keepNext w:val="0"/>
        <w:keepLines w:val="0"/>
        <w:pageBreakBefore w:val="0"/>
        <w:kinsoku/>
        <w:wordWrap/>
        <w:overflowPunct w:val="0"/>
        <w:topLinePunct w:val="0"/>
        <w:autoSpaceDE/>
        <w:autoSpaceDN/>
        <w:bidi w:val="0"/>
        <w:adjustRightInd/>
        <w:snapToGrid/>
        <w:spacing w:line="560" w:lineRule="exact"/>
        <w:ind w:firstLine="640" w:firstLineChars="200"/>
        <w:textAlignment w:val="auto"/>
        <w:rPr>
          <w:rFonts w:ascii="仿宋_GB2312" w:hAnsi="仿宋_GB2312" w:cs="仿宋_GB2312"/>
          <w:highlight w:val="none"/>
        </w:rPr>
      </w:pPr>
      <w:r>
        <w:rPr>
          <w:rFonts w:hint="eastAsia" w:ascii="仿宋_GB2312" w:hAnsi="仿宋_GB2312" w:cs="仿宋_GB2312"/>
          <w:highlight w:val="none"/>
        </w:rPr>
        <w:t>2.《中华人民共和国预算法实施条例》；</w:t>
      </w:r>
    </w:p>
    <w:p w14:paraId="5CEAA106">
      <w:pPr>
        <w:pStyle w:val="10"/>
        <w:keepNext w:val="0"/>
        <w:keepLines w:val="0"/>
        <w:pageBreakBefore w:val="0"/>
        <w:kinsoku/>
        <w:wordWrap/>
        <w:overflowPunct w:val="0"/>
        <w:topLinePunct w:val="0"/>
        <w:autoSpaceDE/>
        <w:autoSpaceDN/>
        <w:bidi w:val="0"/>
        <w:adjustRightInd/>
        <w:snapToGrid/>
        <w:spacing w:line="560" w:lineRule="exact"/>
        <w:ind w:firstLine="640" w:firstLineChars="200"/>
        <w:textAlignment w:val="auto"/>
        <w:rPr>
          <w:rFonts w:ascii="仿宋_GB2312" w:hAnsi="仿宋_GB2312" w:cs="仿宋_GB2312"/>
          <w:highlight w:val="none"/>
        </w:rPr>
      </w:pPr>
      <w:r>
        <w:rPr>
          <w:rFonts w:hint="eastAsia" w:ascii="仿宋_GB2312" w:hAnsi="仿宋_GB2312" w:cs="仿宋_GB2312"/>
          <w:highlight w:val="none"/>
        </w:rPr>
        <w:t>3.《中共中央 国务院关于全面实施预算绩效管理的意见》（中发〔2018〕34号）；</w:t>
      </w:r>
    </w:p>
    <w:p w14:paraId="1FBDF9B3">
      <w:pPr>
        <w:pStyle w:val="10"/>
        <w:keepNext w:val="0"/>
        <w:keepLines w:val="0"/>
        <w:pageBreakBefore w:val="0"/>
        <w:kinsoku/>
        <w:wordWrap/>
        <w:overflowPunct w:val="0"/>
        <w:topLinePunct w:val="0"/>
        <w:autoSpaceDE/>
        <w:autoSpaceDN/>
        <w:bidi w:val="0"/>
        <w:adjustRightInd/>
        <w:snapToGrid/>
        <w:spacing w:line="560" w:lineRule="exact"/>
        <w:ind w:firstLine="640" w:firstLineChars="200"/>
        <w:textAlignment w:val="auto"/>
        <w:rPr>
          <w:rFonts w:ascii="仿宋_GB2312" w:hAnsi="仿宋_GB2312" w:cs="仿宋_GB2312"/>
          <w:highlight w:val="none"/>
        </w:rPr>
      </w:pPr>
      <w:r>
        <w:rPr>
          <w:rFonts w:hint="eastAsia" w:ascii="仿宋_GB2312" w:hAnsi="仿宋_GB2312" w:cs="仿宋_GB2312"/>
          <w:highlight w:val="none"/>
        </w:rPr>
        <w:t>4.《财政部关于印发〈项目支出绩效评价管理办法〉的通知》（财预〔2021〕10号）；</w:t>
      </w:r>
    </w:p>
    <w:p w14:paraId="1194039F">
      <w:pPr>
        <w:pStyle w:val="10"/>
        <w:keepNext w:val="0"/>
        <w:keepLines w:val="0"/>
        <w:pageBreakBefore w:val="0"/>
        <w:kinsoku/>
        <w:wordWrap/>
        <w:overflowPunct w:val="0"/>
        <w:topLinePunct w:val="0"/>
        <w:autoSpaceDE/>
        <w:autoSpaceDN/>
        <w:bidi w:val="0"/>
        <w:adjustRightInd/>
        <w:snapToGrid/>
        <w:spacing w:line="560" w:lineRule="exact"/>
        <w:ind w:firstLine="640" w:firstLineChars="200"/>
        <w:textAlignment w:val="auto"/>
        <w:rPr>
          <w:rFonts w:ascii="仿宋_GB2312" w:hAnsi="仿宋_GB2312" w:cs="仿宋_GB2312"/>
          <w:highlight w:val="none"/>
        </w:rPr>
      </w:pPr>
      <w:r>
        <w:rPr>
          <w:rFonts w:hint="eastAsia" w:ascii="仿宋_GB2312" w:hAnsi="仿宋_GB2312" w:cs="仿宋_GB2312"/>
          <w:highlight w:val="none"/>
        </w:rPr>
        <w:t>5.《财政部关于委托第三方机构参与预算绩效管理的指导意见》（财预〔2021〕6号）；</w:t>
      </w:r>
    </w:p>
    <w:p w14:paraId="63184128">
      <w:pPr>
        <w:pStyle w:val="10"/>
        <w:keepNext w:val="0"/>
        <w:keepLines w:val="0"/>
        <w:pageBreakBefore w:val="0"/>
        <w:kinsoku/>
        <w:wordWrap/>
        <w:overflowPunct w:val="0"/>
        <w:topLinePunct w:val="0"/>
        <w:autoSpaceDE/>
        <w:autoSpaceDN/>
        <w:bidi w:val="0"/>
        <w:adjustRightInd/>
        <w:snapToGrid/>
        <w:spacing w:line="560" w:lineRule="exact"/>
        <w:ind w:firstLine="640" w:firstLineChars="200"/>
        <w:textAlignment w:val="auto"/>
        <w:rPr>
          <w:rFonts w:ascii="仿宋_GB2312" w:hAnsi="仿宋_GB2312" w:cs="仿宋_GB2312"/>
          <w:highlight w:val="none"/>
        </w:rPr>
      </w:pPr>
      <w:r>
        <w:rPr>
          <w:rFonts w:hint="eastAsia" w:ascii="仿宋_GB2312" w:hAnsi="仿宋_GB2312" w:cs="仿宋_GB2312"/>
          <w:highlight w:val="none"/>
        </w:rPr>
        <w:t>6.《财政部关于印发第三方机构预算绩效评价业务监督管理暂行办法的通知》（财监〔2021〕4号）；</w:t>
      </w:r>
    </w:p>
    <w:p w14:paraId="67AFE58B">
      <w:pPr>
        <w:pStyle w:val="10"/>
        <w:keepNext w:val="0"/>
        <w:keepLines w:val="0"/>
        <w:pageBreakBefore w:val="0"/>
        <w:kinsoku/>
        <w:wordWrap/>
        <w:overflowPunct w:val="0"/>
        <w:topLinePunct w:val="0"/>
        <w:autoSpaceDE/>
        <w:autoSpaceDN/>
        <w:bidi w:val="0"/>
        <w:adjustRightInd/>
        <w:snapToGrid/>
        <w:spacing w:line="560" w:lineRule="exact"/>
        <w:ind w:firstLine="640" w:firstLineChars="200"/>
        <w:textAlignment w:val="auto"/>
        <w:rPr>
          <w:rFonts w:ascii="仿宋_GB2312" w:hAnsi="仿宋_GB2312" w:cs="仿宋_GB2312"/>
          <w:highlight w:val="none"/>
        </w:rPr>
      </w:pPr>
      <w:r>
        <w:rPr>
          <w:rFonts w:hint="eastAsia" w:ascii="仿宋_GB2312" w:hAnsi="仿宋_GB2312" w:cs="仿宋_GB2312"/>
          <w:highlight w:val="none"/>
        </w:rPr>
        <w:t>7.《中共甘肃省委 甘肃省人民政府关于全面实施预算绩效管理的实施意见》（甘发〔2018〕32号）；</w:t>
      </w:r>
    </w:p>
    <w:p w14:paraId="569AB7EB">
      <w:pPr>
        <w:pStyle w:val="10"/>
        <w:keepNext w:val="0"/>
        <w:keepLines w:val="0"/>
        <w:pageBreakBefore w:val="0"/>
        <w:kinsoku/>
        <w:wordWrap/>
        <w:overflowPunct w:val="0"/>
        <w:topLinePunct w:val="0"/>
        <w:autoSpaceDE/>
        <w:autoSpaceDN/>
        <w:bidi w:val="0"/>
        <w:adjustRightInd/>
        <w:snapToGrid/>
        <w:spacing w:line="560" w:lineRule="exact"/>
        <w:ind w:firstLine="640" w:firstLineChars="200"/>
        <w:textAlignment w:val="auto"/>
        <w:rPr>
          <w:rFonts w:ascii="仿宋_GB2312" w:hAnsi="仿宋_GB2312" w:cs="仿宋_GB2312"/>
          <w:highlight w:val="none"/>
        </w:rPr>
      </w:pPr>
      <w:r>
        <w:rPr>
          <w:rFonts w:hint="eastAsia" w:ascii="仿宋_GB2312" w:hAnsi="仿宋_GB2312" w:cs="仿宋_GB2312"/>
          <w:highlight w:val="none"/>
        </w:rPr>
        <w:t>8.《</w:t>
      </w:r>
      <w:r>
        <w:rPr>
          <w:rFonts w:hint="eastAsia" w:ascii="仿宋_GB2312" w:hAnsi="仿宋_GB2312" w:cs="仿宋_GB2312"/>
          <w:highlight w:val="none"/>
          <w:lang w:eastAsia="zh-CN"/>
        </w:rPr>
        <w:t>甘肃省财政厅</w:t>
      </w:r>
      <w:r>
        <w:rPr>
          <w:rFonts w:hint="eastAsia" w:ascii="仿宋_GB2312" w:hAnsi="仿宋_GB2312" w:cs="仿宋_GB2312"/>
          <w:highlight w:val="none"/>
        </w:rPr>
        <w:t>关于印发甘肃省省级预算绩效管理办法等6个办法和规程的通知》（甘财绩〔2020〕5号）；</w:t>
      </w:r>
    </w:p>
    <w:p w14:paraId="55EF3A1A">
      <w:pPr>
        <w:pStyle w:val="10"/>
        <w:keepNext w:val="0"/>
        <w:keepLines w:val="0"/>
        <w:pageBreakBefore w:val="0"/>
        <w:kinsoku/>
        <w:wordWrap/>
        <w:overflowPunct w:val="0"/>
        <w:topLinePunct w:val="0"/>
        <w:autoSpaceDE/>
        <w:autoSpaceDN/>
        <w:bidi w:val="0"/>
        <w:adjustRightInd/>
        <w:snapToGrid/>
        <w:spacing w:line="560" w:lineRule="exact"/>
        <w:ind w:firstLine="640" w:firstLineChars="200"/>
        <w:textAlignment w:val="auto"/>
        <w:rPr>
          <w:rFonts w:ascii="仿宋_GB2312" w:hAnsi="仿宋_GB2312" w:cs="仿宋_GB2312"/>
          <w:highlight w:val="none"/>
        </w:rPr>
      </w:pPr>
      <w:r>
        <w:rPr>
          <w:rFonts w:hint="eastAsia" w:ascii="仿宋_GB2312" w:hAnsi="仿宋_GB2312" w:cs="仿宋_GB2312"/>
          <w:highlight w:val="none"/>
        </w:rPr>
        <w:t>9.《甘肃省省级项目支出绩效部门评价和财政评价工作规程》（甘财绩〔2021〕5号）；</w:t>
      </w:r>
    </w:p>
    <w:p w14:paraId="1AB9FC1E">
      <w:pPr>
        <w:pStyle w:val="10"/>
        <w:keepNext w:val="0"/>
        <w:keepLines w:val="0"/>
        <w:pageBreakBefore w:val="0"/>
        <w:kinsoku/>
        <w:wordWrap/>
        <w:overflowPunct w:val="0"/>
        <w:topLinePunct w:val="0"/>
        <w:autoSpaceDE/>
        <w:autoSpaceDN/>
        <w:bidi w:val="0"/>
        <w:adjustRightInd/>
        <w:snapToGrid/>
        <w:spacing w:line="560" w:lineRule="exact"/>
        <w:ind w:firstLine="640" w:firstLineChars="200"/>
        <w:textAlignment w:val="auto"/>
        <w:rPr>
          <w:rFonts w:ascii="仿宋_GB2312" w:hAnsi="仿宋_GB2312" w:cs="仿宋_GB2312"/>
          <w:highlight w:val="none"/>
        </w:rPr>
      </w:pPr>
      <w:r>
        <w:rPr>
          <w:rFonts w:hint="eastAsia" w:ascii="仿宋_GB2312" w:hAnsi="仿宋_GB2312" w:cs="仿宋_GB2312"/>
          <w:highlight w:val="none"/>
        </w:rPr>
        <w:t>1</w:t>
      </w:r>
      <w:r>
        <w:rPr>
          <w:rFonts w:hint="eastAsia" w:ascii="仿宋_GB2312" w:hAnsi="仿宋_GB2312" w:cs="仿宋_GB2312"/>
          <w:highlight w:val="none"/>
          <w:lang w:val="en-US" w:eastAsia="zh-CN"/>
        </w:rPr>
        <w:t>0</w:t>
      </w:r>
      <w:r>
        <w:rPr>
          <w:rFonts w:hint="eastAsia" w:ascii="仿宋_GB2312" w:hAnsi="仿宋_GB2312" w:cs="仿宋_GB2312"/>
          <w:highlight w:val="none"/>
        </w:rPr>
        <w:t>.</w:t>
      </w:r>
      <w:r>
        <w:rPr>
          <w:rFonts w:hint="eastAsia" w:ascii="仿宋_GB2312" w:hAnsi="仿宋_GB2312" w:cs="仿宋_GB2312"/>
          <w:highlight w:val="none"/>
          <w:lang w:val="en-US" w:eastAsia="zh-CN"/>
        </w:rPr>
        <w:t>甘肃省高级人民法院</w:t>
      </w:r>
      <w:r>
        <w:rPr>
          <w:rFonts w:hint="eastAsia" w:ascii="仿宋_GB2312" w:hAnsi="仿宋_GB2312" w:cs="仿宋_GB2312"/>
          <w:highlight w:val="none"/>
        </w:rPr>
        <w:t>职责相关规定；</w:t>
      </w:r>
    </w:p>
    <w:p w14:paraId="079C2FBB">
      <w:pPr>
        <w:pStyle w:val="10"/>
        <w:keepNext w:val="0"/>
        <w:keepLines w:val="0"/>
        <w:pageBreakBefore w:val="0"/>
        <w:kinsoku/>
        <w:wordWrap/>
        <w:overflowPunct w:val="0"/>
        <w:topLinePunct w:val="0"/>
        <w:autoSpaceDE/>
        <w:autoSpaceDN/>
        <w:bidi w:val="0"/>
        <w:adjustRightInd/>
        <w:snapToGrid/>
        <w:spacing w:line="560" w:lineRule="exact"/>
        <w:ind w:firstLine="640" w:firstLineChars="200"/>
        <w:textAlignment w:val="auto"/>
        <w:rPr>
          <w:rFonts w:ascii="仿宋_GB2312" w:hAnsi="仿宋_GB2312" w:cs="仿宋_GB2312"/>
          <w:highlight w:val="none"/>
        </w:rPr>
      </w:pPr>
      <w:r>
        <w:rPr>
          <w:rFonts w:hint="eastAsia" w:ascii="仿宋_GB2312" w:hAnsi="仿宋_GB2312" w:cs="仿宋_GB2312"/>
          <w:highlight w:val="none"/>
        </w:rPr>
        <w:t>1</w:t>
      </w:r>
      <w:r>
        <w:rPr>
          <w:rFonts w:hint="eastAsia" w:ascii="仿宋_GB2312" w:hAnsi="仿宋_GB2312" w:cs="仿宋_GB2312"/>
          <w:highlight w:val="none"/>
          <w:lang w:val="en-US" w:eastAsia="zh-CN"/>
        </w:rPr>
        <w:t>1</w:t>
      </w:r>
      <w:r>
        <w:rPr>
          <w:rFonts w:hint="eastAsia" w:ascii="仿宋_GB2312" w:hAnsi="仿宋_GB2312" w:cs="仿宋_GB2312"/>
          <w:highlight w:val="none"/>
        </w:rPr>
        <w:t>.被评价单位提供的立项背景、预算批复相关文件、绩效目标、自评价相关资料、财政资金拨付凭证、</w:t>
      </w:r>
      <w:r>
        <w:rPr>
          <w:rFonts w:hint="eastAsia" w:ascii="仿宋_GB2312" w:hAnsi="仿宋_GB2312" w:cs="仿宋_GB2312"/>
          <w:highlight w:val="none"/>
          <w:lang w:val="en-US" w:eastAsia="zh-CN"/>
        </w:rPr>
        <w:t>项目</w:t>
      </w:r>
      <w:r>
        <w:rPr>
          <w:rFonts w:hint="eastAsia" w:ascii="仿宋_GB2312" w:hAnsi="仿宋_GB2312" w:cs="仿宋_GB2312"/>
          <w:highlight w:val="none"/>
        </w:rPr>
        <w:t>全过程资料和项目实施效果等资料；</w:t>
      </w:r>
    </w:p>
    <w:p w14:paraId="0225317F">
      <w:pPr>
        <w:pStyle w:val="10"/>
        <w:keepNext w:val="0"/>
        <w:keepLines w:val="0"/>
        <w:pageBreakBefore w:val="0"/>
        <w:kinsoku/>
        <w:wordWrap/>
        <w:overflowPunct w:val="0"/>
        <w:topLinePunct w:val="0"/>
        <w:autoSpaceDE/>
        <w:autoSpaceDN/>
        <w:bidi w:val="0"/>
        <w:adjustRightInd/>
        <w:snapToGrid/>
        <w:spacing w:line="560" w:lineRule="exact"/>
        <w:ind w:firstLine="640" w:firstLineChars="200"/>
        <w:textAlignment w:val="auto"/>
        <w:rPr>
          <w:rFonts w:ascii="仿宋_GB2312" w:hAnsi="仿宋_GB2312" w:cs="仿宋_GB2312"/>
          <w:highlight w:val="none"/>
        </w:rPr>
      </w:pPr>
      <w:r>
        <w:rPr>
          <w:rFonts w:hint="eastAsia" w:ascii="仿宋_GB2312" w:hAnsi="仿宋_GB2312" w:cs="仿宋_GB2312"/>
          <w:highlight w:val="none"/>
        </w:rPr>
        <w:t>1</w:t>
      </w:r>
      <w:r>
        <w:rPr>
          <w:rFonts w:hint="eastAsia" w:ascii="仿宋_GB2312" w:hAnsi="仿宋_GB2312" w:cs="仿宋_GB2312"/>
          <w:highlight w:val="none"/>
          <w:lang w:val="en-US" w:eastAsia="zh-CN"/>
        </w:rPr>
        <w:t>2</w:t>
      </w:r>
      <w:r>
        <w:rPr>
          <w:rFonts w:hint="eastAsia" w:ascii="仿宋_GB2312" w:hAnsi="仿宋_GB2312" w:cs="仿宋_GB2312"/>
          <w:highlight w:val="none"/>
        </w:rPr>
        <w:t>.评价组收集、调研、访谈、问卷调查获取的其他相关资料。</w:t>
      </w:r>
    </w:p>
    <w:p w14:paraId="71EBC16F">
      <w:pPr>
        <w:pStyle w:val="10"/>
        <w:keepNext w:val="0"/>
        <w:keepLines w:val="0"/>
        <w:pageBreakBefore w:val="0"/>
        <w:kinsoku/>
        <w:wordWrap/>
        <w:overflowPunct w:val="0"/>
        <w:topLinePunct w:val="0"/>
        <w:autoSpaceDE/>
        <w:autoSpaceDN/>
        <w:bidi w:val="0"/>
        <w:adjustRightInd/>
        <w:snapToGrid/>
        <w:spacing w:line="560" w:lineRule="exact"/>
        <w:ind w:firstLine="643" w:firstLineChars="200"/>
        <w:textAlignment w:val="auto"/>
        <w:outlineLvl w:val="1"/>
        <w:rPr>
          <w:rFonts w:ascii="楷体" w:hAnsi="楷体" w:eastAsia="楷体" w:cs="楷体"/>
          <w:b/>
          <w:bCs/>
          <w:highlight w:val="none"/>
        </w:rPr>
      </w:pPr>
      <w:bookmarkStart w:id="74" w:name="_Toc13992"/>
      <w:r>
        <w:rPr>
          <w:rFonts w:hint="eastAsia" w:ascii="楷体" w:hAnsi="楷体" w:eastAsia="楷体" w:cs="楷体"/>
          <w:b/>
          <w:bCs/>
          <w:highlight w:val="none"/>
        </w:rPr>
        <w:t>（四）评价原则、评价方法</w:t>
      </w:r>
      <w:bookmarkEnd w:id="73"/>
      <w:bookmarkEnd w:id="74"/>
    </w:p>
    <w:p w14:paraId="3BABC2C5">
      <w:pPr>
        <w:keepNext w:val="0"/>
        <w:keepLines w:val="0"/>
        <w:pageBreakBefore w:val="0"/>
        <w:kinsoku/>
        <w:wordWrap/>
        <w:overflowPunct w:val="0"/>
        <w:topLinePunct w:val="0"/>
        <w:autoSpaceDE/>
        <w:autoSpaceDN/>
        <w:bidi w:val="0"/>
        <w:adjustRightInd/>
        <w:snapToGrid/>
        <w:spacing w:line="560" w:lineRule="exact"/>
        <w:ind w:firstLine="643" w:firstLineChars="200"/>
        <w:textAlignment w:val="auto"/>
        <w:outlineLvl w:val="2"/>
        <w:rPr>
          <w:rFonts w:ascii="仿宋_GB2312" w:hAnsi="仿宋_GB2312" w:eastAsia="仿宋_GB2312" w:cs="仿宋_GB2312"/>
          <w:b/>
          <w:sz w:val="32"/>
          <w:szCs w:val="32"/>
          <w:highlight w:val="none"/>
        </w:rPr>
      </w:pPr>
      <w:bookmarkStart w:id="75" w:name="_Toc32216"/>
      <w:bookmarkStart w:id="76" w:name="_Toc15543"/>
      <w:bookmarkStart w:id="77" w:name="_Toc3229"/>
      <w:bookmarkStart w:id="78" w:name="_Toc5841"/>
      <w:bookmarkStart w:id="79" w:name="_Toc7306"/>
      <w:bookmarkStart w:id="80" w:name="_Toc32314"/>
      <w:bookmarkStart w:id="81" w:name="_Toc25746"/>
      <w:bookmarkStart w:id="82" w:name="_Toc17493"/>
      <w:bookmarkStart w:id="83" w:name="_Toc28403"/>
      <w:bookmarkStart w:id="84" w:name="_Toc2871"/>
      <w:r>
        <w:rPr>
          <w:rStyle w:val="32"/>
          <w:rFonts w:hint="eastAsia" w:ascii="仿宋_GB2312" w:hAnsi="仿宋_GB2312" w:eastAsia="仿宋_GB2312" w:cs="仿宋_GB2312"/>
          <w:szCs w:val="32"/>
          <w:highlight w:val="none"/>
        </w:rPr>
        <w:t>1.评价原则</w:t>
      </w:r>
      <w:bookmarkEnd w:id="75"/>
      <w:bookmarkEnd w:id="76"/>
      <w:bookmarkEnd w:id="77"/>
      <w:bookmarkEnd w:id="78"/>
      <w:bookmarkEnd w:id="79"/>
      <w:bookmarkEnd w:id="80"/>
      <w:bookmarkEnd w:id="81"/>
      <w:bookmarkEnd w:id="82"/>
      <w:bookmarkEnd w:id="83"/>
      <w:bookmarkEnd w:id="84"/>
    </w:p>
    <w:p w14:paraId="6E46CDC3">
      <w:pPr>
        <w:keepNext w:val="0"/>
        <w:keepLines w:val="0"/>
        <w:pageBreakBefore w:val="0"/>
        <w:kinsoku/>
        <w:wordWrap/>
        <w:overflowPunct w:val="0"/>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科学规范。严格执行规定的流程步骤，做到指标合理、标准科学、方法适当、结果可信，严格执行规定程序和工作流程，科学设定评价标准和指标体系，坚持定量与定性分析相结合，客观准确地反映财政资金绩效情况，提高全过程预算绩效管理质量。</w:t>
      </w:r>
    </w:p>
    <w:p w14:paraId="16AA5C57">
      <w:pPr>
        <w:keepNext w:val="0"/>
        <w:keepLines w:val="0"/>
        <w:pageBreakBefore w:val="0"/>
        <w:kinsoku/>
        <w:wordWrap/>
        <w:overflowPunct w:val="0"/>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（2）绩效相关。评价结果应当清晰反映绩效目标的</w:t>
      </w:r>
      <w:r>
        <w:rPr>
          <w:rFonts w:hint="eastAsia" w:ascii="仿宋_GB2312" w:hAnsi="仿宋_GB2312" w:eastAsia="仿宋_GB2312" w:cs="仿宋_GB2312"/>
          <w:sz w:val="32"/>
          <w:szCs w:val="32"/>
          <w:highlight w:val="none"/>
          <w:lang w:val="en-US" w:eastAsia="zh-CN"/>
        </w:rPr>
        <w:t>完成</w:t>
      </w:r>
      <w:r>
        <w:rPr>
          <w:rFonts w:hint="eastAsia" w:ascii="仿宋_GB2312" w:hAnsi="仿宋_GB2312" w:eastAsia="仿宋_GB2312" w:cs="仿宋_GB2312"/>
          <w:sz w:val="32"/>
          <w:szCs w:val="32"/>
          <w:highlight w:val="none"/>
        </w:rPr>
        <w:t>情况以及预算支出和绩效之间的对应关系。以绩效为核心导向，将事前绩效评估、绩效目标管理、绩效运行监控、绩效评价、评价结果反馈及应用深度融入预算管理的全过程，实现财政资金使用效益最大化。</w:t>
      </w:r>
    </w:p>
    <w:p w14:paraId="6632618B">
      <w:pPr>
        <w:keepNext w:val="0"/>
        <w:keepLines w:val="0"/>
        <w:pageBreakBefore w:val="0"/>
        <w:kinsoku/>
        <w:wordWrap/>
        <w:overflowPunct w:val="0"/>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公开透明。评价结果应当符合真实、客观、公正的要求，依法依规公开并接受监督。预算绩效管理主体应按照政府信息公开有关规定，主动向同级人大报告、向社会公开相关绩效信息和评价结果，自觉接受各方监督，不断提高财政资金使用的透明度。</w:t>
      </w:r>
    </w:p>
    <w:p w14:paraId="04C35200">
      <w:pPr>
        <w:keepNext w:val="0"/>
        <w:keepLines w:val="0"/>
        <w:pageBreakBefore w:val="0"/>
        <w:kinsoku/>
        <w:wordWrap/>
        <w:overflowPunct w:val="0"/>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4）激励约束。评价结果与项目的设立、保留、整合、调整和退出相挂钩，作为完善政策、改进管理、安排预算的重要依据。建立健全预算绩效管理激励约束机制，体现奖优罚劣和激励相容导向，切实做到花钱必问效、无效必问责。</w:t>
      </w:r>
    </w:p>
    <w:p w14:paraId="666D80E8">
      <w:pPr>
        <w:keepNext w:val="0"/>
        <w:keepLines w:val="0"/>
        <w:pageBreakBefore w:val="0"/>
        <w:kinsoku/>
        <w:wordWrap/>
        <w:overflowPunct w:val="0"/>
        <w:topLinePunct w:val="0"/>
        <w:autoSpaceDE/>
        <w:autoSpaceDN/>
        <w:bidi w:val="0"/>
        <w:adjustRightInd/>
        <w:snapToGrid/>
        <w:spacing w:line="560" w:lineRule="exact"/>
        <w:ind w:firstLine="643" w:firstLineChars="200"/>
        <w:textAlignment w:val="auto"/>
        <w:outlineLvl w:val="2"/>
        <w:rPr>
          <w:rStyle w:val="32"/>
          <w:rFonts w:ascii="仿宋_GB2312" w:hAnsi="仿宋_GB2312" w:eastAsia="仿宋_GB2312" w:cs="仿宋_GB2312"/>
          <w:szCs w:val="32"/>
          <w:highlight w:val="none"/>
        </w:rPr>
      </w:pPr>
      <w:bookmarkStart w:id="85" w:name="_Toc15034"/>
      <w:bookmarkStart w:id="86" w:name="_Toc12173"/>
      <w:bookmarkStart w:id="87" w:name="_Toc15552"/>
      <w:bookmarkStart w:id="88" w:name="_Toc1742"/>
      <w:bookmarkStart w:id="89" w:name="_Toc1839"/>
      <w:bookmarkStart w:id="90" w:name="_Toc11918"/>
      <w:bookmarkStart w:id="91" w:name="_Toc7156"/>
      <w:bookmarkStart w:id="92" w:name="_Toc24950"/>
      <w:bookmarkStart w:id="93" w:name="_Toc15129"/>
      <w:r>
        <w:rPr>
          <w:rStyle w:val="32"/>
          <w:rFonts w:hint="eastAsia" w:ascii="仿宋_GB2312" w:hAnsi="仿宋_GB2312" w:eastAsia="仿宋_GB2312" w:cs="仿宋_GB2312"/>
          <w:szCs w:val="32"/>
          <w:highlight w:val="none"/>
        </w:rPr>
        <w:t>2.评价方法</w:t>
      </w:r>
      <w:bookmarkEnd w:id="85"/>
    </w:p>
    <w:bookmarkEnd w:id="86"/>
    <w:bookmarkEnd w:id="87"/>
    <w:bookmarkEnd w:id="88"/>
    <w:bookmarkEnd w:id="89"/>
    <w:bookmarkEnd w:id="90"/>
    <w:bookmarkEnd w:id="91"/>
    <w:bookmarkEnd w:id="92"/>
    <w:bookmarkEnd w:id="93"/>
    <w:p w14:paraId="0BACC8FE">
      <w:pPr>
        <w:keepNext w:val="0"/>
        <w:keepLines w:val="0"/>
        <w:pageBreakBefore w:val="0"/>
        <w:kinsoku/>
        <w:wordWrap/>
        <w:overflowPunct w:val="0"/>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本次绩效评价按照规范、科学、合理的要求，采用定量和定性分析相结合，第三方评价机构现场核实、资料评审相结合，综合运用比较法、因素分析法和公众评判法等方法进行评价，对项目预算执行情况的经济性、效率性、效益性进行客观公正</w:t>
      </w:r>
      <w:r>
        <w:rPr>
          <w:rFonts w:hint="eastAsia" w:ascii="仿宋_GB2312" w:hAnsi="仿宋_GB2312" w:eastAsia="仿宋_GB2312" w:cs="仿宋_GB2312"/>
          <w:sz w:val="32"/>
          <w:szCs w:val="32"/>
          <w:highlight w:val="none"/>
          <w:lang w:eastAsia="zh-CN"/>
        </w:rPr>
        <w:t>的</w:t>
      </w:r>
      <w:r>
        <w:rPr>
          <w:rFonts w:hint="eastAsia" w:ascii="仿宋_GB2312" w:hAnsi="仿宋_GB2312" w:eastAsia="仿宋_GB2312" w:cs="仿宋_GB2312"/>
          <w:sz w:val="32"/>
          <w:szCs w:val="32"/>
          <w:highlight w:val="none"/>
        </w:rPr>
        <w:t>分析评价，确保评价结论公正客观，评价意见有效可用。</w:t>
      </w:r>
    </w:p>
    <w:p w14:paraId="21338453">
      <w:pPr>
        <w:keepNext w:val="0"/>
        <w:keepLines w:val="0"/>
        <w:pageBreakBefore w:val="0"/>
        <w:kinsoku/>
        <w:wordWrap/>
        <w:overflowPunct w:val="0"/>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（1）比较法。是指通过对绩效目标与实际实施效果的对比，综合分析绩效目标实现程度。</w:t>
      </w:r>
    </w:p>
    <w:p w14:paraId="0F9CDE15">
      <w:pPr>
        <w:pStyle w:val="12"/>
        <w:keepNext w:val="0"/>
        <w:keepLines w:val="0"/>
        <w:pageBreakBefore w:val="0"/>
        <w:kinsoku/>
        <w:wordWrap/>
        <w:overflowPunct w:val="0"/>
        <w:topLinePunct w:val="0"/>
        <w:autoSpaceDE/>
        <w:autoSpaceDN/>
        <w:bidi w:val="0"/>
        <w:adjustRightInd/>
        <w:snapToGrid/>
        <w:spacing w:after="0" w:line="560" w:lineRule="exact"/>
        <w:ind w:left="0" w:leftChars="0"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（2）因素分析法。将影响投入和产出</w:t>
      </w:r>
      <w:r>
        <w:rPr>
          <w:rFonts w:hint="eastAsia" w:ascii="仿宋_GB2312" w:hAnsi="仿宋_GB2312" w:eastAsia="仿宋_GB2312" w:cs="仿宋_GB2312"/>
          <w:sz w:val="32"/>
          <w:szCs w:val="32"/>
          <w:highlight w:val="none"/>
          <w:lang w:val="en-US" w:eastAsia="zh-CN"/>
        </w:rPr>
        <w:t>的</w:t>
      </w:r>
      <w:r>
        <w:rPr>
          <w:rFonts w:hint="eastAsia" w:ascii="仿宋_GB2312" w:hAnsi="仿宋_GB2312" w:eastAsia="仿宋_GB2312" w:cs="仿宋_GB2312"/>
          <w:sz w:val="32"/>
          <w:szCs w:val="32"/>
          <w:highlight w:val="none"/>
        </w:rPr>
        <w:t>各项因素罗列出来进行分析，通过不同因素的权重评比，进行综合评分，最终确定项目的效率性和效益性。</w:t>
      </w:r>
    </w:p>
    <w:p w14:paraId="6E021001">
      <w:pPr>
        <w:keepNext w:val="0"/>
        <w:keepLines w:val="0"/>
        <w:pageBreakBefore w:val="0"/>
        <w:kinsoku/>
        <w:wordWrap/>
        <w:overflowPunct w:val="0"/>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w:t>
      </w:r>
      <w:r>
        <w:rPr>
          <w:rFonts w:hint="eastAsia" w:ascii="仿宋_GB2312" w:hAnsi="仿宋_GB2312" w:eastAsia="仿宋_GB2312" w:cs="仿宋_GB2312"/>
          <w:kern w:val="0"/>
          <w:sz w:val="32"/>
          <w:szCs w:val="32"/>
          <w:highlight w:val="none"/>
          <w:lang w:bidi="ar"/>
        </w:rPr>
        <w:t>公众评判</w:t>
      </w:r>
      <w:r>
        <w:rPr>
          <w:rFonts w:hint="eastAsia" w:ascii="仿宋_GB2312" w:hAnsi="仿宋_GB2312" w:eastAsia="仿宋_GB2312" w:cs="仿宋_GB2312"/>
          <w:sz w:val="32"/>
          <w:szCs w:val="32"/>
          <w:highlight w:val="none"/>
        </w:rPr>
        <w:t>法。是指通过专家评估、公众问卷对财政支出效果进行评判，评价绩效目标实现程度。</w:t>
      </w:r>
    </w:p>
    <w:p w14:paraId="47E33530">
      <w:pPr>
        <w:keepNext w:val="0"/>
        <w:keepLines w:val="0"/>
        <w:pageBreakBefore w:val="0"/>
        <w:kinsoku/>
        <w:wordWrap/>
        <w:overflowPunct w:val="0"/>
        <w:topLinePunct w:val="0"/>
        <w:autoSpaceDE/>
        <w:autoSpaceDN/>
        <w:bidi w:val="0"/>
        <w:adjustRightInd/>
        <w:snapToGrid/>
        <w:spacing w:line="560" w:lineRule="exact"/>
        <w:ind w:firstLine="640" w:firstLineChars="200"/>
        <w:textAlignment w:val="auto"/>
        <w:rPr>
          <w:rFonts w:ascii="仿宋_GB2312" w:hAnsi="仿宋_GB2312" w:eastAsia="仿宋_GB2312" w:cs="仿宋_GB2312"/>
          <w:kern w:val="0"/>
          <w:sz w:val="32"/>
          <w:szCs w:val="32"/>
          <w:highlight w:val="none"/>
          <w:lang w:bidi="ar"/>
        </w:rPr>
      </w:pPr>
      <w:r>
        <w:rPr>
          <w:rFonts w:hint="eastAsia" w:ascii="仿宋_GB2312" w:hAnsi="仿宋_GB2312" w:eastAsia="仿宋_GB2312" w:cs="仿宋_GB2312"/>
          <w:kern w:val="0"/>
          <w:sz w:val="32"/>
          <w:szCs w:val="32"/>
          <w:highlight w:val="none"/>
          <w:lang w:bidi="ar"/>
        </w:rPr>
        <w:t>（4）成本效益分析法。是将投入与产出、效益进行关联性分析的方法。</w:t>
      </w:r>
    </w:p>
    <w:p w14:paraId="023C36B7">
      <w:pPr>
        <w:keepNext w:val="0"/>
        <w:keepLines w:val="0"/>
        <w:pageBreakBefore w:val="0"/>
        <w:kinsoku/>
        <w:wordWrap/>
        <w:overflowPunct w:val="0"/>
        <w:topLinePunct w:val="0"/>
        <w:autoSpaceDE/>
        <w:autoSpaceDN/>
        <w:bidi w:val="0"/>
        <w:adjustRightInd/>
        <w:snapToGrid/>
        <w:spacing w:line="560" w:lineRule="exact"/>
        <w:ind w:firstLine="640" w:firstLineChars="200"/>
        <w:textAlignment w:val="auto"/>
        <w:rPr>
          <w:rFonts w:ascii="仿宋_GB2312" w:hAnsi="仿宋_GB2312" w:eastAsia="仿宋_GB2312" w:cs="仿宋_GB2312"/>
          <w:kern w:val="0"/>
          <w:sz w:val="32"/>
          <w:szCs w:val="32"/>
          <w:highlight w:val="none"/>
          <w:lang w:bidi="ar"/>
        </w:rPr>
      </w:pPr>
      <w:r>
        <w:rPr>
          <w:rFonts w:hint="eastAsia" w:ascii="仿宋_GB2312" w:hAnsi="仿宋_GB2312" w:eastAsia="仿宋_GB2312" w:cs="仿宋_GB2312"/>
          <w:kern w:val="0"/>
          <w:sz w:val="32"/>
          <w:szCs w:val="32"/>
          <w:highlight w:val="none"/>
          <w:lang w:bidi="ar"/>
        </w:rPr>
        <w:t>（5）访谈法。评价小组现场访谈相关专业人员，根据被询问者的答复收集客观的、不带偏见的事实材料。</w:t>
      </w:r>
    </w:p>
    <w:p w14:paraId="64AB3528">
      <w:pPr>
        <w:pStyle w:val="10"/>
        <w:keepNext w:val="0"/>
        <w:keepLines w:val="0"/>
        <w:pageBreakBefore w:val="0"/>
        <w:kinsoku/>
        <w:wordWrap/>
        <w:overflowPunct w:val="0"/>
        <w:topLinePunct w:val="0"/>
        <w:autoSpaceDE/>
        <w:autoSpaceDN/>
        <w:bidi w:val="0"/>
        <w:adjustRightInd/>
        <w:snapToGrid/>
        <w:spacing w:line="560" w:lineRule="exact"/>
        <w:ind w:firstLine="643" w:firstLineChars="200"/>
        <w:textAlignment w:val="auto"/>
        <w:outlineLvl w:val="1"/>
        <w:rPr>
          <w:rFonts w:ascii="楷体" w:hAnsi="楷体" w:eastAsia="楷体" w:cs="楷体"/>
          <w:b/>
          <w:bCs/>
          <w:highlight w:val="none"/>
        </w:rPr>
      </w:pPr>
      <w:bookmarkStart w:id="94" w:name="_Toc6116"/>
      <w:bookmarkStart w:id="95" w:name="_Toc4958"/>
      <w:r>
        <w:rPr>
          <w:rFonts w:hint="eastAsia" w:ascii="楷体" w:hAnsi="楷体" w:eastAsia="楷体" w:cs="楷体"/>
          <w:b/>
          <w:bCs/>
          <w:highlight w:val="none"/>
        </w:rPr>
        <w:t>（五）绩效评价指标体系</w:t>
      </w:r>
      <w:bookmarkEnd w:id="94"/>
      <w:bookmarkEnd w:id="95"/>
    </w:p>
    <w:p w14:paraId="76FC0888">
      <w:pPr>
        <w:pStyle w:val="10"/>
        <w:keepNext w:val="0"/>
        <w:keepLines w:val="0"/>
        <w:pageBreakBefore w:val="0"/>
        <w:tabs>
          <w:tab w:val="left" w:pos="510"/>
          <w:tab w:val="left" w:pos="675"/>
        </w:tabs>
        <w:kinsoku/>
        <w:wordWrap/>
        <w:overflowPunct w:val="0"/>
        <w:topLinePunct w:val="0"/>
        <w:autoSpaceDE/>
        <w:autoSpaceDN/>
        <w:bidi w:val="0"/>
        <w:adjustRightInd/>
        <w:snapToGrid/>
        <w:spacing w:line="560" w:lineRule="exact"/>
        <w:ind w:firstLine="643" w:firstLineChars="200"/>
        <w:textAlignment w:val="auto"/>
        <w:rPr>
          <w:rFonts w:ascii="仿宋_GB2312" w:hAnsi="仿宋_GB2312" w:cs="仿宋_GB2312"/>
          <w:b/>
          <w:bCs/>
          <w:szCs w:val="28"/>
          <w:highlight w:val="none"/>
        </w:rPr>
      </w:pPr>
      <w:r>
        <w:rPr>
          <w:rFonts w:hint="eastAsia" w:ascii="仿宋_GB2312" w:hAnsi="仿宋_GB2312" w:cs="仿宋_GB2312"/>
          <w:b/>
          <w:bCs/>
          <w:szCs w:val="28"/>
          <w:highlight w:val="none"/>
        </w:rPr>
        <w:t>1.指标体系设计的总体思路</w:t>
      </w:r>
    </w:p>
    <w:p w14:paraId="56C205D3">
      <w:pPr>
        <w:pStyle w:val="10"/>
        <w:keepNext w:val="0"/>
        <w:keepLines w:val="0"/>
        <w:pageBreakBefore w:val="0"/>
        <w:tabs>
          <w:tab w:val="left" w:pos="510"/>
          <w:tab w:val="left" w:pos="675"/>
        </w:tabs>
        <w:kinsoku/>
        <w:wordWrap/>
        <w:overflowPunct w:val="0"/>
        <w:topLinePunct w:val="0"/>
        <w:autoSpaceDE/>
        <w:autoSpaceDN/>
        <w:bidi w:val="0"/>
        <w:adjustRightInd/>
        <w:snapToGrid/>
        <w:spacing w:line="560" w:lineRule="exact"/>
        <w:ind w:firstLine="640" w:firstLineChars="200"/>
        <w:textAlignment w:val="auto"/>
        <w:rPr>
          <w:rFonts w:ascii="仿宋_GB2312" w:hAnsi="仿宋_GB2312" w:cs="仿宋_GB2312"/>
          <w:kern w:val="0"/>
          <w:highlight w:val="none"/>
          <w:lang w:bidi="ar"/>
        </w:rPr>
      </w:pPr>
      <w:r>
        <w:rPr>
          <w:rFonts w:hint="eastAsia" w:ascii="仿宋_GB2312" w:hAnsi="仿宋_GB2312" w:cs="仿宋_GB2312"/>
          <w:kern w:val="0"/>
          <w:highlight w:val="none"/>
          <w:lang w:bidi="ar"/>
        </w:rPr>
        <w:t>根据</w:t>
      </w:r>
      <w:r>
        <w:rPr>
          <w:rFonts w:hint="eastAsia" w:ascii="仿宋_GB2312" w:hAnsi="仿宋_GB2312" w:cs="仿宋_GB2312"/>
          <w:highlight w:val="none"/>
        </w:rPr>
        <w:t>《甘肃省省级项目支出绩效部门评价和财政评价工作规程》</w:t>
      </w:r>
      <w:r>
        <w:rPr>
          <w:rFonts w:hint="eastAsia" w:ascii="仿宋_GB2312" w:hAnsi="仿宋_GB2312" w:cs="仿宋_GB2312"/>
          <w:kern w:val="0"/>
          <w:highlight w:val="none"/>
          <w:lang w:bidi="ar"/>
        </w:rPr>
        <w:t>要求，从</w:t>
      </w:r>
      <w:r>
        <w:rPr>
          <w:rFonts w:hint="eastAsia" w:ascii="仿宋_GB2312" w:hAnsi="仿宋_GB2312" w:cs="仿宋_GB2312"/>
          <w:kern w:val="0"/>
          <w:highlight w:val="none"/>
          <w:lang w:eastAsia="zh-CN" w:bidi="ar"/>
        </w:rPr>
        <w:t>法庭运维费</w:t>
      </w:r>
      <w:r>
        <w:rPr>
          <w:rFonts w:hint="eastAsia" w:ascii="仿宋_GB2312" w:hAnsi="仿宋_GB2312" w:cs="仿宋_GB2312"/>
          <w:kern w:val="0"/>
          <w:highlight w:val="none"/>
          <w:lang w:bidi="ar"/>
        </w:rPr>
        <w:t>项目预算、立项、批复、实施、资金申请、拨付以及使用是否遵守规定、是否真实、是否及时，以结果为导向，根据指标类型设定定性与定量标准，决策、过程、</w:t>
      </w:r>
      <w:r>
        <w:rPr>
          <w:rFonts w:hint="eastAsia" w:ascii="仿宋_GB2312" w:hAnsi="仿宋_GB2312" w:cs="仿宋_GB2312"/>
          <w:kern w:val="0"/>
          <w:highlight w:val="none"/>
          <w:lang w:val="en-US" w:eastAsia="zh-CN" w:bidi="ar"/>
        </w:rPr>
        <w:t>成本、</w:t>
      </w:r>
      <w:r>
        <w:rPr>
          <w:rFonts w:hint="eastAsia" w:ascii="仿宋_GB2312" w:hAnsi="仿宋_GB2312" w:cs="仿宋_GB2312"/>
          <w:kern w:val="0"/>
          <w:highlight w:val="none"/>
          <w:lang w:bidi="ar"/>
        </w:rPr>
        <w:t>产出、效益分配比例为</w:t>
      </w:r>
      <w:r>
        <w:rPr>
          <w:rFonts w:hint="eastAsia" w:ascii="仿宋_GB2312" w:hAnsi="仿宋_GB2312" w:cs="仿宋_GB2312"/>
          <w:kern w:val="0"/>
          <w:highlight w:val="none"/>
          <w:lang w:val="en-US" w:eastAsia="zh-CN" w:bidi="ar"/>
        </w:rPr>
        <w:t>15</w:t>
      </w:r>
      <w:r>
        <w:rPr>
          <w:rFonts w:hint="eastAsia" w:ascii="仿宋_GB2312" w:hAnsi="仿宋_GB2312" w:cs="仿宋_GB2312"/>
          <w:kern w:val="0"/>
          <w:highlight w:val="none"/>
          <w:lang w:bidi="ar"/>
        </w:rPr>
        <w:t>:</w:t>
      </w:r>
      <w:r>
        <w:rPr>
          <w:rFonts w:hint="eastAsia" w:ascii="仿宋_GB2312" w:hAnsi="仿宋_GB2312" w:cs="仿宋_GB2312"/>
          <w:kern w:val="0"/>
          <w:highlight w:val="none"/>
          <w:lang w:val="en-US" w:eastAsia="zh-CN" w:bidi="ar"/>
        </w:rPr>
        <w:t>15</w:t>
      </w:r>
      <w:r>
        <w:rPr>
          <w:rFonts w:hint="eastAsia" w:ascii="仿宋_GB2312" w:hAnsi="仿宋_GB2312" w:cs="仿宋_GB2312"/>
          <w:kern w:val="0"/>
          <w:highlight w:val="none"/>
          <w:lang w:bidi="ar"/>
        </w:rPr>
        <w:t>:</w:t>
      </w:r>
      <w:r>
        <w:rPr>
          <w:rFonts w:hint="eastAsia" w:ascii="仿宋_GB2312" w:hAnsi="仿宋_GB2312" w:cs="仿宋_GB2312"/>
          <w:kern w:val="0"/>
          <w:highlight w:val="none"/>
          <w:lang w:val="en-US" w:eastAsia="zh-CN" w:bidi="ar"/>
        </w:rPr>
        <w:t>10:30</w:t>
      </w:r>
      <w:r>
        <w:rPr>
          <w:rFonts w:hint="eastAsia" w:ascii="仿宋_GB2312" w:hAnsi="仿宋_GB2312" w:cs="仿宋_GB2312"/>
          <w:kern w:val="0"/>
          <w:highlight w:val="none"/>
          <w:lang w:bidi="ar"/>
        </w:rPr>
        <w:t>:</w:t>
      </w:r>
      <w:r>
        <w:rPr>
          <w:rFonts w:hint="eastAsia" w:ascii="仿宋_GB2312" w:hAnsi="仿宋_GB2312" w:cs="仿宋_GB2312"/>
          <w:kern w:val="0"/>
          <w:highlight w:val="none"/>
          <w:lang w:val="en-US" w:eastAsia="zh-CN" w:bidi="ar"/>
        </w:rPr>
        <w:t>30</w:t>
      </w:r>
      <w:r>
        <w:rPr>
          <w:rFonts w:hint="eastAsia" w:ascii="仿宋_GB2312" w:hAnsi="仿宋_GB2312" w:cs="仿宋_GB2312"/>
          <w:kern w:val="0"/>
          <w:highlight w:val="none"/>
          <w:lang w:bidi="ar"/>
        </w:rPr>
        <w:t>。本次评价侧重项目产出与效益方面，产出和效益指标权重</w:t>
      </w:r>
      <w:r>
        <w:rPr>
          <w:rFonts w:hint="eastAsia" w:ascii="仿宋_GB2312" w:hAnsi="仿宋_GB2312" w:cs="仿宋_GB2312"/>
          <w:kern w:val="0"/>
          <w:highlight w:val="none"/>
          <w:lang w:val="en-US" w:eastAsia="zh-CN" w:bidi="ar"/>
        </w:rPr>
        <w:t>占比</w:t>
      </w:r>
      <w:r>
        <w:rPr>
          <w:rFonts w:hint="eastAsia" w:ascii="仿宋_GB2312" w:hAnsi="仿宋_GB2312" w:cs="仿宋_GB2312"/>
          <w:kern w:val="0"/>
          <w:highlight w:val="none"/>
          <w:lang w:bidi="ar"/>
        </w:rPr>
        <w:t>6</w:t>
      </w:r>
      <w:r>
        <w:rPr>
          <w:rFonts w:hint="eastAsia" w:ascii="仿宋_GB2312" w:hAnsi="仿宋_GB2312" w:cs="仿宋_GB2312"/>
          <w:kern w:val="0"/>
          <w:highlight w:val="none"/>
          <w:lang w:val="en-US" w:eastAsia="zh-CN" w:bidi="ar"/>
        </w:rPr>
        <w:t>0</w:t>
      </w:r>
      <w:r>
        <w:rPr>
          <w:rFonts w:hint="eastAsia" w:ascii="仿宋_GB2312" w:hAnsi="仿宋_GB2312" w:cs="仿宋_GB2312"/>
          <w:kern w:val="0"/>
          <w:highlight w:val="none"/>
          <w:lang w:bidi="ar"/>
        </w:rPr>
        <w:t>%。</w:t>
      </w:r>
    </w:p>
    <w:p w14:paraId="09387179">
      <w:pPr>
        <w:pStyle w:val="10"/>
        <w:keepNext w:val="0"/>
        <w:keepLines w:val="0"/>
        <w:pageBreakBefore w:val="0"/>
        <w:tabs>
          <w:tab w:val="left" w:pos="510"/>
          <w:tab w:val="left" w:pos="675"/>
        </w:tabs>
        <w:kinsoku/>
        <w:wordWrap/>
        <w:overflowPunct w:val="0"/>
        <w:topLinePunct w:val="0"/>
        <w:autoSpaceDE/>
        <w:autoSpaceDN/>
        <w:bidi w:val="0"/>
        <w:adjustRightInd/>
        <w:snapToGrid/>
        <w:spacing w:line="560" w:lineRule="exact"/>
        <w:ind w:firstLine="643" w:firstLineChars="200"/>
        <w:textAlignment w:val="auto"/>
        <w:rPr>
          <w:rFonts w:ascii="仿宋_GB2312" w:hAnsi="仿宋_GB2312" w:cs="仿宋_GB2312"/>
          <w:b/>
          <w:bCs/>
          <w:szCs w:val="28"/>
          <w:highlight w:val="none"/>
        </w:rPr>
      </w:pPr>
      <w:r>
        <w:rPr>
          <w:rFonts w:hint="eastAsia" w:ascii="仿宋_GB2312" w:hAnsi="仿宋_GB2312" w:cs="仿宋_GB2312"/>
          <w:b/>
          <w:bCs/>
          <w:szCs w:val="28"/>
          <w:highlight w:val="none"/>
        </w:rPr>
        <w:t>2.绩效评价指标体系</w:t>
      </w:r>
    </w:p>
    <w:p w14:paraId="4D53DFEB">
      <w:pPr>
        <w:pStyle w:val="10"/>
        <w:keepNext w:val="0"/>
        <w:keepLines w:val="0"/>
        <w:pageBreakBefore w:val="0"/>
        <w:tabs>
          <w:tab w:val="left" w:pos="510"/>
          <w:tab w:val="left" w:pos="675"/>
        </w:tabs>
        <w:kinsoku/>
        <w:wordWrap/>
        <w:overflowPunct w:val="0"/>
        <w:topLinePunct w:val="0"/>
        <w:autoSpaceDE/>
        <w:autoSpaceDN/>
        <w:bidi w:val="0"/>
        <w:adjustRightInd/>
        <w:snapToGrid/>
        <w:spacing w:line="560" w:lineRule="exact"/>
        <w:ind w:firstLine="640" w:firstLineChars="200"/>
        <w:textAlignment w:val="auto"/>
        <w:rPr>
          <w:rFonts w:ascii="仿宋_GB2312" w:hAnsi="仿宋_GB2312" w:cs="仿宋_GB2312"/>
          <w:szCs w:val="28"/>
          <w:highlight w:val="none"/>
        </w:rPr>
      </w:pPr>
      <w:r>
        <w:rPr>
          <w:rFonts w:hint="eastAsia" w:ascii="仿宋_GB2312" w:hAnsi="仿宋_GB2312" w:cs="仿宋_GB2312"/>
          <w:szCs w:val="28"/>
          <w:highlight w:val="none"/>
        </w:rPr>
        <w:t>项目评价指标划分为三级，综合评价一级指标包括项目决策指标、过程指标、</w:t>
      </w:r>
      <w:r>
        <w:rPr>
          <w:rFonts w:hint="eastAsia" w:ascii="仿宋_GB2312" w:hAnsi="仿宋_GB2312" w:cs="仿宋_GB2312"/>
          <w:szCs w:val="28"/>
          <w:highlight w:val="none"/>
          <w:lang w:val="en-US" w:eastAsia="zh-CN"/>
        </w:rPr>
        <w:t>成本指标、</w:t>
      </w:r>
      <w:r>
        <w:rPr>
          <w:rFonts w:hint="eastAsia" w:ascii="仿宋_GB2312" w:hAnsi="仿宋_GB2312" w:cs="仿宋_GB2312"/>
          <w:szCs w:val="28"/>
          <w:highlight w:val="none"/>
        </w:rPr>
        <w:t>产出指标、效益指标。二、三级评价指标根据项目实际情况制定了可量化、可操作的细化绩效目标，指标分值根据项目指标重要程度、项目实施阶段等因素综合确定（项目评价指标体系详见附表1）。</w:t>
      </w:r>
    </w:p>
    <w:p w14:paraId="4FFEFF62">
      <w:pPr>
        <w:pStyle w:val="10"/>
        <w:keepNext w:val="0"/>
        <w:keepLines w:val="0"/>
        <w:pageBreakBefore w:val="0"/>
        <w:tabs>
          <w:tab w:val="left" w:pos="510"/>
          <w:tab w:val="left" w:pos="675"/>
        </w:tabs>
        <w:kinsoku/>
        <w:wordWrap/>
        <w:overflowPunct w:val="0"/>
        <w:topLinePunct w:val="0"/>
        <w:autoSpaceDE/>
        <w:autoSpaceDN/>
        <w:bidi w:val="0"/>
        <w:adjustRightInd/>
        <w:snapToGrid/>
        <w:spacing w:line="560" w:lineRule="exact"/>
        <w:ind w:firstLine="640" w:firstLineChars="200"/>
        <w:textAlignment w:val="auto"/>
        <w:rPr>
          <w:rFonts w:ascii="仿宋_GB2312" w:hAnsi="仿宋_GB2312" w:cs="仿宋_GB2312"/>
          <w:szCs w:val="28"/>
          <w:highlight w:val="none"/>
        </w:rPr>
      </w:pPr>
      <w:r>
        <w:rPr>
          <w:rFonts w:hint="eastAsia" w:ascii="仿宋_GB2312" w:hAnsi="仿宋_GB2312" w:cs="仿宋_GB2312"/>
          <w:szCs w:val="28"/>
          <w:highlight w:val="none"/>
        </w:rPr>
        <w:t>（1）项目决策指标为一级指标，权重1</w:t>
      </w:r>
      <w:r>
        <w:rPr>
          <w:rFonts w:hint="eastAsia" w:ascii="仿宋_GB2312" w:hAnsi="仿宋_GB2312" w:cs="仿宋_GB2312"/>
          <w:szCs w:val="28"/>
          <w:highlight w:val="none"/>
          <w:lang w:val="en-US" w:eastAsia="zh-CN"/>
        </w:rPr>
        <w:t>5</w:t>
      </w:r>
      <w:r>
        <w:rPr>
          <w:rFonts w:hint="eastAsia" w:ascii="仿宋_GB2312" w:hAnsi="仿宋_GB2312" w:cs="仿宋_GB2312"/>
          <w:szCs w:val="28"/>
          <w:highlight w:val="none"/>
        </w:rPr>
        <w:t>分。重点关注项目立项的政策依据是否充分，是否符合国家相关法律法规、部门规章、发展规划及职能；立项流程是否合规，项目申请设立过程是否符合相关要求；项目是否设定绩效目标，设定的绩效目标依据是否充分、符合客观实际，是否能做到细化、量化和可衡量；项目预算编制是否经过科学论证，预算额度与年度目标是否相适应；资金安排依据是否充分，安排额度是否与项目相适应。</w:t>
      </w:r>
    </w:p>
    <w:p w14:paraId="72B52909">
      <w:pPr>
        <w:pStyle w:val="10"/>
        <w:keepNext w:val="0"/>
        <w:keepLines w:val="0"/>
        <w:pageBreakBefore w:val="0"/>
        <w:tabs>
          <w:tab w:val="left" w:pos="510"/>
          <w:tab w:val="left" w:pos="675"/>
        </w:tabs>
        <w:kinsoku/>
        <w:wordWrap/>
        <w:overflowPunct w:val="0"/>
        <w:topLinePunct w:val="0"/>
        <w:autoSpaceDE/>
        <w:autoSpaceDN/>
        <w:bidi w:val="0"/>
        <w:adjustRightInd/>
        <w:snapToGrid/>
        <w:spacing w:line="560" w:lineRule="exact"/>
        <w:ind w:firstLine="640" w:firstLineChars="200"/>
        <w:textAlignment w:val="auto"/>
        <w:rPr>
          <w:rFonts w:ascii="仿宋_GB2312" w:hAnsi="仿宋_GB2312" w:cs="仿宋_GB2312"/>
          <w:szCs w:val="28"/>
          <w:highlight w:val="none"/>
        </w:rPr>
      </w:pPr>
      <w:r>
        <w:rPr>
          <w:rFonts w:hint="eastAsia" w:ascii="仿宋_GB2312" w:hAnsi="仿宋_GB2312" w:cs="仿宋_GB2312"/>
          <w:szCs w:val="28"/>
          <w:highlight w:val="none"/>
        </w:rPr>
        <w:t>（2）项目过程指标为一级指标，权重</w:t>
      </w:r>
      <w:r>
        <w:rPr>
          <w:rFonts w:hint="eastAsia" w:ascii="仿宋_GB2312" w:hAnsi="仿宋_GB2312" w:cs="仿宋_GB2312"/>
          <w:szCs w:val="28"/>
          <w:highlight w:val="none"/>
          <w:lang w:val="en-US" w:eastAsia="zh-CN"/>
        </w:rPr>
        <w:t>15</w:t>
      </w:r>
      <w:r>
        <w:rPr>
          <w:rFonts w:hint="eastAsia" w:ascii="仿宋_GB2312" w:hAnsi="仿宋_GB2312" w:cs="仿宋_GB2312"/>
          <w:szCs w:val="28"/>
          <w:highlight w:val="none"/>
        </w:rPr>
        <w:t>分。重点关注专项资金是否及时到位，保障项目执行；项目资金是否按照预算执行；资金使用范围和方向是否符合专项资金管理规定；</w:t>
      </w:r>
      <w:r>
        <w:rPr>
          <w:rFonts w:hint="eastAsia" w:ascii="仿宋_GB2312" w:hAnsi="仿宋_GB2312" w:cs="仿宋_GB2312"/>
          <w:szCs w:val="28"/>
          <w:highlight w:val="none"/>
          <w:lang w:val="en-US" w:eastAsia="zh-CN"/>
        </w:rPr>
        <w:t>甘肃省高级人民法院</w:t>
      </w:r>
      <w:r>
        <w:rPr>
          <w:rFonts w:hint="eastAsia" w:ascii="仿宋_GB2312" w:hAnsi="仿宋_GB2312" w:cs="仿宋_GB2312"/>
          <w:szCs w:val="28"/>
          <w:highlight w:val="none"/>
        </w:rPr>
        <w:t>专项资金和业务管理制度是否健全，是否符合相关法律法规并得到有效执行；项目是否按照规定实施；是否遵守相关法律法规和相关管理规定，按时向社会公告项目实施情况。</w:t>
      </w:r>
    </w:p>
    <w:p w14:paraId="79995043">
      <w:pPr>
        <w:pStyle w:val="10"/>
        <w:keepNext w:val="0"/>
        <w:keepLines w:val="0"/>
        <w:pageBreakBefore w:val="0"/>
        <w:tabs>
          <w:tab w:val="left" w:pos="510"/>
          <w:tab w:val="left" w:pos="675"/>
        </w:tabs>
        <w:kinsoku/>
        <w:wordWrap/>
        <w:overflowPunct w:val="0"/>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Cs w:val="28"/>
          <w:highlight w:val="none"/>
          <w:lang w:val="en-US" w:eastAsia="zh-CN"/>
        </w:rPr>
      </w:pPr>
      <w:r>
        <w:rPr>
          <w:rFonts w:hint="eastAsia" w:ascii="仿宋_GB2312" w:hAnsi="仿宋_GB2312" w:cs="仿宋_GB2312"/>
          <w:szCs w:val="28"/>
          <w:highlight w:val="none"/>
        </w:rPr>
        <w:t>（3）成本指标为一级指标，权重</w:t>
      </w:r>
      <w:r>
        <w:rPr>
          <w:rFonts w:hint="eastAsia" w:ascii="仿宋_GB2312" w:hAnsi="仿宋_GB2312" w:cs="仿宋_GB2312"/>
          <w:szCs w:val="28"/>
          <w:highlight w:val="none"/>
          <w:lang w:val="en-US" w:eastAsia="zh-CN"/>
        </w:rPr>
        <w:t>10</w:t>
      </w:r>
      <w:r>
        <w:rPr>
          <w:rFonts w:hint="eastAsia" w:ascii="仿宋_GB2312" w:hAnsi="仿宋_GB2312" w:cs="仿宋_GB2312"/>
          <w:szCs w:val="28"/>
          <w:highlight w:val="none"/>
        </w:rPr>
        <w:t>分。重点关注项目实际支出是否超出预算</w:t>
      </w:r>
      <w:r>
        <w:rPr>
          <w:rFonts w:hint="eastAsia" w:ascii="仿宋_GB2312" w:hAnsi="仿宋_GB2312" w:cs="仿宋_GB2312"/>
          <w:szCs w:val="28"/>
          <w:highlight w:val="none"/>
          <w:lang w:eastAsia="zh-CN"/>
        </w:rPr>
        <w:t>，</w:t>
      </w:r>
      <w:r>
        <w:rPr>
          <w:rFonts w:hint="eastAsia" w:ascii="仿宋_GB2312" w:hAnsi="仿宋_GB2312" w:cs="仿宋_GB2312"/>
          <w:szCs w:val="28"/>
          <w:highlight w:val="none"/>
          <w:lang w:val="en-US" w:eastAsia="zh-CN"/>
        </w:rPr>
        <w:t>用以反映和考核项目的成本节约程度。</w:t>
      </w:r>
    </w:p>
    <w:p w14:paraId="4C13BCF8">
      <w:pPr>
        <w:pStyle w:val="10"/>
        <w:keepNext w:val="0"/>
        <w:keepLines w:val="0"/>
        <w:pageBreakBefore w:val="0"/>
        <w:tabs>
          <w:tab w:val="left" w:pos="510"/>
          <w:tab w:val="left" w:pos="675"/>
        </w:tabs>
        <w:kinsoku/>
        <w:wordWrap/>
        <w:overflowPunct w:val="0"/>
        <w:topLinePunct w:val="0"/>
        <w:autoSpaceDE/>
        <w:autoSpaceDN/>
        <w:bidi w:val="0"/>
        <w:adjustRightInd/>
        <w:snapToGrid/>
        <w:spacing w:line="560" w:lineRule="exact"/>
        <w:ind w:firstLine="640" w:firstLineChars="200"/>
        <w:textAlignment w:val="auto"/>
        <w:rPr>
          <w:rFonts w:ascii="仿宋_GB2312" w:hAnsi="仿宋_GB2312" w:cs="仿宋_GB2312"/>
          <w:szCs w:val="28"/>
          <w:highlight w:val="none"/>
        </w:rPr>
      </w:pPr>
      <w:r>
        <w:rPr>
          <w:rFonts w:hint="eastAsia" w:ascii="仿宋_GB2312" w:hAnsi="仿宋_GB2312" w:cs="仿宋_GB2312"/>
          <w:szCs w:val="28"/>
          <w:highlight w:val="none"/>
        </w:rPr>
        <w:t>（</w:t>
      </w:r>
      <w:r>
        <w:rPr>
          <w:rFonts w:hint="eastAsia" w:ascii="仿宋_GB2312" w:hAnsi="仿宋_GB2312" w:cs="仿宋_GB2312"/>
          <w:szCs w:val="28"/>
          <w:highlight w:val="none"/>
          <w:lang w:val="en-US" w:eastAsia="zh-CN"/>
        </w:rPr>
        <w:t>4</w:t>
      </w:r>
      <w:r>
        <w:rPr>
          <w:rFonts w:hint="eastAsia" w:ascii="仿宋_GB2312" w:hAnsi="仿宋_GB2312" w:cs="仿宋_GB2312"/>
          <w:szCs w:val="28"/>
          <w:highlight w:val="none"/>
        </w:rPr>
        <w:t>）项目产出指标为一级指标，权重</w:t>
      </w:r>
      <w:r>
        <w:rPr>
          <w:rFonts w:hint="eastAsia" w:ascii="仿宋_GB2312" w:hAnsi="仿宋_GB2312" w:cs="仿宋_GB2312"/>
          <w:szCs w:val="28"/>
          <w:highlight w:val="none"/>
          <w:lang w:val="en-US" w:eastAsia="zh-CN"/>
        </w:rPr>
        <w:t>30</w:t>
      </w:r>
      <w:r>
        <w:rPr>
          <w:rFonts w:hint="eastAsia" w:ascii="仿宋_GB2312" w:hAnsi="仿宋_GB2312" w:cs="仿宋_GB2312"/>
          <w:szCs w:val="28"/>
          <w:highlight w:val="none"/>
        </w:rPr>
        <w:t>分。从数量、质量、时效</w:t>
      </w:r>
      <w:r>
        <w:rPr>
          <w:rFonts w:hint="eastAsia" w:ascii="仿宋_GB2312" w:hAnsi="仿宋_GB2312" w:cs="仿宋_GB2312"/>
          <w:szCs w:val="28"/>
          <w:highlight w:val="none"/>
          <w:lang w:val="en-US" w:eastAsia="zh-CN"/>
        </w:rPr>
        <w:t>三</w:t>
      </w:r>
      <w:r>
        <w:rPr>
          <w:rFonts w:hint="eastAsia" w:ascii="仿宋_GB2312" w:hAnsi="仿宋_GB2312" w:cs="仿宋_GB2312"/>
          <w:szCs w:val="28"/>
          <w:highlight w:val="none"/>
        </w:rPr>
        <w:t>个方面分析项目的产出情况，重点关注项目实施的实际产出数与计划产出数的比率。</w:t>
      </w:r>
    </w:p>
    <w:p w14:paraId="7B2DCFDC">
      <w:pPr>
        <w:pStyle w:val="10"/>
        <w:keepNext w:val="0"/>
        <w:keepLines w:val="0"/>
        <w:pageBreakBefore w:val="0"/>
        <w:tabs>
          <w:tab w:val="left" w:pos="510"/>
          <w:tab w:val="left" w:pos="675"/>
        </w:tabs>
        <w:kinsoku/>
        <w:wordWrap/>
        <w:overflowPunct w:val="0"/>
        <w:topLinePunct w:val="0"/>
        <w:autoSpaceDE/>
        <w:autoSpaceDN/>
        <w:bidi w:val="0"/>
        <w:adjustRightInd/>
        <w:snapToGrid/>
        <w:spacing w:line="560" w:lineRule="exact"/>
        <w:ind w:firstLine="640" w:firstLineChars="200"/>
        <w:textAlignment w:val="auto"/>
        <w:rPr>
          <w:rFonts w:ascii="仿宋_GB2312" w:hAnsi="仿宋_GB2312" w:cs="仿宋_GB2312"/>
          <w:szCs w:val="28"/>
          <w:highlight w:val="none"/>
        </w:rPr>
      </w:pPr>
      <w:r>
        <w:rPr>
          <w:rFonts w:hint="eastAsia" w:ascii="仿宋_GB2312" w:hAnsi="仿宋_GB2312" w:cs="仿宋_GB2312"/>
          <w:szCs w:val="28"/>
          <w:highlight w:val="none"/>
        </w:rPr>
        <w:t>（</w:t>
      </w:r>
      <w:r>
        <w:rPr>
          <w:rFonts w:hint="eastAsia" w:ascii="仿宋_GB2312" w:hAnsi="仿宋_GB2312" w:cs="仿宋_GB2312"/>
          <w:szCs w:val="28"/>
          <w:highlight w:val="none"/>
          <w:lang w:val="en-US" w:eastAsia="zh-CN"/>
        </w:rPr>
        <w:t>5</w:t>
      </w:r>
      <w:r>
        <w:rPr>
          <w:rFonts w:hint="eastAsia" w:ascii="仿宋_GB2312" w:hAnsi="仿宋_GB2312" w:cs="仿宋_GB2312"/>
          <w:szCs w:val="28"/>
          <w:highlight w:val="none"/>
        </w:rPr>
        <w:t>）项目效益指标为一级指标，权重</w:t>
      </w:r>
      <w:r>
        <w:rPr>
          <w:rFonts w:hint="eastAsia" w:ascii="仿宋_GB2312" w:hAnsi="仿宋_GB2312" w:cs="仿宋_GB2312"/>
          <w:szCs w:val="28"/>
          <w:highlight w:val="none"/>
          <w:lang w:val="en-US" w:eastAsia="zh-CN"/>
        </w:rPr>
        <w:t>30</w:t>
      </w:r>
      <w:r>
        <w:rPr>
          <w:rFonts w:hint="eastAsia" w:ascii="仿宋_GB2312" w:hAnsi="仿宋_GB2312" w:cs="仿宋_GB2312"/>
          <w:szCs w:val="28"/>
          <w:highlight w:val="none"/>
        </w:rPr>
        <w:t>分。从社会效益、满意度指标</w:t>
      </w:r>
      <w:r>
        <w:rPr>
          <w:rFonts w:hint="eastAsia" w:ascii="仿宋_GB2312" w:hAnsi="仿宋_GB2312" w:cs="仿宋_GB2312"/>
          <w:szCs w:val="28"/>
          <w:highlight w:val="none"/>
          <w:lang w:val="en-US" w:eastAsia="zh-CN"/>
        </w:rPr>
        <w:t>两</w:t>
      </w:r>
      <w:r>
        <w:rPr>
          <w:rFonts w:hint="eastAsia" w:ascii="仿宋_GB2312" w:hAnsi="仿宋_GB2312" w:cs="仿宋_GB2312"/>
          <w:szCs w:val="28"/>
          <w:highlight w:val="none"/>
        </w:rPr>
        <w:t>个方面分析项目实施产生的效益，重点项目的实施产生</w:t>
      </w:r>
      <w:r>
        <w:rPr>
          <w:rFonts w:hint="eastAsia" w:ascii="仿宋_GB2312" w:hAnsi="仿宋_GB2312" w:cs="仿宋_GB2312"/>
          <w:szCs w:val="28"/>
          <w:highlight w:val="none"/>
          <w:lang w:val="en-US" w:eastAsia="zh-CN"/>
        </w:rPr>
        <w:t>效益是否达到预期</w:t>
      </w:r>
      <w:r>
        <w:rPr>
          <w:rFonts w:hint="eastAsia" w:ascii="仿宋_GB2312" w:hAnsi="仿宋_GB2312" w:cs="仿宋_GB2312"/>
          <w:szCs w:val="28"/>
          <w:highlight w:val="none"/>
        </w:rPr>
        <w:t>。</w:t>
      </w:r>
    </w:p>
    <w:p w14:paraId="3A2BABBD">
      <w:pPr>
        <w:pStyle w:val="10"/>
        <w:keepNext w:val="0"/>
        <w:keepLines w:val="0"/>
        <w:pageBreakBefore w:val="0"/>
        <w:tabs>
          <w:tab w:val="left" w:pos="510"/>
          <w:tab w:val="left" w:pos="675"/>
        </w:tabs>
        <w:kinsoku/>
        <w:wordWrap/>
        <w:overflowPunct w:val="0"/>
        <w:topLinePunct w:val="0"/>
        <w:autoSpaceDE/>
        <w:autoSpaceDN/>
        <w:bidi w:val="0"/>
        <w:adjustRightInd/>
        <w:snapToGrid/>
        <w:spacing w:line="560" w:lineRule="exact"/>
        <w:ind w:firstLine="643" w:firstLineChars="200"/>
        <w:textAlignment w:val="auto"/>
        <w:rPr>
          <w:rFonts w:ascii="仿宋_GB2312" w:hAnsi="仿宋_GB2312" w:cs="仿宋_GB2312"/>
          <w:b/>
          <w:bCs/>
          <w:szCs w:val="28"/>
          <w:highlight w:val="none"/>
        </w:rPr>
      </w:pPr>
      <w:r>
        <w:rPr>
          <w:rFonts w:hint="eastAsia" w:ascii="仿宋_GB2312" w:hAnsi="仿宋_GB2312" w:cs="仿宋_GB2312"/>
          <w:b/>
          <w:bCs/>
          <w:szCs w:val="28"/>
          <w:highlight w:val="none"/>
        </w:rPr>
        <w:t xml:space="preserve">3.评价标准 </w:t>
      </w:r>
    </w:p>
    <w:p w14:paraId="5C06EBB3">
      <w:pPr>
        <w:keepNext w:val="0"/>
        <w:keepLines w:val="0"/>
        <w:pageBreakBefore w:val="0"/>
        <w:widowControl/>
        <w:kinsoku/>
        <w:wordWrap/>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28"/>
          <w:highlight w:val="none"/>
        </w:rPr>
      </w:pPr>
      <w:r>
        <w:rPr>
          <w:rFonts w:hint="eastAsia" w:ascii="仿宋_GB2312" w:hAnsi="仿宋_GB2312" w:eastAsia="仿宋_GB2312" w:cs="仿宋_GB2312"/>
          <w:sz w:val="32"/>
          <w:szCs w:val="28"/>
          <w:highlight w:val="none"/>
        </w:rPr>
        <w:t>本次绩效评价结果采取评分与评级相结合的形式。</w:t>
      </w:r>
    </w:p>
    <w:p w14:paraId="0A194CE5">
      <w:pPr>
        <w:keepNext w:val="0"/>
        <w:keepLines w:val="0"/>
        <w:pageBreakBefore w:val="0"/>
        <w:widowControl/>
        <w:kinsoku/>
        <w:wordWrap/>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28"/>
          <w:highlight w:val="none"/>
        </w:rPr>
      </w:pPr>
      <w:r>
        <w:rPr>
          <w:rFonts w:hint="eastAsia" w:ascii="仿宋_GB2312" w:hAnsi="仿宋_GB2312" w:eastAsia="仿宋_GB2312" w:cs="仿宋_GB2312"/>
          <w:sz w:val="32"/>
          <w:szCs w:val="28"/>
          <w:highlight w:val="none"/>
        </w:rPr>
        <w:t>（</w:t>
      </w:r>
      <w:r>
        <w:rPr>
          <w:rFonts w:ascii="仿宋_GB2312" w:hAnsi="仿宋_GB2312" w:eastAsia="仿宋_GB2312" w:cs="仿宋_GB2312"/>
          <w:sz w:val="32"/>
          <w:szCs w:val="28"/>
          <w:highlight w:val="none"/>
        </w:rPr>
        <w:t>1</w:t>
      </w:r>
      <w:r>
        <w:rPr>
          <w:rFonts w:hint="eastAsia" w:ascii="仿宋_GB2312" w:hAnsi="仿宋_GB2312" w:eastAsia="仿宋_GB2312" w:cs="仿宋_GB2312"/>
          <w:sz w:val="32"/>
          <w:szCs w:val="28"/>
          <w:highlight w:val="none"/>
        </w:rPr>
        <w:t>）评价评分。采用定性与定量评价相结合的方法，对定性评价指标采取分析打分，对定量评价指标采用量化打分，评价综合得分采用百分制，满分为</w:t>
      </w:r>
      <w:r>
        <w:rPr>
          <w:rFonts w:ascii="仿宋_GB2312" w:hAnsi="仿宋_GB2312" w:eastAsia="仿宋_GB2312" w:cs="仿宋_GB2312"/>
          <w:sz w:val="32"/>
          <w:szCs w:val="28"/>
          <w:highlight w:val="none"/>
        </w:rPr>
        <w:t>100</w:t>
      </w:r>
      <w:r>
        <w:rPr>
          <w:rFonts w:hint="eastAsia" w:ascii="仿宋_GB2312" w:hAnsi="仿宋_GB2312" w:eastAsia="仿宋_GB2312" w:cs="仿宋_GB2312"/>
          <w:sz w:val="32"/>
          <w:szCs w:val="28"/>
          <w:highlight w:val="none"/>
        </w:rPr>
        <w:t>分。</w:t>
      </w:r>
    </w:p>
    <w:p w14:paraId="47651475">
      <w:pPr>
        <w:keepNext w:val="0"/>
        <w:keepLines w:val="0"/>
        <w:pageBreakBefore w:val="0"/>
        <w:widowControl/>
        <w:kinsoku/>
        <w:wordWrap/>
        <w:topLinePunct w:val="0"/>
        <w:autoSpaceDE/>
        <w:autoSpaceDN/>
        <w:bidi w:val="0"/>
        <w:adjustRightInd/>
        <w:snapToGrid/>
        <w:spacing w:line="560" w:lineRule="exact"/>
        <w:ind w:firstLine="640" w:firstLineChars="200"/>
        <w:textAlignment w:val="auto"/>
        <w:rPr>
          <w:highlight w:val="none"/>
        </w:rPr>
      </w:pPr>
      <w:r>
        <w:rPr>
          <w:rFonts w:hint="eastAsia" w:ascii="仿宋_GB2312" w:hAnsi="仿宋_GB2312" w:eastAsia="仿宋_GB2312" w:cs="仿宋_GB2312"/>
          <w:sz w:val="32"/>
          <w:szCs w:val="28"/>
          <w:highlight w:val="none"/>
        </w:rPr>
        <w:t>（2）评价等级。依据财政部《关于印发〈项目支出绩效评价管理办法〉的通知》（财预</w:t>
      </w:r>
      <w:r>
        <w:rPr>
          <w:rFonts w:hint="eastAsia" w:ascii="宋体" w:hAnsi="宋体" w:eastAsia="宋体" w:cs="宋体"/>
          <w:sz w:val="32"/>
          <w:szCs w:val="28"/>
          <w:highlight w:val="none"/>
        </w:rPr>
        <w:t>〔</w:t>
      </w:r>
      <w:r>
        <w:rPr>
          <w:rFonts w:ascii="仿宋_GB2312" w:hAnsi="仿宋_GB2312" w:eastAsia="仿宋_GB2312" w:cs="仿宋_GB2312"/>
          <w:sz w:val="32"/>
          <w:szCs w:val="28"/>
          <w:highlight w:val="none"/>
        </w:rPr>
        <w:t>2020</w:t>
      </w:r>
      <w:r>
        <w:rPr>
          <w:rFonts w:hint="eastAsia" w:ascii="宋体" w:hAnsi="宋体" w:eastAsia="宋体" w:cs="宋体"/>
          <w:sz w:val="32"/>
          <w:szCs w:val="28"/>
          <w:highlight w:val="none"/>
        </w:rPr>
        <w:t>〕</w:t>
      </w:r>
      <w:r>
        <w:rPr>
          <w:rFonts w:ascii="仿宋_GB2312" w:hAnsi="仿宋_GB2312" w:eastAsia="仿宋_GB2312" w:cs="仿宋_GB2312"/>
          <w:sz w:val="32"/>
          <w:szCs w:val="28"/>
          <w:highlight w:val="none"/>
        </w:rPr>
        <w:t>10</w:t>
      </w:r>
      <w:r>
        <w:rPr>
          <w:rFonts w:hint="eastAsia" w:ascii="仿宋_GB2312" w:hAnsi="仿宋_GB2312" w:eastAsia="仿宋_GB2312" w:cs="仿宋_GB2312"/>
          <w:sz w:val="32"/>
          <w:szCs w:val="28"/>
          <w:highlight w:val="none"/>
        </w:rPr>
        <w:t>号），绩效评价结果评分分值与评价等级的对应关系如下：</w:t>
      </w:r>
    </w:p>
    <w:p w14:paraId="417AD2A3">
      <w:pPr>
        <w:keepNext w:val="0"/>
        <w:keepLines w:val="0"/>
        <w:pageBreakBefore w:val="0"/>
        <w:widowControl/>
        <w:kinsoku/>
        <w:wordWrap/>
        <w:topLinePunct w:val="0"/>
        <w:autoSpaceDE/>
        <w:autoSpaceDN/>
        <w:bidi w:val="0"/>
        <w:adjustRightInd/>
        <w:snapToGrid/>
        <w:spacing w:line="560" w:lineRule="exact"/>
        <w:jc w:val="center"/>
        <w:textAlignment w:val="auto"/>
        <w:rPr>
          <w:highlight w:val="none"/>
        </w:rPr>
      </w:pPr>
      <w:r>
        <w:rPr>
          <w:rFonts w:hint="eastAsia" w:ascii="宋体" w:hAnsi="宋体" w:eastAsia="宋体" w:cs="宋体"/>
          <w:color w:val="000000"/>
          <w:kern w:val="0"/>
          <w:sz w:val="28"/>
          <w:szCs w:val="28"/>
          <w:highlight w:val="none"/>
          <w:lang w:bidi="ar"/>
        </w:rPr>
        <w:t>绩效评价结果评分分值与评价等级表</w:t>
      </w:r>
    </w:p>
    <w:tbl>
      <w:tblPr>
        <w:tblStyle w:val="21"/>
        <w:tblW w:w="4875" w:type="pct"/>
        <w:tblInd w:w="10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1812"/>
        <w:gridCol w:w="1812"/>
        <w:gridCol w:w="1812"/>
        <w:gridCol w:w="1702"/>
      </w:tblGrid>
      <w:tr w14:paraId="0DDC76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60" w:type="pct"/>
            <w:vAlign w:val="center"/>
          </w:tcPr>
          <w:p w14:paraId="5EEBE279">
            <w:pPr>
              <w:pStyle w:val="10"/>
              <w:tabs>
                <w:tab w:val="left" w:pos="510"/>
                <w:tab w:val="left" w:pos="675"/>
              </w:tabs>
              <w:overflowPunct w:val="0"/>
              <w:jc w:val="center"/>
              <w:rPr>
                <w:rFonts w:ascii="宋体" w:hAnsi="宋体" w:eastAsia="宋体" w:cs="宋体"/>
                <w:sz w:val="24"/>
                <w:szCs w:val="24"/>
                <w:highlight w:val="none"/>
              </w:rPr>
            </w:pPr>
            <w:r>
              <w:rPr>
                <w:rFonts w:hint="eastAsia" w:ascii="宋体" w:hAnsi="宋体" w:eastAsia="宋体" w:cs="宋体"/>
                <w:sz w:val="24"/>
                <w:szCs w:val="24"/>
                <w:highlight w:val="none"/>
              </w:rPr>
              <w:t>评价等级</w:t>
            </w:r>
          </w:p>
        </w:tc>
        <w:tc>
          <w:tcPr>
            <w:tcW w:w="1025" w:type="pct"/>
            <w:vAlign w:val="center"/>
          </w:tcPr>
          <w:p w14:paraId="3D69BF81">
            <w:pPr>
              <w:pStyle w:val="10"/>
              <w:tabs>
                <w:tab w:val="left" w:pos="510"/>
                <w:tab w:val="left" w:pos="675"/>
              </w:tabs>
              <w:overflowPunct w:val="0"/>
              <w:jc w:val="center"/>
              <w:rPr>
                <w:rFonts w:ascii="宋体" w:hAnsi="宋体" w:eastAsia="宋体" w:cs="宋体"/>
                <w:sz w:val="24"/>
                <w:szCs w:val="24"/>
                <w:highlight w:val="none"/>
              </w:rPr>
            </w:pPr>
            <w:r>
              <w:rPr>
                <w:rFonts w:hint="eastAsia" w:ascii="宋体" w:hAnsi="宋体" w:eastAsia="宋体" w:cs="宋体"/>
                <w:sz w:val="24"/>
                <w:szCs w:val="24"/>
                <w:highlight w:val="none"/>
              </w:rPr>
              <w:t>优</w:t>
            </w:r>
          </w:p>
        </w:tc>
        <w:tc>
          <w:tcPr>
            <w:tcW w:w="1025" w:type="pct"/>
            <w:vAlign w:val="center"/>
          </w:tcPr>
          <w:p w14:paraId="0A04D498">
            <w:pPr>
              <w:pStyle w:val="10"/>
              <w:tabs>
                <w:tab w:val="left" w:pos="510"/>
                <w:tab w:val="left" w:pos="675"/>
              </w:tabs>
              <w:overflowPunct w:val="0"/>
              <w:jc w:val="center"/>
              <w:rPr>
                <w:rFonts w:ascii="宋体" w:hAnsi="宋体" w:eastAsia="宋体" w:cs="宋体"/>
                <w:sz w:val="24"/>
                <w:szCs w:val="24"/>
                <w:highlight w:val="none"/>
              </w:rPr>
            </w:pPr>
            <w:r>
              <w:rPr>
                <w:rFonts w:hint="eastAsia" w:ascii="宋体" w:hAnsi="宋体" w:eastAsia="宋体" w:cs="宋体"/>
                <w:sz w:val="24"/>
                <w:szCs w:val="24"/>
                <w:highlight w:val="none"/>
              </w:rPr>
              <w:t>良</w:t>
            </w:r>
          </w:p>
        </w:tc>
        <w:tc>
          <w:tcPr>
            <w:tcW w:w="1025" w:type="pct"/>
            <w:vAlign w:val="center"/>
          </w:tcPr>
          <w:p w14:paraId="271F4B72">
            <w:pPr>
              <w:pStyle w:val="10"/>
              <w:tabs>
                <w:tab w:val="left" w:pos="510"/>
                <w:tab w:val="left" w:pos="675"/>
              </w:tabs>
              <w:overflowPunct w:val="0"/>
              <w:jc w:val="center"/>
              <w:rPr>
                <w:rFonts w:ascii="宋体" w:hAnsi="宋体" w:eastAsia="宋体" w:cs="宋体"/>
                <w:sz w:val="24"/>
                <w:szCs w:val="24"/>
                <w:highlight w:val="none"/>
              </w:rPr>
            </w:pPr>
            <w:r>
              <w:rPr>
                <w:rFonts w:hint="eastAsia" w:ascii="宋体" w:hAnsi="宋体" w:eastAsia="宋体" w:cs="宋体"/>
                <w:sz w:val="24"/>
                <w:szCs w:val="24"/>
                <w:highlight w:val="none"/>
              </w:rPr>
              <w:t>中</w:t>
            </w:r>
          </w:p>
        </w:tc>
        <w:tc>
          <w:tcPr>
            <w:tcW w:w="963" w:type="pct"/>
            <w:vAlign w:val="center"/>
          </w:tcPr>
          <w:p w14:paraId="1A11558B">
            <w:pPr>
              <w:pStyle w:val="10"/>
              <w:tabs>
                <w:tab w:val="left" w:pos="510"/>
                <w:tab w:val="left" w:pos="675"/>
              </w:tabs>
              <w:overflowPunct w:val="0"/>
              <w:jc w:val="center"/>
              <w:rPr>
                <w:rFonts w:ascii="宋体" w:hAnsi="宋体" w:eastAsia="宋体" w:cs="宋体"/>
                <w:sz w:val="24"/>
                <w:szCs w:val="24"/>
                <w:highlight w:val="none"/>
              </w:rPr>
            </w:pPr>
            <w:r>
              <w:rPr>
                <w:rFonts w:hint="eastAsia" w:ascii="宋体" w:hAnsi="宋体" w:eastAsia="宋体" w:cs="宋体"/>
                <w:sz w:val="24"/>
                <w:szCs w:val="24"/>
                <w:highlight w:val="none"/>
              </w:rPr>
              <w:t>差</w:t>
            </w:r>
          </w:p>
        </w:tc>
      </w:tr>
      <w:tr w14:paraId="198F51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60" w:type="pct"/>
            <w:vAlign w:val="center"/>
          </w:tcPr>
          <w:p w14:paraId="75765DDD">
            <w:pPr>
              <w:pStyle w:val="10"/>
              <w:tabs>
                <w:tab w:val="left" w:pos="510"/>
                <w:tab w:val="left" w:pos="675"/>
              </w:tabs>
              <w:overflowPunct w:val="0"/>
              <w:jc w:val="center"/>
              <w:rPr>
                <w:rFonts w:ascii="宋体" w:hAnsi="宋体" w:eastAsia="宋体" w:cs="宋体"/>
                <w:sz w:val="24"/>
                <w:szCs w:val="24"/>
                <w:highlight w:val="none"/>
              </w:rPr>
            </w:pPr>
            <w:r>
              <w:rPr>
                <w:rFonts w:hint="eastAsia" w:ascii="宋体" w:hAnsi="宋体" w:eastAsia="宋体" w:cs="宋体"/>
                <w:sz w:val="24"/>
                <w:szCs w:val="24"/>
                <w:highlight w:val="none"/>
              </w:rPr>
              <w:t>评分分值</w:t>
            </w:r>
          </w:p>
        </w:tc>
        <w:tc>
          <w:tcPr>
            <w:tcW w:w="1025" w:type="pct"/>
            <w:vAlign w:val="center"/>
          </w:tcPr>
          <w:p w14:paraId="1849A40D">
            <w:pPr>
              <w:pStyle w:val="10"/>
              <w:tabs>
                <w:tab w:val="left" w:pos="510"/>
                <w:tab w:val="left" w:pos="675"/>
              </w:tabs>
              <w:overflowPunct w:val="0"/>
              <w:jc w:val="center"/>
              <w:rPr>
                <w:rFonts w:ascii="宋体" w:hAnsi="宋体" w:eastAsia="宋体" w:cs="宋体"/>
                <w:sz w:val="24"/>
                <w:szCs w:val="24"/>
                <w:highlight w:val="none"/>
              </w:rPr>
            </w:pPr>
            <w:r>
              <w:rPr>
                <w:rFonts w:hint="eastAsia" w:ascii="宋体" w:hAnsi="宋体" w:eastAsia="宋体" w:cs="宋体"/>
                <w:sz w:val="24"/>
                <w:szCs w:val="24"/>
                <w:highlight w:val="none"/>
              </w:rPr>
              <w:t>≥90</w:t>
            </w:r>
          </w:p>
        </w:tc>
        <w:tc>
          <w:tcPr>
            <w:tcW w:w="1025" w:type="pct"/>
            <w:vAlign w:val="center"/>
          </w:tcPr>
          <w:p w14:paraId="7BF78F14">
            <w:pPr>
              <w:pStyle w:val="10"/>
              <w:tabs>
                <w:tab w:val="left" w:pos="510"/>
                <w:tab w:val="left" w:pos="675"/>
              </w:tabs>
              <w:overflowPunct w:val="0"/>
              <w:jc w:val="center"/>
              <w:rPr>
                <w:rFonts w:ascii="宋体" w:hAnsi="宋体" w:eastAsia="宋体" w:cs="宋体"/>
                <w:sz w:val="24"/>
                <w:szCs w:val="24"/>
                <w:highlight w:val="none"/>
              </w:rPr>
            </w:pPr>
            <w:r>
              <w:rPr>
                <w:rFonts w:hint="eastAsia" w:ascii="宋体" w:hAnsi="宋体" w:eastAsia="宋体" w:cs="宋体"/>
                <w:sz w:val="24"/>
                <w:szCs w:val="24"/>
                <w:highlight w:val="none"/>
              </w:rPr>
              <w:t>＜90，≥80</w:t>
            </w:r>
          </w:p>
        </w:tc>
        <w:tc>
          <w:tcPr>
            <w:tcW w:w="1025" w:type="pct"/>
            <w:vAlign w:val="center"/>
          </w:tcPr>
          <w:p w14:paraId="1998B2D9">
            <w:pPr>
              <w:pStyle w:val="10"/>
              <w:tabs>
                <w:tab w:val="left" w:pos="510"/>
                <w:tab w:val="left" w:pos="675"/>
              </w:tabs>
              <w:overflowPunct w:val="0"/>
              <w:jc w:val="center"/>
              <w:rPr>
                <w:rFonts w:ascii="宋体" w:hAnsi="宋体" w:eastAsia="宋体" w:cs="宋体"/>
                <w:sz w:val="24"/>
                <w:szCs w:val="24"/>
                <w:highlight w:val="none"/>
              </w:rPr>
            </w:pPr>
            <w:r>
              <w:rPr>
                <w:rFonts w:hint="eastAsia" w:ascii="宋体" w:hAnsi="宋体" w:eastAsia="宋体" w:cs="宋体"/>
                <w:sz w:val="24"/>
                <w:szCs w:val="24"/>
                <w:highlight w:val="none"/>
              </w:rPr>
              <w:t>＜80，≥60</w:t>
            </w:r>
          </w:p>
        </w:tc>
        <w:tc>
          <w:tcPr>
            <w:tcW w:w="963" w:type="pct"/>
            <w:vAlign w:val="center"/>
          </w:tcPr>
          <w:p w14:paraId="321E2C7D">
            <w:pPr>
              <w:pStyle w:val="10"/>
              <w:tabs>
                <w:tab w:val="left" w:pos="510"/>
                <w:tab w:val="left" w:pos="675"/>
              </w:tabs>
              <w:overflowPunct w:val="0"/>
              <w:jc w:val="center"/>
              <w:rPr>
                <w:rFonts w:ascii="宋体" w:hAnsi="宋体" w:eastAsia="宋体" w:cs="宋体"/>
                <w:sz w:val="24"/>
                <w:szCs w:val="24"/>
                <w:highlight w:val="none"/>
              </w:rPr>
            </w:pPr>
            <w:r>
              <w:rPr>
                <w:rFonts w:hint="eastAsia" w:ascii="宋体" w:hAnsi="宋体" w:eastAsia="宋体" w:cs="宋体"/>
                <w:sz w:val="24"/>
                <w:szCs w:val="24"/>
                <w:highlight w:val="none"/>
              </w:rPr>
              <w:t>＜60</w:t>
            </w:r>
          </w:p>
        </w:tc>
      </w:tr>
    </w:tbl>
    <w:p w14:paraId="523B2BBA">
      <w:pPr>
        <w:pStyle w:val="10"/>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3" w:firstLineChars="200"/>
        <w:textAlignment w:val="auto"/>
        <w:rPr>
          <w:rFonts w:ascii="仿宋_GB2312" w:hAnsi="仿宋_GB2312" w:cs="仿宋_GB2312"/>
          <w:b/>
          <w:bCs/>
          <w:szCs w:val="28"/>
          <w:highlight w:val="none"/>
        </w:rPr>
      </w:pPr>
      <w:r>
        <w:rPr>
          <w:rFonts w:hint="eastAsia" w:ascii="仿宋_GB2312" w:hAnsi="仿宋_GB2312" w:cs="仿宋_GB2312"/>
          <w:b/>
          <w:bCs/>
          <w:szCs w:val="28"/>
          <w:highlight w:val="none"/>
        </w:rPr>
        <w:t>4.数据来源及证据收集方式</w:t>
      </w:r>
    </w:p>
    <w:p w14:paraId="6E1984F6">
      <w:pPr>
        <w:pStyle w:val="10"/>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textAlignment w:val="auto"/>
        <w:rPr>
          <w:rFonts w:ascii="仿宋_GB2312" w:hAnsi="仿宋_GB2312" w:cs="仿宋_GB2312"/>
          <w:szCs w:val="28"/>
          <w:highlight w:val="none"/>
        </w:rPr>
      </w:pPr>
      <w:r>
        <w:rPr>
          <w:rFonts w:hint="eastAsia" w:ascii="仿宋_GB2312" w:hAnsi="仿宋_GB2312" w:cs="仿宋_GB2312"/>
          <w:szCs w:val="28"/>
          <w:highlight w:val="none"/>
        </w:rPr>
        <w:t>本次绩效评价的证据收集途径主要有：</w:t>
      </w:r>
    </w:p>
    <w:p w14:paraId="18057087">
      <w:pPr>
        <w:pStyle w:val="10"/>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textAlignment w:val="auto"/>
        <w:rPr>
          <w:rFonts w:ascii="仿宋_GB2312" w:hAnsi="仿宋_GB2312" w:cs="仿宋_GB2312"/>
          <w:szCs w:val="28"/>
          <w:highlight w:val="none"/>
        </w:rPr>
      </w:pPr>
      <w:r>
        <w:rPr>
          <w:rFonts w:hint="eastAsia" w:ascii="仿宋_GB2312" w:hAnsi="仿宋_GB2312" w:cs="仿宋_GB2312"/>
          <w:szCs w:val="28"/>
          <w:highlight w:val="none"/>
        </w:rPr>
        <w:t>（1）由</w:t>
      </w:r>
      <w:r>
        <w:rPr>
          <w:rFonts w:hint="eastAsia" w:ascii="仿宋_GB2312" w:hAnsi="仿宋_GB2312" w:cs="仿宋_GB2312"/>
          <w:szCs w:val="28"/>
          <w:highlight w:val="none"/>
          <w:lang w:val="en-US" w:eastAsia="zh-CN"/>
        </w:rPr>
        <w:t>84家基层人民法院</w:t>
      </w:r>
      <w:r>
        <w:rPr>
          <w:rFonts w:hint="eastAsia" w:ascii="仿宋_GB2312" w:hAnsi="仿宋_GB2312" w:cs="仿宋_GB2312"/>
          <w:highlight w:val="none"/>
        </w:rPr>
        <w:t>根据资料清单</w:t>
      </w:r>
      <w:r>
        <w:rPr>
          <w:rFonts w:hint="eastAsia" w:ascii="仿宋_GB2312" w:hAnsi="仿宋_GB2312" w:cs="仿宋_GB2312"/>
          <w:szCs w:val="28"/>
          <w:highlight w:val="none"/>
        </w:rPr>
        <w:t>提供基础数据资料；</w:t>
      </w:r>
    </w:p>
    <w:p w14:paraId="6C4BE4AE">
      <w:pPr>
        <w:pStyle w:val="10"/>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textAlignment w:val="auto"/>
        <w:rPr>
          <w:rFonts w:ascii="仿宋_GB2312" w:hAnsi="仿宋_GB2312" w:cs="仿宋_GB2312"/>
          <w:szCs w:val="28"/>
          <w:highlight w:val="none"/>
        </w:rPr>
      </w:pPr>
      <w:r>
        <w:rPr>
          <w:rFonts w:hint="eastAsia" w:ascii="仿宋_GB2312" w:hAnsi="仿宋_GB2312" w:cs="仿宋_GB2312"/>
          <w:szCs w:val="28"/>
          <w:highlight w:val="none"/>
        </w:rPr>
        <w:t>（2）通过与</w:t>
      </w:r>
      <w:r>
        <w:rPr>
          <w:rFonts w:hint="eastAsia" w:ascii="仿宋_GB2312" w:hAnsi="仿宋_GB2312" w:cs="仿宋_GB2312"/>
          <w:szCs w:val="28"/>
          <w:highlight w:val="none"/>
          <w:lang w:val="en-US" w:eastAsia="zh-CN"/>
        </w:rPr>
        <w:t>法院</w:t>
      </w:r>
      <w:r>
        <w:rPr>
          <w:rFonts w:hint="eastAsia" w:ascii="仿宋_GB2312" w:hAnsi="仿宋_GB2312" w:cs="仿宋_GB2312"/>
          <w:highlight w:val="none"/>
        </w:rPr>
        <w:t>相关工作人员</w:t>
      </w:r>
      <w:r>
        <w:rPr>
          <w:rFonts w:hint="eastAsia" w:ascii="仿宋_GB2312" w:hAnsi="仿宋_GB2312" w:cs="仿宋_GB2312"/>
          <w:szCs w:val="28"/>
          <w:highlight w:val="none"/>
        </w:rPr>
        <w:t>交流，获取信息，了解项目的成效；</w:t>
      </w:r>
    </w:p>
    <w:p w14:paraId="427FD865">
      <w:pPr>
        <w:pStyle w:val="10"/>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textAlignment w:val="auto"/>
        <w:rPr>
          <w:rFonts w:ascii="仿宋_GB2312" w:hAnsi="仿宋_GB2312" w:cs="仿宋_GB2312"/>
          <w:szCs w:val="28"/>
          <w:highlight w:val="none"/>
        </w:rPr>
      </w:pPr>
      <w:r>
        <w:rPr>
          <w:rFonts w:hint="eastAsia" w:ascii="仿宋_GB2312" w:hAnsi="仿宋_GB2312" w:cs="仿宋_GB2312"/>
          <w:szCs w:val="28"/>
          <w:highlight w:val="none"/>
        </w:rPr>
        <w:t>（3）对受益对象进行问卷调查，获取满意度数据。</w:t>
      </w:r>
    </w:p>
    <w:p w14:paraId="761B1A12">
      <w:pPr>
        <w:pStyle w:val="10"/>
        <w:keepNext w:val="0"/>
        <w:keepLines w:val="0"/>
        <w:pageBreakBefore w:val="0"/>
        <w:widowControl w:val="0"/>
        <w:kinsoku/>
        <w:wordWrap/>
        <w:overflowPunct w:val="0"/>
        <w:topLinePunct w:val="0"/>
        <w:autoSpaceDE/>
        <w:autoSpaceDN/>
        <w:bidi w:val="0"/>
        <w:adjustRightInd/>
        <w:snapToGrid/>
        <w:spacing w:line="560" w:lineRule="exact"/>
        <w:ind w:firstLine="643" w:firstLineChars="200"/>
        <w:textAlignment w:val="auto"/>
        <w:outlineLvl w:val="1"/>
        <w:rPr>
          <w:rFonts w:ascii="楷体" w:hAnsi="楷体" w:eastAsia="楷体" w:cs="楷体"/>
          <w:b/>
          <w:bCs/>
          <w:highlight w:val="none"/>
        </w:rPr>
      </w:pPr>
      <w:bookmarkStart w:id="96" w:name="_Toc32532"/>
      <w:bookmarkStart w:id="97" w:name="_Toc8104"/>
      <w:r>
        <w:rPr>
          <w:rFonts w:hint="eastAsia" w:ascii="楷体" w:hAnsi="楷体" w:eastAsia="楷体" w:cs="楷体"/>
          <w:b/>
          <w:bCs/>
          <w:highlight w:val="none"/>
        </w:rPr>
        <w:t>（</w:t>
      </w:r>
      <w:r>
        <w:rPr>
          <w:rFonts w:hint="eastAsia" w:ascii="楷体" w:hAnsi="楷体" w:eastAsia="楷体" w:cs="楷体"/>
          <w:b/>
          <w:bCs/>
          <w:highlight w:val="none"/>
          <w:lang w:val="en-US" w:eastAsia="zh-CN"/>
        </w:rPr>
        <w:t>六</w:t>
      </w:r>
      <w:r>
        <w:rPr>
          <w:rFonts w:hint="eastAsia" w:ascii="楷体" w:hAnsi="楷体" w:eastAsia="楷体" w:cs="楷体"/>
          <w:b/>
          <w:bCs/>
          <w:highlight w:val="none"/>
        </w:rPr>
        <w:t>）绩效评价工作过程</w:t>
      </w:r>
      <w:bookmarkEnd w:id="96"/>
      <w:bookmarkEnd w:id="97"/>
    </w:p>
    <w:p w14:paraId="02D8E7BD">
      <w:pPr>
        <w:pStyle w:val="10"/>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rPr>
          <w:rFonts w:ascii="仿宋_GB2312" w:hAnsi="仿宋_GB2312" w:cs="仿宋_GB2312"/>
          <w:highlight w:val="none"/>
        </w:rPr>
      </w:pPr>
      <w:bookmarkStart w:id="98" w:name="_Toc10150"/>
      <w:bookmarkStart w:id="99" w:name="_Toc1946"/>
      <w:bookmarkStart w:id="100" w:name="_Toc95"/>
      <w:bookmarkStart w:id="101" w:name="_Toc30609"/>
      <w:bookmarkStart w:id="102" w:name="_Toc3172"/>
      <w:bookmarkStart w:id="103" w:name="_Toc19094"/>
      <w:bookmarkStart w:id="104" w:name="_Toc27041"/>
      <w:bookmarkStart w:id="105" w:name="_Toc31135"/>
      <w:r>
        <w:rPr>
          <w:rFonts w:hint="eastAsia" w:ascii="仿宋_GB2312" w:hAnsi="仿宋_GB2312" w:cs="仿宋_GB2312"/>
          <w:highlight w:val="none"/>
        </w:rPr>
        <w:t>绩效评价工作过程主要包括准备阶段、实施阶段、撰写报告阶段三个阶段。</w:t>
      </w:r>
      <w:bookmarkEnd w:id="98"/>
      <w:bookmarkEnd w:id="99"/>
      <w:bookmarkEnd w:id="100"/>
      <w:bookmarkEnd w:id="101"/>
      <w:bookmarkEnd w:id="102"/>
      <w:bookmarkEnd w:id="103"/>
      <w:bookmarkEnd w:id="104"/>
      <w:bookmarkEnd w:id="105"/>
    </w:p>
    <w:p w14:paraId="11BACD6F">
      <w:pPr>
        <w:pStyle w:val="5"/>
        <w:keepNext w:val="0"/>
        <w:keepLines w:val="0"/>
        <w:pageBreakBefore w:val="0"/>
        <w:widowControl w:val="0"/>
        <w:kinsoku/>
        <w:wordWrap/>
        <w:overflowPunct w:val="0"/>
        <w:topLinePunct w:val="0"/>
        <w:autoSpaceDE/>
        <w:autoSpaceDN/>
        <w:bidi w:val="0"/>
        <w:adjustRightInd/>
        <w:snapToGrid/>
        <w:spacing w:before="0" w:after="0" w:line="560" w:lineRule="exact"/>
        <w:ind w:firstLine="643" w:firstLineChars="200"/>
        <w:textAlignment w:val="auto"/>
        <w:rPr>
          <w:rFonts w:ascii="仿宋_GB2312" w:hAnsi="仿宋_GB2312" w:eastAsia="仿宋_GB2312" w:cs="仿宋_GB2312"/>
          <w:color w:val="000000" w:themeColor="text1"/>
          <w:szCs w:val="32"/>
          <w:highlight w:val="none"/>
          <w14:textFill>
            <w14:solidFill>
              <w14:schemeClr w14:val="tx1"/>
            </w14:solidFill>
          </w14:textFill>
        </w:rPr>
      </w:pPr>
      <w:r>
        <w:rPr>
          <w:rFonts w:hint="eastAsia" w:ascii="仿宋_GB2312" w:hAnsi="仿宋_GB2312" w:eastAsia="仿宋_GB2312" w:cs="仿宋_GB2312"/>
          <w:color w:val="000000" w:themeColor="text1"/>
          <w:szCs w:val="32"/>
          <w:highlight w:val="none"/>
          <w14:textFill>
            <w14:solidFill>
              <w14:schemeClr w14:val="tx1"/>
            </w14:solidFill>
          </w14:textFill>
        </w:rPr>
        <w:t>1.准备阶段</w:t>
      </w:r>
    </w:p>
    <w:p w14:paraId="7225067E">
      <w:pPr>
        <w:pStyle w:val="10"/>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textAlignment w:val="auto"/>
        <w:rPr>
          <w:rFonts w:ascii="仿宋_GB2312" w:hAnsi="仿宋_GB2312" w:cs="仿宋_GB2312"/>
          <w:highlight w:val="none"/>
        </w:rPr>
      </w:pPr>
      <w:r>
        <w:rPr>
          <w:rFonts w:hint="eastAsia" w:ascii="仿宋_GB2312" w:hAnsi="仿宋_GB2312" w:cs="仿宋_GB2312"/>
          <w:highlight w:val="none"/>
        </w:rPr>
        <w:t>（1）确定绩效评价组</w:t>
      </w:r>
    </w:p>
    <w:p w14:paraId="5C64D89F">
      <w:pPr>
        <w:pStyle w:val="10"/>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textAlignment w:val="auto"/>
        <w:rPr>
          <w:rFonts w:ascii="仿宋_GB2312" w:hAnsi="仿宋_GB2312" w:cs="仿宋_GB2312"/>
          <w:szCs w:val="28"/>
          <w:highlight w:val="none"/>
        </w:rPr>
      </w:pPr>
      <w:r>
        <w:rPr>
          <w:rFonts w:hint="eastAsia" w:ascii="仿宋_GB2312" w:hAnsi="仿宋_GB2312" w:cs="仿宋_GB2312"/>
          <w:highlight w:val="none"/>
          <w:lang w:val="en-US" w:eastAsia="zh-CN"/>
        </w:rPr>
        <w:t>甘肃省高级人民法院</w:t>
      </w:r>
      <w:r>
        <w:rPr>
          <w:rFonts w:hint="eastAsia" w:ascii="仿宋_GB2312" w:hAnsi="仿宋_GB2312" w:cs="仿宋_GB2312"/>
          <w:highlight w:val="none"/>
        </w:rPr>
        <w:t>安排部署本次绩效评价工作</w:t>
      </w:r>
      <w:r>
        <w:rPr>
          <w:rFonts w:hint="eastAsia" w:ascii="仿宋_GB2312" w:hAnsi="仿宋_GB2312" w:cs="仿宋_GB2312"/>
          <w:highlight w:val="none"/>
          <w:lang w:eastAsia="zh-CN"/>
        </w:rPr>
        <w:t>，</w:t>
      </w:r>
      <w:r>
        <w:rPr>
          <w:rFonts w:hint="eastAsia" w:ascii="仿宋_GB2312" w:hAnsi="仿宋_GB2312" w:cs="仿宋_GB2312"/>
          <w:highlight w:val="none"/>
        </w:rPr>
        <w:t>我公司及时确定绩效评价对象和范围、成立评价工作组、开展前期调研、研究制定绩效评价工作方案、组织专家论证，明确了工作范围和职责，组织评价组人员进行业务培训，认真组织学习了相关政策法规制度、评价指标体系和评价方案，明确评价工作程序及要求，解析评价指标体系，使各参评人员对绩效评价情况做进一步了解。</w:t>
      </w:r>
      <w:r>
        <w:rPr>
          <w:rFonts w:hint="eastAsia" w:ascii="仿宋_GB2312" w:hAnsi="仿宋_GB2312" w:cs="仿宋_GB2312"/>
          <w:szCs w:val="28"/>
          <w:highlight w:val="none"/>
        </w:rPr>
        <w:t>评价工作组人员名单及职责分工情况见下表：</w:t>
      </w:r>
    </w:p>
    <w:tbl>
      <w:tblPr>
        <w:tblStyle w:val="21"/>
        <w:tblW w:w="4960" w:type="pct"/>
        <w:tblInd w:w="9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1"/>
        <w:gridCol w:w="1248"/>
        <w:gridCol w:w="1581"/>
        <w:gridCol w:w="2243"/>
        <w:gridCol w:w="2996"/>
      </w:tblGrid>
      <w:tr w14:paraId="56D5FA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512" w:type="pct"/>
            <w:vAlign w:val="center"/>
          </w:tcPr>
          <w:p w14:paraId="21795551">
            <w:pPr>
              <w:pStyle w:val="10"/>
              <w:overflowPunct w:val="0"/>
              <w:spacing w:line="360" w:lineRule="auto"/>
              <w:jc w:val="center"/>
              <w:rPr>
                <w:rFonts w:ascii="宋体" w:hAnsi="宋体" w:eastAsia="宋体" w:cs="Times New Roman"/>
                <w:b/>
                <w:bCs/>
                <w:sz w:val="24"/>
                <w:szCs w:val="24"/>
                <w:highlight w:val="none"/>
                <w:shd w:val="clear" w:color="auto" w:fill="FFFFFF"/>
              </w:rPr>
            </w:pPr>
            <w:r>
              <w:rPr>
                <w:rFonts w:hint="eastAsia" w:ascii="宋体" w:hAnsi="宋体" w:eastAsia="宋体" w:cs="Times New Roman"/>
                <w:b/>
                <w:bCs/>
                <w:sz w:val="24"/>
                <w:szCs w:val="24"/>
                <w:highlight w:val="none"/>
                <w:shd w:val="clear" w:color="auto" w:fill="FFFFFF"/>
              </w:rPr>
              <w:t>序号</w:t>
            </w:r>
          </w:p>
        </w:tc>
        <w:tc>
          <w:tcPr>
            <w:tcW w:w="694" w:type="pct"/>
            <w:vAlign w:val="center"/>
          </w:tcPr>
          <w:p w14:paraId="09B89503">
            <w:pPr>
              <w:pStyle w:val="10"/>
              <w:overflowPunct w:val="0"/>
              <w:spacing w:line="360" w:lineRule="auto"/>
              <w:jc w:val="center"/>
              <w:rPr>
                <w:rFonts w:ascii="宋体" w:hAnsi="宋体" w:eastAsia="宋体" w:cs="Times New Roman"/>
                <w:b/>
                <w:bCs/>
                <w:sz w:val="24"/>
                <w:szCs w:val="24"/>
                <w:highlight w:val="none"/>
                <w:shd w:val="clear" w:color="auto" w:fill="FFFFFF"/>
              </w:rPr>
            </w:pPr>
            <w:r>
              <w:rPr>
                <w:rFonts w:hint="eastAsia" w:ascii="宋体" w:hAnsi="宋体" w:eastAsia="宋体" w:cs="Times New Roman"/>
                <w:b/>
                <w:bCs/>
                <w:sz w:val="24"/>
                <w:szCs w:val="24"/>
                <w:highlight w:val="none"/>
                <w:shd w:val="clear" w:color="auto" w:fill="FFFFFF"/>
              </w:rPr>
              <w:t>姓名</w:t>
            </w:r>
          </w:p>
        </w:tc>
        <w:tc>
          <w:tcPr>
            <w:tcW w:w="879" w:type="pct"/>
            <w:vAlign w:val="center"/>
          </w:tcPr>
          <w:p w14:paraId="2C6AE336">
            <w:pPr>
              <w:pStyle w:val="10"/>
              <w:overflowPunct w:val="0"/>
              <w:spacing w:line="360" w:lineRule="auto"/>
              <w:jc w:val="center"/>
              <w:rPr>
                <w:rFonts w:ascii="宋体" w:hAnsi="宋体" w:eastAsia="宋体" w:cs="Times New Roman"/>
                <w:b/>
                <w:bCs/>
                <w:sz w:val="24"/>
                <w:szCs w:val="24"/>
                <w:highlight w:val="none"/>
                <w:shd w:val="clear" w:color="auto" w:fill="FFFFFF"/>
              </w:rPr>
            </w:pPr>
            <w:r>
              <w:rPr>
                <w:rFonts w:hint="eastAsia" w:ascii="宋体" w:hAnsi="宋体" w:eastAsia="宋体" w:cs="Times New Roman"/>
                <w:b/>
                <w:bCs/>
                <w:sz w:val="24"/>
                <w:szCs w:val="24"/>
                <w:highlight w:val="none"/>
                <w:shd w:val="clear" w:color="auto" w:fill="FFFFFF"/>
              </w:rPr>
              <w:t>职务</w:t>
            </w:r>
          </w:p>
        </w:tc>
        <w:tc>
          <w:tcPr>
            <w:tcW w:w="1247" w:type="pct"/>
            <w:vAlign w:val="center"/>
          </w:tcPr>
          <w:p w14:paraId="2C07F629">
            <w:pPr>
              <w:pStyle w:val="10"/>
              <w:overflowPunct w:val="0"/>
              <w:spacing w:line="360" w:lineRule="auto"/>
              <w:jc w:val="center"/>
              <w:rPr>
                <w:rFonts w:ascii="宋体" w:hAnsi="宋体" w:eastAsia="宋体" w:cs="Times New Roman"/>
                <w:b/>
                <w:bCs/>
                <w:sz w:val="24"/>
                <w:szCs w:val="24"/>
                <w:highlight w:val="none"/>
                <w:shd w:val="clear" w:color="auto" w:fill="FFFFFF"/>
              </w:rPr>
            </w:pPr>
            <w:r>
              <w:rPr>
                <w:rFonts w:hint="eastAsia" w:ascii="宋体" w:hAnsi="宋体" w:eastAsia="宋体" w:cs="Times New Roman"/>
                <w:b/>
                <w:bCs/>
                <w:sz w:val="24"/>
                <w:szCs w:val="24"/>
                <w:highlight w:val="none"/>
                <w:shd w:val="clear" w:color="auto" w:fill="FFFFFF"/>
              </w:rPr>
              <w:t>职称和职业资格</w:t>
            </w:r>
          </w:p>
        </w:tc>
        <w:tc>
          <w:tcPr>
            <w:tcW w:w="1666" w:type="pct"/>
          </w:tcPr>
          <w:p w14:paraId="1C821080">
            <w:pPr>
              <w:pStyle w:val="10"/>
              <w:overflowPunct w:val="0"/>
              <w:spacing w:line="360" w:lineRule="auto"/>
              <w:jc w:val="center"/>
              <w:rPr>
                <w:rFonts w:ascii="宋体" w:hAnsi="宋体" w:eastAsia="宋体" w:cs="Times New Roman"/>
                <w:b/>
                <w:bCs/>
                <w:sz w:val="24"/>
                <w:szCs w:val="24"/>
                <w:highlight w:val="none"/>
                <w:shd w:val="clear" w:color="auto" w:fill="FFFFFF"/>
              </w:rPr>
            </w:pPr>
            <w:r>
              <w:rPr>
                <w:rFonts w:hint="eastAsia" w:ascii="宋体" w:hAnsi="宋体" w:eastAsia="宋体" w:cs="Times New Roman"/>
                <w:b/>
                <w:bCs/>
                <w:sz w:val="24"/>
                <w:szCs w:val="24"/>
                <w:highlight w:val="none"/>
                <w:shd w:val="clear" w:color="auto" w:fill="FFFFFF"/>
              </w:rPr>
              <w:t>工作内容</w:t>
            </w:r>
          </w:p>
        </w:tc>
      </w:tr>
      <w:tr w14:paraId="205CEB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12" w:type="pct"/>
            <w:vAlign w:val="center"/>
          </w:tcPr>
          <w:p w14:paraId="1E9F43CC">
            <w:pPr>
              <w:pStyle w:val="10"/>
              <w:overflowPunct w:val="0"/>
              <w:spacing w:line="360" w:lineRule="auto"/>
              <w:jc w:val="center"/>
              <w:rPr>
                <w:rFonts w:ascii="宋体" w:hAnsi="宋体" w:eastAsia="宋体" w:cs="Times New Roman"/>
                <w:sz w:val="24"/>
                <w:szCs w:val="24"/>
                <w:highlight w:val="none"/>
                <w:shd w:val="clear" w:color="auto" w:fill="FFFFFF"/>
              </w:rPr>
            </w:pPr>
            <w:r>
              <w:rPr>
                <w:rFonts w:hint="eastAsia" w:ascii="宋体" w:hAnsi="宋体" w:eastAsia="宋体" w:cs="Times New Roman"/>
                <w:sz w:val="24"/>
                <w:szCs w:val="24"/>
                <w:highlight w:val="none"/>
                <w:shd w:val="clear" w:color="auto" w:fill="FFFFFF"/>
              </w:rPr>
              <w:t>1</w:t>
            </w:r>
          </w:p>
        </w:tc>
        <w:tc>
          <w:tcPr>
            <w:tcW w:w="694" w:type="pct"/>
            <w:vAlign w:val="center"/>
          </w:tcPr>
          <w:p w14:paraId="7BE3B3B4">
            <w:pPr>
              <w:pStyle w:val="10"/>
              <w:overflowPunct w:val="0"/>
              <w:spacing w:line="360" w:lineRule="auto"/>
              <w:jc w:val="center"/>
              <w:rPr>
                <w:rFonts w:ascii="宋体" w:hAnsi="宋体" w:eastAsia="宋体" w:cs="Times New Roman"/>
                <w:sz w:val="24"/>
                <w:szCs w:val="24"/>
                <w:highlight w:val="none"/>
                <w:shd w:val="clear" w:color="auto" w:fill="FFFFFF"/>
              </w:rPr>
            </w:pPr>
            <w:r>
              <w:rPr>
                <w:rFonts w:hint="eastAsia" w:ascii="宋体" w:hAnsi="宋体" w:eastAsia="宋体" w:cs="Times New Roman"/>
                <w:sz w:val="24"/>
                <w:szCs w:val="24"/>
                <w:highlight w:val="none"/>
                <w:shd w:val="clear" w:color="auto" w:fill="FFFFFF"/>
              </w:rPr>
              <w:t>郑生伟</w:t>
            </w:r>
          </w:p>
        </w:tc>
        <w:tc>
          <w:tcPr>
            <w:tcW w:w="879" w:type="pct"/>
            <w:vAlign w:val="center"/>
          </w:tcPr>
          <w:p w14:paraId="36EC5EF3">
            <w:pPr>
              <w:pStyle w:val="10"/>
              <w:overflowPunct w:val="0"/>
              <w:spacing w:line="360" w:lineRule="auto"/>
              <w:jc w:val="center"/>
              <w:rPr>
                <w:rFonts w:ascii="宋体" w:hAnsi="宋体" w:eastAsia="宋体" w:cs="Times New Roman"/>
                <w:sz w:val="24"/>
                <w:szCs w:val="24"/>
                <w:highlight w:val="none"/>
                <w:shd w:val="clear" w:color="auto" w:fill="FFFFFF"/>
              </w:rPr>
            </w:pPr>
            <w:r>
              <w:rPr>
                <w:rFonts w:hint="eastAsia" w:ascii="宋体" w:hAnsi="宋体" w:eastAsia="宋体" w:cs="Times New Roman"/>
                <w:sz w:val="24"/>
                <w:szCs w:val="24"/>
                <w:highlight w:val="none"/>
                <w:shd w:val="clear" w:color="auto" w:fill="FFFFFF"/>
              </w:rPr>
              <w:t>审核人</w:t>
            </w:r>
          </w:p>
        </w:tc>
        <w:tc>
          <w:tcPr>
            <w:tcW w:w="1247" w:type="pct"/>
            <w:vAlign w:val="center"/>
          </w:tcPr>
          <w:p w14:paraId="5FCFF7BE">
            <w:pPr>
              <w:pStyle w:val="10"/>
              <w:overflowPunct w:val="0"/>
              <w:spacing w:line="360" w:lineRule="auto"/>
              <w:jc w:val="center"/>
              <w:rPr>
                <w:rFonts w:ascii="宋体" w:hAnsi="宋体" w:eastAsia="宋体" w:cs="Times New Roman"/>
                <w:sz w:val="24"/>
                <w:szCs w:val="24"/>
                <w:highlight w:val="none"/>
                <w:shd w:val="clear" w:color="auto" w:fill="FFFFFF"/>
              </w:rPr>
            </w:pPr>
            <w:r>
              <w:rPr>
                <w:rFonts w:hint="eastAsia" w:ascii="宋体" w:hAnsi="宋体" w:eastAsia="宋体" w:cs="Times New Roman"/>
                <w:sz w:val="24"/>
                <w:szCs w:val="24"/>
                <w:highlight w:val="none"/>
                <w:shd w:val="clear" w:color="auto" w:fill="FFFFFF"/>
              </w:rPr>
              <w:t>绩效评价师</w:t>
            </w:r>
          </w:p>
        </w:tc>
        <w:tc>
          <w:tcPr>
            <w:tcW w:w="1666" w:type="pct"/>
            <w:vAlign w:val="center"/>
          </w:tcPr>
          <w:p w14:paraId="7A1460A7">
            <w:pPr>
              <w:pStyle w:val="10"/>
              <w:overflowPunct w:val="0"/>
              <w:spacing w:line="360" w:lineRule="auto"/>
              <w:jc w:val="center"/>
              <w:rPr>
                <w:rFonts w:ascii="宋体" w:hAnsi="宋体" w:eastAsia="宋体" w:cs="Times New Roman"/>
                <w:sz w:val="24"/>
                <w:szCs w:val="24"/>
                <w:highlight w:val="none"/>
                <w:shd w:val="clear" w:color="auto" w:fill="FFFFFF"/>
              </w:rPr>
            </w:pPr>
            <w:r>
              <w:rPr>
                <w:rFonts w:hint="eastAsia" w:ascii="宋体" w:hAnsi="宋体" w:eastAsia="宋体" w:cs="Times New Roman"/>
                <w:sz w:val="24"/>
                <w:szCs w:val="24"/>
                <w:highlight w:val="none"/>
                <w:shd w:val="clear" w:color="auto" w:fill="FFFFFF"/>
              </w:rPr>
              <w:t>绩效评价指导、复核</w:t>
            </w:r>
          </w:p>
        </w:tc>
      </w:tr>
      <w:tr w14:paraId="315FF3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12" w:type="pct"/>
            <w:vAlign w:val="center"/>
          </w:tcPr>
          <w:p w14:paraId="219A4187">
            <w:pPr>
              <w:pStyle w:val="10"/>
              <w:overflowPunct w:val="0"/>
              <w:spacing w:line="360" w:lineRule="auto"/>
              <w:jc w:val="center"/>
              <w:rPr>
                <w:rFonts w:ascii="宋体" w:hAnsi="宋体" w:eastAsia="宋体" w:cs="Times New Roman"/>
                <w:sz w:val="24"/>
                <w:szCs w:val="24"/>
                <w:highlight w:val="none"/>
                <w:shd w:val="clear" w:color="auto" w:fill="FFFFFF"/>
              </w:rPr>
            </w:pPr>
            <w:r>
              <w:rPr>
                <w:rFonts w:hint="eastAsia" w:ascii="宋体" w:hAnsi="宋体" w:eastAsia="宋体" w:cs="Times New Roman"/>
                <w:sz w:val="24"/>
                <w:szCs w:val="24"/>
                <w:highlight w:val="none"/>
                <w:shd w:val="clear" w:color="auto" w:fill="FFFFFF"/>
              </w:rPr>
              <w:t>2</w:t>
            </w:r>
          </w:p>
        </w:tc>
        <w:tc>
          <w:tcPr>
            <w:tcW w:w="694" w:type="pct"/>
            <w:vAlign w:val="center"/>
          </w:tcPr>
          <w:p w14:paraId="71161970">
            <w:pPr>
              <w:pStyle w:val="10"/>
              <w:overflowPunct w:val="0"/>
              <w:spacing w:line="360" w:lineRule="auto"/>
              <w:jc w:val="center"/>
              <w:rPr>
                <w:rFonts w:ascii="宋体" w:hAnsi="宋体" w:eastAsia="宋体" w:cs="Times New Roman"/>
                <w:sz w:val="24"/>
                <w:szCs w:val="24"/>
                <w:highlight w:val="none"/>
                <w:shd w:val="clear" w:color="auto" w:fill="FFFFFF"/>
              </w:rPr>
            </w:pPr>
            <w:r>
              <w:rPr>
                <w:rFonts w:hint="eastAsia" w:ascii="宋体" w:hAnsi="宋体" w:eastAsia="宋体" w:cs="Times New Roman"/>
                <w:sz w:val="24"/>
                <w:szCs w:val="24"/>
                <w:highlight w:val="none"/>
                <w:shd w:val="clear" w:color="auto" w:fill="FFFFFF"/>
              </w:rPr>
              <w:t>刘燕</w:t>
            </w:r>
          </w:p>
        </w:tc>
        <w:tc>
          <w:tcPr>
            <w:tcW w:w="879" w:type="pct"/>
            <w:vAlign w:val="center"/>
          </w:tcPr>
          <w:p w14:paraId="6F9AEF1E">
            <w:pPr>
              <w:pStyle w:val="10"/>
              <w:overflowPunct w:val="0"/>
              <w:spacing w:line="360" w:lineRule="auto"/>
              <w:jc w:val="center"/>
              <w:rPr>
                <w:rFonts w:ascii="宋体" w:hAnsi="宋体" w:eastAsia="宋体" w:cs="Times New Roman"/>
                <w:sz w:val="24"/>
                <w:szCs w:val="24"/>
                <w:highlight w:val="none"/>
                <w:shd w:val="clear" w:color="auto" w:fill="FFFFFF"/>
              </w:rPr>
            </w:pPr>
            <w:r>
              <w:rPr>
                <w:rFonts w:hint="eastAsia" w:ascii="宋体" w:hAnsi="宋体" w:eastAsia="宋体" w:cs="Times New Roman"/>
                <w:sz w:val="24"/>
                <w:szCs w:val="24"/>
                <w:highlight w:val="none"/>
                <w:shd w:val="clear" w:color="auto" w:fill="FFFFFF"/>
              </w:rPr>
              <w:t>主评人</w:t>
            </w:r>
          </w:p>
        </w:tc>
        <w:tc>
          <w:tcPr>
            <w:tcW w:w="1247" w:type="pct"/>
            <w:vAlign w:val="center"/>
          </w:tcPr>
          <w:p w14:paraId="6232072B">
            <w:pPr>
              <w:pStyle w:val="10"/>
              <w:overflowPunct w:val="0"/>
              <w:spacing w:line="360" w:lineRule="auto"/>
              <w:jc w:val="center"/>
              <w:rPr>
                <w:rFonts w:ascii="宋体" w:hAnsi="宋体" w:eastAsia="宋体" w:cs="Times New Roman"/>
                <w:sz w:val="24"/>
                <w:szCs w:val="24"/>
                <w:highlight w:val="none"/>
                <w:shd w:val="clear" w:color="auto" w:fill="FFFFFF"/>
              </w:rPr>
            </w:pPr>
            <w:r>
              <w:rPr>
                <w:rFonts w:hint="eastAsia" w:ascii="宋体" w:hAnsi="宋体" w:eastAsia="宋体" w:cs="Times New Roman"/>
                <w:sz w:val="24"/>
                <w:szCs w:val="24"/>
                <w:highlight w:val="none"/>
                <w:shd w:val="clear" w:color="auto" w:fill="FFFFFF"/>
              </w:rPr>
              <w:t>绩效评价师</w:t>
            </w:r>
          </w:p>
        </w:tc>
        <w:tc>
          <w:tcPr>
            <w:tcW w:w="1666" w:type="pct"/>
            <w:vAlign w:val="center"/>
          </w:tcPr>
          <w:p w14:paraId="74F39F7B">
            <w:pPr>
              <w:pStyle w:val="10"/>
              <w:overflowPunct w:val="0"/>
              <w:spacing w:line="360" w:lineRule="auto"/>
              <w:jc w:val="center"/>
              <w:rPr>
                <w:rFonts w:ascii="宋体" w:hAnsi="宋体" w:eastAsia="宋体" w:cs="Times New Roman"/>
                <w:sz w:val="24"/>
                <w:szCs w:val="24"/>
                <w:highlight w:val="none"/>
                <w:shd w:val="clear" w:color="auto" w:fill="FFFFFF"/>
              </w:rPr>
            </w:pPr>
            <w:r>
              <w:rPr>
                <w:rFonts w:hint="eastAsia" w:ascii="宋体" w:hAnsi="宋体" w:eastAsia="宋体" w:cs="Times New Roman"/>
                <w:sz w:val="24"/>
                <w:szCs w:val="24"/>
                <w:highlight w:val="none"/>
                <w:shd w:val="clear" w:color="auto" w:fill="FFFFFF"/>
              </w:rPr>
              <w:t>制定评价方案、评价报告撰写、现场及非现场评价</w:t>
            </w:r>
          </w:p>
        </w:tc>
      </w:tr>
      <w:tr w14:paraId="182974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12" w:type="pct"/>
            <w:vAlign w:val="center"/>
          </w:tcPr>
          <w:p w14:paraId="3A57F47B">
            <w:pPr>
              <w:pStyle w:val="10"/>
              <w:overflowPunct w:val="0"/>
              <w:spacing w:line="360" w:lineRule="auto"/>
              <w:jc w:val="center"/>
              <w:rPr>
                <w:rFonts w:hint="eastAsia" w:ascii="宋体" w:hAnsi="宋体" w:eastAsia="宋体" w:cs="Times New Roman"/>
                <w:sz w:val="24"/>
                <w:szCs w:val="24"/>
                <w:highlight w:val="none"/>
                <w:shd w:val="clear" w:color="auto" w:fill="FFFFFF"/>
              </w:rPr>
            </w:pPr>
            <w:r>
              <w:rPr>
                <w:rFonts w:hint="eastAsia" w:ascii="宋体" w:hAnsi="宋体" w:eastAsia="宋体" w:cs="Times New Roman"/>
                <w:sz w:val="24"/>
                <w:szCs w:val="24"/>
                <w:highlight w:val="none"/>
                <w:shd w:val="clear" w:color="auto" w:fill="FFFFFF"/>
              </w:rPr>
              <w:t>3</w:t>
            </w:r>
          </w:p>
        </w:tc>
        <w:tc>
          <w:tcPr>
            <w:tcW w:w="694" w:type="pct"/>
            <w:vAlign w:val="center"/>
          </w:tcPr>
          <w:p w14:paraId="42655429">
            <w:pPr>
              <w:pStyle w:val="10"/>
              <w:overflowPunct w:val="0"/>
              <w:spacing w:line="360" w:lineRule="auto"/>
              <w:jc w:val="center"/>
              <w:rPr>
                <w:rFonts w:hint="eastAsia" w:ascii="宋体" w:hAnsi="宋体" w:eastAsia="宋体" w:cs="Times New Roman"/>
                <w:kern w:val="2"/>
                <w:sz w:val="24"/>
                <w:szCs w:val="24"/>
                <w:highlight w:val="yellow"/>
                <w:shd w:val="clear" w:color="auto" w:fill="FFFFFF"/>
                <w:lang w:val="en-US" w:eastAsia="zh-CN" w:bidi="ar-SA"/>
              </w:rPr>
            </w:pPr>
            <w:r>
              <w:rPr>
                <w:rFonts w:hint="eastAsia" w:ascii="宋体" w:hAnsi="宋体" w:eastAsia="宋体" w:cs="Times New Roman"/>
                <w:sz w:val="24"/>
                <w:szCs w:val="24"/>
                <w:highlight w:val="none"/>
                <w:shd w:val="clear" w:color="auto" w:fill="FFFFFF"/>
                <w:lang w:val="en-US" w:eastAsia="zh-CN"/>
              </w:rPr>
              <w:t>吕晓芳</w:t>
            </w:r>
          </w:p>
        </w:tc>
        <w:tc>
          <w:tcPr>
            <w:tcW w:w="879" w:type="pct"/>
            <w:vAlign w:val="center"/>
          </w:tcPr>
          <w:p w14:paraId="123D9958">
            <w:pPr>
              <w:pStyle w:val="10"/>
              <w:overflowPunct w:val="0"/>
              <w:spacing w:line="360" w:lineRule="auto"/>
              <w:jc w:val="center"/>
              <w:rPr>
                <w:rFonts w:hint="eastAsia" w:ascii="宋体" w:hAnsi="宋体" w:eastAsia="宋体" w:cs="Times New Roman"/>
                <w:kern w:val="2"/>
                <w:sz w:val="24"/>
                <w:szCs w:val="24"/>
                <w:highlight w:val="yellow"/>
                <w:shd w:val="clear" w:color="auto" w:fill="FFFFFF"/>
                <w:lang w:val="en-US" w:eastAsia="zh-CN" w:bidi="ar-SA"/>
              </w:rPr>
            </w:pPr>
            <w:r>
              <w:rPr>
                <w:rFonts w:hint="eastAsia" w:ascii="宋体" w:hAnsi="宋体" w:eastAsia="宋体" w:cs="Times New Roman"/>
                <w:sz w:val="24"/>
                <w:szCs w:val="24"/>
                <w:highlight w:val="none"/>
                <w:shd w:val="clear" w:color="auto" w:fill="FFFFFF"/>
              </w:rPr>
              <w:t>组员</w:t>
            </w:r>
          </w:p>
        </w:tc>
        <w:tc>
          <w:tcPr>
            <w:tcW w:w="1247" w:type="pct"/>
            <w:vAlign w:val="center"/>
          </w:tcPr>
          <w:p w14:paraId="6639FFD6">
            <w:pPr>
              <w:overflowPunct w:val="0"/>
              <w:spacing w:line="360" w:lineRule="auto"/>
              <w:jc w:val="center"/>
              <w:rPr>
                <w:rFonts w:hint="eastAsia" w:ascii="宋体" w:hAnsi="宋体" w:eastAsia="宋体" w:cs="Times New Roman"/>
                <w:kern w:val="2"/>
                <w:sz w:val="24"/>
                <w:szCs w:val="24"/>
                <w:highlight w:val="yellow"/>
                <w:shd w:val="clear" w:color="auto" w:fill="FFFFFF"/>
                <w:lang w:val="en-US" w:eastAsia="zh-CN" w:bidi="ar-SA"/>
              </w:rPr>
            </w:pPr>
            <w:r>
              <w:rPr>
                <w:rFonts w:hint="eastAsia" w:ascii="宋体" w:hAnsi="宋体" w:eastAsia="宋体" w:cs="Times New Roman"/>
                <w:sz w:val="24"/>
                <w:szCs w:val="24"/>
                <w:highlight w:val="none"/>
                <w:shd w:val="clear" w:color="auto" w:fill="FFFFFF"/>
              </w:rPr>
              <w:t>助理会计师</w:t>
            </w:r>
          </w:p>
        </w:tc>
        <w:tc>
          <w:tcPr>
            <w:tcW w:w="1666" w:type="pct"/>
            <w:vMerge w:val="restart"/>
            <w:vAlign w:val="center"/>
          </w:tcPr>
          <w:p w14:paraId="080DE9A9">
            <w:pPr>
              <w:pStyle w:val="10"/>
              <w:overflowPunct w:val="0"/>
              <w:spacing w:line="360" w:lineRule="auto"/>
              <w:jc w:val="center"/>
              <w:rPr>
                <w:rFonts w:ascii="宋体" w:hAnsi="宋体" w:eastAsia="宋体" w:cs="Times New Roman"/>
                <w:sz w:val="24"/>
                <w:szCs w:val="24"/>
                <w:highlight w:val="none"/>
                <w:shd w:val="clear" w:color="auto" w:fill="FFFFFF"/>
              </w:rPr>
            </w:pPr>
            <w:r>
              <w:rPr>
                <w:rFonts w:hint="eastAsia" w:ascii="宋体" w:hAnsi="宋体" w:eastAsia="宋体" w:cs="Times New Roman"/>
                <w:sz w:val="24"/>
                <w:szCs w:val="24"/>
                <w:highlight w:val="none"/>
                <w:shd w:val="clear" w:color="auto" w:fill="FFFFFF"/>
              </w:rPr>
              <w:t>资料收集、审核、整理分析、现场及非现场评价</w:t>
            </w:r>
          </w:p>
        </w:tc>
      </w:tr>
      <w:tr w14:paraId="60FAD4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12" w:type="pct"/>
            <w:vAlign w:val="center"/>
          </w:tcPr>
          <w:p w14:paraId="44BBF68F">
            <w:pPr>
              <w:pStyle w:val="10"/>
              <w:overflowPunct w:val="0"/>
              <w:spacing w:line="360" w:lineRule="auto"/>
              <w:jc w:val="center"/>
              <w:rPr>
                <w:rFonts w:ascii="宋体" w:hAnsi="宋体" w:eastAsia="宋体" w:cs="Times New Roman"/>
                <w:sz w:val="24"/>
                <w:szCs w:val="24"/>
                <w:highlight w:val="yellow"/>
                <w:shd w:val="clear" w:color="auto" w:fill="FFFFFF"/>
              </w:rPr>
            </w:pPr>
            <w:r>
              <w:rPr>
                <w:rFonts w:hint="eastAsia" w:ascii="宋体" w:hAnsi="宋体" w:eastAsia="宋体" w:cs="Times New Roman"/>
                <w:sz w:val="24"/>
                <w:szCs w:val="24"/>
                <w:highlight w:val="none"/>
                <w:shd w:val="clear" w:color="auto" w:fill="FFFFFF"/>
              </w:rPr>
              <w:t>4</w:t>
            </w:r>
          </w:p>
        </w:tc>
        <w:tc>
          <w:tcPr>
            <w:tcW w:w="694" w:type="pct"/>
            <w:vAlign w:val="center"/>
          </w:tcPr>
          <w:p w14:paraId="68F96905">
            <w:pPr>
              <w:pStyle w:val="10"/>
              <w:overflowPunct w:val="0"/>
              <w:spacing w:line="360" w:lineRule="auto"/>
              <w:jc w:val="center"/>
              <w:rPr>
                <w:rFonts w:ascii="宋体" w:hAnsi="宋体" w:eastAsia="宋体" w:cs="Times New Roman"/>
                <w:sz w:val="24"/>
                <w:szCs w:val="24"/>
                <w:highlight w:val="yellow"/>
                <w:shd w:val="clear" w:color="auto" w:fill="FFFFFF"/>
              </w:rPr>
            </w:pPr>
            <w:r>
              <w:rPr>
                <w:rFonts w:hint="eastAsia" w:ascii="宋体" w:hAnsi="宋体" w:eastAsia="宋体" w:cs="Times New Roman"/>
                <w:sz w:val="24"/>
                <w:szCs w:val="24"/>
                <w:highlight w:val="none"/>
                <w:shd w:val="clear" w:color="auto" w:fill="FFFFFF"/>
                <w:lang w:val="en-US" w:eastAsia="zh-CN"/>
              </w:rPr>
              <w:t>向文霞</w:t>
            </w:r>
          </w:p>
        </w:tc>
        <w:tc>
          <w:tcPr>
            <w:tcW w:w="879" w:type="pct"/>
            <w:vAlign w:val="center"/>
          </w:tcPr>
          <w:p w14:paraId="7632DD31">
            <w:pPr>
              <w:pStyle w:val="10"/>
              <w:overflowPunct w:val="0"/>
              <w:spacing w:line="360" w:lineRule="auto"/>
              <w:jc w:val="center"/>
              <w:rPr>
                <w:rFonts w:ascii="宋体" w:hAnsi="宋体" w:eastAsia="宋体" w:cs="Times New Roman"/>
                <w:sz w:val="24"/>
                <w:szCs w:val="24"/>
                <w:highlight w:val="yellow"/>
                <w:shd w:val="clear" w:color="auto" w:fill="FFFFFF"/>
              </w:rPr>
            </w:pPr>
            <w:r>
              <w:rPr>
                <w:rFonts w:hint="eastAsia" w:ascii="宋体" w:hAnsi="宋体" w:eastAsia="宋体" w:cs="Times New Roman"/>
                <w:sz w:val="24"/>
                <w:szCs w:val="24"/>
                <w:highlight w:val="none"/>
                <w:shd w:val="clear" w:color="auto" w:fill="FFFFFF"/>
              </w:rPr>
              <w:t>组员</w:t>
            </w:r>
          </w:p>
        </w:tc>
        <w:tc>
          <w:tcPr>
            <w:tcW w:w="1247" w:type="pct"/>
            <w:vAlign w:val="center"/>
          </w:tcPr>
          <w:p w14:paraId="36CE35A1">
            <w:pPr>
              <w:overflowPunct w:val="0"/>
              <w:spacing w:line="360" w:lineRule="auto"/>
              <w:jc w:val="center"/>
              <w:rPr>
                <w:rFonts w:ascii="宋体" w:hAnsi="宋体" w:eastAsia="宋体" w:cs="Times New Roman"/>
                <w:sz w:val="24"/>
                <w:szCs w:val="24"/>
                <w:highlight w:val="yellow"/>
                <w:shd w:val="clear" w:color="auto" w:fill="FFFFFF"/>
              </w:rPr>
            </w:pPr>
            <w:r>
              <w:rPr>
                <w:rFonts w:hint="eastAsia" w:ascii="宋体" w:hAnsi="宋体" w:eastAsia="宋体" w:cs="Times New Roman"/>
                <w:sz w:val="24"/>
                <w:szCs w:val="24"/>
                <w:highlight w:val="none"/>
                <w:shd w:val="clear" w:color="auto" w:fill="FFFFFF"/>
              </w:rPr>
              <w:t>助理会计师</w:t>
            </w:r>
          </w:p>
        </w:tc>
        <w:tc>
          <w:tcPr>
            <w:tcW w:w="1666" w:type="pct"/>
            <w:vMerge w:val="continue"/>
            <w:vAlign w:val="center"/>
          </w:tcPr>
          <w:p w14:paraId="26854D55">
            <w:pPr>
              <w:pStyle w:val="10"/>
              <w:overflowPunct w:val="0"/>
              <w:spacing w:line="360" w:lineRule="auto"/>
              <w:jc w:val="center"/>
              <w:rPr>
                <w:rFonts w:ascii="宋体" w:hAnsi="宋体" w:eastAsia="宋体" w:cs="Times New Roman"/>
                <w:sz w:val="24"/>
                <w:szCs w:val="24"/>
                <w:highlight w:val="none"/>
                <w:shd w:val="clear" w:color="auto" w:fill="FFFFFF"/>
              </w:rPr>
            </w:pPr>
          </w:p>
        </w:tc>
      </w:tr>
      <w:tr w14:paraId="50547A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12" w:type="pct"/>
            <w:vAlign w:val="center"/>
          </w:tcPr>
          <w:p w14:paraId="20A6E53B">
            <w:pPr>
              <w:pStyle w:val="10"/>
              <w:overflowPunct w:val="0"/>
              <w:spacing w:line="360" w:lineRule="auto"/>
              <w:jc w:val="center"/>
              <w:rPr>
                <w:rFonts w:ascii="宋体" w:hAnsi="宋体" w:eastAsia="宋体" w:cs="Times New Roman"/>
                <w:sz w:val="24"/>
                <w:szCs w:val="24"/>
                <w:highlight w:val="yellow"/>
                <w:shd w:val="clear" w:color="auto" w:fill="FFFFFF"/>
              </w:rPr>
            </w:pPr>
            <w:r>
              <w:rPr>
                <w:rFonts w:hint="eastAsia" w:ascii="宋体" w:hAnsi="宋体" w:eastAsia="宋体" w:cs="Times New Roman"/>
                <w:sz w:val="24"/>
                <w:szCs w:val="24"/>
                <w:highlight w:val="none"/>
                <w:shd w:val="clear" w:color="auto" w:fill="FFFFFF"/>
              </w:rPr>
              <w:t>5</w:t>
            </w:r>
          </w:p>
        </w:tc>
        <w:tc>
          <w:tcPr>
            <w:tcW w:w="694" w:type="pct"/>
            <w:vAlign w:val="center"/>
          </w:tcPr>
          <w:p w14:paraId="3076EA99">
            <w:pPr>
              <w:pStyle w:val="10"/>
              <w:overflowPunct w:val="0"/>
              <w:spacing w:line="360" w:lineRule="auto"/>
              <w:jc w:val="center"/>
              <w:rPr>
                <w:rFonts w:ascii="宋体" w:hAnsi="宋体" w:eastAsia="宋体" w:cs="Times New Roman"/>
                <w:sz w:val="24"/>
                <w:szCs w:val="24"/>
                <w:highlight w:val="yellow"/>
                <w:shd w:val="clear" w:color="auto" w:fill="FFFFFF"/>
              </w:rPr>
            </w:pPr>
            <w:r>
              <w:rPr>
                <w:rFonts w:hint="eastAsia" w:ascii="宋体" w:hAnsi="宋体" w:eastAsia="宋体" w:cs="Times New Roman"/>
                <w:sz w:val="24"/>
                <w:szCs w:val="24"/>
                <w:highlight w:val="none"/>
                <w:shd w:val="clear" w:color="auto" w:fill="FFFFFF"/>
                <w:lang w:val="en-US" w:eastAsia="zh-CN"/>
              </w:rPr>
              <w:t>赵悦江</w:t>
            </w:r>
          </w:p>
        </w:tc>
        <w:tc>
          <w:tcPr>
            <w:tcW w:w="879" w:type="pct"/>
            <w:vAlign w:val="center"/>
          </w:tcPr>
          <w:p w14:paraId="14233561">
            <w:pPr>
              <w:pStyle w:val="10"/>
              <w:overflowPunct w:val="0"/>
              <w:spacing w:line="360" w:lineRule="auto"/>
              <w:jc w:val="center"/>
              <w:rPr>
                <w:rFonts w:ascii="宋体" w:hAnsi="宋体" w:eastAsia="宋体" w:cs="Times New Roman"/>
                <w:sz w:val="24"/>
                <w:szCs w:val="24"/>
                <w:highlight w:val="yellow"/>
                <w:shd w:val="clear" w:color="auto" w:fill="FFFFFF"/>
              </w:rPr>
            </w:pPr>
            <w:r>
              <w:rPr>
                <w:rFonts w:hint="eastAsia" w:ascii="宋体" w:hAnsi="宋体" w:eastAsia="宋体" w:cs="Times New Roman"/>
                <w:sz w:val="24"/>
                <w:szCs w:val="24"/>
                <w:highlight w:val="none"/>
                <w:shd w:val="clear" w:color="auto" w:fill="FFFFFF"/>
              </w:rPr>
              <w:t>组员</w:t>
            </w:r>
          </w:p>
        </w:tc>
        <w:tc>
          <w:tcPr>
            <w:tcW w:w="1247" w:type="pct"/>
            <w:vAlign w:val="center"/>
          </w:tcPr>
          <w:p w14:paraId="433842D2">
            <w:pPr>
              <w:overflowPunct w:val="0"/>
              <w:spacing w:line="360" w:lineRule="auto"/>
              <w:jc w:val="center"/>
              <w:rPr>
                <w:rFonts w:ascii="宋体" w:hAnsi="宋体" w:eastAsia="宋体" w:cs="Times New Roman"/>
                <w:sz w:val="24"/>
                <w:szCs w:val="24"/>
                <w:highlight w:val="yellow"/>
                <w:shd w:val="clear" w:color="auto" w:fill="FFFFFF"/>
              </w:rPr>
            </w:pPr>
            <w:r>
              <w:rPr>
                <w:rFonts w:hint="eastAsia" w:ascii="宋体" w:hAnsi="宋体" w:eastAsia="宋体" w:cs="Times New Roman"/>
                <w:sz w:val="24"/>
                <w:szCs w:val="24"/>
                <w:highlight w:val="none"/>
                <w:shd w:val="clear" w:color="auto" w:fill="FFFFFF"/>
              </w:rPr>
              <w:t>助理会计师</w:t>
            </w:r>
          </w:p>
        </w:tc>
        <w:tc>
          <w:tcPr>
            <w:tcW w:w="1666" w:type="pct"/>
            <w:vMerge w:val="continue"/>
          </w:tcPr>
          <w:p w14:paraId="77AA30D3">
            <w:pPr>
              <w:overflowPunct w:val="0"/>
              <w:spacing w:line="360" w:lineRule="auto"/>
              <w:rPr>
                <w:rFonts w:ascii="宋体" w:hAnsi="宋体" w:eastAsia="宋体" w:cs="Times New Roman"/>
                <w:sz w:val="24"/>
                <w:szCs w:val="24"/>
                <w:highlight w:val="none"/>
                <w:shd w:val="clear" w:color="auto" w:fill="FFFFFF"/>
              </w:rPr>
            </w:pPr>
          </w:p>
        </w:tc>
      </w:tr>
      <w:tr w14:paraId="1E5171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12" w:type="pct"/>
            <w:vAlign w:val="center"/>
          </w:tcPr>
          <w:p w14:paraId="056287CB">
            <w:pPr>
              <w:pStyle w:val="10"/>
              <w:overflowPunct w:val="0"/>
              <w:spacing w:line="360" w:lineRule="auto"/>
              <w:jc w:val="center"/>
              <w:rPr>
                <w:rFonts w:ascii="宋体" w:hAnsi="宋体" w:eastAsia="宋体" w:cs="Times New Roman"/>
                <w:sz w:val="24"/>
                <w:szCs w:val="24"/>
                <w:highlight w:val="yellow"/>
                <w:shd w:val="clear" w:color="auto" w:fill="FFFFFF"/>
              </w:rPr>
            </w:pPr>
            <w:r>
              <w:rPr>
                <w:rFonts w:hint="eastAsia" w:ascii="宋体" w:hAnsi="宋体" w:eastAsia="宋体" w:cs="Times New Roman"/>
                <w:sz w:val="24"/>
                <w:szCs w:val="24"/>
                <w:highlight w:val="none"/>
                <w:shd w:val="clear" w:color="auto" w:fill="FFFFFF"/>
                <w:lang w:val="en-US" w:eastAsia="zh-CN"/>
              </w:rPr>
              <w:t>6</w:t>
            </w:r>
          </w:p>
        </w:tc>
        <w:tc>
          <w:tcPr>
            <w:tcW w:w="694" w:type="pct"/>
            <w:vAlign w:val="center"/>
          </w:tcPr>
          <w:p w14:paraId="363FA3D6">
            <w:pPr>
              <w:pStyle w:val="10"/>
              <w:overflowPunct w:val="0"/>
              <w:spacing w:line="360" w:lineRule="auto"/>
              <w:jc w:val="center"/>
              <w:rPr>
                <w:rFonts w:ascii="宋体" w:hAnsi="宋体" w:eastAsia="宋体" w:cs="Times New Roman"/>
                <w:sz w:val="24"/>
                <w:szCs w:val="24"/>
                <w:highlight w:val="yellow"/>
                <w:shd w:val="clear" w:color="auto" w:fill="FFFFFF"/>
              </w:rPr>
            </w:pPr>
            <w:r>
              <w:rPr>
                <w:rFonts w:hint="eastAsia" w:ascii="宋体" w:hAnsi="宋体" w:eastAsia="宋体" w:cs="Times New Roman"/>
                <w:sz w:val="24"/>
                <w:szCs w:val="24"/>
                <w:highlight w:val="none"/>
                <w:shd w:val="clear" w:color="auto" w:fill="FFFFFF"/>
              </w:rPr>
              <w:t>杨世勋</w:t>
            </w:r>
          </w:p>
        </w:tc>
        <w:tc>
          <w:tcPr>
            <w:tcW w:w="879" w:type="pct"/>
            <w:vAlign w:val="center"/>
          </w:tcPr>
          <w:p w14:paraId="7F04128F">
            <w:pPr>
              <w:pStyle w:val="10"/>
              <w:overflowPunct w:val="0"/>
              <w:spacing w:line="360" w:lineRule="auto"/>
              <w:jc w:val="center"/>
              <w:rPr>
                <w:rFonts w:ascii="宋体" w:hAnsi="宋体" w:eastAsia="宋体" w:cs="Times New Roman"/>
                <w:sz w:val="24"/>
                <w:szCs w:val="24"/>
                <w:highlight w:val="yellow"/>
                <w:shd w:val="clear" w:color="auto" w:fill="FFFFFF"/>
              </w:rPr>
            </w:pPr>
            <w:r>
              <w:rPr>
                <w:rFonts w:hint="eastAsia" w:ascii="宋体" w:hAnsi="宋体" w:eastAsia="宋体" w:cs="Times New Roman"/>
                <w:sz w:val="24"/>
                <w:szCs w:val="24"/>
                <w:highlight w:val="none"/>
                <w:shd w:val="clear" w:color="auto" w:fill="FFFFFF"/>
              </w:rPr>
              <w:t>组员</w:t>
            </w:r>
          </w:p>
        </w:tc>
        <w:tc>
          <w:tcPr>
            <w:tcW w:w="1247" w:type="pct"/>
            <w:vAlign w:val="center"/>
          </w:tcPr>
          <w:p w14:paraId="3936F395">
            <w:pPr>
              <w:overflowPunct w:val="0"/>
              <w:spacing w:line="360" w:lineRule="auto"/>
              <w:jc w:val="center"/>
              <w:rPr>
                <w:rFonts w:ascii="宋体" w:hAnsi="宋体" w:eastAsia="宋体" w:cs="Times New Roman"/>
                <w:sz w:val="24"/>
                <w:szCs w:val="24"/>
                <w:highlight w:val="yellow"/>
                <w:shd w:val="clear" w:color="auto" w:fill="FFFFFF"/>
              </w:rPr>
            </w:pPr>
            <w:r>
              <w:rPr>
                <w:rFonts w:hint="eastAsia" w:ascii="宋体" w:hAnsi="宋体" w:eastAsia="宋体" w:cs="Times New Roman"/>
                <w:sz w:val="24"/>
                <w:szCs w:val="24"/>
                <w:highlight w:val="none"/>
                <w:shd w:val="clear" w:color="auto" w:fill="FFFFFF"/>
              </w:rPr>
              <w:t>助理会计师</w:t>
            </w:r>
          </w:p>
        </w:tc>
        <w:tc>
          <w:tcPr>
            <w:tcW w:w="1666" w:type="pct"/>
            <w:vMerge w:val="continue"/>
          </w:tcPr>
          <w:p w14:paraId="5843589B">
            <w:pPr>
              <w:overflowPunct w:val="0"/>
              <w:spacing w:line="360" w:lineRule="auto"/>
              <w:rPr>
                <w:rFonts w:ascii="宋体" w:hAnsi="宋体" w:eastAsia="宋体" w:cs="Times New Roman"/>
                <w:sz w:val="24"/>
                <w:szCs w:val="24"/>
                <w:highlight w:val="none"/>
                <w:shd w:val="clear" w:color="auto" w:fill="FFFFFF"/>
              </w:rPr>
            </w:pPr>
          </w:p>
        </w:tc>
      </w:tr>
    </w:tbl>
    <w:p w14:paraId="4A03A561">
      <w:pPr>
        <w:pStyle w:val="10"/>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textAlignment w:val="auto"/>
        <w:rPr>
          <w:rFonts w:ascii="仿宋_GB2312" w:hAnsi="仿宋_GB2312" w:cs="仿宋_GB2312"/>
          <w:highlight w:val="none"/>
        </w:rPr>
      </w:pPr>
      <w:r>
        <w:rPr>
          <w:rFonts w:hint="eastAsia" w:ascii="仿宋_GB2312" w:hAnsi="仿宋_GB2312" w:cs="仿宋_GB2312"/>
          <w:highlight w:val="none"/>
        </w:rPr>
        <w:t>（2）评价时间安排</w:t>
      </w:r>
    </w:p>
    <w:p w14:paraId="4D87F7B3">
      <w:pPr>
        <w:pStyle w:val="10"/>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textAlignment w:val="auto"/>
        <w:rPr>
          <w:rFonts w:ascii="仿宋_GB2312" w:hAnsi="仿宋_GB2312" w:cs="仿宋_GB2312"/>
          <w:highlight w:val="none"/>
        </w:rPr>
      </w:pPr>
      <w:r>
        <w:rPr>
          <w:rFonts w:hint="eastAsia" w:ascii="仿宋_GB2312" w:hAnsi="仿宋_GB2312" w:cs="仿宋_GB2312"/>
          <w:highlight w:val="none"/>
        </w:rPr>
        <w:t>根据</w:t>
      </w:r>
      <w:r>
        <w:rPr>
          <w:rFonts w:hint="eastAsia" w:ascii="仿宋_GB2312" w:hAnsi="仿宋_GB2312" w:cs="仿宋_GB2312"/>
          <w:highlight w:val="none"/>
          <w:lang w:val="en-US" w:eastAsia="zh-CN"/>
        </w:rPr>
        <w:t>甘肃省高级人民法院</w:t>
      </w:r>
      <w:r>
        <w:rPr>
          <w:rFonts w:hint="eastAsia" w:ascii="仿宋_GB2312" w:hAnsi="仿宋_GB2312" w:cs="仿宋_GB2312"/>
          <w:highlight w:val="none"/>
        </w:rPr>
        <w:t>要求，确定评价时间为2023年</w:t>
      </w:r>
      <w:r>
        <w:rPr>
          <w:rFonts w:hint="eastAsia" w:ascii="仿宋_GB2312" w:hAnsi="仿宋_GB2312" w:cs="仿宋_GB2312"/>
          <w:highlight w:val="none"/>
          <w:lang w:val="en-US" w:eastAsia="zh-CN"/>
        </w:rPr>
        <w:t>7</w:t>
      </w:r>
      <w:r>
        <w:rPr>
          <w:rFonts w:hint="eastAsia" w:ascii="仿宋_GB2312" w:hAnsi="仿宋_GB2312" w:cs="仿宋_GB2312"/>
          <w:highlight w:val="none"/>
        </w:rPr>
        <w:t>月</w:t>
      </w:r>
      <w:r>
        <w:rPr>
          <w:rFonts w:hint="eastAsia" w:ascii="仿宋_GB2312" w:hAnsi="仿宋_GB2312" w:cs="仿宋_GB2312"/>
          <w:highlight w:val="none"/>
          <w:lang w:val="en-US" w:eastAsia="zh-CN"/>
        </w:rPr>
        <w:t>1</w:t>
      </w:r>
      <w:r>
        <w:rPr>
          <w:rFonts w:hint="eastAsia" w:ascii="仿宋_GB2312" w:hAnsi="仿宋_GB2312" w:cs="仿宋_GB2312"/>
          <w:highlight w:val="none"/>
        </w:rPr>
        <w:t>日—2023年</w:t>
      </w:r>
      <w:r>
        <w:rPr>
          <w:rFonts w:hint="eastAsia" w:ascii="仿宋_GB2312" w:hAnsi="仿宋_GB2312" w:cs="仿宋_GB2312"/>
          <w:highlight w:val="none"/>
          <w:lang w:val="en-US" w:eastAsia="zh-CN"/>
        </w:rPr>
        <w:t>7</w:t>
      </w:r>
      <w:r>
        <w:rPr>
          <w:rFonts w:hint="eastAsia" w:ascii="仿宋_GB2312" w:hAnsi="仿宋_GB2312" w:cs="仿宋_GB2312"/>
          <w:highlight w:val="none"/>
        </w:rPr>
        <w:t>月3</w:t>
      </w:r>
      <w:r>
        <w:rPr>
          <w:rFonts w:hint="eastAsia" w:ascii="仿宋_GB2312" w:hAnsi="仿宋_GB2312" w:cs="仿宋_GB2312"/>
          <w:highlight w:val="none"/>
          <w:lang w:val="en-US" w:eastAsia="zh-CN"/>
        </w:rPr>
        <w:t>1</w:t>
      </w:r>
      <w:r>
        <w:rPr>
          <w:rFonts w:hint="eastAsia" w:ascii="仿宋_GB2312" w:hAnsi="仿宋_GB2312" w:cs="仿宋_GB2312"/>
          <w:highlight w:val="none"/>
        </w:rPr>
        <w:t>日。</w:t>
      </w:r>
    </w:p>
    <w:p w14:paraId="1DCFE543">
      <w:pPr>
        <w:pStyle w:val="5"/>
        <w:keepNext w:val="0"/>
        <w:keepLines w:val="0"/>
        <w:pageBreakBefore w:val="0"/>
        <w:widowControl w:val="0"/>
        <w:kinsoku/>
        <w:wordWrap/>
        <w:overflowPunct w:val="0"/>
        <w:topLinePunct w:val="0"/>
        <w:autoSpaceDE/>
        <w:autoSpaceDN/>
        <w:bidi w:val="0"/>
        <w:adjustRightInd/>
        <w:snapToGrid/>
        <w:spacing w:before="0" w:after="0" w:line="560" w:lineRule="exact"/>
        <w:ind w:firstLine="643" w:firstLineChars="200"/>
        <w:textAlignment w:val="auto"/>
        <w:rPr>
          <w:rFonts w:ascii="仿宋_GB2312" w:hAnsi="仿宋_GB2312" w:eastAsia="仿宋_GB2312" w:cs="仿宋_GB2312"/>
          <w:color w:val="000000" w:themeColor="text1"/>
          <w:szCs w:val="32"/>
          <w:highlight w:val="none"/>
          <w14:textFill>
            <w14:solidFill>
              <w14:schemeClr w14:val="tx1"/>
            </w14:solidFill>
          </w14:textFill>
        </w:rPr>
      </w:pPr>
      <w:r>
        <w:rPr>
          <w:rFonts w:hint="eastAsia" w:ascii="仿宋_GB2312" w:hAnsi="仿宋_GB2312" w:eastAsia="仿宋_GB2312" w:cs="仿宋_GB2312"/>
          <w:color w:val="000000" w:themeColor="text1"/>
          <w:szCs w:val="32"/>
          <w:highlight w:val="none"/>
          <w14:textFill>
            <w14:solidFill>
              <w14:schemeClr w14:val="tx1"/>
            </w14:solidFill>
          </w14:textFill>
        </w:rPr>
        <w:t>2.实施阶段</w:t>
      </w:r>
    </w:p>
    <w:p w14:paraId="76ECB3FE">
      <w:pPr>
        <w:pStyle w:val="10"/>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highlight w:val="none"/>
          <w:lang w:val="en-US" w:eastAsia="zh-CN"/>
        </w:rPr>
      </w:pPr>
      <w:r>
        <w:rPr>
          <w:rFonts w:hint="eastAsia" w:ascii="仿宋_GB2312" w:hAnsi="仿宋_GB2312" w:cs="仿宋_GB2312"/>
          <w:highlight w:val="none"/>
        </w:rPr>
        <w:t>（1）</w:t>
      </w:r>
      <w:r>
        <w:rPr>
          <w:rFonts w:hint="eastAsia" w:ascii="仿宋_GB2312" w:hAnsi="仿宋_GB2312" w:cs="仿宋_GB2312"/>
          <w:highlight w:val="none"/>
          <w:lang w:val="en-US" w:eastAsia="zh-CN"/>
        </w:rPr>
        <w:t>递交资料清单</w:t>
      </w:r>
    </w:p>
    <w:p w14:paraId="23A48483">
      <w:pPr>
        <w:pStyle w:val="10"/>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textAlignment w:val="auto"/>
        <w:rPr>
          <w:rFonts w:ascii="仿宋_GB2312" w:hAnsi="仿宋_GB2312" w:cs="仿宋_GB2312"/>
          <w:highlight w:val="none"/>
        </w:rPr>
      </w:pPr>
      <w:r>
        <w:rPr>
          <w:rFonts w:hint="eastAsia" w:ascii="仿宋_GB2312" w:hAnsi="仿宋_GB2312" w:cs="仿宋_GB2312"/>
          <w:highlight w:val="none"/>
        </w:rPr>
        <w:t>绩效评价组在拟开展现场评价的5个工作日前向</w:t>
      </w:r>
      <w:r>
        <w:rPr>
          <w:rFonts w:hint="eastAsia" w:ascii="仿宋_GB2312" w:hAnsi="仿宋_GB2312" w:cs="仿宋_GB2312"/>
          <w:highlight w:val="none"/>
          <w:lang w:val="en-US" w:eastAsia="zh-CN"/>
        </w:rPr>
        <w:t>甘肃省高级人民法院递交</w:t>
      </w:r>
      <w:r>
        <w:rPr>
          <w:rFonts w:hint="eastAsia" w:ascii="仿宋_GB2312" w:hAnsi="仿宋_GB2312" w:cs="仿宋_GB2312"/>
          <w:highlight w:val="none"/>
        </w:rPr>
        <w:t>资料清单，提前准备评价资料。</w:t>
      </w:r>
    </w:p>
    <w:p w14:paraId="4F08CF5F">
      <w:pPr>
        <w:pStyle w:val="10"/>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textAlignment w:val="auto"/>
        <w:rPr>
          <w:rFonts w:ascii="仿宋_GB2312" w:hAnsi="仿宋_GB2312" w:cs="仿宋_GB2312"/>
          <w:highlight w:val="none"/>
        </w:rPr>
      </w:pPr>
      <w:r>
        <w:rPr>
          <w:rFonts w:hint="eastAsia" w:ascii="仿宋_GB2312" w:hAnsi="仿宋_GB2312" w:cs="仿宋_GB2312"/>
          <w:highlight w:val="none"/>
        </w:rPr>
        <w:t>（2）进驻评价单位</w:t>
      </w:r>
    </w:p>
    <w:p w14:paraId="15F21380">
      <w:pPr>
        <w:pStyle w:val="10"/>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textAlignment w:val="auto"/>
        <w:rPr>
          <w:rFonts w:ascii="仿宋_GB2312" w:hAnsi="仿宋_GB2312" w:cs="仿宋_GB2312"/>
          <w:highlight w:val="none"/>
        </w:rPr>
      </w:pPr>
      <w:r>
        <w:rPr>
          <w:rFonts w:hint="eastAsia" w:ascii="仿宋_GB2312" w:hAnsi="仿宋_GB2312" w:cs="仿宋_GB2312"/>
          <w:highlight w:val="none"/>
        </w:rPr>
        <w:t>评价组按</w:t>
      </w:r>
      <w:r>
        <w:rPr>
          <w:rFonts w:hint="eastAsia" w:ascii="仿宋_GB2312" w:hAnsi="仿宋_GB2312" w:cs="仿宋_GB2312"/>
          <w:highlight w:val="none"/>
          <w:lang w:val="en-US" w:eastAsia="zh-CN"/>
        </w:rPr>
        <w:t>甘肃省高级人民法院</w:t>
      </w:r>
      <w:r>
        <w:rPr>
          <w:rFonts w:hint="eastAsia" w:ascii="仿宋_GB2312" w:hAnsi="仿宋_GB2312" w:cs="仿宋_GB2312"/>
          <w:highlight w:val="none"/>
        </w:rPr>
        <w:t>安排的时间进驻，根据工作方案，评价组对相关工作人员采取访谈方式了解项目基本情况以及重点工作任务完成情况。</w:t>
      </w:r>
    </w:p>
    <w:p w14:paraId="4B379287">
      <w:pPr>
        <w:pStyle w:val="10"/>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textAlignment w:val="auto"/>
        <w:rPr>
          <w:rFonts w:ascii="仿宋_GB2312" w:hAnsi="仿宋_GB2312" w:cs="仿宋_GB2312"/>
          <w:highlight w:val="none"/>
        </w:rPr>
      </w:pPr>
      <w:r>
        <w:rPr>
          <w:rFonts w:hint="eastAsia" w:ascii="仿宋_GB2312" w:hAnsi="仿宋_GB2312" w:cs="仿宋_GB2312"/>
          <w:highlight w:val="none"/>
        </w:rPr>
        <w:t>（3）资料分析及复核</w:t>
      </w:r>
    </w:p>
    <w:p w14:paraId="635AC38B">
      <w:pPr>
        <w:pStyle w:val="10"/>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textAlignment w:val="auto"/>
        <w:rPr>
          <w:rFonts w:ascii="仿宋_GB2312" w:hAnsi="仿宋_GB2312" w:cs="仿宋_GB2312"/>
          <w:highlight w:val="none"/>
        </w:rPr>
      </w:pPr>
      <w:r>
        <w:rPr>
          <w:rFonts w:hint="eastAsia" w:ascii="仿宋_GB2312" w:hAnsi="仿宋_GB2312" w:cs="仿宋_GB2312"/>
          <w:highlight w:val="none"/>
        </w:rPr>
        <w:t>根据访谈了解情况对</w:t>
      </w:r>
      <w:r>
        <w:rPr>
          <w:rFonts w:hint="eastAsia" w:ascii="仿宋_GB2312" w:hAnsi="仿宋_GB2312" w:cs="仿宋_GB2312"/>
          <w:highlight w:val="none"/>
          <w:lang w:val="en-US" w:eastAsia="zh-CN"/>
        </w:rPr>
        <w:t>甘肃省高级人民法院</w:t>
      </w:r>
      <w:r>
        <w:rPr>
          <w:rFonts w:hint="eastAsia" w:ascii="仿宋_GB2312" w:hAnsi="仿宋_GB2312" w:cs="仿宋_GB2312"/>
          <w:highlight w:val="none"/>
        </w:rPr>
        <w:t>提供的资料进行核对，核实其真实性。结合资料进行现场查看，核实</w:t>
      </w:r>
      <w:r>
        <w:rPr>
          <w:rFonts w:hint="eastAsia" w:ascii="仿宋_GB2312" w:hAnsi="仿宋_GB2312" w:cs="仿宋_GB2312"/>
          <w:highlight w:val="none"/>
          <w:lang w:val="en-US" w:eastAsia="zh-CN"/>
        </w:rPr>
        <w:t>甘肃省高级人民法院</w:t>
      </w:r>
      <w:r>
        <w:rPr>
          <w:rFonts w:hint="eastAsia" w:ascii="仿宋_GB2312" w:hAnsi="仿宋_GB2312" w:cs="仿宋_GB2312"/>
          <w:highlight w:val="none"/>
        </w:rPr>
        <w:t>各项重点工作任务的完成情况的真实性和规范性。</w:t>
      </w:r>
    </w:p>
    <w:p w14:paraId="0D165D5D">
      <w:pPr>
        <w:pStyle w:val="10"/>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textAlignment w:val="auto"/>
        <w:rPr>
          <w:rFonts w:ascii="仿宋_GB2312" w:hAnsi="仿宋_GB2312" w:cs="仿宋_GB2312"/>
          <w:highlight w:val="none"/>
        </w:rPr>
      </w:pPr>
      <w:r>
        <w:rPr>
          <w:rFonts w:hint="eastAsia" w:ascii="仿宋_GB2312" w:hAnsi="仿宋_GB2312" w:cs="仿宋_GB2312"/>
          <w:highlight w:val="none"/>
        </w:rPr>
        <w:t>（4）进行现场评分</w:t>
      </w:r>
    </w:p>
    <w:p w14:paraId="6D70A73C">
      <w:pPr>
        <w:pStyle w:val="10"/>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textAlignment w:val="auto"/>
        <w:rPr>
          <w:rFonts w:ascii="仿宋_GB2312" w:hAnsi="仿宋_GB2312" w:cs="仿宋_GB2312"/>
          <w:highlight w:val="none"/>
        </w:rPr>
      </w:pPr>
      <w:r>
        <w:rPr>
          <w:rFonts w:hint="eastAsia" w:ascii="仿宋_GB2312" w:hAnsi="仿宋_GB2312" w:cs="仿宋_GB2312"/>
          <w:highlight w:val="none"/>
        </w:rPr>
        <w:t>针对评价中发现的问题与</w:t>
      </w:r>
      <w:r>
        <w:rPr>
          <w:rFonts w:hint="eastAsia" w:ascii="仿宋_GB2312" w:hAnsi="仿宋_GB2312" w:cs="仿宋_GB2312"/>
          <w:highlight w:val="none"/>
          <w:lang w:val="en-US" w:eastAsia="zh-CN"/>
        </w:rPr>
        <w:t>甘肃省高级人民法院</w:t>
      </w:r>
      <w:r>
        <w:rPr>
          <w:rFonts w:hint="eastAsia" w:ascii="仿宋_GB2312" w:hAnsi="仿宋_GB2312" w:cs="仿宋_GB2312"/>
          <w:highlight w:val="none"/>
        </w:rPr>
        <w:t>及时沟通，对各项评价指标进行分析讨论，经反复分析、研究，按设计的评价指标体系进行现场评价打分。</w:t>
      </w:r>
    </w:p>
    <w:p w14:paraId="01B7741B">
      <w:pPr>
        <w:pStyle w:val="10"/>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textAlignment w:val="auto"/>
        <w:rPr>
          <w:rFonts w:hint="eastAsia" w:ascii="仿宋_GB2312" w:hAnsi="仿宋_GB2312" w:cs="仿宋_GB2312"/>
          <w:highlight w:val="none"/>
          <w:lang w:eastAsia="zh-CN"/>
        </w:rPr>
      </w:pPr>
      <w:r>
        <w:rPr>
          <w:rFonts w:hint="eastAsia" w:ascii="仿宋_GB2312" w:hAnsi="仿宋_GB2312" w:cs="仿宋_GB2312"/>
          <w:highlight w:val="none"/>
          <w:lang w:eastAsia="zh-CN"/>
        </w:rPr>
        <w:t>（</w:t>
      </w:r>
      <w:r>
        <w:rPr>
          <w:rFonts w:hint="eastAsia" w:ascii="仿宋_GB2312" w:hAnsi="仿宋_GB2312" w:cs="仿宋_GB2312"/>
          <w:highlight w:val="none"/>
          <w:lang w:val="en-US" w:eastAsia="zh-CN"/>
        </w:rPr>
        <w:t>5</w:t>
      </w:r>
      <w:r>
        <w:rPr>
          <w:rFonts w:hint="eastAsia" w:ascii="仿宋_GB2312" w:hAnsi="仿宋_GB2312" w:cs="仿宋_GB2312"/>
          <w:highlight w:val="none"/>
          <w:lang w:eastAsia="zh-CN"/>
        </w:rPr>
        <w:t>）开展社会调查</w:t>
      </w:r>
    </w:p>
    <w:p w14:paraId="29BA955F">
      <w:pPr>
        <w:pStyle w:val="10"/>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highlight w:val="none"/>
          <w:lang w:eastAsia="zh-CN"/>
        </w:rPr>
      </w:pPr>
      <w:r>
        <w:rPr>
          <w:rFonts w:hint="eastAsia" w:ascii="仿宋_GB2312" w:hAnsi="仿宋_GB2312" w:cs="仿宋_GB2312"/>
          <w:highlight w:val="none"/>
          <w:lang w:eastAsia="zh-CN"/>
        </w:rPr>
        <w:t>根据绩效评价方案中确定的调查对象、调查内容，随机抽取</w:t>
      </w:r>
      <w:r>
        <w:rPr>
          <w:rFonts w:hint="eastAsia" w:ascii="仿宋_GB2312" w:hAnsi="仿宋_GB2312" w:cs="仿宋_GB2312"/>
          <w:highlight w:val="none"/>
          <w:lang w:val="en-US" w:eastAsia="zh-CN"/>
        </w:rPr>
        <w:t>项目受益对象</w:t>
      </w:r>
      <w:r>
        <w:rPr>
          <w:rFonts w:hint="eastAsia" w:ascii="仿宋_GB2312" w:hAnsi="仿宋_GB2312" w:cs="仿宋_GB2312"/>
          <w:highlight w:val="none"/>
          <w:lang w:eastAsia="zh-CN"/>
        </w:rPr>
        <w:t>进行调查，发放并收回调查问卷，对调查问卷进行统计分析。</w:t>
      </w:r>
    </w:p>
    <w:p w14:paraId="41E38EC1">
      <w:pPr>
        <w:pStyle w:val="5"/>
        <w:keepNext w:val="0"/>
        <w:keepLines w:val="0"/>
        <w:pageBreakBefore w:val="0"/>
        <w:widowControl w:val="0"/>
        <w:kinsoku/>
        <w:wordWrap/>
        <w:overflowPunct w:val="0"/>
        <w:topLinePunct w:val="0"/>
        <w:autoSpaceDE/>
        <w:autoSpaceDN/>
        <w:bidi w:val="0"/>
        <w:adjustRightInd/>
        <w:snapToGrid/>
        <w:spacing w:before="0" w:after="0" w:line="560" w:lineRule="exact"/>
        <w:ind w:firstLine="643" w:firstLineChars="200"/>
        <w:textAlignment w:val="auto"/>
        <w:rPr>
          <w:rFonts w:ascii="仿宋_GB2312" w:hAnsi="仿宋_GB2312" w:eastAsia="仿宋_GB2312" w:cs="仿宋_GB2312"/>
          <w:color w:val="000000" w:themeColor="text1"/>
          <w:szCs w:val="32"/>
          <w:highlight w:val="none"/>
          <w14:textFill>
            <w14:solidFill>
              <w14:schemeClr w14:val="tx1"/>
            </w14:solidFill>
          </w14:textFill>
        </w:rPr>
      </w:pPr>
      <w:r>
        <w:rPr>
          <w:rFonts w:hint="eastAsia" w:ascii="仿宋_GB2312" w:hAnsi="仿宋_GB2312" w:eastAsia="仿宋_GB2312" w:cs="仿宋_GB2312"/>
          <w:color w:val="000000" w:themeColor="text1"/>
          <w:szCs w:val="32"/>
          <w:highlight w:val="none"/>
          <w14:textFill>
            <w14:solidFill>
              <w14:schemeClr w14:val="tx1"/>
            </w14:solidFill>
          </w14:textFill>
        </w:rPr>
        <w:t>3.撰写报告阶段</w:t>
      </w:r>
    </w:p>
    <w:p w14:paraId="6B30AFFE">
      <w:pPr>
        <w:pStyle w:val="10"/>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textAlignment w:val="auto"/>
        <w:rPr>
          <w:rFonts w:ascii="仿宋_GB2312" w:hAnsi="仿宋_GB2312" w:cs="仿宋_GB2312"/>
          <w:highlight w:val="none"/>
        </w:rPr>
      </w:pPr>
      <w:r>
        <w:rPr>
          <w:rFonts w:hint="eastAsia" w:ascii="仿宋_GB2312" w:hAnsi="仿宋_GB2312" w:cs="仿宋_GB2312"/>
          <w:highlight w:val="none"/>
        </w:rPr>
        <w:t>（1）撰写绩效评价报告</w:t>
      </w:r>
    </w:p>
    <w:p w14:paraId="30EC507F">
      <w:pPr>
        <w:pStyle w:val="10"/>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textAlignment w:val="auto"/>
        <w:rPr>
          <w:rFonts w:ascii="仿宋_GB2312" w:hAnsi="仿宋_GB2312" w:cs="仿宋_GB2312"/>
          <w:highlight w:val="none"/>
        </w:rPr>
      </w:pPr>
      <w:r>
        <w:rPr>
          <w:rFonts w:hint="eastAsia" w:ascii="仿宋_GB2312" w:hAnsi="仿宋_GB2312" w:cs="仿宋_GB2312"/>
          <w:highlight w:val="none"/>
        </w:rPr>
        <w:t>评价小组根据现场评价收集的资料，运用科学、合理的绩效评价指标、评价标准和评价方法，对项目支出的经济性、效率性和效益性进行客观、公正地评价，</w:t>
      </w:r>
      <w:r>
        <w:rPr>
          <w:rFonts w:hint="eastAsia" w:ascii="仿宋_GB2312" w:hAnsi="仿宋_GB2312" w:cs="仿宋_GB2312"/>
          <w:highlight w:val="none"/>
          <w:lang w:val="en-US" w:eastAsia="zh-CN"/>
        </w:rPr>
        <w:t>及时</w:t>
      </w:r>
      <w:r>
        <w:rPr>
          <w:rFonts w:hint="eastAsia" w:ascii="仿宋_GB2312" w:hAnsi="仿宋_GB2312" w:cs="仿宋_GB2312"/>
          <w:highlight w:val="none"/>
        </w:rPr>
        <w:t>撰写绩效评价报告，并做到依据充分、数据真实、内容完整、客观公正、结论明确、建议可行。</w:t>
      </w:r>
    </w:p>
    <w:p w14:paraId="43B4E40D">
      <w:pPr>
        <w:pStyle w:val="10"/>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textAlignment w:val="auto"/>
        <w:rPr>
          <w:rFonts w:ascii="仿宋_GB2312" w:hAnsi="仿宋_GB2312" w:cs="仿宋_GB2312"/>
          <w:highlight w:val="none"/>
        </w:rPr>
      </w:pPr>
      <w:r>
        <w:rPr>
          <w:rFonts w:hint="eastAsia" w:ascii="仿宋_GB2312" w:hAnsi="仿宋_GB2312" w:cs="仿宋_GB2312"/>
          <w:highlight w:val="none"/>
        </w:rPr>
        <w:t>（2）绩效评价报告征求意见</w:t>
      </w:r>
    </w:p>
    <w:p w14:paraId="6E360D45">
      <w:pPr>
        <w:pStyle w:val="10"/>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textAlignment w:val="auto"/>
        <w:rPr>
          <w:rFonts w:ascii="仿宋_GB2312" w:hAnsi="仿宋_GB2312" w:cs="仿宋_GB2312"/>
          <w:highlight w:val="none"/>
        </w:rPr>
      </w:pPr>
      <w:r>
        <w:rPr>
          <w:rFonts w:hint="eastAsia" w:ascii="仿宋_GB2312" w:hAnsi="仿宋_GB2312" w:cs="仿宋_GB2312"/>
          <w:highlight w:val="none"/>
        </w:rPr>
        <w:t>绩效评价报告初稿完成后，征求</w:t>
      </w:r>
      <w:r>
        <w:rPr>
          <w:rFonts w:hint="eastAsia" w:ascii="仿宋_GB2312" w:hAnsi="仿宋_GB2312" w:cs="仿宋_GB2312"/>
          <w:highlight w:val="none"/>
          <w:lang w:val="en-US" w:eastAsia="zh-CN"/>
        </w:rPr>
        <w:t>甘肃省高级人民法院</w:t>
      </w:r>
      <w:r>
        <w:rPr>
          <w:rFonts w:hint="eastAsia" w:ascii="仿宋_GB2312" w:hAnsi="仿宋_GB2312" w:cs="仿宋_GB2312"/>
          <w:highlight w:val="none"/>
        </w:rPr>
        <w:t>的意见，根据反馈的有效意见对评价报告进行修改。</w:t>
      </w:r>
    </w:p>
    <w:p w14:paraId="28041E7F">
      <w:pPr>
        <w:pStyle w:val="10"/>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textAlignment w:val="auto"/>
        <w:rPr>
          <w:rFonts w:ascii="仿宋_GB2312" w:hAnsi="仿宋_GB2312" w:cs="仿宋_GB2312"/>
          <w:highlight w:val="none"/>
        </w:rPr>
      </w:pPr>
      <w:r>
        <w:rPr>
          <w:rFonts w:hint="eastAsia" w:ascii="仿宋_GB2312" w:hAnsi="仿宋_GB2312" w:cs="仿宋_GB2312"/>
          <w:highlight w:val="none"/>
        </w:rPr>
        <w:t>（3）提交绩效评价报告</w:t>
      </w:r>
    </w:p>
    <w:p w14:paraId="193CAB21">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绩效评价报告及评价数据资料经绩效评价负责人和被评价单位确定，在规定时间内按照规定的格式、要求，提交</w:t>
      </w:r>
      <w:r>
        <w:rPr>
          <w:rFonts w:hint="eastAsia" w:ascii="仿宋_GB2312" w:hAnsi="仿宋_GB2312" w:eastAsia="仿宋_GB2312" w:cs="仿宋_GB2312"/>
          <w:sz w:val="32"/>
          <w:szCs w:val="32"/>
          <w:highlight w:val="none"/>
          <w:lang w:val="en-US" w:eastAsia="zh-CN"/>
        </w:rPr>
        <w:t>甘肃省高级人民法院</w:t>
      </w:r>
      <w:r>
        <w:rPr>
          <w:rFonts w:hint="eastAsia" w:ascii="仿宋_GB2312" w:hAnsi="仿宋_GB2312" w:eastAsia="仿宋_GB2312" w:cs="仿宋_GB2312"/>
          <w:sz w:val="32"/>
          <w:szCs w:val="32"/>
          <w:highlight w:val="none"/>
        </w:rPr>
        <w:t>。</w:t>
      </w:r>
    </w:p>
    <w:p w14:paraId="4FD7B622">
      <w:pPr>
        <w:pStyle w:val="10"/>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outlineLvl w:val="0"/>
        <w:rPr>
          <w:rFonts w:ascii="黑体" w:eastAsia="黑体"/>
          <w:highlight w:val="none"/>
        </w:rPr>
      </w:pPr>
      <w:bookmarkStart w:id="106" w:name="_Toc22550"/>
      <w:bookmarkStart w:id="107" w:name="_Toc6529"/>
      <w:bookmarkStart w:id="108" w:name="_Toc350"/>
      <w:r>
        <w:rPr>
          <w:rFonts w:hint="eastAsia" w:ascii="黑体" w:eastAsia="黑体"/>
          <w:highlight w:val="none"/>
        </w:rPr>
        <w:t>四、评价结论及分析</w:t>
      </w:r>
      <w:bookmarkEnd w:id="106"/>
      <w:bookmarkEnd w:id="107"/>
      <w:bookmarkEnd w:id="108"/>
    </w:p>
    <w:p w14:paraId="0E94D16B">
      <w:pPr>
        <w:pStyle w:val="10"/>
        <w:keepNext w:val="0"/>
        <w:keepLines w:val="0"/>
        <w:pageBreakBefore w:val="0"/>
        <w:widowControl w:val="0"/>
        <w:kinsoku/>
        <w:wordWrap/>
        <w:topLinePunct w:val="0"/>
        <w:autoSpaceDE/>
        <w:autoSpaceDN/>
        <w:bidi w:val="0"/>
        <w:adjustRightInd/>
        <w:snapToGrid/>
        <w:spacing w:line="560" w:lineRule="exact"/>
        <w:ind w:firstLine="640" w:firstLineChars="200"/>
        <w:textAlignment w:val="auto"/>
        <w:rPr>
          <w:rFonts w:hint="eastAsia" w:ascii="仿宋_GB2312" w:hAnsi="仿宋_GB2312" w:cs="仿宋_GB2312"/>
          <w:highlight w:val="none"/>
        </w:rPr>
      </w:pPr>
      <w:r>
        <w:rPr>
          <w:rFonts w:hint="eastAsia" w:ascii="仿宋_GB2312" w:hAnsi="仿宋_GB2312" w:cs="仿宋_GB2312"/>
          <w:highlight w:val="none"/>
        </w:rPr>
        <w:t>评价小组根据项目实际，运用事先设置的评价指标体系及评分标准，对本次绩效评价指标体系进行适当调整，并经过数据采集、问卷调查及访谈、专家论证等</w:t>
      </w:r>
      <w:r>
        <w:rPr>
          <w:rFonts w:hint="eastAsia" w:ascii="仿宋_GB2312" w:hAnsi="仿宋_GB2312" w:cs="仿宋_GB2312"/>
          <w:highlight w:val="none"/>
          <w:lang w:val="en-US" w:eastAsia="zh-CN"/>
        </w:rPr>
        <w:t>评价方式</w:t>
      </w:r>
      <w:r>
        <w:rPr>
          <w:rFonts w:hint="eastAsia" w:ascii="仿宋_GB2312" w:hAnsi="仿宋_GB2312" w:cs="仿宋_GB2312"/>
          <w:highlight w:val="none"/>
        </w:rPr>
        <w:t>，客观公正地评价，评定2023年度</w:t>
      </w:r>
      <w:r>
        <w:rPr>
          <w:rFonts w:hint="eastAsia" w:ascii="仿宋_GB2312" w:hAnsi="仿宋_GB2312" w:cs="仿宋_GB2312"/>
          <w:highlight w:val="none"/>
          <w:lang w:eastAsia="zh-CN"/>
        </w:rPr>
        <w:t>法庭运维费</w:t>
      </w:r>
      <w:r>
        <w:rPr>
          <w:rFonts w:hint="eastAsia" w:ascii="仿宋_GB2312" w:hAnsi="仿宋_GB2312" w:cs="仿宋_GB2312"/>
          <w:highlight w:val="none"/>
        </w:rPr>
        <w:t>项目综合评价得分为</w:t>
      </w:r>
      <w:r>
        <w:rPr>
          <w:rFonts w:hint="eastAsia" w:ascii="仿宋_GB2312" w:hAnsi="仿宋_GB2312" w:cs="仿宋_GB2312"/>
          <w:highlight w:val="none"/>
          <w:lang w:val="en-US" w:eastAsia="zh-CN"/>
        </w:rPr>
        <w:t>96.05</w:t>
      </w:r>
      <w:r>
        <w:rPr>
          <w:rFonts w:hint="eastAsia" w:ascii="仿宋_GB2312" w:hAnsi="仿宋_GB2312" w:cs="仿宋_GB2312"/>
          <w:highlight w:val="none"/>
        </w:rPr>
        <w:t>分，评价等级为“</w:t>
      </w:r>
      <w:r>
        <w:rPr>
          <w:rFonts w:hint="eastAsia" w:ascii="仿宋_GB2312" w:hAnsi="仿宋_GB2312" w:cs="仿宋_GB2312"/>
          <w:highlight w:val="none"/>
          <w:lang w:val="en-US" w:eastAsia="zh-CN"/>
        </w:rPr>
        <w:t>优</w:t>
      </w:r>
      <w:r>
        <w:rPr>
          <w:rFonts w:hint="eastAsia" w:ascii="仿宋_GB2312" w:hAnsi="仿宋_GB2312" w:cs="仿宋_GB2312"/>
          <w:highlight w:val="none"/>
        </w:rPr>
        <w:t>”。指标具体得分情况见下表：</w:t>
      </w:r>
    </w:p>
    <w:p w14:paraId="1529FAE9">
      <w:pPr>
        <w:pStyle w:val="10"/>
        <w:spacing w:line="560" w:lineRule="exact"/>
        <w:ind w:firstLine="480" w:firstLineChars="200"/>
        <w:jc w:val="right"/>
        <w:rPr>
          <w:rFonts w:hint="eastAsia" w:ascii="仿宋_GB2312" w:hAnsi="仿宋_GB2312" w:cs="仿宋_GB2312"/>
          <w:highlight w:val="none"/>
        </w:rPr>
      </w:pPr>
      <w:r>
        <w:rPr>
          <w:rFonts w:hint="eastAsia" w:ascii="仿宋_GB2312" w:hAnsi="仿宋_GB2312" w:cs="仿宋_GB2312"/>
          <w:color w:val="auto"/>
          <w:sz w:val="24"/>
          <w:szCs w:val="24"/>
          <w:highlight w:val="none"/>
          <w:lang w:val="en-US" w:eastAsia="zh-CN"/>
        </w:rPr>
        <w:t>单位：万元</w:t>
      </w:r>
    </w:p>
    <w:tbl>
      <w:tblPr>
        <w:tblStyle w:val="20"/>
        <w:tblW w:w="8838" w:type="dxa"/>
        <w:tblInd w:w="96" w:type="dxa"/>
        <w:tblLayout w:type="autofit"/>
        <w:tblCellMar>
          <w:top w:w="0" w:type="dxa"/>
          <w:left w:w="108" w:type="dxa"/>
          <w:bottom w:w="0" w:type="dxa"/>
          <w:right w:w="108" w:type="dxa"/>
        </w:tblCellMar>
      </w:tblPr>
      <w:tblGrid>
        <w:gridCol w:w="1116"/>
        <w:gridCol w:w="1513"/>
        <w:gridCol w:w="3149"/>
        <w:gridCol w:w="1020"/>
        <w:gridCol w:w="1020"/>
        <w:gridCol w:w="1020"/>
      </w:tblGrid>
      <w:tr w14:paraId="7F93B312">
        <w:tblPrEx>
          <w:tblCellMar>
            <w:top w:w="0" w:type="dxa"/>
            <w:left w:w="108" w:type="dxa"/>
            <w:bottom w:w="0" w:type="dxa"/>
            <w:right w:w="108" w:type="dxa"/>
          </w:tblCellMar>
        </w:tblPrEx>
        <w:trPr>
          <w:trHeight w:val="454" w:hRule="atLeast"/>
          <w:tblHeader/>
        </w:trPr>
        <w:tc>
          <w:tcPr>
            <w:tcW w:w="1116" w:type="dxa"/>
            <w:tcBorders>
              <w:top w:val="single" w:color="000000" w:sz="4" w:space="0"/>
              <w:left w:val="single" w:color="000000" w:sz="4" w:space="0"/>
              <w:bottom w:val="single" w:color="auto" w:sz="4" w:space="0"/>
              <w:right w:val="single" w:color="000000" w:sz="4" w:space="0"/>
            </w:tcBorders>
            <w:shd w:val="clear" w:color="auto" w:fill="auto"/>
            <w:vAlign w:val="center"/>
          </w:tcPr>
          <w:p w14:paraId="77639F4F">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一级指标</w:t>
            </w:r>
          </w:p>
        </w:tc>
        <w:tc>
          <w:tcPr>
            <w:tcW w:w="1513" w:type="dxa"/>
            <w:tcBorders>
              <w:top w:val="single" w:color="000000" w:sz="4" w:space="0"/>
              <w:left w:val="single" w:color="000000" w:sz="4" w:space="0"/>
              <w:bottom w:val="single" w:color="auto" w:sz="4" w:space="0"/>
              <w:right w:val="single" w:color="000000" w:sz="4" w:space="0"/>
            </w:tcBorders>
            <w:shd w:val="clear" w:color="auto" w:fill="auto"/>
            <w:vAlign w:val="center"/>
          </w:tcPr>
          <w:p w14:paraId="3D2FEAE8">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二级指标</w:t>
            </w:r>
          </w:p>
        </w:tc>
        <w:tc>
          <w:tcPr>
            <w:tcW w:w="31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B2992E">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三级指标</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FF67C6">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分值</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C3AA6D">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得分</w:t>
            </w:r>
          </w:p>
        </w:tc>
        <w:tc>
          <w:tcPr>
            <w:tcW w:w="1020" w:type="dxa"/>
            <w:tcBorders>
              <w:top w:val="single" w:color="000000" w:sz="4" w:space="0"/>
              <w:left w:val="single" w:color="000000" w:sz="4" w:space="0"/>
              <w:bottom w:val="single" w:color="auto" w:sz="4" w:space="0"/>
              <w:right w:val="single" w:color="000000" w:sz="4" w:space="0"/>
            </w:tcBorders>
            <w:shd w:val="clear" w:color="auto" w:fill="auto"/>
            <w:vAlign w:val="center"/>
          </w:tcPr>
          <w:p w14:paraId="5BD9527A">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得分率</w:t>
            </w:r>
          </w:p>
        </w:tc>
      </w:tr>
      <w:tr w14:paraId="5CE7DF28">
        <w:tblPrEx>
          <w:tblCellMar>
            <w:top w:w="0" w:type="dxa"/>
            <w:left w:w="108" w:type="dxa"/>
            <w:bottom w:w="0" w:type="dxa"/>
            <w:right w:w="108" w:type="dxa"/>
          </w:tblCellMar>
        </w:tblPrEx>
        <w:trPr>
          <w:trHeight w:val="454" w:hRule="atLeast"/>
        </w:trPr>
        <w:tc>
          <w:tcPr>
            <w:tcW w:w="111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7EFC7C0">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决策指标</w:t>
            </w:r>
          </w:p>
        </w:tc>
        <w:tc>
          <w:tcPr>
            <w:tcW w:w="151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39B1A48">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项目立项</w:t>
            </w:r>
          </w:p>
        </w:tc>
        <w:tc>
          <w:tcPr>
            <w:tcW w:w="3149" w:type="dxa"/>
            <w:tcBorders>
              <w:top w:val="single" w:color="000000" w:sz="4" w:space="0"/>
              <w:left w:val="single" w:color="auto" w:sz="4" w:space="0"/>
              <w:bottom w:val="single" w:color="000000" w:sz="4" w:space="0"/>
              <w:right w:val="single" w:color="000000" w:sz="4" w:space="0"/>
            </w:tcBorders>
            <w:shd w:val="clear" w:color="auto" w:fill="auto"/>
            <w:vAlign w:val="center"/>
          </w:tcPr>
          <w:p w14:paraId="6298F554">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立项依据充分性</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133EA4">
            <w:pPr>
              <w:keepNext w:val="0"/>
              <w:keepLines w:val="0"/>
              <w:widowControl/>
              <w:suppressLineNumbers w:val="0"/>
              <w:jc w:val="center"/>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i w:val="0"/>
                <w:iCs w:val="0"/>
                <w:color w:val="000000"/>
                <w:kern w:val="0"/>
                <w:sz w:val="20"/>
                <w:szCs w:val="20"/>
                <w:u w:val="none"/>
                <w:lang w:val="en-US" w:eastAsia="zh-CN" w:bidi="ar"/>
              </w:rPr>
              <w:t>2.5</w:t>
            </w:r>
          </w:p>
        </w:tc>
        <w:tc>
          <w:tcPr>
            <w:tcW w:w="1020" w:type="dxa"/>
            <w:tcBorders>
              <w:top w:val="single" w:color="000000" w:sz="4" w:space="0"/>
              <w:left w:val="single" w:color="000000" w:sz="4" w:space="0"/>
              <w:bottom w:val="single" w:color="000000" w:sz="4" w:space="0"/>
              <w:right w:val="single" w:color="auto" w:sz="4" w:space="0"/>
            </w:tcBorders>
            <w:shd w:val="clear" w:color="auto" w:fill="auto"/>
            <w:vAlign w:val="center"/>
          </w:tcPr>
          <w:p w14:paraId="372F0946">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u w:val="none"/>
                <w:lang w:val="en-US" w:eastAsia="zh-CN" w:bidi="ar"/>
              </w:rPr>
              <w:t>2.5</w:t>
            </w:r>
          </w:p>
        </w:tc>
        <w:tc>
          <w:tcPr>
            <w:tcW w:w="1020" w:type="dxa"/>
            <w:tcBorders>
              <w:top w:val="single" w:color="auto" w:sz="4" w:space="0"/>
              <w:left w:val="single" w:color="auto" w:sz="4" w:space="0"/>
              <w:bottom w:val="single" w:color="auto" w:sz="4" w:space="0"/>
              <w:right w:val="single" w:color="auto" w:sz="4" w:space="0"/>
            </w:tcBorders>
            <w:shd w:val="clear" w:color="auto" w:fill="auto"/>
            <w:vAlign w:val="center"/>
          </w:tcPr>
          <w:p w14:paraId="2E4DCBAA">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u w:val="none"/>
                <w:lang w:val="en-US" w:eastAsia="zh-CN" w:bidi="ar"/>
              </w:rPr>
              <w:t>100.00%</w:t>
            </w:r>
          </w:p>
        </w:tc>
      </w:tr>
      <w:tr w14:paraId="714C9372">
        <w:tblPrEx>
          <w:tblCellMar>
            <w:top w:w="0" w:type="dxa"/>
            <w:left w:w="108" w:type="dxa"/>
            <w:bottom w:w="0" w:type="dxa"/>
            <w:right w:w="108" w:type="dxa"/>
          </w:tblCellMar>
        </w:tblPrEx>
        <w:trPr>
          <w:trHeight w:val="454" w:hRule="atLeast"/>
        </w:trPr>
        <w:tc>
          <w:tcPr>
            <w:tcW w:w="1116" w:type="dxa"/>
            <w:vMerge w:val="continue"/>
            <w:tcBorders>
              <w:top w:val="single" w:color="auto" w:sz="4" w:space="0"/>
              <w:left w:val="single" w:color="auto" w:sz="4" w:space="0"/>
              <w:bottom w:val="single" w:color="auto" w:sz="4" w:space="0"/>
              <w:right w:val="single" w:color="000000" w:sz="4" w:space="0"/>
            </w:tcBorders>
            <w:shd w:val="clear" w:color="auto" w:fill="auto"/>
            <w:vAlign w:val="center"/>
          </w:tcPr>
          <w:p w14:paraId="3D62E1B0">
            <w:pPr>
              <w:jc w:val="center"/>
              <w:rPr>
                <w:rFonts w:hint="eastAsia" w:ascii="宋体" w:hAnsi="宋体" w:eastAsia="宋体" w:cs="宋体"/>
                <w:color w:val="auto"/>
                <w:kern w:val="0"/>
                <w:sz w:val="20"/>
                <w:szCs w:val="20"/>
                <w:highlight w:val="none"/>
                <w:lang w:bidi="ar"/>
              </w:rPr>
            </w:pPr>
          </w:p>
        </w:tc>
        <w:tc>
          <w:tcPr>
            <w:tcW w:w="1513"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657BEF20">
            <w:pPr>
              <w:jc w:val="center"/>
              <w:rPr>
                <w:rFonts w:hint="eastAsia" w:ascii="宋体" w:hAnsi="宋体" w:eastAsia="宋体" w:cs="宋体"/>
                <w:color w:val="auto"/>
                <w:kern w:val="0"/>
                <w:sz w:val="20"/>
                <w:szCs w:val="20"/>
                <w:highlight w:val="none"/>
                <w:lang w:bidi="ar"/>
              </w:rPr>
            </w:pPr>
          </w:p>
        </w:tc>
        <w:tc>
          <w:tcPr>
            <w:tcW w:w="3149" w:type="dxa"/>
            <w:tcBorders>
              <w:top w:val="single" w:color="000000" w:sz="4" w:space="0"/>
              <w:left w:val="single" w:color="auto" w:sz="4" w:space="0"/>
              <w:bottom w:val="single" w:color="000000" w:sz="4" w:space="0"/>
              <w:right w:val="single" w:color="000000" w:sz="4" w:space="0"/>
            </w:tcBorders>
            <w:shd w:val="clear" w:color="auto" w:fill="auto"/>
            <w:vAlign w:val="center"/>
          </w:tcPr>
          <w:p w14:paraId="70D3AA6F">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立项程序规范性</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7DDF60">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u w:val="none"/>
                <w:lang w:val="en-US" w:eastAsia="zh-CN" w:bidi="ar"/>
              </w:rPr>
              <w:t>2.5</w:t>
            </w:r>
          </w:p>
        </w:tc>
        <w:tc>
          <w:tcPr>
            <w:tcW w:w="1020" w:type="dxa"/>
            <w:tcBorders>
              <w:top w:val="single" w:color="000000" w:sz="4" w:space="0"/>
              <w:left w:val="single" w:color="000000" w:sz="4" w:space="0"/>
              <w:bottom w:val="single" w:color="000000" w:sz="4" w:space="0"/>
              <w:right w:val="single" w:color="auto" w:sz="4" w:space="0"/>
            </w:tcBorders>
            <w:shd w:val="clear" w:color="auto" w:fill="auto"/>
            <w:vAlign w:val="center"/>
          </w:tcPr>
          <w:p w14:paraId="28C3C6E3">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u w:val="none"/>
                <w:lang w:val="en-US" w:eastAsia="zh-CN" w:bidi="ar"/>
              </w:rPr>
              <w:t>2.5</w:t>
            </w:r>
          </w:p>
        </w:tc>
        <w:tc>
          <w:tcPr>
            <w:tcW w:w="1020" w:type="dxa"/>
            <w:tcBorders>
              <w:top w:val="single" w:color="auto" w:sz="4" w:space="0"/>
              <w:left w:val="single" w:color="auto" w:sz="4" w:space="0"/>
              <w:bottom w:val="single" w:color="auto" w:sz="4" w:space="0"/>
              <w:right w:val="single" w:color="auto" w:sz="4" w:space="0"/>
            </w:tcBorders>
            <w:shd w:val="clear" w:color="auto" w:fill="auto"/>
            <w:vAlign w:val="center"/>
          </w:tcPr>
          <w:p w14:paraId="67EF0810">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u w:val="none"/>
                <w:lang w:val="en-US" w:eastAsia="zh-CN" w:bidi="ar"/>
              </w:rPr>
              <w:t>100.00%</w:t>
            </w:r>
          </w:p>
        </w:tc>
      </w:tr>
      <w:tr w14:paraId="3664C5F1">
        <w:tblPrEx>
          <w:tblCellMar>
            <w:top w:w="0" w:type="dxa"/>
            <w:left w:w="108" w:type="dxa"/>
            <w:bottom w:w="0" w:type="dxa"/>
            <w:right w:w="108" w:type="dxa"/>
          </w:tblCellMar>
        </w:tblPrEx>
        <w:trPr>
          <w:trHeight w:val="454" w:hRule="atLeast"/>
        </w:trPr>
        <w:tc>
          <w:tcPr>
            <w:tcW w:w="1116" w:type="dxa"/>
            <w:vMerge w:val="continue"/>
            <w:tcBorders>
              <w:top w:val="single" w:color="auto" w:sz="4" w:space="0"/>
              <w:left w:val="single" w:color="auto" w:sz="4" w:space="0"/>
              <w:bottom w:val="single" w:color="auto" w:sz="4" w:space="0"/>
              <w:right w:val="single" w:color="000000" w:sz="4" w:space="0"/>
            </w:tcBorders>
            <w:shd w:val="clear" w:color="auto" w:fill="auto"/>
            <w:vAlign w:val="center"/>
          </w:tcPr>
          <w:p w14:paraId="16991919">
            <w:pPr>
              <w:jc w:val="center"/>
              <w:rPr>
                <w:rFonts w:hint="eastAsia" w:ascii="宋体" w:hAnsi="宋体" w:eastAsia="宋体" w:cs="宋体"/>
                <w:color w:val="auto"/>
                <w:kern w:val="0"/>
                <w:sz w:val="20"/>
                <w:szCs w:val="20"/>
                <w:highlight w:val="none"/>
                <w:lang w:bidi="ar"/>
              </w:rPr>
            </w:pPr>
          </w:p>
        </w:tc>
        <w:tc>
          <w:tcPr>
            <w:tcW w:w="1513"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3CCAE602">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绩效目标</w:t>
            </w:r>
          </w:p>
        </w:tc>
        <w:tc>
          <w:tcPr>
            <w:tcW w:w="31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4E105D">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绩效目标合理性</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52408A">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u w:val="none"/>
                <w:lang w:val="en-US" w:eastAsia="zh-CN" w:bidi="ar"/>
              </w:rPr>
              <w:t>2.5</w:t>
            </w:r>
          </w:p>
        </w:tc>
        <w:tc>
          <w:tcPr>
            <w:tcW w:w="1020" w:type="dxa"/>
            <w:tcBorders>
              <w:top w:val="single" w:color="000000" w:sz="4" w:space="0"/>
              <w:left w:val="single" w:color="000000" w:sz="4" w:space="0"/>
              <w:bottom w:val="single" w:color="000000" w:sz="4" w:space="0"/>
              <w:right w:val="single" w:color="auto" w:sz="4" w:space="0"/>
            </w:tcBorders>
            <w:shd w:val="clear" w:color="auto" w:fill="auto"/>
            <w:vAlign w:val="center"/>
          </w:tcPr>
          <w:p w14:paraId="2AF0D55B">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u w:val="none"/>
                <w:lang w:val="en-US" w:eastAsia="zh-CN" w:bidi="ar"/>
              </w:rPr>
              <w:t>0.9</w:t>
            </w:r>
          </w:p>
        </w:tc>
        <w:tc>
          <w:tcPr>
            <w:tcW w:w="1020" w:type="dxa"/>
            <w:tcBorders>
              <w:top w:val="single" w:color="auto" w:sz="4" w:space="0"/>
              <w:left w:val="single" w:color="auto" w:sz="4" w:space="0"/>
              <w:bottom w:val="single" w:color="auto" w:sz="4" w:space="0"/>
              <w:right w:val="single" w:color="auto" w:sz="4" w:space="0"/>
            </w:tcBorders>
            <w:shd w:val="clear" w:color="auto" w:fill="auto"/>
            <w:vAlign w:val="center"/>
          </w:tcPr>
          <w:p w14:paraId="53E13FB0">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u w:val="none"/>
                <w:lang w:val="en-US" w:eastAsia="zh-CN" w:bidi="ar"/>
              </w:rPr>
              <w:t>36.00%</w:t>
            </w:r>
          </w:p>
        </w:tc>
      </w:tr>
      <w:tr w14:paraId="2F6E8079">
        <w:tblPrEx>
          <w:tblCellMar>
            <w:top w:w="0" w:type="dxa"/>
            <w:left w:w="108" w:type="dxa"/>
            <w:bottom w:w="0" w:type="dxa"/>
            <w:right w:w="108" w:type="dxa"/>
          </w:tblCellMar>
        </w:tblPrEx>
        <w:trPr>
          <w:trHeight w:val="454" w:hRule="atLeast"/>
        </w:trPr>
        <w:tc>
          <w:tcPr>
            <w:tcW w:w="1116" w:type="dxa"/>
            <w:vMerge w:val="continue"/>
            <w:tcBorders>
              <w:top w:val="single" w:color="auto" w:sz="4" w:space="0"/>
              <w:left w:val="single" w:color="auto" w:sz="4" w:space="0"/>
              <w:bottom w:val="single" w:color="auto" w:sz="4" w:space="0"/>
              <w:right w:val="single" w:color="000000" w:sz="4" w:space="0"/>
            </w:tcBorders>
            <w:shd w:val="clear" w:color="auto" w:fill="auto"/>
            <w:vAlign w:val="center"/>
          </w:tcPr>
          <w:p w14:paraId="0CE03A94">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p>
        </w:tc>
        <w:tc>
          <w:tcPr>
            <w:tcW w:w="1513"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36B8B3C">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p>
        </w:tc>
        <w:tc>
          <w:tcPr>
            <w:tcW w:w="31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152E92">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绩效指标明确性</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2B673">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u w:val="none"/>
                <w:lang w:val="en-US" w:eastAsia="zh-CN" w:bidi="ar"/>
              </w:rPr>
              <w:t>2.5</w:t>
            </w:r>
          </w:p>
        </w:tc>
        <w:tc>
          <w:tcPr>
            <w:tcW w:w="1020" w:type="dxa"/>
            <w:tcBorders>
              <w:top w:val="single" w:color="000000" w:sz="4" w:space="0"/>
              <w:left w:val="single" w:color="000000" w:sz="4" w:space="0"/>
              <w:bottom w:val="single" w:color="000000" w:sz="4" w:space="0"/>
              <w:right w:val="single" w:color="auto" w:sz="4" w:space="0"/>
            </w:tcBorders>
            <w:shd w:val="clear" w:color="auto" w:fill="auto"/>
            <w:vAlign w:val="center"/>
          </w:tcPr>
          <w:p w14:paraId="64C391AE">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u w:val="none"/>
                <w:lang w:val="en-US" w:eastAsia="zh-CN" w:bidi="ar"/>
              </w:rPr>
              <w:t>1.7</w:t>
            </w:r>
          </w:p>
        </w:tc>
        <w:tc>
          <w:tcPr>
            <w:tcW w:w="1020" w:type="dxa"/>
            <w:tcBorders>
              <w:top w:val="single" w:color="auto" w:sz="4" w:space="0"/>
              <w:left w:val="single" w:color="auto" w:sz="4" w:space="0"/>
              <w:bottom w:val="single" w:color="auto" w:sz="4" w:space="0"/>
              <w:right w:val="single" w:color="auto" w:sz="4" w:space="0"/>
            </w:tcBorders>
            <w:shd w:val="clear" w:color="auto" w:fill="auto"/>
            <w:vAlign w:val="center"/>
          </w:tcPr>
          <w:p w14:paraId="5D849EEC">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u w:val="none"/>
                <w:lang w:val="en-US" w:eastAsia="zh-CN" w:bidi="ar"/>
              </w:rPr>
              <w:t>68.00%</w:t>
            </w:r>
          </w:p>
        </w:tc>
      </w:tr>
      <w:tr w14:paraId="27182463">
        <w:tblPrEx>
          <w:tblCellMar>
            <w:top w:w="0" w:type="dxa"/>
            <w:left w:w="108" w:type="dxa"/>
            <w:bottom w:w="0" w:type="dxa"/>
            <w:right w:w="108" w:type="dxa"/>
          </w:tblCellMar>
        </w:tblPrEx>
        <w:trPr>
          <w:trHeight w:val="454" w:hRule="atLeast"/>
        </w:trPr>
        <w:tc>
          <w:tcPr>
            <w:tcW w:w="1116" w:type="dxa"/>
            <w:vMerge w:val="continue"/>
            <w:tcBorders>
              <w:top w:val="single" w:color="auto" w:sz="4" w:space="0"/>
              <w:left w:val="single" w:color="auto" w:sz="4" w:space="0"/>
              <w:bottom w:val="single" w:color="auto" w:sz="4" w:space="0"/>
              <w:right w:val="single" w:color="000000" w:sz="4" w:space="0"/>
            </w:tcBorders>
            <w:shd w:val="clear" w:color="auto" w:fill="auto"/>
            <w:vAlign w:val="center"/>
          </w:tcPr>
          <w:p w14:paraId="753D575C">
            <w:pPr>
              <w:jc w:val="center"/>
              <w:rPr>
                <w:rFonts w:hint="eastAsia" w:ascii="宋体" w:hAnsi="宋体" w:eastAsia="宋体" w:cs="宋体"/>
                <w:color w:val="auto"/>
                <w:kern w:val="0"/>
                <w:sz w:val="20"/>
                <w:szCs w:val="20"/>
                <w:highlight w:val="none"/>
                <w:lang w:bidi="ar"/>
              </w:rPr>
            </w:pPr>
          </w:p>
        </w:tc>
        <w:tc>
          <w:tcPr>
            <w:tcW w:w="1513"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1C4EFDE7">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 xml:space="preserve">资金投入  </w:t>
            </w:r>
          </w:p>
        </w:tc>
        <w:tc>
          <w:tcPr>
            <w:tcW w:w="31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6CFCE0">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预算编制科学性</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D6B95C">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u w:val="none"/>
                <w:lang w:val="en-US" w:eastAsia="zh-CN" w:bidi="ar"/>
              </w:rPr>
              <w:t>2.5</w:t>
            </w:r>
          </w:p>
        </w:tc>
        <w:tc>
          <w:tcPr>
            <w:tcW w:w="1020" w:type="dxa"/>
            <w:tcBorders>
              <w:top w:val="single" w:color="000000" w:sz="4" w:space="0"/>
              <w:left w:val="single" w:color="000000" w:sz="4" w:space="0"/>
              <w:bottom w:val="single" w:color="000000" w:sz="4" w:space="0"/>
              <w:right w:val="single" w:color="auto" w:sz="4" w:space="0"/>
            </w:tcBorders>
            <w:shd w:val="clear" w:color="auto" w:fill="auto"/>
            <w:vAlign w:val="center"/>
          </w:tcPr>
          <w:p w14:paraId="2AB5C151">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u w:val="none"/>
                <w:lang w:val="en-US" w:eastAsia="zh-CN" w:bidi="ar"/>
              </w:rPr>
              <w:t>2.5</w:t>
            </w:r>
          </w:p>
        </w:tc>
        <w:tc>
          <w:tcPr>
            <w:tcW w:w="1020" w:type="dxa"/>
            <w:tcBorders>
              <w:top w:val="single" w:color="auto" w:sz="4" w:space="0"/>
              <w:left w:val="single" w:color="auto" w:sz="4" w:space="0"/>
              <w:bottom w:val="single" w:color="auto" w:sz="4" w:space="0"/>
              <w:right w:val="single" w:color="auto" w:sz="4" w:space="0"/>
            </w:tcBorders>
            <w:shd w:val="clear" w:color="auto" w:fill="auto"/>
            <w:vAlign w:val="center"/>
          </w:tcPr>
          <w:p w14:paraId="3A6768C2">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u w:val="none"/>
                <w:lang w:val="en-US" w:eastAsia="zh-CN" w:bidi="ar"/>
              </w:rPr>
              <w:t>100.00%</w:t>
            </w:r>
          </w:p>
        </w:tc>
      </w:tr>
      <w:tr w14:paraId="055B9BE7">
        <w:tblPrEx>
          <w:tblCellMar>
            <w:top w:w="0" w:type="dxa"/>
            <w:left w:w="108" w:type="dxa"/>
            <w:bottom w:w="0" w:type="dxa"/>
            <w:right w:w="108" w:type="dxa"/>
          </w:tblCellMar>
        </w:tblPrEx>
        <w:trPr>
          <w:trHeight w:val="454" w:hRule="atLeast"/>
        </w:trPr>
        <w:tc>
          <w:tcPr>
            <w:tcW w:w="1116" w:type="dxa"/>
            <w:vMerge w:val="continue"/>
            <w:tcBorders>
              <w:top w:val="single" w:color="auto" w:sz="4" w:space="0"/>
              <w:left w:val="single" w:color="auto" w:sz="4" w:space="0"/>
              <w:bottom w:val="single" w:color="auto" w:sz="4" w:space="0"/>
              <w:right w:val="single" w:color="000000" w:sz="4" w:space="0"/>
            </w:tcBorders>
            <w:shd w:val="clear" w:color="auto" w:fill="auto"/>
            <w:vAlign w:val="center"/>
          </w:tcPr>
          <w:p w14:paraId="4D68252E">
            <w:pPr>
              <w:jc w:val="center"/>
              <w:rPr>
                <w:rFonts w:hint="eastAsia" w:ascii="宋体" w:hAnsi="宋体" w:eastAsia="宋体" w:cs="宋体"/>
                <w:color w:val="auto"/>
                <w:kern w:val="0"/>
                <w:sz w:val="20"/>
                <w:szCs w:val="20"/>
                <w:highlight w:val="none"/>
                <w:lang w:bidi="ar"/>
              </w:rPr>
            </w:pPr>
          </w:p>
        </w:tc>
        <w:tc>
          <w:tcPr>
            <w:tcW w:w="1513"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5605712">
            <w:pPr>
              <w:jc w:val="center"/>
              <w:rPr>
                <w:rFonts w:hint="eastAsia" w:ascii="宋体" w:hAnsi="宋体" w:eastAsia="宋体" w:cs="宋体"/>
                <w:color w:val="auto"/>
                <w:kern w:val="0"/>
                <w:sz w:val="20"/>
                <w:szCs w:val="20"/>
                <w:highlight w:val="none"/>
                <w:lang w:bidi="ar"/>
              </w:rPr>
            </w:pPr>
          </w:p>
        </w:tc>
        <w:tc>
          <w:tcPr>
            <w:tcW w:w="3149" w:type="dxa"/>
            <w:tcBorders>
              <w:top w:val="single" w:color="000000" w:sz="4" w:space="0"/>
              <w:left w:val="single" w:color="000000" w:sz="4" w:space="0"/>
              <w:bottom w:val="single" w:color="auto" w:sz="4" w:space="0"/>
              <w:right w:val="single" w:color="000000" w:sz="4" w:space="0"/>
            </w:tcBorders>
            <w:shd w:val="clear" w:color="auto" w:fill="auto"/>
            <w:vAlign w:val="center"/>
          </w:tcPr>
          <w:p w14:paraId="429DBC7D">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资金分配合理性</w:t>
            </w:r>
          </w:p>
        </w:tc>
        <w:tc>
          <w:tcPr>
            <w:tcW w:w="1020" w:type="dxa"/>
            <w:tcBorders>
              <w:top w:val="single" w:color="000000" w:sz="4" w:space="0"/>
              <w:left w:val="single" w:color="000000" w:sz="4" w:space="0"/>
              <w:bottom w:val="single" w:color="auto" w:sz="4" w:space="0"/>
              <w:right w:val="single" w:color="000000" w:sz="4" w:space="0"/>
            </w:tcBorders>
            <w:shd w:val="clear" w:color="auto" w:fill="auto"/>
            <w:vAlign w:val="center"/>
          </w:tcPr>
          <w:p w14:paraId="660F065E">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u w:val="none"/>
                <w:lang w:val="en-US" w:eastAsia="zh-CN" w:bidi="ar"/>
              </w:rPr>
              <w:t>2.5</w:t>
            </w:r>
          </w:p>
        </w:tc>
        <w:tc>
          <w:tcPr>
            <w:tcW w:w="1020" w:type="dxa"/>
            <w:tcBorders>
              <w:top w:val="single" w:color="000000" w:sz="4" w:space="0"/>
              <w:left w:val="single" w:color="000000" w:sz="4" w:space="0"/>
              <w:bottom w:val="single" w:color="auto" w:sz="4" w:space="0"/>
              <w:right w:val="single" w:color="auto" w:sz="4" w:space="0"/>
            </w:tcBorders>
            <w:shd w:val="clear" w:color="auto" w:fill="auto"/>
            <w:vAlign w:val="center"/>
          </w:tcPr>
          <w:p w14:paraId="78E6BBD7">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u w:val="none"/>
                <w:lang w:val="en-US" w:eastAsia="zh-CN" w:bidi="ar"/>
              </w:rPr>
              <w:t>2.5</w:t>
            </w:r>
          </w:p>
        </w:tc>
        <w:tc>
          <w:tcPr>
            <w:tcW w:w="1020" w:type="dxa"/>
            <w:tcBorders>
              <w:top w:val="single" w:color="auto" w:sz="4" w:space="0"/>
              <w:left w:val="single" w:color="auto" w:sz="4" w:space="0"/>
              <w:bottom w:val="single" w:color="auto" w:sz="4" w:space="0"/>
              <w:right w:val="single" w:color="auto" w:sz="4" w:space="0"/>
            </w:tcBorders>
            <w:shd w:val="clear" w:color="auto" w:fill="auto"/>
            <w:vAlign w:val="center"/>
          </w:tcPr>
          <w:p w14:paraId="2296115F">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u w:val="none"/>
                <w:lang w:val="en-US" w:eastAsia="zh-CN" w:bidi="ar"/>
              </w:rPr>
              <w:t>100.00%</w:t>
            </w:r>
          </w:p>
        </w:tc>
      </w:tr>
      <w:tr w14:paraId="1211A764">
        <w:tblPrEx>
          <w:tblCellMar>
            <w:top w:w="0" w:type="dxa"/>
            <w:left w:w="108" w:type="dxa"/>
            <w:bottom w:w="0" w:type="dxa"/>
            <w:right w:w="108" w:type="dxa"/>
          </w:tblCellMar>
        </w:tblPrEx>
        <w:trPr>
          <w:trHeight w:val="454" w:hRule="atLeast"/>
        </w:trPr>
        <w:tc>
          <w:tcPr>
            <w:tcW w:w="111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D269287">
            <w:pPr>
              <w:jc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过程指标</w:t>
            </w:r>
          </w:p>
        </w:tc>
        <w:tc>
          <w:tcPr>
            <w:tcW w:w="151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0E2D256">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资金管理</w:t>
            </w:r>
          </w:p>
        </w:tc>
        <w:tc>
          <w:tcPr>
            <w:tcW w:w="3149" w:type="dxa"/>
            <w:tcBorders>
              <w:top w:val="single" w:color="auto" w:sz="4" w:space="0"/>
              <w:left w:val="single" w:color="auto" w:sz="4" w:space="0"/>
              <w:bottom w:val="single" w:color="auto" w:sz="4" w:space="0"/>
              <w:right w:val="single" w:color="auto" w:sz="4" w:space="0"/>
            </w:tcBorders>
            <w:shd w:val="clear" w:color="auto" w:fill="auto"/>
            <w:vAlign w:val="center"/>
          </w:tcPr>
          <w:p w14:paraId="71F11E30">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资金到位率</w:t>
            </w:r>
          </w:p>
        </w:tc>
        <w:tc>
          <w:tcPr>
            <w:tcW w:w="1020" w:type="dxa"/>
            <w:tcBorders>
              <w:top w:val="single" w:color="auto" w:sz="4" w:space="0"/>
              <w:left w:val="single" w:color="auto" w:sz="4" w:space="0"/>
              <w:bottom w:val="single" w:color="auto" w:sz="4" w:space="0"/>
              <w:right w:val="single" w:color="auto" w:sz="4" w:space="0"/>
            </w:tcBorders>
            <w:shd w:val="clear" w:color="auto" w:fill="auto"/>
            <w:vAlign w:val="center"/>
          </w:tcPr>
          <w:p w14:paraId="244FBEC6">
            <w:pPr>
              <w:keepNext w:val="0"/>
              <w:keepLines w:val="0"/>
              <w:widowControl/>
              <w:suppressLineNumbers w:val="0"/>
              <w:jc w:val="center"/>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i w:val="0"/>
                <w:iCs w:val="0"/>
                <w:color w:val="000000"/>
                <w:kern w:val="0"/>
                <w:sz w:val="20"/>
                <w:szCs w:val="20"/>
                <w:u w:val="none"/>
                <w:lang w:val="en-US" w:eastAsia="zh-CN" w:bidi="ar"/>
              </w:rPr>
              <w:t>2.5</w:t>
            </w:r>
          </w:p>
        </w:tc>
        <w:tc>
          <w:tcPr>
            <w:tcW w:w="1020" w:type="dxa"/>
            <w:tcBorders>
              <w:top w:val="single" w:color="auto" w:sz="4" w:space="0"/>
              <w:left w:val="single" w:color="auto" w:sz="4" w:space="0"/>
              <w:bottom w:val="single" w:color="auto" w:sz="4" w:space="0"/>
              <w:right w:val="single" w:color="auto" w:sz="4" w:space="0"/>
            </w:tcBorders>
            <w:shd w:val="clear" w:color="auto" w:fill="auto"/>
            <w:vAlign w:val="center"/>
          </w:tcPr>
          <w:p w14:paraId="4FEAC0B1">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u w:val="none"/>
                <w:lang w:val="en-US" w:eastAsia="zh-CN" w:bidi="ar"/>
              </w:rPr>
              <w:t>2.5</w:t>
            </w:r>
          </w:p>
        </w:tc>
        <w:tc>
          <w:tcPr>
            <w:tcW w:w="1020" w:type="dxa"/>
            <w:tcBorders>
              <w:top w:val="single" w:color="auto" w:sz="4" w:space="0"/>
              <w:left w:val="single" w:color="auto" w:sz="4" w:space="0"/>
              <w:bottom w:val="single" w:color="auto" w:sz="4" w:space="0"/>
              <w:right w:val="single" w:color="auto" w:sz="4" w:space="0"/>
            </w:tcBorders>
            <w:shd w:val="clear" w:color="auto" w:fill="auto"/>
            <w:vAlign w:val="center"/>
          </w:tcPr>
          <w:p w14:paraId="5C39B6B0">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u w:val="none"/>
                <w:lang w:val="en-US" w:eastAsia="zh-CN" w:bidi="ar"/>
              </w:rPr>
              <w:t>100.00%</w:t>
            </w:r>
          </w:p>
        </w:tc>
      </w:tr>
      <w:tr w14:paraId="6C29CBFD">
        <w:tblPrEx>
          <w:tblCellMar>
            <w:top w:w="0" w:type="dxa"/>
            <w:left w:w="108" w:type="dxa"/>
            <w:bottom w:w="0" w:type="dxa"/>
            <w:right w:w="108" w:type="dxa"/>
          </w:tblCellMar>
        </w:tblPrEx>
        <w:trPr>
          <w:trHeight w:val="454" w:hRule="atLeast"/>
        </w:trPr>
        <w:tc>
          <w:tcPr>
            <w:tcW w:w="11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5165551">
            <w:pPr>
              <w:keepNext w:val="0"/>
              <w:keepLines w:val="0"/>
              <w:widowControl/>
              <w:suppressLineNumbers w:val="0"/>
              <w:jc w:val="both"/>
              <w:textAlignment w:val="center"/>
              <w:rPr>
                <w:rFonts w:hint="eastAsia" w:ascii="宋体" w:hAnsi="宋体" w:eastAsia="宋体" w:cs="宋体"/>
                <w:color w:val="auto"/>
                <w:kern w:val="0"/>
                <w:sz w:val="20"/>
                <w:szCs w:val="20"/>
                <w:highlight w:val="none"/>
                <w:lang w:bidi="ar"/>
              </w:rPr>
            </w:pPr>
          </w:p>
        </w:tc>
        <w:tc>
          <w:tcPr>
            <w:tcW w:w="151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BD3808C">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p>
        </w:tc>
        <w:tc>
          <w:tcPr>
            <w:tcW w:w="3149" w:type="dxa"/>
            <w:tcBorders>
              <w:top w:val="single" w:color="auto" w:sz="4" w:space="0"/>
              <w:left w:val="single" w:color="auto" w:sz="4" w:space="0"/>
              <w:bottom w:val="single" w:color="auto" w:sz="4" w:space="0"/>
              <w:right w:val="single" w:color="auto" w:sz="4" w:space="0"/>
            </w:tcBorders>
            <w:shd w:val="clear" w:color="auto" w:fill="auto"/>
            <w:vAlign w:val="center"/>
          </w:tcPr>
          <w:p w14:paraId="5E1529E1">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预算执行率</w:t>
            </w:r>
          </w:p>
        </w:tc>
        <w:tc>
          <w:tcPr>
            <w:tcW w:w="1020" w:type="dxa"/>
            <w:tcBorders>
              <w:top w:val="single" w:color="auto" w:sz="4" w:space="0"/>
              <w:left w:val="single" w:color="auto" w:sz="4" w:space="0"/>
              <w:bottom w:val="single" w:color="auto" w:sz="4" w:space="0"/>
              <w:right w:val="single" w:color="auto" w:sz="4" w:space="0"/>
            </w:tcBorders>
            <w:shd w:val="clear" w:color="auto" w:fill="auto"/>
            <w:vAlign w:val="center"/>
          </w:tcPr>
          <w:p w14:paraId="1B5CE99F">
            <w:pPr>
              <w:keepNext w:val="0"/>
              <w:keepLines w:val="0"/>
              <w:widowControl/>
              <w:suppressLineNumbers w:val="0"/>
              <w:jc w:val="center"/>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i w:val="0"/>
                <w:iCs w:val="0"/>
                <w:color w:val="000000"/>
                <w:kern w:val="0"/>
                <w:sz w:val="20"/>
                <w:szCs w:val="20"/>
                <w:u w:val="none"/>
                <w:lang w:val="en-US" w:eastAsia="zh-CN" w:bidi="ar"/>
              </w:rPr>
              <w:t>2.5</w:t>
            </w:r>
          </w:p>
        </w:tc>
        <w:tc>
          <w:tcPr>
            <w:tcW w:w="1020" w:type="dxa"/>
            <w:tcBorders>
              <w:top w:val="single" w:color="auto" w:sz="4" w:space="0"/>
              <w:left w:val="single" w:color="auto" w:sz="4" w:space="0"/>
              <w:bottom w:val="single" w:color="auto" w:sz="4" w:space="0"/>
              <w:right w:val="single" w:color="auto" w:sz="4" w:space="0"/>
            </w:tcBorders>
            <w:shd w:val="clear" w:color="auto" w:fill="auto"/>
            <w:vAlign w:val="center"/>
          </w:tcPr>
          <w:p w14:paraId="658F1417">
            <w:pPr>
              <w:keepNext w:val="0"/>
              <w:keepLines w:val="0"/>
              <w:widowControl/>
              <w:suppressLineNumbers w:val="0"/>
              <w:jc w:val="center"/>
              <w:textAlignment w:val="center"/>
              <w:rPr>
                <w:rFonts w:hint="eastAsia" w:ascii="宋体" w:hAnsi="宋体" w:eastAsia="宋体" w:cs="宋体"/>
                <w:color w:val="auto"/>
                <w:kern w:val="0"/>
                <w:sz w:val="20"/>
                <w:szCs w:val="20"/>
                <w:highlight w:val="none"/>
                <w:lang w:val="en-US" w:bidi="ar"/>
              </w:rPr>
            </w:pPr>
            <w:r>
              <w:rPr>
                <w:rFonts w:hint="eastAsia" w:ascii="宋体" w:hAnsi="宋体" w:eastAsia="宋体" w:cs="宋体"/>
                <w:i w:val="0"/>
                <w:iCs w:val="0"/>
                <w:color w:val="000000"/>
                <w:kern w:val="0"/>
                <w:sz w:val="20"/>
                <w:szCs w:val="20"/>
                <w:u w:val="none"/>
                <w:lang w:val="en-US" w:eastAsia="zh-CN" w:bidi="ar"/>
              </w:rPr>
              <w:t>2.2</w:t>
            </w:r>
          </w:p>
        </w:tc>
        <w:tc>
          <w:tcPr>
            <w:tcW w:w="1020" w:type="dxa"/>
            <w:tcBorders>
              <w:top w:val="single" w:color="auto" w:sz="4" w:space="0"/>
              <w:left w:val="single" w:color="auto" w:sz="4" w:space="0"/>
              <w:bottom w:val="single" w:color="auto" w:sz="4" w:space="0"/>
              <w:right w:val="single" w:color="auto" w:sz="4" w:space="0"/>
            </w:tcBorders>
            <w:shd w:val="clear" w:color="auto" w:fill="auto"/>
            <w:vAlign w:val="center"/>
          </w:tcPr>
          <w:p w14:paraId="1E3B99B8">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u w:val="none"/>
                <w:lang w:val="en-US" w:eastAsia="zh-CN" w:bidi="ar"/>
              </w:rPr>
              <w:t>88.00%</w:t>
            </w:r>
          </w:p>
        </w:tc>
      </w:tr>
      <w:tr w14:paraId="28A6DE18">
        <w:tblPrEx>
          <w:tblCellMar>
            <w:top w:w="0" w:type="dxa"/>
            <w:left w:w="108" w:type="dxa"/>
            <w:bottom w:w="0" w:type="dxa"/>
            <w:right w:w="108" w:type="dxa"/>
          </w:tblCellMar>
        </w:tblPrEx>
        <w:trPr>
          <w:trHeight w:val="454" w:hRule="atLeast"/>
        </w:trPr>
        <w:tc>
          <w:tcPr>
            <w:tcW w:w="11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977ADDC">
            <w:pPr>
              <w:jc w:val="center"/>
              <w:rPr>
                <w:rFonts w:hint="eastAsia" w:ascii="宋体" w:hAnsi="宋体" w:eastAsia="宋体" w:cs="宋体"/>
                <w:color w:val="auto"/>
                <w:kern w:val="0"/>
                <w:sz w:val="20"/>
                <w:szCs w:val="20"/>
                <w:highlight w:val="none"/>
                <w:lang w:bidi="ar"/>
              </w:rPr>
            </w:pPr>
          </w:p>
        </w:tc>
        <w:tc>
          <w:tcPr>
            <w:tcW w:w="151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C8A8ED2">
            <w:pPr>
              <w:jc w:val="center"/>
              <w:rPr>
                <w:rFonts w:hint="eastAsia" w:ascii="宋体" w:hAnsi="宋体" w:eastAsia="宋体" w:cs="宋体"/>
                <w:color w:val="auto"/>
                <w:kern w:val="0"/>
                <w:sz w:val="20"/>
                <w:szCs w:val="20"/>
                <w:highlight w:val="none"/>
                <w:lang w:bidi="ar"/>
              </w:rPr>
            </w:pPr>
          </w:p>
        </w:tc>
        <w:tc>
          <w:tcPr>
            <w:tcW w:w="3149" w:type="dxa"/>
            <w:tcBorders>
              <w:top w:val="single" w:color="auto" w:sz="4" w:space="0"/>
              <w:left w:val="single" w:color="auto" w:sz="4" w:space="0"/>
              <w:bottom w:val="single" w:color="auto" w:sz="4" w:space="0"/>
              <w:right w:val="single" w:color="auto" w:sz="4" w:space="0"/>
            </w:tcBorders>
            <w:shd w:val="clear" w:color="auto" w:fill="auto"/>
            <w:vAlign w:val="center"/>
          </w:tcPr>
          <w:p w14:paraId="5457C3B2">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资金使用合规性</w:t>
            </w:r>
          </w:p>
        </w:tc>
        <w:tc>
          <w:tcPr>
            <w:tcW w:w="1020" w:type="dxa"/>
            <w:tcBorders>
              <w:top w:val="single" w:color="auto" w:sz="4" w:space="0"/>
              <w:left w:val="single" w:color="auto" w:sz="4" w:space="0"/>
              <w:bottom w:val="single" w:color="auto" w:sz="4" w:space="0"/>
              <w:right w:val="single" w:color="auto" w:sz="4" w:space="0"/>
            </w:tcBorders>
            <w:shd w:val="clear" w:color="auto" w:fill="auto"/>
            <w:vAlign w:val="center"/>
          </w:tcPr>
          <w:p w14:paraId="473B990A">
            <w:pPr>
              <w:widowControl/>
              <w:jc w:val="center"/>
              <w:textAlignment w:val="center"/>
              <w:rPr>
                <w:rFonts w:hint="eastAsia" w:ascii="宋体" w:hAnsi="宋体" w:eastAsia="宋体" w:cs="宋体"/>
                <w:color w:val="auto"/>
                <w:kern w:val="0"/>
                <w:sz w:val="20"/>
                <w:szCs w:val="20"/>
                <w:highlight w:val="none"/>
                <w:lang w:val="en-US" w:eastAsia="zh-CN" w:bidi="ar"/>
              </w:rPr>
            </w:pPr>
            <w:r>
              <w:rPr>
                <w:rFonts w:hint="eastAsia" w:ascii="宋体" w:hAnsi="宋体" w:eastAsia="宋体" w:cs="宋体"/>
                <w:color w:val="auto"/>
                <w:kern w:val="0"/>
                <w:sz w:val="20"/>
                <w:szCs w:val="20"/>
                <w:highlight w:val="none"/>
                <w:lang w:val="en-US" w:eastAsia="zh-CN" w:bidi="ar"/>
              </w:rPr>
              <w:t>2.5</w:t>
            </w:r>
          </w:p>
        </w:tc>
        <w:tc>
          <w:tcPr>
            <w:tcW w:w="1020" w:type="dxa"/>
            <w:tcBorders>
              <w:top w:val="single" w:color="auto" w:sz="4" w:space="0"/>
              <w:left w:val="single" w:color="auto" w:sz="4" w:space="0"/>
              <w:bottom w:val="single" w:color="auto" w:sz="4" w:space="0"/>
              <w:right w:val="single" w:color="auto" w:sz="4" w:space="0"/>
            </w:tcBorders>
            <w:shd w:val="clear" w:color="auto" w:fill="auto"/>
            <w:vAlign w:val="center"/>
          </w:tcPr>
          <w:p w14:paraId="4D796E85">
            <w:pPr>
              <w:keepNext w:val="0"/>
              <w:keepLines w:val="0"/>
              <w:widowControl/>
              <w:suppressLineNumbers w:val="0"/>
              <w:jc w:val="center"/>
              <w:textAlignment w:val="center"/>
              <w:rPr>
                <w:rFonts w:hint="eastAsia" w:ascii="宋体" w:hAnsi="宋体" w:eastAsia="宋体" w:cs="宋体"/>
                <w:color w:val="auto"/>
                <w:kern w:val="0"/>
                <w:sz w:val="20"/>
                <w:szCs w:val="20"/>
                <w:highlight w:val="none"/>
                <w:lang w:val="en-US" w:eastAsia="zh-CN" w:bidi="ar"/>
              </w:rPr>
            </w:pPr>
            <w:r>
              <w:rPr>
                <w:rFonts w:hint="eastAsia" w:ascii="宋体" w:hAnsi="宋体" w:eastAsia="宋体" w:cs="宋体"/>
                <w:color w:val="auto"/>
                <w:kern w:val="0"/>
                <w:sz w:val="20"/>
                <w:szCs w:val="20"/>
                <w:highlight w:val="none"/>
                <w:lang w:val="en-US" w:eastAsia="zh-CN" w:bidi="ar"/>
              </w:rPr>
              <w:t>2.5</w:t>
            </w:r>
          </w:p>
        </w:tc>
        <w:tc>
          <w:tcPr>
            <w:tcW w:w="1020" w:type="dxa"/>
            <w:tcBorders>
              <w:top w:val="single" w:color="auto" w:sz="4" w:space="0"/>
              <w:left w:val="single" w:color="auto" w:sz="4" w:space="0"/>
              <w:bottom w:val="single" w:color="auto" w:sz="4" w:space="0"/>
              <w:right w:val="single" w:color="auto" w:sz="4" w:space="0"/>
            </w:tcBorders>
            <w:shd w:val="clear" w:color="auto" w:fill="auto"/>
            <w:vAlign w:val="center"/>
          </w:tcPr>
          <w:p w14:paraId="277FCFEB">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u w:val="none"/>
                <w:lang w:val="en-US" w:eastAsia="zh-CN" w:bidi="ar"/>
              </w:rPr>
              <w:t>100.00%</w:t>
            </w:r>
          </w:p>
        </w:tc>
      </w:tr>
      <w:tr w14:paraId="5058BD10">
        <w:tblPrEx>
          <w:tblCellMar>
            <w:top w:w="0" w:type="dxa"/>
            <w:left w:w="108" w:type="dxa"/>
            <w:bottom w:w="0" w:type="dxa"/>
            <w:right w:w="108" w:type="dxa"/>
          </w:tblCellMar>
        </w:tblPrEx>
        <w:trPr>
          <w:trHeight w:val="454" w:hRule="atLeast"/>
        </w:trPr>
        <w:tc>
          <w:tcPr>
            <w:tcW w:w="11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40DCB43">
            <w:pPr>
              <w:jc w:val="center"/>
              <w:rPr>
                <w:rFonts w:hint="eastAsia" w:ascii="宋体" w:hAnsi="宋体" w:eastAsia="宋体" w:cs="宋体"/>
                <w:color w:val="auto"/>
                <w:kern w:val="0"/>
                <w:sz w:val="20"/>
                <w:szCs w:val="20"/>
                <w:highlight w:val="none"/>
                <w:lang w:bidi="ar"/>
              </w:rPr>
            </w:pPr>
          </w:p>
        </w:tc>
        <w:tc>
          <w:tcPr>
            <w:tcW w:w="151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4D5E056">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组织实施</w:t>
            </w:r>
          </w:p>
        </w:tc>
        <w:tc>
          <w:tcPr>
            <w:tcW w:w="3149" w:type="dxa"/>
            <w:tcBorders>
              <w:top w:val="single" w:color="auto" w:sz="4" w:space="0"/>
              <w:left w:val="single" w:color="auto" w:sz="4" w:space="0"/>
              <w:bottom w:val="single" w:color="auto" w:sz="4" w:space="0"/>
              <w:right w:val="single" w:color="auto" w:sz="4" w:space="0"/>
            </w:tcBorders>
            <w:shd w:val="clear" w:color="auto" w:fill="auto"/>
            <w:vAlign w:val="center"/>
          </w:tcPr>
          <w:p w14:paraId="64D7FAFD">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管理制度健全性</w:t>
            </w:r>
          </w:p>
        </w:tc>
        <w:tc>
          <w:tcPr>
            <w:tcW w:w="1020" w:type="dxa"/>
            <w:tcBorders>
              <w:top w:val="single" w:color="auto" w:sz="4" w:space="0"/>
              <w:left w:val="single" w:color="auto" w:sz="4" w:space="0"/>
              <w:bottom w:val="single" w:color="auto" w:sz="4" w:space="0"/>
              <w:right w:val="single" w:color="auto" w:sz="4" w:space="0"/>
            </w:tcBorders>
            <w:shd w:val="clear" w:color="auto" w:fill="auto"/>
            <w:vAlign w:val="center"/>
          </w:tcPr>
          <w:p w14:paraId="658D247A">
            <w:pPr>
              <w:keepNext w:val="0"/>
              <w:keepLines w:val="0"/>
              <w:widowControl/>
              <w:suppressLineNumbers w:val="0"/>
              <w:jc w:val="center"/>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i w:val="0"/>
                <w:iCs w:val="0"/>
                <w:color w:val="000000"/>
                <w:kern w:val="0"/>
                <w:sz w:val="20"/>
                <w:szCs w:val="20"/>
                <w:u w:val="none"/>
                <w:lang w:val="en-US" w:eastAsia="zh-CN" w:bidi="ar"/>
              </w:rPr>
              <w:t>2.5</w:t>
            </w:r>
          </w:p>
        </w:tc>
        <w:tc>
          <w:tcPr>
            <w:tcW w:w="1020" w:type="dxa"/>
            <w:tcBorders>
              <w:top w:val="single" w:color="auto" w:sz="4" w:space="0"/>
              <w:left w:val="single" w:color="auto" w:sz="4" w:space="0"/>
              <w:bottom w:val="single" w:color="auto" w:sz="4" w:space="0"/>
              <w:right w:val="single" w:color="auto" w:sz="4" w:space="0"/>
            </w:tcBorders>
            <w:shd w:val="clear" w:color="auto" w:fill="auto"/>
            <w:vAlign w:val="center"/>
          </w:tcPr>
          <w:p w14:paraId="4779B955">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u w:val="none"/>
                <w:lang w:val="en-US" w:eastAsia="zh-CN" w:bidi="ar"/>
              </w:rPr>
              <w:t>2.5</w:t>
            </w:r>
          </w:p>
        </w:tc>
        <w:tc>
          <w:tcPr>
            <w:tcW w:w="1020" w:type="dxa"/>
            <w:tcBorders>
              <w:top w:val="single" w:color="auto" w:sz="4" w:space="0"/>
              <w:left w:val="single" w:color="auto" w:sz="4" w:space="0"/>
              <w:bottom w:val="single" w:color="auto" w:sz="4" w:space="0"/>
              <w:right w:val="single" w:color="auto" w:sz="4" w:space="0"/>
            </w:tcBorders>
            <w:shd w:val="clear" w:color="auto" w:fill="auto"/>
            <w:vAlign w:val="center"/>
          </w:tcPr>
          <w:p w14:paraId="6A5B6F2C">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u w:val="none"/>
                <w:lang w:val="en-US" w:eastAsia="zh-CN" w:bidi="ar"/>
              </w:rPr>
              <w:t>100.00%</w:t>
            </w:r>
          </w:p>
        </w:tc>
      </w:tr>
      <w:tr w14:paraId="1173747F">
        <w:tblPrEx>
          <w:tblCellMar>
            <w:top w:w="0" w:type="dxa"/>
            <w:left w:w="108" w:type="dxa"/>
            <w:bottom w:w="0" w:type="dxa"/>
            <w:right w:w="108" w:type="dxa"/>
          </w:tblCellMar>
        </w:tblPrEx>
        <w:trPr>
          <w:trHeight w:val="454" w:hRule="atLeast"/>
        </w:trPr>
        <w:tc>
          <w:tcPr>
            <w:tcW w:w="11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E7C7C17">
            <w:pPr>
              <w:jc w:val="center"/>
              <w:rPr>
                <w:rFonts w:hint="eastAsia" w:ascii="宋体" w:hAnsi="宋体" w:eastAsia="宋体" w:cs="宋体"/>
                <w:color w:val="auto"/>
                <w:kern w:val="0"/>
                <w:sz w:val="20"/>
                <w:szCs w:val="20"/>
                <w:highlight w:val="none"/>
                <w:lang w:bidi="ar"/>
              </w:rPr>
            </w:pPr>
          </w:p>
        </w:tc>
        <w:tc>
          <w:tcPr>
            <w:tcW w:w="151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307B60E">
            <w:pPr>
              <w:jc w:val="center"/>
              <w:rPr>
                <w:rStyle w:val="34"/>
                <w:rFonts w:hint="eastAsia" w:ascii="宋体" w:hAnsi="宋体" w:eastAsia="宋体" w:cs="宋体"/>
                <w:color w:val="auto"/>
                <w:sz w:val="20"/>
                <w:szCs w:val="20"/>
                <w:highlight w:val="none"/>
                <w:lang w:bidi="ar"/>
              </w:rPr>
            </w:pPr>
          </w:p>
        </w:tc>
        <w:tc>
          <w:tcPr>
            <w:tcW w:w="3149" w:type="dxa"/>
            <w:tcBorders>
              <w:top w:val="single" w:color="auto" w:sz="4" w:space="0"/>
              <w:left w:val="single" w:color="auto" w:sz="4" w:space="0"/>
              <w:bottom w:val="single" w:color="auto" w:sz="4" w:space="0"/>
              <w:right w:val="single" w:color="auto" w:sz="4" w:space="0"/>
            </w:tcBorders>
            <w:shd w:val="clear" w:color="auto" w:fill="auto"/>
            <w:vAlign w:val="center"/>
          </w:tcPr>
          <w:p w14:paraId="6384CDE8">
            <w:pPr>
              <w:keepNext w:val="0"/>
              <w:keepLines w:val="0"/>
              <w:widowControl/>
              <w:suppressLineNumbers w:val="0"/>
              <w:jc w:val="center"/>
              <w:textAlignment w:val="center"/>
              <w:rPr>
                <w:rFonts w:hint="eastAsia" w:ascii="宋体" w:hAnsi="宋体" w:eastAsia="宋体" w:cs="宋体"/>
                <w:color w:val="auto"/>
                <w:kern w:val="0"/>
                <w:sz w:val="20"/>
                <w:szCs w:val="20"/>
                <w:highlight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制度执行有效性</w:t>
            </w:r>
          </w:p>
        </w:tc>
        <w:tc>
          <w:tcPr>
            <w:tcW w:w="1020" w:type="dxa"/>
            <w:tcBorders>
              <w:top w:val="single" w:color="auto" w:sz="4" w:space="0"/>
              <w:left w:val="single" w:color="auto" w:sz="4" w:space="0"/>
              <w:bottom w:val="single" w:color="auto" w:sz="4" w:space="0"/>
              <w:right w:val="single" w:color="auto" w:sz="4" w:space="0"/>
            </w:tcBorders>
            <w:shd w:val="clear" w:color="auto" w:fill="auto"/>
            <w:vAlign w:val="center"/>
          </w:tcPr>
          <w:p w14:paraId="7CE2BCDC">
            <w:pPr>
              <w:keepNext w:val="0"/>
              <w:keepLines w:val="0"/>
              <w:widowControl/>
              <w:suppressLineNumbers w:val="0"/>
              <w:jc w:val="center"/>
              <w:textAlignment w:val="center"/>
              <w:rPr>
                <w:rFonts w:hint="eastAsia" w:ascii="宋体" w:hAnsi="宋体" w:eastAsia="宋体" w:cs="宋体"/>
                <w:color w:val="auto"/>
                <w:kern w:val="0"/>
                <w:sz w:val="20"/>
                <w:szCs w:val="20"/>
                <w:highlight w:val="none"/>
                <w:lang w:val="en-US" w:eastAsia="zh-CN" w:bidi="ar"/>
              </w:rPr>
            </w:pPr>
            <w:r>
              <w:rPr>
                <w:rFonts w:hint="eastAsia" w:ascii="宋体" w:hAnsi="宋体" w:eastAsia="宋体" w:cs="宋体"/>
                <w:i w:val="0"/>
                <w:iCs w:val="0"/>
                <w:color w:val="000000"/>
                <w:kern w:val="0"/>
                <w:sz w:val="20"/>
                <w:szCs w:val="20"/>
                <w:u w:val="none"/>
                <w:lang w:val="en-US" w:eastAsia="zh-CN" w:bidi="ar"/>
              </w:rPr>
              <w:t>2.5</w:t>
            </w:r>
          </w:p>
        </w:tc>
        <w:tc>
          <w:tcPr>
            <w:tcW w:w="1020" w:type="dxa"/>
            <w:tcBorders>
              <w:top w:val="single" w:color="auto" w:sz="4" w:space="0"/>
              <w:left w:val="single" w:color="auto" w:sz="4" w:space="0"/>
              <w:bottom w:val="single" w:color="auto" w:sz="4" w:space="0"/>
              <w:right w:val="single" w:color="auto" w:sz="4" w:space="0"/>
            </w:tcBorders>
            <w:shd w:val="clear" w:color="auto" w:fill="auto"/>
            <w:vAlign w:val="center"/>
          </w:tcPr>
          <w:p w14:paraId="17398F7D">
            <w:pPr>
              <w:keepNext w:val="0"/>
              <w:keepLines w:val="0"/>
              <w:widowControl/>
              <w:suppressLineNumbers w:val="0"/>
              <w:jc w:val="center"/>
              <w:textAlignment w:val="center"/>
              <w:rPr>
                <w:rFonts w:hint="eastAsia" w:ascii="宋体" w:hAnsi="宋体" w:eastAsia="宋体" w:cs="宋体"/>
                <w:color w:val="auto"/>
                <w:kern w:val="0"/>
                <w:sz w:val="20"/>
                <w:szCs w:val="20"/>
                <w:highlight w:val="none"/>
                <w:lang w:val="en-US" w:eastAsia="zh-CN" w:bidi="ar"/>
              </w:rPr>
            </w:pPr>
            <w:r>
              <w:rPr>
                <w:rFonts w:hint="eastAsia" w:ascii="宋体" w:hAnsi="宋体" w:eastAsia="宋体" w:cs="宋体"/>
                <w:i w:val="0"/>
                <w:iCs w:val="0"/>
                <w:color w:val="000000"/>
                <w:kern w:val="0"/>
                <w:sz w:val="20"/>
                <w:szCs w:val="20"/>
                <w:u w:val="none"/>
                <w:lang w:val="en-US" w:eastAsia="zh-CN" w:bidi="ar"/>
              </w:rPr>
              <w:t>2.5</w:t>
            </w:r>
          </w:p>
        </w:tc>
        <w:tc>
          <w:tcPr>
            <w:tcW w:w="1020" w:type="dxa"/>
            <w:tcBorders>
              <w:top w:val="single" w:color="auto" w:sz="4" w:space="0"/>
              <w:left w:val="single" w:color="auto" w:sz="4" w:space="0"/>
              <w:bottom w:val="single" w:color="auto" w:sz="4" w:space="0"/>
              <w:right w:val="single" w:color="auto" w:sz="4" w:space="0"/>
            </w:tcBorders>
            <w:shd w:val="clear" w:color="auto" w:fill="auto"/>
            <w:vAlign w:val="center"/>
          </w:tcPr>
          <w:p w14:paraId="7BD6BE01">
            <w:pPr>
              <w:keepNext w:val="0"/>
              <w:keepLines w:val="0"/>
              <w:widowControl/>
              <w:suppressLineNumbers w:val="0"/>
              <w:jc w:val="center"/>
              <w:textAlignment w:val="center"/>
              <w:rPr>
                <w:rFonts w:hint="eastAsia" w:ascii="宋体" w:hAnsi="宋体" w:eastAsia="宋体" w:cs="宋体"/>
                <w:color w:val="auto"/>
                <w:kern w:val="0"/>
                <w:sz w:val="20"/>
                <w:szCs w:val="20"/>
                <w:highlight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55738065">
        <w:tblPrEx>
          <w:tblCellMar>
            <w:top w:w="0" w:type="dxa"/>
            <w:left w:w="108" w:type="dxa"/>
            <w:bottom w:w="0" w:type="dxa"/>
            <w:right w:w="108" w:type="dxa"/>
          </w:tblCellMar>
        </w:tblPrEx>
        <w:trPr>
          <w:trHeight w:val="454" w:hRule="atLeast"/>
        </w:trPr>
        <w:tc>
          <w:tcPr>
            <w:tcW w:w="11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FDD5971">
            <w:pPr>
              <w:jc w:val="center"/>
              <w:rPr>
                <w:rFonts w:hint="eastAsia" w:ascii="宋体" w:hAnsi="宋体" w:eastAsia="宋体" w:cs="宋体"/>
                <w:color w:val="auto"/>
                <w:kern w:val="0"/>
                <w:sz w:val="20"/>
                <w:szCs w:val="20"/>
                <w:highlight w:val="none"/>
                <w:lang w:bidi="ar"/>
              </w:rPr>
            </w:pPr>
          </w:p>
        </w:tc>
        <w:tc>
          <w:tcPr>
            <w:tcW w:w="151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69ED301">
            <w:pPr>
              <w:jc w:val="center"/>
              <w:rPr>
                <w:rFonts w:hint="eastAsia" w:ascii="宋体" w:hAnsi="宋体" w:eastAsia="宋体" w:cs="宋体"/>
                <w:color w:val="auto"/>
                <w:kern w:val="0"/>
                <w:sz w:val="20"/>
                <w:szCs w:val="20"/>
                <w:highlight w:val="none"/>
                <w:lang w:bidi="ar"/>
              </w:rPr>
            </w:pPr>
          </w:p>
        </w:tc>
        <w:tc>
          <w:tcPr>
            <w:tcW w:w="3149" w:type="dxa"/>
            <w:tcBorders>
              <w:top w:val="single" w:color="auto" w:sz="4" w:space="0"/>
              <w:left w:val="single" w:color="auto" w:sz="4" w:space="0"/>
              <w:bottom w:val="single" w:color="auto" w:sz="4" w:space="0"/>
              <w:right w:val="single" w:color="auto" w:sz="4" w:space="0"/>
            </w:tcBorders>
            <w:shd w:val="clear" w:color="auto" w:fill="auto"/>
            <w:vAlign w:val="center"/>
          </w:tcPr>
          <w:p w14:paraId="0F14402F">
            <w:pPr>
              <w:keepNext w:val="0"/>
              <w:keepLines w:val="0"/>
              <w:widowControl/>
              <w:suppressLineNumbers w:val="0"/>
              <w:jc w:val="center"/>
              <w:textAlignment w:val="center"/>
              <w:rPr>
                <w:rFonts w:hint="eastAsia" w:ascii="宋体" w:hAnsi="宋体" w:eastAsia="宋体" w:cs="宋体"/>
                <w:i w:val="0"/>
                <w:iCs w:val="0"/>
                <w:color w:val="auto"/>
                <w:kern w:val="2"/>
                <w:sz w:val="20"/>
                <w:szCs w:val="20"/>
                <w:highlight w:val="none"/>
                <w:u w:val="none"/>
                <w:lang w:val="en-US" w:eastAsia="zh-CN" w:bidi="ar-SA"/>
              </w:rPr>
            </w:pPr>
            <w:r>
              <w:rPr>
                <w:rFonts w:hint="eastAsia" w:ascii="宋体" w:hAnsi="宋体" w:eastAsia="宋体" w:cs="宋体"/>
                <w:i w:val="0"/>
                <w:iCs w:val="0"/>
                <w:color w:val="auto"/>
                <w:kern w:val="0"/>
                <w:sz w:val="20"/>
                <w:szCs w:val="20"/>
                <w:highlight w:val="none"/>
                <w:u w:val="none"/>
                <w:lang w:val="en-US" w:eastAsia="zh-CN" w:bidi="ar"/>
              </w:rPr>
              <w:t>绩效管理规范性</w:t>
            </w:r>
          </w:p>
        </w:tc>
        <w:tc>
          <w:tcPr>
            <w:tcW w:w="1020" w:type="dxa"/>
            <w:tcBorders>
              <w:top w:val="single" w:color="auto" w:sz="4" w:space="0"/>
              <w:left w:val="single" w:color="auto" w:sz="4" w:space="0"/>
              <w:bottom w:val="single" w:color="auto" w:sz="4" w:space="0"/>
              <w:right w:val="single" w:color="auto" w:sz="4" w:space="0"/>
            </w:tcBorders>
            <w:shd w:val="clear" w:color="auto" w:fill="auto"/>
            <w:vAlign w:val="center"/>
          </w:tcPr>
          <w:p w14:paraId="37A0498F">
            <w:pPr>
              <w:keepNext w:val="0"/>
              <w:keepLines w:val="0"/>
              <w:widowControl/>
              <w:suppressLineNumbers w:val="0"/>
              <w:jc w:val="center"/>
              <w:textAlignment w:val="center"/>
              <w:rPr>
                <w:rFonts w:hint="eastAsia" w:ascii="宋体" w:hAnsi="宋体" w:eastAsia="宋体" w:cs="宋体"/>
                <w:color w:val="auto"/>
                <w:kern w:val="0"/>
                <w:sz w:val="20"/>
                <w:szCs w:val="20"/>
                <w:highlight w:val="none"/>
                <w:lang w:val="en-US" w:eastAsia="zh-CN" w:bidi="ar"/>
              </w:rPr>
            </w:pPr>
            <w:r>
              <w:rPr>
                <w:rFonts w:hint="eastAsia" w:ascii="宋体" w:hAnsi="宋体" w:eastAsia="宋体" w:cs="宋体"/>
                <w:i w:val="0"/>
                <w:iCs w:val="0"/>
                <w:color w:val="000000"/>
                <w:kern w:val="0"/>
                <w:sz w:val="20"/>
                <w:szCs w:val="20"/>
                <w:u w:val="none"/>
                <w:lang w:val="en-US" w:eastAsia="zh-CN" w:bidi="ar"/>
              </w:rPr>
              <w:t>2.5</w:t>
            </w:r>
          </w:p>
        </w:tc>
        <w:tc>
          <w:tcPr>
            <w:tcW w:w="1020" w:type="dxa"/>
            <w:tcBorders>
              <w:top w:val="single" w:color="auto" w:sz="4" w:space="0"/>
              <w:left w:val="single" w:color="auto" w:sz="4" w:space="0"/>
              <w:bottom w:val="single" w:color="auto" w:sz="4" w:space="0"/>
              <w:right w:val="single" w:color="auto" w:sz="4" w:space="0"/>
            </w:tcBorders>
            <w:shd w:val="clear" w:color="auto" w:fill="auto"/>
            <w:vAlign w:val="center"/>
          </w:tcPr>
          <w:p w14:paraId="41B64539">
            <w:pPr>
              <w:keepNext w:val="0"/>
              <w:keepLines w:val="0"/>
              <w:widowControl/>
              <w:suppressLineNumbers w:val="0"/>
              <w:jc w:val="center"/>
              <w:textAlignment w:val="center"/>
              <w:rPr>
                <w:rFonts w:hint="default" w:ascii="宋体" w:hAnsi="宋体" w:eastAsia="宋体" w:cs="宋体"/>
                <w:color w:val="auto"/>
                <w:kern w:val="0"/>
                <w:sz w:val="20"/>
                <w:szCs w:val="20"/>
                <w:highlight w:val="none"/>
                <w:lang w:val="en-US" w:eastAsia="zh-CN" w:bidi="ar"/>
              </w:rPr>
            </w:pPr>
            <w:r>
              <w:rPr>
                <w:rFonts w:hint="eastAsia" w:ascii="宋体" w:hAnsi="宋体" w:eastAsia="宋体" w:cs="宋体"/>
                <w:color w:val="auto"/>
                <w:kern w:val="0"/>
                <w:sz w:val="20"/>
                <w:szCs w:val="20"/>
                <w:highlight w:val="none"/>
                <w:lang w:val="en-US" w:eastAsia="zh-CN" w:bidi="ar"/>
              </w:rPr>
              <w:t>1.25</w:t>
            </w:r>
          </w:p>
        </w:tc>
        <w:tc>
          <w:tcPr>
            <w:tcW w:w="1020" w:type="dxa"/>
            <w:tcBorders>
              <w:top w:val="single" w:color="auto" w:sz="4" w:space="0"/>
              <w:left w:val="single" w:color="auto" w:sz="4" w:space="0"/>
              <w:bottom w:val="single" w:color="auto" w:sz="4" w:space="0"/>
              <w:right w:val="single" w:color="auto" w:sz="4" w:space="0"/>
            </w:tcBorders>
            <w:shd w:val="clear" w:color="auto" w:fill="auto"/>
            <w:vAlign w:val="center"/>
          </w:tcPr>
          <w:p w14:paraId="38F303E4">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u w:val="none"/>
                <w:lang w:val="en-US" w:eastAsia="zh-CN" w:bidi="ar"/>
              </w:rPr>
              <w:t>50.00%</w:t>
            </w:r>
          </w:p>
        </w:tc>
      </w:tr>
      <w:tr w14:paraId="341CA437">
        <w:tblPrEx>
          <w:tblCellMar>
            <w:top w:w="0" w:type="dxa"/>
            <w:left w:w="108" w:type="dxa"/>
            <w:bottom w:w="0" w:type="dxa"/>
            <w:right w:w="108" w:type="dxa"/>
          </w:tblCellMar>
        </w:tblPrEx>
        <w:trPr>
          <w:trHeight w:val="454" w:hRule="atLeast"/>
        </w:trPr>
        <w:tc>
          <w:tcPr>
            <w:tcW w:w="1116" w:type="dxa"/>
            <w:tcBorders>
              <w:top w:val="single" w:color="auto" w:sz="4" w:space="0"/>
              <w:left w:val="single" w:color="auto" w:sz="4" w:space="0"/>
              <w:bottom w:val="single" w:color="auto" w:sz="4" w:space="0"/>
              <w:right w:val="single" w:color="auto" w:sz="4" w:space="0"/>
            </w:tcBorders>
            <w:shd w:val="clear" w:color="auto" w:fill="auto"/>
            <w:vAlign w:val="center"/>
          </w:tcPr>
          <w:p w14:paraId="477063E7">
            <w:pPr>
              <w:jc w:val="center"/>
              <w:rPr>
                <w:rFonts w:hint="eastAsia"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成本指标</w:t>
            </w:r>
          </w:p>
        </w:tc>
        <w:tc>
          <w:tcPr>
            <w:tcW w:w="1513" w:type="dxa"/>
            <w:tcBorders>
              <w:top w:val="single" w:color="auto" w:sz="4" w:space="0"/>
              <w:left w:val="single" w:color="auto" w:sz="4" w:space="0"/>
              <w:bottom w:val="single" w:color="auto" w:sz="4" w:space="0"/>
              <w:right w:val="single" w:color="auto" w:sz="4" w:space="0"/>
            </w:tcBorders>
            <w:shd w:val="clear" w:color="auto" w:fill="auto"/>
            <w:vAlign w:val="center"/>
          </w:tcPr>
          <w:p w14:paraId="52FED89A">
            <w:pPr>
              <w:jc w:val="center"/>
              <w:rPr>
                <w:rFonts w:hint="eastAsia"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经济成本指标</w:t>
            </w:r>
          </w:p>
        </w:tc>
        <w:tc>
          <w:tcPr>
            <w:tcW w:w="3149" w:type="dxa"/>
            <w:tcBorders>
              <w:top w:val="single" w:color="auto" w:sz="4" w:space="0"/>
              <w:left w:val="single" w:color="auto" w:sz="4" w:space="0"/>
              <w:bottom w:val="single" w:color="auto" w:sz="4" w:space="0"/>
              <w:right w:val="single" w:color="auto" w:sz="4" w:space="0"/>
            </w:tcBorders>
            <w:shd w:val="clear" w:color="auto" w:fill="auto"/>
            <w:vAlign w:val="center"/>
          </w:tcPr>
          <w:p w14:paraId="212841E9">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年度预算控制率</w:t>
            </w:r>
          </w:p>
        </w:tc>
        <w:tc>
          <w:tcPr>
            <w:tcW w:w="1020" w:type="dxa"/>
            <w:tcBorders>
              <w:top w:val="single" w:color="auto" w:sz="4" w:space="0"/>
              <w:left w:val="single" w:color="auto" w:sz="4" w:space="0"/>
              <w:bottom w:val="single" w:color="auto" w:sz="4" w:space="0"/>
              <w:right w:val="single" w:color="auto" w:sz="4" w:space="0"/>
            </w:tcBorders>
            <w:shd w:val="clear" w:color="auto" w:fill="auto"/>
            <w:vAlign w:val="center"/>
          </w:tcPr>
          <w:p w14:paraId="0A3321A6">
            <w:pPr>
              <w:keepNext w:val="0"/>
              <w:keepLines w:val="0"/>
              <w:widowControl/>
              <w:suppressLineNumbers w:val="0"/>
              <w:jc w:val="center"/>
              <w:textAlignment w:val="center"/>
              <w:rPr>
                <w:rFonts w:hint="eastAsia" w:ascii="宋体" w:hAnsi="宋体" w:eastAsia="宋体" w:cs="宋体"/>
                <w:i w:val="0"/>
                <w:iCs w:val="0"/>
                <w:color w:val="333333"/>
                <w:kern w:val="2"/>
                <w:sz w:val="20"/>
                <w:szCs w:val="20"/>
                <w:u w:val="none"/>
                <w:lang w:val="en-US" w:eastAsia="zh-CN" w:bidi="ar-SA"/>
              </w:rPr>
            </w:pPr>
            <w:r>
              <w:rPr>
                <w:rFonts w:hint="eastAsia" w:ascii="宋体" w:hAnsi="宋体" w:eastAsia="宋体" w:cs="宋体"/>
                <w:i w:val="0"/>
                <w:iCs w:val="0"/>
                <w:color w:val="333333"/>
                <w:kern w:val="0"/>
                <w:sz w:val="20"/>
                <w:szCs w:val="20"/>
                <w:u w:val="none"/>
                <w:lang w:val="en-US" w:eastAsia="zh-CN" w:bidi="ar"/>
              </w:rPr>
              <w:t>10</w:t>
            </w:r>
          </w:p>
        </w:tc>
        <w:tc>
          <w:tcPr>
            <w:tcW w:w="1020" w:type="dxa"/>
            <w:tcBorders>
              <w:top w:val="single" w:color="auto" w:sz="4" w:space="0"/>
              <w:left w:val="single" w:color="auto" w:sz="4" w:space="0"/>
              <w:bottom w:val="single" w:color="auto" w:sz="4" w:space="0"/>
              <w:right w:val="single" w:color="auto" w:sz="4" w:space="0"/>
            </w:tcBorders>
            <w:shd w:val="clear" w:color="auto" w:fill="auto"/>
            <w:vAlign w:val="center"/>
          </w:tcPr>
          <w:p w14:paraId="081ACE93">
            <w:pPr>
              <w:keepNext w:val="0"/>
              <w:keepLines w:val="0"/>
              <w:widowControl/>
              <w:suppressLineNumbers w:val="0"/>
              <w:jc w:val="center"/>
              <w:textAlignment w:val="center"/>
              <w:rPr>
                <w:rFonts w:hint="eastAsia" w:ascii="宋体" w:hAnsi="宋体" w:eastAsia="宋体" w:cs="宋体"/>
                <w:i w:val="0"/>
                <w:iCs w:val="0"/>
                <w:color w:val="333333"/>
                <w:kern w:val="2"/>
                <w:sz w:val="20"/>
                <w:szCs w:val="20"/>
                <w:u w:val="none"/>
                <w:lang w:val="en-US" w:eastAsia="zh-CN" w:bidi="ar-SA"/>
              </w:rPr>
            </w:pPr>
            <w:r>
              <w:rPr>
                <w:rFonts w:hint="eastAsia" w:ascii="宋体" w:hAnsi="宋体" w:eastAsia="宋体" w:cs="宋体"/>
                <w:i w:val="0"/>
                <w:iCs w:val="0"/>
                <w:color w:val="333333"/>
                <w:kern w:val="0"/>
                <w:sz w:val="20"/>
                <w:szCs w:val="20"/>
                <w:u w:val="none"/>
                <w:lang w:val="en-US" w:eastAsia="zh-CN" w:bidi="ar"/>
              </w:rPr>
              <w:t>10</w:t>
            </w:r>
          </w:p>
        </w:tc>
        <w:tc>
          <w:tcPr>
            <w:tcW w:w="1020" w:type="dxa"/>
            <w:tcBorders>
              <w:top w:val="single" w:color="auto" w:sz="4" w:space="0"/>
              <w:left w:val="single" w:color="auto" w:sz="4" w:space="0"/>
              <w:bottom w:val="single" w:color="auto" w:sz="4" w:space="0"/>
              <w:right w:val="single" w:color="auto" w:sz="4" w:space="0"/>
            </w:tcBorders>
            <w:shd w:val="clear" w:color="auto" w:fill="auto"/>
            <w:vAlign w:val="center"/>
          </w:tcPr>
          <w:p w14:paraId="0C32F9F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0863CEB5">
        <w:tblPrEx>
          <w:tblCellMar>
            <w:top w:w="0" w:type="dxa"/>
            <w:left w:w="108" w:type="dxa"/>
            <w:bottom w:w="0" w:type="dxa"/>
            <w:right w:w="108" w:type="dxa"/>
          </w:tblCellMar>
        </w:tblPrEx>
        <w:trPr>
          <w:trHeight w:val="454" w:hRule="atLeast"/>
        </w:trPr>
        <w:tc>
          <w:tcPr>
            <w:tcW w:w="111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360840C">
            <w:pPr>
              <w:keepNext w:val="0"/>
              <w:keepLines w:val="0"/>
              <w:widowControl/>
              <w:suppressLineNumbers w:val="0"/>
              <w:jc w:val="center"/>
              <w:textAlignment w:val="center"/>
              <w:rPr>
                <w:rStyle w:val="34"/>
                <w:rFonts w:hint="eastAsia" w:ascii="宋体" w:hAnsi="宋体" w:eastAsia="宋体" w:cs="宋体"/>
                <w:color w:val="auto"/>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产出指标</w:t>
            </w:r>
          </w:p>
        </w:tc>
        <w:tc>
          <w:tcPr>
            <w:tcW w:w="151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CC00F2D">
            <w:pPr>
              <w:keepNext w:val="0"/>
              <w:keepLines w:val="0"/>
              <w:widowControl/>
              <w:suppressLineNumbers w:val="0"/>
              <w:jc w:val="center"/>
              <w:textAlignment w:val="center"/>
              <w:rPr>
                <w:rStyle w:val="34"/>
                <w:rFonts w:hint="eastAsia" w:ascii="宋体" w:hAnsi="宋体" w:eastAsia="宋体" w:cs="宋体"/>
                <w:color w:val="auto"/>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数量指标</w:t>
            </w:r>
          </w:p>
        </w:tc>
        <w:tc>
          <w:tcPr>
            <w:tcW w:w="3149" w:type="dxa"/>
            <w:tcBorders>
              <w:top w:val="single" w:color="auto" w:sz="4" w:space="0"/>
              <w:left w:val="single" w:color="auto" w:sz="4" w:space="0"/>
              <w:bottom w:val="single" w:color="auto" w:sz="4" w:space="0"/>
              <w:right w:val="single" w:color="auto" w:sz="4" w:space="0"/>
            </w:tcBorders>
            <w:shd w:val="clear" w:color="auto" w:fill="auto"/>
            <w:vAlign w:val="center"/>
          </w:tcPr>
          <w:p w14:paraId="32574CE1">
            <w:pPr>
              <w:keepNext w:val="0"/>
              <w:keepLines w:val="0"/>
              <w:widowControl/>
              <w:suppressLineNumbers w:val="0"/>
              <w:jc w:val="center"/>
              <w:textAlignment w:val="center"/>
              <w:rPr>
                <w:rStyle w:val="34"/>
                <w:rFonts w:hint="eastAsia" w:ascii="宋体" w:hAnsi="宋体" w:eastAsia="宋体" w:cs="宋体"/>
                <w:color w:val="auto"/>
                <w:sz w:val="20"/>
                <w:szCs w:val="20"/>
                <w:highlight w:val="none"/>
                <w:lang w:bidi="ar"/>
              </w:rPr>
            </w:pPr>
            <w:r>
              <w:rPr>
                <w:rFonts w:hint="eastAsia" w:ascii="宋体" w:hAnsi="宋体" w:eastAsia="宋体" w:cs="宋体"/>
                <w:i w:val="0"/>
                <w:iCs w:val="0"/>
                <w:color w:val="000000"/>
                <w:kern w:val="0"/>
                <w:sz w:val="20"/>
                <w:szCs w:val="20"/>
                <w:u w:val="none"/>
                <w:lang w:val="en-US" w:eastAsia="zh-CN" w:bidi="ar"/>
              </w:rPr>
              <w:t>保障基层法庭个数</w:t>
            </w:r>
          </w:p>
        </w:tc>
        <w:tc>
          <w:tcPr>
            <w:tcW w:w="1020" w:type="dxa"/>
            <w:tcBorders>
              <w:top w:val="single" w:color="auto" w:sz="4" w:space="0"/>
              <w:left w:val="single" w:color="auto" w:sz="4" w:space="0"/>
              <w:bottom w:val="single" w:color="auto" w:sz="4" w:space="0"/>
              <w:right w:val="single" w:color="auto" w:sz="4" w:space="0"/>
            </w:tcBorders>
            <w:shd w:val="clear" w:color="auto" w:fill="auto"/>
            <w:vAlign w:val="center"/>
          </w:tcPr>
          <w:p w14:paraId="07A8ADC9">
            <w:pPr>
              <w:keepNext w:val="0"/>
              <w:keepLines w:val="0"/>
              <w:widowControl/>
              <w:suppressLineNumbers w:val="0"/>
              <w:jc w:val="center"/>
              <w:textAlignment w:val="center"/>
              <w:rPr>
                <w:rFonts w:hint="eastAsia" w:ascii="宋体" w:hAnsi="宋体" w:eastAsia="宋体" w:cs="宋体"/>
                <w:color w:val="auto"/>
                <w:kern w:val="0"/>
                <w:sz w:val="20"/>
                <w:szCs w:val="20"/>
                <w:highlight w:val="none"/>
                <w:lang w:val="en-US" w:eastAsia="zh-CN" w:bidi="ar"/>
              </w:rPr>
            </w:pPr>
            <w:r>
              <w:rPr>
                <w:rFonts w:hint="eastAsia" w:ascii="宋体" w:hAnsi="宋体" w:eastAsia="宋体" w:cs="宋体"/>
                <w:i w:val="0"/>
                <w:iCs w:val="0"/>
                <w:color w:val="000000"/>
                <w:kern w:val="0"/>
                <w:sz w:val="20"/>
                <w:szCs w:val="20"/>
                <w:u w:val="none"/>
                <w:lang w:val="en-US" w:eastAsia="zh-CN" w:bidi="ar"/>
              </w:rPr>
              <w:t>3.4</w:t>
            </w:r>
          </w:p>
        </w:tc>
        <w:tc>
          <w:tcPr>
            <w:tcW w:w="1020" w:type="dxa"/>
            <w:tcBorders>
              <w:top w:val="single" w:color="auto" w:sz="4" w:space="0"/>
              <w:left w:val="single" w:color="auto" w:sz="4" w:space="0"/>
              <w:bottom w:val="single" w:color="auto" w:sz="4" w:space="0"/>
              <w:right w:val="single" w:color="auto" w:sz="4" w:space="0"/>
            </w:tcBorders>
            <w:shd w:val="clear" w:color="auto" w:fill="auto"/>
            <w:vAlign w:val="center"/>
          </w:tcPr>
          <w:p w14:paraId="6BD638BD">
            <w:pPr>
              <w:keepNext w:val="0"/>
              <w:keepLines w:val="0"/>
              <w:widowControl/>
              <w:suppressLineNumbers w:val="0"/>
              <w:jc w:val="center"/>
              <w:textAlignment w:val="center"/>
              <w:rPr>
                <w:rFonts w:hint="default" w:ascii="宋体" w:hAnsi="宋体" w:eastAsia="宋体" w:cs="宋体"/>
                <w:color w:val="auto"/>
                <w:kern w:val="0"/>
                <w:sz w:val="20"/>
                <w:szCs w:val="20"/>
                <w:highlight w:val="none"/>
                <w:lang w:val="en-US" w:eastAsia="zh-CN" w:bidi="ar"/>
              </w:rPr>
            </w:pPr>
            <w:r>
              <w:rPr>
                <w:rFonts w:hint="eastAsia" w:ascii="宋体" w:hAnsi="宋体" w:eastAsia="宋体" w:cs="宋体"/>
                <w:i w:val="0"/>
                <w:iCs w:val="0"/>
                <w:color w:val="000000"/>
                <w:kern w:val="0"/>
                <w:sz w:val="20"/>
                <w:szCs w:val="20"/>
                <w:u w:val="none"/>
                <w:lang w:val="en-US" w:eastAsia="zh-CN" w:bidi="ar"/>
              </w:rPr>
              <w:t>3.4</w:t>
            </w:r>
          </w:p>
        </w:tc>
        <w:tc>
          <w:tcPr>
            <w:tcW w:w="1020" w:type="dxa"/>
            <w:tcBorders>
              <w:top w:val="single" w:color="auto" w:sz="4" w:space="0"/>
              <w:left w:val="single" w:color="auto" w:sz="4" w:space="0"/>
              <w:bottom w:val="single" w:color="auto" w:sz="4" w:space="0"/>
              <w:right w:val="single" w:color="auto" w:sz="4" w:space="0"/>
            </w:tcBorders>
            <w:shd w:val="clear" w:color="auto" w:fill="auto"/>
            <w:vAlign w:val="center"/>
          </w:tcPr>
          <w:p w14:paraId="726BB7BB">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u w:val="none"/>
                <w:lang w:val="en-US" w:eastAsia="zh-CN" w:bidi="ar"/>
              </w:rPr>
              <w:t>100.00%</w:t>
            </w:r>
          </w:p>
        </w:tc>
      </w:tr>
      <w:tr w14:paraId="4826610C">
        <w:tblPrEx>
          <w:tblCellMar>
            <w:top w:w="0" w:type="dxa"/>
            <w:left w:w="108" w:type="dxa"/>
            <w:bottom w:w="0" w:type="dxa"/>
            <w:right w:w="108" w:type="dxa"/>
          </w:tblCellMar>
        </w:tblPrEx>
        <w:trPr>
          <w:trHeight w:val="454" w:hRule="atLeast"/>
        </w:trPr>
        <w:tc>
          <w:tcPr>
            <w:tcW w:w="11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687FAE9">
            <w:pPr>
              <w:jc w:val="center"/>
              <w:rPr>
                <w:rStyle w:val="34"/>
                <w:rFonts w:hint="eastAsia" w:ascii="宋体" w:hAnsi="宋体" w:eastAsia="宋体" w:cs="宋体"/>
                <w:color w:val="auto"/>
                <w:sz w:val="20"/>
                <w:szCs w:val="20"/>
                <w:highlight w:val="none"/>
                <w:lang w:bidi="ar"/>
              </w:rPr>
            </w:pPr>
          </w:p>
        </w:tc>
        <w:tc>
          <w:tcPr>
            <w:tcW w:w="151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0D15F5A">
            <w:pPr>
              <w:jc w:val="center"/>
              <w:rPr>
                <w:rStyle w:val="34"/>
                <w:rFonts w:hint="eastAsia" w:ascii="宋体" w:hAnsi="宋体" w:eastAsia="宋体" w:cs="宋体"/>
                <w:color w:val="auto"/>
                <w:sz w:val="20"/>
                <w:szCs w:val="20"/>
                <w:highlight w:val="none"/>
                <w:lang w:bidi="ar"/>
              </w:rPr>
            </w:pPr>
          </w:p>
        </w:tc>
        <w:tc>
          <w:tcPr>
            <w:tcW w:w="3149" w:type="dxa"/>
            <w:tcBorders>
              <w:top w:val="single" w:color="auto" w:sz="4" w:space="0"/>
              <w:left w:val="single" w:color="auto" w:sz="4" w:space="0"/>
              <w:bottom w:val="single" w:color="auto" w:sz="4" w:space="0"/>
              <w:right w:val="single" w:color="auto" w:sz="4" w:space="0"/>
            </w:tcBorders>
            <w:shd w:val="clear" w:color="auto" w:fill="auto"/>
            <w:vAlign w:val="center"/>
          </w:tcPr>
          <w:p w14:paraId="51856F6D">
            <w:pPr>
              <w:keepNext w:val="0"/>
              <w:keepLines w:val="0"/>
              <w:widowControl/>
              <w:suppressLineNumbers w:val="0"/>
              <w:jc w:val="center"/>
              <w:textAlignment w:val="center"/>
              <w:rPr>
                <w:rStyle w:val="34"/>
                <w:rFonts w:hint="eastAsia" w:ascii="宋体" w:hAnsi="宋体" w:eastAsia="宋体" w:cs="宋体"/>
                <w:color w:val="auto"/>
                <w:sz w:val="20"/>
                <w:szCs w:val="20"/>
                <w:highlight w:val="none"/>
                <w:lang w:bidi="ar"/>
              </w:rPr>
            </w:pPr>
            <w:r>
              <w:rPr>
                <w:rFonts w:hint="eastAsia" w:ascii="宋体" w:hAnsi="宋体" w:eastAsia="宋体" w:cs="宋体"/>
                <w:i w:val="0"/>
                <w:iCs w:val="0"/>
                <w:color w:val="000000"/>
                <w:kern w:val="0"/>
                <w:sz w:val="20"/>
                <w:szCs w:val="20"/>
                <w:u w:val="none"/>
                <w:lang w:val="en-US" w:eastAsia="zh-CN" w:bidi="ar"/>
              </w:rPr>
              <w:t>资金拨付法院数</w:t>
            </w:r>
          </w:p>
        </w:tc>
        <w:tc>
          <w:tcPr>
            <w:tcW w:w="1020" w:type="dxa"/>
            <w:tcBorders>
              <w:top w:val="single" w:color="auto" w:sz="4" w:space="0"/>
              <w:left w:val="single" w:color="auto" w:sz="4" w:space="0"/>
              <w:bottom w:val="single" w:color="auto" w:sz="4" w:space="0"/>
              <w:right w:val="single" w:color="auto" w:sz="4" w:space="0"/>
            </w:tcBorders>
            <w:shd w:val="clear" w:color="auto" w:fill="auto"/>
            <w:vAlign w:val="center"/>
          </w:tcPr>
          <w:p w14:paraId="17E7E7AB">
            <w:pPr>
              <w:keepNext w:val="0"/>
              <w:keepLines w:val="0"/>
              <w:widowControl/>
              <w:suppressLineNumbers w:val="0"/>
              <w:jc w:val="center"/>
              <w:textAlignment w:val="center"/>
              <w:rPr>
                <w:rFonts w:hint="eastAsia" w:ascii="宋体" w:hAnsi="宋体" w:eastAsia="宋体" w:cs="宋体"/>
                <w:color w:val="auto"/>
                <w:kern w:val="0"/>
                <w:sz w:val="20"/>
                <w:szCs w:val="20"/>
                <w:highlight w:val="none"/>
                <w:lang w:val="en-US" w:eastAsia="zh-CN" w:bidi="ar"/>
              </w:rPr>
            </w:pPr>
            <w:r>
              <w:rPr>
                <w:rFonts w:hint="eastAsia" w:ascii="宋体" w:hAnsi="宋体" w:eastAsia="宋体" w:cs="宋体"/>
                <w:i w:val="0"/>
                <w:iCs w:val="0"/>
                <w:color w:val="000000"/>
                <w:kern w:val="0"/>
                <w:sz w:val="20"/>
                <w:szCs w:val="20"/>
                <w:u w:val="none"/>
                <w:lang w:val="en-US" w:eastAsia="zh-CN" w:bidi="ar"/>
              </w:rPr>
              <w:t>3.3</w:t>
            </w:r>
          </w:p>
        </w:tc>
        <w:tc>
          <w:tcPr>
            <w:tcW w:w="1020" w:type="dxa"/>
            <w:tcBorders>
              <w:top w:val="single" w:color="auto" w:sz="4" w:space="0"/>
              <w:left w:val="single" w:color="auto" w:sz="4" w:space="0"/>
              <w:bottom w:val="single" w:color="auto" w:sz="4" w:space="0"/>
              <w:right w:val="single" w:color="auto" w:sz="4" w:space="0"/>
            </w:tcBorders>
            <w:shd w:val="clear" w:color="auto" w:fill="auto"/>
            <w:vAlign w:val="center"/>
          </w:tcPr>
          <w:p w14:paraId="46656B2E">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u w:val="none"/>
                <w:lang w:val="en-US" w:eastAsia="zh-CN" w:bidi="ar"/>
              </w:rPr>
              <w:t>3.3</w:t>
            </w:r>
          </w:p>
        </w:tc>
        <w:tc>
          <w:tcPr>
            <w:tcW w:w="1020" w:type="dxa"/>
            <w:tcBorders>
              <w:top w:val="single" w:color="auto" w:sz="4" w:space="0"/>
              <w:left w:val="nil"/>
              <w:bottom w:val="single" w:color="auto" w:sz="4" w:space="0"/>
              <w:right w:val="single" w:color="auto" w:sz="4" w:space="0"/>
            </w:tcBorders>
            <w:shd w:val="clear" w:color="auto" w:fill="auto"/>
            <w:vAlign w:val="center"/>
          </w:tcPr>
          <w:p w14:paraId="729717D3">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u w:val="none"/>
                <w:lang w:val="en-US" w:eastAsia="zh-CN" w:bidi="ar"/>
              </w:rPr>
              <w:t>100.00%</w:t>
            </w:r>
          </w:p>
        </w:tc>
      </w:tr>
      <w:tr w14:paraId="6DB4B6BD">
        <w:tblPrEx>
          <w:tblCellMar>
            <w:top w:w="0" w:type="dxa"/>
            <w:left w:w="108" w:type="dxa"/>
            <w:bottom w:w="0" w:type="dxa"/>
            <w:right w:w="108" w:type="dxa"/>
          </w:tblCellMar>
        </w:tblPrEx>
        <w:trPr>
          <w:trHeight w:val="454" w:hRule="atLeast"/>
        </w:trPr>
        <w:tc>
          <w:tcPr>
            <w:tcW w:w="11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BD1DC1B">
            <w:pPr>
              <w:jc w:val="center"/>
              <w:rPr>
                <w:rStyle w:val="34"/>
                <w:rFonts w:hint="eastAsia" w:ascii="宋体" w:hAnsi="宋体" w:eastAsia="宋体" w:cs="宋体"/>
                <w:color w:val="auto"/>
                <w:sz w:val="20"/>
                <w:szCs w:val="20"/>
                <w:highlight w:val="none"/>
                <w:lang w:bidi="ar"/>
              </w:rPr>
            </w:pPr>
          </w:p>
        </w:tc>
        <w:tc>
          <w:tcPr>
            <w:tcW w:w="151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9B268DD">
            <w:pPr>
              <w:jc w:val="center"/>
              <w:rPr>
                <w:rStyle w:val="34"/>
                <w:rFonts w:hint="eastAsia" w:ascii="宋体" w:hAnsi="宋体" w:eastAsia="宋体" w:cs="宋体"/>
                <w:color w:val="auto"/>
                <w:sz w:val="20"/>
                <w:szCs w:val="20"/>
                <w:highlight w:val="none"/>
                <w:lang w:bidi="ar"/>
              </w:rPr>
            </w:pPr>
          </w:p>
        </w:tc>
        <w:tc>
          <w:tcPr>
            <w:tcW w:w="3149" w:type="dxa"/>
            <w:tcBorders>
              <w:top w:val="single" w:color="auto" w:sz="4" w:space="0"/>
              <w:left w:val="single" w:color="auto" w:sz="4" w:space="0"/>
              <w:bottom w:val="single" w:color="auto" w:sz="4" w:space="0"/>
              <w:right w:val="single" w:color="auto" w:sz="4" w:space="0"/>
            </w:tcBorders>
            <w:shd w:val="clear" w:color="auto" w:fill="auto"/>
            <w:vAlign w:val="center"/>
          </w:tcPr>
          <w:p w14:paraId="2D6763AB">
            <w:pPr>
              <w:keepNext w:val="0"/>
              <w:keepLines w:val="0"/>
              <w:widowControl/>
              <w:suppressLineNumbers w:val="0"/>
              <w:jc w:val="center"/>
              <w:textAlignment w:val="center"/>
              <w:rPr>
                <w:rStyle w:val="34"/>
                <w:rFonts w:hint="eastAsia" w:ascii="宋体" w:hAnsi="宋体" w:eastAsia="宋体" w:cs="宋体"/>
                <w:color w:val="auto"/>
                <w:sz w:val="20"/>
                <w:szCs w:val="20"/>
                <w:highlight w:val="none"/>
                <w:lang w:bidi="ar"/>
              </w:rPr>
            </w:pPr>
            <w:r>
              <w:rPr>
                <w:rFonts w:hint="eastAsia" w:ascii="宋体" w:hAnsi="宋体" w:eastAsia="宋体" w:cs="宋体"/>
                <w:i w:val="0"/>
                <w:iCs w:val="0"/>
                <w:color w:val="000000"/>
                <w:kern w:val="0"/>
                <w:sz w:val="20"/>
                <w:szCs w:val="20"/>
                <w:u w:val="none"/>
                <w:lang w:val="en-US" w:eastAsia="zh-CN" w:bidi="ar"/>
              </w:rPr>
              <w:t>维修维护工作完成率</w:t>
            </w:r>
          </w:p>
        </w:tc>
        <w:tc>
          <w:tcPr>
            <w:tcW w:w="1020" w:type="dxa"/>
            <w:tcBorders>
              <w:top w:val="single" w:color="auto" w:sz="4" w:space="0"/>
              <w:left w:val="single" w:color="auto" w:sz="4" w:space="0"/>
              <w:bottom w:val="single" w:color="auto" w:sz="4" w:space="0"/>
              <w:right w:val="single" w:color="auto" w:sz="4" w:space="0"/>
            </w:tcBorders>
            <w:shd w:val="clear" w:color="auto" w:fill="auto"/>
            <w:vAlign w:val="center"/>
          </w:tcPr>
          <w:p w14:paraId="026F2B4D">
            <w:pPr>
              <w:keepNext w:val="0"/>
              <w:keepLines w:val="0"/>
              <w:widowControl/>
              <w:suppressLineNumbers w:val="0"/>
              <w:jc w:val="center"/>
              <w:textAlignment w:val="center"/>
              <w:rPr>
                <w:rFonts w:hint="eastAsia" w:ascii="宋体" w:hAnsi="宋体" w:eastAsia="宋体" w:cs="宋体"/>
                <w:color w:val="auto"/>
                <w:kern w:val="0"/>
                <w:sz w:val="20"/>
                <w:szCs w:val="20"/>
                <w:highlight w:val="none"/>
                <w:lang w:val="en-US" w:bidi="ar"/>
              </w:rPr>
            </w:pPr>
            <w:r>
              <w:rPr>
                <w:rFonts w:hint="eastAsia" w:ascii="宋体" w:hAnsi="宋体" w:eastAsia="宋体" w:cs="宋体"/>
                <w:i w:val="0"/>
                <w:iCs w:val="0"/>
                <w:color w:val="000000"/>
                <w:kern w:val="0"/>
                <w:sz w:val="20"/>
                <w:szCs w:val="20"/>
                <w:u w:val="none"/>
                <w:lang w:val="en-US" w:eastAsia="zh-CN" w:bidi="ar"/>
              </w:rPr>
              <w:t>3.3</w:t>
            </w:r>
          </w:p>
        </w:tc>
        <w:tc>
          <w:tcPr>
            <w:tcW w:w="1020" w:type="dxa"/>
            <w:tcBorders>
              <w:top w:val="single" w:color="auto" w:sz="4" w:space="0"/>
              <w:left w:val="single" w:color="auto" w:sz="4" w:space="0"/>
              <w:bottom w:val="single" w:color="auto" w:sz="4" w:space="0"/>
              <w:right w:val="single" w:color="auto" w:sz="4" w:space="0"/>
            </w:tcBorders>
            <w:shd w:val="clear" w:color="auto" w:fill="auto"/>
            <w:vAlign w:val="center"/>
          </w:tcPr>
          <w:p w14:paraId="39D68EB8">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u w:val="none"/>
                <w:lang w:val="en-US" w:eastAsia="zh-CN" w:bidi="ar"/>
              </w:rPr>
              <w:t>3.3</w:t>
            </w:r>
          </w:p>
        </w:tc>
        <w:tc>
          <w:tcPr>
            <w:tcW w:w="1020" w:type="dxa"/>
            <w:tcBorders>
              <w:top w:val="single" w:color="auto" w:sz="4" w:space="0"/>
              <w:left w:val="nil"/>
              <w:bottom w:val="single" w:color="auto" w:sz="4" w:space="0"/>
              <w:right w:val="single" w:color="auto" w:sz="4" w:space="0"/>
            </w:tcBorders>
            <w:shd w:val="clear" w:color="auto" w:fill="auto"/>
            <w:vAlign w:val="center"/>
          </w:tcPr>
          <w:p w14:paraId="09EEE233">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u w:val="none"/>
                <w:lang w:val="en-US" w:eastAsia="zh-CN" w:bidi="ar"/>
              </w:rPr>
              <w:t>100.00%</w:t>
            </w:r>
          </w:p>
        </w:tc>
      </w:tr>
      <w:tr w14:paraId="6D6E5FC0">
        <w:tblPrEx>
          <w:tblCellMar>
            <w:top w:w="0" w:type="dxa"/>
            <w:left w:w="108" w:type="dxa"/>
            <w:bottom w:w="0" w:type="dxa"/>
            <w:right w:w="108" w:type="dxa"/>
          </w:tblCellMar>
        </w:tblPrEx>
        <w:trPr>
          <w:trHeight w:val="454" w:hRule="atLeast"/>
        </w:trPr>
        <w:tc>
          <w:tcPr>
            <w:tcW w:w="11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DFB1BDA">
            <w:pPr>
              <w:jc w:val="center"/>
              <w:rPr>
                <w:rStyle w:val="34"/>
                <w:rFonts w:hint="eastAsia" w:ascii="宋体" w:hAnsi="宋体" w:eastAsia="宋体" w:cs="宋体"/>
                <w:color w:val="auto"/>
                <w:sz w:val="20"/>
                <w:szCs w:val="20"/>
                <w:highlight w:val="none"/>
                <w:lang w:bidi="ar"/>
              </w:rPr>
            </w:pPr>
          </w:p>
        </w:tc>
        <w:tc>
          <w:tcPr>
            <w:tcW w:w="151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B79F880">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质量指标</w:t>
            </w:r>
          </w:p>
        </w:tc>
        <w:tc>
          <w:tcPr>
            <w:tcW w:w="3149" w:type="dxa"/>
            <w:tcBorders>
              <w:top w:val="single" w:color="auto" w:sz="4" w:space="0"/>
              <w:left w:val="single" w:color="auto" w:sz="4" w:space="0"/>
              <w:bottom w:val="single" w:color="auto" w:sz="4" w:space="0"/>
              <w:right w:val="single" w:color="auto" w:sz="4" w:space="0"/>
            </w:tcBorders>
            <w:shd w:val="clear" w:color="auto" w:fill="auto"/>
            <w:vAlign w:val="center"/>
          </w:tcPr>
          <w:p w14:paraId="530D52D5">
            <w:pPr>
              <w:keepNext w:val="0"/>
              <w:keepLines w:val="0"/>
              <w:widowControl/>
              <w:suppressLineNumbers w:val="0"/>
              <w:jc w:val="center"/>
              <w:textAlignment w:val="center"/>
              <w:rPr>
                <w:rStyle w:val="34"/>
                <w:rFonts w:hint="eastAsia" w:ascii="宋体" w:hAnsi="宋体" w:eastAsia="宋体" w:cs="宋体"/>
                <w:color w:val="auto"/>
                <w:sz w:val="20"/>
                <w:szCs w:val="20"/>
                <w:highlight w:val="none"/>
                <w:lang w:bidi="ar"/>
              </w:rPr>
            </w:pPr>
            <w:r>
              <w:rPr>
                <w:rFonts w:hint="eastAsia" w:ascii="宋体" w:hAnsi="宋体" w:eastAsia="宋体" w:cs="宋体"/>
                <w:i w:val="0"/>
                <w:iCs w:val="0"/>
                <w:color w:val="000000"/>
                <w:kern w:val="0"/>
                <w:sz w:val="20"/>
                <w:szCs w:val="20"/>
                <w:u w:val="none"/>
                <w:lang w:val="en-US" w:eastAsia="zh-CN" w:bidi="ar"/>
              </w:rPr>
              <w:t>法庭正常运转保障率</w:t>
            </w:r>
          </w:p>
        </w:tc>
        <w:tc>
          <w:tcPr>
            <w:tcW w:w="1020" w:type="dxa"/>
            <w:tcBorders>
              <w:top w:val="single" w:color="auto" w:sz="4" w:space="0"/>
              <w:left w:val="single" w:color="auto" w:sz="4" w:space="0"/>
              <w:bottom w:val="single" w:color="auto" w:sz="4" w:space="0"/>
              <w:right w:val="single" w:color="auto" w:sz="4" w:space="0"/>
            </w:tcBorders>
            <w:shd w:val="clear" w:color="auto" w:fill="auto"/>
            <w:vAlign w:val="center"/>
          </w:tcPr>
          <w:p w14:paraId="1BAE38FA">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u w:val="none"/>
                <w:lang w:val="en-US" w:eastAsia="zh-CN" w:bidi="ar"/>
              </w:rPr>
              <w:t>3.4</w:t>
            </w:r>
          </w:p>
        </w:tc>
        <w:tc>
          <w:tcPr>
            <w:tcW w:w="1020" w:type="dxa"/>
            <w:tcBorders>
              <w:top w:val="single" w:color="auto" w:sz="4" w:space="0"/>
              <w:left w:val="single" w:color="auto" w:sz="4" w:space="0"/>
              <w:bottom w:val="single" w:color="auto" w:sz="4" w:space="0"/>
              <w:right w:val="single" w:color="auto" w:sz="4" w:space="0"/>
            </w:tcBorders>
            <w:shd w:val="clear" w:color="auto" w:fill="auto"/>
            <w:vAlign w:val="center"/>
          </w:tcPr>
          <w:p w14:paraId="4ABD00B1">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u w:val="none"/>
                <w:lang w:val="en-US" w:eastAsia="zh-CN" w:bidi="ar"/>
              </w:rPr>
              <w:t>3.4</w:t>
            </w:r>
          </w:p>
        </w:tc>
        <w:tc>
          <w:tcPr>
            <w:tcW w:w="1020" w:type="dxa"/>
            <w:tcBorders>
              <w:top w:val="single" w:color="auto" w:sz="4" w:space="0"/>
              <w:left w:val="nil"/>
              <w:bottom w:val="single" w:color="auto" w:sz="4" w:space="0"/>
              <w:right w:val="single" w:color="auto" w:sz="4" w:space="0"/>
            </w:tcBorders>
            <w:shd w:val="clear" w:color="auto" w:fill="auto"/>
            <w:vAlign w:val="center"/>
          </w:tcPr>
          <w:p w14:paraId="0EB4C331">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u w:val="none"/>
                <w:lang w:val="en-US" w:eastAsia="zh-CN" w:bidi="ar"/>
              </w:rPr>
              <w:t>100.00%</w:t>
            </w:r>
          </w:p>
        </w:tc>
      </w:tr>
      <w:tr w14:paraId="11CF65F4">
        <w:tblPrEx>
          <w:tblCellMar>
            <w:top w:w="0" w:type="dxa"/>
            <w:left w:w="108" w:type="dxa"/>
            <w:bottom w:w="0" w:type="dxa"/>
            <w:right w:w="108" w:type="dxa"/>
          </w:tblCellMar>
        </w:tblPrEx>
        <w:trPr>
          <w:trHeight w:val="454" w:hRule="atLeast"/>
        </w:trPr>
        <w:tc>
          <w:tcPr>
            <w:tcW w:w="11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1C23B91">
            <w:pPr>
              <w:jc w:val="center"/>
              <w:rPr>
                <w:rStyle w:val="34"/>
                <w:rFonts w:hint="eastAsia" w:ascii="宋体" w:hAnsi="宋体" w:eastAsia="宋体" w:cs="宋体"/>
                <w:color w:val="auto"/>
                <w:sz w:val="20"/>
                <w:szCs w:val="20"/>
                <w:highlight w:val="none"/>
                <w:lang w:bidi="ar"/>
              </w:rPr>
            </w:pPr>
          </w:p>
        </w:tc>
        <w:tc>
          <w:tcPr>
            <w:tcW w:w="151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014CDAB">
            <w:pPr>
              <w:jc w:val="center"/>
              <w:rPr>
                <w:rStyle w:val="34"/>
                <w:rFonts w:hint="eastAsia" w:ascii="宋体" w:hAnsi="宋体" w:eastAsia="宋体" w:cs="宋体"/>
                <w:color w:val="auto"/>
                <w:sz w:val="20"/>
                <w:szCs w:val="20"/>
                <w:highlight w:val="none"/>
                <w:lang w:bidi="ar"/>
              </w:rPr>
            </w:pPr>
          </w:p>
        </w:tc>
        <w:tc>
          <w:tcPr>
            <w:tcW w:w="3149" w:type="dxa"/>
            <w:tcBorders>
              <w:top w:val="single" w:color="auto" w:sz="4" w:space="0"/>
              <w:left w:val="single" w:color="auto" w:sz="4" w:space="0"/>
              <w:bottom w:val="single" w:color="auto" w:sz="4" w:space="0"/>
              <w:right w:val="single" w:color="auto" w:sz="4" w:space="0"/>
            </w:tcBorders>
            <w:shd w:val="clear" w:color="auto" w:fill="auto"/>
            <w:vAlign w:val="center"/>
          </w:tcPr>
          <w:p w14:paraId="3C54A659">
            <w:pPr>
              <w:keepNext w:val="0"/>
              <w:keepLines w:val="0"/>
              <w:widowControl/>
              <w:suppressLineNumbers w:val="0"/>
              <w:jc w:val="center"/>
              <w:textAlignment w:val="center"/>
              <w:rPr>
                <w:rStyle w:val="34"/>
                <w:rFonts w:hint="eastAsia" w:ascii="宋体" w:hAnsi="宋体" w:eastAsia="宋体" w:cs="宋体"/>
                <w:color w:val="auto"/>
                <w:sz w:val="20"/>
                <w:szCs w:val="20"/>
                <w:highlight w:val="none"/>
                <w:lang w:bidi="ar"/>
              </w:rPr>
            </w:pPr>
            <w:r>
              <w:rPr>
                <w:rFonts w:hint="eastAsia" w:ascii="宋体" w:hAnsi="宋体" w:eastAsia="宋体" w:cs="宋体"/>
                <w:i w:val="0"/>
                <w:iCs w:val="0"/>
                <w:color w:val="000000"/>
                <w:kern w:val="0"/>
                <w:sz w:val="20"/>
                <w:szCs w:val="20"/>
                <w:u w:val="none"/>
                <w:lang w:val="en-US" w:eastAsia="zh-CN" w:bidi="ar"/>
              </w:rPr>
              <w:t>基层法庭水电暖日常运转稳定率</w:t>
            </w:r>
          </w:p>
        </w:tc>
        <w:tc>
          <w:tcPr>
            <w:tcW w:w="1020" w:type="dxa"/>
            <w:tcBorders>
              <w:top w:val="single" w:color="auto" w:sz="4" w:space="0"/>
              <w:left w:val="single" w:color="auto" w:sz="4" w:space="0"/>
              <w:bottom w:val="single" w:color="auto" w:sz="4" w:space="0"/>
              <w:right w:val="single" w:color="auto" w:sz="4" w:space="0"/>
            </w:tcBorders>
            <w:shd w:val="clear" w:color="auto" w:fill="auto"/>
            <w:vAlign w:val="center"/>
          </w:tcPr>
          <w:p w14:paraId="6F923EB9">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u w:val="none"/>
                <w:lang w:val="en-US" w:eastAsia="zh-CN" w:bidi="ar"/>
              </w:rPr>
              <w:t>3.3</w:t>
            </w:r>
          </w:p>
        </w:tc>
        <w:tc>
          <w:tcPr>
            <w:tcW w:w="1020" w:type="dxa"/>
            <w:tcBorders>
              <w:top w:val="single" w:color="auto" w:sz="4" w:space="0"/>
              <w:left w:val="single" w:color="auto" w:sz="4" w:space="0"/>
              <w:bottom w:val="single" w:color="auto" w:sz="4" w:space="0"/>
              <w:right w:val="single" w:color="auto" w:sz="4" w:space="0"/>
            </w:tcBorders>
            <w:shd w:val="clear" w:color="auto" w:fill="auto"/>
            <w:vAlign w:val="center"/>
          </w:tcPr>
          <w:p w14:paraId="5BCBFA8A">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u w:val="none"/>
                <w:lang w:val="en-US" w:eastAsia="zh-CN" w:bidi="ar"/>
              </w:rPr>
              <w:t>3.3</w:t>
            </w:r>
          </w:p>
        </w:tc>
        <w:tc>
          <w:tcPr>
            <w:tcW w:w="1020" w:type="dxa"/>
            <w:tcBorders>
              <w:top w:val="single" w:color="auto" w:sz="4" w:space="0"/>
              <w:left w:val="nil"/>
              <w:bottom w:val="single" w:color="auto" w:sz="4" w:space="0"/>
              <w:right w:val="single" w:color="auto" w:sz="4" w:space="0"/>
            </w:tcBorders>
            <w:shd w:val="clear" w:color="auto" w:fill="auto"/>
            <w:vAlign w:val="center"/>
          </w:tcPr>
          <w:p w14:paraId="7FC5B218">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u w:val="none"/>
                <w:lang w:val="en-US" w:eastAsia="zh-CN" w:bidi="ar"/>
              </w:rPr>
              <w:t>100.00%</w:t>
            </w:r>
          </w:p>
        </w:tc>
      </w:tr>
      <w:tr w14:paraId="5ECB5584">
        <w:tblPrEx>
          <w:tblCellMar>
            <w:top w:w="0" w:type="dxa"/>
            <w:left w:w="108" w:type="dxa"/>
            <w:bottom w:w="0" w:type="dxa"/>
            <w:right w:w="108" w:type="dxa"/>
          </w:tblCellMar>
        </w:tblPrEx>
        <w:trPr>
          <w:trHeight w:val="454" w:hRule="atLeast"/>
        </w:trPr>
        <w:tc>
          <w:tcPr>
            <w:tcW w:w="11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0E6850E">
            <w:pPr>
              <w:jc w:val="center"/>
              <w:rPr>
                <w:rStyle w:val="34"/>
                <w:rFonts w:hint="eastAsia" w:ascii="宋体" w:hAnsi="宋体" w:eastAsia="宋体" w:cs="宋体"/>
                <w:color w:val="auto"/>
                <w:sz w:val="20"/>
                <w:szCs w:val="20"/>
                <w:highlight w:val="none"/>
                <w:lang w:bidi="ar"/>
              </w:rPr>
            </w:pPr>
          </w:p>
        </w:tc>
        <w:tc>
          <w:tcPr>
            <w:tcW w:w="151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8793136">
            <w:pPr>
              <w:jc w:val="center"/>
              <w:rPr>
                <w:rStyle w:val="34"/>
                <w:rFonts w:hint="eastAsia" w:ascii="宋体" w:hAnsi="宋体" w:eastAsia="宋体" w:cs="宋体"/>
                <w:color w:val="auto"/>
                <w:sz w:val="20"/>
                <w:szCs w:val="20"/>
                <w:highlight w:val="none"/>
                <w:lang w:bidi="ar"/>
              </w:rPr>
            </w:pPr>
          </w:p>
        </w:tc>
        <w:tc>
          <w:tcPr>
            <w:tcW w:w="3149" w:type="dxa"/>
            <w:tcBorders>
              <w:top w:val="single" w:color="auto" w:sz="4" w:space="0"/>
              <w:left w:val="single" w:color="auto" w:sz="4" w:space="0"/>
              <w:bottom w:val="single" w:color="auto" w:sz="4" w:space="0"/>
              <w:right w:val="single" w:color="auto" w:sz="4" w:space="0"/>
            </w:tcBorders>
            <w:shd w:val="clear" w:color="auto" w:fill="auto"/>
            <w:vAlign w:val="center"/>
          </w:tcPr>
          <w:p w14:paraId="43A2E0E0">
            <w:pPr>
              <w:keepNext w:val="0"/>
              <w:keepLines w:val="0"/>
              <w:widowControl/>
              <w:suppressLineNumbers w:val="0"/>
              <w:jc w:val="center"/>
              <w:textAlignment w:val="center"/>
              <w:rPr>
                <w:rStyle w:val="34"/>
                <w:rFonts w:hint="eastAsia" w:ascii="宋体" w:hAnsi="宋体" w:eastAsia="宋体" w:cs="宋体"/>
                <w:color w:val="auto"/>
                <w:sz w:val="20"/>
                <w:szCs w:val="20"/>
                <w:highlight w:val="none"/>
                <w:lang w:bidi="ar"/>
              </w:rPr>
            </w:pPr>
            <w:r>
              <w:rPr>
                <w:rFonts w:hint="eastAsia" w:ascii="宋体" w:hAnsi="宋体" w:eastAsia="宋体" w:cs="宋体"/>
                <w:i w:val="0"/>
                <w:iCs w:val="0"/>
                <w:color w:val="000000"/>
                <w:kern w:val="0"/>
                <w:sz w:val="20"/>
                <w:szCs w:val="20"/>
                <w:u w:val="none"/>
                <w:lang w:val="en-US" w:eastAsia="zh-CN" w:bidi="ar"/>
              </w:rPr>
              <w:t>维修维护合格率</w:t>
            </w:r>
          </w:p>
        </w:tc>
        <w:tc>
          <w:tcPr>
            <w:tcW w:w="1020" w:type="dxa"/>
            <w:tcBorders>
              <w:top w:val="single" w:color="auto" w:sz="4" w:space="0"/>
              <w:left w:val="single" w:color="auto" w:sz="4" w:space="0"/>
              <w:bottom w:val="single" w:color="auto" w:sz="4" w:space="0"/>
              <w:right w:val="single" w:color="auto" w:sz="4" w:space="0"/>
            </w:tcBorders>
            <w:shd w:val="clear" w:color="auto" w:fill="auto"/>
            <w:vAlign w:val="center"/>
          </w:tcPr>
          <w:p w14:paraId="462DC67E">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u w:val="none"/>
                <w:lang w:val="en-US" w:eastAsia="zh-CN" w:bidi="ar"/>
              </w:rPr>
              <w:t>3.3</w:t>
            </w:r>
          </w:p>
        </w:tc>
        <w:tc>
          <w:tcPr>
            <w:tcW w:w="1020" w:type="dxa"/>
            <w:tcBorders>
              <w:top w:val="single" w:color="auto" w:sz="4" w:space="0"/>
              <w:left w:val="single" w:color="auto" w:sz="4" w:space="0"/>
              <w:bottom w:val="single" w:color="auto" w:sz="4" w:space="0"/>
              <w:right w:val="single" w:color="auto" w:sz="4" w:space="0"/>
            </w:tcBorders>
            <w:shd w:val="clear" w:color="auto" w:fill="auto"/>
            <w:vAlign w:val="center"/>
          </w:tcPr>
          <w:p w14:paraId="39052D28">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u w:val="none"/>
                <w:lang w:val="en-US" w:eastAsia="zh-CN" w:bidi="ar"/>
              </w:rPr>
              <w:t>3.3</w:t>
            </w:r>
          </w:p>
        </w:tc>
        <w:tc>
          <w:tcPr>
            <w:tcW w:w="1020" w:type="dxa"/>
            <w:tcBorders>
              <w:top w:val="single" w:color="auto" w:sz="4" w:space="0"/>
              <w:left w:val="nil"/>
              <w:bottom w:val="single" w:color="auto" w:sz="4" w:space="0"/>
              <w:right w:val="single" w:color="auto" w:sz="4" w:space="0"/>
            </w:tcBorders>
            <w:shd w:val="clear" w:color="auto" w:fill="auto"/>
            <w:vAlign w:val="center"/>
          </w:tcPr>
          <w:p w14:paraId="62A7B659">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u w:val="none"/>
                <w:lang w:val="en-US" w:eastAsia="zh-CN" w:bidi="ar"/>
              </w:rPr>
              <w:t>100.00%</w:t>
            </w:r>
          </w:p>
        </w:tc>
      </w:tr>
      <w:tr w14:paraId="130C02D0">
        <w:tblPrEx>
          <w:tblCellMar>
            <w:top w:w="0" w:type="dxa"/>
            <w:left w:w="108" w:type="dxa"/>
            <w:bottom w:w="0" w:type="dxa"/>
            <w:right w:w="108" w:type="dxa"/>
          </w:tblCellMar>
        </w:tblPrEx>
        <w:trPr>
          <w:trHeight w:val="454" w:hRule="atLeast"/>
        </w:trPr>
        <w:tc>
          <w:tcPr>
            <w:tcW w:w="11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AE7DD11">
            <w:pPr>
              <w:jc w:val="center"/>
              <w:rPr>
                <w:rStyle w:val="34"/>
                <w:rFonts w:hint="eastAsia" w:ascii="宋体" w:hAnsi="宋体" w:eastAsia="宋体" w:cs="宋体"/>
                <w:color w:val="auto"/>
                <w:sz w:val="20"/>
                <w:szCs w:val="20"/>
                <w:highlight w:val="none"/>
                <w:lang w:bidi="ar"/>
              </w:rPr>
            </w:pPr>
          </w:p>
        </w:tc>
        <w:tc>
          <w:tcPr>
            <w:tcW w:w="151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0408149">
            <w:pPr>
              <w:keepNext w:val="0"/>
              <w:keepLines w:val="0"/>
              <w:widowControl/>
              <w:suppressLineNumbers w:val="0"/>
              <w:jc w:val="center"/>
              <w:textAlignment w:val="center"/>
              <w:rPr>
                <w:rStyle w:val="34"/>
                <w:rFonts w:hint="eastAsia" w:ascii="宋体" w:hAnsi="宋体" w:eastAsia="宋体" w:cs="宋体"/>
                <w:color w:val="auto"/>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时效指标</w:t>
            </w:r>
          </w:p>
        </w:tc>
        <w:tc>
          <w:tcPr>
            <w:tcW w:w="3149" w:type="dxa"/>
            <w:tcBorders>
              <w:top w:val="single" w:color="auto" w:sz="4" w:space="0"/>
              <w:left w:val="single" w:color="auto" w:sz="4" w:space="0"/>
              <w:bottom w:val="single" w:color="auto" w:sz="4" w:space="0"/>
              <w:right w:val="single" w:color="auto" w:sz="4" w:space="0"/>
            </w:tcBorders>
            <w:shd w:val="clear" w:color="auto" w:fill="auto"/>
            <w:vAlign w:val="center"/>
          </w:tcPr>
          <w:p w14:paraId="28332A0B">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法庭运维及时性</w:t>
            </w:r>
          </w:p>
        </w:tc>
        <w:tc>
          <w:tcPr>
            <w:tcW w:w="1020" w:type="dxa"/>
            <w:tcBorders>
              <w:top w:val="single" w:color="auto" w:sz="4" w:space="0"/>
              <w:left w:val="single" w:color="auto" w:sz="4" w:space="0"/>
              <w:bottom w:val="single" w:color="auto" w:sz="4" w:space="0"/>
              <w:right w:val="single" w:color="auto" w:sz="4" w:space="0"/>
            </w:tcBorders>
            <w:shd w:val="clear" w:color="auto" w:fill="auto"/>
            <w:vAlign w:val="center"/>
          </w:tcPr>
          <w:p w14:paraId="32166A49">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3.4</w:t>
            </w:r>
          </w:p>
        </w:tc>
        <w:tc>
          <w:tcPr>
            <w:tcW w:w="1020" w:type="dxa"/>
            <w:tcBorders>
              <w:top w:val="single" w:color="auto" w:sz="4" w:space="0"/>
              <w:left w:val="single" w:color="auto" w:sz="4" w:space="0"/>
              <w:bottom w:val="single" w:color="auto" w:sz="4" w:space="0"/>
              <w:right w:val="single" w:color="auto" w:sz="4" w:space="0"/>
            </w:tcBorders>
            <w:shd w:val="clear" w:color="auto" w:fill="auto"/>
            <w:vAlign w:val="center"/>
          </w:tcPr>
          <w:p w14:paraId="74D94E60">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3.4</w:t>
            </w:r>
          </w:p>
        </w:tc>
        <w:tc>
          <w:tcPr>
            <w:tcW w:w="1020" w:type="dxa"/>
            <w:tcBorders>
              <w:top w:val="single" w:color="auto" w:sz="4" w:space="0"/>
              <w:left w:val="nil"/>
              <w:bottom w:val="single" w:color="auto" w:sz="4" w:space="0"/>
              <w:right w:val="single" w:color="auto" w:sz="4" w:space="0"/>
            </w:tcBorders>
            <w:shd w:val="clear" w:color="auto" w:fill="auto"/>
            <w:vAlign w:val="center"/>
          </w:tcPr>
          <w:p w14:paraId="437D1606">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276004DA">
        <w:tblPrEx>
          <w:tblCellMar>
            <w:top w:w="0" w:type="dxa"/>
            <w:left w:w="108" w:type="dxa"/>
            <w:bottom w:w="0" w:type="dxa"/>
            <w:right w:w="108" w:type="dxa"/>
          </w:tblCellMar>
        </w:tblPrEx>
        <w:trPr>
          <w:trHeight w:val="454" w:hRule="atLeast"/>
        </w:trPr>
        <w:tc>
          <w:tcPr>
            <w:tcW w:w="1116" w:type="dxa"/>
            <w:vMerge w:val="continue"/>
            <w:tcBorders>
              <w:top w:val="single" w:color="auto" w:sz="4" w:space="0"/>
              <w:left w:val="single" w:color="auto" w:sz="4" w:space="0"/>
              <w:right w:val="single" w:color="000000" w:sz="4" w:space="0"/>
            </w:tcBorders>
            <w:shd w:val="clear" w:color="auto" w:fill="auto"/>
            <w:vAlign w:val="center"/>
          </w:tcPr>
          <w:p w14:paraId="39892FB1">
            <w:pPr>
              <w:jc w:val="center"/>
              <w:rPr>
                <w:rStyle w:val="34"/>
                <w:rFonts w:hint="eastAsia" w:ascii="宋体" w:hAnsi="宋体" w:eastAsia="宋体" w:cs="宋体"/>
                <w:color w:val="auto"/>
                <w:sz w:val="20"/>
                <w:szCs w:val="20"/>
                <w:highlight w:val="none"/>
                <w:lang w:bidi="ar"/>
              </w:rPr>
            </w:pPr>
          </w:p>
        </w:tc>
        <w:tc>
          <w:tcPr>
            <w:tcW w:w="1513" w:type="dxa"/>
            <w:vMerge w:val="continue"/>
            <w:tcBorders>
              <w:top w:val="single" w:color="auto" w:sz="4" w:space="0"/>
              <w:left w:val="single" w:color="000000" w:sz="4" w:space="0"/>
              <w:right w:val="single" w:color="000000" w:sz="4" w:space="0"/>
            </w:tcBorders>
            <w:shd w:val="clear" w:color="auto" w:fill="auto"/>
            <w:vAlign w:val="center"/>
          </w:tcPr>
          <w:p w14:paraId="0F6F2EEA">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p>
        </w:tc>
        <w:tc>
          <w:tcPr>
            <w:tcW w:w="3149" w:type="dxa"/>
            <w:tcBorders>
              <w:top w:val="single" w:color="auto" w:sz="4" w:space="0"/>
              <w:left w:val="single" w:color="000000" w:sz="4" w:space="0"/>
              <w:bottom w:val="single" w:color="000000" w:sz="4" w:space="0"/>
              <w:right w:val="single" w:color="000000" w:sz="4" w:space="0"/>
            </w:tcBorders>
            <w:shd w:val="clear" w:color="auto" w:fill="auto"/>
            <w:vAlign w:val="center"/>
          </w:tcPr>
          <w:p w14:paraId="6231D556">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日常维护工作完成及时性</w:t>
            </w:r>
          </w:p>
        </w:tc>
        <w:tc>
          <w:tcPr>
            <w:tcW w:w="1020" w:type="dxa"/>
            <w:tcBorders>
              <w:top w:val="single" w:color="auto" w:sz="4" w:space="0"/>
              <w:left w:val="single" w:color="auto" w:sz="4" w:space="0"/>
              <w:bottom w:val="nil"/>
              <w:right w:val="nil"/>
            </w:tcBorders>
            <w:shd w:val="clear" w:color="auto" w:fill="auto"/>
            <w:vAlign w:val="center"/>
          </w:tcPr>
          <w:p w14:paraId="34AEEBA3">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3.3</w:t>
            </w:r>
          </w:p>
        </w:tc>
        <w:tc>
          <w:tcPr>
            <w:tcW w:w="1020" w:type="dxa"/>
            <w:tcBorders>
              <w:top w:val="single" w:color="auto" w:sz="4" w:space="0"/>
              <w:left w:val="single" w:color="auto" w:sz="4" w:space="0"/>
              <w:bottom w:val="single" w:color="auto" w:sz="4" w:space="0"/>
              <w:right w:val="single" w:color="auto" w:sz="4" w:space="0"/>
            </w:tcBorders>
            <w:shd w:val="clear" w:color="auto" w:fill="auto"/>
            <w:vAlign w:val="center"/>
          </w:tcPr>
          <w:p w14:paraId="0355009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3.3</w:t>
            </w:r>
          </w:p>
        </w:tc>
        <w:tc>
          <w:tcPr>
            <w:tcW w:w="1020" w:type="dxa"/>
            <w:tcBorders>
              <w:top w:val="single" w:color="auto" w:sz="4" w:space="0"/>
              <w:left w:val="nil"/>
              <w:bottom w:val="single" w:color="auto" w:sz="4" w:space="0"/>
              <w:right w:val="single" w:color="auto" w:sz="4" w:space="0"/>
            </w:tcBorders>
            <w:shd w:val="clear" w:color="auto" w:fill="auto"/>
            <w:vAlign w:val="center"/>
          </w:tcPr>
          <w:p w14:paraId="729D71F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6C4C0FA2">
        <w:tblPrEx>
          <w:tblCellMar>
            <w:top w:w="0" w:type="dxa"/>
            <w:left w:w="108" w:type="dxa"/>
            <w:bottom w:w="0" w:type="dxa"/>
            <w:right w:w="108" w:type="dxa"/>
          </w:tblCellMar>
        </w:tblPrEx>
        <w:trPr>
          <w:trHeight w:val="454" w:hRule="atLeast"/>
        </w:trPr>
        <w:tc>
          <w:tcPr>
            <w:tcW w:w="1116" w:type="dxa"/>
            <w:vMerge w:val="continue"/>
            <w:tcBorders>
              <w:top w:val="single" w:color="auto" w:sz="4" w:space="0"/>
              <w:left w:val="single" w:color="auto" w:sz="4" w:space="0"/>
              <w:bottom w:val="single" w:color="auto" w:sz="4" w:space="0"/>
              <w:right w:val="single" w:color="000000" w:sz="4" w:space="0"/>
            </w:tcBorders>
            <w:shd w:val="clear" w:color="auto" w:fill="auto"/>
            <w:vAlign w:val="center"/>
          </w:tcPr>
          <w:p w14:paraId="36E20E0F">
            <w:pPr>
              <w:jc w:val="center"/>
              <w:rPr>
                <w:rStyle w:val="34"/>
                <w:rFonts w:hint="eastAsia" w:ascii="宋体" w:hAnsi="宋体" w:eastAsia="宋体" w:cs="宋体"/>
                <w:color w:val="auto"/>
                <w:sz w:val="20"/>
                <w:szCs w:val="20"/>
                <w:highlight w:val="none"/>
                <w:lang w:bidi="ar"/>
              </w:rPr>
            </w:pPr>
          </w:p>
        </w:tc>
        <w:tc>
          <w:tcPr>
            <w:tcW w:w="1513" w:type="dxa"/>
            <w:vMerge w:val="continue"/>
            <w:tcBorders>
              <w:left w:val="single" w:color="000000" w:sz="4" w:space="0"/>
              <w:bottom w:val="single" w:color="auto" w:sz="4" w:space="0"/>
              <w:right w:val="single" w:color="000000" w:sz="4" w:space="0"/>
            </w:tcBorders>
            <w:shd w:val="clear" w:color="auto" w:fill="auto"/>
            <w:vAlign w:val="center"/>
          </w:tcPr>
          <w:p w14:paraId="2A129FDB">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p>
        </w:tc>
        <w:tc>
          <w:tcPr>
            <w:tcW w:w="3149" w:type="dxa"/>
            <w:tcBorders>
              <w:top w:val="single" w:color="000000" w:sz="4" w:space="0"/>
              <w:left w:val="single" w:color="000000" w:sz="4" w:space="0"/>
              <w:bottom w:val="single" w:color="auto" w:sz="4" w:space="0"/>
              <w:right w:val="single" w:color="000000" w:sz="4" w:space="0"/>
            </w:tcBorders>
            <w:shd w:val="clear" w:color="auto" w:fill="auto"/>
            <w:vAlign w:val="center"/>
          </w:tcPr>
          <w:p w14:paraId="646F3D42">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水电暖服务保障工作及时性</w:t>
            </w:r>
          </w:p>
        </w:tc>
        <w:tc>
          <w:tcPr>
            <w:tcW w:w="1020" w:type="dxa"/>
            <w:tcBorders>
              <w:top w:val="single" w:color="auto" w:sz="4" w:space="0"/>
              <w:left w:val="single" w:color="auto" w:sz="4" w:space="0"/>
              <w:bottom w:val="single" w:color="auto" w:sz="4" w:space="0"/>
              <w:right w:val="nil"/>
            </w:tcBorders>
            <w:shd w:val="clear" w:color="auto" w:fill="auto"/>
            <w:vAlign w:val="center"/>
          </w:tcPr>
          <w:p w14:paraId="7978FCEE">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3.3</w:t>
            </w:r>
          </w:p>
        </w:tc>
        <w:tc>
          <w:tcPr>
            <w:tcW w:w="1020" w:type="dxa"/>
            <w:tcBorders>
              <w:top w:val="nil"/>
              <w:left w:val="single" w:color="auto" w:sz="4" w:space="0"/>
              <w:bottom w:val="single" w:color="auto" w:sz="4" w:space="0"/>
              <w:right w:val="single" w:color="auto" w:sz="4" w:space="0"/>
            </w:tcBorders>
            <w:shd w:val="clear" w:color="auto" w:fill="auto"/>
            <w:vAlign w:val="center"/>
          </w:tcPr>
          <w:p w14:paraId="4A29932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3.3</w:t>
            </w:r>
          </w:p>
        </w:tc>
        <w:tc>
          <w:tcPr>
            <w:tcW w:w="1020" w:type="dxa"/>
            <w:tcBorders>
              <w:top w:val="single" w:color="auto" w:sz="4" w:space="0"/>
              <w:left w:val="nil"/>
              <w:bottom w:val="single" w:color="auto" w:sz="4" w:space="0"/>
              <w:right w:val="single" w:color="auto" w:sz="4" w:space="0"/>
            </w:tcBorders>
            <w:shd w:val="clear" w:color="auto" w:fill="auto"/>
            <w:vAlign w:val="center"/>
          </w:tcPr>
          <w:p w14:paraId="355E035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119F1556">
        <w:tblPrEx>
          <w:tblCellMar>
            <w:top w:w="0" w:type="dxa"/>
            <w:left w:w="108" w:type="dxa"/>
            <w:bottom w:w="0" w:type="dxa"/>
            <w:right w:w="108" w:type="dxa"/>
          </w:tblCellMar>
        </w:tblPrEx>
        <w:trPr>
          <w:trHeight w:val="454" w:hRule="atLeast"/>
        </w:trPr>
        <w:tc>
          <w:tcPr>
            <w:tcW w:w="1116" w:type="dxa"/>
            <w:vMerge w:val="restart"/>
            <w:tcBorders>
              <w:top w:val="single" w:color="auto" w:sz="4" w:space="0"/>
              <w:left w:val="single" w:color="auto" w:sz="4" w:space="0"/>
              <w:right w:val="single" w:color="auto" w:sz="4" w:space="0"/>
            </w:tcBorders>
            <w:shd w:val="clear" w:color="auto" w:fill="auto"/>
            <w:vAlign w:val="center"/>
          </w:tcPr>
          <w:p w14:paraId="6B248CF8">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效益指标</w:t>
            </w:r>
          </w:p>
          <w:p w14:paraId="03CB938C">
            <w:pPr>
              <w:jc w:val="center"/>
              <w:rPr>
                <w:rStyle w:val="34"/>
                <w:rFonts w:hint="eastAsia" w:ascii="宋体" w:hAnsi="宋体" w:eastAsia="宋体" w:cs="宋体"/>
                <w:color w:val="auto"/>
                <w:sz w:val="20"/>
                <w:szCs w:val="20"/>
                <w:highlight w:val="none"/>
                <w:lang w:bidi="ar"/>
              </w:rPr>
            </w:pPr>
          </w:p>
        </w:tc>
        <w:tc>
          <w:tcPr>
            <w:tcW w:w="1513" w:type="dxa"/>
            <w:tcBorders>
              <w:top w:val="single" w:color="auto" w:sz="4" w:space="0"/>
              <w:left w:val="single" w:color="auto" w:sz="4" w:space="0"/>
              <w:bottom w:val="single" w:color="auto" w:sz="4" w:space="0"/>
              <w:right w:val="single" w:color="auto" w:sz="4" w:space="0"/>
            </w:tcBorders>
            <w:shd w:val="clear" w:color="auto" w:fill="auto"/>
            <w:vAlign w:val="center"/>
          </w:tcPr>
          <w:p w14:paraId="2B39CA11">
            <w:pPr>
              <w:keepNext w:val="0"/>
              <w:keepLines w:val="0"/>
              <w:widowControl/>
              <w:suppressLineNumbers w:val="0"/>
              <w:jc w:val="center"/>
              <w:textAlignment w:val="center"/>
              <w:rPr>
                <w:rStyle w:val="34"/>
                <w:rFonts w:hint="eastAsia" w:ascii="宋体" w:hAnsi="宋体" w:eastAsia="宋体" w:cs="宋体"/>
                <w:color w:val="auto"/>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社会效益指标</w:t>
            </w:r>
          </w:p>
        </w:tc>
        <w:tc>
          <w:tcPr>
            <w:tcW w:w="3149" w:type="dxa"/>
            <w:tcBorders>
              <w:top w:val="single" w:color="auto" w:sz="4" w:space="0"/>
              <w:left w:val="single" w:color="auto" w:sz="4" w:space="0"/>
              <w:bottom w:val="single" w:color="auto" w:sz="4" w:space="0"/>
              <w:right w:val="single" w:color="auto" w:sz="4" w:space="0"/>
            </w:tcBorders>
            <w:shd w:val="clear" w:color="auto" w:fill="auto"/>
            <w:vAlign w:val="center"/>
          </w:tcPr>
          <w:p w14:paraId="0F879698">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sz w:val="20"/>
                <w:szCs w:val="20"/>
              </w:rPr>
              <w:t>有效保障审判服务</w:t>
            </w:r>
          </w:p>
        </w:tc>
        <w:tc>
          <w:tcPr>
            <w:tcW w:w="1020" w:type="dxa"/>
            <w:tcBorders>
              <w:top w:val="single" w:color="auto" w:sz="4" w:space="0"/>
              <w:left w:val="single" w:color="auto" w:sz="4" w:space="0"/>
              <w:bottom w:val="single" w:color="auto" w:sz="4" w:space="0"/>
              <w:right w:val="single" w:color="auto" w:sz="4" w:space="0"/>
            </w:tcBorders>
            <w:shd w:val="clear" w:color="auto" w:fill="auto"/>
            <w:vAlign w:val="center"/>
          </w:tcPr>
          <w:p w14:paraId="74406B0C">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sz w:val="20"/>
                <w:szCs w:val="20"/>
              </w:rPr>
              <w:t>20</w:t>
            </w:r>
          </w:p>
        </w:tc>
        <w:tc>
          <w:tcPr>
            <w:tcW w:w="1020" w:type="dxa"/>
            <w:tcBorders>
              <w:top w:val="single" w:color="auto" w:sz="4" w:space="0"/>
              <w:left w:val="single" w:color="auto" w:sz="4" w:space="0"/>
              <w:bottom w:val="single" w:color="auto" w:sz="4" w:space="0"/>
              <w:right w:val="single" w:color="auto" w:sz="4" w:space="0"/>
            </w:tcBorders>
            <w:shd w:val="clear" w:color="auto" w:fill="auto"/>
            <w:vAlign w:val="center"/>
          </w:tcPr>
          <w:p w14:paraId="4FF23F89">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sz w:val="20"/>
                <w:szCs w:val="20"/>
              </w:rPr>
              <w:t>20</w:t>
            </w:r>
          </w:p>
        </w:tc>
        <w:tc>
          <w:tcPr>
            <w:tcW w:w="1020" w:type="dxa"/>
            <w:tcBorders>
              <w:top w:val="single" w:color="auto" w:sz="4" w:space="0"/>
              <w:left w:val="single" w:color="auto" w:sz="4" w:space="0"/>
              <w:bottom w:val="single" w:color="auto" w:sz="4" w:space="0"/>
              <w:right w:val="single" w:color="auto" w:sz="4" w:space="0"/>
            </w:tcBorders>
            <w:shd w:val="clear" w:color="auto" w:fill="auto"/>
            <w:vAlign w:val="center"/>
          </w:tcPr>
          <w:p w14:paraId="78CE731F">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01E15F5D">
        <w:tblPrEx>
          <w:tblCellMar>
            <w:top w:w="0" w:type="dxa"/>
            <w:left w:w="108" w:type="dxa"/>
            <w:bottom w:w="0" w:type="dxa"/>
            <w:right w:w="108" w:type="dxa"/>
          </w:tblCellMar>
        </w:tblPrEx>
        <w:trPr>
          <w:trHeight w:val="454" w:hRule="atLeast"/>
        </w:trPr>
        <w:tc>
          <w:tcPr>
            <w:tcW w:w="1116" w:type="dxa"/>
            <w:vMerge w:val="continue"/>
            <w:tcBorders>
              <w:left w:val="single" w:color="auto" w:sz="4" w:space="0"/>
              <w:right w:val="single" w:color="auto" w:sz="4" w:space="0"/>
            </w:tcBorders>
            <w:shd w:val="clear" w:color="auto" w:fill="auto"/>
            <w:vAlign w:val="center"/>
          </w:tcPr>
          <w:p w14:paraId="0F780923">
            <w:pPr>
              <w:jc w:val="center"/>
              <w:rPr>
                <w:rStyle w:val="34"/>
                <w:rFonts w:hint="eastAsia" w:ascii="宋体" w:hAnsi="宋体" w:eastAsia="宋体" w:cs="宋体"/>
                <w:color w:val="auto"/>
                <w:sz w:val="20"/>
                <w:szCs w:val="20"/>
                <w:highlight w:val="none"/>
                <w:lang w:bidi="ar"/>
              </w:rPr>
            </w:pPr>
          </w:p>
        </w:tc>
        <w:tc>
          <w:tcPr>
            <w:tcW w:w="1513" w:type="dxa"/>
            <w:vMerge w:val="restart"/>
            <w:tcBorders>
              <w:top w:val="single" w:color="auto" w:sz="4" w:space="0"/>
              <w:left w:val="single" w:color="auto" w:sz="4" w:space="0"/>
              <w:right w:val="single" w:color="auto" w:sz="4" w:space="0"/>
            </w:tcBorders>
            <w:shd w:val="clear" w:color="auto" w:fill="auto"/>
            <w:vAlign w:val="center"/>
          </w:tcPr>
          <w:p w14:paraId="0D412102">
            <w:pPr>
              <w:keepNext w:val="0"/>
              <w:keepLines w:val="0"/>
              <w:widowControl/>
              <w:suppressLineNumbers w:val="0"/>
              <w:jc w:val="center"/>
              <w:textAlignment w:val="center"/>
              <w:rPr>
                <w:rStyle w:val="34"/>
                <w:rFonts w:hint="eastAsia" w:ascii="宋体" w:hAnsi="宋体" w:eastAsia="宋体" w:cs="宋体"/>
                <w:color w:val="auto"/>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满意度指标</w:t>
            </w:r>
          </w:p>
        </w:tc>
        <w:tc>
          <w:tcPr>
            <w:tcW w:w="3149" w:type="dxa"/>
            <w:tcBorders>
              <w:top w:val="single" w:color="auto" w:sz="4" w:space="0"/>
              <w:left w:val="single" w:color="auto" w:sz="4" w:space="0"/>
              <w:bottom w:val="single" w:color="auto" w:sz="4" w:space="0"/>
              <w:right w:val="single" w:color="auto" w:sz="4" w:space="0"/>
            </w:tcBorders>
            <w:shd w:val="clear" w:color="auto" w:fill="auto"/>
            <w:vAlign w:val="center"/>
          </w:tcPr>
          <w:p w14:paraId="257846D2">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333333"/>
                <w:kern w:val="0"/>
                <w:sz w:val="20"/>
                <w:szCs w:val="20"/>
                <w:u w:val="none"/>
                <w:lang w:val="en-US" w:eastAsia="zh-CN" w:bidi="ar"/>
              </w:rPr>
              <w:t>服务群众对审判工作满意度</w:t>
            </w:r>
          </w:p>
        </w:tc>
        <w:tc>
          <w:tcPr>
            <w:tcW w:w="1020" w:type="dxa"/>
            <w:tcBorders>
              <w:top w:val="single" w:color="auto" w:sz="4" w:space="0"/>
              <w:left w:val="single" w:color="auto" w:sz="4" w:space="0"/>
              <w:bottom w:val="single" w:color="auto" w:sz="4" w:space="0"/>
              <w:right w:val="single" w:color="auto" w:sz="4" w:space="0"/>
            </w:tcBorders>
            <w:shd w:val="clear" w:color="auto" w:fill="auto"/>
            <w:vAlign w:val="center"/>
          </w:tcPr>
          <w:p w14:paraId="1DD80C84">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5</w:t>
            </w:r>
          </w:p>
        </w:tc>
        <w:tc>
          <w:tcPr>
            <w:tcW w:w="1020" w:type="dxa"/>
            <w:tcBorders>
              <w:top w:val="single" w:color="auto" w:sz="4" w:space="0"/>
              <w:left w:val="single" w:color="auto" w:sz="4" w:space="0"/>
              <w:bottom w:val="single" w:color="auto" w:sz="4" w:space="0"/>
              <w:right w:val="single" w:color="auto" w:sz="4" w:space="0"/>
            </w:tcBorders>
            <w:shd w:val="clear" w:color="auto" w:fill="auto"/>
            <w:vAlign w:val="center"/>
          </w:tcPr>
          <w:p w14:paraId="0EB2DD78">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5</w:t>
            </w:r>
          </w:p>
        </w:tc>
        <w:tc>
          <w:tcPr>
            <w:tcW w:w="1020" w:type="dxa"/>
            <w:tcBorders>
              <w:top w:val="single" w:color="auto" w:sz="4" w:space="0"/>
              <w:left w:val="single" w:color="auto" w:sz="4" w:space="0"/>
              <w:bottom w:val="single" w:color="auto" w:sz="4" w:space="0"/>
              <w:right w:val="single" w:color="auto" w:sz="4" w:space="0"/>
            </w:tcBorders>
            <w:shd w:val="clear" w:color="auto" w:fill="auto"/>
            <w:vAlign w:val="center"/>
          </w:tcPr>
          <w:p w14:paraId="3FA12599">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27CCCF00">
        <w:tblPrEx>
          <w:tblCellMar>
            <w:top w:w="0" w:type="dxa"/>
            <w:left w:w="108" w:type="dxa"/>
            <w:bottom w:w="0" w:type="dxa"/>
            <w:right w:w="108" w:type="dxa"/>
          </w:tblCellMar>
        </w:tblPrEx>
        <w:trPr>
          <w:trHeight w:val="454" w:hRule="atLeast"/>
        </w:trPr>
        <w:tc>
          <w:tcPr>
            <w:tcW w:w="1116" w:type="dxa"/>
            <w:vMerge w:val="continue"/>
            <w:tcBorders>
              <w:left w:val="single" w:color="auto" w:sz="4" w:space="0"/>
              <w:bottom w:val="single" w:color="auto" w:sz="4" w:space="0"/>
              <w:right w:val="single" w:color="auto" w:sz="4" w:space="0"/>
            </w:tcBorders>
            <w:shd w:val="clear" w:color="auto" w:fill="auto"/>
            <w:vAlign w:val="center"/>
          </w:tcPr>
          <w:p w14:paraId="51852FE2">
            <w:pPr>
              <w:jc w:val="center"/>
              <w:rPr>
                <w:rStyle w:val="34"/>
                <w:rFonts w:hint="eastAsia" w:ascii="宋体" w:hAnsi="宋体" w:eastAsia="宋体" w:cs="宋体"/>
                <w:color w:val="auto"/>
                <w:sz w:val="20"/>
                <w:szCs w:val="20"/>
                <w:highlight w:val="none"/>
                <w:lang w:bidi="ar"/>
              </w:rPr>
            </w:pPr>
          </w:p>
        </w:tc>
        <w:tc>
          <w:tcPr>
            <w:tcW w:w="1513" w:type="dxa"/>
            <w:vMerge w:val="continue"/>
            <w:tcBorders>
              <w:left w:val="single" w:color="auto" w:sz="4" w:space="0"/>
              <w:bottom w:val="single" w:color="auto" w:sz="4" w:space="0"/>
              <w:right w:val="single" w:color="auto" w:sz="4" w:space="0"/>
            </w:tcBorders>
            <w:shd w:val="clear" w:color="auto" w:fill="auto"/>
            <w:vAlign w:val="center"/>
          </w:tcPr>
          <w:p w14:paraId="72ECA9F1">
            <w:pPr>
              <w:jc w:val="center"/>
              <w:rPr>
                <w:rStyle w:val="34"/>
                <w:rFonts w:hint="eastAsia" w:ascii="宋体" w:hAnsi="宋体" w:eastAsia="宋体" w:cs="宋体"/>
                <w:color w:val="auto"/>
                <w:sz w:val="20"/>
                <w:szCs w:val="20"/>
                <w:highlight w:val="none"/>
                <w:lang w:bidi="ar"/>
              </w:rPr>
            </w:pPr>
          </w:p>
        </w:tc>
        <w:tc>
          <w:tcPr>
            <w:tcW w:w="3149" w:type="dxa"/>
            <w:tcBorders>
              <w:top w:val="single" w:color="auto" w:sz="4" w:space="0"/>
              <w:left w:val="single" w:color="auto" w:sz="4" w:space="0"/>
              <w:bottom w:val="single" w:color="auto" w:sz="4" w:space="0"/>
              <w:right w:val="single" w:color="auto" w:sz="4" w:space="0"/>
            </w:tcBorders>
            <w:shd w:val="clear" w:color="auto" w:fill="auto"/>
            <w:vAlign w:val="center"/>
          </w:tcPr>
          <w:p w14:paraId="7A6764B0">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333333"/>
                <w:kern w:val="0"/>
                <w:sz w:val="20"/>
                <w:szCs w:val="20"/>
                <w:u w:val="none"/>
                <w:lang w:val="en-US" w:eastAsia="zh-CN" w:bidi="ar"/>
              </w:rPr>
              <w:t>派出法庭工作人员满意度</w:t>
            </w:r>
          </w:p>
        </w:tc>
        <w:tc>
          <w:tcPr>
            <w:tcW w:w="1020" w:type="dxa"/>
            <w:tcBorders>
              <w:top w:val="single" w:color="auto" w:sz="4" w:space="0"/>
              <w:left w:val="single" w:color="auto" w:sz="4" w:space="0"/>
              <w:bottom w:val="single" w:color="auto" w:sz="4" w:space="0"/>
              <w:right w:val="single" w:color="auto" w:sz="4" w:space="0"/>
            </w:tcBorders>
            <w:shd w:val="clear" w:color="auto" w:fill="auto"/>
            <w:vAlign w:val="center"/>
          </w:tcPr>
          <w:p w14:paraId="6EE79C88">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5</w:t>
            </w:r>
          </w:p>
        </w:tc>
        <w:tc>
          <w:tcPr>
            <w:tcW w:w="1020" w:type="dxa"/>
            <w:tcBorders>
              <w:top w:val="single" w:color="auto" w:sz="4" w:space="0"/>
              <w:left w:val="single" w:color="auto" w:sz="4" w:space="0"/>
              <w:bottom w:val="single" w:color="auto" w:sz="4" w:space="0"/>
              <w:right w:val="single" w:color="auto" w:sz="4" w:space="0"/>
            </w:tcBorders>
            <w:shd w:val="clear" w:color="auto" w:fill="auto"/>
            <w:vAlign w:val="center"/>
          </w:tcPr>
          <w:p w14:paraId="6102E60E">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5</w:t>
            </w:r>
          </w:p>
        </w:tc>
        <w:tc>
          <w:tcPr>
            <w:tcW w:w="1020" w:type="dxa"/>
            <w:tcBorders>
              <w:top w:val="single" w:color="auto" w:sz="4" w:space="0"/>
              <w:left w:val="single" w:color="auto" w:sz="4" w:space="0"/>
              <w:bottom w:val="single" w:color="auto" w:sz="4" w:space="0"/>
              <w:right w:val="single" w:color="auto" w:sz="4" w:space="0"/>
            </w:tcBorders>
            <w:shd w:val="clear" w:color="auto" w:fill="auto"/>
            <w:vAlign w:val="center"/>
          </w:tcPr>
          <w:p w14:paraId="72435BFA">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74B58CCF">
        <w:tblPrEx>
          <w:tblCellMar>
            <w:top w:w="0" w:type="dxa"/>
            <w:left w:w="108" w:type="dxa"/>
            <w:bottom w:w="0" w:type="dxa"/>
            <w:right w:w="108" w:type="dxa"/>
          </w:tblCellMar>
        </w:tblPrEx>
        <w:trPr>
          <w:trHeight w:val="454" w:hRule="atLeast"/>
        </w:trPr>
        <w:tc>
          <w:tcPr>
            <w:tcW w:w="5778" w:type="dxa"/>
            <w:gridSpan w:val="3"/>
            <w:tcBorders>
              <w:top w:val="single" w:color="auto" w:sz="4" w:space="0"/>
              <w:left w:val="single" w:color="000000" w:sz="4" w:space="0"/>
              <w:bottom w:val="single" w:color="000000" w:sz="4" w:space="0"/>
              <w:right w:val="single" w:color="auto" w:sz="4" w:space="0"/>
            </w:tcBorders>
            <w:shd w:val="clear" w:color="auto" w:fill="auto"/>
            <w:vAlign w:val="center"/>
          </w:tcPr>
          <w:p w14:paraId="71DD2FBC">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合计</w:t>
            </w:r>
          </w:p>
        </w:tc>
        <w:tc>
          <w:tcPr>
            <w:tcW w:w="1020" w:type="dxa"/>
            <w:tcBorders>
              <w:top w:val="single" w:color="auto" w:sz="4" w:space="0"/>
              <w:left w:val="single" w:color="auto" w:sz="4" w:space="0"/>
              <w:bottom w:val="single" w:color="000000" w:sz="4" w:space="0"/>
              <w:right w:val="single" w:color="000000" w:sz="4" w:space="0"/>
            </w:tcBorders>
            <w:shd w:val="clear" w:color="auto" w:fill="auto"/>
            <w:vAlign w:val="center"/>
          </w:tcPr>
          <w:p w14:paraId="05CA6249">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100</w:t>
            </w:r>
          </w:p>
        </w:tc>
        <w:tc>
          <w:tcPr>
            <w:tcW w:w="1020" w:type="dxa"/>
            <w:tcBorders>
              <w:top w:val="single" w:color="auto" w:sz="4" w:space="0"/>
              <w:left w:val="single" w:color="000000" w:sz="4" w:space="0"/>
              <w:bottom w:val="single" w:color="000000" w:sz="4" w:space="0"/>
              <w:right w:val="single" w:color="000000" w:sz="4" w:space="0"/>
            </w:tcBorders>
            <w:shd w:val="clear" w:color="auto" w:fill="auto"/>
            <w:vAlign w:val="center"/>
          </w:tcPr>
          <w:p w14:paraId="4A879BB2">
            <w:pPr>
              <w:keepNext w:val="0"/>
              <w:keepLines w:val="0"/>
              <w:widowControl/>
              <w:suppressLineNumbers w:val="0"/>
              <w:jc w:val="center"/>
              <w:textAlignment w:val="center"/>
              <w:rPr>
                <w:rFonts w:hint="default" w:ascii="宋体" w:hAnsi="宋体" w:eastAsia="宋体" w:cs="宋体"/>
                <w:b/>
                <w:bCs/>
                <w:color w:val="auto"/>
                <w:kern w:val="0"/>
                <w:sz w:val="20"/>
                <w:szCs w:val="20"/>
                <w:highlight w:val="none"/>
                <w:lang w:val="en-US" w:eastAsia="zh-CN" w:bidi="ar"/>
              </w:rPr>
            </w:pPr>
            <w:r>
              <w:rPr>
                <w:rFonts w:hint="eastAsia" w:ascii="宋体" w:hAnsi="宋体" w:eastAsia="宋体" w:cs="宋体"/>
                <w:b/>
                <w:bCs/>
                <w:i w:val="0"/>
                <w:iCs w:val="0"/>
                <w:color w:val="000000"/>
                <w:kern w:val="0"/>
                <w:sz w:val="20"/>
                <w:szCs w:val="20"/>
                <w:u w:val="none"/>
                <w:lang w:val="en-US" w:eastAsia="zh-CN" w:bidi="ar"/>
              </w:rPr>
              <w:t>96.05</w:t>
            </w:r>
          </w:p>
        </w:tc>
        <w:tc>
          <w:tcPr>
            <w:tcW w:w="1020" w:type="dxa"/>
            <w:tcBorders>
              <w:top w:val="single" w:color="auto" w:sz="4" w:space="0"/>
              <w:left w:val="single" w:color="000000" w:sz="4" w:space="0"/>
              <w:bottom w:val="single" w:color="000000" w:sz="4" w:space="0"/>
              <w:right w:val="single" w:color="000000" w:sz="4" w:space="0"/>
            </w:tcBorders>
            <w:shd w:val="clear" w:color="auto" w:fill="auto"/>
            <w:vAlign w:val="center"/>
          </w:tcPr>
          <w:p w14:paraId="25DEE0CD">
            <w:pPr>
              <w:keepNext w:val="0"/>
              <w:keepLines w:val="0"/>
              <w:widowControl/>
              <w:suppressLineNumbers w:val="0"/>
              <w:jc w:val="center"/>
              <w:textAlignment w:val="center"/>
              <w:rPr>
                <w:rFonts w:hint="eastAsia" w:ascii="宋体" w:hAnsi="宋体" w:eastAsia="宋体" w:cs="宋体"/>
                <w:b/>
                <w:bCs/>
                <w:i w:val="0"/>
                <w:iCs w:val="0"/>
                <w:color w:val="000000"/>
                <w:kern w:val="2"/>
                <w:sz w:val="20"/>
                <w:szCs w:val="20"/>
                <w:u w:val="none"/>
                <w:lang w:val="en-US" w:eastAsia="zh-CN" w:bidi="ar-SA"/>
              </w:rPr>
            </w:pPr>
            <w:r>
              <w:rPr>
                <w:rFonts w:hint="eastAsia" w:ascii="宋体" w:hAnsi="宋体" w:eastAsia="宋体" w:cs="宋体"/>
                <w:b/>
                <w:bCs/>
                <w:i w:val="0"/>
                <w:iCs w:val="0"/>
                <w:color w:val="000000"/>
                <w:kern w:val="0"/>
                <w:sz w:val="20"/>
                <w:szCs w:val="20"/>
                <w:u w:val="none"/>
                <w:lang w:val="en-US" w:eastAsia="zh-CN" w:bidi="ar"/>
              </w:rPr>
              <w:t>96.05%</w:t>
            </w:r>
          </w:p>
        </w:tc>
      </w:tr>
    </w:tbl>
    <w:p w14:paraId="1362E5F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highlight w:val="yellow"/>
        </w:rPr>
      </w:pPr>
      <w:bookmarkStart w:id="109" w:name="_Toc10740"/>
      <w:r>
        <w:rPr>
          <w:rFonts w:hint="eastAsia" w:ascii="仿宋_GB2312" w:hAnsi="仿宋_GB2312" w:eastAsia="仿宋_GB2312" w:cs="仿宋_GB2312"/>
          <w:sz w:val="32"/>
          <w:szCs w:val="32"/>
          <w:highlight w:val="none"/>
        </w:rPr>
        <w:t>评价认为，</w:t>
      </w:r>
      <w:r>
        <w:rPr>
          <w:rFonts w:hint="eastAsia" w:ascii="仿宋_GB2312" w:hAnsi="仿宋_GB2312" w:eastAsia="仿宋_GB2312" w:cs="仿宋_GB2312"/>
          <w:sz w:val="32"/>
          <w:szCs w:val="32"/>
          <w:highlight w:val="none"/>
          <w:lang w:eastAsia="zh-CN"/>
        </w:rPr>
        <w:t>法庭运维费</w:t>
      </w:r>
      <w:r>
        <w:rPr>
          <w:rFonts w:hint="eastAsia" w:ascii="仿宋_GB2312" w:hAnsi="仿宋_GB2312" w:eastAsia="仿宋_GB2312" w:cs="仿宋_GB2312"/>
          <w:sz w:val="32"/>
          <w:szCs w:val="32"/>
          <w:highlight w:val="none"/>
        </w:rPr>
        <w:t>项目立项程序规范，依据充分，项目实施必要。在</w:t>
      </w:r>
      <w:r>
        <w:rPr>
          <w:rFonts w:hint="eastAsia" w:ascii="仿宋_GB2312" w:hAnsi="仿宋_GB2312" w:eastAsia="仿宋_GB2312" w:cs="仿宋_GB2312"/>
          <w:sz w:val="32"/>
          <w:szCs w:val="32"/>
          <w:highlight w:val="none"/>
          <w:lang w:val="en-US" w:eastAsia="zh-CN"/>
        </w:rPr>
        <w:t>专项</w:t>
      </w:r>
      <w:r>
        <w:rPr>
          <w:rFonts w:hint="eastAsia" w:ascii="仿宋_GB2312" w:hAnsi="仿宋_GB2312" w:eastAsia="仿宋_GB2312" w:cs="仿宋_GB2312"/>
          <w:sz w:val="32"/>
          <w:szCs w:val="32"/>
          <w:highlight w:val="none"/>
        </w:rPr>
        <w:t>资金统一保障下，项目顺利开展，项目实施流程严谨，执行管理到位，资金使用效果良好。项目总体组织规范，</w:t>
      </w:r>
      <w:r>
        <w:rPr>
          <w:rFonts w:hint="eastAsia" w:ascii="仿宋_GB2312" w:hAnsi="仿宋_GB2312" w:eastAsia="仿宋_GB2312" w:cs="仿宋_GB2312"/>
          <w:sz w:val="32"/>
          <w:szCs w:val="32"/>
          <w:highlight w:val="none"/>
          <w:lang w:val="en-US" w:eastAsia="zh-CN"/>
        </w:rPr>
        <w:t>通过项目实施，</w:t>
      </w:r>
      <w:r>
        <w:rPr>
          <w:rFonts w:hint="eastAsia" w:ascii="仿宋_GB2312" w:hAnsi="仿宋_GB2312" w:eastAsia="仿宋_GB2312" w:cs="仿宋_GB2312"/>
          <w:sz w:val="32"/>
          <w:szCs w:val="32"/>
          <w:highlight w:val="none"/>
        </w:rPr>
        <w:t>保障了全省法院人民法庭水电暖正常供应，有效保障了审判</w:t>
      </w:r>
      <w:r>
        <w:rPr>
          <w:rFonts w:hint="eastAsia" w:ascii="仿宋_GB2312" w:hAnsi="仿宋_GB2312" w:eastAsia="仿宋_GB2312" w:cs="仿宋_GB2312"/>
          <w:sz w:val="32"/>
          <w:szCs w:val="32"/>
          <w:highlight w:val="none"/>
          <w:lang w:val="en-US" w:eastAsia="zh-CN"/>
        </w:rPr>
        <w:t>工作</w:t>
      </w:r>
      <w:r>
        <w:rPr>
          <w:rFonts w:hint="eastAsia" w:ascii="仿宋_GB2312" w:hAnsi="仿宋_GB2312" w:eastAsia="仿宋_GB2312" w:cs="仿宋_GB2312"/>
          <w:sz w:val="32"/>
          <w:szCs w:val="32"/>
          <w:highlight w:val="none"/>
        </w:rPr>
        <w:t>的正常开展。但该项目也</w:t>
      </w:r>
      <w:r>
        <w:rPr>
          <w:rFonts w:hint="eastAsia" w:ascii="仿宋_GB2312" w:hAnsi="仿宋_GB2312" w:eastAsia="仿宋_GB2312" w:cs="仿宋_GB2312"/>
          <w:sz w:val="32"/>
          <w:szCs w:val="32"/>
          <w:highlight w:val="none"/>
          <w:lang w:val="en-US" w:eastAsia="zh-CN"/>
        </w:rPr>
        <w:t>存在部分绩效目标编制不合理，个别法院绩效指标设置不明确等</w:t>
      </w:r>
      <w:r>
        <w:rPr>
          <w:rFonts w:hint="eastAsia" w:ascii="仿宋_GB2312" w:hAnsi="仿宋_GB2312" w:eastAsia="仿宋_GB2312" w:cs="仿宋_GB2312"/>
          <w:sz w:val="32"/>
          <w:szCs w:val="32"/>
          <w:highlight w:val="none"/>
        </w:rPr>
        <w:t>问题。</w:t>
      </w:r>
      <w:bookmarkEnd w:id="109"/>
    </w:p>
    <w:p w14:paraId="64B6E6B9">
      <w:pPr>
        <w:pStyle w:val="10"/>
        <w:keepNext w:val="0"/>
        <w:keepLines w:val="0"/>
        <w:pageBreakBefore w:val="0"/>
        <w:widowControl w:val="0"/>
        <w:tabs>
          <w:tab w:val="left" w:pos="3780"/>
        </w:tabs>
        <w:kinsoku/>
        <w:wordWrap/>
        <w:overflowPunct w:val="0"/>
        <w:topLinePunct w:val="0"/>
        <w:autoSpaceDE/>
        <w:autoSpaceDN/>
        <w:bidi w:val="0"/>
        <w:adjustRightInd/>
        <w:snapToGrid/>
        <w:spacing w:line="560" w:lineRule="exact"/>
        <w:ind w:firstLine="640" w:firstLineChars="200"/>
        <w:textAlignment w:val="auto"/>
        <w:outlineLvl w:val="0"/>
        <w:rPr>
          <w:rFonts w:ascii="黑体" w:eastAsia="黑体"/>
          <w:highlight w:val="none"/>
        </w:rPr>
      </w:pPr>
      <w:bookmarkStart w:id="110" w:name="_Toc25412"/>
      <w:bookmarkStart w:id="111" w:name="_Toc11745"/>
      <w:bookmarkStart w:id="112" w:name="_Toc30293"/>
      <w:r>
        <w:rPr>
          <w:rFonts w:hint="eastAsia" w:ascii="黑体" w:eastAsia="黑体"/>
          <w:highlight w:val="none"/>
        </w:rPr>
        <w:t>五、绩效评价指标分析</w:t>
      </w:r>
      <w:bookmarkEnd w:id="110"/>
      <w:bookmarkEnd w:id="111"/>
      <w:bookmarkEnd w:id="112"/>
    </w:p>
    <w:p w14:paraId="7098E531">
      <w:pPr>
        <w:keepNext w:val="0"/>
        <w:keepLines w:val="0"/>
        <w:pageBreakBefore w:val="0"/>
        <w:widowControl w:val="0"/>
        <w:tabs>
          <w:tab w:val="left" w:pos="3780"/>
        </w:tabs>
        <w:kinsoku/>
        <w:wordWrap/>
        <w:overflowPunct w:val="0"/>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法庭运维费</w:t>
      </w:r>
      <w:r>
        <w:rPr>
          <w:rFonts w:hint="eastAsia" w:ascii="仿宋_GB2312" w:hAnsi="仿宋_GB2312" w:eastAsia="仿宋_GB2312" w:cs="仿宋_GB2312"/>
          <w:sz w:val="32"/>
          <w:szCs w:val="32"/>
          <w:highlight w:val="none"/>
        </w:rPr>
        <w:t>项目绩效评价分级设计项目决策、过程、</w:t>
      </w:r>
      <w:r>
        <w:rPr>
          <w:rFonts w:hint="eastAsia" w:ascii="仿宋_GB2312" w:hAnsi="仿宋_GB2312" w:eastAsia="仿宋_GB2312" w:cs="仿宋_GB2312"/>
          <w:sz w:val="32"/>
          <w:szCs w:val="32"/>
          <w:highlight w:val="none"/>
          <w:lang w:val="en-US" w:eastAsia="zh-CN"/>
        </w:rPr>
        <w:t>成本、</w:t>
      </w:r>
      <w:r>
        <w:rPr>
          <w:rFonts w:hint="eastAsia" w:ascii="仿宋_GB2312" w:hAnsi="仿宋_GB2312" w:eastAsia="仿宋_GB2312" w:cs="仿宋_GB2312"/>
          <w:sz w:val="32"/>
          <w:szCs w:val="32"/>
          <w:highlight w:val="none"/>
        </w:rPr>
        <w:t>产出、效益</w:t>
      </w:r>
      <w:r>
        <w:rPr>
          <w:rFonts w:hint="eastAsia" w:ascii="仿宋_GB2312" w:hAnsi="仿宋_GB2312" w:eastAsia="仿宋_GB2312" w:cs="仿宋_GB2312"/>
          <w:sz w:val="32"/>
          <w:szCs w:val="32"/>
          <w:highlight w:val="none"/>
          <w:lang w:val="en-US" w:eastAsia="zh-CN"/>
        </w:rPr>
        <w:t>五</w:t>
      </w:r>
      <w:r>
        <w:rPr>
          <w:rFonts w:hint="eastAsia" w:ascii="仿宋_GB2312" w:hAnsi="仿宋_GB2312" w:eastAsia="仿宋_GB2312" w:cs="仿宋_GB2312"/>
          <w:sz w:val="32"/>
          <w:szCs w:val="32"/>
          <w:highlight w:val="none"/>
        </w:rPr>
        <w:t>个一级指标，一级指标具体得分情况见下表：</w:t>
      </w:r>
    </w:p>
    <w:p w14:paraId="43386EAC">
      <w:pPr>
        <w:overflowPunct w:val="0"/>
        <w:spacing w:before="156" w:beforeLines="50" w:after="156" w:afterLines="50"/>
        <w:jc w:val="left"/>
        <w:rPr>
          <w:rFonts w:cs="黑体" w:asciiTheme="minorEastAsia" w:hAnsiTheme="minorEastAsia"/>
          <w:sz w:val="28"/>
          <w:szCs w:val="24"/>
          <w:highlight w:val="yellow"/>
        </w:rPr>
      </w:pPr>
      <w:r>
        <w:rPr>
          <w:rFonts w:hint="eastAsia" w:asciiTheme="minorEastAsia" w:hAnsiTheme="minorEastAsia" w:cstheme="minorEastAsia"/>
          <w:kern w:val="0"/>
          <w:sz w:val="28"/>
          <w:szCs w:val="28"/>
          <w:highlight w:val="none"/>
        </w:rPr>
        <w:drawing>
          <wp:inline distT="0" distB="0" distL="114300" distR="114300">
            <wp:extent cx="5542280" cy="3360420"/>
            <wp:effectExtent l="4445" t="4445" r="15875" b="13335"/>
            <wp:docPr id="8" name="图表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44ADE490">
      <w:pPr>
        <w:pStyle w:val="10"/>
        <w:keepNext w:val="0"/>
        <w:keepLines w:val="0"/>
        <w:pageBreakBefore w:val="0"/>
        <w:widowControl w:val="0"/>
        <w:kinsoku/>
        <w:wordWrap/>
        <w:overflowPunct w:val="0"/>
        <w:topLinePunct w:val="0"/>
        <w:autoSpaceDE/>
        <w:autoSpaceDN/>
        <w:bidi w:val="0"/>
        <w:adjustRightInd/>
        <w:snapToGrid/>
        <w:spacing w:line="560" w:lineRule="exact"/>
        <w:ind w:firstLine="643" w:firstLineChars="200"/>
        <w:textAlignment w:val="auto"/>
        <w:outlineLvl w:val="1"/>
        <w:rPr>
          <w:rFonts w:ascii="楷体" w:hAnsi="楷体" w:eastAsia="楷体" w:cs="楷体"/>
          <w:b/>
          <w:bCs/>
          <w:highlight w:val="none"/>
        </w:rPr>
      </w:pPr>
      <w:bookmarkStart w:id="113" w:name="_Toc15715"/>
      <w:bookmarkStart w:id="114" w:name="_Toc23689"/>
      <w:bookmarkStart w:id="115" w:name="_Toc30072"/>
      <w:r>
        <w:rPr>
          <w:rFonts w:hint="eastAsia" w:ascii="楷体" w:hAnsi="楷体" w:eastAsia="楷体" w:cs="楷体"/>
          <w:b/>
          <w:bCs/>
          <w:highlight w:val="none"/>
        </w:rPr>
        <w:t>（一）项目决策情况</w:t>
      </w:r>
      <w:bookmarkEnd w:id="113"/>
      <w:bookmarkEnd w:id="114"/>
      <w:bookmarkEnd w:id="115"/>
    </w:p>
    <w:p w14:paraId="4A913475">
      <w:pPr>
        <w:pStyle w:val="27"/>
        <w:keepNext w:val="0"/>
        <w:keepLines w:val="0"/>
        <w:pageBreakBefore w:val="0"/>
        <w:widowControl w:val="0"/>
        <w:kinsoku/>
        <w:wordWrap/>
        <w:overflowPunct w:val="0"/>
        <w:topLinePunct w:val="0"/>
        <w:autoSpaceDE/>
        <w:autoSpaceDN/>
        <w:bidi w:val="0"/>
        <w:adjustRightInd/>
        <w:snapToGrid/>
        <w:spacing w:line="560" w:lineRule="exact"/>
        <w:ind w:firstLine="640"/>
        <w:textAlignment w:val="auto"/>
        <w:rPr>
          <w:rFonts w:ascii="仿宋_GB2312" w:hAnsi="仿宋_GB2312" w:eastAsia="仿宋_GB2312" w:cs="仿宋_GB2312"/>
          <w:color w:val="auto"/>
          <w:sz w:val="32"/>
          <w:szCs w:val="32"/>
          <w:highlight w:val="none"/>
        </w:rPr>
      </w:pPr>
      <w:r>
        <w:rPr>
          <w:rFonts w:hint="eastAsia" w:ascii="仿宋_GB2312" w:hAnsi="仿宋_GB2312" w:eastAsia="仿宋_GB2312" w:cs="仿宋_GB2312"/>
          <w:sz w:val="32"/>
          <w:szCs w:val="32"/>
          <w:highlight w:val="none"/>
        </w:rPr>
        <w:t>项目决策指标包括项目立项、绩效目标、资金投入三个二级指标，项目立项指标包括立项依据充分性、立项程序规范性两个三级指标，绩效目标指标包括绩效目标合理性、绩效指标明确性两个三级指标，资</w:t>
      </w:r>
      <w:r>
        <w:rPr>
          <w:rFonts w:hint="eastAsia" w:ascii="仿宋_GB2312" w:hAnsi="仿宋_GB2312" w:eastAsia="仿宋_GB2312" w:cs="仿宋_GB2312"/>
          <w:color w:val="auto"/>
          <w:sz w:val="32"/>
          <w:szCs w:val="32"/>
          <w:highlight w:val="none"/>
        </w:rPr>
        <w:t>金投入指标包括预算编制科学性、资金分配合理性两个三级指标。指标分值</w:t>
      </w:r>
      <w:r>
        <w:rPr>
          <w:rFonts w:hint="eastAsia" w:ascii="仿宋_GB2312" w:hAnsi="仿宋_GB2312" w:eastAsia="仿宋_GB2312" w:cs="仿宋_GB2312"/>
          <w:color w:val="auto"/>
          <w:sz w:val="32"/>
          <w:szCs w:val="32"/>
          <w:highlight w:val="none"/>
          <w:lang w:val="en-US" w:eastAsia="zh-CN"/>
        </w:rPr>
        <w:t>15</w:t>
      </w:r>
      <w:r>
        <w:rPr>
          <w:rFonts w:hint="eastAsia" w:ascii="仿宋_GB2312" w:hAnsi="仿宋_GB2312" w:eastAsia="仿宋_GB2312" w:cs="仿宋_GB2312"/>
          <w:color w:val="auto"/>
          <w:sz w:val="32"/>
          <w:szCs w:val="32"/>
          <w:highlight w:val="none"/>
        </w:rPr>
        <w:t>分，评价得分</w:t>
      </w:r>
      <w:r>
        <w:rPr>
          <w:rFonts w:hint="eastAsia" w:ascii="仿宋_GB2312" w:hAnsi="仿宋_GB2312" w:eastAsia="仿宋_GB2312" w:cs="仿宋_GB2312"/>
          <w:color w:val="auto"/>
          <w:sz w:val="32"/>
          <w:szCs w:val="32"/>
          <w:highlight w:val="none"/>
          <w:lang w:val="en-US" w:eastAsia="zh-CN"/>
        </w:rPr>
        <w:t>12.6</w:t>
      </w:r>
      <w:r>
        <w:rPr>
          <w:rFonts w:hint="eastAsia" w:ascii="仿宋_GB2312" w:hAnsi="仿宋_GB2312" w:eastAsia="仿宋_GB2312" w:cs="仿宋_GB2312"/>
          <w:color w:val="auto"/>
          <w:sz w:val="32"/>
          <w:szCs w:val="32"/>
          <w:highlight w:val="none"/>
        </w:rPr>
        <w:t>分，得分率</w:t>
      </w:r>
      <w:r>
        <w:rPr>
          <w:rFonts w:hint="eastAsia" w:ascii="仿宋_GB2312" w:hAnsi="仿宋_GB2312" w:eastAsia="仿宋_GB2312" w:cs="仿宋_GB2312"/>
          <w:color w:val="auto"/>
          <w:sz w:val="32"/>
          <w:szCs w:val="32"/>
          <w:highlight w:val="none"/>
          <w:lang w:val="en-US" w:eastAsia="zh-CN"/>
        </w:rPr>
        <w:t>84.00</w:t>
      </w:r>
      <w:r>
        <w:rPr>
          <w:rFonts w:hint="eastAsia" w:ascii="仿宋_GB2312" w:hAnsi="仿宋_GB2312" w:eastAsia="仿宋_GB2312" w:cs="仿宋_GB2312"/>
          <w:color w:val="auto"/>
          <w:sz w:val="32"/>
          <w:szCs w:val="32"/>
          <w:highlight w:val="none"/>
        </w:rPr>
        <w:t>%。</w:t>
      </w:r>
    </w:p>
    <w:tbl>
      <w:tblPr>
        <w:tblStyle w:val="21"/>
        <w:tblW w:w="89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0"/>
        <w:gridCol w:w="2198"/>
        <w:gridCol w:w="907"/>
        <w:gridCol w:w="1186"/>
        <w:gridCol w:w="1181"/>
        <w:gridCol w:w="907"/>
        <w:gridCol w:w="1304"/>
      </w:tblGrid>
      <w:tr w14:paraId="324DC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1240" w:type="dxa"/>
            <w:tcBorders>
              <w:top w:val="single" w:color="auto" w:sz="12" w:space="0"/>
              <w:left w:val="nil"/>
              <w:bottom w:val="dotted" w:color="auto" w:sz="4" w:space="0"/>
              <w:right w:val="dotted" w:color="auto" w:sz="4" w:space="0"/>
            </w:tcBorders>
            <w:shd w:val="clear" w:color="auto" w:fill="BDD6EE" w:themeFill="accent1" w:themeFillTint="66"/>
            <w:vAlign w:val="center"/>
          </w:tcPr>
          <w:p w14:paraId="4E029E67">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二级指标</w:t>
            </w:r>
          </w:p>
        </w:tc>
        <w:tc>
          <w:tcPr>
            <w:tcW w:w="2198" w:type="dxa"/>
            <w:tcBorders>
              <w:top w:val="single" w:color="auto" w:sz="12" w:space="0"/>
              <w:left w:val="dotted" w:color="auto" w:sz="4" w:space="0"/>
              <w:bottom w:val="dotted" w:color="auto" w:sz="4" w:space="0"/>
              <w:right w:val="dotted" w:color="auto" w:sz="4" w:space="0"/>
            </w:tcBorders>
            <w:shd w:val="clear" w:color="auto" w:fill="BDD6EE" w:themeFill="accent1" w:themeFillTint="66"/>
            <w:vAlign w:val="center"/>
          </w:tcPr>
          <w:p w14:paraId="4D04F22C">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三级指标</w:t>
            </w:r>
          </w:p>
        </w:tc>
        <w:tc>
          <w:tcPr>
            <w:tcW w:w="907" w:type="dxa"/>
            <w:tcBorders>
              <w:top w:val="single" w:color="auto" w:sz="12" w:space="0"/>
              <w:left w:val="dotted" w:color="auto" w:sz="4" w:space="0"/>
              <w:bottom w:val="dotted" w:color="auto" w:sz="4" w:space="0"/>
              <w:right w:val="dotted" w:color="auto" w:sz="4" w:space="0"/>
            </w:tcBorders>
            <w:shd w:val="clear" w:color="auto" w:fill="BDD6EE" w:themeFill="accent1" w:themeFillTint="66"/>
            <w:vAlign w:val="center"/>
          </w:tcPr>
          <w:p w14:paraId="43864094">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分值</w:t>
            </w:r>
          </w:p>
        </w:tc>
        <w:tc>
          <w:tcPr>
            <w:tcW w:w="1186" w:type="dxa"/>
            <w:tcBorders>
              <w:top w:val="single" w:color="auto" w:sz="12" w:space="0"/>
              <w:left w:val="dotted" w:color="auto" w:sz="4" w:space="0"/>
              <w:bottom w:val="dotted" w:color="auto" w:sz="4" w:space="0"/>
              <w:right w:val="dotted" w:color="auto" w:sz="4" w:space="0"/>
            </w:tcBorders>
            <w:shd w:val="clear" w:color="auto" w:fill="BDD6EE" w:themeFill="accent1" w:themeFillTint="66"/>
            <w:vAlign w:val="center"/>
          </w:tcPr>
          <w:p w14:paraId="4393DFDE">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目标值</w:t>
            </w:r>
          </w:p>
        </w:tc>
        <w:tc>
          <w:tcPr>
            <w:tcW w:w="1181" w:type="dxa"/>
            <w:tcBorders>
              <w:top w:val="single" w:color="auto" w:sz="12" w:space="0"/>
              <w:left w:val="dotted" w:color="auto" w:sz="4" w:space="0"/>
              <w:bottom w:val="dotted" w:color="auto" w:sz="4" w:space="0"/>
              <w:right w:val="dotted" w:color="auto" w:sz="4" w:space="0"/>
            </w:tcBorders>
            <w:shd w:val="clear" w:color="auto" w:fill="BDD6EE" w:themeFill="accent1" w:themeFillTint="66"/>
            <w:vAlign w:val="center"/>
          </w:tcPr>
          <w:p w14:paraId="523B5DAF">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业绩值</w:t>
            </w:r>
          </w:p>
        </w:tc>
        <w:tc>
          <w:tcPr>
            <w:tcW w:w="907" w:type="dxa"/>
            <w:tcBorders>
              <w:top w:val="single" w:color="auto" w:sz="12" w:space="0"/>
              <w:left w:val="dotted" w:color="auto" w:sz="4" w:space="0"/>
              <w:bottom w:val="dotted" w:color="auto" w:sz="4" w:space="0"/>
              <w:right w:val="dotted" w:color="auto" w:sz="4" w:space="0"/>
            </w:tcBorders>
            <w:shd w:val="clear" w:color="auto" w:fill="BDD6EE" w:themeFill="accent1" w:themeFillTint="66"/>
            <w:vAlign w:val="center"/>
          </w:tcPr>
          <w:p w14:paraId="0364089A">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得分</w:t>
            </w:r>
          </w:p>
        </w:tc>
        <w:tc>
          <w:tcPr>
            <w:tcW w:w="1304" w:type="dxa"/>
            <w:tcBorders>
              <w:top w:val="single" w:color="auto" w:sz="12" w:space="0"/>
              <w:left w:val="dotted" w:color="auto" w:sz="4" w:space="0"/>
              <w:bottom w:val="dotted" w:color="auto" w:sz="4" w:space="0"/>
              <w:right w:val="nil"/>
            </w:tcBorders>
            <w:shd w:val="clear" w:color="auto" w:fill="BDD6EE" w:themeFill="accent1" w:themeFillTint="66"/>
            <w:vAlign w:val="center"/>
          </w:tcPr>
          <w:p w14:paraId="4A176AA8">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得分率</w:t>
            </w:r>
          </w:p>
        </w:tc>
      </w:tr>
      <w:tr w14:paraId="566334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40" w:type="dxa"/>
            <w:vMerge w:val="restart"/>
            <w:tcBorders>
              <w:top w:val="dotted" w:color="auto" w:sz="4" w:space="0"/>
              <w:left w:val="nil"/>
              <w:bottom w:val="dotted" w:color="auto" w:sz="4" w:space="0"/>
              <w:right w:val="dotted" w:color="auto" w:sz="4" w:space="0"/>
            </w:tcBorders>
            <w:vAlign w:val="center"/>
          </w:tcPr>
          <w:p w14:paraId="4ED9A987">
            <w:pPr>
              <w:widowControl/>
              <w:jc w:val="center"/>
              <w:textAlignment w:val="center"/>
              <w:rPr>
                <w:rFonts w:hint="eastAsia" w:ascii="宋体" w:hAnsi="宋体" w:eastAsia="宋体" w:cs="宋体"/>
                <w:bCs/>
                <w:color w:val="auto"/>
                <w:sz w:val="20"/>
                <w:szCs w:val="20"/>
                <w:highlight w:val="none"/>
              </w:rPr>
            </w:pPr>
            <w:r>
              <w:rPr>
                <w:rFonts w:hint="eastAsia" w:ascii="宋体" w:hAnsi="宋体" w:eastAsia="宋体" w:cs="宋体"/>
                <w:color w:val="auto"/>
                <w:kern w:val="0"/>
                <w:sz w:val="20"/>
                <w:szCs w:val="20"/>
                <w:highlight w:val="none"/>
                <w:lang w:bidi="ar"/>
              </w:rPr>
              <w:t>项目立项</w:t>
            </w:r>
          </w:p>
        </w:tc>
        <w:tc>
          <w:tcPr>
            <w:tcW w:w="2198" w:type="dxa"/>
            <w:tcBorders>
              <w:top w:val="dotted" w:color="auto" w:sz="4" w:space="0"/>
              <w:left w:val="dotted" w:color="auto" w:sz="4" w:space="0"/>
              <w:bottom w:val="dotted" w:color="auto" w:sz="4" w:space="0"/>
              <w:right w:val="dotted" w:color="auto" w:sz="4" w:space="0"/>
            </w:tcBorders>
            <w:vAlign w:val="center"/>
          </w:tcPr>
          <w:p w14:paraId="778B5640">
            <w:pPr>
              <w:widowControl/>
              <w:jc w:val="center"/>
              <w:textAlignment w:val="center"/>
              <w:rPr>
                <w:rFonts w:hint="eastAsia" w:ascii="宋体" w:hAnsi="宋体" w:eastAsia="宋体" w:cs="宋体"/>
                <w:bCs/>
                <w:color w:val="auto"/>
                <w:sz w:val="20"/>
                <w:szCs w:val="20"/>
                <w:highlight w:val="none"/>
              </w:rPr>
            </w:pPr>
            <w:r>
              <w:rPr>
                <w:rFonts w:hint="eastAsia" w:ascii="宋体" w:hAnsi="宋体" w:eastAsia="宋体" w:cs="宋体"/>
                <w:color w:val="auto"/>
                <w:kern w:val="0"/>
                <w:sz w:val="20"/>
                <w:szCs w:val="20"/>
                <w:highlight w:val="none"/>
                <w:lang w:bidi="ar"/>
              </w:rPr>
              <w:t>立项依据充分性</w:t>
            </w:r>
          </w:p>
        </w:tc>
        <w:tc>
          <w:tcPr>
            <w:tcW w:w="907" w:type="dxa"/>
            <w:tcBorders>
              <w:top w:val="dotted" w:color="auto" w:sz="4" w:space="0"/>
              <w:left w:val="dotted" w:color="auto" w:sz="4" w:space="0"/>
              <w:bottom w:val="dotted" w:color="auto" w:sz="4" w:space="0"/>
              <w:right w:val="dotted" w:color="auto" w:sz="4" w:space="0"/>
            </w:tcBorders>
            <w:shd w:val="clear" w:color="auto" w:fill="auto"/>
            <w:vAlign w:val="center"/>
          </w:tcPr>
          <w:p w14:paraId="45B6763C">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u w:val="none"/>
                <w:lang w:val="en-US" w:eastAsia="zh-CN" w:bidi="ar"/>
              </w:rPr>
              <w:t>2.5</w:t>
            </w:r>
          </w:p>
        </w:tc>
        <w:tc>
          <w:tcPr>
            <w:tcW w:w="1186" w:type="dxa"/>
            <w:tcBorders>
              <w:top w:val="dotted" w:color="auto" w:sz="4" w:space="0"/>
              <w:left w:val="dotted" w:color="auto" w:sz="4" w:space="0"/>
              <w:bottom w:val="dotted" w:color="auto" w:sz="4" w:space="0"/>
              <w:right w:val="dotted" w:color="auto" w:sz="4" w:space="0"/>
            </w:tcBorders>
            <w:shd w:val="clear" w:color="auto" w:fill="auto"/>
            <w:vAlign w:val="center"/>
          </w:tcPr>
          <w:p w14:paraId="14096D51">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u w:val="none"/>
                <w:lang w:val="en-US" w:eastAsia="zh-CN" w:bidi="ar"/>
              </w:rPr>
              <w:t>充分</w:t>
            </w:r>
          </w:p>
        </w:tc>
        <w:tc>
          <w:tcPr>
            <w:tcW w:w="1181" w:type="dxa"/>
            <w:tcBorders>
              <w:top w:val="dotted" w:color="auto" w:sz="4" w:space="0"/>
              <w:left w:val="dotted" w:color="auto" w:sz="4" w:space="0"/>
              <w:bottom w:val="dotted" w:color="auto" w:sz="4" w:space="0"/>
              <w:right w:val="dotted" w:color="auto" w:sz="4" w:space="0"/>
            </w:tcBorders>
            <w:shd w:val="clear" w:color="auto" w:fill="auto"/>
            <w:vAlign w:val="center"/>
          </w:tcPr>
          <w:p w14:paraId="200E2489">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u w:val="none"/>
                <w:lang w:val="en-US" w:eastAsia="zh-CN" w:bidi="ar"/>
              </w:rPr>
              <w:t>充分</w:t>
            </w:r>
          </w:p>
        </w:tc>
        <w:tc>
          <w:tcPr>
            <w:tcW w:w="907" w:type="dxa"/>
            <w:tcBorders>
              <w:top w:val="dotted" w:color="auto" w:sz="4" w:space="0"/>
              <w:left w:val="dotted" w:color="auto" w:sz="4" w:space="0"/>
              <w:bottom w:val="dotted" w:color="auto" w:sz="4" w:space="0"/>
              <w:right w:val="dotted" w:color="auto" w:sz="4" w:space="0"/>
            </w:tcBorders>
            <w:shd w:val="clear" w:color="auto" w:fill="auto"/>
            <w:vAlign w:val="center"/>
          </w:tcPr>
          <w:p w14:paraId="121B2985">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u w:val="none"/>
                <w:lang w:val="en-US" w:eastAsia="zh-CN" w:bidi="ar"/>
              </w:rPr>
              <w:t>2.5</w:t>
            </w:r>
          </w:p>
        </w:tc>
        <w:tc>
          <w:tcPr>
            <w:tcW w:w="1304" w:type="dxa"/>
            <w:tcBorders>
              <w:top w:val="dotted" w:color="auto" w:sz="4" w:space="0"/>
              <w:left w:val="dotted" w:color="auto" w:sz="4" w:space="0"/>
              <w:bottom w:val="dotted" w:color="auto" w:sz="4" w:space="0"/>
              <w:right w:val="nil"/>
            </w:tcBorders>
            <w:shd w:val="clear" w:color="auto" w:fill="auto"/>
            <w:vAlign w:val="center"/>
          </w:tcPr>
          <w:p w14:paraId="3D4C8D7D">
            <w:pPr>
              <w:keepNext w:val="0"/>
              <w:keepLines w:val="0"/>
              <w:widowControl/>
              <w:suppressLineNumbers w:val="0"/>
              <w:jc w:val="center"/>
              <w:textAlignment w:val="center"/>
              <w:rPr>
                <w:rFonts w:hint="eastAsia" w:ascii="宋体" w:hAnsi="宋体" w:eastAsia="宋体" w:cs="宋体"/>
                <w:color w:val="auto"/>
                <w:kern w:val="0"/>
                <w:sz w:val="20"/>
                <w:szCs w:val="20"/>
                <w:highlight w:val="none"/>
              </w:rPr>
            </w:pPr>
            <w:r>
              <w:rPr>
                <w:rFonts w:hint="eastAsia" w:ascii="宋体" w:hAnsi="宋体" w:eastAsia="宋体" w:cs="宋体"/>
                <w:i w:val="0"/>
                <w:iCs w:val="0"/>
                <w:color w:val="auto"/>
                <w:kern w:val="0"/>
                <w:sz w:val="20"/>
                <w:szCs w:val="20"/>
                <w:u w:val="none"/>
                <w:lang w:val="en-US" w:eastAsia="zh-CN" w:bidi="ar"/>
              </w:rPr>
              <w:t>100.00%</w:t>
            </w:r>
          </w:p>
        </w:tc>
      </w:tr>
      <w:tr w14:paraId="101D9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40" w:type="dxa"/>
            <w:vMerge w:val="continue"/>
            <w:tcBorders>
              <w:top w:val="dotted" w:color="auto" w:sz="4" w:space="0"/>
              <w:left w:val="nil"/>
              <w:bottom w:val="dotted" w:color="auto" w:sz="4" w:space="0"/>
              <w:right w:val="dotted" w:color="auto" w:sz="4" w:space="0"/>
            </w:tcBorders>
            <w:vAlign w:val="center"/>
          </w:tcPr>
          <w:p w14:paraId="04868BF6">
            <w:pPr>
              <w:jc w:val="center"/>
              <w:rPr>
                <w:rFonts w:hint="eastAsia" w:ascii="宋体" w:hAnsi="宋体" w:eastAsia="宋体" w:cs="宋体"/>
                <w:bCs/>
                <w:color w:val="auto"/>
                <w:sz w:val="20"/>
                <w:szCs w:val="20"/>
                <w:highlight w:val="none"/>
              </w:rPr>
            </w:pPr>
          </w:p>
        </w:tc>
        <w:tc>
          <w:tcPr>
            <w:tcW w:w="2198" w:type="dxa"/>
            <w:tcBorders>
              <w:top w:val="dotted" w:color="auto" w:sz="4" w:space="0"/>
              <w:left w:val="dotted" w:color="auto" w:sz="4" w:space="0"/>
              <w:bottom w:val="dotted" w:color="auto" w:sz="4" w:space="0"/>
              <w:right w:val="dotted" w:color="auto" w:sz="4" w:space="0"/>
            </w:tcBorders>
            <w:vAlign w:val="center"/>
          </w:tcPr>
          <w:p w14:paraId="359C8322">
            <w:pPr>
              <w:widowControl/>
              <w:jc w:val="center"/>
              <w:textAlignment w:val="center"/>
              <w:rPr>
                <w:rFonts w:hint="eastAsia" w:ascii="宋体" w:hAnsi="宋体" w:eastAsia="宋体" w:cs="宋体"/>
                <w:bCs/>
                <w:color w:val="auto"/>
                <w:sz w:val="20"/>
                <w:szCs w:val="20"/>
                <w:highlight w:val="none"/>
              </w:rPr>
            </w:pPr>
            <w:r>
              <w:rPr>
                <w:rFonts w:hint="eastAsia" w:ascii="宋体" w:hAnsi="宋体" w:eastAsia="宋体" w:cs="宋体"/>
                <w:color w:val="auto"/>
                <w:kern w:val="0"/>
                <w:sz w:val="20"/>
                <w:szCs w:val="20"/>
                <w:highlight w:val="none"/>
                <w:lang w:bidi="ar"/>
              </w:rPr>
              <w:t>立项程序规范性</w:t>
            </w:r>
          </w:p>
        </w:tc>
        <w:tc>
          <w:tcPr>
            <w:tcW w:w="907" w:type="dxa"/>
            <w:tcBorders>
              <w:top w:val="dotted" w:color="auto" w:sz="4" w:space="0"/>
              <w:left w:val="dotted" w:color="auto" w:sz="4" w:space="0"/>
              <w:bottom w:val="dotted" w:color="auto" w:sz="4" w:space="0"/>
              <w:right w:val="dotted" w:color="auto" w:sz="4" w:space="0"/>
            </w:tcBorders>
            <w:shd w:val="clear" w:color="auto" w:fill="auto"/>
            <w:vAlign w:val="center"/>
          </w:tcPr>
          <w:p w14:paraId="73837A61">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u w:val="none"/>
                <w:lang w:val="en-US" w:eastAsia="zh-CN" w:bidi="ar"/>
              </w:rPr>
              <w:t>2.5</w:t>
            </w:r>
          </w:p>
        </w:tc>
        <w:tc>
          <w:tcPr>
            <w:tcW w:w="1186" w:type="dxa"/>
            <w:tcBorders>
              <w:top w:val="dotted" w:color="auto" w:sz="4" w:space="0"/>
              <w:left w:val="dotted" w:color="auto" w:sz="4" w:space="0"/>
              <w:bottom w:val="dotted" w:color="auto" w:sz="4" w:space="0"/>
              <w:right w:val="dotted" w:color="auto" w:sz="4" w:space="0"/>
            </w:tcBorders>
            <w:shd w:val="clear" w:color="auto" w:fill="auto"/>
            <w:vAlign w:val="center"/>
          </w:tcPr>
          <w:p w14:paraId="69CAB3DC">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u w:val="none"/>
                <w:lang w:val="en-US" w:eastAsia="zh-CN" w:bidi="ar"/>
              </w:rPr>
              <w:t>规范</w:t>
            </w:r>
          </w:p>
        </w:tc>
        <w:tc>
          <w:tcPr>
            <w:tcW w:w="1181" w:type="dxa"/>
            <w:tcBorders>
              <w:top w:val="dotted" w:color="auto" w:sz="4" w:space="0"/>
              <w:left w:val="dotted" w:color="auto" w:sz="4" w:space="0"/>
              <w:bottom w:val="dotted" w:color="auto" w:sz="4" w:space="0"/>
              <w:right w:val="dotted" w:color="auto" w:sz="4" w:space="0"/>
            </w:tcBorders>
            <w:shd w:val="clear" w:color="auto" w:fill="auto"/>
            <w:vAlign w:val="center"/>
          </w:tcPr>
          <w:p w14:paraId="5240E24D">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u w:val="none"/>
                <w:lang w:val="en-US" w:eastAsia="zh-CN" w:bidi="ar"/>
              </w:rPr>
              <w:t>规范</w:t>
            </w:r>
          </w:p>
        </w:tc>
        <w:tc>
          <w:tcPr>
            <w:tcW w:w="907" w:type="dxa"/>
            <w:tcBorders>
              <w:top w:val="dotted" w:color="auto" w:sz="4" w:space="0"/>
              <w:left w:val="dotted" w:color="auto" w:sz="4" w:space="0"/>
              <w:bottom w:val="dotted" w:color="auto" w:sz="4" w:space="0"/>
              <w:right w:val="dotted" w:color="auto" w:sz="4" w:space="0"/>
            </w:tcBorders>
            <w:shd w:val="clear" w:color="auto" w:fill="auto"/>
            <w:vAlign w:val="center"/>
          </w:tcPr>
          <w:p w14:paraId="59D13E26">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u w:val="none"/>
                <w:lang w:val="en-US" w:eastAsia="zh-CN" w:bidi="ar"/>
              </w:rPr>
              <w:t>2.5</w:t>
            </w:r>
          </w:p>
        </w:tc>
        <w:tc>
          <w:tcPr>
            <w:tcW w:w="1304" w:type="dxa"/>
            <w:tcBorders>
              <w:top w:val="dotted" w:color="auto" w:sz="4" w:space="0"/>
              <w:left w:val="dotted" w:color="auto" w:sz="4" w:space="0"/>
              <w:bottom w:val="dotted" w:color="auto" w:sz="4" w:space="0"/>
              <w:right w:val="nil"/>
            </w:tcBorders>
            <w:shd w:val="clear" w:color="auto" w:fill="auto"/>
            <w:vAlign w:val="center"/>
          </w:tcPr>
          <w:p w14:paraId="18E5D9DF">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auto"/>
                <w:kern w:val="0"/>
                <w:sz w:val="20"/>
                <w:szCs w:val="20"/>
                <w:u w:val="none"/>
                <w:lang w:val="en-US" w:eastAsia="zh-CN" w:bidi="ar"/>
              </w:rPr>
              <w:t>100.00%</w:t>
            </w:r>
          </w:p>
        </w:tc>
      </w:tr>
      <w:tr w14:paraId="35785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40" w:type="dxa"/>
            <w:vMerge w:val="restart"/>
            <w:tcBorders>
              <w:top w:val="dotted" w:color="auto" w:sz="4" w:space="0"/>
              <w:left w:val="nil"/>
              <w:bottom w:val="dotted" w:color="auto" w:sz="4" w:space="0"/>
              <w:right w:val="dotted" w:color="auto" w:sz="4" w:space="0"/>
            </w:tcBorders>
            <w:vAlign w:val="center"/>
          </w:tcPr>
          <w:p w14:paraId="028352FA">
            <w:pPr>
              <w:widowControl/>
              <w:jc w:val="center"/>
              <w:textAlignment w:val="center"/>
              <w:rPr>
                <w:rFonts w:hint="eastAsia" w:ascii="宋体" w:hAnsi="宋体" w:eastAsia="宋体" w:cs="宋体"/>
                <w:bCs/>
                <w:color w:val="auto"/>
                <w:sz w:val="20"/>
                <w:szCs w:val="20"/>
                <w:highlight w:val="none"/>
              </w:rPr>
            </w:pPr>
            <w:r>
              <w:rPr>
                <w:rFonts w:hint="eastAsia" w:ascii="宋体" w:hAnsi="宋体" w:eastAsia="宋体" w:cs="宋体"/>
                <w:color w:val="auto"/>
                <w:kern w:val="0"/>
                <w:sz w:val="20"/>
                <w:szCs w:val="20"/>
                <w:highlight w:val="none"/>
                <w:lang w:bidi="ar"/>
              </w:rPr>
              <w:t>绩效目标</w:t>
            </w:r>
          </w:p>
        </w:tc>
        <w:tc>
          <w:tcPr>
            <w:tcW w:w="2198" w:type="dxa"/>
            <w:tcBorders>
              <w:top w:val="dotted" w:color="auto" w:sz="4" w:space="0"/>
              <w:left w:val="dotted" w:color="auto" w:sz="4" w:space="0"/>
              <w:bottom w:val="dotted" w:color="auto" w:sz="4" w:space="0"/>
              <w:right w:val="dotted" w:color="auto" w:sz="4" w:space="0"/>
            </w:tcBorders>
            <w:vAlign w:val="center"/>
          </w:tcPr>
          <w:p w14:paraId="7CDA54F5">
            <w:pPr>
              <w:widowControl/>
              <w:jc w:val="center"/>
              <w:textAlignment w:val="center"/>
              <w:rPr>
                <w:rFonts w:hint="eastAsia" w:ascii="宋体" w:hAnsi="宋体" w:eastAsia="宋体" w:cs="宋体"/>
                <w:bCs/>
                <w:color w:val="auto"/>
                <w:sz w:val="20"/>
                <w:szCs w:val="20"/>
                <w:highlight w:val="none"/>
              </w:rPr>
            </w:pPr>
            <w:r>
              <w:rPr>
                <w:rFonts w:hint="eastAsia" w:ascii="宋体" w:hAnsi="宋体" w:eastAsia="宋体" w:cs="宋体"/>
                <w:color w:val="auto"/>
                <w:kern w:val="0"/>
                <w:sz w:val="20"/>
                <w:szCs w:val="20"/>
                <w:highlight w:val="none"/>
                <w:lang w:bidi="ar"/>
              </w:rPr>
              <w:t>绩效目标合理性</w:t>
            </w:r>
          </w:p>
        </w:tc>
        <w:tc>
          <w:tcPr>
            <w:tcW w:w="907" w:type="dxa"/>
            <w:tcBorders>
              <w:top w:val="dotted" w:color="auto" w:sz="4" w:space="0"/>
              <w:left w:val="dotted" w:color="auto" w:sz="4" w:space="0"/>
              <w:bottom w:val="dotted" w:color="auto" w:sz="4" w:space="0"/>
              <w:right w:val="dotted" w:color="auto" w:sz="4" w:space="0"/>
            </w:tcBorders>
            <w:shd w:val="clear" w:color="auto" w:fill="auto"/>
            <w:vAlign w:val="center"/>
          </w:tcPr>
          <w:p w14:paraId="2752029C">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u w:val="none"/>
                <w:lang w:val="en-US" w:eastAsia="zh-CN" w:bidi="ar"/>
              </w:rPr>
              <w:t>2.5</w:t>
            </w:r>
          </w:p>
        </w:tc>
        <w:tc>
          <w:tcPr>
            <w:tcW w:w="1186" w:type="dxa"/>
            <w:tcBorders>
              <w:top w:val="dotted" w:color="auto" w:sz="4" w:space="0"/>
              <w:left w:val="dotted" w:color="auto" w:sz="4" w:space="0"/>
              <w:bottom w:val="dotted" w:color="auto" w:sz="4" w:space="0"/>
              <w:right w:val="dotted" w:color="auto" w:sz="4" w:space="0"/>
            </w:tcBorders>
            <w:shd w:val="clear" w:color="auto" w:fill="auto"/>
            <w:vAlign w:val="center"/>
          </w:tcPr>
          <w:p w14:paraId="6C709E3C">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u w:val="none"/>
                <w:lang w:val="en-US" w:eastAsia="zh-CN" w:bidi="ar"/>
              </w:rPr>
              <w:t>合理</w:t>
            </w:r>
          </w:p>
        </w:tc>
        <w:tc>
          <w:tcPr>
            <w:tcW w:w="1181" w:type="dxa"/>
            <w:tcBorders>
              <w:top w:val="dotted" w:color="auto" w:sz="4" w:space="0"/>
              <w:left w:val="dotted" w:color="auto" w:sz="4" w:space="0"/>
              <w:bottom w:val="dotted" w:color="auto" w:sz="4" w:space="0"/>
              <w:right w:val="dotted" w:color="auto" w:sz="4" w:space="0"/>
            </w:tcBorders>
            <w:shd w:val="clear" w:color="auto" w:fill="auto"/>
            <w:vAlign w:val="center"/>
          </w:tcPr>
          <w:p w14:paraId="56699D96">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u w:val="none"/>
                <w:lang w:val="en-US" w:eastAsia="zh-CN" w:bidi="ar"/>
              </w:rPr>
              <w:t>较合理</w:t>
            </w:r>
          </w:p>
        </w:tc>
        <w:tc>
          <w:tcPr>
            <w:tcW w:w="907" w:type="dxa"/>
            <w:tcBorders>
              <w:top w:val="dotted" w:color="auto" w:sz="4" w:space="0"/>
              <w:left w:val="dotted" w:color="auto" w:sz="4" w:space="0"/>
              <w:bottom w:val="dotted" w:color="auto" w:sz="4" w:space="0"/>
              <w:right w:val="dotted" w:color="auto" w:sz="4" w:space="0"/>
            </w:tcBorders>
            <w:shd w:val="clear" w:color="auto" w:fill="auto"/>
            <w:vAlign w:val="center"/>
          </w:tcPr>
          <w:p w14:paraId="00909431">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u w:val="none"/>
                <w:lang w:val="en-US" w:eastAsia="zh-CN" w:bidi="ar"/>
              </w:rPr>
              <w:t>0.9</w:t>
            </w:r>
          </w:p>
        </w:tc>
        <w:tc>
          <w:tcPr>
            <w:tcW w:w="1304" w:type="dxa"/>
            <w:tcBorders>
              <w:top w:val="dotted" w:color="auto" w:sz="4" w:space="0"/>
              <w:left w:val="dotted" w:color="auto" w:sz="4" w:space="0"/>
              <w:bottom w:val="dotted" w:color="auto" w:sz="4" w:space="0"/>
              <w:right w:val="nil"/>
            </w:tcBorders>
            <w:shd w:val="clear" w:color="auto" w:fill="auto"/>
            <w:vAlign w:val="center"/>
          </w:tcPr>
          <w:p w14:paraId="1E9A0FD9">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auto"/>
                <w:kern w:val="0"/>
                <w:sz w:val="20"/>
                <w:szCs w:val="20"/>
                <w:u w:val="none"/>
                <w:lang w:val="en-US" w:eastAsia="zh-CN" w:bidi="ar"/>
              </w:rPr>
              <w:t>36.00%</w:t>
            </w:r>
          </w:p>
        </w:tc>
      </w:tr>
      <w:tr w14:paraId="322600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40" w:type="dxa"/>
            <w:vMerge w:val="continue"/>
            <w:tcBorders>
              <w:top w:val="dotted" w:color="auto" w:sz="4" w:space="0"/>
              <w:left w:val="nil"/>
              <w:bottom w:val="dotted" w:color="auto" w:sz="4" w:space="0"/>
              <w:right w:val="dotted" w:color="auto" w:sz="4" w:space="0"/>
            </w:tcBorders>
            <w:vAlign w:val="center"/>
          </w:tcPr>
          <w:p w14:paraId="0A4B43DD">
            <w:pPr>
              <w:jc w:val="center"/>
              <w:rPr>
                <w:rFonts w:hint="eastAsia" w:ascii="宋体" w:hAnsi="宋体" w:eastAsia="宋体" w:cs="宋体"/>
                <w:bCs/>
                <w:color w:val="auto"/>
                <w:sz w:val="20"/>
                <w:szCs w:val="20"/>
                <w:highlight w:val="none"/>
              </w:rPr>
            </w:pPr>
          </w:p>
        </w:tc>
        <w:tc>
          <w:tcPr>
            <w:tcW w:w="2198" w:type="dxa"/>
            <w:tcBorders>
              <w:top w:val="dotted" w:color="auto" w:sz="4" w:space="0"/>
              <w:left w:val="dotted" w:color="auto" w:sz="4" w:space="0"/>
              <w:bottom w:val="dotted" w:color="auto" w:sz="4" w:space="0"/>
              <w:right w:val="dotted" w:color="auto" w:sz="4" w:space="0"/>
            </w:tcBorders>
            <w:vAlign w:val="center"/>
          </w:tcPr>
          <w:p w14:paraId="0840CCF1">
            <w:pPr>
              <w:widowControl/>
              <w:jc w:val="center"/>
              <w:textAlignment w:val="center"/>
              <w:rPr>
                <w:rFonts w:hint="eastAsia" w:ascii="宋体" w:hAnsi="宋体" w:eastAsia="宋体" w:cs="宋体"/>
                <w:bCs/>
                <w:color w:val="auto"/>
                <w:sz w:val="20"/>
                <w:szCs w:val="20"/>
                <w:highlight w:val="none"/>
              </w:rPr>
            </w:pPr>
            <w:r>
              <w:rPr>
                <w:rFonts w:hint="eastAsia" w:ascii="宋体" w:hAnsi="宋体" w:eastAsia="宋体" w:cs="宋体"/>
                <w:color w:val="auto"/>
                <w:kern w:val="0"/>
                <w:sz w:val="20"/>
                <w:szCs w:val="20"/>
                <w:highlight w:val="none"/>
                <w:lang w:bidi="ar"/>
              </w:rPr>
              <w:t>绩效指标明确性</w:t>
            </w:r>
          </w:p>
        </w:tc>
        <w:tc>
          <w:tcPr>
            <w:tcW w:w="907" w:type="dxa"/>
            <w:tcBorders>
              <w:top w:val="dotted" w:color="auto" w:sz="4" w:space="0"/>
              <w:left w:val="dotted" w:color="auto" w:sz="4" w:space="0"/>
              <w:bottom w:val="dotted" w:color="auto" w:sz="4" w:space="0"/>
              <w:right w:val="dotted" w:color="auto" w:sz="4" w:space="0"/>
            </w:tcBorders>
            <w:shd w:val="clear" w:color="auto" w:fill="auto"/>
            <w:vAlign w:val="center"/>
          </w:tcPr>
          <w:p w14:paraId="0DD7CD2A">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u w:val="none"/>
                <w:lang w:val="en-US" w:eastAsia="zh-CN" w:bidi="ar"/>
              </w:rPr>
              <w:t>2.5</w:t>
            </w:r>
          </w:p>
        </w:tc>
        <w:tc>
          <w:tcPr>
            <w:tcW w:w="1186" w:type="dxa"/>
            <w:tcBorders>
              <w:top w:val="dotted" w:color="auto" w:sz="4" w:space="0"/>
              <w:left w:val="dotted" w:color="auto" w:sz="4" w:space="0"/>
              <w:bottom w:val="dotted" w:color="auto" w:sz="4" w:space="0"/>
              <w:right w:val="dotted" w:color="auto" w:sz="4" w:space="0"/>
            </w:tcBorders>
            <w:shd w:val="clear" w:color="auto" w:fill="auto"/>
            <w:vAlign w:val="center"/>
          </w:tcPr>
          <w:p w14:paraId="75C65980">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u w:val="none"/>
                <w:lang w:val="en-US" w:eastAsia="zh-CN" w:bidi="ar"/>
              </w:rPr>
              <w:t>明确</w:t>
            </w:r>
          </w:p>
        </w:tc>
        <w:tc>
          <w:tcPr>
            <w:tcW w:w="1181" w:type="dxa"/>
            <w:tcBorders>
              <w:top w:val="dotted" w:color="auto" w:sz="4" w:space="0"/>
              <w:left w:val="dotted" w:color="auto" w:sz="4" w:space="0"/>
              <w:bottom w:val="dotted" w:color="auto" w:sz="4" w:space="0"/>
              <w:right w:val="dotted" w:color="auto" w:sz="4" w:space="0"/>
            </w:tcBorders>
            <w:shd w:val="clear" w:color="auto" w:fill="auto"/>
            <w:vAlign w:val="center"/>
          </w:tcPr>
          <w:p w14:paraId="2803514E">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u w:val="none"/>
                <w:lang w:val="en-US" w:eastAsia="zh-CN" w:bidi="ar"/>
              </w:rPr>
              <w:t>较明确</w:t>
            </w:r>
          </w:p>
        </w:tc>
        <w:tc>
          <w:tcPr>
            <w:tcW w:w="907" w:type="dxa"/>
            <w:tcBorders>
              <w:top w:val="dotted" w:color="auto" w:sz="4" w:space="0"/>
              <w:left w:val="dotted" w:color="auto" w:sz="4" w:space="0"/>
              <w:bottom w:val="dotted" w:color="auto" w:sz="4" w:space="0"/>
              <w:right w:val="dotted" w:color="auto" w:sz="4" w:space="0"/>
            </w:tcBorders>
            <w:shd w:val="clear" w:color="auto" w:fill="auto"/>
            <w:vAlign w:val="center"/>
          </w:tcPr>
          <w:p w14:paraId="54FE45CE">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u w:val="none"/>
                <w:lang w:val="en-US" w:eastAsia="zh-CN" w:bidi="ar"/>
              </w:rPr>
              <w:t>1.7</w:t>
            </w:r>
          </w:p>
        </w:tc>
        <w:tc>
          <w:tcPr>
            <w:tcW w:w="1304" w:type="dxa"/>
            <w:tcBorders>
              <w:top w:val="dotted" w:color="auto" w:sz="4" w:space="0"/>
              <w:left w:val="dotted" w:color="auto" w:sz="4" w:space="0"/>
              <w:bottom w:val="dotted" w:color="auto" w:sz="4" w:space="0"/>
              <w:right w:val="nil"/>
            </w:tcBorders>
            <w:shd w:val="clear" w:color="auto" w:fill="auto"/>
            <w:vAlign w:val="center"/>
          </w:tcPr>
          <w:p w14:paraId="2263E115">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auto"/>
                <w:kern w:val="0"/>
                <w:sz w:val="20"/>
                <w:szCs w:val="20"/>
                <w:u w:val="none"/>
                <w:lang w:val="en-US" w:eastAsia="zh-CN" w:bidi="ar"/>
              </w:rPr>
              <w:t>68.00%</w:t>
            </w:r>
          </w:p>
        </w:tc>
      </w:tr>
      <w:tr w14:paraId="423856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40" w:type="dxa"/>
            <w:vMerge w:val="restart"/>
            <w:tcBorders>
              <w:top w:val="dotted" w:color="auto" w:sz="4" w:space="0"/>
              <w:left w:val="nil"/>
              <w:bottom w:val="dotted" w:color="auto" w:sz="4" w:space="0"/>
              <w:right w:val="dotted" w:color="auto" w:sz="4" w:space="0"/>
            </w:tcBorders>
            <w:vAlign w:val="center"/>
          </w:tcPr>
          <w:p w14:paraId="0E8C6D76">
            <w:pPr>
              <w:widowControl/>
              <w:jc w:val="center"/>
              <w:textAlignment w:val="center"/>
              <w:rPr>
                <w:rFonts w:hint="eastAsia" w:ascii="宋体" w:hAnsi="宋体" w:eastAsia="宋体" w:cs="宋体"/>
                <w:bCs/>
                <w:color w:val="auto"/>
                <w:sz w:val="20"/>
                <w:szCs w:val="20"/>
                <w:highlight w:val="none"/>
              </w:rPr>
            </w:pPr>
            <w:r>
              <w:rPr>
                <w:rFonts w:hint="eastAsia" w:ascii="宋体" w:hAnsi="宋体" w:eastAsia="宋体" w:cs="宋体"/>
                <w:color w:val="auto"/>
                <w:kern w:val="0"/>
                <w:sz w:val="20"/>
                <w:szCs w:val="20"/>
                <w:highlight w:val="none"/>
                <w:lang w:bidi="ar"/>
              </w:rPr>
              <w:t>资金投入</w:t>
            </w:r>
          </w:p>
        </w:tc>
        <w:tc>
          <w:tcPr>
            <w:tcW w:w="2198" w:type="dxa"/>
            <w:tcBorders>
              <w:top w:val="dotted" w:color="auto" w:sz="4" w:space="0"/>
              <w:left w:val="dotted" w:color="auto" w:sz="4" w:space="0"/>
              <w:bottom w:val="dotted" w:color="auto" w:sz="4" w:space="0"/>
              <w:right w:val="dotted" w:color="auto" w:sz="4" w:space="0"/>
            </w:tcBorders>
            <w:vAlign w:val="center"/>
          </w:tcPr>
          <w:p w14:paraId="7574E78F">
            <w:pPr>
              <w:widowControl/>
              <w:jc w:val="center"/>
              <w:textAlignment w:val="center"/>
              <w:rPr>
                <w:rFonts w:hint="eastAsia" w:ascii="宋体" w:hAnsi="宋体" w:eastAsia="宋体" w:cs="宋体"/>
                <w:bCs/>
                <w:color w:val="auto"/>
                <w:sz w:val="20"/>
                <w:szCs w:val="20"/>
                <w:highlight w:val="none"/>
              </w:rPr>
            </w:pPr>
            <w:r>
              <w:rPr>
                <w:rFonts w:hint="eastAsia" w:ascii="宋体" w:hAnsi="宋体" w:eastAsia="宋体" w:cs="宋体"/>
                <w:color w:val="auto"/>
                <w:kern w:val="0"/>
                <w:sz w:val="20"/>
                <w:szCs w:val="20"/>
                <w:highlight w:val="none"/>
                <w:lang w:bidi="ar"/>
              </w:rPr>
              <w:t>预算编制科学性</w:t>
            </w:r>
          </w:p>
        </w:tc>
        <w:tc>
          <w:tcPr>
            <w:tcW w:w="907" w:type="dxa"/>
            <w:tcBorders>
              <w:top w:val="dotted" w:color="auto" w:sz="4" w:space="0"/>
              <w:left w:val="dotted" w:color="auto" w:sz="4" w:space="0"/>
              <w:bottom w:val="dotted" w:color="auto" w:sz="4" w:space="0"/>
              <w:right w:val="dotted" w:color="auto" w:sz="4" w:space="0"/>
            </w:tcBorders>
            <w:shd w:val="clear" w:color="auto" w:fill="auto"/>
            <w:vAlign w:val="center"/>
          </w:tcPr>
          <w:p w14:paraId="5C5B5A7A">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u w:val="none"/>
                <w:lang w:val="en-US" w:eastAsia="zh-CN" w:bidi="ar"/>
              </w:rPr>
              <w:t>2.5</w:t>
            </w:r>
          </w:p>
        </w:tc>
        <w:tc>
          <w:tcPr>
            <w:tcW w:w="1186" w:type="dxa"/>
            <w:tcBorders>
              <w:top w:val="dotted" w:color="auto" w:sz="4" w:space="0"/>
              <w:left w:val="dotted" w:color="auto" w:sz="4" w:space="0"/>
              <w:bottom w:val="dotted" w:color="auto" w:sz="4" w:space="0"/>
              <w:right w:val="dotted" w:color="auto" w:sz="4" w:space="0"/>
            </w:tcBorders>
            <w:shd w:val="clear" w:color="auto" w:fill="auto"/>
            <w:vAlign w:val="center"/>
          </w:tcPr>
          <w:p w14:paraId="2E7E1989">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u w:val="none"/>
                <w:lang w:val="en-US" w:eastAsia="zh-CN" w:bidi="ar"/>
              </w:rPr>
              <w:t>科学</w:t>
            </w:r>
          </w:p>
        </w:tc>
        <w:tc>
          <w:tcPr>
            <w:tcW w:w="1181" w:type="dxa"/>
            <w:tcBorders>
              <w:top w:val="dotted" w:color="auto" w:sz="4" w:space="0"/>
              <w:left w:val="dotted" w:color="auto" w:sz="4" w:space="0"/>
              <w:bottom w:val="dotted" w:color="auto" w:sz="4" w:space="0"/>
              <w:right w:val="dotted" w:color="auto" w:sz="4" w:space="0"/>
            </w:tcBorders>
            <w:shd w:val="clear" w:color="auto" w:fill="auto"/>
            <w:vAlign w:val="center"/>
          </w:tcPr>
          <w:p w14:paraId="6B8A5676">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u w:val="none"/>
                <w:lang w:val="en-US" w:eastAsia="zh-CN" w:bidi="ar"/>
              </w:rPr>
              <w:t>科学</w:t>
            </w:r>
          </w:p>
        </w:tc>
        <w:tc>
          <w:tcPr>
            <w:tcW w:w="907" w:type="dxa"/>
            <w:tcBorders>
              <w:top w:val="dotted" w:color="auto" w:sz="4" w:space="0"/>
              <w:left w:val="dotted" w:color="auto" w:sz="4" w:space="0"/>
              <w:bottom w:val="dotted" w:color="auto" w:sz="4" w:space="0"/>
              <w:right w:val="dotted" w:color="auto" w:sz="4" w:space="0"/>
            </w:tcBorders>
            <w:shd w:val="clear" w:color="auto" w:fill="auto"/>
            <w:vAlign w:val="center"/>
          </w:tcPr>
          <w:p w14:paraId="37C07B65">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u w:val="none"/>
                <w:lang w:val="en-US" w:eastAsia="zh-CN" w:bidi="ar"/>
              </w:rPr>
              <w:t>2.5</w:t>
            </w:r>
          </w:p>
        </w:tc>
        <w:tc>
          <w:tcPr>
            <w:tcW w:w="1304" w:type="dxa"/>
            <w:tcBorders>
              <w:top w:val="dotted" w:color="auto" w:sz="4" w:space="0"/>
              <w:left w:val="dotted" w:color="auto" w:sz="4" w:space="0"/>
              <w:bottom w:val="dotted" w:color="auto" w:sz="4" w:space="0"/>
              <w:right w:val="nil"/>
            </w:tcBorders>
            <w:shd w:val="clear" w:color="auto" w:fill="auto"/>
            <w:vAlign w:val="center"/>
          </w:tcPr>
          <w:p w14:paraId="520E2374">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auto"/>
                <w:kern w:val="0"/>
                <w:sz w:val="20"/>
                <w:szCs w:val="20"/>
                <w:u w:val="none"/>
                <w:lang w:val="en-US" w:eastAsia="zh-CN" w:bidi="ar"/>
              </w:rPr>
              <w:t>100.00%</w:t>
            </w:r>
          </w:p>
        </w:tc>
      </w:tr>
      <w:tr w14:paraId="230654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40" w:type="dxa"/>
            <w:vMerge w:val="continue"/>
            <w:tcBorders>
              <w:top w:val="dotted" w:color="auto" w:sz="4" w:space="0"/>
              <w:left w:val="nil"/>
              <w:bottom w:val="dotted" w:color="auto" w:sz="4" w:space="0"/>
              <w:right w:val="dotted" w:color="auto" w:sz="4" w:space="0"/>
            </w:tcBorders>
            <w:vAlign w:val="center"/>
          </w:tcPr>
          <w:p w14:paraId="7A0297C7">
            <w:pPr>
              <w:jc w:val="center"/>
              <w:rPr>
                <w:rFonts w:hint="eastAsia" w:ascii="宋体" w:hAnsi="宋体" w:eastAsia="宋体" w:cs="宋体"/>
                <w:bCs/>
                <w:color w:val="auto"/>
                <w:sz w:val="20"/>
                <w:szCs w:val="20"/>
                <w:highlight w:val="none"/>
              </w:rPr>
            </w:pPr>
          </w:p>
        </w:tc>
        <w:tc>
          <w:tcPr>
            <w:tcW w:w="2198" w:type="dxa"/>
            <w:tcBorders>
              <w:top w:val="dotted" w:color="auto" w:sz="4" w:space="0"/>
              <w:left w:val="dotted" w:color="auto" w:sz="4" w:space="0"/>
              <w:bottom w:val="dotted" w:color="auto" w:sz="4" w:space="0"/>
              <w:right w:val="dotted" w:color="auto" w:sz="4" w:space="0"/>
            </w:tcBorders>
            <w:vAlign w:val="center"/>
          </w:tcPr>
          <w:p w14:paraId="5DDE4E38">
            <w:pPr>
              <w:widowControl/>
              <w:jc w:val="center"/>
              <w:textAlignment w:val="center"/>
              <w:rPr>
                <w:rFonts w:hint="eastAsia" w:ascii="宋体" w:hAnsi="宋体" w:eastAsia="宋体" w:cs="宋体"/>
                <w:bCs/>
                <w:color w:val="auto"/>
                <w:sz w:val="20"/>
                <w:szCs w:val="20"/>
                <w:highlight w:val="none"/>
              </w:rPr>
            </w:pPr>
            <w:r>
              <w:rPr>
                <w:rFonts w:hint="eastAsia" w:ascii="宋体" w:hAnsi="宋体" w:eastAsia="宋体" w:cs="宋体"/>
                <w:color w:val="auto"/>
                <w:kern w:val="0"/>
                <w:sz w:val="20"/>
                <w:szCs w:val="20"/>
                <w:highlight w:val="none"/>
                <w:lang w:bidi="ar"/>
              </w:rPr>
              <w:t>资金分配合理性</w:t>
            </w:r>
          </w:p>
        </w:tc>
        <w:tc>
          <w:tcPr>
            <w:tcW w:w="907" w:type="dxa"/>
            <w:tcBorders>
              <w:top w:val="dotted" w:color="auto" w:sz="4" w:space="0"/>
              <w:left w:val="dotted" w:color="auto" w:sz="4" w:space="0"/>
              <w:bottom w:val="dotted" w:color="auto" w:sz="4" w:space="0"/>
              <w:right w:val="dotted" w:color="auto" w:sz="4" w:space="0"/>
            </w:tcBorders>
            <w:shd w:val="clear" w:color="auto" w:fill="auto"/>
            <w:vAlign w:val="center"/>
          </w:tcPr>
          <w:p w14:paraId="3EBD1952">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u w:val="none"/>
                <w:lang w:val="en-US" w:eastAsia="zh-CN" w:bidi="ar"/>
              </w:rPr>
              <w:t>2.5</w:t>
            </w:r>
          </w:p>
        </w:tc>
        <w:tc>
          <w:tcPr>
            <w:tcW w:w="1186" w:type="dxa"/>
            <w:tcBorders>
              <w:top w:val="dotted" w:color="auto" w:sz="4" w:space="0"/>
              <w:left w:val="dotted" w:color="auto" w:sz="4" w:space="0"/>
              <w:bottom w:val="dotted" w:color="auto" w:sz="4" w:space="0"/>
              <w:right w:val="dotted" w:color="auto" w:sz="4" w:space="0"/>
            </w:tcBorders>
            <w:shd w:val="clear" w:color="auto" w:fill="auto"/>
            <w:vAlign w:val="center"/>
          </w:tcPr>
          <w:p w14:paraId="1500408D">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u w:val="none"/>
                <w:lang w:val="en-US" w:eastAsia="zh-CN" w:bidi="ar"/>
              </w:rPr>
              <w:t>合理</w:t>
            </w:r>
          </w:p>
        </w:tc>
        <w:tc>
          <w:tcPr>
            <w:tcW w:w="1181" w:type="dxa"/>
            <w:tcBorders>
              <w:top w:val="dotted" w:color="auto" w:sz="4" w:space="0"/>
              <w:left w:val="dotted" w:color="auto" w:sz="4" w:space="0"/>
              <w:bottom w:val="dotted" w:color="auto" w:sz="4" w:space="0"/>
              <w:right w:val="dotted" w:color="auto" w:sz="4" w:space="0"/>
            </w:tcBorders>
            <w:shd w:val="clear" w:color="auto" w:fill="auto"/>
            <w:vAlign w:val="center"/>
          </w:tcPr>
          <w:p w14:paraId="2CAD826C">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u w:val="none"/>
                <w:lang w:val="en-US" w:eastAsia="zh-CN" w:bidi="ar"/>
              </w:rPr>
              <w:t>合理</w:t>
            </w:r>
          </w:p>
        </w:tc>
        <w:tc>
          <w:tcPr>
            <w:tcW w:w="907" w:type="dxa"/>
            <w:tcBorders>
              <w:top w:val="dotted" w:color="auto" w:sz="4" w:space="0"/>
              <w:left w:val="dotted" w:color="auto" w:sz="4" w:space="0"/>
              <w:bottom w:val="dotted" w:color="auto" w:sz="4" w:space="0"/>
              <w:right w:val="dotted" w:color="auto" w:sz="4" w:space="0"/>
            </w:tcBorders>
            <w:shd w:val="clear" w:color="auto" w:fill="auto"/>
            <w:vAlign w:val="center"/>
          </w:tcPr>
          <w:p w14:paraId="51BB84DA">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u w:val="none"/>
                <w:lang w:val="en-US" w:eastAsia="zh-CN" w:bidi="ar"/>
              </w:rPr>
              <w:t>2.5</w:t>
            </w:r>
          </w:p>
        </w:tc>
        <w:tc>
          <w:tcPr>
            <w:tcW w:w="1304" w:type="dxa"/>
            <w:tcBorders>
              <w:top w:val="dotted" w:color="auto" w:sz="4" w:space="0"/>
              <w:left w:val="dotted" w:color="auto" w:sz="4" w:space="0"/>
              <w:bottom w:val="dotted" w:color="auto" w:sz="4" w:space="0"/>
              <w:right w:val="nil"/>
            </w:tcBorders>
            <w:shd w:val="clear" w:color="auto" w:fill="auto"/>
            <w:vAlign w:val="center"/>
          </w:tcPr>
          <w:p w14:paraId="3CA854F0">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auto"/>
                <w:kern w:val="0"/>
                <w:sz w:val="20"/>
                <w:szCs w:val="20"/>
                <w:u w:val="none"/>
                <w:lang w:val="en-US" w:eastAsia="zh-CN" w:bidi="ar"/>
              </w:rPr>
              <w:t>100.00%</w:t>
            </w:r>
          </w:p>
        </w:tc>
      </w:tr>
      <w:tr w14:paraId="213195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438" w:type="dxa"/>
            <w:gridSpan w:val="2"/>
            <w:tcBorders>
              <w:top w:val="dotted" w:color="auto" w:sz="4" w:space="0"/>
              <w:left w:val="nil"/>
              <w:bottom w:val="single" w:color="auto" w:sz="12" w:space="0"/>
              <w:right w:val="dotted" w:color="auto" w:sz="4" w:space="0"/>
            </w:tcBorders>
            <w:shd w:val="clear" w:color="auto" w:fill="BDD6EE" w:themeFill="accent1" w:themeFillTint="66"/>
            <w:vAlign w:val="center"/>
          </w:tcPr>
          <w:p w14:paraId="731DC88E">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合计</w:t>
            </w:r>
          </w:p>
        </w:tc>
        <w:tc>
          <w:tcPr>
            <w:tcW w:w="907" w:type="dxa"/>
            <w:tcBorders>
              <w:top w:val="dotted" w:color="auto" w:sz="4" w:space="0"/>
              <w:left w:val="dotted" w:color="auto" w:sz="4" w:space="0"/>
              <w:bottom w:val="single" w:color="auto" w:sz="12" w:space="0"/>
              <w:right w:val="dotted" w:color="auto" w:sz="4" w:space="0"/>
            </w:tcBorders>
            <w:shd w:val="clear" w:color="auto" w:fill="BDD6EE" w:themeFill="accent1" w:themeFillTint="66"/>
            <w:vAlign w:val="center"/>
          </w:tcPr>
          <w:p w14:paraId="50171BBD">
            <w:pPr>
              <w:widowControl/>
              <w:jc w:val="center"/>
              <w:textAlignment w:val="center"/>
              <w:rPr>
                <w:rFonts w:hint="default" w:ascii="宋体" w:hAnsi="宋体" w:eastAsia="宋体" w:cs="宋体"/>
                <w:b/>
                <w:bCs/>
                <w:color w:val="auto"/>
                <w:kern w:val="0"/>
                <w:sz w:val="20"/>
                <w:szCs w:val="20"/>
                <w:highlight w:val="none"/>
                <w:lang w:val="en-US" w:eastAsia="zh-CN" w:bidi="ar"/>
              </w:rPr>
            </w:pPr>
            <w:r>
              <w:rPr>
                <w:rFonts w:hint="eastAsia" w:ascii="宋体" w:hAnsi="宋体" w:eastAsia="宋体" w:cs="宋体"/>
                <w:b/>
                <w:bCs/>
                <w:color w:val="auto"/>
                <w:kern w:val="0"/>
                <w:sz w:val="20"/>
                <w:szCs w:val="20"/>
                <w:highlight w:val="none"/>
                <w:lang w:val="en-US" w:eastAsia="zh-CN" w:bidi="ar"/>
              </w:rPr>
              <w:t>15</w:t>
            </w:r>
          </w:p>
        </w:tc>
        <w:tc>
          <w:tcPr>
            <w:tcW w:w="1186" w:type="dxa"/>
            <w:tcBorders>
              <w:top w:val="dotted" w:color="auto" w:sz="4" w:space="0"/>
              <w:left w:val="dotted" w:color="auto" w:sz="4" w:space="0"/>
              <w:bottom w:val="single" w:color="auto" w:sz="12" w:space="0"/>
              <w:right w:val="dotted" w:color="auto" w:sz="4" w:space="0"/>
            </w:tcBorders>
            <w:shd w:val="clear" w:color="auto" w:fill="BDD6EE" w:themeFill="accent1" w:themeFillTint="66"/>
            <w:vAlign w:val="center"/>
          </w:tcPr>
          <w:p w14:paraId="457D3600">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w:t>
            </w:r>
          </w:p>
        </w:tc>
        <w:tc>
          <w:tcPr>
            <w:tcW w:w="1181" w:type="dxa"/>
            <w:tcBorders>
              <w:top w:val="dotted" w:color="auto" w:sz="4" w:space="0"/>
              <w:left w:val="dotted" w:color="auto" w:sz="4" w:space="0"/>
              <w:bottom w:val="single" w:color="auto" w:sz="12" w:space="0"/>
              <w:right w:val="dotted" w:color="auto" w:sz="4" w:space="0"/>
            </w:tcBorders>
            <w:shd w:val="clear" w:color="auto" w:fill="BDD6EE" w:themeFill="accent1" w:themeFillTint="66"/>
            <w:vAlign w:val="center"/>
          </w:tcPr>
          <w:p w14:paraId="511E44E4">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w:t>
            </w:r>
          </w:p>
        </w:tc>
        <w:tc>
          <w:tcPr>
            <w:tcW w:w="907" w:type="dxa"/>
            <w:tcBorders>
              <w:top w:val="dotted" w:color="auto" w:sz="4" w:space="0"/>
              <w:left w:val="dotted" w:color="auto" w:sz="4" w:space="0"/>
              <w:bottom w:val="single" w:color="auto" w:sz="12" w:space="0"/>
              <w:right w:val="dotted" w:color="auto" w:sz="4" w:space="0"/>
            </w:tcBorders>
            <w:shd w:val="clear" w:color="auto" w:fill="BDD6EE" w:themeFill="accent1" w:themeFillTint="66"/>
            <w:vAlign w:val="center"/>
          </w:tcPr>
          <w:p w14:paraId="6CC19249">
            <w:pPr>
              <w:keepNext w:val="0"/>
              <w:keepLines w:val="0"/>
              <w:widowControl/>
              <w:suppressLineNumbers w:val="0"/>
              <w:jc w:val="center"/>
              <w:textAlignment w:val="center"/>
              <w:rPr>
                <w:rFonts w:hint="eastAsia" w:ascii="宋体" w:hAnsi="宋体" w:eastAsia="宋体" w:cs="宋体"/>
                <w:b/>
                <w:bCs/>
                <w:color w:val="auto"/>
                <w:kern w:val="0"/>
                <w:sz w:val="20"/>
                <w:szCs w:val="20"/>
                <w:highlight w:val="none"/>
                <w:lang w:eastAsia="zh-CN" w:bidi="ar"/>
              </w:rPr>
            </w:pPr>
            <w:r>
              <w:rPr>
                <w:rFonts w:hint="eastAsia" w:ascii="宋体" w:hAnsi="宋体" w:eastAsia="宋体" w:cs="宋体"/>
                <w:b/>
                <w:bCs/>
                <w:color w:val="auto"/>
                <w:kern w:val="0"/>
                <w:sz w:val="20"/>
                <w:szCs w:val="20"/>
                <w:highlight w:val="none"/>
                <w:lang w:eastAsia="zh-CN" w:bidi="ar"/>
              </w:rPr>
              <w:t>12.6</w:t>
            </w:r>
          </w:p>
        </w:tc>
        <w:tc>
          <w:tcPr>
            <w:tcW w:w="1304" w:type="dxa"/>
            <w:tcBorders>
              <w:top w:val="dotted" w:color="auto" w:sz="4" w:space="0"/>
              <w:left w:val="dotted" w:color="auto" w:sz="4" w:space="0"/>
              <w:bottom w:val="single" w:color="auto" w:sz="12" w:space="0"/>
              <w:right w:val="nil"/>
            </w:tcBorders>
            <w:shd w:val="clear" w:color="auto" w:fill="BDD6EE" w:themeFill="accent1" w:themeFillTint="66"/>
            <w:vAlign w:val="center"/>
          </w:tcPr>
          <w:p w14:paraId="007C6B50">
            <w:pPr>
              <w:keepNext w:val="0"/>
              <w:keepLines w:val="0"/>
              <w:widowControl/>
              <w:suppressLineNumbers w:val="0"/>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i w:val="0"/>
                <w:iCs w:val="0"/>
                <w:color w:val="auto"/>
                <w:kern w:val="0"/>
                <w:sz w:val="20"/>
                <w:szCs w:val="20"/>
                <w:u w:val="none"/>
                <w:lang w:val="en-US" w:eastAsia="zh-CN" w:bidi="ar"/>
              </w:rPr>
              <w:t>84.00%</w:t>
            </w:r>
          </w:p>
        </w:tc>
      </w:tr>
    </w:tbl>
    <w:p w14:paraId="58657988">
      <w:pPr>
        <w:pStyle w:val="5"/>
        <w:pageBreakBefore w:val="0"/>
        <w:widowControl w:val="0"/>
        <w:kinsoku/>
        <w:wordWrap/>
        <w:topLinePunct w:val="0"/>
        <w:autoSpaceDE/>
        <w:autoSpaceDN/>
        <w:bidi w:val="0"/>
        <w:adjustRightInd/>
        <w:snapToGrid/>
        <w:spacing w:before="0" w:after="0" w:line="560" w:lineRule="exact"/>
        <w:ind w:firstLine="643" w:firstLineChars="200"/>
        <w:textAlignment w:val="auto"/>
        <w:rPr>
          <w:rFonts w:ascii="仿宋_GB2312" w:hAnsi="仿宋_GB2312" w:eastAsia="仿宋_GB2312" w:cs="仿宋_GB2312"/>
          <w:b w:val="0"/>
          <w:bCs/>
          <w:szCs w:val="32"/>
          <w:highlight w:val="none"/>
        </w:rPr>
      </w:pPr>
      <w:r>
        <w:rPr>
          <w:rFonts w:hint="eastAsia" w:ascii="仿宋_GB2312" w:hAnsi="仿宋_GB2312" w:eastAsia="仿宋_GB2312" w:cs="仿宋_GB2312"/>
          <w:bCs/>
          <w:szCs w:val="32"/>
          <w:highlight w:val="none"/>
        </w:rPr>
        <w:t>1.项目立项</w:t>
      </w:r>
    </w:p>
    <w:p w14:paraId="3379C68F">
      <w:pPr>
        <w:pStyle w:val="27"/>
        <w:pageBreakBefore w:val="0"/>
        <w:widowControl w:val="0"/>
        <w:kinsoku/>
        <w:wordWrap/>
        <w:overflowPunct w:val="0"/>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法庭运维费</w:t>
      </w:r>
      <w:r>
        <w:rPr>
          <w:rFonts w:hint="eastAsia" w:ascii="仿宋_GB2312" w:hAnsi="仿宋_GB2312" w:eastAsia="仿宋_GB2312" w:cs="仿宋_GB2312"/>
          <w:sz w:val="32"/>
          <w:szCs w:val="32"/>
          <w:highlight w:val="none"/>
        </w:rPr>
        <w:t>项目严格按照预算绩效制度管理流程履行了项目立项手续，项目立项依据充分、立项程序规范，立项工作达到预期目标。</w:t>
      </w:r>
    </w:p>
    <w:p w14:paraId="6D4F72E4">
      <w:pPr>
        <w:pStyle w:val="27"/>
        <w:pageBreakBefore w:val="0"/>
        <w:widowControl w:val="0"/>
        <w:kinsoku/>
        <w:wordWrap/>
        <w:overflowPunct w:val="0"/>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（1）立项依据充分性</w:t>
      </w:r>
    </w:p>
    <w:p w14:paraId="240D3847">
      <w:pPr>
        <w:pStyle w:val="27"/>
        <w:pageBreakBefore w:val="0"/>
        <w:widowControl w:val="0"/>
        <w:kinsoku/>
        <w:wordWrap/>
        <w:overflowPunct w:val="0"/>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kern w:val="2"/>
          <w:sz w:val="32"/>
          <w:szCs w:val="32"/>
          <w:highlight w:val="none"/>
          <w:lang w:val="en-US" w:eastAsia="zh-CN" w:bidi="ar-SA"/>
        </w:rPr>
        <w:t>立项依据充分性：指标分值2.5分，评价得分2.5分。法庭运维费主要用于基层法庭的日常办公、水电、取暖及维修（维护）等费用的支出，项目设立符合最高人民法院《关于进一步加强新形势下人民法院基层基础建设的若干意见》（法发〔2011〕4号）</w:t>
      </w:r>
      <w:r>
        <w:rPr>
          <w:rFonts w:hint="eastAsia" w:ascii="仿宋_GB2312" w:hAnsi="仿宋_GB2312" w:eastAsia="仿宋_GB2312" w:cs="仿宋_GB2312"/>
          <w:kern w:val="2"/>
          <w:sz w:val="32"/>
          <w:szCs w:val="32"/>
          <w:highlight w:val="none"/>
          <w:lang w:val="en-US" w:eastAsia="zh-CN" w:bidi="ar-SA"/>
        </w:rPr>
        <w:t>、《关于加快推进人民法院调解平台进乡村、进社区、进网格工作的指导意见》（法〔2021〕247号）</w:t>
      </w:r>
      <w:r>
        <w:rPr>
          <w:rFonts w:hint="eastAsia" w:ascii="仿宋_GB2312" w:hAnsi="仿宋_GB2312" w:eastAsia="仿宋_GB2312" w:cs="仿宋_GB2312"/>
          <w:kern w:val="2"/>
          <w:sz w:val="32"/>
          <w:szCs w:val="32"/>
          <w:highlight w:val="none"/>
          <w:lang w:val="en-US" w:eastAsia="zh-CN" w:bidi="ar-SA"/>
        </w:rPr>
        <w:t>等政策文件要求，属于部门履职所需。</w:t>
      </w:r>
      <w:r>
        <w:rPr>
          <w:rFonts w:hint="eastAsia" w:ascii="仿宋_GB2312" w:hAnsi="仿宋_GB2312" w:eastAsia="仿宋_GB2312" w:cs="仿宋_GB2312"/>
          <w:sz w:val="32"/>
          <w:szCs w:val="32"/>
          <w:highlight w:val="none"/>
          <w:lang w:val="en-US" w:eastAsia="zh-CN"/>
        </w:rPr>
        <w:t>评价认为，项目立项依据充分</w:t>
      </w:r>
      <w:r>
        <w:rPr>
          <w:rFonts w:hint="eastAsia" w:ascii="仿宋_GB2312" w:hAnsi="仿宋_GB2312" w:eastAsia="仿宋_GB2312" w:cs="仿宋_GB2312"/>
          <w:sz w:val="32"/>
          <w:szCs w:val="32"/>
          <w:highlight w:val="none"/>
        </w:rPr>
        <w:t>，立项符合法规政策。</w:t>
      </w:r>
    </w:p>
    <w:p w14:paraId="5F96A14C">
      <w:pPr>
        <w:pStyle w:val="27"/>
        <w:pageBreakBefore w:val="0"/>
        <w:widowControl w:val="0"/>
        <w:kinsoku/>
        <w:wordWrap/>
        <w:overflowPunct w:val="0"/>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（2）立项程序规范性</w:t>
      </w:r>
    </w:p>
    <w:p w14:paraId="7CC1EF00">
      <w:pPr>
        <w:pStyle w:val="27"/>
        <w:pageBreakBefore w:val="0"/>
        <w:widowControl w:val="0"/>
        <w:kinsoku/>
        <w:wordWrap/>
        <w:overflowPunct w:val="0"/>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highlight w:val="yellow"/>
        </w:rPr>
      </w:pPr>
      <w:r>
        <w:rPr>
          <w:rFonts w:hint="eastAsia" w:ascii="仿宋_GB2312" w:hAnsi="仿宋_GB2312" w:eastAsia="仿宋_GB2312" w:cs="仿宋_GB2312"/>
          <w:sz w:val="32"/>
          <w:szCs w:val="32"/>
          <w:highlight w:val="none"/>
        </w:rPr>
        <w:t>立项程序规范性：指标分值</w:t>
      </w:r>
      <w:r>
        <w:rPr>
          <w:rFonts w:hint="eastAsia" w:ascii="仿宋_GB2312" w:hAnsi="仿宋_GB2312" w:eastAsia="仿宋_GB2312" w:cs="仿宋_GB2312"/>
          <w:kern w:val="2"/>
          <w:sz w:val="32"/>
          <w:szCs w:val="32"/>
          <w:highlight w:val="none"/>
          <w:lang w:val="en-US" w:eastAsia="zh-CN" w:bidi="ar-SA"/>
        </w:rPr>
        <w:t>2.5</w:t>
      </w:r>
      <w:r>
        <w:rPr>
          <w:rFonts w:hint="eastAsia" w:ascii="仿宋_GB2312" w:hAnsi="仿宋_GB2312" w:eastAsia="仿宋_GB2312" w:cs="仿宋_GB2312"/>
          <w:sz w:val="32"/>
          <w:szCs w:val="32"/>
          <w:highlight w:val="none"/>
        </w:rPr>
        <w:t>分，评价得分</w:t>
      </w:r>
      <w:r>
        <w:rPr>
          <w:rFonts w:hint="eastAsia" w:ascii="仿宋_GB2312" w:hAnsi="仿宋_GB2312" w:eastAsia="仿宋_GB2312" w:cs="仿宋_GB2312"/>
          <w:kern w:val="2"/>
          <w:sz w:val="32"/>
          <w:szCs w:val="32"/>
          <w:highlight w:val="none"/>
          <w:lang w:val="en-US" w:eastAsia="zh-CN" w:bidi="ar-SA"/>
        </w:rPr>
        <w:t>2.5</w:t>
      </w:r>
      <w:r>
        <w:rPr>
          <w:rFonts w:hint="eastAsia" w:ascii="仿宋_GB2312" w:hAnsi="仿宋_GB2312" w:eastAsia="仿宋_GB2312" w:cs="仿宋_GB2312"/>
          <w:sz w:val="32"/>
          <w:szCs w:val="32"/>
          <w:highlight w:val="none"/>
        </w:rPr>
        <w:t>分。</w:t>
      </w:r>
      <w:r>
        <w:rPr>
          <w:rFonts w:hint="eastAsia" w:ascii="仿宋_GB2312" w:hAnsi="仿宋_GB2312" w:eastAsia="仿宋_GB2312" w:cs="仿宋_GB2312"/>
          <w:sz w:val="32"/>
          <w:szCs w:val="32"/>
          <w:highlight w:val="none"/>
          <w:lang w:val="en-US" w:eastAsia="zh-CN"/>
        </w:rPr>
        <w:t>甘肃省高级人民法院机关及84家基层人民法院</w:t>
      </w:r>
      <w:r>
        <w:rPr>
          <w:rFonts w:hint="eastAsia" w:ascii="仿宋_GB2312" w:hAnsi="仿宋_GB2312" w:eastAsia="仿宋_GB2312" w:cs="仿宋_GB2312"/>
          <w:sz w:val="32"/>
          <w:szCs w:val="32"/>
          <w:highlight w:val="none"/>
        </w:rPr>
        <w:t>根据</w:t>
      </w:r>
      <w:r>
        <w:rPr>
          <w:rFonts w:hint="eastAsia" w:ascii="仿宋_GB2312" w:hAnsi="仿宋_GB2312" w:eastAsia="仿宋_GB2312" w:cs="仿宋_GB2312"/>
          <w:kern w:val="2"/>
          <w:sz w:val="32"/>
          <w:szCs w:val="32"/>
          <w:highlight w:val="none"/>
          <w:lang w:val="en-US" w:eastAsia="zh-CN" w:bidi="ar-SA"/>
        </w:rPr>
        <w:t>甘肃省高级人民法院《关于印发〈全省法院系统项目预算资金申报使用管理规程〉（试行）的通知》（甘高法〔2018〕269号）申报项目资金</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该项目为延续性项目，申报的</w:t>
      </w:r>
      <w:r>
        <w:rPr>
          <w:rFonts w:hint="eastAsia" w:ascii="仿宋_GB2312" w:hAnsi="仿宋_GB2312" w:eastAsia="仿宋_GB2312" w:cs="仿宋_GB2312"/>
          <w:sz w:val="32"/>
          <w:szCs w:val="32"/>
          <w:highlight w:val="none"/>
        </w:rPr>
        <w:t>材料符合相关要求。评价认为，项目立项程序规范，预算、审批材料齐全。</w:t>
      </w:r>
    </w:p>
    <w:p w14:paraId="57E983CA">
      <w:pPr>
        <w:pStyle w:val="27"/>
        <w:pageBreakBefore w:val="0"/>
        <w:widowControl w:val="0"/>
        <w:kinsoku/>
        <w:wordWrap/>
        <w:overflowPunct w:val="0"/>
        <w:topLinePunct w:val="0"/>
        <w:autoSpaceDE/>
        <w:autoSpaceDN/>
        <w:bidi w:val="0"/>
        <w:adjustRightInd/>
        <w:snapToGrid/>
        <w:spacing w:line="560" w:lineRule="exact"/>
        <w:ind w:firstLine="643"/>
        <w:textAlignment w:val="auto"/>
        <w:outlineLvl w:val="2"/>
        <w:rPr>
          <w:rFonts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2.绩效目标</w:t>
      </w:r>
    </w:p>
    <w:p w14:paraId="4797E58B">
      <w:pPr>
        <w:pStyle w:val="27"/>
        <w:pageBreakBefore w:val="0"/>
        <w:widowControl w:val="0"/>
        <w:kinsoku/>
        <w:wordWrap/>
        <w:overflowPunct w:val="0"/>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（1）绩效目标合理性</w:t>
      </w:r>
    </w:p>
    <w:p w14:paraId="18EFDCE5">
      <w:pPr>
        <w:pStyle w:val="27"/>
        <w:pageBreakBefore w:val="0"/>
        <w:widowControl w:val="0"/>
        <w:kinsoku/>
        <w:wordWrap/>
        <w:overflowPunct w:val="0"/>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绩效目标合理性：指标分值</w:t>
      </w:r>
      <w:r>
        <w:rPr>
          <w:rFonts w:hint="eastAsia" w:ascii="仿宋_GB2312" w:hAnsi="仿宋_GB2312" w:eastAsia="仿宋_GB2312" w:cs="仿宋_GB2312"/>
          <w:sz w:val="32"/>
          <w:szCs w:val="32"/>
          <w:highlight w:val="none"/>
          <w:lang w:val="en-US" w:eastAsia="zh-CN"/>
        </w:rPr>
        <w:t>2.5</w:t>
      </w:r>
      <w:r>
        <w:rPr>
          <w:rFonts w:hint="eastAsia" w:ascii="仿宋_GB2312" w:hAnsi="仿宋_GB2312" w:eastAsia="仿宋_GB2312" w:cs="仿宋_GB2312"/>
          <w:sz w:val="32"/>
          <w:szCs w:val="32"/>
          <w:highlight w:val="none"/>
        </w:rPr>
        <w:t>分，评价得分</w:t>
      </w:r>
      <w:r>
        <w:rPr>
          <w:rFonts w:hint="eastAsia" w:ascii="仿宋_GB2312" w:hAnsi="仿宋_GB2312" w:eastAsia="仿宋_GB2312" w:cs="仿宋_GB2312"/>
          <w:sz w:val="32"/>
          <w:szCs w:val="32"/>
          <w:highlight w:val="none"/>
          <w:lang w:val="en-US" w:eastAsia="zh-CN"/>
        </w:rPr>
        <w:t>0.9</w:t>
      </w:r>
      <w:r>
        <w:rPr>
          <w:rFonts w:hint="eastAsia" w:ascii="仿宋_GB2312" w:hAnsi="仿宋_GB2312" w:eastAsia="仿宋_GB2312" w:cs="仿宋_GB2312"/>
          <w:sz w:val="32"/>
          <w:szCs w:val="32"/>
          <w:highlight w:val="none"/>
        </w:rPr>
        <w:t>分。</w:t>
      </w:r>
      <w:r>
        <w:rPr>
          <w:rFonts w:hint="eastAsia" w:ascii="仿宋_GB2312" w:hAnsi="仿宋_GB2312" w:eastAsia="仿宋_GB2312" w:cs="仿宋_GB2312"/>
          <w:sz w:val="32"/>
          <w:szCs w:val="32"/>
          <w:highlight w:val="none"/>
          <w:lang w:val="en-US" w:eastAsia="zh-CN"/>
        </w:rPr>
        <w:t>84家基层人民法院按照相关要求申报了绩效目标，</w:t>
      </w:r>
      <w:r>
        <w:rPr>
          <w:rFonts w:hint="eastAsia" w:ascii="仿宋_GB2312" w:hAnsi="仿宋_GB2312" w:eastAsia="仿宋_GB2312" w:cs="仿宋_GB2312"/>
          <w:sz w:val="32"/>
          <w:szCs w:val="32"/>
          <w:highlight w:val="none"/>
        </w:rPr>
        <w:t>绩效目标与实际工作</w:t>
      </w:r>
      <w:r>
        <w:rPr>
          <w:rFonts w:hint="eastAsia" w:ascii="仿宋_GB2312" w:hAnsi="仿宋_GB2312" w:eastAsia="仿宋_GB2312" w:cs="仿宋_GB2312"/>
          <w:sz w:val="32"/>
          <w:szCs w:val="32"/>
          <w:highlight w:val="none"/>
          <w:lang w:val="en-US" w:eastAsia="zh-CN"/>
        </w:rPr>
        <w:t>内容</w:t>
      </w:r>
      <w:r>
        <w:rPr>
          <w:rFonts w:hint="eastAsia" w:ascii="仿宋_GB2312" w:hAnsi="仿宋_GB2312" w:eastAsia="仿宋_GB2312" w:cs="仿宋_GB2312"/>
          <w:sz w:val="32"/>
          <w:szCs w:val="32"/>
          <w:highlight w:val="none"/>
        </w:rPr>
        <w:t>具有相关性</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与预算确定的投资额相匹配。</w:t>
      </w:r>
      <w:r>
        <w:rPr>
          <w:rFonts w:hint="eastAsia" w:ascii="仿宋_GB2312" w:hAnsi="仿宋_GB2312" w:eastAsia="仿宋_GB2312" w:cs="仿宋_GB2312"/>
          <w:sz w:val="32"/>
          <w:szCs w:val="32"/>
          <w:highlight w:val="none"/>
          <w:lang w:val="en-US" w:eastAsia="zh-CN"/>
        </w:rPr>
        <w:t>但评价发现，一是个别法院</w:t>
      </w:r>
      <w:r>
        <w:rPr>
          <w:rFonts w:hint="eastAsia" w:ascii="仿宋_GB2312" w:hAnsi="仿宋_GB2312" w:eastAsia="仿宋_GB2312" w:cs="仿宋_GB2312"/>
          <w:sz w:val="32"/>
          <w:szCs w:val="32"/>
          <w:highlight w:val="none"/>
        </w:rPr>
        <w:t>存在指标目标值设置预期产出不符合正常业绩水平的问题</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例如：民乐县人民法院保障供暖面积</w:t>
      </w:r>
      <w:r>
        <w:rPr>
          <w:rFonts w:hint="eastAsia" w:ascii="仿宋_GB2312" w:hAnsi="仿宋_GB2312" w:eastAsia="仿宋_GB2312" w:cs="仿宋_GB2312"/>
          <w:sz w:val="32"/>
          <w:szCs w:val="32"/>
          <w:highlight w:val="none"/>
        </w:rPr>
        <w:t>年度指标值</w:t>
      </w:r>
      <w:r>
        <w:rPr>
          <w:rFonts w:hint="eastAsia" w:ascii="仿宋_GB2312" w:hAnsi="仿宋_GB2312" w:eastAsia="仿宋_GB2312" w:cs="仿宋_GB2312"/>
          <w:sz w:val="32"/>
          <w:szCs w:val="32"/>
          <w:highlight w:val="none"/>
          <w:lang w:val="en-US" w:eastAsia="zh-CN"/>
        </w:rPr>
        <w:t>设置为1500平方米，实际保障4689.71平方米。二是个别法院</w:t>
      </w:r>
      <w:r>
        <w:rPr>
          <w:rFonts w:hint="eastAsia" w:ascii="仿宋_GB2312" w:hAnsi="仿宋_GB2312" w:eastAsia="仿宋_GB2312" w:cs="仿宋_GB2312"/>
          <w:sz w:val="32"/>
          <w:szCs w:val="32"/>
          <w:highlight w:val="none"/>
        </w:rPr>
        <w:t>项目绩效目标设置</w:t>
      </w:r>
      <w:r>
        <w:rPr>
          <w:rFonts w:hint="eastAsia" w:ascii="仿宋_GB2312" w:hAnsi="仿宋_GB2312" w:eastAsia="仿宋_GB2312" w:cs="仿宋_GB2312"/>
          <w:sz w:val="32"/>
          <w:szCs w:val="32"/>
          <w:highlight w:val="none"/>
          <w:lang w:val="en-US" w:eastAsia="zh-CN"/>
        </w:rPr>
        <w:t>不</w:t>
      </w:r>
      <w:r>
        <w:rPr>
          <w:rFonts w:hint="eastAsia" w:ascii="仿宋_GB2312" w:hAnsi="仿宋_GB2312" w:eastAsia="仿宋_GB2312" w:cs="仿宋_GB2312"/>
          <w:sz w:val="32"/>
          <w:szCs w:val="32"/>
          <w:highlight w:val="none"/>
        </w:rPr>
        <w:t>符合单位实际情况</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例</w:t>
      </w:r>
      <w:r>
        <w:rPr>
          <w:rFonts w:hint="eastAsia" w:ascii="仿宋_GB2312" w:hAnsi="仿宋_GB2312" w:eastAsia="仿宋_GB2312" w:cs="仿宋_GB2312"/>
          <w:sz w:val="32"/>
          <w:szCs w:val="32"/>
          <w:highlight w:val="none"/>
        </w:rPr>
        <w:t>如</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山丹县人民法院维修维护项目次数年度指标值</w:t>
      </w:r>
      <w:r>
        <w:rPr>
          <w:rFonts w:hint="eastAsia" w:ascii="仿宋_GB2312" w:hAnsi="仿宋_GB2312" w:eastAsia="仿宋_GB2312" w:cs="仿宋_GB2312"/>
          <w:sz w:val="32"/>
          <w:szCs w:val="32"/>
          <w:highlight w:val="none"/>
          <w:lang w:val="en-US" w:eastAsia="zh-CN"/>
        </w:rPr>
        <w:t>设置为</w:t>
      </w:r>
      <w:r>
        <w:rPr>
          <w:rFonts w:hint="eastAsia" w:ascii="仿宋_GB2312" w:hAnsi="仿宋_GB2312" w:eastAsia="仿宋_GB2312" w:cs="仿宋_GB2312"/>
          <w:sz w:val="32"/>
          <w:szCs w:val="32"/>
          <w:highlight w:val="none"/>
        </w:rPr>
        <w:t>1次，实际完成5次，</w:t>
      </w:r>
      <w:r>
        <w:rPr>
          <w:rFonts w:hint="eastAsia" w:ascii="仿宋_GB2312" w:hAnsi="仿宋_GB2312" w:eastAsia="仿宋_GB2312" w:cs="仿宋_GB2312"/>
          <w:sz w:val="32"/>
          <w:szCs w:val="32"/>
          <w:highlight w:val="none"/>
          <w:lang w:val="en-US" w:eastAsia="zh-CN"/>
        </w:rPr>
        <w:t>申报项目绩效目标时未充分了解掌握单位实际情况；</w:t>
      </w:r>
      <w:r>
        <w:rPr>
          <w:rFonts w:hint="eastAsia" w:ascii="仿宋_GB2312" w:hAnsi="仿宋_GB2312" w:eastAsia="仿宋_GB2312" w:cs="仿宋_GB2312"/>
          <w:sz w:val="32"/>
          <w:szCs w:val="32"/>
          <w:highlight w:val="none"/>
        </w:rPr>
        <w:t>西和县人民法院保障基层法庭个数年度指标值</w:t>
      </w:r>
      <w:r>
        <w:rPr>
          <w:rFonts w:hint="eastAsia" w:ascii="仿宋_GB2312" w:hAnsi="仿宋_GB2312" w:eastAsia="仿宋_GB2312" w:cs="仿宋_GB2312"/>
          <w:sz w:val="32"/>
          <w:szCs w:val="32"/>
          <w:highlight w:val="none"/>
          <w:lang w:val="en-US" w:eastAsia="zh-CN"/>
        </w:rPr>
        <w:t>设置为</w:t>
      </w:r>
      <w:r>
        <w:rPr>
          <w:rFonts w:hint="eastAsia" w:ascii="仿宋_GB2312" w:hAnsi="仿宋_GB2312" w:eastAsia="仿宋_GB2312" w:cs="仿宋_GB2312"/>
          <w:sz w:val="32"/>
          <w:szCs w:val="32"/>
          <w:highlight w:val="none"/>
        </w:rPr>
        <w:t>3个，实际保障5个，年度指标设置有误。</w:t>
      </w:r>
    </w:p>
    <w:p w14:paraId="4F0A5FFF">
      <w:pPr>
        <w:pStyle w:val="27"/>
        <w:pageBreakBefore w:val="0"/>
        <w:widowControl w:val="0"/>
        <w:kinsoku/>
        <w:wordWrap/>
        <w:overflowPunct w:val="0"/>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（2）绩效指标明确性</w:t>
      </w:r>
    </w:p>
    <w:p w14:paraId="4FF1C4FA">
      <w:pPr>
        <w:pStyle w:val="27"/>
        <w:pageBreakBefore w:val="0"/>
        <w:widowControl w:val="0"/>
        <w:kinsoku/>
        <w:wordWrap/>
        <w:overflowPunct w:val="0"/>
        <w:topLinePunct w:val="0"/>
        <w:autoSpaceDE/>
        <w:autoSpaceDN/>
        <w:bidi w:val="0"/>
        <w:adjustRightInd/>
        <w:snapToGrid/>
        <w:spacing w:line="560" w:lineRule="exact"/>
        <w:ind w:firstLine="64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绩效指标明确性：指标分值</w:t>
      </w:r>
      <w:r>
        <w:rPr>
          <w:rFonts w:hint="eastAsia" w:ascii="仿宋_GB2312" w:hAnsi="仿宋_GB2312" w:eastAsia="仿宋_GB2312" w:cs="仿宋_GB2312"/>
          <w:sz w:val="32"/>
          <w:szCs w:val="32"/>
          <w:highlight w:val="none"/>
          <w:lang w:val="en-US" w:eastAsia="zh-CN"/>
        </w:rPr>
        <w:t>2.5</w:t>
      </w:r>
      <w:r>
        <w:rPr>
          <w:rFonts w:hint="eastAsia" w:ascii="仿宋_GB2312" w:hAnsi="仿宋_GB2312" w:eastAsia="仿宋_GB2312" w:cs="仿宋_GB2312"/>
          <w:sz w:val="32"/>
          <w:szCs w:val="32"/>
          <w:highlight w:val="none"/>
        </w:rPr>
        <w:t>分，评价得分</w:t>
      </w:r>
      <w:r>
        <w:rPr>
          <w:rFonts w:hint="eastAsia" w:ascii="仿宋_GB2312" w:hAnsi="仿宋_GB2312" w:eastAsia="仿宋_GB2312" w:cs="仿宋_GB2312"/>
          <w:sz w:val="32"/>
          <w:szCs w:val="32"/>
          <w:highlight w:val="none"/>
          <w:lang w:val="en-US" w:eastAsia="zh-CN"/>
        </w:rPr>
        <w:t>1.7</w:t>
      </w:r>
      <w:r>
        <w:rPr>
          <w:rFonts w:hint="eastAsia" w:ascii="仿宋_GB2312" w:hAnsi="仿宋_GB2312" w:eastAsia="仿宋_GB2312" w:cs="仿宋_GB2312"/>
          <w:sz w:val="32"/>
          <w:szCs w:val="32"/>
          <w:highlight w:val="none"/>
        </w:rPr>
        <w:t>分。</w:t>
      </w:r>
      <w:r>
        <w:rPr>
          <w:rFonts w:ascii="仿宋_GB2312" w:hAnsi="仿宋_GB2312" w:eastAsia="仿宋_GB2312" w:cs="仿宋_GB2312"/>
          <w:sz w:val="32"/>
          <w:szCs w:val="32"/>
          <w:highlight w:val="none"/>
        </w:rPr>
        <w:t>经核查</w:t>
      </w:r>
      <w:r>
        <w:rPr>
          <w:rFonts w:hint="eastAsia" w:ascii="仿宋_GB2312" w:hAnsi="仿宋_GB2312" w:eastAsia="仿宋_GB2312" w:cs="仿宋_GB2312"/>
          <w:sz w:val="32"/>
          <w:szCs w:val="32"/>
          <w:highlight w:val="none"/>
          <w:lang w:val="en-US" w:eastAsia="zh-CN"/>
        </w:rPr>
        <w:t>全省84家基层人民法院</w:t>
      </w:r>
      <w:r>
        <w:rPr>
          <w:rFonts w:hint="eastAsia" w:ascii="仿宋_GB2312" w:hAnsi="仿宋_GB2312" w:eastAsia="仿宋_GB2312" w:cs="仿宋_GB2312"/>
          <w:sz w:val="32"/>
          <w:szCs w:val="32"/>
          <w:highlight w:val="none"/>
        </w:rPr>
        <w:t>年初制定的</w:t>
      </w:r>
      <w:r>
        <w:rPr>
          <w:rFonts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法庭运维费</w:t>
      </w:r>
      <w:r>
        <w:rPr>
          <w:rFonts w:hint="eastAsia" w:ascii="仿宋_GB2312" w:hAnsi="仿宋_GB2312" w:eastAsia="仿宋_GB2312" w:cs="仿宋_GB2312"/>
          <w:sz w:val="32"/>
          <w:szCs w:val="32"/>
          <w:highlight w:val="none"/>
        </w:rPr>
        <w:t>项目支出绩效目标申报表</w:t>
      </w:r>
      <w:r>
        <w:rPr>
          <w:rFonts w:ascii="仿宋_GB2312" w:hAnsi="仿宋_GB2312" w:eastAsia="仿宋_GB2312" w:cs="仿宋_GB2312"/>
          <w:sz w:val="32"/>
          <w:szCs w:val="32"/>
          <w:highlight w:val="none"/>
        </w:rPr>
        <w:t>》，设置的绩效指标能够将项目绩效目标细化分解为具体的绩效指标，</w:t>
      </w:r>
      <w:r>
        <w:rPr>
          <w:rFonts w:hint="eastAsia" w:ascii="仿宋_GB2312" w:hAnsi="仿宋_GB2312" w:eastAsia="仿宋_GB2312" w:cs="仿宋_GB2312"/>
          <w:sz w:val="32"/>
          <w:szCs w:val="32"/>
          <w:highlight w:val="none"/>
        </w:rPr>
        <w:t>与预算确定的项目资金量相匹配。</w:t>
      </w:r>
      <w:r>
        <w:rPr>
          <w:rFonts w:hint="eastAsia" w:ascii="仿宋_GB2312" w:hAnsi="仿宋_GB2312" w:eastAsia="仿宋_GB2312" w:cs="仿宋_GB2312"/>
          <w:sz w:val="32"/>
          <w:szCs w:val="32"/>
          <w:highlight w:val="none"/>
          <w:lang w:val="en-US" w:eastAsia="zh-CN"/>
        </w:rPr>
        <w:t>但评价发现，一是部分法院未设置与办公用品采购相关内容的指标，二是崇信县人民法院保障供暖面积未设置具体的指标值，不能够很好的衡量及对比指标的完成情况。评价认为，绩效目标编制有待规范。</w:t>
      </w:r>
    </w:p>
    <w:p w14:paraId="1651D0FD">
      <w:pPr>
        <w:pStyle w:val="27"/>
        <w:pageBreakBefore w:val="0"/>
        <w:widowControl w:val="0"/>
        <w:kinsoku/>
        <w:wordWrap/>
        <w:overflowPunct w:val="0"/>
        <w:topLinePunct w:val="0"/>
        <w:autoSpaceDE/>
        <w:autoSpaceDN/>
        <w:bidi w:val="0"/>
        <w:adjustRightInd/>
        <w:snapToGrid/>
        <w:spacing w:line="560" w:lineRule="exact"/>
        <w:ind w:firstLine="643"/>
        <w:textAlignment w:val="auto"/>
        <w:outlineLvl w:val="2"/>
        <w:rPr>
          <w:rFonts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3.资金投入</w:t>
      </w:r>
    </w:p>
    <w:p w14:paraId="4136BAAE">
      <w:pPr>
        <w:pStyle w:val="27"/>
        <w:pageBreakBefore w:val="0"/>
        <w:widowControl w:val="0"/>
        <w:kinsoku/>
        <w:wordWrap/>
        <w:overflowPunct w:val="0"/>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法庭运维费</w:t>
      </w:r>
      <w:r>
        <w:rPr>
          <w:rFonts w:hint="eastAsia" w:ascii="仿宋_GB2312" w:hAnsi="仿宋_GB2312" w:eastAsia="仿宋_GB2312" w:cs="仿宋_GB2312"/>
          <w:sz w:val="32"/>
          <w:szCs w:val="32"/>
          <w:highlight w:val="none"/>
        </w:rPr>
        <w:t>项目资金投入方向符合政策规定，按照年度预算合理分配。</w:t>
      </w:r>
    </w:p>
    <w:p w14:paraId="04F6C15F">
      <w:pPr>
        <w:pStyle w:val="27"/>
        <w:pageBreakBefore w:val="0"/>
        <w:widowControl w:val="0"/>
        <w:kinsoku/>
        <w:wordWrap/>
        <w:overflowPunct w:val="0"/>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（1）预算编制科学性</w:t>
      </w:r>
    </w:p>
    <w:p w14:paraId="07FD4F73">
      <w:pPr>
        <w:pStyle w:val="27"/>
        <w:pageBreakBefore w:val="0"/>
        <w:widowControl w:val="0"/>
        <w:kinsoku/>
        <w:wordWrap/>
        <w:overflowPunct w:val="0"/>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预算编制科学性：指标分值</w:t>
      </w:r>
      <w:r>
        <w:rPr>
          <w:rFonts w:hint="eastAsia" w:ascii="仿宋_GB2312" w:hAnsi="仿宋_GB2312" w:eastAsia="仿宋_GB2312" w:cs="仿宋_GB2312"/>
          <w:sz w:val="32"/>
          <w:szCs w:val="32"/>
          <w:highlight w:val="none"/>
          <w:lang w:val="en-US" w:eastAsia="zh-CN"/>
        </w:rPr>
        <w:t>2.5</w:t>
      </w:r>
      <w:r>
        <w:rPr>
          <w:rFonts w:hint="eastAsia" w:ascii="仿宋_GB2312" w:hAnsi="仿宋_GB2312" w:eastAsia="仿宋_GB2312" w:cs="仿宋_GB2312"/>
          <w:sz w:val="32"/>
          <w:szCs w:val="32"/>
          <w:highlight w:val="none"/>
        </w:rPr>
        <w:t>分，评价得分</w:t>
      </w:r>
      <w:r>
        <w:rPr>
          <w:rFonts w:hint="eastAsia" w:ascii="仿宋_GB2312" w:hAnsi="仿宋_GB2312" w:eastAsia="仿宋_GB2312" w:cs="仿宋_GB2312"/>
          <w:sz w:val="32"/>
          <w:szCs w:val="32"/>
          <w:highlight w:val="none"/>
          <w:lang w:val="en-US" w:eastAsia="zh-CN"/>
        </w:rPr>
        <w:t>2.5</w:t>
      </w:r>
      <w:r>
        <w:rPr>
          <w:rFonts w:hint="eastAsia" w:ascii="仿宋_GB2312" w:hAnsi="仿宋_GB2312" w:eastAsia="仿宋_GB2312" w:cs="仿宋_GB2312"/>
          <w:sz w:val="32"/>
          <w:szCs w:val="32"/>
          <w:highlight w:val="none"/>
        </w:rPr>
        <w:t>分。项目预算编制严格</w:t>
      </w:r>
      <w:r>
        <w:rPr>
          <w:rFonts w:hint="eastAsia" w:ascii="仿宋_GB2312" w:hAnsi="仿宋_GB2312" w:eastAsia="仿宋_GB2312" w:cs="仿宋_GB2312"/>
          <w:sz w:val="32"/>
          <w:szCs w:val="32"/>
          <w:highlight w:val="none"/>
          <w:lang w:val="en-US" w:eastAsia="zh-CN"/>
        </w:rPr>
        <w:t>按照甘肃省财政厅</w:t>
      </w:r>
      <w:r>
        <w:rPr>
          <w:rFonts w:hint="eastAsia" w:ascii="仿宋_GB2312" w:hAnsi="仿宋_GB2312" w:eastAsia="仿宋_GB2312" w:cs="仿宋_GB2312"/>
          <w:sz w:val="32"/>
          <w:szCs w:val="32"/>
          <w:highlight w:val="none"/>
        </w:rPr>
        <w:t>以及</w:t>
      </w:r>
      <w:r>
        <w:rPr>
          <w:rFonts w:hint="eastAsia" w:ascii="仿宋_GB2312" w:hAnsi="仿宋_GB2312" w:eastAsia="仿宋_GB2312" w:cs="仿宋_GB2312"/>
          <w:sz w:val="32"/>
          <w:szCs w:val="32"/>
          <w:highlight w:val="none"/>
          <w:lang w:val="en-US" w:eastAsia="zh-CN"/>
        </w:rPr>
        <w:t>甘肃省高级人民法院</w:t>
      </w:r>
      <w:r>
        <w:rPr>
          <w:rFonts w:hint="eastAsia" w:ascii="仿宋_GB2312" w:hAnsi="仿宋_GB2312" w:eastAsia="仿宋_GB2312" w:cs="仿宋_GB2312"/>
          <w:sz w:val="32"/>
          <w:szCs w:val="32"/>
          <w:highlight w:val="none"/>
        </w:rPr>
        <w:t>相关文件进行，预算编制经过科学论证，</w:t>
      </w:r>
      <w:r>
        <w:rPr>
          <w:rFonts w:hint="eastAsia" w:ascii="仿宋_GB2312" w:hAnsi="仿宋_GB2312" w:eastAsia="仿宋_GB2312" w:cs="仿宋_GB2312"/>
          <w:sz w:val="32"/>
          <w:szCs w:val="32"/>
          <w:highlight w:val="none"/>
          <w:lang w:val="en-US" w:eastAsia="zh-CN"/>
        </w:rPr>
        <w:t>预算编制程序合规、预算内容与项目内容匹配，按照标准编制，预算确定的项目资金量与工作任务相匹配，</w:t>
      </w:r>
      <w:r>
        <w:rPr>
          <w:rFonts w:hint="eastAsia" w:ascii="仿宋_GB2312" w:hAnsi="仿宋_GB2312" w:eastAsia="仿宋_GB2312" w:cs="仿宋_GB2312"/>
          <w:sz w:val="32"/>
          <w:szCs w:val="32"/>
          <w:highlight w:val="none"/>
        </w:rPr>
        <w:t>由甘肃省高级人民法院汇总整合</w:t>
      </w:r>
      <w:r>
        <w:rPr>
          <w:rFonts w:hint="eastAsia" w:ascii="仿宋_GB2312" w:hAnsi="仿宋_GB2312" w:eastAsia="仿宋_GB2312" w:cs="仿宋_GB2312"/>
          <w:sz w:val="32"/>
          <w:szCs w:val="32"/>
          <w:highlight w:val="none"/>
          <w:lang w:val="en-US" w:eastAsia="zh-CN"/>
        </w:rPr>
        <w:t>各</w:t>
      </w:r>
      <w:r>
        <w:rPr>
          <w:rFonts w:hint="eastAsia" w:ascii="仿宋_GB2312" w:hAnsi="仿宋_GB2312" w:eastAsia="仿宋_GB2312" w:cs="仿宋_GB2312"/>
          <w:sz w:val="32"/>
          <w:szCs w:val="32"/>
          <w:highlight w:val="none"/>
        </w:rPr>
        <w:t>法院上报的分项预算申报表，</w:t>
      </w:r>
      <w:r>
        <w:rPr>
          <w:rFonts w:hint="eastAsia" w:ascii="仿宋_GB2312" w:hAnsi="仿宋_GB2312" w:eastAsia="仿宋_GB2312" w:cs="仿宋_GB2312"/>
          <w:sz w:val="32"/>
          <w:szCs w:val="32"/>
          <w:highlight w:val="none"/>
          <w:lang w:val="en-US" w:eastAsia="zh-CN"/>
        </w:rPr>
        <w:t>经相关领导审核，上会审议通过后上报甘肃省财政厅</w:t>
      </w:r>
      <w:r>
        <w:rPr>
          <w:rFonts w:hint="eastAsia" w:ascii="仿宋_GB2312" w:hAnsi="仿宋_GB2312" w:eastAsia="仿宋_GB2312" w:cs="仿宋_GB2312"/>
          <w:sz w:val="32"/>
          <w:szCs w:val="32"/>
          <w:highlight w:val="none"/>
        </w:rPr>
        <w:t>。评价认为，</w:t>
      </w:r>
      <w:r>
        <w:rPr>
          <w:rFonts w:hint="eastAsia" w:ascii="仿宋_GB2312" w:hAnsi="仿宋_GB2312" w:eastAsia="仿宋_GB2312" w:cs="仿宋_GB2312"/>
          <w:sz w:val="32"/>
          <w:szCs w:val="32"/>
          <w:highlight w:val="none"/>
          <w:lang w:val="en-US" w:eastAsia="zh-CN"/>
        </w:rPr>
        <w:t>项目预算编制科学、规范。</w:t>
      </w:r>
    </w:p>
    <w:p w14:paraId="32033023">
      <w:pPr>
        <w:pStyle w:val="27"/>
        <w:pageBreakBefore w:val="0"/>
        <w:widowControl w:val="0"/>
        <w:kinsoku/>
        <w:wordWrap/>
        <w:overflowPunct w:val="0"/>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（2）资金分配合理性</w:t>
      </w:r>
    </w:p>
    <w:p w14:paraId="20BAFE25">
      <w:pPr>
        <w:pStyle w:val="27"/>
        <w:pageBreakBefore w:val="0"/>
        <w:widowControl w:val="0"/>
        <w:kinsoku/>
        <w:wordWrap/>
        <w:overflowPunct w:val="0"/>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highlight w:val="none"/>
          <w:lang w:val="en-US" w:eastAsia="zh-CN"/>
        </w:rPr>
      </w:pPr>
      <w:bookmarkStart w:id="116" w:name="_Toc10475"/>
      <w:r>
        <w:rPr>
          <w:rFonts w:hint="eastAsia" w:ascii="仿宋_GB2312" w:hAnsi="仿宋_GB2312" w:eastAsia="仿宋_GB2312" w:cs="仿宋_GB2312"/>
          <w:sz w:val="32"/>
          <w:szCs w:val="32"/>
          <w:highlight w:val="none"/>
        </w:rPr>
        <w:t>资金分配合理性：指标分值</w:t>
      </w:r>
      <w:r>
        <w:rPr>
          <w:rFonts w:hint="eastAsia" w:ascii="仿宋_GB2312" w:hAnsi="仿宋_GB2312" w:eastAsia="仿宋_GB2312" w:cs="仿宋_GB2312"/>
          <w:sz w:val="32"/>
          <w:szCs w:val="32"/>
          <w:highlight w:val="none"/>
          <w:lang w:val="en-US" w:eastAsia="zh-CN"/>
        </w:rPr>
        <w:t>2.5</w:t>
      </w:r>
      <w:r>
        <w:rPr>
          <w:rFonts w:hint="eastAsia" w:ascii="仿宋_GB2312" w:hAnsi="仿宋_GB2312" w:eastAsia="仿宋_GB2312" w:cs="仿宋_GB2312"/>
          <w:sz w:val="32"/>
          <w:szCs w:val="32"/>
          <w:highlight w:val="none"/>
        </w:rPr>
        <w:t>分，评价得分</w:t>
      </w:r>
      <w:r>
        <w:rPr>
          <w:rFonts w:hint="eastAsia" w:ascii="仿宋_GB2312" w:hAnsi="仿宋_GB2312" w:eastAsia="仿宋_GB2312" w:cs="仿宋_GB2312"/>
          <w:sz w:val="32"/>
          <w:szCs w:val="32"/>
          <w:highlight w:val="none"/>
          <w:lang w:val="en-US" w:eastAsia="zh-CN"/>
        </w:rPr>
        <w:t>2.5</w:t>
      </w:r>
      <w:r>
        <w:rPr>
          <w:rFonts w:hint="eastAsia" w:ascii="仿宋_GB2312" w:hAnsi="仿宋_GB2312" w:eastAsia="仿宋_GB2312" w:cs="仿宋_GB2312"/>
          <w:sz w:val="32"/>
          <w:szCs w:val="32"/>
          <w:highlight w:val="none"/>
        </w:rPr>
        <w:t>分。</w:t>
      </w:r>
      <w:bookmarkEnd w:id="116"/>
      <w:bookmarkStart w:id="117" w:name="_Toc22593"/>
      <w:bookmarkStart w:id="118" w:name="_Toc5353"/>
      <w:r>
        <w:rPr>
          <w:rFonts w:hint="eastAsia" w:ascii="仿宋_GB2312" w:hAnsi="仿宋_GB2312" w:eastAsia="仿宋_GB2312" w:cs="仿宋_GB2312"/>
          <w:sz w:val="32"/>
          <w:szCs w:val="32"/>
          <w:highlight w:val="none"/>
          <w:lang w:val="en-US" w:eastAsia="zh-CN"/>
        </w:rPr>
        <w:t>甘肃省高级人民法院按照各法院上报的分项预算明细、往年资金分配情况以及今年实际需求进行合理分配，分配当年预算资金3,400.00万元，</w:t>
      </w:r>
      <w:r>
        <w:rPr>
          <w:rFonts w:hint="eastAsia" w:ascii="仿宋_GB2312" w:hAnsi="仿宋_GB2312" w:eastAsia="仿宋_GB2312" w:cs="仿宋_GB2312"/>
          <w:sz w:val="32"/>
          <w:szCs w:val="32"/>
          <w:highlight w:val="none"/>
        </w:rPr>
        <w:t>预算额度测算依据充分，确定的项目资金量与工作任务相匹配。评价认为，项目资金分配合理，与项目实际相适应。</w:t>
      </w:r>
      <w:r>
        <w:rPr>
          <w:rFonts w:hint="eastAsia" w:ascii="仿宋_GB2312" w:hAnsi="仿宋_GB2312" w:eastAsia="仿宋_GB2312" w:cs="仿宋_GB2312"/>
          <w:sz w:val="32"/>
          <w:szCs w:val="32"/>
          <w:highlight w:val="none"/>
          <w:lang w:val="en-US" w:eastAsia="zh-CN"/>
        </w:rPr>
        <w:t>资金分配明细如下：</w:t>
      </w:r>
    </w:p>
    <w:p w14:paraId="50D364F4">
      <w:pPr>
        <w:pStyle w:val="27"/>
        <w:pageBreakBefore w:val="0"/>
        <w:widowControl w:val="0"/>
        <w:kinsoku/>
        <w:wordWrap/>
        <w:overflowPunct w:val="0"/>
        <w:topLinePunct w:val="0"/>
        <w:autoSpaceDE/>
        <w:autoSpaceDN/>
        <w:bidi w:val="0"/>
        <w:adjustRightInd/>
        <w:snapToGrid/>
        <w:spacing w:line="560" w:lineRule="exact"/>
        <w:ind w:firstLine="640"/>
        <w:jc w:val="right"/>
        <w:textAlignment w:val="auto"/>
        <w:rPr>
          <w:rFonts w:hint="default"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单位：万元</w:t>
      </w:r>
    </w:p>
    <w:tbl>
      <w:tblPr>
        <w:tblStyle w:val="20"/>
        <w:tblW w:w="8730"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34"/>
        <w:gridCol w:w="5102"/>
        <w:gridCol w:w="2494"/>
      </w:tblGrid>
      <w:tr w14:paraId="28B064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blHeader/>
        </w:trPr>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F6B4D5">
            <w:pPr>
              <w:keepNext w:val="0"/>
              <w:keepLines w:val="0"/>
              <w:widowControl/>
              <w:suppressLineNumbers w:val="0"/>
              <w:jc w:val="center"/>
              <w:textAlignment w:val="center"/>
              <w:rPr>
                <w:rFonts w:hint="default" w:ascii="宋体" w:hAnsi="宋体" w:eastAsia="宋体" w:cs="宋体"/>
                <w:i w:val="0"/>
                <w:iCs w:val="0"/>
                <w:color w:val="auto"/>
                <w:kern w:val="0"/>
                <w:sz w:val="21"/>
                <w:szCs w:val="21"/>
                <w:u w:val="none"/>
                <w:lang w:val="en-US" w:eastAsia="zh-CN" w:bidi="ar"/>
              </w:rPr>
            </w:pPr>
            <w:bookmarkStart w:id="119" w:name="_Toc559"/>
            <w:r>
              <w:rPr>
                <w:rFonts w:hint="eastAsia" w:ascii="宋体" w:hAnsi="宋体" w:eastAsia="宋体" w:cs="宋体"/>
                <w:i w:val="0"/>
                <w:iCs w:val="0"/>
                <w:color w:val="auto"/>
                <w:kern w:val="0"/>
                <w:sz w:val="21"/>
                <w:szCs w:val="21"/>
                <w:u w:val="none"/>
                <w:lang w:val="en-US" w:eastAsia="zh-CN" w:bidi="ar"/>
              </w:rPr>
              <w:t>序号</w:t>
            </w:r>
          </w:p>
        </w:tc>
        <w:tc>
          <w:tcPr>
            <w:tcW w:w="51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D1071B">
            <w:pPr>
              <w:keepNext w:val="0"/>
              <w:keepLines w:val="0"/>
              <w:widowControl/>
              <w:suppressLineNumbers w:val="0"/>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预算单位</w:t>
            </w:r>
          </w:p>
        </w:tc>
        <w:tc>
          <w:tcPr>
            <w:tcW w:w="2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534864">
            <w:pPr>
              <w:keepNext w:val="0"/>
              <w:keepLines w:val="0"/>
              <w:widowControl/>
              <w:suppressLineNumbers w:val="0"/>
              <w:jc w:val="center"/>
              <w:textAlignment w:val="center"/>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预算金额</w:t>
            </w:r>
          </w:p>
        </w:tc>
      </w:tr>
      <w:tr w14:paraId="4239A7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F1A84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51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2EAFF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白龙江林区法院</w:t>
            </w:r>
          </w:p>
        </w:tc>
        <w:tc>
          <w:tcPr>
            <w:tcW w:w="2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F4FAF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8.00</w:t>
            </w:r>
          </w:p>
        </w:tc>
      </w:tr>
      <w:tr w14:paraId="220B11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B1DD5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51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B0DEC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兰州市城关区人民法院</w:t>
            </w:r>
          </w:p>
        </w:tc>
        <w:tc>
          <w:tcPr>
            <w:tcW w:w="2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6C98B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89.00</w:t>
            </w:r>
          </w:p>
        </w:tc>
      </w:tr>
      <w:tr w14:paraId="7F2B7B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DAA57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w:t>
            </w:r>
          </w:p>
        </w:tc>
        <w:tc>
          <w:tcPr>
            <w:tcW w:w="51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85EC2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兰州市七里河区人民法院</w:t>
            </w:r>
          </w:p>
        </w:tc>
        <w:tc>
          <w:tcPr>
            <w:tcW w:w="2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3F252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75.00</w:t>
            </w:r>
          </w:p>
        </w:tc>
      </w:tr>
      <w:tr w14:paraId="7BCA35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6792D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w:t>
            </w:r>
          </w:p>
        </w:tc>
        <w:tc>
          <w:tcPr>
            <w:tcW w:w="51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D188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兰州市西固区人民法院</w:t>
            </w:r>
          </w:p>
        </w:tc>
        <w:tc>
          <w:tcPr>
            <w:tcW w:w="2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D5EF8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32.00</w:t>
            </w:r>
          </w:p>
        </w:tc>
      </w:tr>
      <w:tr w14:paraId="288B2B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3128F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w:t>
            </w:r>
          </w:p>
        </w:tc>
        <w:tc>
          <w:tcPr>
            <w:tcW w:w="5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C7FF5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兰州市红古区人民法院</w:t>
            </w:r>
          </w:p>
        </w:tc>
        <w:tc>
          <w:tcPr>
            <w:tcW w:w="2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D0297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24.00</w:t>
            </w:r>
          </w:p>
        </w:tc>
      </w:tr>
      <w:tr w14:paraId="325503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5F17F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w:t>
            </w:r>
          </w:p>
        </w:tc>
        <w:tc>
          <w:tcPr>
            <w:tcW w:w="5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2A728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兰州新区人民法院</w:t>
            </w:r>
          </w:p>
        </w:tc>
        <w:tc>
          <w:tcPr>
            <w:tcW w:w="2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F93EF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12.00</w:t>
            </w:r>
          </w:p>
        </w:tc>
      </w:tr>
      <w:tr w14:paraId="0D3897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FFB36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w:t>
            </w:r>
          </w:p>
        </w:tc>
        <w:tc>
          <w:tcPr>
            <w:tcW w:w="5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F4B88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永登县人民法院</w:t>
            </w:r>
          </w:p>
        </w:tc>
        <w:tc>
          <w:tcPr>
            <w:tcW w:w="2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CB0E6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43.00</w:t>
            </w:r>
          </w:p>
        </w:tc>
      </w:tr>
      <w:tr w14:paraId="61F66E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6B2A0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w:t>
            </w:r>
          </w:p>
        </w:tc>
        <w:tc>
          <w:tcPr>
            <w:tcW w:w="5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78B06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榆中县人民法院</w:t>
            </w:r>
          </w:p>
        </w:tc>
        <w:tc>
          <w:tcPr>
            <w:tcW w:w="2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92345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56.00</w:t>
            </w:r>
          </w:p>
        </w:tc>
      </w:tr>
      <w:tr w14:paraId="331A65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41EDF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w:t>
            </w:r>
          </w:p>
        </w:tc>
        <w:tc>
          <w:tcPr>
            <w:tcW w:w="5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55AAC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皋兰县人民法院</w:t>
            </w:r>
          </w:p>
        </w:tc>
        <w:tc>
          <w:tcPr>
            <w:tcW w:w="2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E46A0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16.00</w:t>
            </w:r>
          </w:p>
        </w:tc>
      </w:tr>
      <w:tr w14:paraId="06EBF8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865B4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w:t>
            </w:r>
          </w:p>
        </w:tc>
        <w:tc>
          <w:tcPr>
            <w:tcW w:w="5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CF77D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金昌市金川区人民法院</w:t>
            </w:r>
          </w:p>
        </w:tc>
        <w:tc>
          <w:tcPr>
            <w:tcW w:w="2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43AC3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32.00</w:t>
            </w:r>
          </w:p>
        </w:tc>
      </w:tr>
      <w:tr w14:paraId="3EDB5C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BC23D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11</w:t>
            </w:r>
          </w:p>
        </w:tc>
        <w:tc>
          <w:tcPr>
            <w:tcW w:w="5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87629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永昌县人民法院</w:t>
            </w:r>
          </w:p>
        </w:tc>
        <w:tc>
          <w:tcPr>
            <w:tcW w:w="2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39091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69.00</w:t>
            </w:r>
          </w:p>
        </w:tc>
      </w:tr>
      <w:tr w14:paraId="15E6E0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C05C3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12</w:t>
            </w:r>
          </w:p>
        </w:tc>
        <w:tc>
          <w:tcPr>
            <w:tcW w:w="5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F1A17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白银市白银区人民法院</w:t>
            </w:r>
          </w:p>
        </w:tc>
        <w:tc>
          <w:tcPr>
            <w:tcW w:w="2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58DA0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12.00</w:t>
            </w:r>
          </w:p>
        </w:tc>
      </w:tr>
      <w:tr w14:paraId="7F8738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2E51F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13</w:t>
            </w:r>
          </w:p>
        </w:tc>
        <w:tc>
          <w:tcPr>
            <w:tcW w:w="5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D878E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白银市平川区人民法院</w:t>
            </w:r>
          </w:p>
        </w:tc>
        <w:tc>
          <w:tcPr>
            <w:tcW w:w="2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5A769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20.00</w:t>
            </w:r>
          </w:p>
        </w:tc>
      </w:tr>
      <w:tr w14:paraId="1763AA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F15E1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14</w:t>
            </w:r>
          </w:p>
        </w:tc>
        <w:tc>
          <w:tcPr>
            <w:tcW w:w="5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05C5F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会宁县人民法院</w:t>
            </w:r>
          </w:p>
        </w:tc>
        <w:tc>
          <w:tcPr>
            <w:tcW w:w="2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64CDD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71.00</w:t>
            </w:r>
          </w:p>
        </w:tc>
      </w:tr>
      <w:tr w14:paraId="6317B8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DED93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w:t>
            </w:r>
          </w:p>
        </w:tc>
        <w:tc>
          <w:tcPr>
            <w:tcW w:w="5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DC575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靖远县人民法院</w:t>
            </w:r>
          </w:p>
        </w:tc>
        <w:tc>
          <w:tcPr>
            <w:tcW w:w="2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9B87F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71.00</w:t>
            </w:r>
          </w:p>
        </w:tc>
      </w:tr>
      <w:tr w14:paraId="665087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277D6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16</w:t>
            </w:r>
          </w:p>
        </w:tc>
        <w:tc>
          <w:tcPr>
            <w:tcW w:w="5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1BB24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景泰县人民法院</w:t>
            </w:r>
          </w:p>
        </w:tc>
        <w:tc>
          <w:tcPr>
            <w:tcW w:w="2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3F41C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16.00</w:t>
            </w:r>
          </w:p>
        </w:tc>
      </w:tr>
      <w:tr w14:paraId="4F1C35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62BCD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17</w:t>
            </w:r>
          </w:p>
        </w:tc>
        <w:tc>
          <w:tcPr>
            <w:tcW w:w="5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7A591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天水市秦州区人民法院</w:t>
            </w:r>
          </w:p>
        </w:tc>
        <w:tc>
          <w:tcPr>
            <w:tcW w:w="2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48380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71.00</w:t>
            </w:r>
          </w:p>
        </w:tc>
      </w:tr>
      <w:tr w14:paraId="7E0C4B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97B40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18</w:t>
            </w:r>
          </w:p>
        </w:tc>
        <w:tc>
          <w:tcPr>
            <w:tcW w:w="5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D129B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天水市麦积区人民法院</w:t>
            </w:r>
          </w:p>
        </w:tc>
        <w:tc>
          <w:tcPr>
            <w:tcW w:w="2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720DF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76.00</w:t>
            </w:r>
          </w:p>
        </w:tc>
      </w:tr>
      <w:tr w14:paraId="22955F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C4FAF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19</w:t>
            </w:r>
          </w:p>
        </w:tc>
        <w:tc>
          <w:tcPr>
            <w:tcW w:w="5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B68FD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秦安县人民法院</w:t>
            </w:r>
          </w:p>
        </w:tc>
        <w:tc>
          <w:tcPr>
            <w:tcW w:w="2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73491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32.00</w:t>
            </w:r>
          </w:p>
        </w:tc>
      </w:tr>
      <w:tr w14:paraId="13273E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C6514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w:t>
            </w:r>
          </w:p>
        </w:tc>
        <w:tc>
          <w:tcPr>
            <w:tcW w:w="5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BEB3C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甘谷县人民法院</w:t>
            </w:r>
          </w:p>
        </w:tc>
        <w:tc>
          <w:tcPr>
            <w:tcW w:w="2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9F055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36.00</w:t>
            </w:r>
          </w:p>
        </w:tc>
      </w:tr>
      <w:tr w14:paraId="226B48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BB4C0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21</w:t>
            </w:r>
          </w:p>
        </w:tc>
        <w:tc>
          <w:tcPr>
            <w:tcW w:w="5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ADB11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武山县人民法院</w:t>
            </w:r>
          </w:p>
        </w:tc>
        <w:tc>
          <w:tcPr>
            <w:tcW w:w="2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5D012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24.00</w:t>
            </w:r>
          </w:p>
        </w:tc>
      </w:tr>
      <w:tr w14:paraId="736414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54C5D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22</w:t>
            </w:r>
          </w:p>
        </w:tc>
        <w:tc>
          <w:tcPr>
            <w:tcW w:w="5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BD235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清水县人民法院</w:t>
            </w:r>
          </w:p>
        </w:tc>
        <w:tc>
          <w:tcPr>
            <w:tcW w:w="2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291B5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32.00</w:t>
            </w:r>
          </w:p>
        </w:tc>
      </w:tr>
      <w:tr w14:paraId="21989D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3B333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23</w:t>
            </w:r>
          </w:p>
        </w:tc>
        <w:tc>
          <w:tcPr>
            <w:tcW w:w="5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63824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张家川回族自治县人民法院</w:t>
            </w:r>
          </w:p>
        </w:tc>
        <w:tc>
          <w:tcPr>
            <w:tcW w:w="2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027A5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24.00</w:t>
            </w:r>
          </w:p>
        </w:tc>
      </w:tr>
      <w:tr w14:paraId="11BD36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E088C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24</w:t>
            </w:r>
          </w:p>
        </w:tc>
        <w:tc>
          <w:tcPr>
            <w:tcW w:w="5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EB6CA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金塔县人民法院</w:t>
            </w:r>
          </w:p>
        </w:tc>
        <w:tc>
          <w:tcPr>
            <w:tcW w:w="2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0B21F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28.00</w:t>
            </w:r>
          </w:p>
        </w:tc>
      </w:tr>
      <w:tr w14:paraId="00609E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A5E9F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25</w:t>
            </w:r>
          </w:p>
        </w:tc>
        <w:tc>
          <w:tcPr>
            <w:tcW w:w="5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51F15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玉门市人民法院</w:t>
            </w:r>
          </w:p>
        </w:tc>
        <w:tc>
          <w:tcPr>
            <w:tcW w:w="2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D8CDA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35.00</w:t>
            </w:r>
          </w:p>
        </w:tc>
      </w:tr>
      <w:tr w14:paraId="6D2BF0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99FA6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26</w:t>
            </w:r>
          </w:p>
        </w:tc>
        <w:tc>
          <w:tcPr>
            <w:tcW w:w="5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F5384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阿克塞哈萨克族自治县人民法院</w:t>
            </w:r>
          </w:p>
        </w:tc>
        <w:tc>
          <w:tcPr>
            <w:tcW w:w="2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5DFEE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8.00</w:t>
            </w:r>
          </w:p>
        </w:tc>
      </w:tr>
      <w:tr w14:paraId="0B232D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77332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27</w:t>
            </w:r>
          </w:p>
        </w:tc>
        <w:tc>
          <w:tcPr>
            <w:tcW w:w="5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5D836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肃北蒙古族自治县人民法院</w:t>
            </w:r>
          </w:p>
        </w:tc>
        <w:tc>
          <w:tcPr>
            <w:tcW w:w="2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2FEF3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16.00</w:t>
            </w:r>
          </w:p>
        </w:tc>
      </w:tr>
      <w:tr w14:paraId="34C1C7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CFFCD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5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BAD9E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酒泉市肃州区人民法院</w:t>
            </w:r>
          </w:p>
        </w:tc>
        <w:tc>
          <w:tcPr>
            <w:tcW w:w="2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FCC24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66.00</w:t>
            </w:r>
          </w:p>
        </w:tc>
      </w:tr>
      <w:tr w14:paraId="21F617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E8096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29</w:t>
            </w:r>
          </w:p>
        </w:tc>
        <w:tc>
          <w:tcPr>
            <w:tcW w:w="5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D320C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敦煌市人民法院</w:t>
            </w:r>
          </w:p>
        </w:tc>
        <w:tc>
          <w:tcPr>
            <w:tcW w:w="2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A1803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24.00</w:t>
            </w:r>
          </w:p>
        </w:tc>
      </w:tr>
      <w:tr w14:paraId="67075F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B4761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w:t>
            </w:r>
          </w:p>
        </w:tc>
        <w:tc>
          <w:tcPr>
            <w:tcW w:w="5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32B37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瓜州县人民法院</w:t>
            </w:r>
          </w:p>
        </w:tc>
        <w:tc>
          <w:tcPr>
            <w:tcW w:w="2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08CA3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40.00</w:t>
            </w:r>
          </w:p>
        </w:tc>
      </w:tr>
      <w:tr w14:paraId="21B83F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A5FAB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31</w:t>
            </w:r>
          </w:p>
        </w:tc>
        <w:tc>
          <w:tcPr>
            <w:tcW w:w="5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74767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张掖市甘州区人民法院</w:t>
            </w:r>
          </w:p>
        </w:tc>
        <w:tc>
          <w:tcPr>
            <w:tcW w:w="2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DE33A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118.00</w:t>
            </w:r>
          </w:p>
        </w:tc>
      </w:tr>
      <w:tr w14:paraId="09EA06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341D4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32</w:t>
            </w:r>
          </w:p>
        </w:tc>
        <w:tc>
          <w:tcPr>
            <w:tcW w:w="5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49A93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高台县人民法院</w:t>
            </w:r>
          </w:p>
        </w:tc>
        <w:tc>
          <w:tcPr>
            <w:tcW w:w="2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94EF1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24.00</w:t>
            </w:r>
          </w:p>
        </w:tc>
      </w:tr>
      <w:tr w14:paraId="6902FA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9FBE6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33</w:t>
            </w:r>
          </w:p>
        </w:tc>
        <w:tc>
          <w:tcPr>
            <w:tcW w:w="5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471AD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临泽县人民法院</w:t>
            </w:r>
          </w:p>
        </w:tc>
        <w:tc>
          <w:tcPr>
            <w:tcW w:w="2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24637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24.00</w:t>
            </w:r>
          </w:p>
        </w:tc>
      </w:tr>
      <w:tr w14:paraId="08B27A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4B1B1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34</w:t>
            </w:r>
          </w:p>
        </w:tc>
        <w:tc>
          <w:tcPr>
            <w:tcW w:w="5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11D43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山丹县人民法院</w:t>
            </w:r>
          </w:p>
        </w:tc>
        <w:tc>
          <w:tcPr>
            <w:tcW w:w="2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C7A42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24.00</w:t>
            </w:r>
          </w:p>
        </w:tc>
      </w:tr>
      <w:tr w14:paraId="157A9A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43EDB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35</w:t>
            </w:r>
          </w:p>
        </w:tc>
        <w:tc>
          <w:tcPr>
            <w:tcW w:w="5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CC1A1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肃南裕固族自治县人民法院</w:t>
            </w:r>
          </w:p>
        </w:tc>
        <w:tc>
          <w:tcPr>
            <w:tcW w:w="2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5FFF0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24.00</w:t>
            </w:r>
          </w:p>
        </w:tc>
      </w:tr>
      <w:tr w14:paraId="47C884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5D938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36</w:t>
            </w:r>
          </w:p>
        </w:tc>
        <w:tc>
          <w:tcPr>
            <w:tcW w:w="5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19AB2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民乐县人民法院</w:t>
            </w:r>
          </w:p>
        </w:tc>
        <w:tc>
          <w:tcPr>
            <w:tcW w:w="2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3EB5A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23.00</w:t>
            </w:r>
          </w:p>
        </w:tc>
      </w:tr>
      <w:tr w14:paraId="643568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2907F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37</w:t>
            </w:r>
          </w:p>
        </w:tc>
        <w:tc>
          <w:tcPr>
            <w:tcW w:w="5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96F70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凉州区人民法院</w:t>
            </w:r>
          </w:p>
        </w:tc>
        <w:tc>
          <w:tcPr>
            <w:tcW w:w="2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F7215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181.00</w:t>
            </w:r>
          </w:p>
        </w:tc>
      </w:tr>
      <w:tr w14:paraId="0D69D0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B392D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38</w:t>
            </w:r>
          </w:p>
        </w:tc>
        <w:tc>
          <w:tcPr>
            <w:tcW w:w="5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7D223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民勤县人民法院</w:t>
            </w:r>
          </w:p>
        </w:tc>
        <w:tc>
          <w:tcPr>
            <w:tcW w:w="2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9C180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52.00</w:t>
            </w:r>
          </w:p>
        </w:tc>
      </w:tr>
      <w:tr w14:paraId="407CB0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C090E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39</w:t>
            </w:r>
          </w:p>
        </w:tc>
        <w:tc>
          <w:tcPr>
            <w:tcW w:w="5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B811D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古浪县人民法院</w:t>
            </w:r>
          </w:p>
        </w:tc>
        <w:tc>
          <w:tcPr>
            <w:tcW w:w="2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7DF9D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48.00</w:t>
            </w:r>
          </w:p>
        </w:tc>
      </w:tr>
      <w:tr w14:paraId="6C0BD1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55E7E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40</w:t>
            </w:r>
          </w:p>
        </w:tc>
        <w:tc>
          <w:tcPr>
            <w:tcW w:w="5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EBED0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天祝藏族自治县人民法院</w:t>
            </w:r>
          </w:p>
        </w:tc>
        <w:tc>
          <w:tcPr>
            <w:tcW w:w="2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86540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54.00</w:t>
            </w:r>
          </w:p>
        </w:tc>
      </w:tr>
      <w:tr w14:paraId="08EF03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ACAFD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41</w:t>
            </w:r>
          </w:p>
        </w:tc>
        <w:tc>
          <w:tcPr>
            <w:tcW w:w="5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FBE8F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安定区人民法院</w:t>
            </w:r>
          </w:p>
        </w:tc>
        <w:tc>
          <w:tcPr>
            <w:tcW w:w="2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ACFA3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51.00</w:t>
            </w:r>
          </w:p>
        </w:tc>
      </w:tr>
      <w:tr w14:paraId="6A946A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A9F3A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42</w:t>
            </w:r>
          </w:p>
        </w:tc>
        <w:tc>
          <w:tcPr>
            <w:tcW w:w="5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FB6FA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通渭县人民法院</w:t>
            </w:r>
          </w:p>
        </w:tc>
        <w:tc>
          <w:tcPr>
            <w:tcW w:w="2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5CA58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52.00</w:t>
            </w:r>
          </w:p>
        </w:tc>
      </w:tr>
      <w:tr w14:paraId="2611D7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A6880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43</w:t>
            </w:r>
          </w:p>
        </w:tc>
        <w:tc>
          <w:tcPr>
            <w:tcW w:w="5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03DB4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陇西县人民法院</w:t>
            </w:r>
          </w:p>
        </w:tc>
        <w:tc>
          <w:tcPr>
            <w:tcW w:w="2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405A8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60.00</w:t>
            </w:r>
          </w:p>
        </w:tc>
      </w:tr>
      <w:tr w14:paraId="146D62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E2761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44</w:t>
            </w:r>
          </w:p>
        </w:tc>
        <w:tc>
          <w:tcPr>
            <w:tcW w:w="5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D7741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渭源县人民法院</w:t>
            </w:r>
          </w:p>
        </w:tc>
        <w:tc>
          <w:tcPr>
            <w:tcW w:w="2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19D7B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39.00</w:t>
            </w:r>
          </w:p>
        </w:tc>
      </w:tr>
      <w:tr w14:paraId="281A15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EC895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45</w:t>
            </w:r>
          </w:p>
        </w:tc>
        <w:tc>
          <w:tcPr>
            <w:tcW w:w="5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9E89A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临洮县人民法院</w:t>
            </w:r>
          </w:p>
        </w:tc>
        <w:tc>
          <w:tcPr>
            <w:tcW w:w="2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4AE51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87.00</w:t>
            </w:r>
          </w:p>
        </w:tc>
      </w:tr>
      <w:tr w14:paraId="6BBC7F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97C81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46</w:t>
            </w:r>
          </w:p>
        </w:tc>
        <w:tc>
          <w:tcPr>
            <w:tcW w:w="5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36DB9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漳县人民法院</w:t>
            </w:r>
          </w:p>
        </w:tc>
        <w:tc>
          <w:tcPr>
            <w:tcW w:w="2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C481C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32.00</w:t>
            </w:r>
          </w:p>
        </w:tc>
      </w:tr>
      <w:tr w14:paraId="6133CB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B1DA8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47</w:t>
            </w:r>
          </w:p>
        </w:tc>
        <w:tc>
          <w:tcPr>
            <w:tcW w:w="5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52FA9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岷县人民法院</w:t>
            </w:r>
          </w:p>
        </w:tc>
        <w:tc>
          <w:tcPr>
            <w:tcW w:w="2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F4D03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56.00</w:t>
            </w:r>
          </w:p>
        </w:tc>
      </w:tr>
      <w:tr w14:paraId="05A900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C7BF5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48</w:t>
            </w:r>
          </w:p>
        </w:tc>
        <w:tc>
          <w:tcPr>
            <w:tcW w:w="5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4545F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徽县人民法院</w:t>
            </w:r>
          </w:p>
        </w:tc>
        <w:tc>
          <w:tcPr>
            <w:tcW w:w="2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6F679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46.00</w:t>
            </w:r>
          </w:p>
        </w:tc>
      </w:tr>
      <w:tr w14:paraId="7392EE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20BC6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49</w:t>
            </w:r>
          </w:p>
        </w:tc>
        <w:tc>
          <w:tcPr>
            <w:tcW w:w="5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6824C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成县人民法院</w:t>
            </w:r>
          </w:p>
        </w:tc>
        <w:tc>
          <w:tcPr>
            <w:tcW w:w="2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CB60D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40.00</w:t>
            </w:r>
          </w:p>
        </w:tc>
      </w:tr>
      <w:tr w14:paraId="0AC5A2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A76CF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w:t>
            </w:r>
          </w:p>
        </w:tc>
        <w:tc>
          <w:tcPr>
            <w:tcW w:w="5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55722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康县人民法院</w:t>
            </w:r>
          </w:p>
        </w:tc>
        <w:tc>
          <w:tcPr>
            <w:tcW w:w="2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2B814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32.00</w:t>
            </w:r>
          </w:p>
        </w:tc>
      </w:tr>
      <w:tr w14:paraId="653747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6381B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51</w:t>
            </w:r>
          </w:p>
        </w:tc>
        <w:tc>
          <w:tcPr>
            <w:tcW w:w="5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5AE24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礼县人民法院</w:t>
            </w:r>
          </w:p>
        </w:tc>
        <w:tc>
          <w:tcPr>
            <w:tcW w:w="2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D1368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47.00</w:t>
            </w:r>
          </w:p>
        </w:tc>
      </w:tr>
      <w:tr w14:paraId="7AD6E2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F9076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52</w:t>
            </w:r>
          </w:p>
        </w:tc>
        <w:tc>
          <w:tcPr>
            <w:tcW w:w="5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E366A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文县人民法院</w:t>
            </w:r>
          </w:p>
        </w:tc>
        <w:tc>
          <w:tcPr>
            <w:tcW w:w="2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F2311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24.00</w:t>
            </w:r>
          </w:p>
        </w:tc>
      </w:tr>
      <w:tr w14:paraId="00A47C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590A2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53</w:t>
            </w:r>
          </w:p>
        </w:tc>
        <w:tc>
          <w:tcPr>
            <w:tcW w:w="5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9D00C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陇南市武都区人民法院</w:t>
            </w:r>
          </w:p>
        </w:tc>
        <w:tc>
          <w:tcPr>
            <w:tcW w:w="2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08A61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52.00</w:t>
            </w:r>
          </w:p>
        </w:tc>
      </w:tr>
      <w:tr w14:paraId="2A6469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B7655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54</w:t>
            </w:r>
          </w:p>
        </w:tc>
        <w:tc>
          <w:tcPr>
            <w:tcW w:w="5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4F6DB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宕昌县人民法院</w:t>
            </w:r>
          </w:p>
        </w:tc>
        <w:tc>
          <w:tcPr>
            <w:tcW w:w="2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2ED2D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40.00</w:t>
            </w:r>
          </w:p>
        </w:tc>
      </w:tr>
      <w:tr w14:paraId="3893A5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6C969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55</w:t>
            </w:r>
          </w:p>
        </w:tc>
        <w:tc>
          <w:tcPr>
            <w:tcW w:w="5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9C1F2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西和县人民法院</w:t>
            </w:r>
          </w:p>
        </w:tc>
        <w:tc>
          <w:tcPr>
            <w:tcW w:w="2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DE2F1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38.00</w:t>
            </w:r>
          </w:p>
        </w:tc>
      </w:tr>
      <w:tr w14:paraId="1D74EE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611EF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56</w:t>
            </w:r>
          </w:p>
        </w:tc>
        <w:tc>
          <w:tcPr>
            <w:tcW w:w="5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67508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两当县人民法院</w:t>
            </w:r>
          </w:p>
        </w:tc>
        <w:tc>
          <w:tcPr>
            <w:tcW w:w="2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9782B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24.00</w:t>
            </w:r>
          </w:p>
        </w:tc>
      </w:tr>
      <w:tr w14:paraId="5CACA7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B27D1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57</w:t>
            </w:r>
          </w:p>
        </w:tc>
        <w:tc>
          <w:tcPr>
            <w:tcW w:w="5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9F4EB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平凉市崆峒区人民法院</w:t>
            </w:r>
          </w:p>
        </w:tc>
        <w:tc>
          <w:tcPr>
            <w:tcW w:w="2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5D5B3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60.00</w:t>
            </w:r>
          </w:p>
        </w:tc>
      </w:tr>
      <w:tr w14:paraId="22D69F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2335C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58</w:t>
            </w:r>
          </w:p>
        </w:tc>
        <w:tc>
          <w:tcPr>
            <w:tcW w:w="5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AB422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庄浪县人民法院</w:t>
            </w:r>
          </w:p>
        </w:tc>
        <w:tc>
          <w:tcPr>
            <w:tcW w:w="2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E0F6D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40.00</w:t>
            </w:r>
          </w:p>
        </w:tc>
      </w:tr>
      <w:tr w14:paraId="1A9611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A5A8D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59</w:t>
            </w:r>
          </w:p>
        </w:tc>
        <w:tc>
          <w:tcPr>
            <w:tcW w:w="5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9CB8C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崇信县人民法院</w:t>
            </w:r>
          </w:p>
        </w:tc>
        <w:tc>
          <w:tcPr>
            <w:tcW w:w="2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3443D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16.00</w:t>
            </w:r>
          </w:p>
        </w:tc>
      </w:tr>
      <w:tr w14:paraId="125B5B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F92E0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60</w:t>
            </w:r>
          </w:p>
        </w:tc>
        <w:tc>
          <w:tcPr>
            <w:tcW w:w="5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E7329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灵台县人民法院</w:t>
            </w:r>
          </w:p>
        </w:tc>
        <w:tc>
          <w:tcPr>
            <w:tcW w:w="2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57D6C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24.00</w:t>
            </w:r>
          </w:p>
        </w:tc>
      </w:tr>
      <w:tr w14:paraId="74784A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F3353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61</w:t>
            </w:r>
          </w:p>
        </w:tc>
        <w:tc>
          <w:tcPr>
            <w:tcW w:w="5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3B4AB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华亭市人民法院</w:t>
            </w:r>
          </w:p>
        </w:tc>
        <w:tc>
          <w:tcPr>
            <w:tcW w:w="2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CCE43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23.00</w:t>
            </w:r>
          </w:p>
        </w:tc>
      </w:tr>
      <w:tr w14:paraId="0091B2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06EF5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62</w:t>
            </w:r>
          </w:p>
        </w:tc>
        <w:tc>
          <w:tcPr>
            <w:tcW w:w="5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C9A06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静宁县人民法院</w:t>
            </w:r>
          </w:p>
        </w:tc>
        <w:tc>
          <w:tcPr>
            <w:tcW w:w="2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2C693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32.00</w:t>
            </w:r>
          </w:p>
        </w:tc>
      </w:tr>
      <w:tr w14:paraId="7BED81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80E88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63</w:t>
            </w:r>
          </w:p>
        </w:tc>
        <w:tc>
          <w:tcPr>
            <w:tcW w:w="5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300ED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泾川县人民法院</w:t>
            </w:r>
          </w:p>
        </w:tc>
        <w:tc>
          <w:tcPr>
            <w:tcW w:w="2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1A8B1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24.00</w:t>
            </w:r>
          </w:p>
        </w:tc>
      </w:tr>
      <w:tr w14:paraId="543031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D8EDD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64</w:t>
            </w:r>
          </w:p>
        </w:tc>
        <w:tc>
          <w:tcPr>
            <w:tcW w:w="5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8F423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环县人民法院</w:t>
            </w:r>
          </w:p>
        </w:tc>
        <w:tc>
          <w:tcPr>
            <w:tcW w:w="2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C1427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54.00</w:t>
            </w:r>
          </w:p>
        </w:tc>
      </w:tr>
      <w:tr w14:paraId="45B20F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36485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65</w:t>
            </w:r>
          </w:p>
        </w:tc>
        <w:tc>
          <w:tcPr>
            <w:tcW w:w="5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70792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正宁县人民法院</w:t>
            </w:r>
          </w:p>
        </w:tc>
        <w:tc>
          <w:tcPr>
            <w:tcW w:w="2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9414A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40.00</w:t>
            </w:r>
          </w:p>
        </w:tc>
      </w:tr>
      <w:tr w14:paraId="7344BF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31B43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66</w:t>
            </w:r>
          </w:p>
        </w:tc>
        <w:tc>
          <w:tcPr>
            <w:tcW w:w="5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28E51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合水县人民法院</w:t>
            </w:r>
          </w:p>
        </w:tc>
        <w:tc>
          <w:tcPr>
            <w:tcW w:w="2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65755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40.00</w:t>
            </w:r>
          </w:p>
        </w:tc>
      </w:tr>
      <w:tr w14:paraId="2E7613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D60A6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67</w:t>
            </w:r>
          </w:p>
        </w:tc>
        <w:tc>
          <w:tcPr>
            <w:tcW w:w="5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857E4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镇原县人民法院</w:t>
            </w:r>
          </w:p>
        </w:tc>
        <w:tc>
          <w:tcPr>
            <w:tcW w:w="2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FB070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44.00</w:t>
            </w:r>
          </w:p>
        </w:tc>
      </w:tr>
      <w:tr w14:paraId="58DAAC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90F0C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68</w:t>
            </w:r>
          </w:p>
        </w:tc>
        <w:tc>
          <w:tcPr>
            <w:tcW w:w="5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31EBD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华池县人民法院</w:t>
            </w:r>
          </w:p>
        </w:tc>
        <w:tc>
          <w:tcPr>
            <w:tcW w:w="2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9C881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32.00</w:t>
            </w:r>
          </w:p>
        </w:tc>
      </w:tr>
      <w:tr w14:paraId="00C7FB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79258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69</w:t>
            </w:r>
          </w:p>
        </w:tc>
        <w:tc>
          <w:tcPr>
            <w:tcW w:w="5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D7688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宁县人民法院</w:t>
            </w:r>
          </w:p>
        </w:tc>
        <w:tc>
          <w:tcPr>
            <w:tcW w:w="2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71E3D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63.00</w:t>
            </w:r>
          </w:p>
        </w:tc>
      </w:tr>
      <w:tr w14:paraId="7D44BF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77AC9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70</w:t>
            </w:r>
          </w:p>
        </w:tc>
        <w:tc>
          <w:tcPr>
            <w:tcW w:w="5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0CAAB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子午岭林区法院</w:t>
            </w:r>
          </w:p>
        </w:tc>
        <w:tc>
          <w:tcPr>
            <w:tcW w:w="2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38EDB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16.00</w:t>
            </w:r>
          </w:p>
        </w:tc>
      </w:tr>
      <w:tr w14:paraId="427BBE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F5A07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71</w:t>
            </w:r>
          </w:p>
        </w:tc>
        <w:tc>
          <w:tcPr>
            <w:tcW w:w="5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CD988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庆城县人民法院</w:t>
            </w:r>
          </w:p>
        </w:tc>
        <w:tc>
          <w:tcPr>
            <w:tcW w:w="2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86618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44.00</w:t>
            </w:r>
          </w:p>
        </w:tc>
      </w:tr>
      <w:tr w14:paraId="33CF5E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441A8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72</w:t>
            </w:r>
          </w:p>
        </w:tc>
        <w:tc>
          <w:tcPr>
            <w:tcW w:w="5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BE105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西峰区人民法院</w:t>
            </w:r>
          </w:p>
        </w:tc>
        <w:tc>
          <w:tcPr>
            <w:tcW w:w="2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082CD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66.00</w:t>
            </w:r>
          </w:p>
        </w:tc>
      </w:tr>
      <w:tr w14:paraId="6C49C8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EC27B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73</w:t>
            </w:r>
          </w:p>
        </w:tc>
        <w:tc>
          <w:tcPr>
            <w:tcW w:w="5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F1FFE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东乡族自治县人民法院</w:t>
            </w:r>
          </w:p>
        </w:tc>
        <w:tc>
          <w:tcPr>
            <w:tcW w:w="2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0BC79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40.00</w:t>
            </w:r>
          </w:p>
        </w:tc>
      </w:tr>
      <w:tr w14:paraId="0E7055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FCD64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74</w:t>
            </w:r>
          </w:p>
        </w:tc>
        <w:tc>
          <w:tcPr>
            <w:tcW w:w="5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4C6D2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临夏市人民法院</w:t>
            </w:r>
          </w:p>
        </w:tc>
        <w:tc>
          <w:tcPr>
            <w:tcW w:w="2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E7FE6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24.00</w:t>
            </w:r>
          </w:p>
        </w:tc>
      </w:tr>
      <w:tr w14:paraId="2680A9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543D5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75</w:t>
            </w:r>
          </w:p>
        </w:tc>
        <w:tc>
          <w:tcPr>
            <w:tcW w:w="5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4BB3B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广河县人民法院</w:t>
            </w:r>
          </w:p>
        </w:tc>
        <w:tc>
          <w:tcPr>
            <w:tcW w:w="2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A97F8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32.00</w:t>
            </w:r>
          </w:p>
        </w:tc>
      </w:tr>
      <w:tr w14:paraId="7A943B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CEAEA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76</w:t>
            </w:r>
          </w:p>
        </w:tc>
        <w:tc>
          <w:tcPr>
            <w:tcW w:w="5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61BAD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康乐县人民法院</w:t>
            </w:r>
          </w:p>
        </w:tc>
        <w:tc>
          <w:tcPr>
            <w:tcW w:w="2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B4BF3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32.00</w:t>
            </w:r>
          </w:p>
        </w:tc>
      </w:tr>
      <w:tr w14:paraId="15321B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D4C53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77</w:t>
            </w:r>
          </w:p>
        </w:tc>
        <w:tc>
          <w:tcPr>
            <w:tcW w:w="5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C5AD3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临夏县人民法院</w:t>
            </w:r>
          </w:p>
        </w:tc>
        <w:tc>
          <w:tcPr>
            <w:tcW w:w="2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519F9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36.00</w:t>
            </w:r>
          </w:p>
        </w:tc>
      </w:tr>
      <w:tr w14:paraId="019193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BFC21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78</w:t>
            </w:r>
          </w:p>
        </w:tc>
        <w:tc>
          <w:tcPr>
            <w:tcW w:w="5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45280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和政县人民法院</w:t>
            </w:r>
          </w:p>
        </w:tc>
        <w:tc>
          <w:tcPr>
            <w:tcW w:w="2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95236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24.00</w:t>
            </w:r>
          </w:p>
        </w:tc>
      </w:tr>
      <w:tr w14:paraId="3579B4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EDA87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79</w:t>
            </w:r>
          </w:p>
        </w:tc>
        <w:tc>
          <w:tcPr>
            <w:tcW w:w="5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54470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积石山县人民法院</w:t>
            </w:r>
          </w:p>
        </w:tc>
        <w:tc>
          <w:tcPr>
            <w:tcW w:w="2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1580B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24.00</w:t>
            </w:r>
          </w:p>
        </w:tc>
      </w:tr>
      <w:tr w14:paraId="57EB8B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11C9E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80</w:t>
            </w:r>
          </w:p>
        </w:tc>
        <w:tc>
          <w:tcPr>
            <w:tcW w:w="5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96047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永靖县人民法院</w:t>
            </w:r>
          </w:p>
        </w:tc>
        <w:tc>
          <w:tcPr>
            <w:tcW w:w="2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49BF7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40.00</w:t>
            </w:r>
          </w:p>
        </w:tc>
      </w:tr>
      <w:tr w14:paraId="054D8E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285E0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81</w:t>
            </w:r>
          </w:p>
        </w:tc>
        <w:tc>
          <w:tcPr>
            <w:tcW w:w="5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62AC8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临潭县人民法院</w:t>
            </w:r>
          </w:p>
        </w:tc>
        <w:tc>
          <w:tcPr>
            <w:tcW w:w="2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0214F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32.00</w:t>
            </w:r>
          </w:p>
        </w:tc>
      </w:tr>
      <w:tr w14:paraId="07584E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6EB3E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82</w:t>
            </w:r>
          </w:p>
        </w:tc>
        <w:tc>
          <w:tcPr>
            <w:tcW w:w="5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4947C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夏河县人民法院</w:t>
            </w:r>
          </w:p>
        </w:tc>
        <w:tc>
          <w:tcPr>
            <w:tcW w:w="2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B4585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16.00</w:t>
            </w:r>
          </w:p>
        </w:tc>
      </w:tr>
      <w:tr w14:paraId="54DD6E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48907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83</w:t>
            </w:r>
          </w:p>
        </w:tc>
        <w:tc>
          <w:tcPr>
            <w:tcW w:w="5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2224E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卓尼县人民法院</w:t>
            </w:r>
          </w:p>
        </w:tc>
        <w:tc>
          <w:tcPr>
            <w:tcW w:w="2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B219C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24.00</w:t>
            </w:r>
          </w:p>
        </w:tc>
      </w:tr>
      <w:tr w14:paraId="570458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6B1B5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84</w:t>
            </w:r>
          </w:p>
        </w:tc>
        <w:tc>
          <w:tcPr>
            <w:tcW w:w="51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FE729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玛曲县人民法院</w:t>
            </w:r>
          </w:p>
        </w:tc>
        <w:tc>
          <w:tcPr>
            <w:tcW w:w="24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31F8A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8.00</w:t>
            </w:r>
          </w:p>
        </w:tc>
      </w:tr>
      <w:tr w14:paraId="07B8A3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9F316E">
            <w:pPr>
              <w:jc w:val="both"/>
              <w:rPr>
                <w:rFonts w:hint="eastAsia" w:ascii="宋体" w:hAnsi="宋体" w:eastAsia="宋体" w:cs="宋体"/>
                <w:i w:val="0"/>
                <w:iCs w:val="0"/>
                <w:color w:val="auto"/>
                <w:sz w:val="20"/>
                <w:szCs w:val="20"/>
                <w:u w:val="none"/>
              </w:rPr>
            </w:pPr>
          </w:p>
        </w:tc>
        <w:tc>
          <w:tcPr>
            <w:tcW w:w="51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0C9520">
            <w:pPr>
              <w:keepNext w:val="0"/>
              <w:keepLines w:val="0"/>
              <w:widowControl/>
              <w:suppressLineNumbers w:val="0"/>
              <w:jc w:val="center"/>
              <w:textAlignment w:val="center"/>
              <w:rPr>
                <w:rFonts w:hint="eastAsia" w:ascii="宋体" w:hAnsi="宋体" w:eastAsia="宋体" w:cs="宋体"/>
                <w:b/>
                <w:bCs/>
                <w:i w:val="0"/>
                <w:iCs w:val="0"/>
                <w:color w:val="auto"/>
                <w:sz w:val="20"/>
                <w:szCs w:val="20"/>
                <w:u w:val="none"/>
              </w:rPr>
            </w:pPr>
            <w:r>
              <w:rPr>
                <w:rStyle w:val="41"/>
                <w:color w:val="auto"/>
                <w:lang w:val="en-US" w:eastAsia="zh-CN" w:bidi="ar"/>
              </w:rPr>
              <w:t>合计</w:t>
            </w:r>
          </w:p>
        </w:tc>
        <w:tc>
          <w:tcPr>
            <w:tcW w:w="24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F66BF3">
            <w:pPr>
              <w:keepNext w:val="0"/>
              <w:keepLines w:val="0"/>
              <w:widowControl/>
              <w:suppressLineNumbers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3,400.00</w:t>
            </w:r>
          </w:p>
        </w:tc>
      </w:tr>
    </w:tbl>
    <w:p w14:paraId="68745843">
      <w:pPr>
        <w:pStyle w:val="10"/>
        <w:keepNext w:val="0"/>
        <w:keepLines w:val="0"/>
        <w:pageBreakBefore w:val="0"/>
        <w:widowControl w:val="0"/>
        <w:kinsoku/>
        <w:wordWrap/>
        <w:overflowPunct w:val="0"/>
        <w:topLinePunct w:val="0"/>
        <w:autoSpaceDE/>
        <w:autoSpaceDN/>
        <w:bidi w:val="0"/>
        <w:adjustRightInd/>
        <w:snapToGrid/>
        <w:spacing w:line="560" w:lineRule="exact"/>
        <w:ind w:firstLine="643" w:firstLineChars="200"/>
        <w:textAlignment w:val="auto"/>
        <w:outlineLvl w:val="1"/>
        <w:rPr>
          <w:rFonts w:ascii="楷体" w:hAnsi="楷体" w:eastAsia="楷体" w:cs="楷体"/>
          <w:b/>
          <w:bCs/>
          <w:highlight w:val="none"/>
        </w:rPr>
      </w:pPr>
      <w:r>
        <w:rPr>
          <w:rFonts w:hint="eastAsia" w:ascii="楷体" w:hAnsi="楷体" w:eastAsia="楷体" w:cs="楷体"/>
          <w:b/>
          <w:bCs/>
          <w:highlight w:val="none"/>
        </w:rPr>
        <w:t>（二）项目过程情况</w:t>
      </w:r>
      <w:bookmarkEnd w:id="117"/>
      <w:bookmarkEnd w:id="118"/>
      <w:bookmarkEnd w:id="119"/>
    </w:p>
    <w:p w14:paraId="08B4124A">
      <w:pPr>
        <w:pStyle w:val="10"/>
        <w:keepNext w:val="0"/>
        <w:keepLines w:val="0"/>
        <w:pageBreakBefore w:val="0"/>
        <w:widowControl w:val="0"/>
        <w:tabs>
          <w:tab w:val="left" w:pos="0"/>
        </w:tabs>
        <w:kinsoku/>
        <w:wordWrap/>
        <w:overflowPunct w:val="0"/>
        <w:topLinePunct w:val="0"/>
        <w:autoSpaceDE/>
        <w:autoSpaceDN/>
        <w:bidi w:val="0"/>
        <w:adjustRightInd/>
        <w:snapToGrid/>
        <w:spacing w:line="560" w:lineRule="exact"/>
        <w:ind w:firstLine="640" w:firstLineChars="200"/>
        <w:textAlignment w:val="auto"/>
        <w:rPr>
          <w:rFonts w:ascii="仿宋_GB2312" w:hAnsi="仿宋_GB2312" w:cs="仿宋_GB2312"/>
          <w:highlight w:val="none"/>
        </w:rPr>
      </w:pPr>
      <w:r>
        <w:rPr>
          <w:rFonts w:hint="eastAsia" w:ascii="仿宋_GB2312" w:hAnsi="仿宋_GB2312" w:cs="仿宋_GB2312"/>
          <w:highlight w:val="none"/>
        </w:rPr>
        <w:t>项目过程指标包括资金管理、组织实施两个二级指标。资金管理指标包括资金到位率、预算执行率、资金使用合规性三个三级指标，组织实施指标包括管理制度健全性、制度执行有效性</w:t>
      </w:r>
      <w:r>
        <w:rPr>
          <w:rFonts w:hint="eastAsia" w:ascii="仿宋_GB2312" w:hAnsi="仿宋_GB2312" w:cs="仿宋_GB2312"/>
          <w:highlight w:val="none"/>
          <w:lang w:eastAsia="zh-CN"/>
        </w:rPr>
        <w:t>、</w:t>
      </w:r>
      <w:r>
        <w:rPr>
          <w:rFonts w:hint="eastAsia" w:ascii="仿宋_GB2312" w:hAnsi="仿宋_GB2312" w:cs="仿宋_GB2312"/>
          <w:highlight w:val="none"/>
          <w:lang w:val="en-US" w:eastAsia="zh-CN"/>
        </w:rPr>
        <w:t>绩效管理规范性三</w:t>
      </w:r>
      <w:r>
        <w:rPr>
          <w:rFonts w:hint="eastAsia" w:ascii="仿宋_GB2312" w:hAnsi="仿宋_GB2312" w:cs="仿宋_GB2312"/>
          <w:highlight w:val="none"/>
        </w:rPr>
        <w:t>个三级指标。指标分值</w:t>
      </w:r>
      <w:r>
        <w:rPr>
          <w:rFonts w:hint="eastAsia" w:ascii="仿宋_GB2312" w:hAnsi="仿宋_GB2312" w:cs="仿宋_GB2312"/>
          <w:highlight w:val="none"/>
          <w:lang w:val="en-US" w:eastAsia="zh-CN"/>
        </w:rPr>
        <w:t>15</w:t>
      </w:r>
      <w:r>
        <w:rPr>
          <w:rFonts w:hint="eastAsia" w:ascii="仿宋_GB2312" w:hAnsi="仿宋_GB2312" w:cs="仿宋_GB2312"/>
          <w:highlight w:val="none"/>
        </w:rPr>
        <w:t>分，评价得分</w:t>
      </w:r>
      <w:r>
        <w:rPr>
          <w:rFonts w:hint="eastAsia" w:ascii="仿宋_GB2312" w:hAnsi="仿宋_GB2312" w:cs="仿宋_GB2312"/>
          <w:highlight w:val="none"/>
          <w:lang w:val="en-US" w:eastAsia="zh-CN"/>
        </w:rPr>
        <w:t>13.45</w:t>
      </w:r>
      <w:r>
        <w:rPr>
          <w:rFonts w:hint="eastAsia" w:ascii="仿宋_GB2312" w:hAnsi="仿宋_GB2312" w:cs="仿宋_GB2312"/>
          <w:highlight w:val="none"/>
        </w:rPr>
        <w:t>分，得分率</w:t>
      </w:r>
      <w:r>
        <w:rPr>
          <w:rFonts w:hint="eastAsia" w:ascii="仿宋_GB2312" w:hAnsi="仿宋_GB2312" w:cs="仿宋_GB2312"/>
          <w:highlight w:val="none"/>
          <w:lang w:val="en-US" w:eastAsia="zh-CN"/>
        </w:rPr>
        <w:t>89.67</w:t>
      </w:r>
      <w:r>
        <w:rPr>
          <w:rFonts w:hint="eastAsia" w:ascii="仿宋_GB2312" w:hAnsi="仿宋_GB2312" w:cs="仿宋_GB2312"/>
          <w:highlight w:val="none"/>
        </w:rPr>
        <w:t>%。</w:t>
      </w:r>
    </w:p>
    <w:tbl>
      <w:tblPr>
        <w:tblStyle w:val="21"/>
        <w:tblW w:w="0" w:type="auto"/>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1201"/>
        <w:gridCol w:w="2264"/>
        <w:gridCol w:w="907"/>
        <w:gridCol w:w="1134"/>
        <w:gridCol w:w="1134"/>
        <w:gridCol w:w="1134"/>
        <w:gridCol w:w="1134"/>
      </w:tblGrid>
      <w:tr w14:paraId="434667BF">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blHeader/>
        </w:trPr>
        <w:tc>
          <w:tcPr>
            <w:tcW w:w="1201" w:type="dxa"/>
            <w:tcBorders>
              <w:tl2br w:val="nil"/>
              <w:tr2bl w:val="nil"/>
            </w:tcBorders>
            <w:shd w:val="clear" w:color="auto" w:fill="BDD6EE" w:themeFill="accent1" w:themeFillTint="66"/>
            <w:vAlign w:val="center"/>
          </w:tcPr>
          <w:p w14:paraId="19F59B61">
            <w:pPr>
              <w:widowControl/>
              <w:jc w:val="center"/>
              <w:textAlignment w:val="center"/>
              <w:rPr>
                <w:rFonts w:hint="eastAsia" w:ascii="宋体" w:hAnsi="宋体" w:eastAsia="宋体" w:cs="宋体"/>
                <w:b/>
                <w:bCs/>
                <w:color w:val="auto"/>
                <w:kern w:val="0"/>
                <w:sz w:val="20"/>
                <w:szCs w:val="20"/>
                <w:highlight w:val="none"/>
                <w:lang w:bidi="ar"/>
              </w:rPr>
            </w:pPr>
            <w:bookmarkStart w:id="120" w:name="_Hlk167346931"/>
            <w:r>
              <w:rPr>
                <w:rFonts w:hint="eastAsia" w:ascii="宋体" w:hAnsi="宋体" w:eastAsia="宋体" w:cs="宋体"/>
                <w:b/>
                <w:bCs/>
                <w:color w:val="auto"/>
                <w:kern w:val="0"/>
                <w:sz w:val="20"/>
                <w:szCs w:val="20"/>
                <w:highlight w:val="none"/>
                <w:lang w:bidi="ar"/>
              </w:rPr>
              <w:t>二级指标</w:t>
            </w:r>
          </w:p>
        </w:tc>
        <w:tc>
          <w:tcPr>
            <w:tcW w:w="2264" w:type="dxa"/>
            <w:tcBorders>
              <w:tl2br w:val="nil"/>
              <w:tr2bl w:val="nil"/>
            </w:tcBorders>
            <w:shd w:val="clear" w:color="auto" w:fill="BDD6EE" w:themeFill="accent1" w:themeFillTint="66"/>
            <w:vAlign w:val="center"/>
          </w:tcPr>
          <w:p w14:paraId="639E6EAD">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三级指标</w:t>
            </w:r>
          </w:p>
        </w:tc>
        <w:tc>
          <w:tcPr>
            <w:tcW w:w="907" w:type="dxa"/>
            <w:tcBorders>
              <w:tl2br w:val="nil"/>
              <w:tr2bl w:val="nil"/>
            </w:tcBorders>
            <w:shd w:val="clear" w:color="auto" w:fill="BDD6EE" w:themeFill="accent1" w:themeFillTint="66"/>
            <w:vAlign w:val="center"/>
          </w:tcPr>
          <w:p w14:paraId="12A28ED6">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分值</w:t>
            </w:r>
          </w:p>
        </w:tc>
        <w:tc>
          <w:tcPr>
            <w:tcW w:w="1134" w:type="dxa"/>
            <w:tcBorders>
              <w:tl2br w:val="nil"/>
              <w:tr2bl w:val="nil"/>
            </w:tcBorders>
            <w:shd w:val="clear" w:color="auto" w:fill="BDD6EE" w:themeFill="accent1" w:themeFillTint="66"/>
            <w:vAlign w:val="center"/>
          </w:tcPr>
          <w:p w14:paraId="2B4D0140">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目标值</w:t>
            </w:r>
          </w:p>
        </w:tc>
        <w:tc>
          <w:tcPr>
            <w:tcW w:w="1134" w:type="dxa"/>
            <w:tcBorders>
              <w:tl2br w:val="nil"/>
              <w:tr2bl w:val="nil"/>
            </w:tcBorders>
            <w:shd w:val="clear" w:color="auto" w:fill="BDD6EE" w:themeFill="accent1" w:themeFillTint="66"/>
            <w:vAlign w:val="center"/>
          </w:tcPr>
          <w:p w14:paraId="6DC5DA9E">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业绩值</w:t>
            </w:r>
          </w:p>
        </w:tc>
        <w:tc>
          <w:tcPr>
            <w:tcW w:w="1134" w:type="dxa"/>
            <w:tcBorders>
              <w:tl2br w:val="nil"/>
              <w:tr2bl w:val="nil"/>
            </w:tcBorders>
            <w:shd w:val="clear" w:color="auto" w:fill="BDD6EE" w:themeFill="accent1" w:themeFillTint="66"/>
            <w:vAlign w:val="center"/>
          </w:tcPr>
          <w:p w14:paraId="5586AA51">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得分</w:t>
            </w:r>
          </w:p>
        </w:tc>
        <w:tc>
          <w:tcPr>
            <w:tcW w:w="1134" w:type="dxa"/>
            <w:tcBorders>
              <w:tl2br w:val="nil"/>
              <w:tr2bl w:val="nil"/>
            </w:tcBorders>
            <w:shd w:val="clear" w:color="auto" w:fill="BDD6EE" w:themeFill="accent1" w:themeFillTint="66"/>
            <w:vAlign w:val="center"/>
          </w:tcPr>
          <w:p w14:paraId="3814EA0D">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得分率</w:t>
            </w:r>
          </w:p>
        </w:tc>
      </w:tr>
      <w:tr w14:paraId="0BBC69AA">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1201" w:type="dxa"/>
            <w:vMerge w:val="restart"/>
            <w:tcBorders>
              <w:tl2br w:val="nil"/>
              <w:tr2bl w:val="nil"/>
            </w:tcBorders>
            <w:vAlign w:val="center"/>
          </w:tcPr>
          <w:p w14:paraId="05ED5B99">
            <w:pPr>
              <w:widowControl/>
              <w:jc w:val="center"/>
              <w:textAlignment w:val="center"/>
              <w:rPr>
                <w:rFonts w:hint="eastAsia" w:ascii="宋体" w:hAnsi="宋体" w:eastAsia="宋体" w:cs="宋体"/>
                <w:b/>
                <w:bCs/>
                <w:color w:val="auto"/>
                <w:sz w:val="20"/>
                <w:szCs w:val="20"/>
                <w:highlight w:val="none"/>
              </w:rPr>
            </w:pPr>
            <w:r>
              <w:rPr>
                <w:rFonts w:hint="eastAsia" w:ascii="宋体" w:hAnsi="宋体" w:eastAsia="宋体" w:cs="宋体"/>
                <w:color w:val="auto"/>
                <w:kern w:val="0"/>
                <w:sz w:val="20"/>
                <w:szCs w:val="20"/>
                <w:highlight w:val="none"/>
                <w:lang w:bidi="ar"/>
              </w:rPr>
              <w:t>资金管理</w:t>
            </w:r>
          </w:p>
        </w:tc>
        <w:tc>
          <w:tcPr>
            <w:tcW w:w="2264" w:type="dxa"/>
            <w:tcBorders>
              <w:tl2br w:val="nil"/>
              <w:tr2bl w:val="nil"/>
            </w:tcBorders>
            <w:vAlign w:val="center"/>
          </w:tcPr>
          <w:p w14:paraId="2729B5E8">
            <w:pPr>
              <w:widowControl/>
              <w:jc w:val="center"/>
              <w:textAlignment w:val="center"/>
              <w:rPr>
                <w:rFonts w:hint="eastAsia" w:ascii="宋体" w:hAnsi="宋体" w:eastAsia="宋体" w:cs="宋体"/>
                <w:b/>
                <w:bCs/>
                <w:color w:val="auto"/>
                <w:sz w:val="20"/>
                <w:szCs w:val="20"/>
                <w:highlight w:val="none"/>
              </w:rPr>
            </w:pPr>
            <w:r>
              <w:rPr>
                <w:rFonts w:hint="eastAsia" w:ascii="宋体" w:hAnsi="宋体" w:eastAsia="宋体" w:cs="宋体"/>
                <w:color w:val="auto"/>
                <w:kern w:val="0"/>
                <w:sz w:val="20"/>
                <w:szCs w:val="20"/>
                <w:highlight w:val="none"/>
                <w:lang w:bidi="ar"/>
              </w:rPr>
              <w:t>资金到位率</w:t>
            </w:r>
          </w:p>
        </w:tc>
        <w:tc>
          <w:tcPr>
            <w:tcW w:w="907" w:type="dxa"/>
            <w:tcBorders>
              <w:tl2br w:val="nil"/>
              <w:tr2bl w:val="nil"/>
            </w:tcBorders>
            <w:shd w:val="clear" w:color="auto" w:fill="auto"/>
            <w:vAlign w:val="center"/>
          </w:tcPr>
          <w:p w14:paraId="1CED7100">
            <w:pPr>
              <w:keepNext w:val="0"/>
              <w:keepLines w:val="0"/>
              <w:widowControl/>
              <w:suppressLineNumbers w:val="0"/>
              <w:jc w:val="center"/>
              <w:textAlignment w:val="center"/>
              <w:rPr>
                <w:rFonts w:hint="eastAsia" w:ascii="宋体" w:hAnsi="宋体" w:eastAsia="宋体" w:cs="宋体"/>
                <w:color w:val="auto"/>
                <w:kern w:val="0"/>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rPr>
              <w:t>2.5</w:t>
            </w:r>
          </w:p>
        </w:tc>
        <w:tc>
          <w:tcPr>
            <w:tcW w:w="1134" w:type="dxa"/>
            <w:tcBorders>
              <w:tl2br w:val="nil"/>
              <w:tr2bl w:val="nil"/>
            </w:tcBorders>
            <w:shd w:val="clear" w:color="auto" w:fill="auto"/>
            <w:vAlign w:val="center"/>
          </w:tcPr>
          <w:p w14:paraId="0D1A12DF">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333333"/>
                <w:kern w:val="0"/>
                <w:sz w:val="20"/>
                <w:szCs w:val="20"/>
                <w:highlight w:val="none"/>
                <w:u w:val="none"/>
                <w:lang w:val="en-US" w:eastAsia="zh-CN" w:bidi="ar"/>
              </w:rPr>
              <w:t>=100%</w:t>
            </w:r>
          </w:p>
        </w:tc>
        <w:tc>
          <w:tcPr>
            <w:tcW w:w="1134" w:type="dxa"/>
            <w:tcBorders>
              <w:tl2br w:val="nil"/>
              <w:tr2bl w:val="nil"/>
            </w:tcBorders>
            <w:shd w:val="clear" w:color="auto" w:fill="auto"/>
            <w:vAlign w:val="center"/>
          </w:tcPr>
          <w:p w14:paraId="3AA08890">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333333"/>
                <w:kern w:val="0"/>
                <w:sz w:val="20"/>
                <w:szCs w:val="20"/>
                <w:highlight w:val="none"/>
                <w:u w:val="none"/>
                <w:lang w:val="en-US" w:eastAsia="zh-CN" w:bidi="ar"/>
              </w:rPr>
              <w:t>100%</w:t>
            </w:r>
          </w:p>
        </w:tc>
        <w:tc>
          <w:tcPr>
            <w:tcW w:w="1134" w:type="dxa"/>
            <w:tcBorders>
              <w:tl2br w:val="nil"/>
              <w:tr2bl w:val="nil"/>
            </w:tcBorders>
            <w:shd w:val="clear" w:color="auto" w:fill="auto"/>
            <w:vAlign w:val="center"/>
          </w:tcPr>
          <w:p w14:paraId="4818DDA0">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rPr>
              <w:t>2.5</w:t>
            </w:r>
          </w:p>
        </w:tc>
        <w:tc>
          <w:tcPr>
            <w:tcW w:w="1134" w:type="dxa"/>
            <w:tcBorders>
              <w:tl2br w:val="nil"/>
              <w:tr2bl w:val="nil"/>
            </w:tcBorders>
            <w:shd w:val="clear" w:color="auto" w:fill="auto"/>
            <w:vAlign w:val="center"/>
          </w:tcPr>
          <w:p w14:paraId="50D3FB75">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rPr>
              <w:t>100.00%</w:t>
            </w:r>
          </w:p>
        </w:tc>
      </w:tr>
      <w:tr w14:paraId="080501B6">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1201" w:type="dxa"/>
            <w:vMerge w:val="continue"/>
            <w:tcBorders>
              <w:tl2br w:val="nil"/>
              <w:tr2bl w:val="nil"/>
            </w:tcBorders>
            <w:vAlign w:val="center"/>
          </w:tcPr>
          <w:p w14:paraId="3AFA5604">
            <w:pPr>
              <w:jc w:val="center"/>
              <w:rPr>
                <w:rFonts w:hint="eastAsia" w:ascii="宋体" w:hAnsi="宋体" w:eastAsia="宋体" w:cs="宋体"/>
                <w:b/>
                <w:bCs/>
                <w:color w:val="auto"/>
                <w:sz w:val="20"/>
                <w:szCs w:val="20"/>
                <w:highlight w:val="none"/>
              </w:rPr>
            </w:pPr>
          </w:p>
        </w:tc>
        <w:tc>
          <w:tcPr>
            <w:tcW w:w="2264" w:type="dxa"/>
            <w:tcBorders>
              <w:tl2br w:val="nil"/>
              <w:tr2bl w:val="nil"/>
            </w:tcBorders>
            <w:vAlign w:val="center"/>
          </w:tcPr>
          <w:p w14:paraId="4BD0AC20">
            <w:pPr>
              <w:widowControl/>
              <w:jc w:val="center"/>
              <w:textAlignment w:val="center"/>
              <w:rPr>
                <w:rFonts w:hint="eastAsia" w:ascii="宋体" w:hAnsi="宋体" w:eastAsia="宋体" w:cs="宋体"/>
                <w:b/>
                <w:bCs/>
                <w:color w:val="auto"/>
                <w:sz w:val="20"/>
                <w:szCs w:val="20"/>
                <w:highlight w:val="none"/>
              </w:rPr>
            </w:pPr>
            <w:r>
              <w:rPr>
                <w:rFonts w:hint="eastAsia" w:ascii="宋体" w:hAnsi="宋体" w:eastAsia="宋体" w:cs="宋体"/>
                <w:color w:val="auto"/>
                <w:kern w:val="0"/>
                <w:sz w:val="20"/>
                <w:szCs w:val="20"/>
                <w:highlight w:val="none"/>
                <w:lang w:bidi="ar"/>
              </w:rPr>
              <w:t>预算执行率</w:t>
            </w:r>
          </w:p>
        </w:tc>
        <w:tc>
          <w:tcPr>
            <w:tcW w:w="907" w:type="dxa"/>
            <w:tcBorders>
              <w:tl2br w:val="nil"/>
              <w:tr2bl w:val="nil"/>
            </w:tcBorders>
            <w:shd w:val="clear" w:color="auto" w:fill="auto"/>
            <w:vAlign w:val="center"/>
          </w:tcPr>
          <w:p w14:paraId="2E5AD0E4">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rPr>
              <w:t>2.5</w:t>
            </w:r>
          </w:p>
        </w:tc>
        <w:tc>
          <w:tcPr>
            <w:tcW w:w="1134" w:type="dxa"/>
            <w:tcBorders>
              <w:tl2br w:val="nil"/>
              <w:tr2bl w:val="nil"/>
            </w:tcBorders>
            <w:shd w:val="clear" w:color="auto" w:fill="auto"/>
            <w:vAlign w:val="center"/>
          </w:tcPr>
          <w:p w14:paraId="76C81B0F">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333333"/>
                <w:kern w:val="0"/>
                <w:sz w:val="20"/>
                <w:szCs w:val="20"/>
                <w:highlight w:val="none"/>
                <w:u w:val="none"/>
                <w:lang w:val="en-US" w:eastAsia="zh-CN" w:bidi="ar"/>
              </w:rPr>
              <w:t>=100%</w:t>
            </w:r>
          </w:p>
        </w:tc>
        <w:tc>
          <w:tcPr>
            <w:tcW w:w="1134" w:type="dxa"/>
            <w:tcBorders>
              <w:tl2br w:val="nil"/>
              <w:tr2bl w:val="nil"/>
            </w:tcBorders>
            <w:shd w:val="clear" w:color="auto" w:fill="auto"/>
            <w:vAlign w:val="center"/>
          </w:tcPr>
          <w:p w14:paraId="5DFACEBB">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rPr>
              <w:t>95.98%</w:t>
            </w:r>
          </w:p>
        </w:tc>
        <w:tc>
          <w:tcPr>
            <w:tcW w:w="1134" w:type="dxa"/>
            <w:tcBorders>
              <w:tl2br w:val="nil"/>
              <w:tr2bl w:val="nil"/>
            </w:tcBorders>
            <w:shd w:val="clear" w:color="auto" w:fill="auto"/>
            <w:vAlign w:val="center"/>
          </w:tcPr>
          <w:p w14:paraId="4E8DE2E7">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rPr>
              <w:t>2.2</w:t>
            </w:r>
          </w:p>
        </w:tc>
        <w:tc>
          <w:tcPr>
            <w:tcW w:w="1134" w:type="dxa"/>
            <w:tcBorders>
              <w:tl2br w:val="nil"/>
              <w:tr2bl w:val="nil"/>
            </w:tcBorders>
            <w:shd w:val="clear" w:color="auto" w:fill="auto"/>
            <w:vAlign w:val="center"/>
          </w:tcPr>
          <w:p w14:paraId="6F6D25A7">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rPr>
              <w:t>88.00%</w:t>
            </w:r>
          </w:p>
        </w:tc>
      </w:tr>
      <w:tr w14:paraId="22DE93C7">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1201" w:type="dxa"/>
            <w:vMerge w:val="continue"/>
            <w:tcBorders>
              <w:tl2br w:val="nil"/>
              <w:tr2bl w:val="nil"/>
            </w:tcBorders>
            <w:vAlign w:val="center"/>
          </w:tcPr>
          <w:p w14:paraId="57D61463">
            <w:pPr>
              <w:jc w:val="center"/>
              <w:rPr>
                <w:rFonts w:hint="eastAsia" w:ascii="宋体" w:hAnsi="宋体" w:eastAsia="宋体" w:cs="宋体"/>
                <w:b/>
                <w:bCs/>
                <w:color w:val="auto"/>
                <w:sz w:val="20"/>
                <w:szCs w:val="20"/>
                <w:highlight w:val="none"/>
              </w:rPr>
            </w:pPr>
          </w:p>
        </w:tc>
        <w:tc>
          <w:tcPr>
            <w:tcW w:w="2264" w:type="dxa"/>
            <w:tcBorders>
              <w:tl2br w:val="nil"/>
              <w:tr2bl w:val="nil"/>
            </w:tcBorders>
            <w:vAlign w:val="center"/>
          </w:tcPr>
          <w:p w14:paraId="179BF632">
            <w:pPr>
              <w:widowControl/>
              <w:jc w:val="center"/>
              <w:textAlignment w:val="center"/>
              <w:rPr>
                <w:rFonts w:hint="eastAsia" w:ascii="宋体" w:hAnsi="宋体" w:eastAsia="宋体" w:cs="宋体"/>
                <w:b/>
                <w:bCs/>
                <w:color w:val="auto"/>
                <w:sz w:val="20"/>
                <w:szCs w:val="20"/>
                <w:highlight w:val="none"/>
              </w:rPr>
            </w:pPr>
            <w:r>
              <w:rPr>
                <w:rFonts w:hint="eastAsia" w:ascii="宋体" w:hAnsi="宋体" w:eastAsia="宋体" w:cs="宋体"/>
                <w:color w:val="auto"/>
                <w:kern w:val="0"/>
                <w:sz w:val="20"/>
                <w:szCs w:val="20"/>
                <w:highlight w:val="none"/>
                <w:lang w:bidi="ar"/>
              </w:rPr>
              <w:t>资金使用合规性</w:t>
            </w:r>
          </w:p>
        </w:tc>
        <w:tc>
          <w:tcPr>
            <w:tcW w:w="907" w:type="dxa"/>
            <w:tcBorders>
              <w:tl2br w:val="nil"/>
              <w:tr2bl w:val="nil"/>
            </w:tcBorders>
            <w:shd w:val="clear" w:color="auto" w:fill="auto"/>
            <w:vAlign w:val="center"/>
          </w:tcPr>
          <w:p w14:paraId="6C0185A5">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rPr>
              <w:t>2.5</w:t>
            </w:r>
          </w:p>
        </w:tc>
        <w:tc>
          <w:tcPr>
            <w:tcW w:w="1134" w:type="dxa"/>
            <w:tcBorders>
              <w:tl2br w:val="nil"/>
              <w:tr2bl w:val="nil"/>
            </w:tcBorders>
            <w:shd w:val="clear" w:color="auto" w:fill="auto"/>
            <w:vAlign w:val="center"/>
          </w:tcPr>
          <w:p w14:paraId="2E66B3F7">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333333"/>
                <w:kern w:val="0"/>
                <w:sz w:val="20"/>
                <w:szCs w:val="20"/>
                <w:highlight w:val="none"/>
                <w:u w:val="none"/>
                <w:lang w:val="en-US" w:eastAsia="zh-CN" w:bidi="ar"/>
              </w:rPr>
              <w:t>合规</w:t>
            </w:r>
          </w:p>
        </w:tc>
        <w:tc>
          <w:tcPr>
            <w:tcW w:w="1134" w:type="dxa"/>
            <w:tcBorders>
              <w:tl2br w:val="nil"/>
              <w:tr2bl w:val="nil"/>
            </w:tcBorders>
            <w:shd w:val="clear" w:color="auto" w:fill="auto"/>
            <w:vAlign w:val="center"/>
          </w:tcPr>
          <w:p w14:paraId="666AF3AB">
            <w:pPr>
              <w:keepNext w:val="0"/>
              <w:keepLines w:val="0"/>
              <w:widowControl/>
              <w:suppressLineNumbers w:val="0"/>
              <w:jc w:val="center"/>
              <w:textAlignment w:val="center"/>
              <w:rPr>
                <w:rFonts w:hint="eastAsia" w:ascii="宋体" w:hAnsi="宋体" w:eastAsia="宋体" w:cs="宋体"/>
                <w:color w:val="auto"/>
                <w:sz w:val="20"/>
                <w:szCs w:val="20"/>
                <w:highlight w:val="none"/>
                <w:lang w:val="en-US" w:eastAsia="zh-CN"/>
              </w:rPr>
            </w:pPr>
            <w:r>
              <w:rPr>
                <w:rFonts w:hint="eastAsia" w:ascii="宋体" w:hAnsi="宋体" w:eastAsia="宋体" w:cs="宋体"/>
                <w:i w:val="0"/>
                <w:iCs w:val="0"/>
                <w:color w:val="333333"/>
                <w:kern w:val="0"/>
                <w:sz w:val="20"/>
                <w:szCs w:val="20"/>
                <w:highlight w:val="none"/>
                <w:u w:val="none"/>
                <w:lang w:val="en-US" w:eastAsia="zh-CN" w:bidi="ar"/>
              </w:rPr>
              <w:t>合规</w:t>
            </w:r>
          </w:p>
        </w:tc>
        <w:tc>
          <w:tcPr>
            <w:tcW w:w="1134" w:type="dxa"/>
            <w:tcBorders>
              <w:tl2br w:val="nil"/>
              <w:tr2bl w:val="nil"/>
            </w:tcBorders>
            <w:shd w:val="clear" w:color="auto" w:fill="auto"/>
            <w:vAlign w:val="center"/>
          </w:tcPr>
          <w:p w14:paraId="0609D25C">
            <w:pPr>
              <w:keepNext w:val="0"/>
              <w:keepLines w:val="0"/>
              <w:widowControl/>
              <w:suppressLineNumbers w:val="0"/>
              <w:jc w:val="center"/>
              <w:textAlignment w:val="center"/>
              <w:rPr>
                <w:rFonts w:hint="eastAsia" w:ascii="宋体" w:hAnsi="宋体" w:eastAsia="宋体" w:cs="宋体"/>
                <w:color w:val="auto"/>
                <w:sz w:val="20"/>
                <w:szCs w:val="20"/>
                <w:highlight w:val="none"/>
                <w:lang w:val="en-US" w:eastAsia="zh-CN"/>
              </w:rPr>
            </w:pPr>
            <w:r>
              <w:rPr>
                <w:rFonts w:hint="eastAsia" w:ascii="宋体" w:hAnsi="宋体" w:eastAsia="宋体" w:cs="宋体"/>
                <w:i w:val="0"/>
                <w:iCs w:val="0"/>
                <w:color w:val="000000"/>
                <w:kern w:val="0"/>
                <w:sz w:val="20"/>
                <w:szCs w:val="20"/>
                <w:highlight w:val="none"/>
                <w:u w:val="none"/>
                <w:lang w:val="en-US" w:eastAsia="zh-CN" w:bidi="ar"/>
              </w:rPr>
              <w:t>2.5</w:t>
            </w:r>
          </w:p>
        </w:tc>
        <w:tc>
          <w:tcPr>
            <w:tcW w:w="1134" w:type="dxa"/>
            <w:tcBorders>
              <w:tl2br w:val="nil"/>
              <w:tr2bl w:val="nil"/>
            </w:tcBorders>
            <w:shd w:val="clear" w:color="auto" w:fill="auto"/>
            <w:vAlign w:val="center"/>
          </w:tcPr>
          <w:p w14:paraId="732676AE">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rPr>
              <w:t>100.00%</w:t>
            </w:r>
          </w:p>
        </w:tc>
      </w:tr>
      <w:tr w14:paraId="07A1168D">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1201" w:type="dxa"/>
            <w:vMerge w:val="restart"/>
            <w:tcBorders>
              <w:tl2br w:val="nil"/>
              <w:tr2bl w:val="nil"/>
            </w:tcBorders>
            <w:vAlign w:val="center"/>
          </w:tcPr>
          <w:p w14:paraId="645DC1DA">
            <w:pPr>
              <w:widowControl/>
              <w:jc w:val="center"/>
              <w:textAlignment w:val="center"/>
              <w:rPr>
                <w:rFonts w:hint="eastAsia" w:ascii="宋体" w:hAnsi="宋体" w:eastAsia="宋体" w:cs="宋体"/>
                <w:b/>
                <w:bCs/>
                <w:color w:val="auto"/>
                <w:sz w:val="20"/>
                <w:szCs w:val="20"/>
                <w:highlight w:val="none"/>
              </w:rPr>
            </w:pPr>
            <w:r>
              <w:rPr>
                <w:rFonts w:hint="eastAsia" w:ascii="宋体" w:hAnsi="宋体" w:eastAsia="宋体" w:cs="宋体"/>
                <w:color w:val="auto"/>
                <w:kern w:val="0"/>
                <w:sz w:val="20"/>
                <w:szCs w:val="20"/>
                <w:highlight w:val="none"/>
                <w:lang w:bidi="ar"/>
              </w:rPr>
              <w:t>组织实施</w:t>
            </w:r>
          </w:p>
        </w:tc>
        <w:tc>
          <w:tcPr>
            <w:tcW w:w="2264" w:type="dxa"/>
            <w:tcBorders>
              <w:tl2br w:val="nil"/>
              <w:tr2bl w:val="nil"/>
            </w:tcBorders>
            <w:vAlign w:val="center"/>
          </w:tcPr>
          <w:p w14:paraId="3E8106C1">
            <w:pPr>
              <w:widowControl/>
              <w:jc w:val="center"/>
              <w:textAlignment w:val="center"/>
              <w:rPr>
                <w:rFonts w:hint="eastAsia" w:ascii="宋体" w:hAnsi="宋体" w:eastAsia="宋体" w:cs="宋体"/>
                <w:b/>
                <w:bCs/>
                <w:color w:val="auto"/>
                <w:sz w:val="20"/>
                <w:szCs w:val="20"/>
                <w:highlight w:val="none"/>
              </w:rPr>
            </w:pPr>
            <w:r>
              <w:rPr>
                <w:rFonts w:hint="eastAsia" w:ascii="宋体" w:hAnsi="宋体" w:eastAsia="宋体" w:cs="宋体"/>
                <w:color w:val="auto"/>
                <w:kern w:val="0"/>
                <w:sz w:val="20"/>
                <w:szCs w:val="20"/>
                <w:highlight w:val="none"/>
                <w:lang w:bidi="ar"/>
              </w:rPr>
              <w:t>管理制度健全性</w:t>
            </w:r>
          </w:p>
        </w:tc>
        <w:tc>
          <w:tcPr>
            <w:tcW w:w="907" w:type="dxa"/>
            <w:tcBorders>
              <w:tl2br w:val="nil"/>
              <w:tr2bl w:val="nil"/>
            </w:tcBorders>
            <w:shd w:val="clear" w:color="auto" w:fill="auto"/>
            <w:vAlign w:val="center"/>
          </w:tcPr>
          <w:p w14:paraId="116AC709">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rPr>
              <w:t>2.5</w:t>
            </w:r>
          </w:p>
        </w:tc>
        <w:tc>
          <w:tcPr>
            <w:tcW w:w="1134" w:type="dxa"/>
            <w:tcBorders>
              <w:tl2br w:val="nil"/>
              <w:tr2bl w:val="nil"/>
            </w:tcBorders>
            <w:shd w:val="clear" w:color="auto" w:fill="auto"/>
            <w:vAlign w:val="center"/>
          </w:tcPr>
          <w:p w14:paraId="2CD89F8C">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333333"/>
                <w:kern w:val="0"/>
                <w:sz w:val="20"/>
                <w:szCs w:val="20"/>
                <w:highlight w:val="none"/>
                <w:u w:val="none"/>
                <w:lang w:val="en-US" w:eastAsia="zh-CN" w:bidi="ar"/>
              </w:rPr>
              <w:t>健全</w:t>
            </w:r>
          </w:p>
        </w:tc>
        <w:tc>
          <w:tcPr>
            <w:tcW w:w="1134" w:type="dxa"/>
            <w:tcBorders>
              <w:tl2br w:val="nil"/>
              <w:tr2bl w:val="nil"/>
            </w:tcBorders>
            <w:shd w:val="clear" w:color="auto" w:fill="auto"/>
            <w:vAlign w:val="center"/>
          </w:tcPr>
          <w:p w14:paraId="4D86719C">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rPr>
              <w:t>健全</w:t>
            </w:r>
          </w:p>
        </w:tc>
        <w:tc>
          <w:tcPr>
            <w:tcW w:w="1134" w:type="dxa"/>
            <w:tcBorders>
              <w:tl2br w:val="nil"/>
              <w:tr2bl w:val="nil"/>
            </w:tcBorders>
            <w:shd w:val="clear" w:color="auto" w:fill="auto"/>
            <w:vAlign w:val="center"/>
          </w:tcPr>
          <w:p w14:paraId="77680836">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rPr>
              <w:t>2.5</w:t>
            </w:r>
          </w:p>
        </w:tc>
        <w:tc>
          <w:tcPr>
            <w:tcW w:w="1134" w:type="dxa"/>
            <w:tcBorders>
              <w:tl2br w:val="nil"/>
              <w:tr2bl w:val="nil"/>
            </w:tcBorders>
            <w:shd w:val="clear" w:color="auto" w:fill="auto"/>
            <w:vAlign w:val="center"/>
          </w:tcPr>
          <w:p w14:paraId="319D5A28">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rPr>
              <w:t>100.00%</w:t>
            </w:r>
          </w:p>
        </w:tc>
      </w:tr>
      <w:tr w14:paraId="6869E234">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1201" w:type="dxa"/>
            <w:vMerge w:val="continue"/>
            <w:tcBorders>
              <w:tl2br w:val="nil"/>
              <w:tr2bl w:val="nil"/>
            </w:tcBorders>
            <w:vAlign w:val="center"/>
          </w:tcPr>
          <w:p w14:paraId="5E9BB727">
            <w:pPr>
              <w:widowControl/>
              <w:jc w:val="center"/>
              <w:textAlignment w:val="center"/>
              <w:rPr>
                <w:rFonts w:hint="eastAsia" w:ascii="宋体" w:hAnsi="宋体" w:eastAsia="宋体" w:cs="宋体"/>
                <w:color w:val="auto"/>
                <w:kern w:val="0"/>
                <w:sz w:val="20"/>
                <w:szCs w:val="20"/>
                <w:highlight w:val="none"/>
                <w:lang w:bidi="ar"/>
              </w:rPr>
            </w:pPr>
          </w:p>
        </w:tc>
        <w:tc>
          <w:tcPr>
            <w:tcW w:w="2264" w:type="dxa"/>
            <w:tcBorders>
              <w:tl2br w:val="nil"/>
              <w:tr2bl w:val="nil"/>
            </w:tcBorders>
            <w:vAlign w:val="center"/>
          </w:tcPr>
          <w:p w14:paraId="42CAFA69">
            <w:pPr>
              <w:widowControl/>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制度执行有效性</w:t>
            </w:r>
          </w:p>
        </w:tc>
        <w:tc>
          <w:tcPr>
            <w:tcW w:w="907" w:type="dxa"/>
            <w:tcBorders>
              <w:tl2br w:val="nil"/>
              <w:tr2bl w:val="nil"/>
            </w:tcBorders>
            <w:shd w:val="clear" w:color="auto" w:fill="auto"/>
            <w:vAlign w:val="center"/>
          </w:tcPr>
          <w:p w14:paraId="67F4F9D0">
            <w:pPr>
              <w:keepNext w:val="0"/>
              <w:keepLines w:val="0"/>
              <w:widowControl/>
              <w:suppressLineNumbers w:val="0"/>
              <w:jc w:val="center"/>
              <w:textAlignment w:val="center"/>
              <w:rPr>
                <w:rFonts w:hint="eastAsia" w:ascii="宋体" w:hAnsi="宋体" w:eastAsia="宋体" w:cs="宋体"/>
                <w:color w:val="auto"/>
                <w:sz w:val="20"/>
                <w:szCs w:val="20"/>
                <w:highlight w:val="none"/>
                <w:lang w:val="en-US" w:eastAsia="zh-CN"/>
              </w:rPr>
            </w:pPr>
            <w:r>
              <w:rPr>
                <w:rFonts w:hint="eastAsia" w:ascii="宋体" w:hAnsi="宋体" w:eastAsia="宋体" w:cs="宋体"/>
                <w:i w:val="0"/>
                <w:iCs w:val="0"/>
                <w:color w:val="000000"/>
                <w:kern w:val="0"/>
                <w:sz w:val="20"/>
                <w:szCs w:val="20"/>
                <w:highlight w:val="none"/>
                <w:u w:val="none"/>
                <w:lang w:val="en-US" w:eastAsia="zh-CN" w:bidi="ar"/>
              </w:rPr>
              <w:t>2.5</w:t>
            </w:r>
          </w:p>
        </w:tc>
        <w:tc>
          <w:tcPr>
            <w:tcW w:w="1134" w:type="dxa"/>
            <w:tcBorders>
              <w:tl2br w:val="nil"/>
              <w:tr2bl w:val="nil"/>
            </w:tcBorders>
            <w:shd w:val="clear" w:color="auto" w:fill="auto"/>
            <w:vAlign w:val="center"/>
          </w:tcPr>
          <w:p w14:paraId="459D6D24">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333333"/>
                <w:kern w:val="0"/>
                <w:sz w:val="20"/>
                <w:szCs w:val="20"/>
                <w:highlight w:val="none"/>
                <w:u w:val="none"/>
                <w:lang w:val="en-US" w:eastAsia="zh-CN" w:bidi="ar"/>
              </w:rPr>
              <w:t>有效</w:t>
            </w:r>
          </w:p>
        </w:tc>
        <w:tc>
          <w:tcPr>
            <w:tcW w:w="1134" w:type="dxa"/>
            <w:tcBorders>
              <w:tl2br w:val="nil"/>
              <w:tr2bl w:val="nil"/>
            </w:tcBorders>
            <w:shd w:val="clear" w:color="auto" w:fill="auto"/>
            <w:vAlign w:val="center"/>
          </w:tcPr>
          <w:p w14:paraId="4192F90C">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333333"/>
                <w:kern w:val="0"/>
                <w:sz w:val="20"/>
                <w:szCs w:val="20"/>
                <w:highlight w:val="none"/>
                <w:u w:val="none"/>
                <w:lang w:val="en-US" w:eastAsia="zh-CN" w:bidi="ar"/>
              </w:rPr>
              <w:t>有效</w:t>
            </w:r>
          </w:p>
        </w:tc>
        <w:tc>
          <w:tcPr>
            <w:tcW w:w="1134" w:type="dxa"/>
            <w:tcBorders>
              <w:tl2br w:val="nil"/>
              <w:tr2bl w:val="nil"/>
            </w:tcBorders>
            <w:shd w:val="clear" w:color="auto" w:fill="auto"/>
            <w:vAlign w:val="center"/>
          </w:tcPr>
          <w:p w14:paraId="38504FEC">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rPr>
              <w:t>2.5</w:t>
            </w:r>
          </w:p>
        </w:tc>
        <w:tc>
          <w:tcPr>
            <w:tcW w:w="1134" w:type="dxa"/>
            <w:tcBorders>
              <w:tl2br w:val="nil"/>
              <w:tr2bl w:val="nil"/>
            </w:tcBorders>
            <w:shd w:val="clear" w:color="auto" w:fill="auto"/>
            <w:vAlign w:val="center"/>
          </w:tcPr>
          <w:p w14:paraId="026A3404">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rPr>
              <w:t>100.00%</w:t>
            </w:r>
          </w:p>
        </w:tc>
      </w:tr>
      <w:tr w14:paraId="37150D66">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1201" w:type="dxa"/>
            <w:vMerge w:val="continue"/>
            <w:tcBorders>
              <w:tl2br w:val="nil"/>
              <w:tr2bl w:val="nil"/>
            </w:tcBorders>
            <w:vAlign w:val="center"/>
          </w:tcPr>
          <w:p w14:paraId="5E2BD902">
            <w:pPr>
              <w:jc w:val="center"/>
              <w:rPr>
                <w:rFonts w:hint="eastAsia" w:ascii="宋体" w:hAnsi="宋体" w:eastAsia="宋体" w:cs="宋体"/>
                <w:b/>
                <w:bCs/>
                <w:color w:val="auto"/>
                <w:sz w:val="20"/>
                <w:szCs w:val="20"/>
                <w:highlight w:val="none"/>
              </w:rPr>
            </w:pPr>
          </w:p>
        </w:tc>
        <w:tc>
          <w:tcPr>
            <w:tcW w:w="2264" w:type="dxa"/>
            <w:tcBorders>
              <w:tl2br w:val="nil"/>
              <w:tr2bl w:val="nil"/>
            </w:tcBorders>
            <w:vAlign w:val="center"/>
          </w:tcPr>
          <w:p w14:paraId="52FDFB98">
            <w:pPr>
              <w:widowControl/>
              <w:jc w:val="center"/>
              <w:textAlignment w:val="center"/>
              <w:rPr>
                <w:rFonts w:hint="eastAsia" w:ascii="宋体" w:hAnsi="宋体" w:eastAsia="宋体" w:cs="宋体"/>
                <w:b/>
                <w:bCs/>
                <w:color w:val="auto"/>
                <w:sz w:val="20"/>
                <w:szCs w:val="20"/>
                <w:highlight w:val="none"/>
                <w:lang w:eastAsia="zh-CN"/>
              </w:rPr>
            </w:pPr>
            <w:r>
              <w:rPr>
                <w:rFonts w:hint="eastAsia" w:ascii="宋体" w:hAnsi="宋体" w:eastAsia="宋体" w:cs="宋体"/>
                <w:color w:val="auto"/>
                <w:kern w:val="0"/>
                <w:sz w:val="20"/>
                <w:szCs w:val="20"/>
                <w:highlight w:val="none"/>
                <w:lang w:eastAsia="zh-CN" w:bidi="ar"/>
              </w:rPr>
              <w:t>绩效管理规范性</w:t>
            </w:r>
          </w:p>
        </w:tc>
        <w:tc>
          <w:tcPr>
            <w:tcW w:w="907" w:type="dxa"/>
            <w:tcBorders>
              <w:tl2br w:val="nil"/>
              <w:tr2bl w:val="nil"/>
            </w:tcBorders>
            <w:shd w:val="clear" w:color="auto" w:fill="auto"/>
            <w:vAlign w:val="center"/>
          </w:tcPr>
          <w:p w14:paraId="1A49503F">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rPr>
              <w:t>2.5</w:t>
            </w:r>
          </w:p>
        </w:tc>
        <w:tc>
          <w:tcPr>
            <w:tcW w:w="1134" w:type="dxa"/>
            <w:tcBorders>
              <w:tl2br w:val="nil"/>
              <w:tr2bl w:val="nil"/>
            </w:tcBorders>
            <w:shd w:val="clear" w:color="auto" w:fill="auto"/>
            <w:vAlign w:val="center"/>
          </w:tcPr>
          <w:p w14:paraId="0F8B584C">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333333"/>
                <w:kern w:val="0"/>
                <w:sz w:val="20"/>
                <w:szCs w:val="20"/>
                <w:highlight w:val="none"/>
                <w:u w:val="none"/>
                <w:lang w:val="en-US" w:eastAsia="zh-CN" w:bidi="ar"/>
              </w:rPr>
              <w:t>有效</w:t>
            </w:r>
          </w:p>
        </w:tc>
        <w:tc>
          <w:tcPr>
            <w:tcW w:w="1134" w:type="dxa"/>
            <w:tcBorders>
              <w:tl2br w:val="nil"/>
              <w:tr2bl w:val="nil"/>
            </w:tcBorders>
            <w:shd w:val="clear" w:color="auto" w:fill="auto"/>
            <w:vAlign w:val="center"/>
          </w:tcPr>
          <w:p w14:paraId="755D748E">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333333"/>
                <w:kern w:val="0"/>
                <w:sz w:val="20"/>
                <w:szCs w:val="20"/>
                <w:highlight w:val="none"/>
                <w:u w:val="none"/>
                <w:lang w:val="en-US" w:eastAsia="zh-CN" w:bidi="ar"/>
              </w:rPr>
              <w:t>基本有效</w:t>
            </w:r>
          </w:p>
        </w:tc>
        <w:tc>
          <w:tcPr>
            <w:tcW w:w="1134" w:type="dxa"/>
            <w:tcBorders>
              <w:tl2br w:val="nil"/>
              <w:tr2bl w:val="nil"/>
            </w:tcBorders>
            <w:shd w:val="clear" w:color="auto" w:fill="auto"/>
            <w:vAlign w:val="center"/>
          </w:tcPr>
          <w:p w14:paraId="192714C0">
            <w:pPr>
              <w:keepNext w:val="0"/>
              <w:keepLines w:val="0"/>
              <w:widowControl/>
              <w:suppressLineNumbers w:val="0"/>
              <w:jc w:val="center"/>
              <w:textAlignment w:val="center"/>
              <w:rPr>
                <w:rFonts w:hint="default"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en-US" w:eastAsia="zh-CN"/>
              </w:rPr>
              <w:t>1.25</w:t>
            </w:r>
          </w:p>
        </w:tc>
        <w:tc>
          <w:tcPr>
            <w:tcW w:w="1134" w:type="dxa"/>
            <w:tcBorders>
              <w:tl2br w:val="nil"/>
              <w:tr2bl w:val="nil"/>
            </w:tcBorders>
            <w:shd w:val="clear" w:color="auto" w:fill="auto"/>
            <w:vAlign w:val="center"/>
          </w:tcPr>
          <w:p w14:paraId="58C2EA35">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highlight w:val="none"/>
                <w:u w:val="none"/>
                <w:lang w:val="en-US" w:eastAsia="zh-CN" w:bidi="ar"/>
              </w:rPr>
              <w:t>50.00%</w:t>
            </w:r>
          </w:p>
        </w:tc>
      </w:tr>
      <w:tr w14:paraId="61251A85">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3465" w:type="dxa"/>
            <w:gridSpan w:val="2"/>
            <w:tcBorders>
              <w:tl2br w:val="nil"/>
              <w:tr2bl w:val="nil"/>
            </w:tcBorders>
            <w:shd w:val="clear" w:color="auto" w:fill="BDD6EE" w:themeFill="accent1" w:themeFillTint="66"/>
            <w:vAlign w:val="center"/>
          </w:tcPr>
          <w:p w14:paraId="7914526D">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合计</w:t>
            </w:r>
          </w:p>
        </w:tc>
        <w:tc>
          <w:tcPr>
            <w:tcW w:w="907" w:type="dxa"/>
            <w:tcBorders>
              <w:tl2br w:val="nil"/>
              <w:tr2bl w:val="nil"/>
            </w:tcBorders>
            <w:shd w:val="clear" w:color="auto" w:fill="BDD6EE" w:themeFill="accent1" w:themeFillTint="66"/>
            <w:vAlign w:val="center"/>
          </w:tcPr>
          <w:p w14:paraId="117640FC">
            <w:pPr>
              <w:keepNext w:val="0"/>
              <w:keepLines w:val="0"/>
              <w:widowControl/>
              <w:suppressLineNumbers w:val="0"/>
              <w:jc w:val="center"/>
              <w:textAlignment w:val="center"/>
              <w:rPr>
                <w:rFonts w:hint="eastAsia" w:ascii="宋体" w:hAnsi="宋体" w:eastAsia="宋体" w:cs="宋体"/>
                <w:b/>
                <w:bCs/>
                <w:color w:val="auto"/>
                <w:kern w:val="0"/>
                <w:sz w:val="20"/>
                <w:szCs w:val="20"/>
                <w:highlight w:val="none"/>
                <w:lang w:val="en-US" w:eastAsia="zh-CN" w:bidi="ar"/>
              </w:rPr>
            </w:pPr>
            <w:r>
              <w:rPr>
                <w:rFonts w:hint="eastAsia" w:ascii="宋体" w:hAnsi="宋体" w:eastAsia="宋体" w:cs="宋体"/>
                <w:b/>
                <w:bCs/>
                <w:color w:val="auto"/>
                <w:kern w:val="0"/>
                <w:sz w:val="20"/>
                <w:szCs w:val="20"/>
                <w:highlight w:val="none"/>
                <w:lang w:val="en-US" w:eastAsia="zh-CN" w:bidi="ar"/>
              </w:rPr>
              <w:t>15</w:t>
            </w:r>
          </w:p>
        </w:tc>
        <w:tc>
          <w:tcPr>
            <w:tcW w:w="1134" w:type="dxa"/>
            <w:tcBorders>
              <w:tl2br w:val="nil"/>
              <w:tr2bl w:val="nil"/>
            </w:tcBorders>
            <w:shd w:val="clear" w:color="auto" w:fill="BDD6EE" w:themeFill="accent1" w:themeFillTint="66"/>
            <w:vAlign w:val="center"/>
          </w:tcPr>
          <w:p w14:paraId="68461A16">
            <w:pPr>
              <w:keepNext w:val="0"/>
              <w:keepLines w:val="0"/>
              <w:widowControl/>
              <w:suppressLineNumbers w:val="0"/>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i w:val="0"/>
                <w:iCs w:val="0"/>
                <w:color w:val="000000"/>
                <w:kern w:val="0"/>
                <w:sz w:val="20"/>
                <w:szCs w:val="20"/>
                <w:highlight w:val="none"/>
                <w:u w:val="none"/>
                <w:lang w:val="en-US" w:eastAsia="zh-CN" w:bidi="ar"/>
              </w:rPr>
              <w:t>-</w:t>
            </w:r>
          </w:p>
        </w:tc>
        <w:tc>
          <w:tcPr>
            <w:tcW w:w="1134" w:type="dxa"/>
            <w:tcBorders>
              <w:tl2br w:val="nil"/>
              <w:tr2bl w:val="nil"/>
            </w:tcBorders>
            <w:shd w:val="clear" w:color="auto" w:fill="BDD6EE" w:themeFill="accent1" w:themeFillTint="66"/>
            <w:vAlign w:val="center"/>
          </w:tcPr>
          <w:p w14:paraId="56B61E6A">
            <w:pPr>
              <w:keepNext w:val="0"/>
              <w:keepLines w:val="0"/>
              <w:widowControl/>
              <w:suppressLineNumbers w:val="0"/>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i w:val="0"/>
                <w:iCs w:val="0"/>
                <w:color w:val="000000"/>
                <w:kern w:val="0"/>
                <w:sz w:val="20"/>
                <w:szCs w:val="20"/>
                <w:highlight w:val="none"/>
                <w:u w:val="none"/>
                <w:lang w:val="en-US" w:eastAsia="zh-CN" w:bidi="ar"/>
              </w:rPr>
              <w:t>-</w:t>
            </w:r>
          </w:p>
        </w:tc>
        <w:tc>
          <w:tcPr>
            <w:tcW w:w="1134" w:type="dxa"/>
            <w:tcBorders>
              <w:tl2br w:val="nil"/>
              <w:tr2bl w:val="nil"/>
            </w:tcBorders>
            <w:shd w:val="clear" w:color="auto" w:fill="BDD6EE" w:themeFill="accent1" w:themeFillTint="66"/>
            <w:vAlign w:val="center"/>
          </w:tcPr>
          <w:p w14:paraId="70BA0A69">
            <w:pPr>
              <w:keepNext w:val="0"/>
              <w:keepLines w:val="0"/>
              <w:widowControl/>
              <w:suppressLineNumbers w:val="0"/>
              <w:jc w:val="center"/>
              <w:textAlignment w:val="center"/>
              <w:rPr>
                <w:rFonts w:hint="default" w:ascii="宋体" w:hAnsi="宋体" w:eastAsia="宋体" w:cs="宋体"/>
                <w:b/>
                <w:bCs/>
                <w:color w:val="auto"/>
                <w:kern w:val="0"/>
                <w:sz w:val="20"/>
                <w:szCs w:val="20"/>
                <w:highlight w:val="none"/>
                <w:lang w:val="en-US" w:eastAsia="zh-CN" w:bidi="ar"/>
              </w:rPr>
            </w:pPr>
            <w:r>
              <w:rPr>
                <w:rFonts w:hint="eastAsia" w:ascii="宋体" w:hAnsi="宋体" w:eastAsia="宋体" w:cs="宋体"/>
                <w:b/>
                <w:bCs/>
                <w:color w:val="auto"/>
                <w:kern w:val="0"/>
                <w:sz w:val="20"/>
                <w:szCs w:val="20"/>
                <w:highlight w:val="none"/>
                <w:lang w:val="en-US" w:eastAsia="zh-CN" w:bidi="ar"/>
              </w:rPr>
              <w:t>13.45</w:t>
            </w:r>
          </w:p>
        </w:tc>
        <w:tc>
          <w:tcPr>
            <w:tcW w:w="1134" w:type="dxa"/>
            <w:tcBorders>
              <w:tl2br w:val="nil"/>
              <w:tr2bl w:val="nil"/>
            </w:tcBorders>
            <w:shd w:val="clear" w:color="auto" w:fill="BDD6EE" w:themeFill="accent1" w:themeFillTint="66"/>
            <w:vAlign w:val="center"/>
          </w:tcPr>
          <w:p w14:paraId="1A94AF3A">
            <w:pPr>
              <w:keepNext w:val="0"/>
              <w:keepLines w:val="0"/>
              <w:widowControl/>
              <w:suppressLineNumbers w:val="0"/>
              <w:jc w:val="right"/>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i w:val="0"/>
                <w:iCs w:val="0"/>
                <w:color w:val="000000"/>
                <w:kern w:val="0"/>
                <w:sz w:val="20"/>
                <w:szCs w:val="20"/>
                <w:highlight w:val="none"/>
                <w:u w:val="none"/>
                <w:lang w:val="en-US" w:eastAsia="zh-CN" w:bidi="ar"/>
              </w:rPr>
              <w:t>89.67%</w:t>
            </w:r>
          </w:p>
        </w:tc>
      </w:tr>
      <w:bookmarkEnd w:id="120"/>
    </w:tbl>
    <w:p w14:paraId="365F01B4">
      <w:pPr>
        <w:pStyle w:val="10"/>
        <w:keepNext w:val="0"/>
        <w:keepLines w:val="0"/>
        <w:pageBreakBefore w:val="0"/>
        <w:widowControl w:val="0"/>
        <w:tabs>
          <w:tab w:val="left" w:pos="0"/>
        </w:tabs>
        <w:kinsoku/>
        <w:wordWrap/>
        <w:overflowPunct w:val="0"/>
        <w:topLinePunct w:val="0"/>
        <w:autoSpaceDE/>
        <w:autoSpaceDN/>
        <w:bidi w:val="0"/>
        <w:adjustRightInd/>
        <w:snapToGrid/>
        <w:spacing w:line="560" w:lineRule="exact"/>
        <w:ind w:firstLine="643" w:firstLineChars="200"/>
        <w:textAlignment w:val="auto"/>
        <w:outlineLvl w:val="2"/>
        <w:rPr>
          <w:rFonts w:ascii="仿宋_GB2312" w:hAnsi="仿宋_GB2312" w:cs="仿宋_GB2312"/>
          <w:b/>
          <w:bCs/>
          <w:highlight w:val="none"/>
        </w:rPr>
      </w:pPr>
      <w:r>
        <w:rPr>
          <w:rFonts w:hint="eastAsia" w:ascii="仿宋_GB2312" w:hAnsi="仿宋_GB2312" w:cs="仿宋_GB2312"/>
          <w:b/>
          <w:bCs/>
          <w:highlight w:val="none"/>
        </w:rPr>
        <w:t>1.资金管理</w:t>
      </w:r>
    </w:p>
    <w:p w14:paraId="59D445A5">
      <w:pPr>
        <w:pStyle w:val="27"/>
        <w:keepNext w:val="0"/>
        <w:keepLines w:val="0"/>
        <w:pageBreakBefore w:val="0"/>
        <w:widowControl w:val="0"/>
        <w:kinsoku/>
        <w:wordWrap/>
        <w:overflowPunct w:val="0"/>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（1）资金到位率</w:t>
      </w:r>
    </w:p>
    <w:p w14:paraId="41E3143B">
      <w:pPr>
        <w:pStyle w:val="27"/>
        <w:keepNext w:val="0"/>
        <w:keepLines w:val="0"/>
        <w:pageBreakBefore w:val="0"/>
        <w:widowControl w:val="0"/>
        <w:kinsoku/>
        <w:wordWrap/>
        <w:overflowPunct w:val="0"/>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资金到位率：指标分值</w:t>
      </w:r>
      <w:r>
        <w:rPr>
          <w:rFonts w:hint="eastAsia" w:ascii="仿宋_GB2312" w:hAnsi="仿宋_GB2312" w:eastAsia="仿宋_GB2312" w:cs="仿宋_GB2312"/>
          <w:sz w:val="32"/>
          <w:szCs w:val="32"/>
          <w:highlight w:val="none"/>
          <w:lang w:val="en-US" w:eastAsia="zh-CN"/>
        </w:rPr>
        <w:t>2.5</w:t>
      </w:r>
      <w:r>
        <w:rPr>
          <w:rFonts w:hint="eastAsia" w:ascii="仿宋_GB2312" w:hAnsi="仿宋_GB2312" w:eastAsia="仿宋_GB2312" w:cs="仿宋_GB2312"/>
          <w:sz w:val="32"/>
          <w:szCs w:val="32"/>
          <w:highlight w:val="none"/>
        </w:rPr>
        <w:t>分，评价得分</w:t>
      </w:r>
      <w:r>
        <w:rPr>
          <w:rFonts w:hint="eastAsia" w:ascii="仿宋_GB2312" w:hAnsi="仿宋_GB2312" w:eastAsia="仿宋_GB2312" w:cs="仿宋_GB2312"/>
          <w:sz w:val="32"/>
          <w:szCs w:val="32"/>
          <w:highlight w:val="none"/>
          <w:lang w:val="en-US" w:eastAsia="zh-CN"/>
        </w:rPr>
        <w:t>2.5</w:t>
      </w:r>
      <w:r>
        <w:rPr>
          <w:rFonts w:hint="eastAsia" w:ascii="仿宋_GB2312" w:hAnsi="仿宋_GB2312" w:eastAsia="仿宋_GB2312" w:cs="仿宋_GB2312"/>
          <w:sz w:val="32"/>
          <w:szCs w:val="32"/>
          <w:highlight w:val="none"/>
        </w:rPr>
        <w:t>分。经批复</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全省</w:t>
      </w:r>
      <w:r>
        <w:rPr>
          <w:rFonts w:hint="eastAsia" w:ascii="仿宋_GB2312" w:hAnsi="仿宋_GB2312" w:eastAsia="仿宋_GB2312" w:cs="仿宋_GB2312"/>
          <w:sz w:val="32"/>
          <w:szCs w:val="32"/>
          <w:highlight w:val="none"/>
          <w:lang w:eastAsia="zh-CN"/>
        </w:rPr>
        <w:t>84家基层人民法院</w:t>
      </w:r>
      <w:r>
        <w:rPr>
          <w:rFonts w:hint="eastAsia" w:ascii="仿宋_GB2312" w:hAnsi="仿宋_GB2312" w:eastAsia="仿宋_GB2312" w:cs="仿宋_GB2312"/>
          <w:sz w:val="32"/>
          <w:szCs w:val="32"/>
          <w:highlight w:val="none"/>
        </w:rPr>
        <w:t>法庭运维费年初预算</w:t>
      </w:r>
      <w:r>
        <w:rPr>
          <w:rFonts w:hint="eastAsia" w:ascii="仿宋_GB2312" w:hAnsi="仿宋_GB2312" w:eastAsia="仿宋_GB2312" w:cs="仿宋_GB2312"/>
          <w:sz w:val="32"/>
          <w:szCs w:val="32"/>
          <w:highlight w:val="none"/>
          <w:lang w:val="en-US" w:eastAsia="zh-CN"/>
        </w:rPr>
        <w:t>资金合</w:t>
      </w:r>
      <w:r>
        <w:rPr>
          <w:rFonts w:hint="eastAsia" w:ascii="仿宋_GB2312" w:hAnsi="仿宋_GB2312" w:eastAsia="仿宋_GB2312" w:cs="仿宋_GB2312"/>
          <w:sz w:val="32"/>
          <w:szCs w:val="32"/>
          <w:highlight w:val="none"/>
        </w:rPr>
        <w:t>计3,400.00万元，上年结转资金</w:t>
      </w:r>
      <w:r>
        <w:rPr>
          <w:rFonts w:hint="eastAsia" w:ascii="仿宋_GB2312" w:hAnsi="仿宋_GB2312" w:eastAsia="仿宋_GB2312" w:cs="仿宋_GB2312"/>
          <w:sz w:val="32"/>
          <w:szCs w:val="32"/>
          <w:highlight w:val="none"/>
          <w:lang w:val="en-US" w:eastAsia="zh-CN"/>
        </w:rPr>
        <w:t>合计</w:t>
      </w:r>
      <w:r>
        <w:rPr>
          <w:rFonts w:hint="eastAsia" w:ascii="仿宋_GB2312" w:hAnsi="仿宋_GB2312" w:eastAsia="仿宋_GB2312" w:cs="仿宋_GB2312"/>
          <w:sz w:val="32"/>
          <w:szCs w:val="32"/>
          <w:highlight w:val="none"/>
        </w:rPr>
        <w:t>234.34万元，全年预算资金共计3,634.34万元。法庭运维费</w:t>
      </w:r>
      <w:r>
        <w:rPr>
          <w:rFonts w:hint="eastAsia" w:ascii="仿宋_GB2312" w:hAnsi="仿宋_GB2312" w:eastAsia="仿宋_GB2312" w:cs="仿宋_GB2312"/>
          <w:sz w:val="32"/>
          <w:szCs w:val="32"/>
          <w:highlight w:val="none"/>
          <w:lang w:val="en-US" w:eastAsia="zh-CN"/>
        </w:rPr>
        <w:t>项目资金年初随部门预算同步下达至各法院，截止2023年12月31日专项</w:t>
      </w:r>
      <w:r>
        <w:rPr>
          <w:rFonts w:hint="eastAsia" w:ascii="仿宋_GB2312" w:hAnsi="仿宋_GB2312" w:eastAsia="仿宋_GB2312" w:cs="仿宋_GB2312"/>
          <w:sz w:val="32"/>
          <w:szCs w:val="32"/>
          <w:highlight w:val="none"/>
        </w:rPr>
        <w:t>资金</w:t>
      </w:r>
      <w:r>
        <w:rPr>
          <w:rFonts w:hint="eastAsia" w:ascii="仿宋_GB2312" w:hAnsi="仿宋_GB2312" w:eastAsia="仿宋_GB2312" w:cs="仿宋_GB2312"/>
          <w:sz w:val="32"/>
          <w:szCs w:val="32"/>
          <w:highlight w:val="none"/>
          <w:lang w:val="en-US" w:eastAsia="zh-CN"/>
        </w:rPr>
        <w:t>已</w:t>
      </w:r>
      <w:r>
        <w:rPr>
          <w:rFonts w:hint="eastAsia" w:ascii="仿宋_GB2312" w:hAnsi="仿宋_GB2312" w:eastAsia="仿宋_GB2312" w:cs="仿宋_GB2312"/>
          <w:sz w:val="32"/>
          <w:szCs w:val="32"/>
          <w:highlight w:val="none"/>
        </w:rPr>
        <w:t>及时足额到位，到位率100</w:t>
      </w:r>
      <w:r>
        <w:rPr>
          <w:rFonts w:hint="eastAsia" w:ascii="仿宋_GB2312" w:hAnsi="仿宋_GB2312" w:eastAsia="仿宋_GB2312" w:cs="仿宋_GB2312"/>
          <w:sz w:val="32"/>
          <w:szCs w:val="32"/>
          <w:highlight w:val="none"/>
          <w:lang w:val="en-US" w:eastAsia="zh-CN"/>
        </w:rPr>
        <w:t>.00</w:t>
      </w:r>
      <w:r>
        <w:rPr>
          <w:rFonts w:hint="eastAsia" w:ascii="仿宋_GB2312" w:hAnsi="仿宋_GB2312" w:eastAsia="仿宋_GB2312" w:cs="仿宋_GB2312"/>
          <w:sz w:val="32"/>
          <w:szCs w:val="32"/>
          <w:highlight w:val="none"/>
        </w:rPr>
        <w:t>%。</w:t>
      </w:r>
    </w:p>
    <w:p w14:paraId="75F9CCEA">
      <w:pPr>
        <w:pStyle w:val="27"/>
        <w:keepNext w:val="0"/>
        <w:keepLines w:val="0"/>
        <w:pageBreakBefore w:val="0"/>
        <w:widowControl w:val="0"/>
        <w:kinsoku/>
        <w:wordWrap/>
        <w:overflowPunct w:val="0"/>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（2）预算执行率</w:t>
      </w:r>
    </w:p>
    <w:p w14:paraId="24B0F503">
      <w:pPr>
        <w:pStyle w:val="27"/>
        <w:keepNext w:val="0"/>
        <w:keepLines w:val="0"/>
        <w:pageBreakBefore w:val="0"/>
        <w:widowControl w:val="0"/>
        <w:kinsoku/>
        <w:wordWrap/>
        <w:overflowPunct w:val="0"/>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预算执行率：指标分值</w:t>
      </w:r>
      <w:r>
        <w:rPr>
          <w:rFonts w:hint="eastAsia" w:ascii="仿宋_GB2312" w:hAnsi="仿宋_GB2312" w:eastAsia="仿宋_GB2312" w:cs="仿宋_GB2312"/>
          <w:sz w:val="32"/>
          <w:szCs w:val="32"/>
          <w:highlight w:val="none"/>
          <w:lang w:val="en-US" w:eastAsia="zh-CN"/>
        </w:rPr>
        <w:t>2.5</w:t>
      </w:r>
      <w:r>
        <w:rPr>
          <w:rFonts w:hint="eastAsia" w:ascii="仿宋_GB2312" w:hAnsi="仿宋_GB2312" w:eastAsia="仿宋_GB2312" w:cs="仿宋_GB2312"/>
          <w:sz w:val="32"/>
          <w:szCs w:val="32"/>
          <w:highlight w:val="none"/>
        </w:rPr>
        <w:t>分，评价得分</w:t>
      </w:r>
      <w:r>
        <w:rPr>
          <w:rFonts w:hint="eastAsia" w:ascii="仿宋_GB2312" w:hAnsi="仿宋_GB2312" w:eastAsia="仿宋_GB2312" w:cs="仿宋_GB2312"/>
          <w:sz w:val="32"/>
          <w:szCs w:val="32"/>
          <w:highlight w:val="none"/>
          <w:lang w:val="en-US" w:eastAsia="zh-CN"/>
        </w:rPr>
        <w:t>2.2</w:t>
      </w:r>
      <w:r>
        <w:rPr>
          <w:rFonts w:hint="eastAsia" w:ascii="仿宋_GB2312" w:hAnsi="仿宋_GB2312" w:eastAsia="仿宋_GB2312" w:cs="仿宋_GB2312"/>
          <w:sz w:val="32"/>
          <w:szCs w:val="32"/>
          <w:highlight w:val="none"/>
        </w:rPr>
        <w:t>分。</w:t>
      </w:r>
      <w:r>
        <w:rPr>
          <w:rFonts w:hint="eastAsia" w:ascii="仿宋_GB2312" w:hAnsi="仿宋_GB2312" w:eastAsia="仿宋_GB2312" w:cs="仿宋_GB2312"/>
          <w:sz w:val="32"/>
          <w:szCs w:val="32"/>
          <w:highlight w:val="none"/>
          <w:lang w:eastAsia="zh-CN"/>
        </w:rPr>
        <w:t>法庭运维费</w:t>
      </w:r>
      <w:r>
        <w:rPr>
          <w:rFonts w:hint="eastAsia" w:ascii="仿宋_GB2312" w:hAnsi="仿宋_GB2312" w:eastAsia="仿宋_GB2312" w:cs="仿宋_GB2312"/>
          <w:sz w:val="32"/>
          <w:szCs w:val="32"/>
          <w:highlight w:val="none"/>
        </w:rPr>
        <w:t>项目全年预算数3,634.34万元，全年执行数3,488.21万元，</w:t>
      </w:r>
      <w:r>
        <w:rPr>
          <w:rFonts w:hint="eastAsia" w:ascii="仿宋_GB2312" w:hAnsi="仿宋_GB2312" w:eastAsia="仿宋_GB2312" w:cs="仿宋_GB2312"/>
          <w:sz w:val="32"/>
          <w:szCs w:val="32"/>
          <w:highlight w:val="none"/>
          <w:lang w:val="en-US" w:eastAsia="zh-CN"/>
        </w:rPr>
        <w:t>年末结转结余资金146.13万元，</w:t>
      </w:r>
      <w:r>
        <w:rPr>
          <w:rFonts w:hint="eastAsia" w:ascii="仿宋_GB2312" w:hAnsi="仿宋_GB2312" w:eastAsia="仿宋_GB2312" w:cs="仿宋_GB2312"/>
          <w:sz w:val="32"/>
          <w:szCs w:val="32"/>
          <w:highlight w:val="none"/>
        </w:rPr>
        <w:t>预算执行率</w:t>
      </w:r>
      <w:r>
        <w:rPr>
          <w:rFonts w:hint="eastAsia" w:ascii="仿宋_GB2312" w:hAnsi="仿宋_GB2312" w:eastAsia="仿宋_GB2312" w:cs="仿宋_GB2312"/>
          <w:sz w:val="32"/>
          <w:szCs w:val="32"/>
          <w:highlight w:val="none"/>
          <w:lang w:val="en-US" w:eastAsia="zh-CN"/>
        </w:rPr>
        <w:t>95.98</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经统计汇总84家基层人民法院</w:t>
      </w:r>
      <w:r>
        <w:rPr>
          <w:rFonts w:hint="eastAsia" w:ascii="仿宋_GB2312" w:hAnsi="仿宋_GB2312" w:eastAsia="仿宋_GB2312" w:cs="仿宋_GB2312"/>
          <w:sz w:val="32"/>
          <w:szCs w:val="32"/>
          <w:highlight w:val="none"/>
        </w:rPr>
        <w:t>法庭运维费</w:t>
      </w:r>
      <w:r>
        <w:rPr>
          <w:rFonts w:hint="eastAsia" w:ascii="仿宋_GB2312" w:hAnsi="仿宋_GB2312" w:eastAsia="仿宋_GB2312" w:cs="仿宋_GB2312"/>
          <w:sz w:val="32"/>
          <w:szCs w:val="32"/>
          <w:highlight w:val="none"/>
          <w:lang w:val="en-US" w:eastAsia="zh-CN"/>
        </w:rPr>
        <w:t>资金预算执行情况，其中：76家法院预算执行率达到100%，1家法院预算执行率达到90%以上，2家法院预算执行率达到80%以上，5家法院预算执行率在70%及以下。预算执行率偏低的法院分别为：</w:t>
      </w:r>
      <w:r>
        <w:rPr>
          <w:rFonts w:hint="eastAsia" w:ascii="仿宋_GB2312" w:hAnsi="仿宋_GB2312" w:eastAsia="仿宋_GB2312" w:cs="仿宋_GB2312"/>
          <w:sz w:val="32"/>
          <w:szCs w:val="32"/>
          <w:highlight w:val="none"/>
          <w:lang w:eastAsia="zh-CN"/>
        </w:rPr>
        <w:t>子午岭林区法院、</w:t>
      </w:r>
      <w:r>
        <w:rPr>
          <w:rFonts w:hint="eastAsia" w:ascii="仿宋_GB2312" w:hAnsi="仿宋_GB2312" w:eastAsia="仿宋_GB2312" w:cs="仿宋_GB2312"/>
          <w:sz w:val="32"/>
          <w:szCs w:val="32"/>
          <w:highlight w:val="none"/>
          <w:lang w:val="en-US" w:eastAsia="zh-CN"/>
        </w:rPr>
        <w:t>兰州市城关区人民法院、榆中县人民法院、</w:t>
      </w:r>
      <w:r>
        <w:rPr>
          <w:rFonts w:hint="eastAsia" w:ascii="仿宋_GB2312" w:hAnsi="仿宋_GB2312" w:eastAsia="仿宋_GB2312" w:cs="仿宋_GB2312"/>
          <w:sz w:val="32"/>
          <w:szCs w:val="32"/>
          <w:highlight w:val="none"/>
          <w:lang w:eastAsia="zh-CN"/>
        </w:rPr>
        <w:t>礼县人民法院、卓尼县人民法院</w:t>
      </w:r>
      <w:r>
        <w:rPr>
          <w:rFonts w:hint="eastAsia" w:ascii="仿宋_GB2312" w:hAnsi="仿宋_GB2312" w:eastAsia="仿宋_GB2312" w:cs="仿宋_GB2312"/>
          <w:sz w:val="32"/>
          <w:szCs w:val="32"/>
          <w:highlight w:val="none"/>
          <w:lang w:val="en-US" w:eastAsia="zh-CN"/>
        </w:rPr>
        <w:t>，预算执行率分别为</w:t>
      </w:r>
      <w:r>
        <w:rPr>
          <w:rFonts w:hint="eastAsia" w:ascii="仿宋_GB2312" w:hAnsi="仿宋_GB2312" w:eastAsia="仿宋_GB2312" w:cs="仿宋_GB2312"/>
          <w:sz w:val="32"/>
          <w:szCs w:val="32"/>
          <w:highlight w:val="none"/>
          <w:lang w:eastAsia="zh-CN"/>
        </w:rPr>
        <w:t>47.19%、</w:t>
      </w:r>
      <w:r>
        <w:rPr>
          <w:rFonts w:hint="eastAsia" w:ascii="仿宋_GB2312" w:hAnsi="仿宋_GB2312" w:eastAsia="仿宋_GB2312" w:cs="仿宋_GB2312"/>
          <w:sz w:val="32"/>
          <w:szCs w:val="32"/>
          <w:highlight w:val="none"/>
          <w:lang w:val="en-US" w:eastAsia="zh-CN"/>
        </w:rPr>
        <w:t>69.62%、</w:t>
      </w:r>
      <w:r>
        <w:rPr>
          <w:rFonts w:hint="eastAsia" w:ascii="仿宋_GB2312" w:hAnsi="仿宋_GB2312" w:eastAsia="仿宋_GB2312" w:cs="仿宋_GB2312"/>
          <w:sz w:val="32"/>
          <w:szCs w:val="32"/>
          <w:highlight w:val="none"/>
        </w:rPr>
        <w:t>70.08%</w:t>
      </w:r>
      <w:r>
        <w:rPr>
          <w:rFonts w:hint="eastAsia" w:ascii="仿宋_GB2312" w:hAnsi="仿宋_GB2312" w:eastAsia="仿宋_GB2312" w:cs="仿宋_GB2312"/>
          <w:sz w:val="32"/>
          <w:szCs w:val="32"/>
          <w:highlight w:val="none"/>
          <w:lang w:eastAsia="zh-CN"/>
        </w:rPr>
        <w:t>、62.86%、35.98%。</w:t>
      </w:r>
    </w:p>
    <w:p w14:paraId="7811853F">
      <w:pPr>
        <w:pStyle w:val="27"/>
        <w:keepNext w:val="0"/>
        <w:keepLines w:val="0"/>
        <w:pageBreakBefore w:val="0"/>
        <w:widowControl w:val="0"/>
        <w:kinsoku/>
        <w:wordWrap/>
        <w:overflowPunct w:val="0"/>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（3）资金使用合规性</w:t>
      </w:r>
    </w:p>
    <w:p w14:paraId="6AB13806">
      <w:pPr>
        <w:pStyle w:val="10"/>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highlight w:val="none"/>
          <w:lang w:val="en-US" w:eastAsia="zh-CN"/>
        </w:rPr>
      </w:pPr>
      <w:r>
        <w:rPr>
          <w:rFonts w:hint="eastAsia" w:ascii="仿宋_GB2312" w:hAnsi="仿宋_GB2312" w:cs="仿宋_GB2312"/>
          <w:highlight w:val="none"/>
        </w:rPr>
        <w:t>资金使用合规性：指标分值</w:t>
      </w:r>
      <w:r>
        <w:rPr>
          <w:rFonts w:hint="eastAsia" w:ascii="仿宋_GB2312" w:hAnsi="仿宋_GB2312" w:cs="仿宋_GB2312"/>
          <w:highlight w:val="none"/>
          <w:lang w:val="en-US" w:eastAsia="zh-CN"/>
        </w:rPr>
        <w:t>2.5</w:t>
      </w:r>
      <w:r>
        <w:rPr>
          <w:rFonts w:hint="eastAsia" w:ascii="仿宋_GB2312" w:hAnsi="仿宋_GB2312" w:cs="仿宋_GB2312"/>
          <w:highlight w:val="none"/>
        </w:rPr>
        <w:t>分，评价得分</w:t>
      </w:r>
      <w:r>
        <w:rPr>
          <w:rFonts w:hint="eastAsia" w:ascii="仿宋_GB2312" w:hAnsi="仿宋_GB2312" w:cs="仿宋_GB2312"/>
          <w:highlight w:val="none"/>
          <w:lang w:val="en-US" w:eastAsia="zh-CN"/>
        </w:rPr>
        <w:t>2.5</w:t>
      </w:r>
      <w:r>
        <w:rPr>
          <w:rFonts w:hint="eastAsia" w:ascii="仿宋_GB2312" w:hAnsi="仿宋_GB2312" w:cs="仿宋_GB2312"/>
          <w:highlight w:val="none"/>
        </w:rPr>
        <w:t>分。</w:t>
      </w:r>
      <w:r>
        <w:rPr>
          <w:rFonts w:hint="eastAsia" w:ascii="仿宋_GB2312" w:hAnsi="仿宋_GB2312" w:cs="仿宋_GB2312"/>
          <w:highlight w:val="none"/>
          <w:lang w:val="en-US" w:eastAsia="zh-CN"/>
        </w:rPr>
        <w:t>评价组通过查阅甘肃省高级人民法院《关于全省基层法院派出人民法庭运维经费规范使用的通知》</w:t>
      </w:r>
      <w:r>
        <w:rPr>
          <w:rFonts w:hint="eastAsia" w:ascii="仿宋_GB2312" w:hAnsi="仿宋_GB2312" w:eastAsia="仿宋_GB2312" w:cs="仿宋_GB2312"/>
          <w:highlight w:val="none"/>
          <w:lang w:val="en-US" w:eastAsia="zh-CN"/>
        </w:rPr>
        <w:t>（甘高法〔2018〕118号）</w:t>
      </w:r>
      <w:r>
        <w:rPr>
          <w:rFonts w:hint="eastAsia" w:ascii="仿宋_GB2312" w:hAnsi="仿宋_GB2312" w:cs="仿宋_GB2312"/>
          <w:highlight w:val="none"/>
          <w:lang w:val="en-US" w:eastAsia="zh-CN"/>
        </w:rPr>
        <w:t>等管理制度，对比分析项目实施法院财务制度办法，经抽查财务凭证及附件，比较分析资金落实情况、资金使用情况及财务监控情况。评价认为，</w:t>
      </w:r>
      <w:r>
        <w:rPr>
          <w:rFonts w:hint="eastAsia" w:ascii="仿宋_GB2312" w:hAnsi="仿宋_GB2312" w:cs="仿宋_GB2312"/>
          <w:highlight w:val="none"/>
        </w:rPr>
        <w:t>专项资金的使用基本符合国家财经法规和财务管理制度，资金支出的审批程序完整，未发现</w:t>
      </w:r>
      <w:r>
        <w:rPr>
          <w:rFonts w:hint="eastAsia" w:ascii="仿宋_GB2312" w:hAnsi="仿宋_GB2312" w:cs="仿宋_GB2312"/>
          <w:highlight w:val="none"/>
          <w:lang w:val="en-US" w:eastAsia="zh-CN"/>
        </w:rPr>
        <w:t>截留、</w:t>
      </w:r>
      <w:r>
        <w:rPr>
          <w:rFonts w:hint="eastAsia" w:ascii="仿宋_GB2312" w:hAnsi="仿宋_GB2312" w:cs="仿宋_GB2312"/>
          <w:highlight w:val="none"/>
        </w:rPr>
        <w:t>虚列支出情况。</w:t>
      </w:r>
    </w:p>
    <w:p w14:paraId="63398FB8">
      <w:pPr>
        <w:pStyle w:val="10"/>
        <w:keepNext w:val="0"/>
        <w:keepLines w:val="0"/>
        <w:pageBreakBefore w:val="0"/>
        <w:widowControl w:val="0"/>
        <w:tabs>
          <w:tab w:val="left" w:pos="0"/>
        </w:tabs>
        <w:kinsoku/>
        <w:wordWrap/>
        <w:overflowPunct w:val="0"/>
        <w:topLinePunct w:val="0"/>
        <w:autoSpaceDE/>
        <w:autoSpaceDN/>
        <w:bidi w:val="0"/>
        <w:adjustRightInd/>
        <w:snapToGrid/>
        <w:spacing w:line="560" w:lineRule="exact"/>
        <w:ind w:firstLine="643" w:firstLineChars="200"/>
        <w:textAlignment w:val="auto"/>
        <w:outlineLvl w:val="2"/>
        <w:rPr>
          <w:rFonts w:ascii="仿宋_GB2312" w:hAnsi="仿宋_GB2312" w:cs="仿宋_GB2312"/>
          <w:b/>
          <w:bCs/>
          <w:highlight w:val="none"/>
        </w:rPr>
      </w:pPr>
      <w:r>
        <w:rPr>
          <w:rFonts w:hint="eastAsia" w:ascii="仿宋_GB2312" w:hAnsi="仿宋_GB2312" w:cs="仿宋_GB2312"/>
          <w:b/>
          <w:bCs/>
          <w:highlight w:val="none"/>
        </w:rPr>
        <w:t>2.组织实施</w:t>
      </w:r>
    </w:p>
    <w:p w14:paraId="039AC9FE">
      <w:pPr>
        <w:pStyle w:val="27"/>
        <w:keepNext w:val="0"/>
        <w:keepLines w:val="0"/>
        <w:pageBreakBefore w:val="0"/>
        <w:widowControl w:val="0"/>
        <w:kinsoku/>
        <w:wordWrap/>
        <w:overflowPunct w:val="0"/>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（1）管理制度健全性</w:t>
      </w:r>
    </w:p>
    <w:p w14:paraId="1B74C3EA">
      <w:pPr>
        <w:pStyle w:val="27"/>
        <w:keepNext w:val="0"/>
        <w:keepLines w:val="0"/>
        <w:pageBreakBefore w:val="0"/>
        <w:widowControl w:val="0"/>
        <w:kinsoku/>
        <w:wordWrap/>
        <w:overflowPunct w:val="0"/>
        <w:topLinePunct w:val="0"/>
        <w:autoSpaceDE/>
        <w:autoSpaceDN/>
        <w:bidi w:val="0"/>
        <w:adjustRightInd/>
        <w:snapToGrid/>
        <w:spacing w:line="560" w:lineRule="exact"/>
        <w:ind w:firstLine="64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管理制度健全性：指标分值</w:t>
      </w:r>
      <w:r>
        <w:rPr>
          <w:rFonts w:hint="eastAsia" w:ascii="仿宋_GB2312" w:hAnsi="仿宋_GB2312" w:eastAsia="仿宋_GB2312" w:cs="仿宋_GB2312"/>
          <w:sz w:val="32"/>
          <w:szCs w:val="32"/>
          <w:highlight w:val="none"/>
          <w:lang w:val="en-US" w:eastAsia="zh-CN"/>
        </w:rPr>
        <w:t>2.5</w:t>
      </w:r>
      <w:r>
        <w:rPr>
          <w:rFonts w:hint="eastAsia" w:ascii="仿宋_GB2312" w:hAnsi="仿宋_GB2312" w:eastAsia="仿宋_GB2312" w:cs="仿宋_GB2312"/>
          <w:sz w:val="32"/>
          <w:szCs w:val="32"/>
          <w:highlight w:val="none"/>
        </w:rPr>
        <w:t>分，评价得分</w:t>
      </w:r>
      <w:r>
        <w:rPr>
          <w:rFonts w:hint="eastAsia" w:ascii="仿宋_GB2312" w:hAnsi="仿宋_GB2312" w:eastAsia="仿宋_GB2312" w:cs="仿宋_GB2312"/>
          <w:sz w:val="32"/>
          <w:szCs w:val="32"/>
          <w:highlight w:val="none"/>
          <w:lang w:val="en-US" w:eastAsia="zh-CN"/>
        </w:rPr>
        <w:t>2.5</w:t>
      </w:r>
      <w:r>
        <w:rPr>
          <w:rFonts w:hint="eastAsia" w:ascii="仿宋_GB2312" w:hAnsi="仿宋_GB2312" w:eastAsia="仿宋_GB2312" w:cs="仿宋_GB2312"/>
          <w:sz w:val="32"/>
          <w:szCs w:val="32"/>
          <w:highlight w:val="none"/>
        </w:rPr>
        <w:t>分。</w:t>
      </w:r>
      <w:r>
        <w:rPr>
          <w:rFonts w:hint="eastAsia" w:ascii="仿宋_GB2312" w:hAnsi="仿宋_GB2312" w:eastAsia="仿宋_GB2312" w:cs="仿宋_GB2312"/>
          <w:sz w:val="32"/>
          <w:szCs w:val="32"/>
          <w:highlight w:val="none"/>
          <w:lang w:val="en-US" w:eastAsia="zh-CN"/>
        </w:rPr>
        <w:t>甘肃省高级人民法院于2020年编制了《甘肃省法院系统财物统管制度汇编》，该汇编的印发对于法院系统内各项工作的实施提供了强有力的政策制度支撑；甘肃省高级人民法院印发了《全省法院系统项目预算资金申报使用管理规程（试行）》《关于做好全省法院系统项目建设管理工作的补充通知》，各法院制定了财务及业务相关的管理办法，能够为项目实施提供有效指导。</w:t>
      </w:r>
    </w:p>
    <w:p w14:paraId="23BBA06A">
      <w:pPr>
        <w:pStyle w:val="27"/>
        <w:keepNext w:val="0"/>
        <w:keepLines w:val="0"/>
        <w:pageBreakBefore w:val="0"/>
        <w:widowControl w:val="0"/>
        <w:kinsoku/>
        <w:wordWrap/>
        <w:overflowPunct w:val="0"/>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（2）制度执行有效性</w:t>
      </w:r>
    </w:p>
    <w:p w14:paraId="717AFE49">
      <w:pPr>
        <w:pStyle w:val="27"/>
        <w:keepNext w:val="0"/>
        <w:keepLines w:val="0"/>
        <w:pageBreakBefore w:val="0"/>
        <w:widowControl w:val="0"/>
        <w:kinsoku/>
        <w:wordWrap/>
        <w:overflowPunct w:val="0"/>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制度执行有效性：指标分值</w:t>
      </w:r>
      <w:r>
        <w:rPr>
          <w:rFonts w:hint="eastAsia" w:ascii="仿宋_GB2312" w:hAnsi="仿宋_GB2312" w:eastAsia="仿宋_GB2312" w:cs="仿宋_GB2312"/>
          <w:sz w:val="32"/>
          <w:szCs w:val="32"/>
          <w:highlight w:val="none"/>
          <w:lang w:val="en-US" w:eastAsia="zh-CN"/>
        </w:rPr>
        <w:t>2.5</w:t>
      </w:r>
      <w:r>
        <w:rPr>
          <w:rFonts w:hint="eastAsia" w:ascii="仿宋_GB2312" w:hAnsi="仿宋_GB2312" w:eastAsia="仿宋_GB2312" w:cs="仿宋_GB2312"/>
          <w:sz w:val="32"/>
          <w:szCs w:val="32"/>
          <w:highlight w:val="none"/>
        </w:rPr>
        <w:t>分，评价得分</w:t>
      </w:r>
      <w:r>
        <w:rPr>
          <w:rFonts w:hint="eastAsia" w:ascii="仿宋_GB2312" w:hAnsi="仿宋_GB2312" w:eastAsia="仿宋_GB2312" w:cs="仿宋_GB2312"/>
          <w:sz w:val="32"/>
          <w:szCs w:val="32"/>
          <w:highlight w:val="none"/>
          <w:lang w:val="en-US" w:eastAsia="zh-CN"/>
        </w:rPr>
        <w:t>2.5</w:t>
      </w:r>
      <w:r>
        <w:rPr>
          <w:rFonts w:hint="eastAsia" w:ascii="仿宋_GB2312" w:hAnsi="仿宋_GB2312" w:eastAsia="仿宋_GB2312" w:cs="仿宋_GB2312"/>
          <w:sz w:val="32"/>
          <w:szCs w:val="32"/>
          <w:highlight w:val="none"/>
        </w:rPr>
        <w:t>分。经</w:t>
      </w:r>
      <w:r>
        <w:rPr>
          <w:rFonts w:hint="eastAsia" w:ascii="仿宋_GB2312" w:hAnsi="仿宋_GB2312" w:eastAsia="仿宋_GB2312" w:cs="仿宋_GB2312"/>
          <w:sz w:val="32"/>
          <w:szCs w:val="32"/>
          <w:highlight w:val="none"/>
          <w:lang w:val="en-US" w:eastAsia="zh-CN"/>
        </w:rPr>
        <w:t>抽</w:t>
      </w:r>
      <w:r>
        <w:rPr>
          <w:rFonts w:hint="eastAsia" w:ascii="仿宋_GB2312" w:hAnsi="仿宋_GB2312" w:eastAsia="仿宋_GB2312" w:cs="仿宋_GB2312"/>
          <w:sz w:val="32"/>
          <w:szCs w:val="32"/>
          <w:highlight w:val="none"/>
        </w:rPr>
        <w:t>查</w:t>
      </w:r>
      <w:r>
        <w:rPr>
          <w:rFonts w:hint="eastAsia" w:ascii="仿宋_GB2312" w:hAnsi="仿宋_GB2312" w:eastAsia="仿宋_GB2312" w:cs="仿宋_GB2312"/>
          <w:sz w:val="32"/>
          <w:szCs w:val="32"/>
          <w:highlight w:val="none"/>
          <w:lang w:val="en-US" w:eastAsia="zh-CN"/>
        </w:rPr>
        <w:t>各法院</w:t>
      </w:r>
      <w:r>
        <w:rPr>
          <w:rFonts w:hint="eastAsia" w:ascii="仿宋_GB2312" w:hAnsi="仿宋_GB2312" w:eastAsia="仿宋_GB2312" w:cs="仿宋_GB2312"/>
          <w:sz w:val="32"/>
          <w:szCs w:val="32"/>
          <w:highlight w:val="none"/>
        </w:rPr>
        <w:t>相关合同协议、会计</w:t>
      </w:r>
      <w:r>
        <w:rPr>
          <w:rFonts w:hint="eastAsia" w:ascii="仿宋_GB2312" w:hAnsi="仿宋_GB2312" w:eastAsia="仿宋_GB2312" w:cs="仿宋_GB2312"/>
          <w:sz w:val="32"/>
          <w:szCs w:val="32"/>
          <w:highlight w:val="none"/>
          <w:lang w:val="en-US" w:eastAsia="zh-CN"/>
        </w:rPr>
        <w:t>凭证</w:t>
      </w:r>
      <w:r>
        <w:rPr>
          <w:rFonts w:hint="eastAsia" w:ascii="仿宋_GB2312" w:hAnsi="仿宋_GB2312" w:eastAsia="仿宋_GB2312" w:cs="仿宋_GB2312"/>
          <w:sz w:val="32"/>
          <w:szCs w:val="32"/>
          <w:highlight w:val="none"/>
        </w:rPr>
        <w:t>等资料</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84家基层人民法院</w:t>
      </w:r>
      <w:r>
        <w:rPr>
          <w:rFonts w:hint="eastAsia" w:ascii="仿宋_GB2312" w:hAnsi="仿宋_GB2312" w:eastAsia="仿宋_GB2312" w:cs="仿宋_GB2312"/>
          <w:sz w:val="32"/>
          <w:szCs w:val="32"/>
          <w:highlight w:val="none"/>
        </w:rPr>
        <w:t>能够遵守相关法律法规完成案件办理、设备购置、维修维护等工作，严格按照</w:t>
      </w:r>
      <w:r>
        <w:rPr>
          <w:rFonts w:hint="eastAsia" w:ascii="仿宋_GB2312" w:hAnsi="仿宋_GB2312" w:eastAsia="仿宋_GB2312" w:cs="仿宋_GB2312"/>
          <w:sz w:val="32"/>
          <w:szCs w:val="32"/>
          <w:highlight w:val="none"/>
          <w:lang w:val="en-US" w:eastAsia="zh-CN"/>
        </w:rPr>
        <w:t>项目计划实施</w:t>
      </w:r>
      <w:r>
        <w:rPr>
          <w:rFonts w:hint="eastAsia" w:ascii="仿宋_GB2312" w:hAnsi="仿宋_GB2312" w:eastAsia="仿宋_GB2312" w:cs="仿宋_GB2312"/>
          <w:sz w:val="32"/>
          <w:szCs w:val="32"/>
          <w:highlight w:val="none"/>
        </w:rPr>
        <w:t>，项目资料齐全并及时归档，项目实施过程中，能够按照制度管理进行资金申请和下达、使用</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资金使用符合相关法律法规的管理规定，符合制度执行有效性要求。</w:t>
      </w:r>
    </w:p>
    <w:p w14:paraId="4C3006EF">
      <w:pPr>
        <w:pStyle w:val="27"/>
        <w:keepNext w:val="0"/>
        <w:keepLines w:val="0"/>
        <w:pageBreakBefore w:val="0"/>
        <w:widowControl w:val="0"/>
        <w:kinsoku/>
        <w:wordWrap/>
        <w:overflowPunct w:val="0"/>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绩效管理规范性</w:t>
      </w:r>
    </w:p>
    <w:p w14:paraId="589F2257">
      <w:pPr>
        <w:pStyle w:val="27"/>
        <w:keepNext w:val="0"/>
        <w:keepLines w:val="0"/>
        <w:pageBreakBefore w:val="0"/>
        <w:widowControl w:val="0"/>
        <w:kinsoku/>
        <w:wordWrap/>
        <w:overflowPunct w:val="0"/>
        <w:topLinePunct w:val="0"/>
        <w:autoSpaceDE/>
        <w:autoSpaceDN/>
        <w:bidi w:val="0"/>
        <w:adjustRightInd/>
        <w:snapToGrid/>
        <w:spacing w:line="560" w:lineRule="exact"/>
        <w:ind w:firstLine="64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绩效管理规范性：指标分值2.5分，评价得分1.25分。2023年度各法院分别于6月、9月开展两次项目预算执行情况绩效监控，绩效监控开展规范</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全省84家基层人民法院于2024年初开展了法庭运维费项目2023年度预算执行情况绩效自评，但经评价组核查全省84家基层人民法院填报的《法庭运维费项目支出绩效自评表》</w:t>
      </w:r>
      <w:r>
        <w:rPr>
          <w:rFonts w:hint="eastAsia" w:ascii="仿宋_GB2312" w:hAnsi="仿宋_GB2312" w:eastAsia="仿宋_GB2312" w:cs="仿宋_GB2312"/>
          <w:color w:val="auto"/>
          <w:sz w:val="32"/>
          <w:szCs w:val="32"/>
          <w:highlight w:val="none"/>
          <w:lang w:val="en-US" w:eastAsia="zh-CN"/>
        </w:rPr>
        <w:t>发现，个别法院的绩效自评质量有待提升，主要体现为</w:t>
      </w:r>
      <w:r>
        <w:rPr>
          <w:rFonts w:hint="eastAsia" w:ascii="仿宋_GB2312" w:hAnsi="仿宋_GB2312" w:eastAsia="仿宋_GB2312" w:cs="仿宋_GB2312"/>
          <w:sz w:val="32"/>
          <w:szCs w:val="32"/>
          <w:highlight w:val="none"/>
          <w:lang w:val="en-US" w:eastAsia="zh-CN"/>
        </w:rPr>
        <w:t>灵台县人民法院保障基层法庭个数年度指标值3个，绩效自评实际完成值填写为100个，民勤县人民法院水电暖服务保障率年度指标值100%，绩效自评实际完成值填写为8%。</w:t>
      </w:r>
    </w:p>
    <w:p w14:paraId="70CCF76D">
      <w:pPr>
        <w:pStyle w:val="10"/>
        <w:keepNext w:val="0"/>
        <w:keepLines w:val="0"/>
        <w:pageBreakBefore w:val="0"/>
        <w:widowControl w:val="0"/>
        <w:kinsoku/>
        <w:wordWrap/>
        <w:overflowPunct w:val="0"/>
        <w:topLinePunct w:val="0"/>
        <w:autoSpaceDE/>
        <w:autoSpaceDN/>
        <w:bidi w:val="0"/>
        <w:adjustRightInd/>
        <w:snapToGrid/>
        <w:spacing w:line="560" w:lineRule="exact"/>
        <w:ind w:firstLine="643" w:firstLineChars="200"/>
        <w:textAlignment w:val="auto"/>
        <w:outlineLvl w:val="1"/>
        <w:rPr>
          <w:rFonts w:hint="eastAsia" w:ascii="楷体" w:hAnsi="楷体" w:eastAsia="楷体" w:cs="楷体"/>
          <w:b/>
          <w:bCs/>
          <w:highlight w:val="none"/>
          <w:lang w:eastAsia="zh-CN"/>
        </w:rPr>
      </w:pPr>
      <w:bookmarkStart w:id="121" w:name="_Toc3677"/>
      <w:bookmarkStart w:id="122" w:name="_Toc643"/>
      <w:bookmarkStart w:id="123" w:name="_Toc20113"/>
      <w:r>
        <w:rPr>
          <w:rFonts w:hint="eastAsia" w:ascii="楷体" w:hAnsi="楷体" w:eastAsia="楷体" w:cs="楷体"/>
          <w:b/>
          <w:bCs/>
          <w:highlight w:val="none"/>
          <w:lang w:eastAsia="zh-CN"/>
        </w:rPr>
        <w:t>（</w:t>
      </w:r>
      <w:r>
        <w:rPr>
          <w:rFonts w:hint="eastAsia" w:ascii="楷体" w:hAnsi="楷体" w:eastAsia="楷体" w:cs="楷体"/>
          <w:b/>
          <w:bCs/>
          <w:highlight w:val="none"/>
          <w:lang w:val="en-US" w:eastAsia="zh-CN"/>
        </w:rPr>
        <w:t>三</w:t>
      </w:r>
      <w:r>
        <w:rPr>
          <w:rFonts w:hint="eastAsia" w:ascii="楷体" w:hAnsi="楷体" w:eastAsia="楷体" w:cs="楷体"/>
          <w:b/>
          <w:bCs/>
          <w:highlight w:val="none"/>
          <w:lang w:eastAsia="zh-CN"/>
        </w:rPr>
        <w:t>）</w:t>
      </w:r>
      <w:r>
        <w:rPr>
          <w:rFonts w:hint="eastAsia" w:ascii="楷体" w:hAnsi="楷体" w:eastAsia="楷体" w:cs="楷体"/>
          <w:b/>
          <w:bCs/>
          <w:highlight w:val="none"/>
        </w:rPr>
        <w:t>项目</w:t>
      </w:r>
      <w:r>
        <w:rPr>
          <w:rFonts w:hint="eastAsia" w:ascii="楷体" w:hAnsi="楷体" w:eastAsia="楷体" w:cs="楷体"/>
          <w:b/>
          <w:bCs/>
          <w:highlight w:val="none"/>
          <w:lang w:val="en-US" w:eastAsia="zh-CN"/>
        </w:rPr>
        <w:t>成本</w:t>
      </w:r>
      <w:r>
        <w:rPr>
          <w:rFonts w:hint="eastAsia" w:ascii="楷体" w:hAnsi="楷体" w:eastAsia="楷体" w:cs="楷体"/>
          <w:b/>
          <w:bCs/>
          <w:highlight w:val="none"/>
        </w:rPr>
        <w:t>情况</w:t>
      </w:r>
    </w:p>
    <w:p w14:paraId="46AF1B98">
      <w:pPr>
        <w:pStyle w:val="27"/>
        <w:keepNext w:val="0"/>
        <w:keepLines w:val="0"/>
        <w:pageBreakBefore w:val="0"/>
        <w:widowControl w:val="0"/>
        <w:kinsoku/>
        <w:wordWrap/>
        <w:overflowPunct w:val="0"/>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项目</w:t>
      </w:r>
      <w:r>
        <w:rPr>
          <w:rFonts w:hint="eastAsia" w:ascii="仿宋_GB2312" w:hAnsi="仿宋_GB2312" w:eastAsia="仿宋_GB2312" w:cs="仿宋_GB2312"/>
          <w:sz w:val="32"/>
          <w:szCs w:val="32"/>
          <w:highlight w:val="none"/>
          <w:lang w:val="en-US" w:eastAsia="zh-CN"/>
        </w:rPr>
        <w:t>成本</w:t>
      </w:r>
      <w:r>
        <w:rPr>
          <w:rFonts w:hint="eastAsia" w:ascii="仿宋_GB2312" w:hAnsi="仿宋_GB2312" w:eastAsia="仿宋_GB2312" w:cs="仿宋_GB2312"/>
          <w:sz w:val="32"/>
          <w:szCs w:val="32"/>
          <w:highlight w:val="none"/>
        </w:rPr>
        <w:t>指标包括经济成本指标</w:t>
      </w:r>
      <w:r>
        <w:rPr>
          <w:rFonts w:hint="eastAsia" w:ascii="仿宋_GB2312" w:hAnsi="仿宋_GB2312" w:eastAsia="仿宋_GB2312" w:cs="仿宋_GB2312"/>
          <w:sz w:val="32"/>
          <w:szCs w:val="32"/>
          <w:highlight w:val="none"/>
          <w:lang w:val="en-US" w:eastAsia="zh-CN"/>
        </w:rPr>
        <w:t>一</w:t>
      </w:r>
      <w:r>
        <w:rPr>
          <w:rFonts w:hint="eastAsia" w:ascii="仿宋_GB2312" w:hAnsi="仿宋_GB2312" w:eastAsia="仿宋_GB2312" w:cs="仿宋_GB2312"/>
          <w:sz w:val="32"/>
          <w:szCs w:val="32"/>
          <w:highlight w:val="none"/>
        </w:rPr>
        <w:t>个二级指标，指标分值</w:t>
      </w:r>
      <w:r>
        <w:rPr>
          <w:rFonts w:hint="eastAsia" w:ascii="仿宋_GB2312" w:hAnsi="仿宋_GB2312" w:eastAsia="仿宋_GB2312" w:cs="仿宋_GB2312"/>
          <w:sz w:val="32"/>
          <w:szCs w:val="32"/>
          <w:highlight w:val="none"/>
          <w:lang w:val="en-US" w:eastAsia="zh-CN"/>
        </w:rPr>
        <w:t>10</w:t>
      </w:r>
      <w:r>
        <w:rPr>
          <w:rFonts w:hint="eastAsia" w:ascii="仿宋_GB2312" w:hAnsi="仿宋_GB2312" w:eastAsia="仿宋_GB2312" w:cs="仿宋_GB2312"/>
          <w:sz w:val="32"/>
          <w:szCs w:val="32"/>
          <w:highlight w:val="none"/>
        </w:rPr>
        <w:t>分，评价得分</w:t>
      </w:r>
      <w:r>
        <w:rPr>
          <w:rFonts w:hint="eastAsia" w:ascii="仿宋_GB2312" w:hAnsi="仿宋_GB2312" w:eastAsia="仿宋_GB2312" w:cs="仿宋_GB2312"/>
          <w:sz w:val="32"/>
          <w:szCs w:val="32"/>
          <w:highlight w:val="none"/>
          <w:lang w:val="en-US" w:eastAsia="zh-CN"/>
        </w:rPr>
        <w:t>10</w:t>
      </w:r>
      <w:r>
        <w:rPr>
          <w:rFonts w:hint="eastAsia" w:ascii="仿宋_GB2312" w:hAnsi="仿宋_GB2312" w:eastAsia="仿宋_GB2312" w:cs="仿宋_GB2312"/>
          <w:sz w:val="32"/>
          <w:szCs w:val="32"/>
          <w:highlight w:val="none"/>
        </w:rPr>
        <w:t>分，得分率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w:t>
      </w:r>
    </w:p>
    <w:tbl>
      <w:tblPr>
        <w:tblStyle w:val="21"/>
        <w:tblW w:w="8882"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1630"/>
        <w:gridCol w:w="2093"/>
        <w:gridCol w:w="850"/>
        <w:gridCol w:w="1134"/>
        <w:gridCol w:w="1134"/>
        <w:gridCol w:w="907"/>
        <w:gridCol w:w="1134"/>
      </w:tblGrid>
      <w:tr w14:paraId="1E8EDC8C">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blHeader/>
        </w:trPr>
        <w:tc>
          <w:tcPr>
            <w:tcW w:w="1630" w:type="dxa"/>
            <w:tcBorders>
              <w:tl2br w:val="nil"/>
              <w:tr2bl w:val="nil"/>
            </w:tcBorders>
            <w:shd w:val="clear" w:color="auto" w:fill="BDD6EE" w:themeFill="accent1" w:themeFillTint="66"/>
            <w:vAlign w:val="center"/>
          </w:tcPr>
          <w:p w14:paraId="45F0C0E9">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二级指标</w:t>
            </w:r>
          </w:p>
        </w:tc>
        <w:tc>
          <w:tcPr>
            <w:tcW w:w="2093" w:type="dxa"/>
            <w:tcBorders>
              <w:tl2br w:val="nil"/>
              <w:tr2bl w:val="nil"/>
            </w:tcBorders>
            <w:shd w:val="clear" w:color="auto" w:fill="BDD6EE" w:themeFill="accent1" w:themeFillTint="66"/>
            <w:vAlign w:val="center"/>
          </w:tcPr>
          <w:p w14:paraId="44DDE097">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三级指标</w:t>
            </w:r>
          </w:p>
        </w:tc>
        <w:tc>
          <w:tcPr>
            <w:tcW w:w="850" w:type="dxa"/>
            <w:tcBorders>
              <w:tl2br w:val="nil"/>
              <w:tr2bl w:val="nil"/>
            </w:tcBorders>
            <w:shd w:val="clear" w:color="auto" w:fill="BDD6EE" w:themeFill="accent1" w:themeFillTint="66"/>
            <w:vAlign w:val="center"/>
          </w:tcPr>
          <w:p w14:paraId="20FEA436">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分值</w:t>
            </w:r>
          </w:p>
        </w:tc>
        <w:tc>
          <w:tcPr>
            <w:tcW w:w="1134" w:type="dxa"/>
            <w:tcBorders>
              <w:tl2br w:val="nil"/>
              <w:tr2bl w:val="nil"/>
            </w:tcBorders>
            <w:shd w:val="clear" w:color="auto" w:fill="BDD6EE" w:themeFill="accent1" w:themeFillTint="66"/>
            <w:vAlign w:val="center"/>
          </w:tcPr>
          <w:p w14:paraId="45EC01AA">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目标值</w:t>
            </w:r>
          </w:p>
        </w:tc>
        <w:tc>
          <w:tcPr>
            <w:tcW w:w="1134" w:type="dxa"/>
            <w:tcBorders>
              <w:tl2br w:val="nil"/>
              <w:tr2bl w:val="nil"/>
            </w:tcBorders>
            <w:shd w:val="clear" w:color="auto" w:fill="BDD6EE" w:themeFill="accent1" w:themeFillTint="66"/>
            <w:vAlign w:val="center"/>
          </w:tcPr>
          <w:p w14:paraId="0B833543">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业绩值</w:t>
            </w:r>
          </w:p>
        </w:tc>
        <w:tc>
          <w:tcPr>
            <w:tcW w:w="907" w:type="dxa"/>
            <w:tcBorders>
              <w:tl2br w:val="nil"/>
              <w:tr2bl w:val="nil"/>
            </w:tcBorders>
            <w:shd w:val="clear" w:color="auto" w:fill="BDD6EE" w:themeFill="accent1" w:themeFillTint="66"/>
            <w:vAlign w:val="center"/>
          </w:tcPr>
          <w:p w14:paraId="4A95FEFE">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得分</w:t>
            </w:r>
          </w:p>
        </w:tc>
        <w:tc>
          <w:tcPr>
            <w:tcW w:w="1134" w:type="dxa"/>
            <w:tcBorders>
              <w:tl2br w:val="nil"/>
              <w:tr2bl w:val="nil"/>
            </w:tcBorders>
            <w:shd w:val="clear" w:color="auto" w:fill="BDD6EE" w:themeFill="accent1" w:themeFillTint="66"/>
            <w:vAlign w:val="center"/>
          </w:tcPr>
          <w:p w14:paraId="123369B6">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得分率</w:t>
            </w:r>
          </w:p>
        </w:tc>
      </w:tr>
      <w:tr w14:paraId="628002BE">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1630" w:type="dxa"/>
            <w:tcBorders>
              <w:tl2br w:val="nil"/>
              <w:tr2bl w:val="nil"/>
            </w:tcBorders>
            <w:vAlign w:val="center"/>
          </w:tcPr>
          <w:p w14:paraId="7640B5BA">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经济成本指标</w:t>
            </w:r>
          </w:p>
        </w:tc>
        <w:tc>
          <w:tcPr>
            <w:tcW w:w="2093" w:type="dxa"/>
            <w:tcBorders>
              <w:tl2br w:val="nil"/>
              <w:tr2bl w:val="nil"/>
            </w:tcBorders>
            <w:shd w:val="clear" w:color="auto" w:fill="auto"/>
            <w:vAlign w:val="center"/>
          </w:tcPr>
          <w:p w14:paraId="1CA33143">
            <w:pPr>
              <w:keepNext w:val="0"/>
              <w:keepLines w:val="0"/>
              <w:widowControl/>
              <w:suppressLineNumbers w:val="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年度预算控制率</w:t>
            </w:r>
          </w:p>
        </w:tc>
        <w:tc>
          <w:tcPr>
            <w:tcW w:w="850" w:type="dxa"/>
            <w:tcBorders>
              <w:tl2br w:val="nil"/>
              <w:tr2bl w:val="nil"/>
            </w:tcBorders>
            <w:shd w:val="clear" w:color="auto" w:fill="auto"/>
            <w:vAlign w:val="center"/>
          </w:tcPr>
          <w:p w14:paraId="0D1D13F6">
            <w:pPr>
              <w:keepNext w:val="0"/>
              <w:keepLines w:val="0"/>
              <w:widowControl/>
              <w:suppressLineNumbers w:val="0"/>
              <w:jc w:val="center"/>
              <w:textAlignment w:val="center"/>
              <w:rPr>
                <w:rFonts w:hint="default"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10</w:t>
            </w:r>
          </w:p>
        </w:tc>
        <w:tc>
          <w:tcPr>
            <w:tcW w:w="1134" w:type="dxa"/>
            <w:tcBorders>
              <w:tl2br w:val="nil"/>
              <w:tr2bl w:val="nil"/>
            </w:tcBorders>
            <w:shd w:val="clear" w:color="auto" w:fill="auto"/>
            <w:vAlign w:val="center"/>
          </w:tcPr>
          <w:p w14:paraId="218FA259">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≥90%</w:t>
            </w:r>
          </w:p>
        </w:tc>
        <w:tc>
          <w:tcPr>
            <w:tcW w:w="1134" w:type="dxa"/>
            <w:tcBorders>
              <w:tl2br w:val="nil"/>
              <w:tr2bl w:val="nil"/>
            </w:tcBorders>
            <w:shd w:val="clear" w:color="auto" w:fill="auto"/>
            <w:vAlign w:val="center"/>
          </w:tcPr>
          <w:p w14:paraId="43121CF5">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95.98%</w:t>
            </w:r>
          </w:p>
        </w:tc>
        <w:tc>
          <w:tcPr>
            <w:tcW w:w="907" w:type="dxa"/>
            <w:tcBorders>
              <w:tl2br w:val="nil"/>
              <w:tr2bl w:val="nil"/>
            </w:tcBorders>
            <w:shd w:val="clear" w:color="auto" w:fill="auto"/>
            <w:vAlign w:val="center"/>
          </w:tcPr>
          <w:p w14:paraId="15568DE7">
            <w:pPr>
              <w:keepNext w:val="0"/>
              <w:keepLines w:val="0"/>
              <w:widowControl/>
              <w:suppressLineNumbers w:val="0"/>
              <w:jc w:val="center"/>
              <w:textAlignment w:val="center"/>
              <w:rPr>
                <w:rFonts w:hint="default"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10</w:t>
            </w:r>
          </w:p>
        </w:tc>
        <w:tc>
          <w:tcPr>
            <w:tcW w:w="1134" w:type="dxa"/>
            <w:tcBorders>
              <w:tl2br w:val="nil"/>
              <w:tr2bl w:val="nil"/>
            </w:tcBorders>
            <w:shd w:val="clear" w:color="auto" w:fill="auto"/>
            <w:vAlign w:val="center"/>
          </w:tcPr>
          <w:p w14:paraId="01ED9298">
            <w:pPr>
              <w:keepNext w:val="0"/>
              <w:keepLines w:val="0"/>
              <w:widowControl/>
              <w:suppressLineNumbers w:val="0"/>
              <w:jc w:val="righ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32B0CB8A">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3723" w:type="dxa"/>
            <w:gridSpan w:val="2"/>
            <w:tcBorders>
              <w:tl2br w:val="nil"/>
              <w:tr2bl w:val="nil"/>
            </w:tcBorders>
            <w:shd w:val="clear" w:color="auto" w:fill="BDD6EE" w:themeFill="accent1" w:themeFillTint="66"/>
            <w:vAlign w:val="center"/>
          </w:tcPr>
          <w:p w14:paraId="1A260A97">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合计</w:t>
            </w:r>
          </w:p>
        </w:tc>
        <w:tc>
          <w:tcPr>
            <w:tcW w:w="850" w:type="dxa"/>
            <w:tcBorders>
              <w:tl2br w:val="nil"/>
              <w:tr2bl w:val="nil"/>
            </w:tcBorders>
            <w:shd w:val="clear" w:color="auto" w:fill="BDD6EE" w:themeFill="accent1" w:themeFillTint="66"/>
            <w:vAlign w:val="center"/>
          </w:tcPr>
          <w:p w14:paraId="03FD1CD4">
            <w:pPr>
              <w:widowControl/>
              <w:jc w:val="center"/>
              <w:textAlignment w:val="center"/>
              <w:rPr>
                <w:rFonts w:hint="default" w:ascii="宋体" w:hAnsi="宋体" w:eastAsia="宋体" w:cs="宋体"/>
                <w:b/>
                <w:bCs/>
                <w:color w:val="auto"/>
                <w:kern w:val="0"/>
                <w:sz w:val="20"/>
                <w:szCs w:val="20"/>
                <w:highlight w:val="none"/>
                <w:lang w:val="en-US" w:eastAsia="zh-CN" w:bidi="ar"/>
              </w:rPr>
            </w:pPr>
            <w:r>
              <w:rPr>
                <w:rFonts w:hint="eastAsia" w:ascii="宋体" w:hAnsi="宋体" w:eastAsia="宋体" w:cs="宋体"/>
                <w:b/>
                <w:bCs/>
                <w:color w:val="auto"/>
                <w:kern w:val="0"/>
                <w:sz w:val="20"/>
                <w:szCs w:val="20"/>
                <w:highlight w:val="none"/>
                <w:lang w:val="en-US" w:eastAsia="zh-CN" w:bidi="ar"/>
              </w:rPr>
              <w:t>10</w:t>
            </w:r>
          </w:p>
        </w:tc>
        <w:tc>
          <w:tcPr>
            <w:tcW w:w="1134" w:type="dxa"/>
            <w:tcBorders>
              <w:tl2br w:val="nil"/>
              <w:tr2bl w:val="nil"/>
            </w:tcBorders>
            <w:shd w:val="clear" w:color="auto" w:fill="BDD6EE" w:themeFill="accent1" w:themeFillTint="66"/>
            <w:vAlign w:val="center"/>
          </w:tcPr>
          <w:p w14:paraId="5EB5E7DF">
            <w:pPr>
              <w:keepNext w:val="0"/>
              <w:keepLines w:val="0"/>
              <w:widowControl/>
              <w:suppressLineNumbers w:val="0"/>
              <w:jc w:val="center"/>
              <w:textAlignment w:val="center"/>
              <w:rPr>
                <w:rFonts w:hint="eastAsia" w:ascii="宋体" w:hAnsi="宋体" w:eastAsia="宋体" w:cs="宋体"/>
                <w:b/>
                <w:bCs/>
                <w:color w:val="auto"/>
                <w:kern w:val="0"/>
                <w:sz w:val="20"/>
                <w:szCs w:val="20"/>
                <w:highlight w:val="none"/>
                <w:lang w:val="en-US" w:eastAsia="zh-CN" w:bidi="ar"/>
              </w:rPr>
            </w:pPr>
            <w:r>
              <w:rPr>
                <w:rFonts w:hint="eastAsia" w:ascii="宋体" w:hAnsi="宋体" w:eastAsia="宋体" w:cs="宋体"/>
                <w:b/>
                <w:bCs/>
                <w:color w:val="auto"/>
                <w:kern w:val="0"/>
                <w:sz w:val="20"/>
                <w:szCs w:val="20"/>
                <w:highlight w:val="none"/>
                <w:lang w:val="en-US" w:eastAsia="zh-CN" w:bidi="ar"/>
              </w:rPr>
              <w:t>-</w:t>
            </w:r>
          </w:p>
        </w:tc>
        <w:tc>
          <w:tcPr>
            <w:tcW w:w="1134" w:type="dxa"/>
            <w:tcBorders>
              <w:tl2br w:val="nil"/>
              <w:tr2bl w:val="nil"/>
            </w:tcBorders>
            <w:shd w:val="clear" w:color="auto" w:fill="BDD6EE" w:themeFill="accent1" w:themeFillTint="66"/>
            <w:vAlign w:val="center"/>
          </w:tcPr>
          <w:p w14:paraId="42AD148F">
            <w:pPr>
              <w:keepNext w:val="0"/>
              <w:keepLines w:val="0"/>
              <w:widowControl/>
              <w:suppressLineNumbers w:val="0"/>
              <w:jc w:val="center"/>
              <w:textAlignment w:val="center"/>
              <w:rPr>
                <w:rFonts w:hint="eastAsia" w:ascii="宋体" w:hAnsi="宋体" w:eastAsia="宋体" w:cs="宋体"/>
                <w:b/>
                <w:bCs/>
                <w:color w:val="auto"/>
                <w:kern w:val="0"/>
                <w:sz w:val="20"/>
                <w:szCs w:val="20"/>
                <w:highlight w:val="none"/>
                <w:lang w:val="en-US" w:eastAsia="zh-CN" w:bidi="ar"/>
              </w:rPr>
            </w:pPr>
            <w:r>
              <w:rPr>
                <w:rFonts w:hint="eastAsia" w:ascii="宋体" w:hAnsi="宋体" w:eastAsia="宋体" w:cs="宋体"/>
                <w:b/>
                <w:bCs/>
                <w:color w:val="auto"/>
                <w:kern w:val="0"/>
                <w:sz w:val="20"/>
                <w:szCs w:val="20"/>
                <w:highlight w:val="none"/>
                <w:lang w:val="en-US" w:eastAsia="zh-CN" w:bidi="ar"/>
              </w:rPr>
              <w:t>-</w:t>
            </w:r>
          </w:p>
        </w:tc>
        <w:tc>
          <w:tcPr>
            <w:tcW w:w="907" w:type="dxa"/>
            <w:tcBorders>
              <w:tl2br w:val="nil"/>
              <w:tr2bl w:val="nil"/>
            </w:tcBorders>
            <w:shd w:val="clear" w:color="auto" w:fill="BDD6EE" w:themeFill="accent1" w:themeFillTint="66"/>
            <w:vAlign w:val="center"/>
          </w:tcPr>
          <w:p w14:paraId="4089DE5A">
            <w:pPr>
              <w:keepNext w:val="0"/>
              <w:keepLines w:val="0"/>
              <w:widowControl/>
              <w:suppressLineNumbers w:val="0"/>
              <w:jc w:val="center"/>
              <w:textAlignment w:val="center"/>
              <w:rPr>
                <w:rFonts w:hint="default" w:ascii="宋体" w:hAnsi="宋体" w:eastAsia="宋体" w:cs="宋体"/>
                <w:b/>
                <w:bCs/>
                <w:color w:val="auto"/>
                <w:kern w:val="0"/>
                <w:sz w:val="20"/>
                <w:szCs w:val="20"/>
                <w:highlight w:val="none"/>
                <w:lang w:val="en-US" w:eastAsia="zh-CN" w:bidi="ar"/>
              </w:rPr>
            </w:pPr>
            <w:r>
              <w:rPr>
                <w:rFonts w:hint="eastAsia" w:ascii="宋体" w:hAnsi="宋体" w:eastAsia="宋体" w:cs="宋体"/>
                <w:b/>
                <w:bCs/>
                <w:color w:val="auto"/>
                <w:kern w:val="0"/>
                <w:sz w:val="20"/>
                <w:szCs w:val="20"/>
                <w:highlight w:val="none"/>
                <w:lang w:val="en-US" w:eastAsia="zh-CN" w:bidi="ar"/>
              </w:rPr>
              <w:t>10</w:t>
            </w:r>
          </w:p>
        </w:tc>
        <w:tc>
          <w:tcPr>
            <w:tcW w:w="1134" w:type="dxa"/>
            <w:tcBorders>
              <w:tl2br w:val="nil"/>
              <w:tr2bl w:val="nil"/>
            </w:tcBorders>
            <w:shd w:val="clear" w:color="auto" w:fill="BDD6EE" w:themeFill="accent1" w:themeFillTint="66"/>
            <w:vAlign w:val="center"/>
          </w:tcPr>
          <w:p w14:paraId="5E8B6749">
            <w:pPr>
              <w:keepNext w:val="0"/>
              <w:keepLines w:val="0"/>
              <w:widowControl/>
              <w:suppressLineNumbers w:val="0"/>
              <w:jc w:val="right"/>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i w:val="0"/>
                <w:iCs w:val="0"/>
                <w:color w:val="000000"/>
                <w:kern w:val="0"/>
                <w:sz w:val="20"/>
                <w:szCs w:val="20"/>
                <w:u w:val="none"/>
                <w:lang w:val="en-US" w:eastAsia="zh-CN" w:bidi="ar"/>
              </w:rPr>
              <w:t>100.00%</w:t>
            </w:r>
          </w:p>
        </w:tc>
      </w:tr>
    </w:tbl>
    <w:p w14:paraId="333F5F36">
      <w:pPr>
        <w:pStyle w:val="27"/>
        <w:keepNext w:val="0"/>
        <w:keepLines w:val="0"/>
        <w:pageBreakBefore w:val="0"/>
        <w:widowControl w:val="0"/>
        <w:kinsoku/>
        <w:wordWrap/>
        <w:overflowPunct w:val="0"/>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000000" w:themeColor="text1"/>
          <w:kern w:val="2"/>
          <w:sz w:val="32"/>
          <w:szCs w:val="32"/>
          <w:highlight w:val="yellow"/>
          <w:lang w:val="en-US" w:eastAsia="zh-CN" w:bidi="ar-SA"/>
          <w14:textFill>
            <w14:solidFill>
              <w14:schemeClr w14:val="tx1"/>
            </w14:solidFill>
          </w14:textFill>
        </w:rPr>
      </w:pPr>
      <w:r>
        <w:rPr>
          <w:rFonts w:hint="eastAsia" w:ascii="仿宋_GB2312" w:hAnsi="仿宋_GB2312" w:eastAsia="仿宋_GB2312" w:cs="仿宋_GB2312"/>
          <w:sz w:val="32"/>
          <w:szCs w:val="32"/>
          <w:highlight w:val="none"/>
        </w:rPr>
        <w:t>年度预算控制率：指标分值</w:t>
      </w:r>
      <w:r>
        <w:rPr>
          <w:rFonts w:hint="eastAsia" w:ascii="仿宋_GB2312" w:hAnsi="仿宋_GB2312" w:eastAsia="仿宋_GB2312" w:cs="仿宋_GB2312"/>
          <w:sz w:val="32"/>
          <w:szCs w:val="32"/>
          <w:highlight w:val="none"/>
          <w:lang w:val="en-US" w:eastAsia="zh-CN"/>
        </w:rPr>
        <w:t>10</w:t>
      </w:r>
      <w:r>
        <w:rPr>
          <w:rFonts w:hint="eastAsia" w:ascii="仿宋_GB2312" w:hAnsi="仿宋_GB2312" w:eastAsia="仿宋_GB2312" w:cs="仿宋_GB2312"/>
          <w:sz w:val="32"/>
          <w:szCs w:val="32"/>
          <w:highlight w:val="none"/>
        </w:rPr>
        <w:t>分，评价得分</w:t>
      </w:r>
      <w:r>
        <w:rPr>
          <w:rFonts w:hint="eastAsia" w:ascii="仿宋_GB2312" w:hAnsi="仿宋_GB2312" w:eastAsia="仿宋_GB2312" w:cs="仿宋_GB2312"/>
          <w:sz w:val="32"/>
          <w:szCs w:val="32"/>
          <w:highlight w:val="none"/>
          <w:lang w:val="en-US" w:eastAsia="zh-CN"/>
        </w:rPr>
        <w:t>10</w:t>
      </w:r>
      <w:r>
        <w:rPr>
          <w:rFonts w:hint="eastAsia" w:ascii="仿宋_GB2312" w:hAnsi="仿宋_GB2312" w:eastAsia="仿宋_GB2312" w:cs="仿宋_GB2312"/>
          <w:sz w:val="32"/>
          <w:szCs w:val="32"/>
          <w:highlight w:val="none"/>
        </w:rPr>
        <w:t>分。</w:t>
      </w:r>
      <w:r>
        <w:rPr>
          <w:rFonts w:hint="eastAsia" w:ascii="仿宋_GB2312" w:hAnsi="仿宋_GB2312" w:eastAsia="仿宋_GB2312" w:cs="仿宋_GB2312"/>
          <w:sz w:val="32"/>
          <w:szCs w:val="32"/>
          <w:highlight w:val="none"/>
          <w:lang w:val="en-US" w:eastAsia="zh-CN"/>
        </w:rPr>
        <w:t>84家基层人民法院</w:t>
      </w:r>
      <w:r>
        <w:rPr>
          <w:rFonts w:hint="eastAsia" w:ascii="仿宋_GB2312" w:hAnsi="仿宋_GB2312" w:eastAsia="仿宋_GB2312" w:cs="仿宋_GB2312"/>
          <w:sz w:val="32"/>
          <w:szCs w:val="32"/>
          <w:highlight w:val="none"/>
        </w:rPr>
        <w:t>积极响应国家相关政策，坚持节约资金的原则，严格控制项目预算金额，</w:t>
      </w:r>
      <w:r>
        <w:rPr>
          <w:rFonts w:hint="eastAsia" w:ascii="仿宋_GB2312" w:hAnsi="仿宋_GB2312" w:eastAsia="仿宋_GB2312" w:cs="仿宋_GB2312"/>
          <w:sz w:val="32"/>
          <w:szCs w:val="32"/>
          <w:highlight w:val="none"/>
          <w:lang w:val="en-US" w:eastAsia="zh-CN"/>
        </w:rPr>
        <w:t>在保障</w:t>
      </w:r>
      <w:r>
        <w:rPr>
          <w:rFonts w:hint="eastAsia" w:ascii="仿宋_GB2312" w:hAnsi="仿宋_GB2312" w:eastAsia="仿宋_GB2312" w:cs="仿宋_GB2312"/>
          <w:sz w:val="32"/>
          <w:szCs w:val="32"/>
          <w:highlight w:val="none"/>
        </w:rPr>
        <w:t>审判服务正常开展的同时，降低成本开支，项目成本控制在</w:t>
      </w:r>
      <w:r>
        <w:rPr>
          <w:rFonts w:hint="eastAsia" w:ascii="仿宋_GB2312" w:hAnsi="仿宋_GB2312" w:eastAsia="仿宋_GB2312" w:cs="仿宋_GB2312"/>
          <w:sz w:val="32"/>
          <w:szCs w:val="32"/>
          <w:highlight w:val="none"/>
          <w:lang w:val="en-US" w:eastAsia="zh-CN"/>
        </w:rPr>
        <w:t>预算</w:t>
      </w:r>
      <w:r>
        <w:rPr>
          <w:rFonts w:hint="eastAsia" w:ascii="仿宋_GB2312" w:hAnsi="仿宋_GB2312" w:eastAsia="仿宋_GB2312" w:cs="仿宋_GB2312"/>
          <w:sz w:val="32"/>
          <w:szCs w:val="32"/>
          <w:highlight w:val="none"/>
        </w:rPr>
        <w:t>以内，未超出预算。</w:t>
      </w:r>
    </w:p>
    <w:p w14:paraId="1B383383">
      <w:pPr>
        <w:pStyle w:val="10"/>
        <w:keepNext w:val="0"/>
        <w:keepLines w:val="0"/>
        <w:pageBreakBefore w:val="0"/>
        <w:widowControl w:val="0"/>
        <w:kinsoku/>
        <w:wordWrap/>
        <w:overflowPunct w:val="0"/>
        <w:topLinePunct w:val="0"/>
        <w:autoSpaceDE/>
        <w:autoSpaceDN/>
        <w:bidi w:val="0"/>
        <w:adjustRightInd/>
        <w:snapToGrid/>
        <w:spacing w:line="560" w:lineRule="exact"/>
        <w:ind w:firstLine="643" w:firstLineChars="200"/>
        <w:textAlignment w:val="auto"/>
        <w:outlineLvl w:val="1"/>
        <w:rPr>
          <w:rFonts w:hint="eastAsia" w:ascii="楷体" w:hAnsi="楷体" w:eastAsia="楷体" w:cs="楷体"/>
          <w:b/>
          <w:bCs/>
          <w:highlight w:val="none"/>
        </w:rPr>
      </w:pPr>
      <w:r>
        <w:rPr>
          <w:rFonts w:hint="eastAsia" w:ascii="楷体" w:hAnsi="楷体" w:eastAsia="楷体" w:cs="楷体"/>
          <w:b/>
          <w:bCs/>
          <w:highlight w:val="none"/>
        </w:rPr>
        <w:t>（</w:t>
      </w:r>
      <w:r>
        <w:rPr>
          <w:rFonts w:hint="eastAsia" w:ascii="楷体" w:hAnsi="楷体" w:eastAsia="楷体" w:cs="楷体"/>
          <w:b/>
          <w:bCs/>
          <w:highlight w:val="none"/>
          <w:lang w:val="en-US" w:eastAsia="zh-CN"/>
        </w:rPr>
        <w:t>四</w:t>
      </w:r>
      <w:r>
        <w:rPr>
          <w:rFonts w:hint="eastAsia" w:ascii="楷体" w:hAnsi="楷体" w:eastAsia="楷体" w:cs="楷体"/>
          <w:b/>
          <w:bCs/>
          <w:highlight w:val="none"/>
        </w:rPr>
        <w:t>）项目产出情况</w:t>
      </w:r>
      <w:bookmarkEnd w:id="121"/>
      <w:bookmarkEnd w:id="122"/>
      <w:bookmarkEnd w:id="123"/>
    </w:p>
    <w:p w14:paraId="5E73BDC0">
      <w:pPr>
        <w:pStyle w:val="27"/>
        <w:keepNext w:val="0"/>
        <w:keepLines w:val="0"/>
        <w:pageBreakBefore w:val="0"/>
        <w:widowControl w:val="0"/>
        <w:kinsoku/>
        <w:wordWrap/>
        <w:overflowPunct w:val="0"/>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项目产出指标包括产出数量、产出质量、产出时效</w:t>
      </w:r>
      <w:r>
        <w:rPr>
          <w:rFonts w:hint="eastAsia" w:ascii="仿宋_GB2312" w:hAnsi="仿宋_GB2312" w:eastAsia="仿宋_GB2312" w:cs="仿宋_GB2312"/>
          <w:sz w:val="32"/>
          <w:szCs w:val="32"/>
          <w:highlight w:val="none"/>
          <w:lang w:val="en-US" w:eastAsia="zh-CN"/>
        </w:rPr>
        <w:t>三</w:t>
      </w:r>
      <w:r>
        <w:rPr>
          <w:rFonts w:hint="eastAsia" w:ascii="仿宋_GB2312" w:hAnsi="仿宋_GB2312" w:eastAsia="仿宋_GB2312" w:cs="仿宋_GB2312"/>
          <w:sz w:val="32"/>
          <w:szCs w:val="32"/>
          <w:highlight w:val="none"/>
        </w:rPr>
        <w:t>个二级指标，指标分值</w:t>
      </w:r>
      <w:r>
        <w:rPr>
          <w:rFonts w:hint="eastAsia" w:ascii="仿宋_GB2312" w:hAnsi="仿宋_GB2312" w:eastAsia="仿宋_GB2312" w:cs="仿宋_GB2312"/>
          <w:sz w:val="32"/>
          <w:szCs w:val="32"/>
          <w:highlight w:val="none"/>
          <w:lang w:val="en-US" w:eastAsia="zh-CN"/>
        </w:rPr>
        <w:t>30</w:t>
      </w:r>
      <w:r>
        <w:rPr>
          <w:rFonts w:hint="eastAsia" w:ascii="仿宋_GB2312" w:hAnsi="仿宋_GB2312" w:eastAsia="仿宋_GB2312" w:cs="仿宋_GB2312"/>
          <w:sz w:val="32"/>
          <w:szCs w:val="32"/>
          <w:highlight w:val="none"/>
        </w:rPr>
        <w:t>分，评价得分</w:t>
      </w:r>
      <w:r>
        <w:rPr>
          <w:rFonts w:hint="eastAsia" w:ascii="仿宋_GB2312" w:hAnsi="仿宋_GB2312" w:eastAsia="仿宋_GB2312" w:cs="仿宋_GB2312"/>
          <w:sz w:val="32"/>
          <w:szCs w:val="32"/>
          <w:highlight w:val="none"/>
          <w:lang w:val="en-US" w:eastAsia="zh-CN"/>
        </w:rPr>
        <w:t>30</w:t>
      </w:r>
      <w:r>
        <w:rPr>
          <w:rFonts w:hint="eastAsia" w:ascii="仿宋_GB2312" w:hAnsi="仿宋_GB2312" w:eastAsia="仿宋_GB2312" w:cs="仿宋_GB2312"/>
          <w:sz w:val="32"/>
          <w:szCs w:val="32"/>
          <w:highlight w:val="none"/>
        </w:rPr>
        <w:t>分，得分率</w:t>
      </w:r>
      <w:r>
        <w:rPr>
          <w:rFonts w:hint="eastAsia" w:ascii="仿宋_GB2312" w:hAnsi="仿宋_GB2312" w:eastAsia="仿宋_GB2312" w:cs="仿宋_GB2312"/>
          <w:sz w:val="32"/>
          <w:szCs w:val="32"/>
          <w:highlight w:val="none"/>
          <w:lang w:val="en-US" w:eastAsia="zh-CN"/>
        </w:rPr>
        <w:t>100.00</w:t>
      </w:r>
      <w:r>
        <w:rPr>
          <w:rFonts w:hint="eastAsia" w:ascii="仿宋_GB2312" w:hAnsi="仿宋_GB2312" w:eastAsia="仿宋_GB2312" w:cs="仿宋_GB2312"/>
          <w:sz w:val="32"/>
          <w:szCs w:val="32"/>
          <w:highlight w:val="none"/>
        </w:rPr>
        <w:t>%。</w:t>
      </w:r>
    </w:p>
    <w:tbl>
      <w:tblPr>
        <w:tblStyle w:val="21"/>
        <w:tblW w:w="8757" w:type="dxa"/>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1114"/>
        <w:gridCol w:w="2427"/>
        <w:gridCol w:w="907"/>
        <w:gridCol w:w="1134"/>
        <w:gridCol w:w="1134"/>
        <w:gridCol w:w="907"/>
        <w:gridCol w:w="1134"/>
      </w:tblGrid>
      <w:tr w14:paraId="370B6581">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blHeader/>
        </w:trPr>
        <w:tc>
          <w:tcPr>
            <w:tcW w:w="1114" w:type="dxa"/>
            <w:tcBorders>
              <w:tl2br w:val="nil"/>
              <w:tr2bl w:val="nil"/>
            </w:tcBorders>
            <w:shd w:val="clear" w:color="auto" w:fill="BDD6EE" w:themeFill="accent1" w:themeFillTint="66"/>
            <w:vAlign w:val="center"/>
          </w:tcPr>
          <w:p w14:paraId="39C06DB5">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二级指标</w:t>
            </w:r>
          </w:p>
        </w:tc>
        <w:tc>
          <w:tcPr>
            <w:tcW w:w="2427" w:type="dxa"/>
            <w:tcBorders>
              <w:tl2br w:val="nil"/>
              <w:tr2bl w:val="nil"/>
            </w:tcBorders>
            <w:shd w:val="clear" w:color="auto" w:fill="BDD6EE" w:themeFill="accent1" w:themeFillTint="66"/>
            <w:vAlign w:val="center"/>
          </w:tcPr>
          <w:p w14:paraId="2DDD1D82">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三级指标</w:t>
            </w:r>
          </w:p>
        </w:tc>
        <w:tc>
          <w:tcPr>
            <w:tcW w:w="907" w:type="dxa"/>
            <w:tcBorders>
              <w:tl2br w:val="nil"/>
              <w:tr2bl w:val="nil"/>
            </w:tcBorders>
            <w:shd w:val="clear" w:color="auto" w:fill="BDD6EE" w:themeFill="accent1" w:themeFillTint="66"/>
            <w:vAlign w:val="center"/>
          </w:tcPr>
          <w:p w14:paraId="7CD92E1B">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分值</w:t>
            </w:r>
          </w:p>
        </w:tc>
        <w:tc>
          <w:tcPr>
            <w:tcW w:w="1134" w:type="dxa"/>
            <w:tcBorders>
              <w:tl2br w:val="nil"/>
              <w:tr2bl w:val="nil"/>
            </w:tcBorders>
            <w:shd w:val="clear" w:color="auto" w:fill="BDD6EE" w:themeFill="accent1" w:themeFillTint="66"/>
            <w:vAlign w:val="center"/>
          </w:tcPr>
          <w:p w14:paraId="07FE0667">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目标值</w:t>
            </w:r>
          </w:p>
        </w:tc>
        <w:tc>
          <w:tcPr>
            <w:tcW w:w="1134" w:type="dxa"/>
            <w:tcBorders>
              <w:tl2br w:val="nil"/>
              <w:tr2bl w:val="nil"/>
            </w:tcBorders>
            <w:shd w:val="clear" w:color="auto" w:fill="BDD6EE" w:themeFill="accent1" w:themeFillTint="66"/>
            <w:vAlign w:val="center"/>
          </w:tcPr>
          <w:p w14:paraId="1A893951">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业绩值</w:t>
            </w:r>
          </w:p>
        </w:tc>
        <w:tc>
          <w:tcPr>
            <w:tcW w:w="907" w:type="dxa"/>
            <w:tcBorders>
              <w:tl2br w:val="nil"/>
              <w:tr2bl w:val="nil"/>
            </w:tcBorders>
            <w:shd w:val="clear" w:color="auto" w:fill="BDD6EE" w:themeFill="accent1" w:themeFillTint="66"/>
            <w:vAlign w:val="center"/>
          </w:tcPr>
          <w:p w14:paraId="74D9F772">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得分</w:t>
            </w:r>
          </w:p>
        </w:tc>
        <w:tc>
          <w:tcPr>
            <w:tcW w:w="1134" w:type="dxa"/>
            <w:tcBorders>
              <w:tl2br w:val="nil"/>
              <w:tr2bl w:val="nil"/>
            </w:tcBorders>
            <w:shd w:val="clear" w:color="auto" w:fill="BDD6EE" w:themeFill="accent1" w:themeFillTint="66"/>
            <w:vAlign w:val="center"/>
          </w:tcPr>
          <w:p w14:paraId="74F80BB1">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得分率</w:t>
            </w:r>
          </w:p>
        </w:tc>
      </w:tr>
      <w:tr w14:paraId="4F612F7C">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1114" w:type="dxa"/>
            <w:vMerge w:val="restart"/>
            <w:tcBorders>
              <w:tl2br w:val="nil"/>
              <w:tr2bl w:val="nil"/>
            </w:tcBorders>
            <w:vAlign w:val="center"/>
          </w:tcPr>
          <w:p w14:paraId="6123078C">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highlight w:val="none"/>
                <w:u w:val="none"/>
                <w:lang w:val="en-US" w:eastAsia="zh-CN" w:bidi="ar"/>
              </w:rPr>
              <w:t>数量指标</w:t>
            </w:r>
          </w:p>
        </w:tc>
        <w:tc>
          <w:tcPr>
            <w:tcW w:w="2427" w:type="dxa"/>
            <w:tcBorders>
              <w:tl2br w:val="nil"/>
              <w:tr2bl w:val="nil"/>
            </w:tcBorders>
            <w:shd w:val="clear" w:color="auto" w:fill="auto"/>
            <w:vAlign w:val="center"/>
          </w:tcPr>
          <w:p w14:paraId="30AEEF15">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u w:val="none"/>
                <w:lang w:val="en-US" w:eastAsia="zh-CN" w:bidi="ar"/>
              </w:rPr>
              <w:t>保障基层法庭个数</w:t>
            </w:r>
          </w:p>
        </w:tc>
        <w:tc>
          <w:tcPr>
            <w:tcW w:w="907" w:type="dxa"/>
            <w:tcBorders>
              <w:tl2br w:val="nil"/>
              <w:tr2bl w:val="nil"/>
            </w:tcBorders>
            <w:shd w:val="clear" w:color="auto" w:fill="auto"/>
            <w:vAlign w:val="center"/>
          </w:tcPr>
          <w:p w14:paraId="2D80A622">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3.4</w:t>
            </w:r>
          </w:p>
        </w:tc>
        <w:tc>
          <w:tcPr>
            <w:tcW w:w="1134" w:type="dxa"/>
            <w:tcBorders>
              <w:tl2br w:val="nil"/>
              <w:tr2bl w:val="nil"/>
            </w:tcBorders>
            <w:shd w:val="clear" w:color="auto" w:fill="auto"/>
            <w:vAlign w:val="center"/>
          </w:tcPr>
          <w:p w14:paraId="051AE7D8">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=338个</w:t>
            </w:r>
          </w:p>
        </w:tc>
        <w:tc>
          <w:tcPr>
            <w:tcW w:w="1134" w:type="dxa"/>
            <w:tcBorders>
              <w:tl2br w:val="nil"/>
              <w:tr2bl w:val="nil"/>
            </w:tcBorders>
            <w:shd w:val="clear" w:color="auto" w:fill="auto"/>
            <w:vAlign w:val="center"/>
          </w:tcPr>
          <w:p w14:paraId="495772A1">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auto"/>
                <w:kern w:val="0"/>
                <w:sz w:val="20"/>
                <w:szCs w:val="20"/>
                <w:u w:val="none"/>
                <w:lang w:val="en-US" w:eastAsia="zh-CN" w:bidi="ar"/>
              </w:rPr>
              <w:t>338个</w:t>
            </w:r>
          </w:p>
        </w:tc>
        <w:tc>
          <w:tcPr>
            <w:tcW w:w="907" w:type="dxa"/>
            <w:tcBorders>
              <w:tl2br w:val="nil"/>
              <w:tr2bl w:val="nil"/>
            </w:tcBorders>
            <w:shd w:val="clear" w:color="auto" w:fill="auto"/>
            <w:vAlign w:val="center"/>
          </w:tcPr>
          <w:p w14:paraId="467070C1">
            <w:pPr>
              <w:keepNext w:val="0"/>
              <w:keepLines w:val="0"/>
              <w:widowControl/>
              <w:suppressLineNumbers w:val="0"/>
              <w:jc w:val="center"/>
              <w:textAlignment w:val="center"/>
              <w:rPr>
                <w:rFonts w:hint="default" w:ascii="宋体" w:hAnsi="宋体" w:eastAsia="宋体" w:cs="宋体"/>
                <w:color w:val="auto"/>
                <w:sz w:val="20"/>
                <w:szCs w:val="20"/>
                <w:highlight w:val="none"/>
                <w:lang w:val="en-US"/>
              </w:rPr>
            </w:pPr>
            <w:r>
              <w:rPr>
                <w:rFonts w:hint="eastAsia" w:ascii="宋体" w:hAnsi="宋体" w:eastAsia="宋体" w:cs="宋体"/>
                <w:i w:val="0"/>
                <w:iCs w:val="0"/>
                <w:color w:val="auto"/>
                <w:kern w:val="0"/>
                <w:sz w:val="20"/>
                <w:szCs w:val="20"/>
                <w:u w:val="none"/>
                <w:lang w:val="en-US" w:eastAsia="zh-CN" w:bidi="ar"/>
              </w:rPr>
              <w:t>3.4</w:t>
            </w:r>
          </w:p>
        </w:tc>
        <w:tc>
          <w:tcPr>
            <w:tcW w:w="1134" w:type="dxa"/>
            <w:tcBorders>
              <w:tl2br w:val="nil"/>
              <w:tr2bl w:val="nil"/>
            </w:tcBorders>
            <w:shd w:val="clear" w:color="auto" w:fill="auto"/>
            <w:vAlign w:val="center"/>
          </w:tcPr>
          <w:p w14:paraId="4E5014F0">
            <w:pPr>
              <w:keepNext w:val="0"/>
              <w:keepLines w:val="0"/>
              <w:widowControl/>
              <w:suppressLineNumbers w:val="0"/>
              <w:jc w:val="right"/>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auto"/>
                <w:kern w:val="0"/>
                <w:sz w:val="20"/>
                <w:szCs w:val="20"/>
                <w:u w:val="none"/>
                <w:lang w:val="en-US" w:eastAsia="zh-CN" w:bidi="ar"/>
              </w:rPr>
              <w:t>100.00%</w:t>
            </w:r>
          </w:p>
        </w:tc>
      </w:tr>
      <w:tr w14:paraId="38CCF482">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1114" w:type="dxa"/>
            <w:vMerge w:val="continue"/>
            <w:tcBorders>
              <w:tl2br w:val="nil"/>
              <w:tr2bl w:val="nil"/>
            </w:tcBorders>
            <w:vAlign w:val="center"/>
          </w:tcPr>
          <w:p w14:paraId="5482A7B4">
            <w:pPr>
              <w:jc w:val="center"/>
              <w:rPr>
                <w:rFonts w:hint="eastAsia" w:ascii="宋体" w:hAnsi="宋体" w:eastAsia="宋体" w:cs="宋体"/>
                <w:color w:val="auto"/>
                <w:kern w:val="0"/>
                <w:sz w:val="20"/>
                <w:szCs w:val="20"/>
                <w:highlight w:val="none"/>
                <w:lang w:bidi="ar"/>
              </w:rPr>
            </w:pPr>
          </w:p>
        </w:tc>
        <w:tc>
          <w:tcPr>
            <w:tcW w:w="2427" w:type="dxa"/>
            <w:tcBorders>
              <w:tl2br w:val="nil"/>
              <w:tr2bl w:val="nil"/>
            </w:tcBorders>
            <w:shd w:val="clear" w:color="auto" w:fill="auto"/>
            <w:vAlign w:val="center"/>
          </w:tcPr>
          <w:p w14:paraId="1CD3DF57">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u w:val="none"/>
                <w:lang w:val="en-US" w:eastAsia="zh-CN" w:bidi="ar"/>
              </w:rPr>
              <w:t>资金拨付法院数</w:t>
            </w:r>
          </w:p>
        </w:tc>
        <w:tc>
          <w:tcPr>
            <w:tcW w:w="907" w:type="dxa"/>
            <w:tcBorders>
              <w:tl2br w:val="nil"/>
              <w:tr2bl w:val="nil"/>
            </w:tcBorders>
            <w:shd w:val="clear" w:color="auto" w:fill="auto"/>
            <w:vAlign w:val="center"/>
          </w:tcPr>
          <w:p w14:paraId="18C29AEB">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3.3</w:t>
            </w:r>
          </w:p>
        </w:tc>
        <w:tc>
          <w:tcPr>
            <w:tcW w:w="1134" w:type="dxa"/>
            <w:tcBorders>
              <w:tl2br w:val="nil"/>
              <w:tr2bl w:val="nil"/>
            </w:tcBorders>
            <w:shd w:val="clear" w:color="auto" w:fill="auto"/>
            <w:vAlign w:val="center"/>
          </w:tcPr>
          <w:p w14:paraId="61080CC4">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=84家</w:t>
            </w:r>
          </w:p>
        </w:tc>
        <w:tc>
          <w:tcPr>
            <w:tcW w:w="1134" w:type="dxa"/>
            <w:tcBorders>
              <w:tl2br w:val="nil"/>
              <w:tr2bl w:val="nil"/>
            </w:tcBorders>
            <w:shd w:val="clear" w:color="auto" w:fill="auto"/>
            <w:vAlign w:val="center"/>
          </w:tcPr>
          <w:p w14:paraId="6E7BD3F5">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84家</w:t>
            </w:r>
          </w:p>
        </w:tc>
        <w:tc>
          <w:tcPr>
            <w:tcW w:w="907" w:type="dxa"/>
            <w:tcBorders>
              <w:tl2br w:val="nil"/>
              <w:tr2bl w:val="nil"/>
            </w:tcBorders>
            <w:shd w:val="clear" w:color="auto" w:fill="auto"/>
            <w:vAlign w:val="center"/>
          </w:tcPr>
          <w:p w14:paraId="38103231">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3.3</w:t>
            </w:r>
          </w:p>
        </w:tc>
        <w:tc>
          <w:tcPr>
            <w:tcW w:w="1134" w:type="dxa"/>
            <w:tcBorders>
              <w:tl2br w:val="nil"/>
              <w:tr2bl w:val="nil"/>
            </w:tcBorders>
            <w:shd w:val="clear" w:color="auto" w:fill="auto"/>
            <w:vAlign w:val="center"/>
          </w:tcPr>
          <w:p w14:paraId="2E55C9E3">
            <w:pPr>
              <w:keepNext w:val="0"/>
              <w:keepLines w:val="0"/>
              <w:widowControl/>
              <w:suppressLineNumbers w:val="0"/>
              <w:jc w:val="right"/>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100.00%</w:t>
            </w:r>
          </w:p>
        </w:tc>
      </w:tr>
      <w:tr w14:paraId="7B2C5B91">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1114" w:type="dxa"/>
            <w:vMerge w:val="continue"/>
            <w:tcBorders>
              <w:tl2br w:val="nil"/>
              <w:tr2bl w:val="nil"/>
            </w:tcBorders>
            <w:vAlign w:val="center"/>
          </w:tcPr>
          <w:p w14:paraId="3AE7F3E0">
            <w:pPr>
              <w:jc w:val="center"/>
              <w:rPr>
                <w:rFonts w:hint="eastAsia" w:ascii="宋体" w:hAnsi="宋体" w:eastAsia="宋体" w:cs="宋体"/>
                <w:color w:val="auto"/>
                <w:kern w:val="0"/>
                <w:sz w:val="20"/>
                <w:szCs w:val="20"/>
                <w:highlight w:val="none"/>
                <w:lang w:bidi="ar"/>
              </w:rPr>
            </w:pPr>
          </w:p>
        </w:tc>
        <w:tc>
          <w:tcPr>
            <w:tcW w:w="2427" w:type="dxa"/>
            <w:tcBorders>
              <w:tl2br w:val="nil"/>
              <w:tr2bl w:val="nil"/>
            </w:tcBorders>
            <w:shd w:val="clear" w:color="auto" w:fill="auto"/>
            <w:vAlign w:val="center"/>
          </w:tcPr>
          <w:p w14:paraId="2D1C56D3">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000000"/>
                <w:kern w:val="0"/>
                <w:sz w:val="20"/>
                <w:szCs w:val="20"/>
                <w:u w:val="none"/>
                <w:lang w:val="en-US" w:eastAsia="zh-CN" w:bidi="ar"/>
              </w:rPr>
              <w:t>维修维护工作完成率</w:t>
            </w:r>
          </w:p>
        </w:tc>
        <w:tc>
          <w:tcPr>
            <w:tcW w:w="907" w:type="dxa"/>
            <w:tcBorders>
              <w:tl2br w:val="nil"/>
              <w:tr2bl w:val="nil"/>
            </w:tcBorders>
            <w:shd w:val="clear" w:color="auto" w:fill="auto"/>
            <w:vAlign w:val="center"/>
          </w:tcPr>
          <w:p w14:paraId="274D7390">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3.3</w:t>
            </w:r>
          </w:p>
        </w:tc>
        <w:tc>
          <w:tcPr>
            <w:tcW w:w="1134" w:type="dxa"/>
            <w:tcBorders>
              <w:tl2br w:val="nil"/>
              <w:tr2bl w:val="nil"/>
            </w:tcBorders>
            <w:shd w:val="clear" w:color="auto" w:fill="auto"/>
            <w:vAlign w:val="center"/>
          </w:tcPr>
          <w:p w14:paraId="396ADDBB">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≥90%</w:t>
            </w:r>
          </w:p>
        </w:tc>
        <w:tc>
          <w:tcPr>
            <w:tcW w:w="1134" w:type="dxa"/>
            <w:tcBorders>
              <w:tl2br w:val="nil"/>
              <w:tr2bl w:val="nil"/>
            </w:tcBorders>
            <w:shd w:val="clear" w:color="auto" w:fill="auto"/>
            <w:vAlign w:val="center"/>
          </w:tcPr>
          <w:p w14:paraId="17C7CA91">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100%</w:t>
            </w:r>
          </w:p>
        </w:tc>
        <w:tc>
          <w:tcPr>
            <w:tcW w:w="907" w:type="dxa"/>
            <w:tcBorders>
              <w:tl2br w:val="nil"/>
              <w:tr2bl w:val="nil"/>
            </w:tcBorders>
            <w:shd w:val="clear" w:color="auto" w:fill="auto"/>
            <w:vAlign w:val="center"/>
          </w:tcPr>
          <w:p w14:paraId="60555A5C">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3.3</w:t>
            </w:r>
          </w:p>
        </w:tc>
        <w:tc>
          <w:tcPr>
            <w:tcW w:w="1134" w:type="dxa"/>
            <w:tcBorders>
              <w:tl2br w:val="nil"/>
              <w:tr2bl w:val="nil"/>
            </w:tcBorders>
            <w:shd w:val="clear" w:color="auto" w:fill="auto"/>
            <w:vAlign w:val="center"/>
          </w:tcPr>
          <w:p w14:paraId="3D2CAD8D">
            <w:pPr>
              <w:keepNext w:val="0"/>
              <w:keepLines w:val="0"/>
              <w:widowControl/>
              <w:suppressLineNumbers w:val="0"/>
              <w:jc w:val="right"/>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000000"/>
                <w:kern w:val="0"/>
                <w:sz w:val="20"/>
                <w:szCs w:val="20"/>
                <w:u w:val="none"/>
                <w:lang w:val="en-US" w:eastAsia="zh-CN" w:bidi="ar"/>
              </w:rPr>
              <w:t>100.00%</w:t>
            </w:r>
          </w:p>
        </w:tc>
      </w:tr>
      <w:tr w14:paraId="7ABC19B6">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1114" w:type="dxa"/>
            <w:vMerge w:val="restart"/>
            <w:tcBorders>
              <w:tl2br w:val="nil"/>
              <w:tr2bl w:val="nil"/>
            </w:tcBorders>
            <w:vAlign w:val="center"/>
          </w:tcPr>
          <w:p w14:paraId="591BF6E9">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质量指标</w:t>
            </w:r>
          </w:p>
        </w:tc>
        <w:tc>
          <w:tcPr>
            <w:tcW w:w="2427" w:type="dxa"/>
            <w:tcBorders>
              <w:tl2br w:val="nil"/>
              <w:tr2bl w:val="nil"/>
            </w:tcBorders>
            <w:shd w:val="clear" w:color="auto" w:fill="auto"/>
            <w:vAlign w:val="center"/>
          </w:tcPr>
          <w:p w14:paraId="6A26A8C7">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法庭正常运转保障率</w:t>
            </w:r>
          </w:p>
        </w:tc>
        <w:tc>
          <w:tcPr>
            <w:tcW w:w="907" w:type="dxa"/>
            <w:tcBorders>
              <w:tl2br w:val="nil"/>
              <w:tr2bl w:val="nil"/>
            </w:tcBorders>
            <w:shd w:val="clear" w:color="auto" w:fill="auto"/>
            <w:vAlign w:val="center"/>
          </w:tcPr>
          <w:p w14:paraId="77C9030D">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3.4</w:t>
            </w:r>
          </w:p>
        </w:tc>
        <w:tc>
          <w:tcPr>
            <w:tcW w:w="1134" w:type="dxa"/>
            <w:tcBorders>
              <w:tl2br w:val="nil"/>
              <w:tr2bl w:val="nil"/>
            </w:tcBorders>
            <w:shd w:val="clear" w:color="auto" w:fill="auto"/>
            <w:vAlign w:val="center"/>
          </w:tcPr>
          <w:p w14:paraId="243D4594">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1134" w:type="dxa"/>
            <w:tcBorders>
              <w:tl2br w:val="nil"/>
              <w:tr2bl w:val="nil"/>
            </w:tcBorders>
            <w:shd w:val="clear" w:color="auto" w:fill="auto"/>
            <w:vAlign w:val="center"/>
          </w:tcPr>
          <w:p w14:paraId="7BE21DED">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907" w:type="dxa"/>
            <w:tcBorders>
              <w:tl2br w:val="nil"/>
              <w:tr2bl w:val="nil"/>
            </w:tcBorders>
            <w:shd w:val="clear" w:color="auto" w:fill="auto"/>
            <w:vAlign w:val="center"/>
          </w:tcPr>
          <w:p w14:paraId="60D79368">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3.4</w:t>
            </w:r>
          </w:p>
        </w:tc>
        <w:tc>
          <w:tcPr>
            <w:tcW w:w="1134" w:type="dxa"/>
            <w:tcBorders>
              <w:tl2br w:val="nil"/>
              <w:tr2bl w:val="nil"/>
            </w:tcBorders>
            <w:shd w:val="clear" w:color="auto" w:fill="auto"/>
            <w:vAlign w:val="center"/>
          </w:tcPr>
          <w:p w14:paraId="79AAB52A">
            <w:pPr>
              <w:keepNext w:val="0"/>
              <w:keepLines w:val="0"/>
              <w:widowControl/>
              <w:suppressLineNumbers w:val="0"/>
              <w:jc w:val="righ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0D36AED3">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1114" w:type="dxa"/>
            <w:vMerge w:val="continue"/>
            <w:tcBorders>
              <w:tl2br w:val="nil"/>
              <w:tr2bl w:val="nil"/>
            </w:tcBorders>
            <w:vAlign w:val="center"/>
          </w:tcPr>
          <w:p w14:paraId="2EA4CBCD">
            <w:pPr>
              <w:jc w:val="center"/>
              <w:rPr>
                <w:rFonts w:hint="eastAsia" w:ascii="宋体" w:hAnsi="宋体" w:eastAsia="宋体" w:cs="宋体"/>
                <w:i w:val="0"/>
                <w:iCs w:val="0"/>
                <w:color w:val="auto"/>
                <w:kern w:val="0"/>
                <w:sz w:val="20"/>
                <w:szCs w:val="20"/>
                <w:highlight w:val="none"/>
                <w:u w:val="none"/>
                <w:lang w:val="en-US" w:eastAsia="zh-CN" w:bidi="ar"/>
              </w:rPr>
            </w:pPr>
          </w:p>
        </w:tc>
        <w:tc>
          <w:tcPr>
            <w:tcW w:w="2427" w:type="dxa"/>
            <w:tcBorders>
              <w:tl2br w:val="nil"/>
              <w:tr2bl w:val="nil"/>
            </w:tcBorders>
            <w:shd w:val="clear" w:color="auto" w:fill="auto"/>
            <w:vAlign w:val="center"/>
          </w:tcPr>
          <w:p w14:paraId="0D33A46F">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基层法庭水电暖日常运转稳定率</w:t>
            </w:r>
          </w:p>
        </w:tc>
        <w:tc>
          <w:tcPr>
            <w:tcW w:w="907" w:type="dxa"/>
            <w:tcBorders>
              <w:tl2br w:val="nil"/>
              <w:tr2bl w:val="nil"/>
            </w:tcBorders>
            <w:shd w:val="clear" w:color="auto" w:fill="auto"/>
            <w:vAlign w:val="center"/>
          </w:tcPr>
          <w:p w14:paraId="08F98FDF">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3.3</w:t>
            </w:r>
          </w:p>
        </w:tc>
        <w:tc>
          <w:tcPr>
            <w:tcW w:w="1134" w:type="dxa"/>
            <w:tcBorders>
              <w:tl2br w:val="nil"/>
              <w:tr2bl w:val="nil"/>
            </w:tcBorders>
            <w:shd w:val="clear" w:color="auto" w:fill="auto"/>
            <w:vAlign w:val="center"/>
          </w:tcPr>
          <w:p w14:paraId="18258776">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1134" w:type="dxa"/>
            <w:tcBorders>
              <w:tl2br w:val="nil"/>
              <w:tr2bl w:val="nil"/>
            </w:tcBorders>
            <w:shd w:val="clear" w:color="auto" w:fill="auto"/>
            <w:vAlign w:val="center"/>
          </w:tcPr>
          <w:p w14:paraId="10964F6B">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907" w:type="dxa"/>
            <w:tcBorders>
              <w:tl2br w:val="nil"/>
              <w:tr2bl w:val="nil"/>
            </w:tcBorders>
            <w:shd w:val="clear" w:color="auto" w:fill="auto"/>
            <w:vAlign w:val="center"/>
          </w:tcPr>
          <w:p w14:paraId="478EEF50">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3.3</w:t>
            </w:r>
          </w:p>
        </w:tc>
        <w:tc>
          <w:tcPr>
            <w:tcW w:w="1134" w:type="dxa"/>
            <w:tcBorders>
              <w:tl2br w:val="nil"/>
              <w:tr2bl w:val="nil"/>
            </w:tcBorders>
            <w:shd w:val="clear" w:color="auto" w:fill="auto"/>
            <w:vAlign w:val="center"/>
          </w:tcPr>
          <w:p w14:paraId="6B95117F">
            <w:pPr>
              <w:keepNext w:val="0"/>
              <w:keepLines w:val="0"/>
              <w:widowControl/>
              <w:suppressLineNumbers w:val="0"/>
              <w:jc w:val="righ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73C847E7">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1114" w:type="dxa"/>
            <w:vMerge w:val="continue"/>
            <w:tcBorders>
              <w:tl2br w:val="nil"/>
              <w:tr2bl w:val="nil"/>
            </w:tcBorders>
            <w:vAlign w:val="center"/>
          </w:tcPr>
          <w:p w14:paraId="2BCDED6A">
            <w:pPr>
              <w:jc w:val="center"/>
              <w:rPr>
                <w:rFonts w:hint="eastAsia" w:ascii="宋体" w:hAnsi="宋体" w:eastAsia="宋体" w:cs="宋体"/>
                <w:i w:val="0"/>
                <w:iCs w:val="0"/>
                <w:color w:val="auto"/>
                <w:kern w:val="0"/>
                <w:sz w:val="20"/>
                <w:szCs w:val="20"/>
                <w:highlight w:val="none"/>
                <w:u w:val="none"/>
                <w:lang w:val="en-US" w:eastAsia="zh-CN" w:bidi="ar"/>
              </w:rPr>
            </w:pPr>
          </w:p>
        </w:tc>
        <w:tc>
          <w:tcPr>
            <w:tcW w:w="2427" w:type="dxa"/>
            <w:tcBorders>
              <w:tl2br w:val="nil"/>
              <w:tr2bl w:val="nil"/>
            </w:tcBorders>
            <w:shd w:val="clear" w:color="auto" w:fill="auto"/>
            <w:vAlign w:val="center"/>
          </w:tcPr>
          <w:p w14:paraId="4DD98A54">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维修维护合格率</w:t>
            </w:r>
          </w:p>
        </w:tc>
        <w:tc>
          <w:tcPr>
            <w:tcW w:w="907" w:type="dxa"/>
            <w:tcBorders>
              <w:tl2br w:val="nil"/>
              <w:tr2bl w:val="nil"/>
            </w:tcBorders>
            <w:shd w:val="clear" w:color="auto" w:fill="auto"/>
            <w:vAlign w:val="center"/>
          </w:tcPr>
          <w:p w14:paraId="7C3FAAAD">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3.3</w:t>
            </w:r>
          </w:p>
        </w:tc>
        <w:tc>
          <w:tcPr>
            <w:tcW w:w="1134" w:type="dxa"/>
            <w:tcBorders>
              <w:tl2br w:val="nil"/>
              <w:tr2bl w:val="nil"/>
            </w:tcBorders>
            <w:shd w:val="clear" w:color="auto" w:fill="auto"/>
            <w:vAlign w:val="center"/>
          </w:tcPr>
          <w:p w14:paraId="1E64C92E">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1134" w:type="dxa"/>
            <w:tcBorders>
              <w:tl2br w:val="nil"/>
              <w:tr2bl w:val="nil"/>
            </w:tcBorders>
            <w:shd w:val="clear" w:color="auto" w:fill="auto"/>
            <w:vAlign w:val="center"/>
          </w:tcPr>
          <w:p w14:paraId="61970E2F">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907" w:type="dxa"/>
            <w:tcBorders>
              <w:tl2br w:val="nil"/>
              <w:tr2bl w:val="nil"/>
            </w:tcBorders>
            <w:shd w:val="clear" w:color="auto" w:fill="auto"/>
            <w:vAlign w:val="center"/>
          </w:tcPr>
          <w:p w14:paraId="3E78C56B">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3.3</w:t>
            </w:r>
          </w:p>
        </w:tc>
        <w:tc>
          <w:tcPr>
            <w:tcW w:w="1134" w:type="dxa"/>
            <w:tcBorders>
              <w:tl2br w:val="nil"/>
              <w:tr2bl w:val="nil"/>
            </w:tcBorders>
            <w:shd w:val="clear" w:color="auto" w:fill="auto"/>
            <w:vAlign w:val="center"/>
          </w:tcPr>
          <w:p w14:paraId="0D20CD01">
            <w:pPr>
              <w:keepNext w:val="0"/>
              <w:keepLines w:val="0"/>
              <w:widowControl/>
              <w:suppressLineNumbers w:val="0"/>
              <w:jc w:val="righ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09ABE313">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1114" w:type="dxa"/>
            <w:vMerge w:val="restart"/>
            <w:tcBorders>
              <w:tl2br w:val="nil"/>
              <w:tr2bl w:val="nil"/>
            </w:tcBorders>
            <w:vAlign w:val="center"/>
          </w:tcPr>
          <w:p w14:paraId="13FAF17A">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时效指标</w:t>
            </w:r>
          </w:p>
        </w:tc>
        <w:tc>
          <w:tcPr>
            <w:tcW w:w="2427" w:type="dxa"/>
            <w:tcBorders>
              <w:tl2br w:val="nil"/>
              <w:tr2bl w:val="nil"/>
            </w:tcBorders>
            <w:shd w:val="clear" w:color="auto" w:fill="auto"/>
            <w:vAlign w:val="center"/>
          </w:tcPr>
          <w:p w14:paraId="2A386EC0">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法庭运维及时性</w:t>
            </w:r>
          </w:p>
        </w:tc>
        <w:tc>
          <w:tcPr>
            <w:tcW w:w="907" w:type="dxa"/>
            <w:tcBorders>
              <w:tl2br w:val="nil"/>
              <w:tr2bl w:val="nil"/>
            </w:tcBorders>
            <w:shd w:val="clear" w:color="auto" w:fill="auto"/>
            <w:vAlign w:val="center"/>
          </w:tcPr>
          <w:p w14:paraId="6BA5E54B">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3.4</w:t>
            </w:r>
          </w:p>
        </w:tc>
        <w:tc>
          <w:tcPr>
            <w:tcW w:w="1134" w:type="dxa"/>
            <w:tcBorders>
              <w:tl2br w:val="nil"/>
              <w:tr2bl w:val="nil"/>
            </w:tcBorders>
            <w:shd w:val="clear" w:color="auto" w:fill="auto"/>
            <w:vAlign w:val="center"/>
          </w:tcPr>
          <w:p w14:paraId="31A07720">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及时</w:t>
            </w:r>
          </w:p>
        </w:tc>
        <w:tc>
          <w:tcPr>
            <w:tcW w:w="1134" w:type="dxa"/>
            <w:tcBorders>
              <w:tl2br w:val="nil"/>
              <w:tr2bl w:val="nil"/>
            </w:tcBorders>
            <w:shd w:val="clear" w:color="auto" w:fill="auto"/>
            <w:vAlign w:val="center"/>
          </w:tcPr>
          <w:p w14:paraId="1734467D">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及时</w:t>
            </w:r>
          </w:p>
        </w:tc>
        <w:tc>
          <w:tcPr>
            <w:tcW w:w="907" w:type="dxa"/>
            <w:tcBorders>
              <w:tl2br w:val="nil"/>
              <w:tr2bl w:val="nil"/>
            </w:tcBorders>
            <w:shd w:val="clear" w:color="auto" w:fill="auto"/>
            <w:vAlign w:val="center"/>
          </w:tcPr>
          <w:p w14:paraId="1432FAB3">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3.4</w:t>
            </w:r>
          </w:p>
        </w:tc>
        <w:tc>
          <w:tcPr>
            <w:tcW w:w="1134" w:type="dxa"/>
            <w:tcBorders>
              <w:tl2br w:val="nil"/>
              <w:tr2bl w:val="nil"/>
            </w:tcBorders>
            <w:shd w:val="clear" w:color="auto" w:fill="auto"/>
            <w:vAlign w:val="center"/>
          </w:tcPr>
          <w:p w14:paraId="1CC1C110">
            <w:pPr>
              <w:keepNext w:val="0"/>
              <w:keepLines w:val="0"/>
              <w:widowControl/>
              <w:suppressLineNumbers w:val="0"/>
              <w:jc w:val="righ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6EE96BAA">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1114" w:type="dxa"/>
            <w:vMerge w:val="continue"/>
            <w:tcBorders>
              <w:tl2br w:val="nil"/>
              <w:tr2bl w:val="nil"/>
            </w:tcBorders>
            <w:vAlign w:val="center"/>
          </w:tcPr>
          <w:p w14:paraId="5AB23B17">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p>
        </w:tc>
        <w:tc>
          <w:tcPr>
            <w:tcW w:w="2427" w:type="dxa"/>
            <w:tcBorders>
              <w:tl2br w:val="nil"/>
              <w:tr2bl w:val="nil"/>
            </w:tcBorders>
            <w:shd w:val="clear" w:color="auto" w:fill="auto"/>
            <w:vAlign w:val="center"/>
          </w:tcPr>
          <w:p w14:paraId="744649EB">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日常维护工作完成及时性</w:t>
            </w:r>
          </w:p>
        </w:tc>
        <w:tc>
          <w:tcPr>
            <w:tcW w:w="907" w:type="dxa"/>
            <w:tcBorders>
              <w:tl2br w:val="nil"/>
              <w:tr2bl w:val="nil"/>
            </w:tcBorders>
            <w:shd w:val="clear" w:color="auto" w:fill="auto"/>
            <w:vAlign w:val="center"/>
          </w:tcPr>
          <w:p w14:paraId="0897B4AF">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3.3</w:t>
            </w:r>
          </w:p>
        </w:tc>
        <w:tc>
          <w:tcPr>
            <w:tcW w:w="1134" w:type="dxa"/>
            <w:tcBorders>
              <w:tl2br w:val="nil"/>
              <w:tr2bl w:val="nil"/>
            </w:tcBorders>
            <w:shd w:val="clear" w:color="auto" w:fill="auto"/>
            <w:vAlign w:val="center"/>
          </w:tcPr>
          <w:p w14:paraId="62C54612">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及时</w:t>
            </w:r>
          </w:p>
        </w:tc>
        <w:tc>
          <w:tcPr>
            <w:tcW w:w="1134" w:type="dxa"/>
            <w:tcBorders>
              <w:tl2br w:val="nil"/>
              <w:tr2bl w:val="nil"/>
            </w:tcBorders>
            <w:shd w:val="clear" w:color="auto" w:fill="auto"/>
            <w:vAlign w:val="center"/>
          </w:tcPr>
          <w:p w14:paraId="05B03088">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及时</w:t>
            </w:r>
          </w:p>
        </w:tc>
        <w:tc>
          <w:tcPr>
            <w:tcW w:w="907" w:type="dxa"/>
            <w:tcBorders>
              <w:tl2br w:val="nil"/>
              <w:tr2bl w:val="nil"/>
            </w:tcBorders>
            <w:shd w:val="clear" w:color="auto" w:fill="auto"/>
            <w:vAlign w:val="center"/>
          </w:tcPr>
          <w:p w14:paraId="0E94E2D8">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3.3</w:t>
            </w:r>
          </w:p>
        </w:tc>
        <w:tc>
          <w:tcPr>
            <w:tcW w:w="1134" w:type="dxa"/>
            <w:tcBorders>
              <w:tl2br w:val="nil"/>
              <w:tr2bl w:val="nil"/>
            </w:tcBorders>
            <w:shd w:val="clear" w:color="auto" w:fill="auto"/>
            <w:vAlign w:val="center"/>
          </w:tcPr>
          <w:p w14:paraId="7740120E">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7CEF0F61">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1114" w:type="dxa"/>
            <w:vMerge w:val="continue"/>
            <w:tcBorders>
              <w:tl2br w:val="nil"/>
              <w:tr2bl w:val="nil"/>
            </w:tcBorders>
            <w:vAlign w:val="center"/>
          </w:tcPr>
          <w:p w14:paraId="161E181E">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p>
        </w:tc>
        <w:tc>
          <w:tcPr>
            <w:tcW w:w="2427" w:type="dxa"/>
            <w:tcBorders>
              <w:tl2br w:val="nil"/>
              <w:tr2bl w:val="nil"/>
            </w:tcBorders>
            <w:shd w:val="clear" w:color="auto" w:fill="auto"/>
            <w:vAlign w:val="center"/>
          </w:tcPr>
          <w:p w14:paraId="5BA12479">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水电暖服务保障工作及时性</w:t>
            </w:r>
          </w:p>
        </w:tc>
        <w:tc>
          <w:tcPr>
            <w:tcW w:w="907" w:type="dxa"/>
            <w:tcBorders>
              <w:tl2br w:val="nil"/>
              <w:tr2bl w:val="nil"/>
            </w:tcBorders>
            <w:shd w:val="clear" w:color="auto" w:fill="auto"/>
            <w:vAlign w:val="center"/>
          </w:tcPr>
          <w:p w14:paraId="7ACFF4B0">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3.3</w:t>
            </w:r>
          </w:p>
        </w:tc>
        <w:tc>
          <w:tcPr>
            <w:tcW w:w="1134" w:type="dxa"/>
            <w:tcBorders>
              <w:tl2br w:val="nil"/>
              <w:tr2bl w:val="nil"/>
            </w:tcBorders>
            <w:shd w:val="clear" w:color="auto" w:fill="auto"/>
            <w:vAlign w:val="center"/>
          </w:tcPr>
          <w:p w14:paraId="001E120C">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及时</w:t>
            </w:r>
          </w:p>
        </w:tc>
        <w:tc>
          <w:tcPr>
            <w:tcW w:w="1134" w:type="dxa"/>
            <w:tcBorders>
              <w:tl2br w:val="nil"/>
              <w:tr2bl w:val="nil"/>
            </w:tcBorders>
            <w:shd w:val="clear" w:color="auto" w:fill="auto"/>
            <w:vAlign w:val="center"/>
          </w:tcPr>
          <w:p w14:paraId="2E66394B">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及时</w:t>
            </w:r>
          </w:p>
        </w:tc>
        <w:tc>
          <w:tcPr>
            <w:tcW w:w="907" w:type="dxa"/>
            <w:tcBorders>
              <w:tl2br w:val="nil"/>
              <w:tr2bl w:val="nil"/>
            </w:tcBorders>
            <w:shd w:val="clear" w:color="auto" w:fill="auto"/>
            <w:vAlign w:val="center"/>
          </w:tcPr>
          <w:p w14:paraId="6ABDBFB9">
            <w:pPr>
              <w:keepNext w:val="0"/>
              <w:keepLines w:val="0"/>
              <w:widowControl/>
              <w:suppressLineNumbers w:val="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3.3</w:t>
            </w:r>
          </w:p>
        </w:tc>
        <w:tc>
          <w:tcPr>
            <w:tcW w:w="1134" w:type="dxa"/>
            <w:tcBorders>
              <w:tl2br w:val="nil"/>
              <w:tr2bl w:val="nil"/>
            </w:tcBorders>
            <w:shd w:val="clear" w:color="auto" w:fill="auto"/>
            <w:vAlign w:val="center"/>
          </w:tcPr>
          <w:p w14:paraId="6BBD2FC9">
            <w:pPr>
              <w:keepNext w:val="0"/>
              <w:keepLines w:val="0"/>
              <w:widowControl/>
              <w:suppressLineNumbers w:val="0"/>
              <w:jc w:val="righ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6B5C10D0">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3541" w:type="dxa"/>
            <w:gridSpan w:val="2"/>
            <w:tcBorders>
              <w:tl2br w:val="nil"/>
              <w:tr2bl w:val="nil"/>
            </w:tcBorders>
            <w:shd w:val="clear" w:color="auto" w:fill="BDD6EE" w:themeFill="accent1" w:themeFillTint="66"/>
            <w:vAlign w:val="center"/>
          </w:tcPr>
          <w:p w14:paraId="413ED12A">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合计</w:t>
            </w:r>
          </w:p>
        </w:tc>
        <w:tc>
          <w:tcPr>
            <w:tcW w:w="907" w:type="dxa"/>
            <w:tcBorders>
              <w:tl2br w:val="nil"/>
              <w:tr2bl w:val="nil"/>
            </w:tcBorders>
            <w:shd w:val="clear" w:color="auto" w:fill="BDD6EE" w:themeFill="accent1" w:themeFillTint="66"/>
            <w:vAlign w:val="center"/>
          </w:tcPr>
          <w:p w14:paraId="025ADB0A">
            <w:pPr>
              <w:widowControl/>
              <w:jc w:val="center"/>
              <w:textAlignment w:val="center"/>
              <w:rPr>
                <w:rFonts w:hint="default" w:ascii="宋体" w:hAnsi="宋体" w:eastAsia="宋体" w:cs="宋体"/>
                <w:b/>
                <w:bCs/>
                <w:color w:val="auto"/>
                <w:kern w:val="0"/>
                <w:sz w:val="20"/>
                <w:szCs w:val="20"/>
                <w:highlight w:val="none"/>
                <w:lang w:val="en-US" w:eastAsia="zh-CN" w:bidi="ar"/>
              </w:rPr>
            </w:pPr>
            <w:r>
              <w:rPr>
                <w:rFonts w:hint="eastAsia" w:ascii="宋体" w:hAnsi="宋体" w:eastAsia="宋体" w:cs="宋体"/>
                <w:b/>
                <w:bCs/>
                <w:color w:val="auto"/>
                <w:kern w:val="0"/>
                <w:sz w:val="20"/>
                <w:szCs w:val="20"/>
                <w:highlight w:val="none"/>
                <w:lang w:val="en-US" w:eastAsia="zh-CN" w:bidi="ar"/>
              </w:rPr>
              <w:t>30</w:t>
            </w:r>
          </w:p>
        </w:tc>
        <w:tc>
          <w:tcPr>
            <w:tcW w:w="1134" w:type="dxa"/>
            <w:tcBorders>
              <w:tl2br w:val="nil"/>
              <w:tr2bl w:val="nil"/>
            </w:tcBorders>
            <w:shd w:val="clear" w:color="auto" w:fill="BDD6EE" w:themeFill="accent1" w:themeFillTint="66"/>
            <w:vAlign w:val="center"/>
          </w:tcPr>
          <w:p w14:paraId="3D04A12E">
            <w:pPr>
              <w:keepNext w:val="0"/>
              <w:keepLines w:val="0"/>
              <w:widowControl/>
              <w:suppressLineNumbers w:val="0"/>
              <w:jc w:val="center"/>
              <w:textAlignment w:val="center"/>
              <w:rPr>
                <w:rFonts w:hint="eastAsia" w:ascii="宋体" w:hAnsi="宋体" w:eastAsia="宋体" w:cs="宋体"/>
                <w:b/>
                <w:bCs/>
                <w:color w:val="auto"/>
                <w:kern w:val="0"/>
                <w:sz w:val="20"/>
                <w:szCs w:val="20"/>
                <w:highlight w:val="none"/>
                <w:lang w:val="en-US" w:eastAsia="zh-CN" w:bidi="ar"/>
              </w:rPr>
            </w:pPr>
            <w:r>
              <w:rPr>
                <w:rFonts w:hint="eastAsia" w:ascii="宋体" w:hAnsi="宋体" w:eastAsia="宋体" w:cs="宋体"/>
                <w:b/>
                <w:bCs/>
                <w:color w:val="auto"/>
                <w:kern w:val="0"/>
                <w:sz w:val="20"/>
                <w:szCs w:val="20"/>
                <w:highlight w:val="none"/>
                <w:lang w:val="en-US" w:eastAsia="zh-CN" w:bidi="ar"/>
              </w:rPr>
              <w:t>-</w:t>
            </w:r>
          </w:p>
        </w:tc>
        <w:tc>
          <w:tcPr>
            <w:tcW w:w="1134" w:type="dxa"/>
            <w:tcBorders>
              <w:tl2br w:val="nil"/>
              <w:tr2bl w:val="nil"/>
            </w:tcBorders>
            <w:shd w:val="clear" w:color="auto" w:fill="BDD6EE" w:themeFill="accent1" w:themeFillTint="66"/>
            <w:vAlign w:val="center"/>
          </w:tcPr>
          <w:p w14:paraId="4B1FF05E">
            <w:pPr>
              <w:keepNext w:val="0"/>
              <w:keepLines w:val="0"/>
              <w:widowControl/>
              <w:suppressLineNumbers w:val="0"/>
              <w:jc w:val="center"/>
              <w:textAlignment w:val="center"/>
              <w:rPr>
                <w:rFonts w:hint="eastAsia" w:ascii="宋体" w:hAnsi="宋体" w:eastAsia="宋体" w:cs="宋体"/>
                <w:b/>
                <w:bCs/>
                <w:color w:val="auto"/>
                <w:kern w:val="0"/>
                <w:sz w:val="20"/>
                <w:szCs w:val="20"/>
                <w:highlight w:val="none"/>
                <w:lang w:val="en-US" w:eastAsia="zh-CN" w:bidi="ar"/>
              </w:rPr>
            </w:pPr>
            <w:r>
              <w:rPr>
                <w:rFonts w:hint="eastAsia" w:ascii="宋体" w:hAnsi="宋体" w:eastAsia="宋体" w:cs="宋体"/>
                <w:b/>
                <w:bCs/>
                <w:color w:val="auto"/>
                <w:kern w:val="0"/>
                <w:sz w:val="20"/>
                <w:szCs w:val="20"/>
                <w:highlight w:val="none"/>
                <w:lang w:val="en-US" w:eastAsia="zh-CN" w:bidi="ar"/>
              </w:rPr>
              <w:t>-</w:t>
            </w:r>
          </w:p>
        </w:tc>
        <w:tc>
          <w:tcPr>
            <w:tcW w:w="907" w:type="dxa"/>
            <w:tcBorders>
              <w:tl2br w:val="nil"/>
              <w:tr2bl w:val="nil"/>
            </w:tcBorders>
            <w:shd w:val="clear" w:color="auto" w:fill="BDD6EE" w:themeFill="accent1" w:themeFillTint="66"/>
            <w:vAlign w:val="center"/>
          </w:tcPr>
          <w:p w14:paraId="22C7063F">
            <w:pPr>
              <w:keepNext w:val="0"/>
              <w:keepLines w:val="0"/>
              <w:widowControl/>
              <w:suppressLineNumbers w:val="0"/>
              <w:jc w:val="center"/>
              <w:textAlignment w:val="center"/>
              <w:rPr>
                <w:rFonts w:hint="default" w:ascii="宋体" w:hAnsi="宋体" w:eastAsia="宋体" w:cs="宋体"/>
                <w:b/>
                <w:bCs/>
                <w:color w:val="auto"/>
                <w:kern w:val="0"/>
                <w:sz w:val="20"/>
                <w:szCs w:val="20"/>
                <w:highlight w:val="none"/>
                <w:lang w:val="en-US" w:eastAsia="zh-CN" w:bidi="ar"/>
              </w:rPr>
            </w:pPr>
            <w:r>
              <w:rPr>
                <w:rFonts w:hint="eastAsia" w:ascii="宋体" w:hAnsi="宋体" w:eastAsia="宋体" w:cs="宋体"/>
                <w:b/>
                <w:bCs/>
                <w:color w:val="auto"/>
                <w:kern w:val="0"/>
                <w:sz w:val="20"/>
                <w:szCs w:val="20"/>
                <w:highlight w:val="none"/>
                <w:lang w:val="en-US" w:eastAsia="zh-CN" w:bidi="ar"/>
              </w:rPr>
              <w:t>30</w:t>
            </w:r>
          </w:p>
        </w:tc>
        <w:tc>
          <w:tcPr>
            <w:tcW w:w="1134" w:type="dxa"/>
            <w:tcBorders>
              <w:tl2br w:val="nil"/>
              <w:tr2bl w:val="nil"/>
            </w:tcBorders>
            <w:shd w:val="clear" w:color="auto" w:fill="BDD6EE" w:themeFill="accent1" w:themeFillTint="66"/>
            <w:vAlign w:val="center"/>
          </w:tcPr>
          <w:p w14:paraId="30C2B1B0">
            <w:pPr>
              <w:keepNext w:val="0"/>
              <w:keepLines w:val="0"/>
              <w:widowControl/>
              <w:suppressLineNumbers w:val="0"/>
              <w:jc w:val="right"/>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i w:val="0"/>
                <w:iCs w:val="0"/>
                <w:color w:val="000000"/>
                <w:kern w:val="0"/>
                <w:sz w:val="20"/>
                <w:szCs w:val="20"/>
                <w:u w:val="none"/>
                <w:lang w:val="en-US" w:eastAsia="zh-CN" w:bidi="ar"/>
              </w:rPr>
              <w:t>100.00%</w:t>
            </w:r>
          </w:p>
        </w:tc>
      </w:tr>
    </w:tbl>
    <w:p w14:paraId="5EE1FB75">
      <w:pPr>
        <w:pStyle w:val="27"/>
        <w:keepNext w:val="0"/>
        <w:keepLines w:val="0"/>
        <w:pageBreakBefore w:val="0"/>
        <w:widowControl w:val="0"/>
        <w:kinsoku/>
        <w:wordWrap/>
        <w:overflowPunct w:val="0"/>
        <w:topLinePunct w:val="0"/>
        <w:autoSpaceDE/>
        <w:autoSpaceDN/>
        <w:bidi w:val="0"/>
        <w:adjustRightInd/>
        <w:snapToGrid/>
        <w:spacing w:line="560" w:lineRule="exact"/>
        <w:ind w:firstLine="643"/>
        <w:textAlignment w:val="auto"/>
        <w:outlineLvl w:val="2"/>
        <w:rPr>
          <w:rFonts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1.数量指标</w:t>
      </w:r>
    </w:p>
    <w:p w14:paraId="44CBD107">
      <w:pPr>
        <w:pStyle w:val="27"/>
        <w:keepNext w:val="0"/>
        <w:keepLines w:val="0"/>
        <w:pageBreakBefore w:val="0"/>
        <w:widowControl w:val="0"/>
        <w:kinsoku/>
        <w:wordWrap/>
        <w:overflowPunct w:val="0"/>
        <w:topLinePunct w:val="0"/>
        <w:autoSpaceDE/>
        <w:autoSpaceDN/>
        <w:bidi w:val="0"/>
        <w:adjustRightInd/>
        <w:snapToGrid/>
        <w:spacing w:line="560" w:lineRule="exact"/>
        <w:ind w:firstLine="640"/>
        <w:textAlignment w:val="auto"/>
        <w:rPr>
          <w:rFonts w:hint="default" w:ascii="仿宋_GB2312" w:hAnsi="仿宋_GB2312" w:eastAsia="仿宋_GB2312" w:cs="仿宋_GB2312"/>
          <w:color w:val="000000" w:themeColor="text1"/>
          <w:sz w:val="32"/>
          <w:szCs w:val="32"/>
          <w:highlight w:val="none"/>
          <w:lang w:val="en-US"/>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保障基层法庭个数：指标分值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3.4</w:t>
      </w:r>
      <w:r>
        <w:rPr>
          <w:rFonts w:hint="eastAsia" w:ascii="仿宋_GB2312" w:hAnsi="仿宋_GB2312" w:eastAsia="仿宋_GB2312" w:cs="仿宋_GB2312"/>
          <w:color w:val="000000" w:themeColor="text1"/>
          <w:sz w:val="32"/>
          <w:szCs w:val="32"/>
          <w:highlight w:val="none"/>
          <w14:textFill>
            <w14:solidFill>
              <w14:schemeClr w14:val="tx1"/>
            </w14:solidFill>
          </w14:textFill>
        </w:rPr>
        <w:t>分，评价得分</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3.4</w:t>
      </w:r>
      <w:r>
        <w:rPr>
          <w:rFonts w:hint="eastAsia" w:ascii="仿宋_GB2312" w:hAnsi="仿宋_GB2312" w:eastAsia="仿宋_GB2312" w:cs="仿宋_GB2312"/>
          <w:color w:val="000000" w:themeColor="text1"/>
          <w:sz w:val="32"/>
          <w:szCs w:val="32"/>
          <w:highlight w:val="none"/>
          <w14:textFill>
            <w14:solidFill>
              <w14:schemeClr w14:val="tx1"/>
            </w14:solidFill>
          </w14:textFill>
        </w:rPr>
        <w:t>分。</w:t>
      </w:r>
      <w:r>
        <w:rPr>
          <w:rFonts w:hint="eastAsia" w:ascii="仿宋_GB2312" w:hAnsi="仿宋_GB2312" w:eastAsia="仿宋_GB2312" w:cs="仿宋_GB2312"/>
          <w:sz w:val="32"/>
          <w:szCs w:val="32"/>
          <w:lang w:eastAsia="zh-CN"/>
        </w:rPr>
        <w:t>项目资金保障</w:t>
      </w:r>
      <w:r>
        <w:rPr>
          <w:rFonts w:hint="eastAsia" w:ascii="仿宋_GB2312" w:hAnsi="仿宋_GB2312" w:eastAsia="仿宋_GB2312" w:cs="仿宋_GB2312"/>
          <w:color w:val="auto"/>
          <w:sz w:val="32"/>
          <w:szCs w:val="32"/>
          <w:lang w:eastAsia="zh-CN"/>
        </w:rPr>
        <w:t>全省338个基</w:t>
      </w:r>
      <w:r>
        <w:rPr>
          <w:rFonts w:hint="eastAsia" w:ascii="仿宋_GB2312" w:hAnsi="仿宋_GB2312" w:eastAsia="仿宋_GB2312" w:cs="仿宋_GB2312"/>
          <w:sz w:val="32"/>
          <w:szCs w:val="32"/>
          <w:lang w:eastAsia="zh-CN"/>
        </w:rPr>
        <w:t>层法庭日常运转，主要用于以下三方面：一是及时缴纳水电暖费用，完成法庭水电暖保障工作；二是对法庭设备设施进行维修维护，实现应修尽修；三是</w:t>
      </w:r>
      <w:r>
        <w:rPr>
          <w:rFonts w:hint="eastAsia" w:ascii="仿宋_GB2312" w:hAnsi="仿宋_GB2312" w:eastAsia="仿宋_GB2312" w:cs="仿宋_GB2312"/>
          <w:sz w:val="32"/>
          <w:szCs w:val="32"/>
          <w:lang w:val="en-US" w:eastAsia="zh-CN"/>
        </w:rPr>
        <w:t>对</w:t>
      </w:r>
      <w:r>
        <w:rPr>
          <w:rFonts w:hint="eastAsia" w:ascii="仿宋_GB2312" w:hAnsi="仿宋_GB2312" w:eastAsia="仿宋_GB2312" w:cstheme="minorBidi"/>
          <w:b w:val="0"/>
          <w:bCs w:val="0"/>
          <w:kern w:val="2"/>
          <w:sz w:val="32"/>
          <w:szCs w:val="32"/>
          <w:highlight w:val="none"/>
          <w:lang w:val="en-US" w:eastAsia="zh-CN" w:bidi="ar-SA"/>
        </w:rPr>
        <w:t>法庭开展日常管护，为执法办案提供良好的办公环境</w:t>
      </w:r>
      <w:r>
        <w:rPr>
          <w:rFonts w:hint="eastAsia" w:ascii="仿宋_GB2312" w:hAnsi="仿宋_GB2312" w:eastAsia="仿宋_GB2312" w:cs="仿宋_GB2312"/>
          <w:sz w:val="32"/>
          <w:szCs w:val="32"/>
          <w:lang w:eastAsia="zh-CN"/>
        </w:rPr>
        <w:t>。</w:t>
      </w:r>
    </w:p>
    <w:p w14:paraId="735FF97E">
      <w:pPr>
        <w:pStyle w:val="27"/>
        <w:keepNext w:val="0"/>
        <w:keepLines w:val="0"/>
        <w:pageBreakBefore w:val="0"/>
        <w:widowControl w:val="0"/>
        <w:kinsoku/>
        <w:wordWrap/>
        <w:overflowPunct w:val="0"/>
        <w:topLinePunct w:val="0"/>
        <w:autoSpaceDE/>
        <w:autoSpaceDN/>
        <w:bidi w:val="0"/>
        <w:adjustRightInd/>
        <w:snapToGrid/>
        <w:spacing w:line="560" w:lineRule="exact"/>
        <w:ind w:firstLine="640"/>
        <w:textAlignment w:val="auto"/>
        <w:rPr>
          <w:rFonts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sz w:val="32"/>
          <w:szCs w:val="32"/>
          <w:lang w:eastAsia="zh-CN"/>
        </w:rPr>
        <w:t>资金拨付法院数</w:t>
      </w:r>
      <w:r>
        <w:rPr>
          <w:rFonts w:hint="eastAsia" w:ascii="仿宋_GB2312" w:hAnsi="仿宋_GB2312" w:eastAsia="仿宋_GB2312" w:cs="仿宋_GB2312"/>
          <w:color w:val="000000" w:themeColor="text1"/>
          <w:sz w:val="32"/>
          <w:szCs w:val="32"/>
          <w:highlight w:val="none"/>
          <w14:textFill>
            <w14:solidFill>
              <w14:schemeClr w14:val="tx1"/>
            </w14:solidFill>
          </w14:textFill>
        </w:rPr>
        <w:t>：指标分值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3.3</w:t>
      </w:r>
      <w:r>
        <w:rPr>
          <w:rFonts w:hint="eastAsia" w:ascii="仿宋_GB2312" w:hAnsi="仿宋_GB2312" w:eastAsia="仿宋_GB2312" w:cs="仿宋_GB2312"/>
          <w:color w:val="000000" w:themeColor="text1"/>
          <w:sz w:val="32"/>
          <w:szCs w:val="32"/>
          <w:highlight w:val="none"/>
          <w14:textFill>
            <w14:solidFill>
              <w14:schemeClr w14:val="tx1"/>
            </w14:solidFill>
          </w14:textFill>
        </w:rPr>
        <w:t>分，评价得分</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3.3</w:t>
      </w:r>
      <w:r>
        <w:rPr>
          <w:rFonts w:hint="eastAsia" w:ascii="仿宋_GB2312" w:hAnsi="仿宋_GB2312" w:eastAsia="仿宋_GB2312" w:cs="仿宋_GB2312"/>
          <w:color w:val="000000" w:themeColor="text1"/>
          <w:sz w:val="32"/>
          <w:szCs w:val="32"/>
          <w:highlight w:val="none"/>
          <w14:textFill>
            <w14:solidFill>
              <w14:schemeClr w14:val="tx1"/>
            </w14:solidFill>
          </w14:textFill>
        </w:rPr>
        <w:t>分。</w:t>
      </w:r>
      <w:r>
        <w:rPr>
          <w:rFonts w:hint="eastAsia" w:ascii="仿宋_GB2312" w:hAnsi="仿宋_GB2312" w:eastAsia="仿宋_GB2312" w:cs="仿宋_GB2312"/>
          <w:sz w:val="32"/>
          <w:szCs w:val="32"/>
          <w:lang w:eastAsia="zh-CN"/>
        </w:rPr>
        <w:t>84家基层人民法院</w:t>
      </w:r>
      <w:r>
        <w:rPr>
          <w:rFonts w:hint="eastAsia" w:ascii="仿宋_GB2312" w:hAnsi="仿宋_GB2312" w:eastAsia="仿宋_GB2312" w:cs="仿宋_GB2312"/>
          <w:sz w:val="32"/>
          <w:szCs w:val="32"/>
          <w:lang w:val="en-US" w:eastAsia="zh-CN"/>
        </w:rPr>
        <w:t>年初申报预算</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经甘肃省财政厅批复并拨</w:t>
      </w:r>
      <w:r>
        <w:rPr>
          <w:rFonts w:hint="eastAsia" w:ascii="仿宋_GB2312" w:hAnsi="仿宋_GB2312" w:eastAsia="仿宋_GB2312" w:cs="仿宋_GB2312"/>
          <w:sz w:val="32"/>
          <w:szCs w:val="32"/>
          <w:lang w:eastAsia="zh-CN"/>
        </w:rPr>
        <w:t>付</w:t>
      </w:r>
      <w:r>
        <w:rPr>
          <w:rFonts w:hint="eastAsia" w:ascii="仿宋_GB2312" w:hAnsi="仿宋_GB2312" w:eastAsia="仿宋_GB2312" w:cs="仿宋_GB2312"/>
          <w:sz w:val="32"/>
          <w:szCs w:val="32"/>
          <w:lang w:val="en-US" w:eastAsia="zh-CN"/>
        </w:rPr>
        <w:t>资金的</w:t>
      </w:r>
      <w:r>
        <w:rPr>
          <w:rFonts w:hint="eastAsia" w:ascii="仿宋_GB2312" w:hAnsi="仿宋_GB2312" w:eastAsia="仿宋_GB2312" w:cs="仿宋_GB2312"/>
          <w:sz w:val="32"/>
          <w:szCs w:val="32"/>
          <w:lang w:eastAsia="zh-CN"/>
        </w:rPr>
        <w:t>法院数为84家，</w:t>
      </w:r>
      <w:r>
        <w:rPr>
          <w:rFonts w:hint="eastAsia" w:ascii="仿宋_GB2312" w:hAnsi="仿宋_GB2312" w:eastAsia="仿宋_GB2312" w:cs="仿宋_GB2312"/>
          <w:sz w:val="32"/>
          <w:szCs w:val="32"/>
          <w:lang w:val="en-US" w:eastAsia="zh-CN"/>
        </w:rPr>
        <w:t>完成</w:t>
      </w:r>
      <w:r>
        <w:rPr>
          <w:rFonts w:hint="eastAsia" w:ascii="仿宋_GB2312" w:hAnsi="仿宋_GB2312" w:eastAsia="仿宋_GB2312" w:cs="仿宋_GB2312"/>
          <w:sz w:val="32"/>
          <w:szCs w:val="32"/>
          <w:lang w:eastAsia="zh-CN"/>
        </w:rPr>
        <w:t>年度目标</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p>
    <w:p w14:paraId="630ACEF7">
      <w:pPr>
        <w:pStyle w:val="27"/>
        <w:keepNext w:val="0"/>
        <w:keepLines w:val="0"/>
        <w:pageBreakBefore w:val="0"/>
        <w:widowControl w:val="0"/>
        <w:kinsoku/>
        <w:wordWrap/>
        <w:overflowPunct w:val="0"/>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维修维护工作完成率：</w:t>
      </w:r>
      <w:r>
        <w:rPr>
          <w:rFonts w:hint="eastAsia" w:ascii="仿宋_GB2312" w:hAnsi="仿宋_GB2312" w:eastAsia="仿宋_GB2312" w:cs="仿宋_GB2312"/>
          <w:color w:val="000000" w:themeColor="text1"/>
          <w:sz w:val="32"/>
          <w:szCs w:val="32"/>
          <w:highlight w:val="none"/>
          <w14:textFill>
            <w14:solidFill>
              <w14:schemeClr w14:val="tx1"/>
            </w14:solidFill>
          </w14:textFill>
        </w:rPr>
        <w:t>指标分值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3.3</w:t>
      </w:r>
      <w:r>
        <w:rPr>
          <w:rFonts w:hint="eastAsia" w:ascii="仿宋_GB2312" w:hAnsi="仿宋_GB2312" w:eastAsia="仿宋_GB2312" w:cs="仿宋_GB2312"/>
          <w:color w:val="000000" w:themeColor="text1"/>
          <w:sz w:val="32"/>
          <w:szCs w:val="32"/>
          <w:highlight w:val="none"/>
          <w14:textFill>
            <w14:solidFill>
              <w14:schemeClr w14:val="tx1"/>
            </w14:solidFill>
          </w14:textFill>
        </w:rPr>
        <w:t>分，评价得分</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3.3</w:t>
      </w:r>
      <w:r>
        <w:rPr>
          <w:rFonts w:hint="eastAsia" w:ascii="仿宋_GB2312" w:hAnsi="仿宋_GB2312" w:eastAsia="仿宋_GB2312" w:cs="仿宋_GB2312"/>
          <w:color w:val="000000" w:themeColor="text1"/>
          <w:sz w:val="32"/>
          <w:szCs w:val="32"/>
          <w:highlight w:val="none"/>
          <w14:textFill>
            <w14:solidFill>
              <w14:schemeClr w14:val="tx1"/>
            </w14:solidFill>
          </w14:textFill>
        </w:rPr>
        <w:t>分</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年度指标值</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≥90%，84家基层人民法院根据2023年水电暖供应系统、保洁、安防等实际情况开展维护保障，</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完成维修维护工作</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p>
    <w:p w14:paraId="17CB9323">
      <w:pPr>
        <w:pStyle w:val="27"/>
        <w:keepNext w:val="0"/>
        <w:keepLines w:val="0"/>
        <w:pageBreakBefore w:val="0"/>
        <w:widowControl w:val="0"/>
        <w:kinsoku/>
        <w:wordWrap/>
        <w:overflowPunct w:val="0"/>
        <w:topLinePunct w:val="0"/>
        <w:autoSpaceDE/>
        <w:autoSpaceDN/>
        <w:bidi w:val="0"/>
        <w:adjustRightInd/>
        <w:snapToGrid/>
        <w:spacing w:line="560" w:lineRule="exact"/>
        <w:ind w:firstLine="643"/>
        <w:textAlignment w:val="auto"/>
        <w:outlineLvl w:val="2"/>
        <w:rPr>
          <w:rFonts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2.质量指标</w:t>
      </w:r>
    </w:p>
    <w:p w14:paraId="4706913F">
      <w:pPr>
        <w:keepNext w:val="0"/>
        <w:keepLines w:val="0"/>
        <w:pageBreakBefore w:val="0"/>
        <w:widowControl w:val="0"/>
        <w:kinsoku/>
        <w:wordWrap/>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eastAsia="zh-CN"/>
        </w:rPr>
      </w:pPr>
      <w:bookmarkStart w:id="124" w:name="_Toc27458"/>
      <w:bookmarkStart w:id="125" w:name="_Toc7509"/>
      <w:r>
        <w:rPr>
          <w:rFonts w:hint="eastAsia" w:ascii="仿宋_GB2312" w:hAnsi="仿宋_GB2312" w:eastAsia="仿宋_GB2312" w:cs="仿宋_GB2312"/>
          <w:sz w:val="32"/>
          <w:szCs w:val="32"/>
          <w:lang w:eastAsia="zh-CN"/>
        </w:rPr>
        <w:t>法庭正常运转保障率：指标分值3.4分，</w:t>
      </w:r>
      <w:r>
        <w:rPr>
          <w:rFonts w:hint="eastAsia" w:ascii="仿宋_GB2312" w:hAnsi="仿宋_GB2312" w:eastAsia="仿宋_GB2312" w:cs="仿宋_GB2312"/>
          <w:color w:val="000000" w:themeColor="text1"/>
          <w:sz w:val="32"/>
          <w:szCs w:val="32"/>
          <w:highlight w:val="none"/>
          <w14:textFill>
            <w14:solidFill>
              <w14:schemeClr w14:val="tx1"/>
            </w14:solidFill>
          </w14:textFill>
        </w:rPr>
        <w:t>评价得分</w:t>
      </w:r>
      <w:r>
        <w:rPr>
          <w:rFonts w:hint="eastAsia" w:ascii="仿宋_GB2312" w:hAnsi="仿宋_GB2312" w:eastAsia="仿宋_GB2312" w:cs="仿宋_GB2312"/>
          <w:sz w:val="32"/>
          <w:szCs w:val="32"/>
          <w:lang w:eastAsia="zh-CN"/>
        </w:rPr>
        <w:t>3.4分。</w:t>
      </w:r>
      <w:r>
        <w:rPr>
          <w:rFonts w:hint="eastAsia" w:ascii="仿宋_GB2312" w:hAnsi="仿宋_GB2312" w:eastAsia="仿宋_GB2312" w:cs="仿宋_GB2312"/>
          <w:color w:val="000000" w:themeColor="text1"/>
          <w:sz w:val="32"/>
          <w:szCs w:val="32"/>
          <w:highlight w:val="none"/>
          <w14:textFill>
            <w14:solidFill>
              <w14:schemeClr w14:val="tx1"/>
            </w14:solidFill>
          </w14:textFill>
        </w:rPr>
        <w:t>年度指标值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0%，</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各法院</w:t>
      </w:r>
      <w:r>
        <w:rPr>
          <w:rFonts w:hint="eastAsia" w:ascii="仿宋_GB2312" w:hAnsi="仿宋_GB2312" w:eastAsia="仿宋_GB2312" w:cs="仿宋_GB2312"/>
          <w:sz w:val="32"/>
          <w:szCs w:val="32"/>
          <w:lang w:eastAsia="zh-CN"/>
        </w:rPr>
        <w:t>通过日常维修、办公用水、办公用电和冬季取暖等具体工作的产出，</w:t>
      </w:r>
      <w:r>
        <w:rPr>
          <w:rFonts w:hint="eastAsia" w:ascii="仿宋_GB2312" w:hAnsi="仿宋_GB2312" w:eastAsia="仿宋_GB2312" w:cs="仿宋_GB2312"/>
          <w:sz w:val="32"/>
          <w:szCs w:val="32"/>
          <w:lang w:val="en-US" w:eastAsia="zh-CN"/>
        </w:rPr>
        <w:t>确保</w:t>
      </w:r>
      <w:r>
        <w:rPr>
          <w:rFonts w:hint="eastAsia" w:ascii="仿宋_GB2312" w:hAnsi="仿宋_GB2312" w:eastAsia="仿宋_GB2312" w:cs="仿宋_GB2312"/>
          <w:sz w:val="32"/>
          <w:szCs w:val="32"/>
          <w:lang w:eastAsia="zh-CN"/>
        </w:rPr>
        <w:t>了</w:t>
      </w:r>
      <w:r>
        <w:rPr>
          <w:rFonts w:hint="eastAsia" w:ascii="仿宋_GB2312" w:hAnsi="仿宋_GB2312" w:eastAsia="仿宋_GB2312" w:cs="仿宋_GB2312"/>
          <w:sz w:val="32"/>
          <w:szCs w:val="32"/>
          <w:lang w:val="en-US" w:eastAsia="zh-CN"/>
        </w:rPr>
        <w:t>338个基层</w:t>
      </w:r>
      <w:r>
        <w:rPr>
          <w:rFonts w:hint="eastAsia" w:ascii="仿宋_GB2312" w:hAnsi="仿宋_GB2312" w:eastAsia="仿宋_GB2312" w:cs="仿宋_GB2312"/>
          <w:sz w:val="32"/>
          <w:szCs w:val="32"/>
          <w:lang w:eastAsia="zh-CN"/>
        </w:rPr>
        <w:t>法庭的日常办公需要，保障法院网络系统正常运转。</w:t>
      </w:r>
    </w:p>
    <w:p w14:paraId="52EECEF1">
      <w:pPr>
        <w:keepNext w:val="0"/>
        <w:keepLines w:val="0"/>
        <w:pageBreakBefore w:val="0"/>
        <w:widowControl w:val="0"/>
        <w:kinsoku/>
        <w:wordWrap/>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基层法庭水电暖日常运转稳定率：指标分值3.</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分，</w:t>
      </w:r>
      <w:r>
        <w:rPr>
          <w:rFonts w:hint="eastAsia" w:ascii="仿宋_GB2312" w:hAnsi="仿宋_GB2312" w:eastAsia="仿宋_GB2312" w:cs="仿宋_GB2312"/>
          <w:color w:val="000000" w:themeColor="text1"/>
          <w:sz w:val="32"/>
          <w:szCs w:val="32"/>
          <w:highlight w:val="none"/>
          <w14:textFill>
            <w14:solidFill>
              <w14:schemeClr w14:val="tx1"/>
            </w14:solidFill>
          </w14:textFill>
        </w:rPr>
        <w:t>评价得分</w:t>
      </w:r>
      <w:r>
        <w:rPr>
          <w:rFonts w:hint="eastAsia" w:ascii="仿宋_GB2312" w:hAnsi="仿宋_GB2312" w:eastAsia="仿宋_GB2312" w:cs="仿宋_GB2312"/>
          <w:sz w:val="32"/>
          <w:szCs w:val="32"/>
          <w:lang w:eastAsia="zh-CN"/>
        </w:rPr>
        <w:t>3.</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分。</w:t>
      </w:r>
      <w:r>
        <w:rPr>
          <w:rFonts w:hint="eastAsia" w:ascii="仿宋_GB2312" w:hAnsi="仿宋_GB2312" w:eastAsia="仿宋_GB2312" w:cs="仿宋_GB2312"/>
          <w:color w:val="000000" w:themeColor="text1"/>
          <w:sz w:val="32"/>
          <w:szCs w:val="32"/>
          <w:highlight w:val="none"/>
          <w14:textFill>
            <w14:solidFill>
              <w14:schemeClr w14:val="tx1"/>
            </w14:solidFill>
          </w14:textFill>
        </w:rPr>
        <w:t>年度指标值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0%，</w:t>
      </w:r>
      <w:r>
        <w:rPr>
          <w:rFonts w:hint="eastAsia" w:ascii="仿宋_GB2312" w:hAnsi="仿宋_GB2312" w:eastAsia="仿宋_GB2312" w:cs="仿宋_GB2312"/>
          <w:sz w:val="32"/>
          <w:szCs w:val="32"/>
          <w:lang w:val="en-US" w:eastAsia="zh-CN"/>
        </w:rPr>
        <w:t>各法院</w:t>
      </w:r>
      <w:r>
        <w:rPr>
          <w:rFonts w:hint="eastAsia" w:ascii="仿宋_GB2312" w:hAnsi="仿宋_GB2312" w:eastAsia="仿宋_GB2312" w:cs="仿宋_GB2312"/>
          <w:sz w:val="32"/>
          <w:szCs w:val="32"/>
          <w:lang w:eastAsia="zh-CN"/>
        </w:rPr>
        <w:t>按时缴纳水电</w:t>
      </w:r>
      <w:r>
        <w:rPr>
          <w:rFonts w:hint="eastAsia" w:ascii="仿宋_GB2312" w:hAnsi="仿宋_GB2312" w:eastAsia="仿宋_GB2312" w:cs="仿宋_GB2312"/>
          <w:sz w:val="32"/>
          <w:szCs w:val="32"/>
          <w:lang w:val="en-US" w:eastAsia="zh-CN"/>
        </w:rPr>
        <w:t>暖</w:t>
      </w:r>
      <w:r>
        <w:rPr>
          <w:rFonts w:hint="eastAsia" w:ascii="仿宋_GB2312" w:hAnsi="仿宋_GB2312" w:eastAsia="仿宋_GB2312" w:cs="仿宋_GB2312"/>
          <w:sz w:val="32"/>
          <w:szCs w:val="32"/>
          <w:lang w:eastAsia="zh-CN"/>
        </w:rPr>
        <w:t>等资源管理费，保障水电暖的供应，基层法庭水电暖日常运转稳定率100%。</w:t>
      </w:r>
    </w:p>
    <w:p w14:paraId="2632C7CD">
      <w:pPr>
        <w:keepNext w:val="0"/>
        <w:keepLines w:val="0"/>
        <w:pageBreakBefore w:val="0"/>
        <w:widowControl w:val="0"/>
        <w:kinsoku/>
        <w:wordWrap/>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维修维护合格率：指标分值3.</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分，</w:t>
      </w:r>
      <w:r>
        <w:rPr>
          <w:rFonts w:hint="eastAsia" w:ascii="仿宋_GB2312" w:hAnsi="仿宋_GB2312" w:eastAsia="仿宋_GB2312" w:cs="仿宋_GB2312"/>
          <w:color w:val="000000" w:themeColor="text1"/>
          <w:sz w:val="32"/>
          <w:szCs w:val="32"/>
          <w:highlight w:val="none"/>
          <w14:textFill>
            <w14:solidFill>
              <w14:schemeClr w14:val="tx1"/>
            </w14:solidFill>
          </w14:textFill>
        </w:rPr>
        <w:t>评价得分</w:t>
      </w:r>
      <w:r>
        <w:rPr>
          <w:rFonts w:hint="eastAsia" w:ascii="仿宋_GB2312" w:hAnsi="仿宋_GB2312" w:eastAsia="仿宋_GB2312" w:cs="仿宋_GB2312"/>
          <w:sz w:val="32"/>
          <w:szCs w:val="32"/>
          <w:lang w:eastAsia="zh-CN"/>
        </w:rPr>
        <w:t>3.</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分。</w:t>
      </w:r>
      <w:bookmarkEnd w:id="124"/>
      <w:bookmarkEnd w:id="125"/>
      <w:r>
        <w:rPr>
          <w:rFonts w:hint="eastAsia" w:ascii="仿宋_GB2312" w:hAnsi="仿宋_GB2312" w:eastAsia="仿宋_GB2312" w:cs="仿宋_GB2312"/>
          <w:color w:val="000000" w:themeColor="text1"/>
          <w:sz w:val="32"/>
          <w:szCs w:val="32"/>
          <w:highlight w:val="none"/>
          <w14:textFill>
            <w14:solidFill>
              <w14:schemeClr w14:val="tx1"/>
            </w14:solidFill>
          </w14:textFill>
        </w:rPr>
        <w:t>年度指标值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0%，</w:t>
      </w:r>
      <w:r>
        <w:rPr>
          <w:rFonts w:hint="eastAsia" w:ascii="仿宋_GB2312" w:hAnsi="仿宋_GB2312" w:eastAsia="仿宋_GB2312" w:cs="仿宋_GB2312"/>
          <w:sz w:val="32"/>
          <w:szCs w:val="32"/>
          <w:lang w:val="en-US" w:eastAsia="zh-CN"/>
        </w:rPr>
        <w:t>各法院</w:t>
      </w:r>
      <w:r>
        <w:rPr>
          <w:rFonts w:hint="eastAsia" w:ascii="仿宋_GB2312" w:hAnsi="仿宋_GB2312" w:eastAsia="仿宋_GB2312" w:cs="仿宋_GB2312"/>
          <w:sz w:val="32"/>
          <w:szCs w:val="32"/>
          <w:lang w:eastAsia="zh-CN"/>
        </w:rPr>
        <w:t>完成对各软硬件设备设施的日常维修和常规维护保养，维修维护合格率100%，后勤保障能力得到提升。</w:t>
      </w:r>
    </w:p>
    <w:p w14:paraId="16550612">
      <w:pPr>
        <w:pStyle w:val="27"/>
        <w:keepNext w:val="0"/>
        <w:keepLines w:val="0"/>
        <w:pageBreakBefore w:val="0"/>
        <w:widowControl w:val="0"/>
        <w:kinsoku/>
        <w:wordWrap/>
        <w:overflowPunct w:val="0"/>
        <w:topLinePunct w:val="0"/>
        <w:autoSpaceDE/>
        <w:autoSpaceDN/>
        <w:bidi w:val="0"/>
        <w:adjustRightInd/>
        <w:snapToGrid/>
        <w:spacing w:line="560" w:lineRule="exact"/>
        <w:ind w:firstLine="643"/>
        <w:textAlignment w:val="auto"/>
        <w:outlineLvl w:val="2"/>
        <w:rPr>
          <w:rFonts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3.时效指标</w:t>
      </w:r>
    </w:p>
    <w:p w14:paraId="09A246C1">
      <w:pPr>
        <w:keepNext w:val="0"/>
        <w:keepLines w:val="0"/>
        <w:pageBreakBefore w:val="0"/>
        <w:widowControl w:val="0"/>
        <w:kinsoku/>
        <w:wordWrap/>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sz w:val="32"/>
          <w:szCs w:val="32"/>
          <w:lang w:val="en-US" w:eastAsia="zh-CN"/>
        </w:rPr>
      </w:pPr>
      <w:bookmarkStart w:id="126" w:name="_Toc23375"/>
      <w:bookmarkStart w:id="127" w:name="_Toc19675"/>
      <w:bookmarkStart w:id="128" w:name="_Toc4582"/>
      <w:r>
        <w:rPr>
          <w:rFonts w:hint="eastAsia" w:ascii="仿宋_GB2312" w:hAnsi="仿宋_GB2312" w:eastAsia="仿宋_GB2312" w:cs="仿宋_GB2312"/>
          <w:sz w:val="32"/>
          <w:szCs w:val="32"/>
          <w:lang w:eastAsia="zh-CN"/>
        </w:rPr>
        <w:t>法庭运维及时性：指标分值3.</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分，</w:t>
      </w:r>
      <w:r>
        <w:rPr>
          <w:rFonts w:hint="eastAsia" w:ascii="仿宋_GB2312" w:hAnsi="仿宋_GB2312" w:eastAsia="仿宋_GB2312" w:cs="仿宋_GB2312"/>
          <w:color w:val="000000" w:themeColor="text1"/>
          <w:sz w:val="32"/>
          <w:szCs w:val="32"/>
          <w:highlight w:val="none"/>
          <w14:textFill>
            <w14:solidFill>
              <w14:schemeClr w14:val="tx1"/>
            </w14:solidFill>
          </w14:textFill>
        </w:rPr>
        <w:t>评价得分</w:t>
      </w:r>
      <w:r>
        <w:rPr>
          <w:rFonts w:hint="eastAsia" w:ascii="仿宋_GB2312" w:hAnsi="仿宋_GB2312" w:eastAsia="仿宋_GB2312" w:cs="仿宋_GB2312"/>
          <w:sz w:val="32"/>
          <w:szCs w:val="32"/>
          <w:lang w:eastAsia="zh-CN"/>
        </w:rPr>
        <w:t>3.</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分。</w:t>
      </w:r>
      <w:r>
        <w:rPr>
          <w:rFonts w:hint="eastAsia" w:ascii="仿宋_GB2312" w:hAnsi="仿宋_GB2312" w:eastAsia="仿宋_GB2312" w:cs="仿宋_GB2312"/>
          <w:sz w:val="32"/>
          <w:szCs w:val="32"/>
          <w:lang w:val="en-US" w:eastAsia="zh-CN"/>
        </w:rPr>
        <w:t>各法院完成对各软硬件设备设施的日常维修和常规维护保养，</w:t>
      </w:r>
      <w:r>
        <w:rPr>
          <w:rFonts w:hint="eastAsia" w:ascii="仿宋_GB2312" w:hAnsi="仿宋_GB2312" w:eastAsia="仿宋_GB2312" w:cs="仿宋_GB2312"/>
          <w:sz w:val="32"/>
          <w:szCs w:val="32"/>
          <w:lang w:eastAsia="zh-CN"/>
        </w:rPr>
        <w:t>在规定时间内对损坏设施进行维护，确保审判场地的安全以及法庭工作的正常开展，</w:t>
      </w:r>
      <w:r>
        <w:rPr>
          <w:rFonts w:hint="eastAsia" w:ascii="仿宋_GB2312" w:hAnsi="仿宋_GB2312" w:eastAsia="仿宋_GB2312" w:cs="仿宋_GB2312"/>
          <w:sz w:val="32"/>
          <w:szCs w:val="32"/>
          <w:lang w:val="en-US" w:eastAsia="zh-CN"/>
        </w:rPr>
        <w:t>完成</w:t>
      </w:r>
      <w:r>
        <w:rPr>
          <w:rFonts w:hint="eastAsia" w:ascii="仿宋_GB2312" w:hAnsi="仿宋_GB2312" w:eastAsia="仿宋_GB2312" w:cs="仿宋_GB2312"/>
          <w:sz w:val="32"/>
          <w:szCs w:val="32"/>
          <w:lang w:eastAsia="zh-CN"/>
        </w:rPr>
        <w:t>年度目标。</w:t>
      </w:r>
    </w:p>
    <w:p w14:paraId="6881C40C">
      <w:pPr>
        <w:keepNext w:val="0"/>
        <w:keepLines w:val="0"/>
        <w:pageBreakBefore w:val="0"/>
        <w:widowControl w:val="0"/>
        <w:kinsoku/>
        <w:wordWrap/>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日常维护工作完成及时性：指标分值3.</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分，</w:t>
      </w:r>
      <w:r>
        <w:rPr>
          <w:rFonts w:hint="eastAsia" w:ascii="仿宋_GB2312" w:hAnsi="仿宋_GB2312" w:eastAsia="仿宋_GB2312" w:cs="仿宋_GB2312"/>
          <w:color w:val="000000" w:themeColor="text1"/>
          <w:sz w:val="32"/>
          <w:szCs w:val="32"/>
          <w:highlight w:val="none"/>
          <w14:textFill>
            <w14:solidFill>
              <w14:schemeClr w14:val="tx1"/>
            </w14:solidFill>
          </w14:textFill>
        </w:rPr>
        <w:t>评价得分</w:t>
      </w:r>
      <w:r>
        <w:rPr>
          <w:rFonts w:hint="eastAsia" w:ascii="仿宋_GB2312" w:hAnsi="仿宋_GB2312" w:eastAsia="仿宋_GB2312" w:cs="仿宋_GB2312"/>
          <w:sz w:val="32"/>
          <w:szCs w:val="32"/>
          <w:lang w:eastAsia="zh-CN"/>
        </w:rPr>
        <w:t>3.</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分。</w:t>
      </w:r>
      <w:r>
        <w:rPr>
          <w:rFonts w:hint="eastAsia" w:ascii="仿宋_GB2312" w:hAnsi="仿宋_GB2312" w:eastAsia="仿宋_GB2312" w:cs="仿宋_GB2312"/>
          <w:sz w:val="32"/>
          <w:szCs w:val="32"/>
          <w:lang w:val="en-US" w:eastAsia="zh-CN"/>
        </w:rPr>
        <w:t>各法院</w:t>
      </w:r>
      <w:r>
        <w:rPr>
          <w:rFonts w:hint="eastAsia" w:ascii="仿宋_GB2312" w:hAnsi="仿宋_GB2312" w:eastAsia="仿宋_GB2312" w:cs="仿宋_GB2312"/>
          <w:sz w:val="32"/>
          <w:szCs w:val="32"/>
          <w:lang w:eastAsia="zh-CN"/>
        </w:rPr>
        <w:t>开展日常维修维护工作及时，本年度日常维护工作均已及时完成。</w:t>
      </w:r>
    </w:p>
    <w:p w14:paraId="6B693339">
      <w:pPr>
        <w:pStyle w:val="10"/>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outlineLvl w:val="1"/>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水电暖服务保障工作及时性：指标分值3.</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分，</w:t>
      </w:r>
      <w:r>
        <w:rPr>
          <w:rFonts w:hint="eastAsia" w:ascii="仿宋_GB2312" w:hAnsi="仿宋_GB2312" w:eastAsia="仿宋_GB2312" w:cs="仿宋_GB2312"/>
          <w:color w:val="000000" w:themeColor="text1"/>
          <w:sz w:val="32"/>
          <w:szCs w:val="32"/>
          <w:highlight w:val="none"/>
          <w14:textFill>
            <w14:solidFill>
              <w14:schemeClr w14:val="tx1"/>
            </w14:solidFill>
          </w14:textFill>
        </w:rPr>
        <w:t>评价得分</w:t>
      </w:r>
      <w:r>
        <w:rPr>
          <w:rFonts w:hint="eastAsia" w:ascii="仿宋_GB2312" w:hAnsi="仿宋_GB2312" w:eastAsia="仿宋_GB2312" w:cs="仿宋_GB2312"/>
          <w:sz w:val="32"/>
          <w:szCs w:val="32"/>
          <w:lang w:eastAsia="zh-CN"/>
        </w:rPr>
        <w:t>3.</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分。</w:t>
      </w:r>
      <w:r>
        <w:rPr>
          <w:rFonts w:hint="eastAsia" w:ascii="仿宋_GB2312" w:hAnsi="仿宋_GB2312" w:eastAsia="仿宋_GB2312" w:cs="仿宋_GB2312"/>
          <w:sz w:val="32"/>
          <w:szCs w:val="32"/>
          <w:lang w:val="en-US" w:eastAsia="zh-CN"/>
        </w:rPr>
        <w:t>各法院</w:t>
      </w:r>
      <w:r>
        <w:rPr>
          <w:rFonts w:hint="eastAsia" w:ascii="仿宋_GB2312" w:hAnsi="仿宋_GB2312" w:cs="仿宋_GB2312"/>
          <w:sz w:val="32"/>
          <w:szCs w:val="32"/>
          <w:lang w:val="en-US" w:eastAsia="zh-CN"/>
        </w:rPr>
        <w:t>及时</w:t>
      </w:r>
      <w:r>
        <w:rPr>
          <w:rFonts w:hint="eastAsia" w:ascii="仿宋_GB2312" w:hAnsi="仿宋_GB2312" w:eastAsia="仿宋_GB2312" w:cs="仿宋_GB2312"/>
          <w:sz w:val="32"/>
          <w:szCs w:val="32"/>
          <w:lang w:val="en-US" w:eastAsia="zh-CN"/>
        </w:rPr>
        <w:t>督促各个法庭提供水电</w:t>
      </w:r>
      <w:r>
        <w:rPr>
          <w:rFonts w:hint="eastAsia" w:ascii="仿宋_GB2312" w:hAnsi="仿宋_GB2312" w:cs="仿宋_GB2312"/>
          <w:sz w:val="32"/>
          <w:szCs w:val="32"/>
          <w:lang w:val="en-US" w:eastAsia="zh-CN"/>
        </w:rPr>
        <w:t>暖</w:t>
      </w:r>
      <w:r>
        <w:rPr>
          <w:rFonts w:hint="eastAsia" w:ascii="仿宋_GB2312" w:hAnsi="仿宋_GB2312" w:eastAsia="仿宋_GB2312" w:cs="仿宋_GB2312"/>
          <w:sz w:val="32"/>
          <w:szCs w:val="32"/>
          <w:lang w:val="en-US" w:eastAsia="zh-CN"/>
        </w:rPr>
        <w:t>费、物业费</w:t>
      </w:r>
      <w:r>
        <w:rPr>
          <w:rFonts w:hint="eastAsia" w:ascii="仿宋_GB2312" w:hAnsi="仿宋_GB2312" w:cs="仿宋_GB2312"/>
          <w:sz w:val="32"/>
          <w:szCs w:val="32"/>
          <w:lang w:val="en-US" w:eastAsia="zh-CN"/>
        </w:rPr>
        <w:t>等</w:t>
      </w:r>
      <w:r>
        <w:rPr>
          <w:rFonts w:hint="eastAsia" w:ascii="仿宋_GB2312" w:hAnsi="仿宋_GB2312" w:eastAsia="仿宋_GB2312" w:cs="仿宋_GB2312"/>
          <w:sz w:val="32"/>
          <w:szCs w:val="32"/>
          <w:lang w:val="en-US" w:eastAsia="zh-CN"/>
        </w:rPr>
        <w:t>发票，</w:t>
      </w:r>
      <w:r>
        <w:rPr>
          <w:rFonts w:hint="eastAsia" w:ascii="仿宋_GB2312" w:hAnsi="仿宋_GB2312" w:eastAsia="仿宋_GB2312" w:cs="仿宋_GB2312"/>
          <w:sz w:val="32"/>
          <w:szCs w:val="32"/>
          <w:lang w:eastAsia="zh-CN"/>
        </w:rPr>
        <w:t>按时缴纳水电</w:t>
      </w:r>
      <w:r>
        <w:rPr>
          <w:rFonts w:hint="eastAsia" w:ascii="仿宋_GB2312" w:hAnsi="仿宋_GB2312" w:cs="仿宋_GB2312"/>
          <w:sz w:val="32"/>
          <w:szCs w:val="32"/>
          <w:lang w:val="en-US" w:eastAsia="zh-CN"/>
        </w:rPr>
        <w:t>暖</w:t>
      </w:r>
      <w:r>
        <w:rPr>
          <w:rFonts w:hint="eastAsia" w:ascii="仿宋_GB2312" w:hAnsi="仿宋_GB2312" w:eastAsia="仿宋_GB2312" w:cs="仿宋_GB2312"/>
          <w:sz w:val="32"/>
          <w:szCs w:val="32"/>
          <w:lang w:eastAsia="zh-CN"/>
        </w:rPr>
        <w:t>等资源管理费，水电暖服务保障供应</w:t>
      </w:r>
      <w:r>
        <w:rPr>
          <w:rFonts w:hint="eastAsia" w:ascii="仿宋_GB2312" w:hAnsi="仿宋_GB2312" w:cs="仿宋_GB2312"/>
          <w:sz w:val="32"/>
          <w:szCs w:val="32"/>
          <w:lang w:val="en-US" w:eastAsia="zh-CN"/>
        </w:rPr>
        <w:t>及时</w:t>
      </w:r>
      <w:r>
        <w:rPr>
          <w:rFonts w:hint="eastAsia" w:ascii="仿宋_GB2312" w:hAnsi="仿宋_GB2312" w:cs="仿宋_GB2312"/>
          <w:sz w:val="32"/>
          <w:szCs w:val="32"/>
          <w:lang w:eastAsia="zh-CN"/>
        </w:rPr>
        <w:t>。</w:t>
      </w:r>
    </w:p>
    <w:p w14:paraId="2CA76073">
      <w:pPr>
        <w:pStyle w:val="10"/>
        <w:keepNext w:val="0"/>
        <w:keepLines w:val="0"/>
        <w:pageBreakBefore w:val="0"/>
        <w:widowControl w:val="0"/>
        <w:kinsoku/>
        <w:wordWrap/>
        <w:overflowPunct w:val="0"/>
        <w:topLinePunct w:val="0"/>
        <w:autoSpaceDE/>
        <w:autoSpaceDN/>
        <w:bidi w:val="0"/>
        <w:adjustRightInd/>
        <w:snapToGrid/>
        <w:spacing w:line="560" w:lineRule="exact"/>
        <w:ind w:firstLine="643" w:firstLineChars="200"/>
        <w:textAlignment w:val="auto"/>
        <w:outlineLvl w:val="1"/>
        <w:rPr>
          <w:rFonts w:ascii="楷体" w:hAnsi="楷体" w:eastAsia="楷体" w:cs="楷体"/>
          <w:b/>
          <w:bCs/>
          <w:highlight w:val="none"/>
        </w:rPr>
      </w:pPr>
      <w:r>
        <w:rPr>
          <w:rFonts w:hint="eastAsia" w:ascii="楷体" w:hAnsi="楷体" w:eastAsia="楷体" w:cs="楷体"/>
          <w:b/>
          <w:bCs/>
          <w:highlight w:val="none"/>
        </w:rPr>
        <w:t>（</w:t>
      </w:r>
      <w:r>
        <w:rPr>
          <w:rFonts w:hint="eastAsia" w:ascii="楷体" w:hAnsi="楷体" w:eastAsia="楷体" w:cs="楷体"/>
          <w:b/>
          <w:bCs/>
          <w:highlight w:val="none"/>
          <w:lang w:val="en-US" w:eastAsia="zh-CN"/>
        </w:rPr>
        <w:t>五</w:t>
      </w:r>
      <w:r>
        <w:rPr>
          <w:rFonts w:hint="eastAsia" w:ascii="楷体" w:hAnsi="楷体" w:eastAsia="楷体" w:cs="楷体"/>
          <w:b/>
          <w:bCs/>
          <w:highlight w:val="none"/>
        </w:rPr>
        <w:t>）项目效益情况</w:t>
      </w:r>
      <w:bookmarkEnd w:id="126"/>
      <w:bookmarkEnd w:id="127"/>
      <w:bookmarkEnd w:id="128"/>
    </w:p>
    <w:p w14:paraId="1C3610BB">
      <w:pPr>
        <w:pStyle w:val="10"/>
        <w:keepNext w:val="0"/>
        <w:keepLines w:val="0"/>
        <w:pageBreakBefore w:val="0"/>
        <w:widowControl w:val="0"/>
        <w:tabs>
          <w:tab w:val="left" w:pos="0"/>
        </w:tabs>
        <w:kinsoku/>
        <w:wordWrap/>
        <w:overflowPunct w:val="0"/>
        <w:topLinePunct w:val="0"/>
        <w:autoSpaceDE/>
        <w:autoSpaceDN/>
        <w:bidi w:val="0"/>
        <w:adjustRightInd/>
        <w:snapToGrid/>
        <w:spacing w:line="560" w:lineRule="exact"/>
        <w:ind w:firstLine="640" w:firstLineChars="200"/>
        <w:textAlignment w:val="auto"/>
        <w:rPr>
          <w:rFonts w:ascii="仿宋_GB2312" w:hAnsi="仿宋_GB2312" w:cs="仿宋_GB2312"/>
          <w:highlight w:val="none"/>
        </w:rPr>
      </w:pPr>
      <w:r>
        <w:rPr>
          <w:rFonts w:hint="eastAsia" w:ascii="仿宋_GB2312" w:hAnsi="仿宋_GB2312" w:cs="仿宋_GB2312"/>
          <w:highlight w:val="none"/>
        </w:rPr>
        <w:t>项目效益指标包括社会效益指标</w:t>
      </w:r>
      <w:r>
        <w:rPr>
          <w:rFonts w:hint="eastAsia" w:ascii="仿宋_GB2312" w:hAnsi="仿宋_GB2312" w:cs="仿宋_GB2312"/>
          <w:highlight w:val="none"/>
          <w:lang w:val="en-US" w:eastAsia="zh-CN"/>
        </w:rPr>
        <w:t>、</w:t>
      </w:r>
      <w:r>
        <w:rPr>
          <w:rFonts w:hint="eastAsia" w:ascii="仿宋_GB2312" w:hAnsi="仿宋_GB2312" w:cs="仿宋_GB2312"/>
          <w:highlight w:val="none"/>
        </w:rPr>
        <w:t>服务对象满意度</w:t>
      </w:r>
      <w:r>
        <w:rPr>
          <w:rFonts w:hint="eastAsia" w:ascii="仿宋_GB2312" w:hAnsi="仿宋_GB2312" w:cs="仿宋_GB2312"/>
          <w:highlight w:val="none"/>
          <w:lang w:val="en-US" w:eastAsia="zh-CN"/>
        </w:rPr>
        <w:t>两</w:t>
      </w:r>
      <w:r>
        <w:rPr>
          <w:rFonts w:hint="eastAsia" w:ascii="仿宋_GB2312" w:hAnsi="仿宋_GB2312" w:cs="仿宋_GB2312"/>
          <w:highlight w:val="none"/>
        </w:rPr>
        <w:t>个二级指标，下设</w:t>
      </w:r>
      <w:r>
        <w:rPr>
          <w:rFonts w:hint="eastAsia" w:ascii="仿宋_GB2312" w:hAnsi="仿宋_GB2312" w:cs="仿宋_GB2312"/>
          <w:highlight w:val="none"/>
          <w:lang w:val="en-US" w:eastAsia="zh-CN"/>
        </w:rPr>
        <w:t>三</w:t>
      </w:r>
      <w:r>
        <w:rPr>
          <w:rFonts w:hint="eastAsia" w:ascii="仿宋_GB2312" w:hAnsi="仿宋_GB2312" w:cs="仿宋_GB2312"/>
          <w:highlight w:val="none"/>
        </w:rPr>
        <w:t>个三级指标，指标分值</w:t>
      </w:r>
      <w:r>
        <w:rPr>
          <w:rFonts w:hint="eastAsia" w:ascii="仿宋_GB2312" w:hAnsi="仿宋_GB2312" w:cs="仿宋_GB2312"/>
          <w:highlight w:val="none"/>
          <w:lang w:val="en-US" w:eastAsia="zh-CN"/>
        </w:rPr>
        <w:t>30</w:t>
      </w:r>
      <w:r>
        <w:rPr>
          <w:rFonts w:hint="eastAsia" w:ascii="仿宋_GB2312" w:hAnsi="仿宋_GB2312" w:cs="仿宋_GB2312"/>
          <w:highlight w:val="none"/>
        </w:rPr>
        <w:t>分，评价得分</w:t>
      </w:r>
      <w:r>
        <w:rPr>
          <w:rFonts w:hint="eastAsia" w:ascii="仿宋_GB2312" w:hAnsi="仿宋_GB2312" w:cs="仿宋_GB2312"/>
          <w:highlight w:val="none"/>
          <w:lang w:val="en-US" w:eastAsia="zh-CN"/>
        </w:rPr>
        <w:t>30</w:t>
      </w:r>
      <w:r>
        <w:rPr>
          <w:rFonts w:hint="eastAsia" w:ascii="仿宋_GB2312" w:hAnsi="仿宋_GB2312" w:cs="仿宋_GB2312"/>
          <w:highlight w:val="none"/>
        </w:rPr>
        <w:t>分，得分率</w:t>
      </w:r>
      <w:r>
        <w:rPr>
          <w:rFonts w:hint="eastAsia" w:ascii="仿宋_GB2312" w:hAnsi="仿宋_GB2312" w:cs="仿宋_GB2312"/>
          <w:highlight w:val="none"/>
          <w:lang w:val="en-US" w:eastAsia="zh-CN"/>
        </w:rPr>
        <w:t>100.00</w:t>
      </w:r>
      <w:r>
        <w:rPr>
          <w:rFonts w:hint="eastAsia" w:ascii="仿宋_GB2312" w:hAnsi="仿宋_GB2312" w:cs="仿宋_GB2312"/>
          <w:highlight w:val="none"/>
        </w:rPr>
        <w:t>%。</w:t>
      </w:r>
    </w:p>
    <w:tbl>
      <w:tblPr>
        <w:tblStyle w:val="21"/>
        <w:tblW w:w="0" w:type="auto"/>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1421"/>
        <w:gridCol w:w="2240"/>
        <w:gridCol w:w="907"/>
        <w:gridCol w:w="1134"/>
        <w:gridCol w:w="1134"/>
        <w:gridCol w:w="907"/>
        <w:gridCol w:w="1134"/>
      </w:tblGrid>
      <w:tr w14:paraId="0533B5E0">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blHeader/>
        </w:trPr>
        <w:tc>
          <w:tcPr>
            <w:tcW w:w="1421" w:type="dxa"/>
            <w:tcBorders>
              <w:tl2br w:val="nil"/>
              <w:tr2bl w:val="nil"/>
            </w:tcBorders>
            <w:shd w:val="clear" w:color="auto" w:fill="BDD6EE" w:themeFill="accent1" w:themeFillTint="66"/>
            <w:vAlign w:val="center"/>
          </w:tcPr>
          <w:p w14:paraId="506E664A">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二级指标</w:t>
            </w:r>
          </w:p>
        </w:tc>
        <w:tc>
          <w:tcPr>
            <w:tcW w:w="2240" w:type="dxa"/>
            <w:tcBorders>
              <w:tl2br w:val="nil"/>
              <w:tr2bl w:val="nil"/>
            </w:tcBorders>
            <w:shd w:val="clear" w:color="auto" w:fill="BDD6EE" w:themeFill="accent1" w:themeFillTint="66"/>
            <w:vAlign w:val="center"/>
          </w:tcPr>
          <w:p w14:paraId="0DC4E563">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三级指标</w:t>
            </w:r>
          </w:p>
        </w:tc>
        <w:tc>
          <w:tcPr>
            <w:tcW w:w="907" w:type="dxa"/>
            <w:tcBorders>
              <w:tl2br w:val="nil"/>
              <w:tr2bl w:val="nil"/>
            </w:tcBorders>
            <w:shd w:val="clear" w:color="auto" w:fill="BDD6EE" w:themeFill="accent1" w:themeFillTint="66"/>
            <w:vAlign w:val="center"/>
          </w:tcPr>
          <w:p w14:paraId="2E2E7F98">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分值</w:t>
            </w:r>
          </w:p>
        </w:tc>
        <w:tc>
          <w:tcPr>
            <w:tcW w:w="1134" w:type="dxa"/>
            <w:tcBorders>
              <w:tl2br w:val="nil"/>
              <w:tr2bl w:val="nil"/>
            </w:tcBorders>
            <w:shd w:val="clear" w:color="auto" w:fill="BDD6EE" w:themeFill="accent1" w:themeFillTint="66"/>
            <w:vAlign w:val="center"/>
          </w:tcPr>
          <w:p w14:paraId="4A77A52E">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目标值</w:t>
            </w:r>
          </w:p>
        </w:tc>
        <w:tc>
          <w:tcPr>
            <w:tcW w:w="1134" w:type="dxa"/>
            <w:tcBorders>
              <w:tl2br w:val="nil"/>
              <w:tr2bl w:val="nil"/>
            </w:tcBorders>
            <w:shd w:val="clear" w:color="auto" w:fill="BDD6EE" w:themeFill="accent1" w:themeFillTint="66"/>
            <w:vAlign w:val="center"/>
          </w:tcPr>
          <w:p w14:paraId="22C46926">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业绩值</w:t>
            </w:r>
          </w:p>
        </w:tc>
        <w:tc>
          <w:tcPr>
            <w:tcW w:w="907" w:type="dxa"/>
            <w:tcBorders>
              <w:tl2br w:val="nil"/>
              <w:tr2bl w:val="nil"/>
            </w:tcBorders>
            <w:shd w:val="clear" w:color="auto" w:fill="BDD6EE" w:themeFill="accent1" w:themeFillTint="66"/>
            <w:vAlign w:val="center"/>
          </w:tcPr>
          <w:p w14:paraId="2F789E60">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得分</w:t>
            </w:r>
          </w:p>
        </w:tc>
        <w:tc>
          <w:tcPr>
            <w:tcW w:w="1134" w:type="dxa"/>
            <w:tcBorders>
              <w:tl2br w:val="nil"/>
              <w:tr2bl w:val="nil"/>
            </w:tcBorders>
            <w:shd w:val="clear" w:color="auto" w:fill="BDD6EE" w:themeFill="accent1" w:themeFillTint="66"/>
            <w:vAlign w:val="center"/>
          </w:tcPr>
          <w:p w14:paraId="22837016">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得分率</w:t>
            </w:r>
          </w:p>
        </w:tc>
      </w:tr>
      <w:tr w14:paraId="242AA0C9">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1421" w:type="dxa"/>
            <w:tcBorders>
              <w:tl2br w:val="nil"/>
              <w:tr2bl w:val="nil"/>
            </w:tcBorders>
            <w:vAlign w:val="center"/>
          </w:tcPr>
          <w:p w14:paraId="2E741ECF">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 xml:space="preserve">社会效益指标      </w:t>
            </w:r>
          </w:p>
        </w:tc>
        <w:tc>
          <w:tcPr>
            <w:tcW w:w="2240" w:type="dxa"/>
            <w:tcBorders>
              <w:tl2br w:val="nil"/>
              <w:tr2bl w:val="nil"/>
            </w:tcBorders>
            <w:shd w:val="clear" w:color="auto" w:fill="auto"/>
            <w:vAlign w:val="center"/>
          </w:tcPr>
          <w:p w14:paraId="685E0658">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auto"/>
                <w:kern w:val="0"/>
                <w:sz w:val="20"/>
                <w:szCs w:val="20"/>
                <w:u w:val="none"/>
                <w:lang w:val="en-US" w:eastAsia="zh-CN" w:bidi="ar"/>
              </w:rPr>
              <w:t>有效保障审判服务</w:t>
            </w:r>
          </w:p>
        </w:tc>
        <w:tc>
          <w:tcPr>
            <w:tcW w:w="907" w:type="dxa"/>
            <w:tcBorders>
              <w:tl2br w:val="nil"/>
              <w:tr2bl w:val="nil"/>
            </w:tcBorders>
            <w:shd w:val="clear" w:color="auto" w:fill="auto"/>
            <w:vAlign w:val="center"/>
          </w:tcPr>
          <w:p w14:paraId="22C88E56">
            <w:pPr>
              <w:keepNext w:val="0"/>
              <w:keepLines w:val="0"/>
              <w:widowControl/>
              <w:suppressLineNumbers w:val="0"/>
              <w:jc w:val="center"/>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i w:val="0"/>
                <w:iCs w:val="0"/>
                <w:color w:val="auto"/>
                <w:kern w:val="0"/>
                <w:sz w:val="20"/>
                <w:szCs w:val="20"/>
                <w:u w:val="none"/>
                <w:lang w:val="en-US" w:eastAsia="zh-CN" w:bidi="ar"/>
              </w:rPr>
              <w:t>20</w:t>
            </w:r>
          </w:p>
        </w:tc>
        <w:tc>
          <w:tcPr>
            <w:tcW w:w="1134" w:type="dxa"/>
            <w:tcBorders>
              <w:tl2br w:val="nil"/>
              <w:tr2bl w:val="nil"/>
            </w:tcBorders>
            <w:shd w:val="clear" w:color="auto" w:fill="auto"/>
            <w:vAlign w:val="center"/>
          </w:tcPr>
          <w:p w14:paraId="090482CA">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auto"/>
                <w:kern w:val="0"/>
                <w:sz w:val="20"/>
                <w:szCs w:val="20"/>
                <w:u w:val="none"/>
                <w:lang w:val="en-US" w:eastAsia="zh-CN" w:bidi="ar"/>
              </w:rPr>
              <w:t>有效保障</w:t>
            </w:r>
          </w:p>
        </w:tc>
        <w:tc>
          <w:tcPr>
            <w:tcW w:w="1134" w:type="dxa"/>
            <w:tcBorders>
              <w:tl2br w:val="nil"/>
              <w:tr2bl w:val="nil"/>
            </w:tcBorders>
            <w:shd w:val="clear" w:color="auto" w:fill="auto"/>
            <w:vAlign w:val="center"/>
          </w:tcPr>
          <w:p w14:paraId="26647255">
            <w:pPr>
              <w:keepNext w:val="0"/>
              <w:keepLines w:val="0"/>
              <w:widowControl/>
              <w:suppressLineNumbers w:val="0"/>
              <w:jc w:val="center"/>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i w:val="0"/>
                <w:iCs w:val="0"/>
                <w:color w:val="auto"/>
                <w:kern w:val="0"/>
                <w:sz w:val="20"/>
                <w:szCs w:val="20"/>
                <w:u w:val="none"/>
                <w:lang w:val="en-US" w:eastAsia="zh-CN" w:bidi="ar"/>
              </w:rPr>
              <w:t>有效保障</w:t>
            </w:r>
          </w:p>
        </w:tc>
        <w:tc>
          <w:tcPr>
            <w:tcW w:w="907" w:type="dxa"/>
            <w:tcBorders>
              <w:tl2br w:val="nil"/>
              <w:tr2bl w:val="nil"/>
            </w:tcBorders>
            <w:shd w:val="clear" w:color="auto" w:fill="auto"/>
            <w:vAlign w:val="center"/>
          </w:tcPr>
          <w:p w14:paraId="09669E26">
            <w:pPr>
              <w:keepNext w:val="0"/>
              <w:keepLines w:val="0"/>
              <w:widowControl/>
              <w:suppressLineNumbers w:val="0"/>
              <w:jc w:val="center"/>
              <w:textAlignment w:val="center"/>
              <w:rPr>
                <w:rFonts w:hint="eastAsia" w:ascii="宋体" w:hAnsi="宋体" w:eastAsia="宋体" w:cs="宋体"/>
                <w:color w:val="auto"/>
                <w:kern w:val="0"/>
                <w:sz w:val="20"/>
                <w:szCs w:val="20"/>
                <w:highlight w:val="none"/>
                <w:lang w:val="en-US" w:eastAsia="zh-CN" w:bidi="ar"/>
              </w:rPr>
            </w:pPr>
            <w:r>
              <w:rPr>
                <w:rFonts w:hint="eastAsia" w:ascii="宋体" w:hAnsi="宋体" w:eastAsia="宋体" w:cs="宋体"/>
                <w:i w:val="0"/>
                <w:iCs w:val="0"/>
                <w:color w:val="auto"/>
                <w:kern w:val="0"/>
                <w:sz w:val="20"/>
                <w:szCs w:val="20"/>
                <w:u w:val="none"/>
                <w:lang w:val="en-US" w:eastAsia="zh-CN" w:bidi="ar"/>
              </w:rPr>
              <w:t>20</w:t>
            </w:r>
          </w:p>
        </w:tc>
        <w:tc>
          <w:tcPr>
            <w:tcW w:w="1134" w:type="dxa"/>
            <w:tcBorders>
              <w:tl2br w:val="nil"/>
              <w:tr2bl w:val="nil"/>
            </w:tcBorders>
            <w:shd w:val="clear" w:color="auto" w:fill="auto"/>
            <w:vAlign w:val="center"/>
          </w:tcPr>
          <w:p w14:paraId="5494C7F4">
            <w:pPr>
              <w:widowControl/>
              <w:jc w:val="right"/>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val="en-US" w:eastAsia="zh-CN" w:bidi="ar"/>
              </w:rPr>
              <w:t>10</w:t>
            </w:r>
            <w:r>
              <w:rPr>
                <w:rFonts w:hint="eastAsia" w:ascii="宋体" w:hAnsi="宋体" w:eastAsia="宋体" w:cs="宋体"/>
                <w:color w:val="auto"/>
                <w:kern w:val="0"/>
                <w:sz w:val="20"/>
                <w:szCs w:val="20"/>
                <w:highlight w:val="none"/>
                <w:lang w:bidi="ar"/>
              </w:rPr>
              <w:t>0.00%</w:t>
            </w:r>
          </w:p>
        </w:tc>
      </w:tr>
      <w:tr w14:paraId="518118FF">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1421" w:type="dxa"/>
            <w:vMerge w:val="restart"/>
            <w:tcBorders>
              <w:tl2br w:val="nil"/>
              <w:tr2bl w:val="nil"/>
            </w:tcBorders>
            <w:vAlign w:val="center"/>
          </w:tcPr>
          <w:p w14:paraId="6D177137">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auto"/>
                <w:kern w:val="0"/>
                <w:sz w:val="20"/>
                <w:szCs w:val="20"/>
                <w:highlight w:val="none"/>
                <w:u w:val="none"/>
                <w:lang w:val="en-US" w:eastAsia="zh-CN" w:bidi="ar"/>
              </w:rPr>
              <w:t>满意度指标</w:t>
            </w:r>
          </w:p>
        </w:tc>
        <w:tc>
          <w:tcPr>
            <w:tcW w:w="2240" w:type="dxa"/>
            <w:tcBorders>
              <w:tl2br w:val="nil"/>
              <w:tr2bl w:val="nil"/>
            </w:tcBorders>
            <w:shd w:val="clear" w:color="auto" w:fill="auto"/>
            <w:vAlign w:val="center"/>
          </w:tcPr>
          <w:p w14:paraId="7C2F68E6">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auto"/>
                <w:kern w:val="0"/>
                <w:sz w:val="20"/>
                <w:szCs w:val="20"/>
                <w:u w:val="none"/>
                <w:lang w:val="en-US" w:eastAsia="zh-CN" w:bidi="ar"/>
              </w:rPr>
              <w:t>服务群众对审判工作满意度</w:t>
            </w:r>
          </w:p>
        </w:tc>
        <w:tc>
          <w:tcPr>
            <w:tcW w:w="907" w:type="dxa"/>
            <w:tcBorders>
              <w:tl2br w:val="nil"/>
              <w:tr2bl w:val="nil"/>
            </w:tcBorders>
            <w:shd w:val="clear" w:color="auto" w:fill="auto"/>
            <w:vAlign w:val="center"/>
          </w:tcPr>
          <w:p w14:paraId="62870400">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u w:val="none"/>
                <w:lang w:val="en-US" w:eastAsia="zh-CN" w:bidi="ar"/>
              </w:rPr>
              <w:t>5</w:t>
            </w:r>
          </w:p>
        </w:tc>
        <w:tc>
          <w:tcPr>
            <w:tcW w:w="1134" w:type="dxa"/>
            <w:tcBorders>
              <w:tl2br w:val="nil"/>
              <w:tr2bl w:val="nil"/>
            </w:tcBorders>
            <w:shd w:val="clear" w:color="auto" w:fill="auto"/>
            <w:vAlign w:val="center"/>
          </w:tcPr>
          <w:p w14:paraId="3F68251D">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auto"/>
                <w:kern w:val="0"/>
                <w:sz w:val="20"/>
                <w:szCs w:val="20"/>
                <w:u w:val="none"/>
                <w:lang w:val="en-US" w:eastAsia="zh-CN" w:bidi="ar"/>
              </w:rPr>
              <w:t>≥95%</w:t>
            </w:r>
          </w:p>
        </w:tc>
        <w:tc>
          <w:tcPr>
            <w:tcW w:w="1134" w:type="dxa"/>
            <w:tcBorders>
              <w:tl2br w:val="nil"/>
              <w:tr2bl w:val="nil"/>
            </w:tcBorders>
            <w:shd w:val="clear" w:color="auto" w:fill="auto"/>
            <w:vAlign w:val="center"/>
          </w:tcPr>
          <w:p w14:paraId="0C701506">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u w:val="none"/>
                <w:lang w:val="en-US" w:eastAsia="zh-CN" w:bidi="ar"/>
              </w:rPr>
              <w:t>=95%</w:t>
            </w:r>
          </w:p>
        </w:tc>
        <w:tc>
          <w:tcPr>
            <w:tcW w:w="907" w:type="dxa"/>
            <w:tcBorders>
              <w:tl2br w:val="nil"/>
              <w:tr2bl w:val="nil"/>
            </w:tcBorders>
            <w:shd w:val="clear" w:color="auto" w:fill="auto"/>
            <w:vAlign w:val="center"/>
          </w:tcPr>
          <w:p w14:paraId="22A0BC95">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u w:val="none"/>
                <w:lang w:val="en-US" w:eastAsia="zh-CN" w:bidi="ar"/>
              </w:rPr>
              <w:t>5</w:t>
            </w:r>
          </w:p>
        </w:tc>
        <w:tc>
          <w:tcPr>
            <w:tcW w:w="1134" w:type="dxa"/>
            <w:tcBorders>
              <w:tl2br w:val="nil"/>
              <w:tr2bl w:val="nil"/>
            </w:tcBorders>
            <w:shd w:val="clear" w:color="auto" w:fill="auto"/>
            <w:vAlign w:val="center"/>
          </w:tcPr>
          <w:p w14:paraId="67F415B5">
            <w:pPr>
              <w:widowControl/>
              <w:jc w:val="right"/>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100.00%</w:t>
            </w:r>
          </w:p>
        </w:tc>
      </w:tr>
      <w:tr w14:paraId="2FAE45C6">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1421" w:type="dxa"/>
            <w:vMerge w:val="continue"/>
            <w:tcBorders>
              <w:tl2br w:val="nil"/>
              <w:tr2bl w:val="nil"/>
            </w:tcBorders>
            <w:vAlign w:val="center"/>
          </w:tcPr>
          <w:p w14:paraId="00E61825">
            <w:pPr>
              <w:jc w:val="center"/>
              <w:rPr>
                <w:rFonts w:hint="eastAsia" w:ascii="宋体" w:hAnsi="宋体" w:eastAsia="宋体" w:cs="宋体"/>
                <w:color w:val="auto"/>
                <w:sz w:val="20"/>
                <w:szCs w:val="20"/>
                <w:highlight w:val="none"/>
              </w:rPr>
            </w:pPr>
          </w:p>
        </w:tc>
        <w:tc>
          <w:tcPr>
            <w:tcW w:w="2240" w:type="dxa"/>
            <w:tcBorders>
              <w:tl2br w:val="nil"/>
              <w:tr2bl w:val="nil"/>
            </w:tcBorders>
            <w:shd w:val="clear" w:color="auto" w:fill="auto"/>
            <w:vAlign w:val="center"/>
          </w:tcPr>
          <w:p w14:paraId="2BB6499A">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auto"/>
                <w:kern w:val="0"/>
                <w:sz w:val="20"/>
                <w:szCs w:val="20"/>
                <w:u w:val="none"/>
                <w:lang w:val="en-US" w:eastAsia="zh-CN" w:bidi="ar"/>
              </w:rPr>
              <w:t>派出法庭工作人员满意度</w:t>
            </w:r>
          </w:p>
        </w:tc>
        <w:tc>
          <w:tcPr>
            <w:tcW w:w="907" w:type="dxa"/>
            <w:tcBorders>
              <w:tl2br w:val="nil"/>
              <w:tr2bl w:val="nil"/>
            </w:tcBorders>
            <w:shd w:val="clear" w:color="auto" w:fill="auto"/>
            <w:vAlign w:val="center"/>
          </w:tcPr>
          <w:p w14:paraId="712217CA">
            <w:pPr>
              <w:keepNext w:val="0"/>
              <w:keepLines w:val="0"/>
              <w:widowControl/>
              <w:suppressLineNumbers w:val="0"/>
              <w:jc w:val="center"/>
              <w:textAlignment w:val="center"/>
              <w:rPr>
                <w:rFonts w:hint="eastAsia" w:ascii="宋体" w:hAnsi="宋体" w:eastAsia="宋体" w:cs="宋体"/>
                <w:color w:val="auto"/>
                <w:kern w:val="0"/>
                <w:sz w:val="20"/>
                <w:szCs w:val="20"/>
                <w:highlight w:val="none"/>
                <w:lang w:val="en-US" w:eastAsia="zh-CN" w:bidi="ar"/>
              </w:rPr>
            </w:pPr>
            <w:r>
              <w:rPr>
                <w:rFonts w:hint="eastAsia" w:ascii="宋体" w:hAnsi="宋体" w:eastAsia="宋体" w:cs="宋体"/>
                <w:i w:val="0"/>
                <w:iCs w:val="0"/>
                <w:color w:val="auto"/>
                <w:kern w:val="0"/>
                <w:sz w:val="20"/>
                <w:szCs w:val="20"/>
                <w:u w:val="none"/>
                <w:lang w:val="en-US" w:eastAsia="zh-CN" w:bidi="ar"/>
              </w:rPr>
              <w:t>5</w:t>
            </w:r>
          </w:p>
        </w:tc>
        <w:tc>
          <w:tcPr>
            <w:tcW w:w="1134" w:type="dxa"/>
            <w:tcBorders>
              <w:tl2br w:val="nil"/>
              <w:tr2bl w:val="nil"/>
            </w:tcBorders>
            <w:shd w:val="clear" w:color="auto" w:fill="auto"/>
            <w:vAlign w:val="center"/>
          </w:tcPr>
          <w:p w14:paraId="16DD0C91">
            <w:pPr>
              <w:keepNext w:val="0"/>
              <w:keepLines w:val="0"/>
              <w:widowControl/>
              <w:suppressLineNumbers w:val="0"/>
              <w:jc w:val="center"/>
              <w:textAlignment w:val="center"/>
              <w:rPr>
                <w:rFonts w:hint="eastAsia" w:ascii="宋体" w:hAnsi="宋体" w:eastAsia="宋体" w:cs="宋体"/>
                <w:color w:val="auto"/>
                <w:sz w:val="20"/>
                <w:szCs w:val="20"/>
                <w:highlight w:val="none"/>
              </w:rPr>
            </w:pPr>
            <w:r>
              <w:rPr>
                <w:rFonts w:hint="eastAsia" w:ascii="宋体" w:hAnsi="宋体" w:eastAsia="宋体" w:cs="宋体"/>
                <w:i w:val="0"/>
                <w:iCs w:val="0"/>
                <w:color w:val="auto"/>
                <w:kern w:val="0"/>
                <w:sz w:val="20"/>
                <w:szCs w:val="20"/>
                <w:u w:val="none"/>
                <w:lang w:val="en-US" w:eastAsia="zh-CN" w:bidi="ar"/>
              </w:rPr>
              <w:t>≥93%</w:t>
            </w:r>
          </w:p>
        </w:tc>
        <w:tc>
          <w:tcPr>
            <w:tcW w:w="1134" w:type="dxa"/>
            <w:tcBorders>
              <w:tl2br w:val="nil"/>
              <w:tr2bl w:val="nil"/>
            </w:tcBorders>
            <w:shd w:val="clear" w:color="auto" w:fill="auto"/>
            <w:vAlign w:val="center"/>
          </w:tcPr>
          <w:p w14:paraId="6D35D192">
            <w:pPr>
              <w:keepNext w:val="0"/>
              <w:keepLines w:val="0"/>
              <w:widowControl/>
              <w:suppressLineNumbers w:val="0"/>
              <w:jc w:val="center"/>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i w:val="0"/>
                <w:iCs w:val="0"/>
                <w:color w:val="auto"/>
                <w:kern w:val="0"/>
                <w:sz w:val="20"/>
                <w:szCs w:val="20"/>
                <w:u w:val="none"/>
                <w:lang w:val="en-US" w:eastAsia="zh-CN" w:bidi="ar"/>
              </w:rPr>
              <w:t>=93%</w:t>
            </w:r>
          </w:p>
        </w:tc>
        <w:tc>
          <w:tcPr>
            <w:tcW w:w="907" w:type="dxa"/>
            <w:tcBorders>
              <w:tl2br w:val="nil"/>
              <w:tr2bl w:val="nil"/>
            </w:tcBorders>
            <w:shd w:val="clear" w:color="auto" w:fill="auto"/>
            <w:vAlign w:val="center"/>
          </w:tcPr>
          <w:p w14:paraId="4C9F35D9">
            <w:pPr>
              <w:keepNext w:val="0"/>
              <w:keepLines w:val="0"/>
              <w:widowControl/>
              <w:suppressLineNumbers w:val="0"/>
              <w:jc w:val="center"/>
              <w:textAlignment w:val="center"/>
              <w:rPr>
                <w:rFonts w:hint="eastAsia" w:ascii="宋体" w:hAnsi="宋体" w:eastAsia="宋体" w:cs="宋体"/>
                <w:color w:val="auto"/>
                <w:kern w:val="0"/>
                <w:sz w:val="20"/>
                <w:szCs w:val="20"/>
                <w:highlight w:val="none"/>
                <w:lang w:val="en-US" w:eastAsia="zh-CN" w:bidi="ar"/>
              </w:rPr>
            </w:pPr>
            <w:r>
              <w:rPr>
                <w:rFonts w:hint="eastAsia" w:ascii="宋体" w:hAnsi="宋体" w:eastAsia="宋体" w:cs="宋体"/>
                <w:i w:val="0"/>
                <w:iCs w:val="0"/>
                <w:color w:val="auto"/>
                <w:kern w:val="0"/>
                <w:sz w:val="20"/>
                <w:szCs w:val="20"/>
                <w:u w:val="none"/>
                <w:lang w:val="en-US" w:eastAsia="zh-CN" w:bidi="ar"/>
              </w:rPr>
              <w:t>5</w:t>
            </w:r>
          </w:p>
        </w:tc>
        <w:tc>
          <w:tcPr>
            <w:tcW w:w="1134" w:type="dxa"/>
            <w:tcBorders>
              <w:tl2br w:val="nil"/>
              <w:tr2bl w:val="nil"/>
            </w:tcBorders>
            <w:shd w:val="clear" w:color="auto" w:fill="auto"/>
            <w:vAlign w:val="center"/>
          </w:tcPr>
          <w:p w14:paraId="4B324498">
            <w:pPr>
              <w:widowControl/>
              <w:jc w:val="right"/>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100.00%</w:t>
            </w:r>
          </w:p>
        </w:tc>
      </w:tr>
      <w:tr w14:paraId="3B3A78F9">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3661" w:type="dxa"/>
            <w:gridSpan w:val="2"/>
            <w:tcBorders>
              <w:tl2br w:val="nil"/>
              <w:tr2bl w:val="nil"/>
            </w:tcBorders>
            <w:shd w:val="clear" w:color="auto" w:fill="BDD6EE" w:themeFill="accent1" w:themeFillTint="66"/>
            <w:vAlign w:val="center"/>
          </w:tcPr>
          <w:p w14:paraId="094EA641">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合计</w:t>
            </w:r>
          </w:p>
        </w:tc>
        <w:tc>
          <w:tcPr>
            <w:tcW w:w="907" w:type="dxa"/>
            <w:tcBorders>
              <w:tl2br w:val="nil"/>
              <w:tr2bl w:val="nil"/>
            </w:tcBorders>
            <w:shd w:val="clear" w:color="auto" w:fill="BDD6EE" w:themeFill="accent1" w:themeFillTint="66"/>
            <w:vAlign w:val="center"/>
          </w:tcPr>
          <w:p w14:paraId="711A0D19">
            <w:pPr>
              <w:widowControl/>
              <w:jc w:val="center"/>
              <w:textAlignment w:val="center"/>
              <w:rPr>
                <w:rFonts w:hint="eastAsia" w:ascii="宋体" w:hAnsi="宋体" w:eastAsia="宋体" w:cs="宋体"/>
                <w:b/>
                <w:bCs/>
                <w:color w:val="auto"/>
                <w:kern w:val="0"/>
                <w:sz w:val="20"/>
                <w:szCs w:val="20"/>
                <w:highlight w:val="none"/>
                <w:lang w:val="en-US" w:eastAsia="zh-CN" w:bidi="ar"/>
              </w:rPr>
            </w:pPr>
            <w:r>
              <w:rPr>
                <w:rFonts w:hint="eastAsia" w:ascii="宋体" w:hAnsi="宋体" w:eastAsia="宋体" w:cs="宋体"/>
                <w:b/>
                <w:bCs/>
                <w:color w:val="auto"/>
                <w:sz w:val="20"/>
                <w:szCs w:val="20"/>
                <w:highlight w:val="none"/>
                <w:lang w:val="en-US" w:eastAsia="zh-CN"/>
              </w:rPr>
              <w:t>30</w:t>
            </w:r>
          </w:p>
        </w:tc>
        <w:tc>
          <w:tcPr>
            <w:tcW w:w="1134" w:type="dxa"/>
            <w:tcBorders>
              <w:tl2br w:val="nil"/>
              <w:tr2bl w:val="nil"/>
            </w:tcBorders>
            <w:shd w:val="clear" w:color="auto" w:fill="BDD6EE" w:themeFill="accent1" w:themeFillTint="66"/>
            <w:vAlign w:val="center"/>
          </w:tcPr>
          <w:p w14:paraId="622E3223">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w:t>
            </w:r>
          </w:p>
        </w:tc>
        <w:tc>
          <w:tcPr>
            <w:tcW w:w="1134" w:type="dxa"/>
            <w:tcBorders>
              <w:tl2br w:val="nil"/>
              <w:tr2bl w:val="nil"/>
            </w:tcBorders>
            <w:shd w:val="clear" w:color="auto" w:fill="BDD6EE" w:themeFill="accent1" w:themeFillTint="66"/>
            <w:vAlign w:val="center"/>
          </w:tcPr>
          <w:p w14:paraId="7973E840">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bidi="ar"/>
              </w:rPr>
              <w:t>-</w:t>
            </w:r>
          </w:p>
        </w:tc>
        <w:tc>
          <w:tcPr>
            <w:tcW w:w="907" w:type="dxa"/>
            <w:tcBorders>
              <w:tl2br w:val="nil"/>
              <w:tr2bl w:val="nil"/>
            </w:tcBorders>
            <w:shd w:val="clear" w:color="auto" w:fill="BDD6EE" w:themeFill="accent1" w:themeFillTint="66"/>
            <w:vAlign w:val="center"/>
          </w:tcPr>
          <w:p w14:paraId="7196F148">
            <w:pPr>
              <w:widowControl/>
              <w:jc w:val="center"/>
              <w:textAlignment w:val="center"/>
              <w:rPr>
                <w:rFonts w:hint="eastAsia" w:ascii="宋体" w:hAnsi="宋体" w:eastAsia="宋体" w:cs="宋体"/>
                <w:b/>
                <w:bCs/>
                <w:color w:val="auto"/>
                <w:kern w:val="0"/>
                <w:sz w:val="20"/>
                <w:szCs w:val="20"/>
                <w:highlight w:val="none"/>
                <w:lang w:val="en-US" w:eastAsia="zh-CN" w:bidi="ar"/>
              </w:rPr>
            </w:pPr>
            <w:r>
              <w:rPr>
                <w:rFonts w:hint="eastAsia" w:ascii="宋体" w:hAnsi="宋体" w:eastAsia="宋体" w:cs="宋体"/>
                <w:b/>
                <w:bCs/>
                <w:color w:val="auto"/>
                <w:sz w:val="20"/>
                <w:szCs w:val="20"/>
                <w:highlight w:val="none"/>
                <w:lang w:val="en-US" w:eastAsia="zh-CN"/>
              </w:rPr>
              <w:t>30</w:t>
            </w:r>
          </w:p>
        </w:tc>
        <w:tc>
          <w:tcPr>
            <w:tcW w:w="1134" w:type="dxa"/>
            <w:tcBorders>
              <w:tl2br w:val="nil"/>
              <w:tr2bl w:val="nil"/>
            </w:tcBorders>
            <w:shd w:val="clear" w:color="auto" w:fill="BDD6EE" w:themeFill="accent1" w:themeFillTint="66"/>
            <w:vAlign w:val="center"/>
          </w:tcPr>
          <w:p w14:paraId="2FA29D80">
            <w:pPr>
              <w:widowControl/>
              <w:jc w:val="center"/>
              <w:textAlignment w:val="center"/>
              <w:rPr>
                <w:rFonts w:hint="eastAsia" w:ascii="宋体" w:hAnsi="宋体" w:eastAsia="宋体" w:cs="宋体"/>
                <w:b/>
                <w:bCs/>
                <w:color w:val="auto"/>
                <w:kern w:val="0"/>
                <w:sz w:val="20"/>
                <w:szCs w:val="20"/>
                <w:highlight w:val="none"/>
                <w:lang w:bidi="ar"/>
              </w:rPr>
            </w:pPr>
            <w:r>
              <w:rPr>
                <w:rFonts w:hint="eastAsia" w:ascii="宋体" w:hAnsi="宋体" w:eastAsia="宋体" w:cs="宋体"/>
                <w:b/>
                <w:bCs/>
                <w:color w:val="auto"/>
                <w:kern w:val="0"/>
                <w:sz w:val="20"/>
                <w:szCs w:val="20"/>
                <w:highlight w:val="none"/>
                <w:lang w:val="en-US" w:eastAsia="zh-CN" w:bidi="ar"/>
              </w:rPr>
              <w:t>100.00</w:t>
            </w:r>
            <w:r>
              <w:rPr>
                <w:rFonts w:hint="eastAsia" w:ascii="宋体" w:hAnsi="宋体" w:eastAsia="宋体" w:cs="宋体"/>
                <w:b/>
                <w:bCs/>
                <w:color w:val="auto"/>
                <w:kern w:val="0"/>
                <w:sz w:val="20"/>
                <w:szCs w:val="20"/>
                <w:highlight w:val="none"/>
                <w:lang w:bidi="ar"/>
              </w:rPr>
              <w:t>%</w:t>
            </w:r>
          </w:p>
        </w:tc>
      </w:tr>
    </w:tbl>
    <w:p w14:paraId="2FA29129">
      <w:pPr>
        <w:pStyle w:val="10"/>
        <w:keepNext w:val="0"/>
        <w:keepLines w:val="0"/>
        <w:pageBreakBefore w:val="0"/>
        <w:widowControl w:val="0"/>
        <w:tabs>
          <w:tab w:val="left" w:pos="0"/>
        </w:tabs>
        <w:kinsoku/>
        <w:wordWrap/>
        <w:overflowPunct w:val="0"/>
        <w:topLinePunct w:val="0"/>
        <w:autoSpaceDE/>
        <w:autoSpaceDN/>
        <w:bidi w:val="0"/>
        <w:adjustRightInd/>
        <w:snapToGrid/>
        <w:spacing w:line="560" w:lineRule="exact"/>
        <w:ind w:firstLine="643" w:firstLineChars="200"/>
        <w:textAlignment w:val="auto"/>
        <w:outlineLvl w:val="2"/>
        <w:rPr>
          <w:rFonts w:hint="default" w:ascii="仿宋_GB2312" w:hAnsi="仿宋_GB2312" w:eastAsia="仿宋_GB2312" w:cs="仿宋_GB2312"/>
          <w:b/>
          <w:bCs/>
          <w:highlight w:val="none"/>
          <w:lang w:val="en-US" w:eastAsia="zh-CN"/>
        </w:rPr>
      </w:pPr>
      <w:r>
        <w:rPr>
          <w:rFonts w:hint="eastAsia" w:ascii="仿宋_GB2312" w:hAnsi="仿宋_GB2312" w:cs="仿宋_GB2312"/>
          <w:b/>
          <w:bCs/>
          <w:highlight w:val="none"/>
        </w:rPr>
        <w:t>1.</w:t>
      </w:r>
      <w:r>
        <w:rPr>
          <w:rFonts w:hint="eastAsia" w:ascii="仿宋_GB2312" w:hAnsi="仿宋_GB2312" w:cs="仿宋_GB2312"/>
          <w:b/>
          <w:bCs/>
          <w:highlight w:val="none"/>
          <w:lang w:val="en-US" w:eastAsia="zh-CN"/>
        </w:rPr>
        <w:t>社会效益指标</w:t>
      </w:r>
    </w:p>
    <w:p w14:paraId="428D6E5E">
      <w:pPr>
        <w:pStyle w:val="10"/>
        <w:keepNext w:val="0"/>
        <w:keepLines w:val="0"/>
        <w:pageBreakBefore w:val="0"/>
        <w:widowControl w:val="0"/>
        <w:tabs>
          <w:tab w:val="left" w:pos="0"/>
        </w:tabs>
        <w:kinsoku/>
        <w:wordWrap/>
        <w:overflowPunct w:val="0"/>
        <w:topLinePunct w:val="0"/>
        <w:autoSpaceDE/>
        <w:autoSpaceDN/>
        <w:bidi w:val="0"/>
        <w:adjustRightInd/>
        <w:snapToGrid/>
        <w:spacing w:line="560" w:lineRule="exact"/>
        <w:ind w:firstLine="640" w:firstLineChars="200"/>
        <w:textAlignment w:val="auto"/>
        <w:outlineLvl w:val="2"/>
        <w:rPr>
          <w:rFonts w:hint="default" w:ascii="仿宋_GB2312" w:hAnsi="仿宋_GB2312" w:eastAsia="仿宋_GB2312" w:cs="仿宋_GB2312"/>
          <w:b w:val="0"/>
          <w:bCs w:val="0"/>
          <w:highlight w:val="none"/>
          <w:lang w:val="en-US" w:eastAsia="zh-CN"/>
        </w:rPr>
      </w:pPr>
      <w:r>
        <w:rPr>
          <w:rFonts w:hint="eastAsia" w:ascii="仿宋_GB2312" w:hAnsi="仿宋_GB2312" w:eastAsia="仿宋_GB2312" w:cs="仿宋_GB2312"/>
          <w:sz w:val="32"/>
          <w:szCs w:val="32"/>
          <w:lang w:eastAsia="zh-CN"/>
        </w:rPr>
        <w:t>有效保障审判服务：指标分值20分，</w:t>
      </w:r>
      <w:r>
        <w:rPr>
          <w:rFonts w:hint="eastAsia" w:ascii="仿宋_GB2312" w:hAnsi="仿宋_GB2312" w:eastAsia="仿宋_GB2312" w:cs="仿宋_GB2312"/>
          <w:color w:val="000000" w:themeColor="text1"/>
          <w:sz w:val="32"/>
          <w:szCs w:val="32"/>
          <w:highlight w:val="none"/>
          <w14:textFill>
            <w14:solidFill>
              <w14:schemeClr w14:val="tx1"/>
            </w14:solidFill>
          </w14:textFill>
        </w:rPr>
        <w:t>评价得分</w:t>
      </w:r>
      <w:r>
        <w:rPr>
          <w:rFonts w:hint="eastAsia" w:ascii="仿宋_GB2312" w:hAnsi="仿宋_GB2312" w:eastAsia="仿宋_GB2312" w:cs="仿宋_GB2312"/>
          <w:sz w:val="32"/>
          <w:szCs w:val="32"/>
          <w:lang w:eastAsia="zh-CN"/>
        </w:rPr>
        <w:t>20分。</w:t>
      </w:r>
      <w:r>
        <w:rPr>
          <w:rFonts w:hint="eastAsia" w:ascii="仿宋_GB2312" w:hAnsi="仿宋_GB2312" w:cs="仿宋_GB2312"/>
          <w:sz w:val="32"/>
          <w:szCs w:val="32"/>
          <w:lang w:val="en-US" w:eastAsia="zh-CN"/>
        </w:rPr>
        <w:t>各法</w:t>
      </w:r>
      <w:r>
        <w:rPr>
          <w:rFonts w:hint="eastAsia" w:ascii="仿宋_GB2312" w:hAnsi="仿宋_GB2312" w:eastAsia="仿宋_GB2312" w:cs="仿宋_GB2312"/>
          <w:sz w:val="32"/>
          <w:szCs w:val="32"/>
          <w:lang w:eastAsia="zh-CN"/>
        </w:rPr>
        <w:t>院通过日常维修、办公</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lang w:eastAsia="zh-CN"/>
        </w:rPr>
        <w:t>用水、用电和冬季取暖等具体工作的产出</w:t>
      </w:r>
      <w:r>
        <w:rPr>
          <w:rFonts w:hint="eastAsia" w:ascii="仿宋_GB2312" w:hAnsi="仿宋_GB2312" w:cs="仿宋_GB2312"/>
          <w:sz w:val="32"/>
          <w:szCs w:val="32"/>
          <w:lang w:eastAsia="zh-CN"/>
        </w:rPr>
        <w:t>，保障</w:t>
      </w:r>
      <w:r>
        <w:rPr>
          <w:rFonts w:hint="eastAsia" w:ascii="仿宋_GB2312" w:hAnsi="仿宋_GB2312" w:cs="仿宋_GB2312"/>
          <w:sz w:val="32"/>
          <w:szCs w:val="32"/>
          <w:lang w:val="en-US" w:eastAsia="zh-CN"/>
        </w:rPr>
        <w:t>基层法庭</w:t>
      </w:r>
      <w:r>
        <w:rPr>
          <w:rFonts w:hint="eastAsia" w:ascii="仿宋_GB2312" w:hAnsi="仿宋_GB2312" w:cs="仿宋_GB2312"/>
          <w:sz w:val="32"/>
          <w:szCs w:val="32"/>
          <w:lang w:eastAsia="zh-CN"/>
        </w:rPr>
        <w:t>的日常办公需要，提高法院后勤保障能力，提高法院办案工作效率、保障法院网络系统正常运转，</w:t>
      </w:r>
      <w:r>
        <w:rPr>
          <w:rFonts w:hint="eastAsia" w:ascii="仿宋_GB2312" w:hAnsi="仿宋_GB2312" w:eastAsia="仿宋_GB2312" w:cs="仿宋_GB2312"/>
          <w:sz w:val="32"/>
          <w:szCs w:val="32"/>
          <w:lang w:eastAsia="zh-CN"/>
        </w:rPr>
        <w:t>有效保障审判服务，维护了人民群众的合法</w:t>
      </w:r>
      <w:r>
        <w:rPr>
          <w:rFonts w:hint="eastAsia" w:ascii="仿宋_GB2312" w:hAnsi="仿宋_GB2312" w:cs="仿宋_GB2312"/>
          <w:sz w:val="32"/>
          <w:szCs w:val="32"/>
          <w:lang w:val="en-US" w:eastAsia="zh-CN"/>
        </w:rPr>
        <w:t>权益</w:t>
      </w:r>
      <w:r>
        <w:rPr>
          <w:rFonts w:hint="eastAsia" w:ascii="仿宋_GB2312" w:hAnsi="仿宋_GB2312" w:eastAsia="仿宋_GB2312" w:cs="仿宋_GB2312"/>
          <w:sz w:val="32"/>
          <w:szCs w:val="32"/>
          <w:lang w:eastAsia="zh-CN"/>
        </w:rPr>
        <w:t>，产生了良好的社会效益</w:t>
      </w:r>
      <w:r>
        <w:rPr>
          <w:rFonts w:hint="eastAsia" w:ascii="仿宋_GB2312" w:hAnsi="仿宋_GB2312" w:cs="仿宋_GB2312"/>
          <w:sz w:val="32"/>
          <w:szCs w:val="32"/>
          <w:lang w:eastAsia="zh-CN"/>
        </w:rPr>
        <w:t>。</w:t>
      </w:r>
    </w:p>
    <w:p w14:paraId="1FFBE744">
      <w:pPr>
        <w:pStyle w:val="10"/>
        <w:keepNext w:val="0"/>
        <w:keepLines w:val="0"/>
        <w:pageBreakBefore w:val="0"/>
        <w:widowControl w:val="0"/>
        <w:tabs>
          <w:tab w:val="left" w:pos="0"/>
        </w:tabs>
        <w:kinsoku/>
        <w:wordWrap/>
        <w:overflowPunct w:val="0"/>
        <w:topLinePunct w:val="0"/>
        <w:autoSpaceDE/>
        <w:autoSpaceDN/>
        <w:bidi w:val="0"/>
        <w:adjustRightInd/>
        <w:snapToGrid/>
        <w:spacing w:line="560" w:lineRule="exact"/>
        <w:ind w:firstLine="643" w:firstLineChars="200"/>
        <w:textAlignment w:val="auto"/>
        <w:outlineLvl w:val="2"/>
        <w:rPr>
          <w:rFonts w:ascii="仿宋_GB2312" w:hAnsi="仿宋_GB2312" w:cs="仿宋_GB2312"/>
          <w:b/>
          <w:bCs/>
          <w:highlight w:val="none"/>
        </w:rPr>
      </w:pPr>
      <w:r>
        <w:rPr>
          <w:rFonts w:hint="eastAsia" w:ascii="仿宋_GB2312" w:hAnsi="仿宋_GB2312" w:cs="仿宋_GB2312"/>
          <w:b/>
          <w:bCs/>
          <w:highlight w:val="none"/>
          <w:lang w:val="en-US" w:eastAsia="zh-CN"/>
        </w:rPr>
        <w:t>2</w:t>
      </w:r>
      <w:r>
        <w:rPr>
          <w:rFonts w:hint="eastAsia" w:ascii="仿宋_GB2312" w:hAnsi="仿宋_GB2312" w:cs="仿宋_GB2312"/>
          <w:b/>
          <w:bCs/>
          <w:highlight w:val="none"/>
        </w:rPr>
        <w:t>.满意度情况</w:t>
      </w:r>
    </w:p>
    <w:p w14:paraId="3A704A82">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rPr>
          <w:rFonts w:ascii="仿宋_GB2312" w:hAnsi="仿宋_GB2312" w:eastAsia="仿宋_GB2312" w:cs="仿宋_GB2312"/>
          <w:color w:val="000000" w:themeColor="text1"/>
          <w:sz w:val="32"/>
          <w:szCs w:val="32"/>
          <w:highlight w:val="none"/>
          <w14:textFill>
            <w14:solidFill>
              <w14:schemeClr w14:val="tx1"/>
            </w14:solidFill>
          </w14:textFill>
        </w:rPr>
      </w:pPr>
      <w:bookmarkStart w:id="129" w:name="_Toc65235686"/>
      <w:bookmarkStart w:id="130" w:name="_Toc64731198"/>
      <w:bookmarkStart w:id="131" w:name="_Toc23326"/>
      <w:bookmarkStart w:id="132" w:name="_Toc5674"/>
      <w:bookmarkStart w:id="133" w:name="_Toc4285"/>
      <w:bookmarkStart w:id="134" w:name="_Toc63435075"/>
      <w:bookmarkStart w:id="135" w:name="_Toc2918"/>
      <w:r>
        <w:rPr>
          <w:rFonts w:hint="eastAsia" w:ascii="仿宋_GB2312" w:hAnsi="仿宋_GB2312" w:eastAsia="仿宋_GB2312" w:cs="仿宋_GB2312"/>
          <w:sz w:val="32"/>
          <w:szCs w:val="32"/>
          <w:lang w:eastAsia="zh-CN"/>
        </w:rPr>
        <w:t>项目服务对象满意度指标主要为服务群众对审</w:t>
      </w:r>
      <w:r>
        <w:rPr>
          <w:rFonts w:hint="eastAsia" w:ascii="仿宋_GB2312" w:hAnsi="仿宋_GB2312" w:eastAsia="仿宋_GB2312" w:cs="仿宋_GB2312"/>
          <w:sz w:val="32"/>
          <w:szCs w:val="32"/>
          <w:lang w:val="en-US" w:eastAsia="zh-CN"/>
        </w:rPr>
        <w:t>判</w:t>
      </w:r>
      <w:r>
        <w:rPr>
          <w:rFonts w:hint="eastAsia" w:ascii="仿宋_GB2312" w:hAnsi="仿宋_GB2312" w:eastAsia="仿宋_GB2312" w:cs="仿宋_GB2312"/>
          <w:sz w:val="32"/>
          <w:szCs w:val="32"/>
          <w:lang w:eastAsia="zh-CN"/>
        </w:rPr>
        <w:t>工作满意度及派出法庭工作人员满意度，指标分值10分，</w:t>
      </w:r>
      <w:r>
        <w:rPr>
          <w:rFonts w:hint="eastAsia" w:ascii="仿宋_GB2312" w:hAnsi="仿宋_GB2312" w:eastAsia="仿宋_GB2312" w:cs="仿宋_GB2312"/>
          <w:color w:val="000000" w:themeColor="text1"/>
          <w:sz w:val="32"/>
          <w:szCs w:val="32"/>
          <w:highlight w:val="none"/>
          <w14:textFill>
            <w14:solidFill>
              <w14:schemeClr w14:val="tx1"/>
            </w14:solidFill>
          </w14:textFill>
        </w:rPr>
        <w:t>评价得分</w:t>
      </w:r>
      <w:r>
        <w:rPr>
          <w:rFonts w:hint="eastAsia" w:ascii="仿宋_GB2312" w:hAnsi="仿宋_GB2312" w:eastAsia="仿宋_GB2312" w:cs="仿宋_GB2312"/>
          <w:sz w:val="32"/>
          <w:szCs w:val="32"/>
          <w:lang w:eastAsia="zh-CN"/>
        </w:rPr>
        <w:t>10分，得分率100</w:t>
      </w:r>
      <w:r>
        <w:rPr>
          <w:rFonts w:hint="eastAsia" w:ascii="仿宋_GB2312" w:hAnsi="仿宋_GB2312" w:eastAsia="仿宋_GB2312" w:cs="仿宋_GB2312"/>
          <w:sz w:val="32"/>
          <w:szCs w:val="32"/>
          <w:lang w:val="en-US" w:eastAsia="zh-CN"/>
        </w:rPr>
        <w:t>.00</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bookmarkEnd w:id="129"/>
      <w:bookmarkEnd w:id="130"/>
      <w:bookmarkEnd w:id="131"/>
      <w:bookmarkEnd w:id="132"/>
      <w:bookmarkEnd w:id="133"/>
      <w:bookmarkEnd w:id="134"/>
      <w:bookmarkEnd w:id="135"/>
    </w:p>
    <w:p w14:paraId="3DEBCC12">
      <w:pPr>
        <w:pStyle w:val="10"/>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lang w:eastAsia="zh-CN"/>
        </w:rPr>
        <w:t>通过项目的实施，为基层法庭运维提供了资金支持，保障基层法庭的日常办公需要，改善了办公办案环境，提高法院后勤保障能力，保障法院网络系统正常运转，有效保障审判服务，</w:t>
      </w:r>
      <w:r>
        <w:rPr>
          <w:rFonts w:hint="eastAsia" w:ascii="仿宋_GB2312" w:hAnsi="仿宋_GB2312" w:eastAsia="仿宋_GB2312" w:cs="仿宋_GB2312"/>
          <w:sz w:val="32"/>
          <w:szCs w:val="32"/>
          <w:highlight w:val="none"/>
          <w:lang w:eastAsia="zh-CN"/>
        </w:rPr>
        <w:t>维护了人民群众的合法</w:t>
      </w:r>
      <w:r>
        <w:rPr>
          <w:rFonts w:hint="eastAsia" w:ascii="仿宋_GB2312" w:hAnsi="仿宋_GB2312" w:cs="仿宋_GB2312"/>
          <w:sz w:val="32"/>
          <w:szCs w:val="32"/>
          <w:highlight w:val="none"/>
          <w:lang w:val="en-US" w:eastAsia="zh-CN"/>
        </w:rPr>
        <w:t>权益，获得了</w:t>
      </w:r>
      <w:r>
        <w:rPr>
          <w:rFonts w:hint="eastAsia" w:ascii="仿宋_GB2312" w:hAnsi="仿宋_GB2312" w:eastAsia="仿宋_GB2312" w:cs="仿宋_GB2312"/>
          <w:sz w:val="32"/>
          <w:szCs w:val="32"/>
          <w:highlight w:val="none"/>
          <w:lang w:eastAsia="zh-CN"/>
        </w:rPr>
        <w:t>法庭工作人员</w:t>
      </w:r>
      <w:r>
        <w:rPr>
          <w:rFonts w:hint="eastAsia" w:ascii="仿宋_GB2312" w:hAnsi="仿宋_GB2312" w:cs="仿宋_GB2312"/>
          <w:sz w:val="32"/>
          <w:szCs w:val="32"/>
          <w:highlight w:val="none"/>
          <w:lang w:val="en-US" w:eastAsia="zh-CN"/>
        </w:rPr>
        <w:t>及人民群众的一致好评，</w:t>
      </w:r>
      <w:r>
        <w:rPr>
          <w:rFonts w:hint="eastAsia" w:ascii="仿宋_GB2312" w:hAnsi="仿宋_GB2312" w:eastAsia="仿宋_GB2312" w:cs="仿宋_GB2312"/>
          <w:sz w:val="32"/>
          <w:szCs w:val="32"/>
          <w:lang w:eastAsia="zh-CN"/>
        </w:rPr>
        <w:t>派出法庭工作人员满意度达到96</w:t>
      </w:r>
      <w:r>
        <w:rPr>
          <w:rFonts w:hint="eastAsia" w:ascii="仿宋_GB2312" w:hAnsi="仿宋_GB2312" w:cs="仿宋_GB2312"/>
          <w:sz w:val="32"/>
          <w:szCs w:val="32"/>
          <w:lang w:val="en-US" w:eastAsia="zh-CN"/>
        </w:rPr>
        <w:t>.83</w:t>
      </w:r>
      <w:r>
        <w:rPr>
          <w:rFonts w:hint="eastAsia" w:ascii="仿宋_GB2312" w:hAnsi="仿宋_GB2312" w:eastAsia="仿宋_GB2312" w:cs="仿宋_GB2312"/>
          <w:sz w:val="32"/>
          <w:szCs w:val="32"/>
          <w:lang w:eastAsia="zh-CN"/>
        </w:rPr>
        <w:t>%</w:t>
      </w:r>
      <w:r>
        <w:rPr>
          <w:rFonts w:hint="eastAsia" w:ascii="仿宋_GB2312" w:hAnsi="仿宋_GB2312" w:cs="仿宋_GB2312"/>
          <w:sz w:val="32"/>
          <w:szCs w:val="32"/>
          <w:lang w:eastAsia="zh-CN"/>
        </w:rPr>
        <w:t>，服务群众对审判工作满意度达到97.07%，</w:t>
      </w:r>
      <w:r>
        <w:rPr>
          <w:rFonts w:hint="eastAsia" w:ascii="仿宋_GB2312" w:hAnsi="仿宋_GB2312" w:eastAsia="仿宋_GB2312" w:cs="仿宋_GB2312"/>
          <w:sz w:val="32"/>
          <w:szCs w:val="32"/>
          <w:lang w:eastAsia="zh-CN"/>
        </w:rPr>
        <w:t>指标分值10分，</w:t>
      </w:r>
      <w:r>
        <w:rPr>
          <w:rFonts w:hint="eastAsia" w:ascii="仿宋_GB2312" w:hAnsi="仿宋_GB2312" w:eastAsia="仿宋_GB2312" w:cs="仿宋_GB2312"/>
          <w:color w:val="000000" w:themeColor="text1"/>
          <w:sz w:val="32"/>
          <w:szCs w:val="32"/>
          <w:highlight w:val="none"/>
          <w14:textFill>
            <w14:solidFill>
              <w14:schemeClr w14:val="tx1"/>
            </w14:solidFill>
          </w14:textFill>
        </w:rPr>
        <w:t>评价得分</w:t>
      </w:r>
      <w:r>
        <w:rPr>
          <w:rFonts w:hint="eastAsia" w:ascii="仿宋_GB2312" w:hAnsi="仿宋_GB2312" w:eastAsia="仿宋_GB2312" w:cs="仿宋_GB2312"/>
          <w:sz w:val="32"/>
          <w:szCs w:val="32"/>
          <w:lang w:eastAsia="zh-CN"/>
        </w:rPr>
        <w:t>10分。</w:t>
      </w:r>
    </w:p>
    <w:p w14:paraId="2503A8BB">
      <w:pPr>
        <w:pStyle w:val="10"/>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outlineLvl w:val="0"/>
        <w:rPr>
          <w:rFonts w:ascii="黑体" w:hAnsi="黑体" w:eastAsia="黑体" w:cs="仿宋"/>
          <w:b w:val="0"/>
          <w:bCs w:val="0"/>
          <w:highlight w:val="none"/>
        </w:rPr>
      </w:pPr>
      <w:bookmarkStart w:id="136" w:name="_Toc27911"/>
      <w:bookmarkStart w:id="137" w:name="_Toc14909"/>
      <w:bookmarkStart w:id="138" w:name="_Toc12745"/>
      <w:r>
        <w:rPr>
          <w:rFonts w:hint="eastAsia" w:ascii="黑体" w:hAnsi="黑体" w:eastAsia="黑体" w:cs="仿宋"/>
          <w:b w:val="0"/>
          <w:bCs w:val="0"/>
          <w:highlight w:val="none"/>
        </w:rPr>
        <w:t>六、项目主要经验及做法</w:t>
      </w:r>
      <w:bookmarkEnd w:id="136"/>
      <w:bookmarkEnd w:id="137"/>
      <w:bookmarkEnd w:id="138"/>
    </w:p>
    <w:p w14:paraId="7A097403">
      <w:pPr>
        <w:pStyle w:val="10"/>
        <w:keepNext w:val="0"/>
        <w:keepLines w:val="0"/>
        <w:pageBreakBefore w:val="0"/>
        <w:widowControl w:val="0"/>
        <w:tabs>
          <w:tab w:val="left" w:pos="510"/>
          <w:tab w:val="left" w:pos="675"/>
        </w:tabs>
        <w:kinsoku/>
        <w:wordWrap/>
        <w:overflowPunct w:val="0"/>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b w:val="0"/>
          <w:bCs w:val="0"/>
          <w:highlight w:val="yellow"/>
          <w:lang w:val="en-US" w:eastAsia="zh-CN"/>
        </w:rPr>
      </w:pPr>
      <w:r>
        <w:rPr>
          <w:rFonts w:hint="eastAsia" w:ascii="仿宋_GB2312" w:hAnsi="仿宋_GB2312" w:eastAsia="仿宋_GB2312" w:cs="仿宋_GB2312"/>
          <w:kern w:val="2"/>
          <w:sz w:val="32"/>
          <w:szCs w:val="32"/>
          <w:highlight w:val="none"/>
          <w:lang w:val="en-US" w:eastAsia="zh-CN" w:bidi="ar-SA"/>
        </w:rPr>
        <w:t>贯彻落实过“紧日子”要求，根据轻重缓急，从严从紧编制预算，按照量力而行和讲求绩效的原则，合理安排符合规定的各项支出，强化预算约束，切实加快预算执行进度，提升预算执行质量，完善内部财务管理办法，规范会计核算，严格报销审核；加强预算绩效目标管理，根据业务实际和项目管理需求，科学设置绩效指标和指标值，扎实开展绩效目标执行监控，全面开展绩效自评。</w:t>
      </w:r>
    </w:p>
    <w:p w14:paraId="6AACCD4C">
      <w:pPr>
        <w:pStyle w:val="10"/>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outlineLvl w:val="0"/>
        <w:rPr>
          <w:rFonts w:hint="eastAsia" w:ascii="黑体" w:hAnsi="黑体" w:eastAsia="黑体" w:cs="仿宋"/>
          <w:highlight w:val="none"/>
          <w:lang w:eastAsia="zh-CN"/>
        </w:rPr>
      </w:pPr>
      <w:bookmarkStart w:id="139" w:name="_Toc15152"/>
      <w:bookmarkStart w:id="140" w:name="_Toc25717"/>
      <w:bookmarkStart w:id="141" w:name="_Toc302"/>
      <w:r>
        <w:rPr>
          <w:rFonts w:hint="eastAsia" w:ascii="仿宋_GB2312" w:hAnsi="仿宋_GB2312" w:cs="仿宋_GB2312"/>
          <w:kern w:val="2"/>
          <w:sz w:val="32"/>
          <w:szCs w:val="32"/>
          <w:highlight w:val="none"/>
          <w:lang w:val="en-US" w:eastAsia="zh-CN" w:bidi="ar-SA"/>
        </w:rPr>
        <w:t>人民法庭是化解矛盾纠纷、服务人民群众的第一线，是人民法院坚持以人民为中心的最生动实践。近年来，各法院牢固树立“人民至上”工作理念，坚持和发展新时代“枫桥经验”，结合地域文化特色积极探索诉源治理新模式，不断激发法庭参与基层社会治理、助力乡村振兴新效能，以工作实绩描绘基层治理新“枫”景。深入推</w:t>
      </w:r>
      <w:r>
        <w:rPr>
          <w:rFonts w:hint="eastAsia" w:ascii="仿宋_GB2312" w:hAnsi="仿宋_GB2312" w:eastAsia="仿宋_GB2312" w:cs="仿宋_GB2312"/>
          <w:kern w:val="2"/>
          <w:sz w:val="32"/>
          <w:szCs w:val="32"/>
          <w:highlight w:val="none"/>
          <w:lang w:val="en-US" w:eastAsia="zh-CN" w:bidi="ar-SA"/>
        </w:rPr>
        <w:t>进</w:t>
      </w:r>
      <w:r>
        <w:rPr>
          <w:rFonts w:hint="eastAsia" w:ascii="仿宋_GB2312" w:hAnsi="仿宋_GB2312" w:cs="仿宋_GB2312"/>
          <w:kern w:val="2"/>
          <w:sz w:val="32"/>
          <w:szCs w:val="32"/>
          <w:highlight w:val="none"/>
          <w:lang w:val="en-US" w:eastAsia="zh-CN" w:bidi="ar-SA"/>
        </w:rPr>
        <w:t>“枫桥式人民法庭建设”进一步推动矛盾纠纷源头化解，</w:t>
      </w:r>
      <w:r>
        <w:rPr>
          <w:rFonts w:hint="eastAsia" w:ascii="仿宋_GB2312" w:hAnsi="仿宋_GB2312" w:eastAsia="仿宋_GB2312" w:cs="仿宋_GB2312"/>
          <w:kern w:val="2"/>
          <w:sz w:val="32"/>
          <w:szCs w:val="32"/>
          <w:highlight w:val="none"/>
          <w:lang w:val="en-US" w:eastAsia="zh-CN" w:bidi="ar-SA"/>
        </w:rPr>
        <w:t>深入推进“互联网＋法院工作”，运用互联网、大数据、云计算等科技手段，全面提升检察工作信息化水平，建立起新型的更加完善的经费保障机制，以确保法院依法履行职责。</w:t>
      </w:r>
    </w:p>
    <w:p w14:paraId="66E91D9F">
      <w:pPr>
        <w:pStyle w:val="10"/>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outlineLvl w:val="0"/>
        <w:rPr>
          <w:rFonts w:ascii="黑体" w:hAnsi="黑体" w:eastAsia="黑体" w:cs="仿宋"/>
          <w:b w:val="0"/>
          <w:bCs w:val="0"/>
          <w:highlight w:val="none"/>
        </w:rPr>
      </w:pPr>
      <w:r>
        <w:rPr>
          <w:rFonts w:hint="eastAsia" w:ascii="黑体" w:hAnsi="黑体" w:eastAsia="黑体" w:cs="仿宋"/>
          <w:b w:val="0"/>
          <w:bCs w:val="0"/>
          <w:highlight w:val="none"/>
        </w:rPr>
        <w:t>七、存在的问题及原因分析</w:t>
      </w:r>
      <w:bookmarkEnd w:id="139"/>
      <w:bookmarkEnd w:id="140"/>
      <w:bookmarkEnd w:id="141"/>
    </w:p>
    <w:p w14:paraId="12FBF7D4">
      <w:pPr>
        <w:keepNext w:val="0"/>
        <w:keepLines w:val="0"/>
        <w:pageBreakBefore w:val="0"/>
        <w:widowControl w:val="0"/>
        <w:kinsoku/>
        <w:wordWrap/>
        <w:overflowPunct w:val="0"/>
        <w:topLinePunct w:val="0"/>
        <w:autoSpaceDE/>
        <w:autoSpaceDN/>
        <w:bidi w:val="0"/>
        <w:adjustRightInd/>
        <w:snapToGrid/>
        <w:spacing w:line="560" w:lineRule="exact"/>
        <w:ind w:firstLine="643" w:firstLineChars="200"/>
        <w:textAlignment w:val="auto"/>
        <w:outlineLvl w:val="1"/>
        <w:rPr>
          <w:rStyle w:val="32"/>
          <w:rFonts w:hint="default" w:ascii="楷体" w:hAnsi="楷体" w:eastAsia="楷体" w:cs="楷体"/>
          <w:szCs w:val="32"/>
          <w:highlight w:val="none"/>
          <w:lang w:val="en-US" w:eastAsia="zh-CN"/>
        </w:rPr>
      </w:pPr>
      <w:bookmarkStart w:id="142" w:name="_Toc7160"/>
      <w:bookmarkStart w:id="143" w:name="_Toc27415"/>
      <w:bookmarkStart w:id="144" w:name="_Toc2874"/>
      <w:bookmarkStart w:id="145" w:name="_Toc22417"/>
      <w:bookmarkStart w:id="146" w:name="_Toc31893"/>
      <w:bookmarkStart w:id="147" w:name="_Toc10454"/>
      <w:bookmarkStart w:id="148" w:name="_Toc18641"/>
      <w:bookmarkStart w:id="149" w:name="_Toc31283"/>
      <w:bookmarkStart w:id="150" w:name="_Toc29421"/>
      <w:bookmarkStart w:id="151" w:name="_Toc14622"/>
      <w:bookmarkStart w:id="152" w:name="_Toc19507"/>
      <w:r>
        <w:rPr>
          <w:rStyle w:val="32"/>
          <w:rFonts w:hint="eastAsia" w:ascii="楷体" w:hAnsi="楷体" w:eastAsia="楷体" w:cs="楷体"/>
          <w:szCs w:val="32"/>
          <w:highlight w:val="none"/>
        </w:rPr>
        <w:t>（一）</w:t>
      </w:r>
      <w:bookmarkEnd w:id="142"/>
      <w:bookmarkEnd w:id="143"/>
      <w:bookmarkEnd w:id="144"/>
      <w:bookmarkEnd w:id="145"/>
      <w:bookmarkEnd w:id="146"/>
      <w:bookmarkEnd w:id="147"/>
      <w:bookmarkEnd w:id="148"/>
      <w:bookmarkStart w:id="153" w:name="_Toc12328"/>
      <w:bookmarkStart w:id="154" w:name="_Toc15618"/>
      <w:bookmarkStart w:id="155" w:name="_Toc17195"/>
      <w:r>
        <w:rPr>
          <w:rStyle w:val="32"/>
          <w:rFonts w:hint="eastAsia" w:ascii="楷体" w:hAnsi="楷体" w:eastAsia="楷体" w:cs="楷体"/>
          <w:szCs w:val="32"/>
          <w:highlight w:val="none"/>
          <w:lang w:val="en-US" w:eastAsia="zh-CN"/>
        </w:rPr>
        <w:t>绩效目标管理有待加强</w:t>
      </w:r>
      <w:bookmarkEnd w:id="149"/>
      <w:r>
        <w:rPr>
          <w:rStyle w:val="32"/>
          <w:rFonts w:hint="eastAsia" w:ascii="楷体" w:hAnsi="楷体" w:eastAsia="楷体" w:cs="楷体"/>
          <w:szCs w:val="32"/>
          <w:highlight w:val="none"/>
          <w:lang w:val="en-US" w:eastAsia="zh-CN"/>
        </w:rPr>
        <w:t>，绩效目标合理性及指标明确性有待提高</w:t>
      </w:r>
    </w:p>
    <w:p w14:paraId="08A1EB7C">
      <w:pPr>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outlineLvl w:val="1"/>
        <w:rPr>
          <w:rStyle w:val="32"/>
          <w:rFonts w:hint="default" w:ascii="楷体" w:hAnsi="楷体" w:eastAsia="仿宋_GB2312" w:cs="楷体"/>
          <w:szCs w:val="32"/>
          <w:highlight w:val="none"/>
          <w:lang w:val="en-US" w:eastAsia="zh-CN"/>
        </w:rPr>
      </w:pPr>
      <w:bookmarkStart w:id="156" w:name="_Toc31354"/>
      <w:r>
        <w:rPr>
          <w:rFonts w:hint="eastAsia" w:ascii="仿宋_GB2312" w:hAnsi="仿宋_GB2312" w:eastAsia="仿宋_GB2312" w:cs="仿宋_GB2312"/>
          <w:sz w:val="32"/>
          <w:szCs w:val="32"/>
          <w:highlight w:val="none"/>
        </w:rPr>
        <w:t>经评价组核查</w:t>
      </w:r>
      <w:r>
        <w:rPr>
          <w:rFonts w:hint="eastAsia" w:ascii="仿宋_GB2312" w:hAnsi="仿宋_GB2312" w:eastAsia="仿宋_GB2312" w:cs="仿宋_GB2312"/>
          <w:sz w:val="32"/>
          <w:szCs w:val="32"/>
          <w:highlight w:val="none"/>
          <w:lang w:val="en-US" w:eastAsia="zh-CN"/>
        </w:rPr>
        <w:t>全省84家基层人民法院填报的</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法庭运维费</w:t>
      </w:r>
      <w:r>
        <w:rPr>
          <w:rFonts w:hint="eastAsia" w:ascii="仿宋_GB2312" w:hAnsi="仿宋_GB2312" w:eastAsia="仿宋_GB2312" w:cs="仿宋_GB2312"/>
          <w:sz w:val="32"/>
          <w:szCs w:val="32"/>
          <w:highlight w:val="none"/>
        </w:rPr>
        <w:t>项目支出绩效</w:t>
      </w:r>
      <w:r>
        <w:rPr>
          <w:rFonts w:hint="eastAsia" w:ascii="仿宋_GB2312" w:hAnsi="仿宋_GB2312" w:eastAsia="仿宋_GB2312" w:cs="仿宋_GB2312"/>
          <w:sz w:val="32"/>
          <w:szCs w:val="32"/>
          <w:highlight w:val="none"/>
          <w:lang w:val="en-US" w:eastAsia="zh-CN"/>
        </w:rPr>
        <w:t>自评</w:t>
      </w:r>
      <w:r>
        <w:rPr>
          <w:rFonts w:hint="eastAsia" w:ascii="仿宋_GB2312" w:hAnsi="仿宋_GB2312" w:eastAsia="仿宋_GB2312" w:cs="仿宋_GB2312"/>
          <w:sz w:val="32"/>
          <w:szCs w:val="32"/>
          <w:highlight w:val="none"/>
        </w:rPr>
        <w:t>表》</w:t>
      </w:r>
      <w:r>
        <w:rPr>
          <w:rFonts w:hint="eastAsia" w:ascii="仿宋_GB2312" w:hAnsi="仿宋_GB2312" w:eastAsia="仿宋_GB2312" w:cs="仿宋_GB2312"/>
          <w:sz w:val="32"/>
          <w:szCs w:val="32"/>
          <w:highlight w:val="none"/>
          <w:lang w:val="en-US" w:eastAsia="zh-CN"/>
        </w:rPr>
        <w:t>发现，一是个别法院</w:t>
      </w:r>
      <w:r>
        <w:rPr>
          <w:rFonts w:hint="eastAsia" w:ascii="仿宋_GB2312" w:hAnsi="仿宋_GB2312" w:eastAsia="仿宋_GB2312" w:cs="仿宋_GB2312"/>
          <w:sz w:val="32"/>
          <w:szCs w:val="32"/>
          <w:highlight w:val="none"/>
        </w:rPr>
        <w:t>存在指标目标值设置预期产出不符合正常业绩水平的问题</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例如：民乐县人民法院保障供暖面积</w:t>
      </w:r>
      <w:r>
        <w:rPr>
          <w:rFonts w:hint="eastAsia" w:ascii="仿宋_GB2312" w:hAnsi="仿宋_GB2312" w:eastAsia="仿宋_GB2312" w:cs="仿宋_GB2312"/>
          <w:sz w:val="32"/>
          <w:szCs w:val="32"/>
          <w:highlight w:val="none"/>
        </w:rPr>
        <w:t>年度指标值</w:t>
      </w:r>
      <w:r>
        <w:rPr>
          <w:rFonts w:hint="eastAsia" w:ascii="仿宋_GB2312" w:hAnsi="仿宋_GB2312" w:eastAsia="仿宋_GB2312" w:cs="仿宋_GB2312"/>
          <w:sz w:val="32"/>
          <w:szCs w:val="32"/>
          <w:highlight w:val="none"/>
          <w:lang w:val="en-US" w:eastAsia="zh-CN"/>
        </w:rPr>
        <w:t>设置为1500平方米，实际4689.71平方米。二是个别法院</w:t>
      </w:r>
      <w:r>
        <w:rPr>
          <w:rFonts w:hint="eastAsia" w:ascii="仿宋_GB2312" w:hAnsi="仿宋_GB2312" w:eastAsia="仿宋_GB2312" w:cs="仿宋_GB2312"/>
          <w:sz w:val="32"/>
          <w:szCs w:val="32"/>
          <w:highlight w:val="none"/>
        </w:rPr>
        <w:t>项目绩效目标设置</w:t>
      </w:r>
      <w:r>
        <w:rPr>
          <w:rFonts w:hint="eastAsia" w:ascii="仿宋_GB2312" w:hAnsi="仿宋_GB2312" w:eastAsia="仿宋_GB2312" w:cs="仿宋_GB2312"/>
          <w:sz w:val="32"/>
          <w:szCs w:val="32"/>
          <w:highlight w:val="none"/>
          <w:lang w:val="en-US" w:eastAsia="zh-CN"/>
        </w:rPr>
        <w:t>不</w:t>
      </w:r>
      <w:r>
        <w:rPr>
          <w:rFonts w:hint="eastAsia" w:ascii="仿宋_GB2312" w:hAnsi="仿宋_GB2312" w:eastAsia="仿宋_GB2312" w:cs="仿宋_GB2312"/>
          <w:sz w:val="32"/>
          <w:szCs w:val="32"/>
          <w:highlight w:val="none"/>
        </w:rPr>
        <w:t>符合单位实际情况</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例</w:t>
      </w:r>
      <w:r>
        <w:rPr>
          <w:rFonts w:hint="eastAsia" w:ascii="仿宋_GB2312" w:hAnsi="仿宋_GB2312" w:eastAsia="仿宋_GB2312" w:cs="仿宋_GB2312"/>
          <w:sz w:val="32"/>
          <w:szCs w:val="32"/>
          <w:highlight w:val="none"/>
        </w:rPr>
        <w:t>如</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山丹县人民法院维修维护项目次数年度指标值</w:t>
      </w:r>
      <w:r>
        <w:rPr>
          <w:rFonts w:hint="eastAsia" w:ascii="仿宋_GB2312" w:hAnsi="仿宋_GB2312" w:eastAsia="仿宋_GB2312" w:cs="仿宋_GB2312"/>
          <w:sz w:val="32"/>
          <w:szCs w:val="32"/>
          <w:highlight w:val="none"/>
          <w:lang w:val="en-US" w:eastAsia="zh-CN"/>
        </w:rPr>
        <w:t>设置为</w:t>
      </w:r>
      <w:r>
        <w:rPr>
          <w:rFonts w:hint="eastAsia" w:ascii="仿宋_GB2312" w:hAnsi="仿宋_GB2312" w:eastAsia="仿宋_GB2312" w:cs="仿宋_GB2312"/>
          <w:sz w:val="32"/>
          <w:szCs w:val="32"/>
          <w:highlight w:val="none"/>
        </w:rPr>
        <w:t>1次，实际完成5次，</w:t>
      </w:r>
      <w:r>
        <w:rPr>
          <w:rFonts w:hint="eastAsia" w:ascii="仿宋_GB2312" w:hAnsi="仿宋_GB2312" w:eastAsia="仿宋_GB2312" w:cs="仿宋_GB2312"/>
          <w:sz w:val="32"/>
          <w:szCs w:val="32"/>
          <w:highlight w:val="none"/>
          <w:lang w:val="en-US" w:eastAsia="zh-CN"/>
        </w:rPr>
        <w:t>申报项目绩效目标时未充分了解掌握单位实际情况；</w:t>
      </w:r>
      <w:r>
        <w:rPr>
          <w:rFonts w:hint="eastAsia" w:ascii="仿宋_GB2312" w:hAnsi="仿宋_GB2312" w:eastAsia="仿宋_GB2312" w:cs="仿宋_GB2312"/>
          <w:sz w:val="32"/>
          <w:szCs w:val="32"/>
          <w:highlight w:val="none"/>
        </w:rPr>
        <w:t>西和县人民法院保障基层法庭个数年度指标值</w:t>
      </w:r>
      <w:r>
        <w:rPr>
          <w:rFonts w:hint="eastAsia" w:ascii="仿宋_GB2312" w:hAnsi="仿宋_GB2312" w:eastAsia="仿宋_GB2312" w:cs="仿宋_GB2312"/>
          <w:sz w:val="32"/>
          <w:szCs w:val="32"/>
          <w:highlight w:val="none"/>
          <w:lang w:val="en-US" w:eastAsia="zh-CN"/>
        </w:rPr>
        <w:t>设置为</w:t>
      </w:r>
      <w:r>
        <w:rPr>
          <w:rFonts w:hint="eastAsia" w:ascii="仿宋_GB2312" w:hAnsi="仿宋_GB2312" w:eastAsia="仿宋_GB2312" w:cs="仿宋_GB2312"/>
          <w:sz w:val="32"/>
          <w:szCs w:val="32"/>
          <w:highlight w:val="none"/>
        </w:rPr>
        <w:t>3个，实际保障5个，年度指标设置有误。</w:t>
      </w:r>
      <w:bookmarkEnd w:id="156"/>
      <w:bookmarkStart w:id="157" w:name="_Toc5332"/>
      <w:r>
        <w:rPr>
          <w:rFonts w:hint="eastAsia" w:ascii="仿宋_GB2312" w:hAnsi="仿宋_GB2312" w:eastAsia="仿宋_GB2312" w:cs="仿宋_GB2312"/>
          <w:sz w:val="32"/>
          <w:szCs w:val="32"/>
          <w:highlight w:val="none"/>
          <w:lang w:val="en-US" w:eastAsia="zh-CN"/>
        </w:rPr>
        <w:t>三是</w:t>
      </w:r>
      <w:r>
        <w:rPr>
          <w:rFonts w:hint="eastAsia" w:ascii="仿宋_GB2312" w:hAnsi="仿宋_GB2312" w:eastAsia="仿宋_GB2312" w:cs="仿宋_GB2312"/>
          <w:sz w:val="32"/>
          <w:szCs w:val="32"/>
          <w:highlight w:val="none"/>
        </w:rPr>
        <w:t>崇信县人民法院保障供暖面积未设置具体的指标值，</w:t>
      </w:r>
      <w:r>
        <w:rPr>
          <w:rFonts w:hint="eastAsia" w:ascii="仿宋_GB2312" w:hAnsi="仿宋_GB2312" w:eastAsia="仿宋_GB2312" w:cs="仿宋_GB2312"/>
          <w:sz w:val="32"/>
          <w:szCs w:val="32"/>
          <w:highlight w:val="none"/>
          <w:lang w:val="en-US" w:eastAsia="zh-CN"/>
        </w:rPr>
        <w:t>不能够很好的衡量及对比指标的完成情况</w:t>
      </w:r>
      <w:r>
        <w:rPr>
          <w:rFonts w:hint="eastAsia" w:ascii="仿宋_GB2312" w:hAnsi="仿宋_GB2312" w:eastAsia="仿宋_GB2312" w:cs="仿宋_GB2312"/>
          <w:sz w:val="32"/>
          <w:szCs w:val="32"/>
          <w:highlight w:val="none"/>
        </w:rPr>
        <w:t>。</w:t>
      </w:r>
      <w:bookmarkEnd w:id="157"/>
      <w:bookmarkStart w:id="158" w:name="_Toc11984"/>
      <w:r>
        <w:rPr>
          <w:rFonts w:hint="eastAsia" w:ascii="仿宋_GB2312" w:hAnsi="仿宋_GB2312" w:eastAsia="仿宋_GB2312" w:cs="仿宋_GB2312"/>
          <w:sz w:val="32"/>
          <w:szCs w:val="32"/>
          <w:highlight w:val="none"/>
          <w:lang w:val="en-US" w:eastAsia="zh-CN"/>
        </w:rPr>
        <w:t>四是灵台县人民法院保障基层法庭个数年度指标值3个，绩效自评实际完成值填写为100个，民勤县人民法院水电暖服务保障率年度指标值100%，绩效自评实际完成值填写为8%，以上</w:t>
      </w:r>
      <w:r>
        <w:rPr>
          <w:rFonts w:hint="eastAsia" w:ascii="仿宋_GB2312" w:hAnsi="仿宋_GB2312" w:eastAsia="仿宋_GB2312" w:cs="仿宋_GB2312"/>
          <w:color w:val="auto"/>
          <w:sz w:val="32"/>
          <w:szCs w:val="32"/>
          <w:highlight w:val="none"/>
          <w:lang w:val="en-US" w:eastAsia="zh-CN"/>
        </w:rPr>
        <w:t>法院的绩效自评质量有待提升</w:t>
      </w:r>
      <w:r>
        <w:rPr>
          <w:rFonts w:hint="eastAsia" w:ascii="仿宋_GB2312" w:hAnsi="仿宋_GB2312" w:eastAsia="仿宋_GB2312" w:cs="仿宋_GB2312"/>
          <w:sz w:val="32"/>
          <w:szCs w:val="32"/>
          <w:highlight w:val="none"/>
          <w:lang w:val="en-US" w:eastAsia="zh-CN"/>
        </w:rPr>
        <w:t>。</w:t>
      </w:r>
    </w:p>
    <w:bookmarkEnd w:id="150"/>
    <w:bookmarkEnd w:id="151"/>
    <w:bookmarkEnd w:id="152"/>
    <w:bookmarkEnd w:id="153"/>
    <w:bookmarkEnd w:id="154"/>
    <w:bookmarkEnd w:id="155"/>
    <w:bookmarkEnd w:id="158"/>
    <w:p w14:paraId="1D9AE77A">
      <w:pPr>
        <w:keepNext w:val="0"/>
        <w:keepLines w:val="0"/>
        <w:pageBreakBefore w:val="0"/>
        <w:widowControl w:val="0"/>
        <w:kinsoku/>
        <w:wordWrap/>
        <w:overflowPunct w:val="0"/>
        <w:topLinePunct w:val="0"/>
        <w:autoSpaceDE/>
        <w:autoSpaceDN/>
        <w:bidi w:val="0"/>
        <w:adjustRightInd/>
        <w:snapToGrid/>
        <w:spacing w:line="560" w:lineRule="exact"/>
        <w:ind w:firstLine="643" w:firstLineChars="200"/>
        <w:textAlignment w:val="auto"/>
        <w:outlineLvl w:val="1"/>
        <w:rPr>
          <w:rStyle w:val="32"/>
          <w:rFonts w:hint="default" w:ascii="楷体" w:hAnsi="楷体" w:eastAsia="楷体" w:cs="楷体"/>
          <w:szCs w:val="32"/>
          <w:highlight w:val="none"/>
          <w:lang w:val="en-US" w:eastAsia="zh-CN"/>
        </w:rPr>
      </w:pPr>
      <w:bookmarkStart w:id="159" w:name="_Toc15149"/>
      <w:bookmarkStart w:id="160" w:name="_Toc1483"/>
      <w:bookmarkStart w:id="161" w:name="_Toc20992"/>
      <w:r>
        <w:rPr>
          <w:rStyle w:val="32"/>
          <w:rFonts w:hint="eastAsia" w:ascii="楷体" w:hAnsi="楷体" w:eastAsia="楷体" w:cs="楷体"/>
          <w:szCs w:val="32"/>
          <w:highlight w:val="none"/>
          <w:lang w:val="en-US" w:eastAsia="zh-CN"/>
        </w:rPr>
        <w:t>（二）资金预算执行率未达到年度目标值</w:t>
      </w:r>
    </w:p>
    <w:p w14:paraId="4D362FB5">
      <w:pPr>
        <w:pStyle w:val="10"/>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rPr>
          <w:rFonts w:hint="eastAsia" w:ascii="仿宋_GB2312" w:hAnsi="仿宋_GB2312" w:cs="仿宋_GB2312"/>
          <w:color w:val="auto"/>
          <w:highlight w:val="none"/>
          <w:lang w:val="en-US" w:eastAsia="zh-CN"/>
        </w:rPr>
      </w:pPr>
      <w:r>
        <w:rPr>
          <w:rFonts w:hint="eastAsia" w:ascii="仿宋_GB2312" w:hAnsi="仿宋_GB2312" w:cs="仿宋_GB2312"/>
          <w:color w:val="auto"/>
          <w:highlight w:val="none"/>
          <w:lang w:val="en-US" w:eastAsia="zh-CN"/>
        </w:rPr>
        <w:t>资金预算执行率目标值为100%，实际完成95.98%，未达到年度目标值。经统计汇总84家基层人民法院法庭运维费资金预算执行情况，其中资金预算执行率未达到90%以上的法院有7家，具体明细如下：</w:t>
      </w:r>
    </w:p>
    <w:p w14:paraId="7D0CE758">
      <w:pPr>
        <w:pStyle w:val="10"/>
        <w:keepNext w:val="0"/>
        <w:keepLines w:val="0"/>
        <w:pageBreakBefore w:val="0"/>
        <w:widowControl w:val="0"/>
        <w:kinsoku/>
        <w:wordWrap/>
        <w:overflowPunct w:val="0"/>
        <w:topLinePunct w:val="0"/>
        <w:autoSpaceDE/>
        <w:autoSpaceDN/>
        <w:bidi w:val="0"/>
        <w:adjustRightInd/>
        <w:snapToGrid/>
        <w:spacing w:line="560" w:lineRule="exact"/>
        <w:ind w:firstLine="480" w:firstLineChars="200"/>
        <w:jc w:val="right"/>
        <w:textAlignment w:val="auto"/>
        <w:rPr>
          <w:rFonts w:hint="default" w:ascii="仿宋_GB2312" w:hAnsi="仿宋_GB2312" w:cs="仿宋_GB2312"/>
          <w:color w:val="auto"/>
          <w:sz w:val="24"/>
          <w:szCs w:val="24"/>
          <w:highlight w:val="none"/>
          <w:lang w:val="en-US" w:eastAsia="zh-CN"/>
        </w:rPr>
      </w:pPr>
      <w:r>
        <w:rPr>
          <w:rFonts w:hint="eastAsia" w:ascii="仿宋_GB2312" w:hAnsi="仿宋_GB2312" w:cs="仿宋_GB2312"/>
          <w:color w:val="auto"/>
          <w:sz w:val="24"/>
          <w:szCs w:val="24"/>
          <w:highlight w:val="none"/>
          <w:lang w:val="en-US" w:eastAsia="zh-CN"/>
        </w:rPr>
        <w:t>单位：万元</w:t>
      </w:r>
    </w:p>
    <w:tbl>
      <w:tblPr>
        <w:tblStyle w:val="20"/>
        <w:tblW w:w="8787"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50"/>
        <w:gridCol w:w="2268"/>
        <w:gridCol w:w="1474"/>
        <w:gridCol w:w="1474"/>
        <w:gridCol w:w="1417"/>
        <w:gridCol w:w="1304"/>
      </w:tblGrid>
      <w:tr w14:paraId="3F7033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B51E0B">
            <w:pPr>
              <w:keepNext w:val="0"/>
              <w:keepLines w:val="0"/>
              <w:widowControl/>
              <w:suppressLineNumbers w:val="0"/>
              <w:jc w:val="center"/>
              <w:textAlignment w:val="center"/>
              <w:rPr>
                <w:rFonts w:hint="default" w:ascii="宋体" w:hAnsi="宋体" w:eastAsia="宋体" w:cs="宋体"/>
                <w:b/>
                <w:bCs/>
                <w:i w:val="0"/>
                <w:iCs w:val="0"/>
                <w:color w:val="000000"/>
                <w:sz w:val="20"/>
                <w:szCs w:val="20"/>
                <w:u w:val="none"/>
                <w:lang w:val="en-US" w:eastAsia="zh-CN"/>
              </w:rPr>
            </w:pPr>
            <w:r>
              <w:rPr>
                <w:rFonts w:hint="eastAsia" w:ascii="宋体" w:hAnsi="宋体" w:eastAsia="宋体" w:cs="宋体"/>
                <w:b/>
                <w:bCs/>
                <w:i w:val="0"/>
                <w:iCs w:val="0"/>
                <w:color w:val="000000"/>
                <w:sz w:val="20"/>
                <w:szCs w:val="20"/>
                <w:u w:val="none"/>
                <w:lang w:val="en-US" w:eastAsia="zh-CN"/>
              </w:rPr>
              <w:t>序号</w:t>
            </w:r>
          </w:p>
        </w:tc>
        <w:tc>
          <w:tcPr>
            <w:tcW w:w="22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3E160">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sz w:val="20"/>
                <w:szCs w:val="20"/>
                <w:u w:val="none"/>
                <w:lang w:val="en-US" w:eastAsia="zh-CN"/>
              </w:rPr>
              <w:t>预算单位</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0716EE">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年初预算金额</w:t>
            </w:r>
          </w:p>
        </w:tc>
        <w:tc>
          <w:tcPr>
            <w:tcW w:w="14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B7A817">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上年结转金额</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4B427">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支出金额</w:t>
            </w:r>
          </w:p>
        </w:tc>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CBBE66">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预算执行率</w:t>
            </w:r>
          </w:p>
        </w:tc>
      </w:tr>
      <w:tr w14:paraId="7FCADF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E3E74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22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8446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兰州市城关区人民法院</w:t>
            </w:r>
          </w:p>
        </w:tc>
        <w:tc>
          <w:tcPr>
            <w:tcW w:w="14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ABE0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89.00</w:t>
            </w:r>
          </w:p>
        </w:tc>
        <w:tc>
          <w:tcPr>
            <w:tcW w:w="14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0C83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89.00</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A26B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123.92</w:t>
            </w:r>
          </w:p>
        </w:tc>
        <w:tc>
          <w:tcPr>
            <w:tcW w:w="1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CD56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69.62%</w:t>
            </w:r>
          </w:p>
        </w:tc>
      </w:tr>
      <w:tr w14:paraId="0E9376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B0B7D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7EB5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榆中县人民法院</w:t>
            </w:r>
          </w:p>
        </w:tc>
        <w:tc>
          <w:tcPr>
            <w:tcW w:w="14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AC12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56.00</w:t>
            </w:r>
          </w:p>
        </w:tc>
        <w:tc>
          <w:tcPr>
            <w:tcW w:w="14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32507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24.58</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BCE4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56.47</w:t>
            </w:r>
          </w:p>
        </w:tc>
        <w:tc>
          <w:tcPr>
            <w:tcW w:w="1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BF6B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70.08%</w:t>
            </w:r>
          </w:p>
        </w:tc>
      </w:tr>
      <w:tr w14:paraId="2B193D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E1D5A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8E04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成县人民法院</w:t>
            </w:r>
          </w:p>
        </w:tc>
        <w:tc>
          <w:tcPr>
            <w:tcW w:w="14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2C5E2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40.00</w:t>
            </w:r>
          </w:p>
        </w:tc>
        <w:tc>
          <w:tcPr>
            <w:tcW w:w="14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A89B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0.15</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A27E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34.95</w:t>
            </w:r>
          </w:p>
        </w:tc>
        <w:tc>
          <w:tcPr>
            <w:tcW w:w="1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B3E2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87.05%</w:t>
            </w:r>
          </w:p>
        </w:tc>
      </w:tr>
      <w:tr w14:paraId="75647A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4945A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4</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6D42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礼县人民法院</w:t>
            </w:r>
          </w:p>
        </w:tc>
        <w:tc>
          <w:tcPr>
            <w:tcW w:w="14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1707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47.00</w:t>
            </w:r>
          </w:p>
        </w:tc>
        <w:tc>
          <w:tcPr>
            <w:tcW w:w="14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7F67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22.12</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13727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43.45</w:t>
            </w:r>
          </w:p>
        </w:tc>
        <w:tc>
          <w:tcPr>
            <w:tcW w:w="1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235D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62.86%</w:t>
            </w:r>
          </w:p>
        </w:tc>
      </w:tr>
      <w:tr w14:paraId="00D464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B427C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5</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6C5B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子午岭林区法院</w:t>
            </w:r>
          </w:p>
        </w:tc>
        <w:tc>
          <w:tcPr>
            <w:tcW w:w="14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AE69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16.00</w:t>
            </w:r>
          </w:p>
        </w:tc>
        <w:tc>
          <w:tcPr>
            <w:tcW w:w="14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3299D1">
            <w:pPr>
              <w:jc w:val="center"/>
              <w:rPr>
                <w:rFonts w:hint="eastAsia" w:ascii="宋体" w:hAnsi="宋体" w:eastAsia="宋体" w:cs="宋体"/>
                <w:i w:val="0"/>
                <w:iCs w:val="0"/>
                <w:color w:val="000000"/>
                <w:sz w:val="20"/>
                <w:szCs w:val="20"/>
                <w:u w:val="none"/>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E4F6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7.55</w:t>
            </w:r>
          </w:p>
        </w:tc>
        <w:tc>
          <w:tcPr>
            <w:tcW w:w="1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D4FF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47.19%</w:t>
            </w:r>
          </w:p>
        </w:tc>
      </w:tr>
      <w:tr w14:paraId="22320F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D4E4B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6</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6D2A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广河县人民法院</w:t>
            </w:r>
          </w:p>
        </w:tc>
        <w:tc>
          <w:tcPr>
            <w:tcW w:w="14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CC68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32.00</w:t>
            </w:r>
          </w:p>
        </w:tc>
        <w:tc>
          <w:tcPr>
            <w:tcW w:w="14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2C67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2.36</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F28D34">
            <w:pPr>
              <w:keepNext w:val="0"/>
              <w:keepLines w:val="0"/>
              <w:widowControl/>
              <w:suppressLineNumbers w:val="0"/>
              <w:jc w:val="center"/>
              <w:textAlignment w:val="center"/>
              <w:rPr>
                <w:rFonts w:hint="eastAsia" w:ascii="宋体" w:hAnsi="宋体" w:eastAsia="宋体" w:cs="宋体"/>
                <w:i w:val="0"/>
                <w:iCs w:val="0"/>
                <w:color w:val="FF0000"/>
                <w:sz w:val="20"/>
                <w:szCs w:val="20"/>
                <w:u w:val="none"/>
              </w:rPr>
            </w:pPr>
            <w:r>
              <w:rPr>
                <w:rFonts w:hint="eastAsia" w:ascii="宋体" w:hAnsi="宋体" w:eastAsia="宋体" w:cs="宋体"/>
                <w:i w:val="0"/>
                <w:iCs w:val="0"/>
                <w:color w:val="auto"/>
                <w:kern w:val="0"/>
                <w:sz w:val="20"/>
                <w:szCs w:val="20"/>
                <w:u w:val="none"/>
                <w:lang w:val="en-US" w:eastAsia="zh-CN" w:bidi="ar"/>
              </w:rPr>
              <w:t>28.15</w:t>
            </w:r>
          </w:p>
        </w:tc>
        <w:tc>
          <w:tcPr>
            <w:tcW w:w="1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C4B2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81.91%</w:t>
            </w:r>
          </w:p>
        </w:tc>
      </w:tr>
      <w:tr w14:paraId="174E83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5BBAD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7</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B36C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卓尼县人民法院</w:t>
            </w:r>
          </w:p>
        </w:tc>
        <w:tc>
          <w:tcPr>
            <w:tcW w:w="14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8A20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24.00</w:t>
            </w:r>
          </w:p>
        </w:tc>
        <w:tc>
          <w:tcPr>
            <w:tcW w:w="14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7192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6.46</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B984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10.96</w:t>
            </w:r>
          </w:p>
        </w:tc>
        <w:tc>
          <w:tcPr>
            <w:tcW w:w="1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4381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35.98%</w:t>
            </w:r>
          </w:p>
        </w:tc>
      </w:tr>
    </w:tbl>
    <w:p w14:paraId="596B1FCF">
      <w:pPr>
        <w:pStyle w:val="10"/>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outlineLvl w:val="0"/>
        <w:rPr>
          <w:rFonts w:ascii="黑体" w:hAnsi="黑体" w:eastAsia="黑体" w:cs="仿宋"/>
          <w:b w:val="0"/>
          <w:bCs w:val="0"/>
          <w:highlight w:val="none"/>
        </w:rPr>
      </w:pPr>
      <w:r>
        <w:rPr>
          <w:rFonts w:hint="eastAsia" w:ascii="黑体" w:hAnsi="黑体" w:eastAsia="黑体" w:cs="仿宋"/>
          <w:b w:val="0"/>
          <w:bCs w:val="0"/>
          <w:highlight w:val="none"/>
        </w:rPr>
        <w:t>八、有关建议</w:t>
      </w:r>
      <w:bookmarkEnd w:id="159"/>
      <w:bookmarkEnd w:id="160"/>
      <w:bookmarkEnd w:id="161"/>
    </w:p>
    <w:p w14:paraId="4F4E797C">
      <w:pPr>
        <w:keepNext w:val="0"/>
        <w:keepLines w:val="0"/>
        <w:pageBreakBefore w:val="0"/>
        <w:widowControl w:val="0"/>
        <w:kinsoku/>
        <w:wordWrap/>
        <w:overflowPunct w:val="0"/>
        <w:topLinePunct w:val="0"/>
        <w:autoSpaceDE/>
        <w:autoSpaceDN/>
        <w:bidi w:val="0"/>
        <w:adjustRightInd/>
        <w:snapToGrid/>
        <w:spacing w:line="560" w:lineRule="exact"/>
        <w:ind w:firstLine="643" w:firstLineChars="200"/>
        <w:textAlignment w:val="auto"/>
        <w:outlineLvl w:val="1"/>
        <w:rPr>
          <w:rStyle w:val="32"/>
          <w:rFonts w:hint="default" w:ascii="楷体" w:hAnsi="楷体" w:eastAsia="楷体" w:cs="楷体"/>
          <w:szCs w:val="32"/>
          <w:highlight w:val="none"/>
          <w:lang w:val="en-US" w:eastAsia="zh-CN"/>
        </w:rPr>
      </w:pPr>
      <w:bookmarkStart w:id="162" w:name="_Toc12976"/>
      <w:bookmarkStart w:id="163" w:name="_Toc21811"/>
      <w:bookmarkStart w:id="164" w:name="_Toc16358"/>
      <w:bookmarkStart w:id="165" w:name="_Toc14595"/>
      <w:bookmarkStart w:id="166" w:name="_Toc5096"/>
      <w:bookmarkStart w:id="167" w:name="_Toc21313"/>
      <w:bookmarkStart w:id="168" w:name="_Toc10947"/>
      <w:bookmarkStart w:id="169" w:name="_Toc26519"/>
      <w:r>
        <w:rPr>
          <w:rStyle w:val="32"/>
          <w:rFonts w:hint="eastAsia" w:ascii="楷体" w:hAnsi="楷体" w:eastAsia="楷体" w:cs="楷体"/>
          <w:szCs w:val="32"/>
          <w:highlight w:val="none"/>
        </w:rPr>
        <w:t>（一）</w:t>
      </w:r>
      <w:bookmarkEnd w:id="162"/>
      <w:bookmarkEnd w:id="163"/>
      <w:bookmarkEnd w:id="164"/>
      <w:bookmarkEnd w:id="165"/>
      <w:bookmarkEnd w:id="166"/>
      <w:bookmarkEnd w:id="167"/>
      <w:bookmarkEnd w:id="168"/>
      <w:r>
        <w:rPr>
          <w:rStyle w:val="32"/>
          <w:rFonts w:hint="eastAsia" w:ascii="楷体" w:hAnsi="楷体" w:eastAsia="楷体" w:cs="楷体"/>
          <w:szCs w:val="32"/>
          <w:highlight w:val="none"/>
        </w:rPr>
        <w:t>加强绩效管理，提高</w:t>
      </w:r>
      <w:r>
        <w:rPr>
          <w:rStyle w:val="32"/>
          <w:rFonts w:hint="eastAsia" w:ascii="楷体" w:hAnsi="楷体" w:eastAsia="楷体" w:cs="楷体"/>
          <w:szCs w:val="32"/>
          <w:highlight w:val="none"/>
          <w:lang w:val="en-US" w:eastAsia="zh-CN"/>
        </w:rPr>
        <w:t>资金使用效益</w:t>
      </w:r>
      <w:bookmarkEnd w:id="169"/>
    </w:p>
    <w:p w14:paraId="234F8AE7">
      <w:pPr>
        <w:pStyle w:val="10"/>
        <w:keepNext w:val="0"/>
        <w:keepLines w:val="0"/>
        <w:pageBreakBefore w:val="0"/>
        <w:widowControl w:val="0"/>
        <w:kinsoku/>
        <w:wordWrap/>
        <w:overflowPunct w:val="0"/>
        <w:topLinePunct w:val="0"/>
        <w:autoSpaceDE/>
        <w:autoSpaceDN/>
        <w:bidi w:val="0"/>
        <w:adjustRightInd/>
        <w:spacing w:line="560" w:lineRule="exact"/>
        <w:ind w:firstLine="640" w:firstLineChars="200"/>
        <w:textAlignment w:val="auto"/>
        <w:rPr>
          <w:rFonts w:ascii="仿宋_GB2312" w:hAnsi="仿宋_GB2312" w:cs="仿宋_GB2312"/>
          <w:highlight w:val="none"/>
        </w:rPr>
      </w:pPr>
      <w:r>
        <w:rPr>
          <w:rFonts w:hint="eastAsia" w:ascii="仿宋_GB2312" w:hAnsi="仿宋_GB2312" w:cs="仿宋_GB2312"/>
          <w:highlight w:val="none"/>
          <w:lang w:val="en-US" w:eastAsia="zh-CN"/>
        </w:rPr>
        <w:t>一是</w:t>
      </w:r>
      <w:r>
        <w:rPr>
          <w:rFonts w:hint="eastAsia" w:ascii="仿宋_GB2312" w:hAnsi="仿宋_GB2312" w:cs="仿宋_GB2312"/>
          <w:highlight w:val="none"/>
        </w:rPr>
        <w:t>建议</w:t>
      </w:r>
      <w:r>
        <w:rPr>
          <w:rFonts w:hint="eastAsia" w:ascii="仿宋_GB2312" w:hAnsi="仿宋_GB2312" w:cs="仿宋_GB2312"/>
          <w:highlight w:val="none"/>
          <w:lang w:val="en-US" w:eastAsia="zh-CN"/>
        </w:rPr>
        <w:t>各法院</w:t>
      </w:r>
      <w:r>
        <w:rPr>
          <w:rFonts w:hint="eastAsia" w:ascii="仿宋_GB2312" w:hAnsi="仿宋_GB2312" w:cs="仿宋_GB2312"/>
          <w:highlight w:val="none"/>
        </w:rPr>
        <w:t>进行项目申报时，按照</w:t>
      </w:r>
      <w:r>
        <w:rPr>
          <w:rFonts w:hint="eastAsia" w:ascii="仿宋_GB2312" w:hAnsi="仿宋_GB2312" w:cs="仿宋_GB2312"/>
          <w:highlight w:val="none"/>
          <w:lang w:val="en-US" w:eastAsia="zh-CN"/>
        </w:rPr>
        <w:t>相关文件</w:t>
      </w:r>
      <w:r>
        <w:rPr>
          <w:rFonts w:hint="eastAsia" w:ascii="仿宋_GB2312" w:hAnsi="仿宋_GB2312" w:cs="仿宋_GB2312"/>
          <w:highlight w:val="none"/>
        </w:rPr>
        <w:t>要求，根据本年度项目计划内容和上年度工作量填报绩效目标申报表，设定绩效目标时，应与计划期内的任务数相对应，与预算确定的资金量相匹配；绩效目标应具有可行性，对完成任务目标具有约束力，不宜过高或过低，</w:t>
      </w:r>
      <w:r>
        <w:rPr>
          <w:rFonts w:hint="eastAsia" w:ascii="仿宋_GB2312" w:hAnsi="仿宋_GB2312" w:cs="仿宋_GB2312"/>
          <w:highlight w:val="none"/>
          <w:lang w:val="en-US" w:eastAsia="zh-CN"/>
        </w:rPr>
        <w:t>以便</w:t>
      </w:r>
      <w:r>
        <w:rPr>
          <w:rFonts w:hint="eastAsia" w:ascii="仿宋_GB2312" w:hAnsi="仿宋_GB2312" w:cs="仿宋_GB2312"/>
          <w:highlight w:val="none"/>
        </w:rPr>
        <w:t>更好地反映和考核项目绩效目标与项目实施的相符情况，提高预算管理水平。</w:t>
      </w:r>
      <w:r>
        <w:rPr>
          <w:rFonts w:hint="eastAsia" w:ascii="仿宋_GB2312" w:hAnsi="仿宋_GB2312" w:cs="仿宋_GB2312"/>
          <w:highlight w:val="none"/>
          <w:lang w:val="en-US" w:eastAsia="zh-CN"/>
        </w:rPr>
        <w:t>二是</w:t>
      </w:r>
      <w:r>
        <w:rPr>
          <w:rFonts w:hint="eastAsia" w:ascii="仿宋_GB2312" w:hAnsi="仿宋_GB2312" w:cs="仿宋_GB2312"/>
          <w:highlight w:val="none"/>
        </w:rPr>
        <w:t>加强部门自评工作，根据实际情况对项目自评表进行填写，并完善项目自评报告，自评报告应包含项目实施情况、项目预算执行情况，项目存在问题及</w:t>
      </w:r>
      <w:r>
        <w:rPr>
          <w:rFonts w:hint="eastAsia" w:ascii="仿宋_GB2312" w:hAnsi="仿宋_GB2312" w:cs="仿宋_GB2312"/>
          <w:highlight w:val="none"/>
          <w:lang w:val="en-US" w:eastAsia="zh-CN"/>
        </w:rPr>
        <w:t>改进措施</w:t>
      </w:r>
      <w:r>
        <w:rPr>
          <w:rFonts w:hint="eastAsia" w:ascii="仿宋_GB2312" w:hAnsi="仿宋_GB2312" w:cs="仿宋_GB2312"/>
          <w:highlight w:val="none"/>
        </w:rPr>
        <w:t>等，真实、准确地反映项目实际产出、效益及存在的问题。</w:t>
      </w:r>
    </w:p>
    <w:p w14:paraId="3D58C982">
      <w:pPr>
        <w:keepNext w:val="0"/>
        <w:keepLines w:val="0"/>
        <w:pageBreakBefore w:val="0"/>
        <w:widowControl w:val="0"/>
        <w:kinsoku/>
        <w:wordWrap/>
        <w:overflowPunct w:val="0"/>
        <w:topLinePunct w:val="0"/>
        <w:autoSpaceDE/>
        <w:autoSpaceDN/>
        <w:bidi w:val="0"/>
        <w:adjustRightInd/>
        <w:snapToGrid/>
        <w:spacing w:line="560" w:lineRule="exact"/>
        <w:ind w:firstLine="643" w:firstLineChars="200"/>
        <w:textAlignment w:val="auto"/>
        <w:outlineLvl w:val="1"/>
        <w:rPr>
          <w:rStyle w:val="32"/>
          <w:rFonts w:hint="eastAsia" w:ascii="楷体" w:hAnsi="楷体" w:eastAsia="楷体" w:cs="楷体"/>
          <w:szCs w:val="32"/>
          <w:highlight w:val="none"/>
        </w:rPr>
      </w:pPr>
      <w:bookmarkStart w:id="170" w:name="_Toc26807"/>
      <w:bookmarkStart w:id="171" w:name="_Toc22207"/>
      <w:bookmarkStart w:id="172" w:name="_Toc19966"/>
      <w:bookmarkStart w:id="173" w:name="_Toc2427"/>
      <w:r>
        <w:rPr>
          <w:rStyle w:val="32"/>
          <w:rFonts w:hint="eastAsia" w:ascii="楷体" w:hAnsi="楷体" w:eastAsia="楷体" w:cs="楷体"/>
          <w:szCs w:val="32"/>
          <w:highlight w:val="none"/>
        </w:rPr>
        <w:t>（二）严格执行预算</w:t>
      </w:r>
      <w:r>
        <w:rPr>
          <w:rStyle w:val="32"/>
          <w:rFonts w:hint="eastAsia" w:ascii="楷体" w:hAnsi="楷体" w:eastAsia="楷体" w:cs="楷体"/>
          <w:szCs w:val="32"/>
          <w:highlight w:val="none"/>
          <w:lang w:eastAsia="zh-CN"/>
        </w:rPr>
        <w:t>，</w:t>
      </w:r>
      <w:r>
        <w:rPr>
          <w:rStyle w:val="32"/>
          <w:rFonts w:hint="eastAsia" w:ascii="楷体" w:hAnsi="楷体" w:eastAsia="楷体" w:cs="楷体"/>
          <w:szCs w:val="32"/>
          <w:highlight w:val="none"/>
        </w:rPr>
        <w:t>提高财政资金使用效率</w:t>
      </w:r>
    </w:p>
    <w:p w14:paraId="6087DEB4">
      <w:pPr>
        <w:pStyle w:val="15"/>
        <w:keepNext w:val="0"/>
        <w:keepLines w:val="0"/>
        <w:pageBreakBefore w:val="0"/>
        <w:widowControl w:val="0"/>
        <w:kinsoku/>
        <w:wordWrap/>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sz w:val="32"/>
          <w:szCs w:val="32"/>
          <w:highlight w:val="red"/>
          <w:lang w:eastAsia="zh-CN"/>
        </w:rPr>
      </w:pPr>
      <w:r>
        <w:rPr>
          <w:rFonts w:hint="eastAsia" w:ascii="仿宋_GB2312" w:hAnsi="仿宋_GB2312" w:eastAsia="仿宋_GB2312" w:cs="仿宋_GB2312"/>
          <w:kern w:val="2"/>
          <w:sz w:val="32"/>
          <w:szCs w:val="32"/>
          <w:highlight w:val="none"/>
          <w:lang w:val="en-US" w:eastAsia="zh-CN" w:bidi="ar-SA"/>
        </w:rPr>
        <w:t>严格执行预算。落实预算执行分析，在预算的执行阶段，严格控制每笔支出，并定期监控预算资金使用情况，切实提高部门预算收支管理水平</w:t>
      </w:r>
      <w:r>
        <w:rPr>
          <w:rFonts w:hint="eastAsia" w:ascii="仿宋_GB2312" w:hAnsi="仿宋_GB2312" w:eastAsia="仿宋_GB2312" w:cs="仿宋_GB2312"/>
          <w:sz w:val="32"/>
          <w:szCs w:val="32"/>
          <w:highlight w:val="none"/>
        </w:rPr>
        <w:t>。</w:t>
      </w:r>
    </w:p>
    <w:bookmarkEnd w:id="170"/>
    <w:bookmarkEnd w:id="171"/>
    <w:bookmarkEnd w:id="172"/>
    <w:bookmarkEnd w:id="173"/>
    <w:p w14:paraId="562A2B78">
      <w:pPr>
        <w:pStyle w:val="10"/>
        <w:keepNext w:val="0"/>
        <w:keepLines w:val="0"/>
        <w:pageBreakBefore w:val="0"/>
        <w:widowControl w:val="0"/>
        <w:kinsoku/>
        <w:wordWrap/>
        <w:overflowPunct w:val="0"/>
        <w:topLinePunct w:val="0"/>
        <w:autoSpaceDE/>
        <w:autoSpaceDN/>
        <w:bidi w:val="0"/>
        <w:adjustRightInd/>
        <w:spacing w:line="560" w:lineRule="exact"/>
        <w:ind w:firstLine="640" w:firstLineChars="200"/>
        <w:textAlignment w:val="auto"/>
        <w:outlineLvl w:val="0"/>
        <w:rPr>
          <w:rFonts w:ascii="黑体" w:hAnsi="黑体" w:eastAsia="黑体" w:cs="仿宋"/>
          <w:highlight w:val="none"/>
        </w:rPr>
      </w:pPr>
      <w:bookmarkStart w:id="174" w:name="_Toc14765"/>
      <w:bookmarkStart w:id="175" w:name="_Toc3425"/>
      <w:bookmarkStart w:id="176" w:name="_Toc8653"/>
      <w:r>
        <w:rPr>
          <w:rFonts w:hint="eastAsia" w:ascii="黑体" w:hAnsi="黑体" w:eastAsia="黑体" w:cs="仿宋"/>
          <w:highlight w:val="none"/>
        </w:rPr>
        <w:t>九、需要说明的问题</w:t>
      </w:r>
      <w:bookmarkEnd w:id="174"/>
      <w:bookmarkEnd w:id="175"/>
      <w:bookmarkEnd w:id="176"/>
    </w:p>
    <w:p w14:paraId="6580B9D9">
      <w:pPr>
        <w:pStyle w:val="10"/>
        <w:keepNext w:val="0"/>
        <w:keepLines w:val="0"/>
        <w:pageBreakBefore w:val="0"/>
        <w:widowControl w:val="0"/>
        <w:kinsoku/>
        <w:wordWrap/>
        <w:overflowPunct w:val="0"/>
        <w:topLinePunct w:val="0"/>
        <w:autoSpaceDE/>
        <w:autoSpaceDN/>
        <w:bidi w:val="0"/>
        <w:adjustRightInd/>
        <w:spacing w:line="560" w:lineRule="exact"/>
        <w:ind w:firstLine="640" w:firstLineChars="200"/>
        <w:textAlignment w:val="auto"/>
        <w:rPr>
          <w:rFonts w:hint="eastAsia" w:ascii="仿宋_GB2312" w:hAnsi="仿宋_GB2312" w:cs="仿宋_GB2312"/>
          <w:highlight w:val="none"/>
        </w:rPr>
      </w:pPr>
      <w:r>
        <w:rPr>
          <w:rFonts w:hint="eastAsia" w:ascii="仿宋_GB2312" w:hAnsi="仿宋_GB2312" w:cs="仿宋_GB2312"/>
          <w:highlight w:val="none"/>
        </w:rPr>
        <w:t>无。</w:t>
      </w:r>
      <w:bookmarkStart w:id="177" w:name="_Toc28005"/>
    </w:p>
    <w:p w14:paraId="51804AB9">
      <w:pPr>
        <w:pStyle w:val="10"/>
        <w:keepNext w:val="0"/>
        <w:keepLines w:val="0"/>
        <w:pageBreakBefore w:val="0"/>
        <w:widowControl w:val="0"/>
        <w:kinsoku/>
        <w:wordWrap/>
        <w:overflowPunct w:val="0"/>
        <w:topLinePunct w:val="0"/>
        <w:autoSpaceDE/>
        <w:autoSpaceDN/>
        <w:bidi w:val="0"/>
        <w:adjustRightInd/>
        <w:spacing w:line="560" w:lineRule="exact"/>
        <w:ind w:firstLine="640" w:firstLineChars="200"/>
        <w:textAlignment w:val="auto"/>
        <w:outlineLvl w:val="0"/>
        <w:rPr>
          <w:rFonts w:hint="eastAsia" w:ascii="黑体" w:hAnsi="黑体" w:eastAsia="黑体" w:cs="仿宋"/>
          <w:highlight w:val="none"/>
        </w:rPr>
      </w:pPr>
    </w:p>
    <w:p w14:paraId="4D974987">
      <w:pPr>
        <w:pStyle w:val="10"/>
        <w:keepNext w:val="0"/>
        <w:keepLines w:val="0"/>
        <w:pageBreakBefore w:val="0"/>
        <w:widowControl w:val="0"/>
        <w:kinsoku/>
        <w:wordWrap/>
        <w:overflowPunct w:val="0"/>
        <w:topLinePunct w:val="0"/>
        <w:autoSpaceDE/>
        <w:autoSpaceDN/>
        <w:bidi w:val="0"/>
        <w:adjustRightInd/>
        <w:spacing w:line="560" w:lineRule="exact"/>
        <w:ind w:firstLine="640" w:firstLineChars="200"/>
        <w:textAlignment w:val="auto"/>
        <w:outlineLvl w:val="0"/>
        <w:rPr>
          <w:rFonts w:hint="eastAsia" w:ascii="黑体" w:hAnsi="黑体" w:eastAsia="黑体" w:cs="仿宋"/>
          <w:highlight w:val="none"/>
        </w:rPr>
      </w:pPr>
    </w:p>
    <w:p w14:paraId="0EFF4C7E">
      <w:pPr>
        <w:pStyle w:val="10"/>
        <w:keepNext w:val="0"/>
        <w:keepLines w:val="0"/>
        <w:pageBreakBefore w:val="0"/>
        <w:widowControl w:val="0"/>
        <w:kinsoku/>
        <w:wordWrap/>
        <w:overflowPunct w:val="0"/>
        <w:topLinePunct w:val="0"/>
        <w:autoSpaceDE/>
        <w:autoSpaceDN/>
        <w:bidi w:val="0"/>
        <w:adjustRightInd/>
        <w:spacing w:line="560" w:lineRule="exact"/>
        <w:ind w:firstLine="640" w:firstLineChars="200"/>
        <w:textAlignment w:val="auto"/>
        <w:outlineLvl w:val="0"/>
        <w:rPr>
          <w:rFonts w:hint="eastAsia" w:ascii="黑体" w:hAnsi="黑体" w:eastAsia="黑体" w:cs="仿宋"/>
          <w:highlight w:val="none"/>
        </w:rPr>
      </w:pPr>
    </w:p>
    <w:p w14:paraId="001BDA2D">
      <w:pPr>
        <w:pStyle w:val="10"/>
        <w:keepNext w:val="0"/>
        <w:keepLines w:val="0"/>
        <w:pageBreakBefore w:val="0"/>
        <w:widowControl w:val="0"/>
        <w:kinsoku/>
        <w:wordWrap/>
        <w:overflowPunct w:val="0"/>
        <w:topLinePunct w:val="0"/>
        <w:autoSpaceDE/>
        <w:autoSpaceDN/>
        <w:bidi w:val="0"/>
        <w:adjustRightInd/>
        <w:snapToGrid/>
        <w:spacing w:line="560" w:lineRule="exact"/>
        <w:ind w:firstLine="0" w:firstLineChars="0"/>
        <w:textAlignment w:val="auto"/>
        <w:outlineLvl w:val="0"/>
        <w:rPr>
          <w:rFonts w:hint="eastAsia" w:ascii="黑体" w:hAnsi="黑体" w:eastAsia="黑体" w:cs="仿宋"/>
          <w:highlight w:val="none"/>
          <w:lang w:eastAsia="zh-CN"/>
        </w:rPr>
      </w:pPr>
      <w:r>
        <w:rPr>
          <w:rFonts w:hint="eastAsia" w:ascii="仿宋_GB2312" w:hAnsi="仿宋_GB2312" w:cs="仿宋_GB2312"/>
          <w:highlight w:val="none"/>
          <w:lang w:eastAsia="zh-CN"/>
        </w:rPr>
        <w:t>（</w:t>
      </w:r>
      <w:r>
        <w:rPr>
          <w:rFonts w:hint="eastAsia" w:ascii="仿宋_GB2312" w:hAnsi="仿宋_GB2312" w:cs="仿宋_GB2312"/>
          <w:highlight w:val="none"/>
          <w:lang w:val="en-US" w:eastAsia="zh-CN"/>
        </w:rPr>
        <w:t>此页无正文</w:t>
      </w:r>
      <w:r>
        <w:rPr>
          <w:rFonts w:hint="eastAsia" w:ascii="仿宋_GB2312" w:hAnsi="仿宋_GB2312" w:cs="仿宋_GB2312"/>
          <w:highlight w:val="none"/>
          <w:lang w:eastAsia="zh-CN"/>
        </w:rPr>
        <w:t>）</w:t>
      </w:r>
    </w:p>
    <w:p w14:paraId="6D5A9A52">
      <w:pPr>
        <w:pStyle w:val="10"/>
        <w:keepNext w:val="0"/>
        <w:keepLines w:val="0"/>
        <w:pageBreakBefore w:val="0"/>
        <w:widowControl w:val="0"/>
        <w:kinsoku/>
        <w:wordWrap/>
        <w:overflowPunct w:val="0"/>
        <w:topLinePunct w:val="0"/>
        <w:autoSpaceDE/>
        <w:autoSpaceDN/>
        <w:bidi w:val="0"/>
        <w:adjustRightInd/>
        <w:spacing w:line="560" w:lineRule="exact"/>
        <w:ind w:firstLine="640" w:firstLineChars="200"/>
        <w:textAlignment w:val="auto"/>
        <w:outlineLvl w:val="0"/>
        <w:rPr>
          <w:rFonts w:hint="eastAsia" w:ascii="黑体" w:hAnsi="黑体" w:eastAsia="黑体" w:cs="仿宋"/>
          <w:highlight w:val="none"/>
        </w:rPr>
      </w:pPr>
    </w:p>
    <w:p w14:paraId="5D656695">
      <w:pPr>
        <w:pStyle w:val="10"/>
        <w:keepNext w:val="0"/>
        <w:keepLines w:val="0"/>
        <w:pageBreakBefore w:val="0"/>
        <w:widowControl w:val="0"/>
        <w:kinsoku/>
        <w:wordWrap/>
        <w:overflowPunct w:val="0"/>
        <w:topLinePunct w:val="0"/>
        <w:autoSpaceDE/>
        <w:autoSpaceDN/>
        <w:bidi w:val="0"/>
        <w:adjustRightInd/>
        <w:spacing w:line="560" w:lineRule="exact"/>
        <w:ind w:firstLine="640" w:firstLineChars="200"/>
        <w:textAlignment w:val="auto"/>
        <w:outlineLvl w:val="0"/>
        <w:rPr>
          <w:rFonts w:hint="eastAsia" w:ascii="黑体" w:hAnsi="黑体" w:eastAsia="黑体" w:cs="仿宋"/>
          <w:highlight w:val="none"/>
        </w:rPr>
      </w:pPr>
      <w:r>
        <w:rPr>
          <w:rFonts w:hint="eastAsia" w:ascii="黑体" w:hAnsi="黑体" w:eastAsia="黑体" w:cs="仿宋"/>
          <w:highlight w:val="none"/>
        </w:rPr>
        <w:t>附件：</w:t>
      </w:r>
    </w:p>
    <w:p w14:paraId="0A8CA4E7">
      <w:pPr>
        <w:pStyle w:val="10"/>
        <w:keepNext w:val="0"/>
        <w:keepLines w:val="0"/>
        <w:pageBreakBefore w:val="0"/>
        <w:widowControl w:val="0"/>
        <w:kinsoku/>
        <w:wordWrap/>
        <w:overflowPunct w:val="0"/>
        <w:topLinePunct w:val="0"/>
        <w:autoSpaceDE/>
        <w:autoSpaceDN/>
        <w:bidi w:val="0"/>
        <w:adjustRightInd/>
        <w:spacing w:line="560" w:lineRule="exact"/>
        <w:ind w:firstLine="1280" w:firstLineChars="400"/>
        <w:textAlignment w:val="auto"/>
        <w:rPr>
          <w:rFonts w:ascii="仿宋_GB2312" w:hAnsi="仿宋_GB2312" w:cs="仿宋_GB2312"/>
          <w:highlight w:val="none"/>
        </w:rPr>
      </w:pPr>
      <w:r>
        <w:rPr>
          <w:rFonts w:hint="eastAsia" w:ascii="仿宋_GB2312" w:hAnsi="仿宋_GB2312" w:cs="仿宋_GB2312"/>
          <w:highlight w:val="none"/>
        </w:rPr>
        <w:t>1.</w:t>
      </w:r>
      <w:bookmarkEnd w:id="177"/>
      <w:r>
        <w:rPr>
          <w:rFonts w:hint="eastAsia" w:ascii="仿宋_GB2312" w:hAnsi="仿宋_GB2312" w:cs="仿宋_GB2312"/>
          <w:highlight w:val="none"/>
          <w:lang w:eastAsia="zh-CN"/>
        </w:rPr>
        <w:t>法庭运维费</w:t>
      </w:r>
      <w:r>
        <w:rPr>
          <w:rFonts w:hint="eastAsia" w:ascii="仿宋_GB2312" w:hAnsi="仿宋_GB2312" w:cs="仿宋_GB2312"/>
          <w:highlight w:val="none"/>
        </w:rPr>
        <w:t>项目支出绩效评价评分表</w:t>
      </w:r>
    </w:p>
    <w:p w14:paraId="38002010">
      <w:pPr>
        <w:pStyle w:val="10"/>
        <w:keepNext w:val="0"/>
        <w:keepLines w:val="0"/>
        <w:pageBreakBefore w:val="0"/>
        <w:widowControl w:val="0"/>
        <w:kinsoku/>
        <w:wordWrap/>
        <w:overflowPunct w:val="0"/>
        <w:topLinePunct w:val="0"/>
        <w:autoSpaceDE/>
        <w:autoSpaceDN/>
        <w:bidi w:val="0"/>
        <w:adjustRightInd/>
        <w:spacing w:line="560" w:lineRule="exact"/>
        <w:ind w:firstLine="1280" w:firstLineChars="400"/>
        <w:textAlignment w:val="auto"/>
        <w:rPr>
          <w:rFonts w:ascii="仿宋_GB2312" w:hAnsi="仿宋_GB2312" w:cs="仿宋_GB2312"/>
          <w:highlight w:val="none"/>
        </w:rPr>
      </w:pPr>
      <w:bookmarkStart w:id="178" w:name="_Toc15958"/>
      <w:r>
        <w:rPr>
          <w:rFonts w:hint="eastAsia" w:ascii="仿宋_GB2312" w:hAnsi="仿宋_GB2312" w:cs="仿宋_GB2312"/>
          <w:highlight w:val="none"/>
        </w:rPr>
        <w:t>2.</w:t>
      </w:r>
      <w:r>
        <w:rPr>
          <w:rFonts w:hint="eastAsia" w:ascii="仿宋_GB2312" w:hAnsi="仿宋_GB2312" w:cs="仿宋_GB2312"/>
          <w:highlight w:val="none"/>
          <w:lang w:eastAsia="zh-CN"/>
        </w:rPr>
        <w:t>法庭运维费</w:t>
      </w:r>
      <w:r>
        <w:rPr>
          <w:rFonts w:hint="eastAsia" w:ascii="仿宋_GB2312" w:hAnsi="仿宋_GB2312" w:cs="仿宋_GB2312"/>
          <w:highlight w:val="none"/>
        </w:rPr>
        <w:t>项目问题清单</w:t>
      </w:r>
    </w:p>
    <w:bookmarkEnd w:id="178"/>
    <w:p w14:paraId="246C034F">
      <w:pPr>
        <w:pStyle w:val="16"/>
        <w:overflowPunct w:val="0"/>
        <w:rPr>
          <w:rFonts w:ascii="仿宋" w:hAnsi="仿宋" w:eastAsia="仿宋" w:cs="仿宋"/>
          <w:sz w:val="32"/>
          <w:szCs w:val="32"/>
          <w:highlight w:val="none"/>
        </w:rPr>
      </w:pPr>
    </w:p>
    <w:p w14:paraId="06853F85">
      <w:pPr>
        <w:pStyle w:val="16"/>
        <w:overflowPunct w:val="0"/>
        <w:rPr>
          <w:rFonts w:ascii="仿宋_GB2312" w:hAnsi="仿宋_GB2312" w:eastAsia="仿宋_GB2312" w:cs="仿宋_GB2312"/>
          <w:sz w:val="32"/>
          <w:szCs w:val="32"/>
          <w:highlight w:val="none"/>
        </w:rPr>
      </w:pPr>
    </w:p>
    <w:p w14:paraId="79995086">
      <w:pPr>
        <w:pStyle w:val="16"/>
        <w:overflowPunct w:val="0"/>
        <w:rPr>
          <w:rFonts w:ascii="仿宋_GB2312" w:hAnsi="仿宋_GB2312" w:eastAsia="仿宋_GB2312" w:cs="仿宋_GB2312"/>
          <w:sz w:val="32"/>
          <w:szCs w:val="32"/>
          <w:highlight w:val="none"/>
        </w:rPr>
      </w:pPr>
    </w:p>
    <w:p w14:paraId="7B237FA3">
      <w:pPr>
        <w:pStyle w:val="16"/>
        <w:overflowPunct w:val="0"/>
        <w:rPr>
          <w:rFonts w:ascii="仿宋_GB2312" w:hAnsi="仿宋_GB2312" w:eastAsia="仿宋_GB2312" w:cs="仿宋_GB2312"/>
          <w:sz w:val="32"/>
          <w:szCs w:val="32"/>
          <w:highlight w:val="none"/>
        </w:rPr>
      </w:pPr>
    </w:p>
    <w:p w14:paraId="754F7376">
      <w:pPr>
        <w:pStyle w:val="16"/>
        <w:overflowPunct w:val="0"/>
        <w:rPr>
          <w:rFonts w:ascii="仿宋_GB2312" w:hAnsi="仿宋_GB2312" w:eastAsia="仿宋_GB2312" w:cs="仿宋_GB2312"/>
          <w:sz w:val="32"/>
          <w:szCs w:val="32"/>
          <w:highlight w:val="none"/>
        </w:rPr>
      </w:pPr>
    </w:p>
    <w:p w14:paraId="14332A32">
      <w:pPr>
        <w:pStyle w:val="16"/>
        <w:overflowPunct w:val="0"/>
        <w:rPr>
          <w:rFonts w:ascii="仿宋_GB2312" w:hAnsi="仿宋_GB2312" w:eastAsia="仿宋_GB2312" w:cs="仿宋_GB2312"/>
          <w:sz w:val="32"/>
          <w:szCs w:val="32"/>
          <w:highlight w:val="none"/>
        </w:rPr>
      </w:pPr>
    </w:p>
    <w:p w14:paraId="2539A079">
      <w:pPr>
        <w:pStyle w:val="16"/>
        <w:overflowPunct w:val="0"/>
        <w:rPr>
          <w:rFonts w:ascii="仿宋_GB2312" w:hAnsi="仿宋_GB2312" w:eastAsia="仿宋_GB2312" w:cs="仿宋_GB2312"/>
          <w:sz w:val="32"/>
          <w:szCs w:val="32"/>
          <w:highlight w:val="none"/>
        </w:rPr>
      </w:pPr>
    </w:p>
    <w:p w14:paraId="491A0B9E">
      <w:pPr>
        <w:pStyle w:val="16"/>
        <w:overflowPunct w:val="0"/>
        <w:rPr>
          <w:rFonts w:ascii="仿宋_GB2312" w:hAnsi="仿宋_GB2312" w:eastAsia="仿宋_GB2312" w:cs="仿宋_GB2312"/>
          <w:sz w:val="32"/>
          <w:szCs w:val="32"/>
          <w:highlight w:val="none"/>
        </w:rPr>
      </w:pPr>
    </w:p>
    <w:p w14:paraId="474228CD">
      <w:pPr>
        <w:pStyle w:val="16"/>
        <w:overflowPunct w:val="0"/>
        <w:rPr>
          <w:rFonts w:ascii="仿宋_GB2312" w:hAnsi="仿宋_GB2312" w:eastAsia="仿宋_GB2312" w:cs="仿宋_GB2312"/>
          <w:sz w:val="32"/>
          <w:szCs w:val="32"/>
          <w:highlight w:val="none"/>
        </w:rPr>
      </w:pPr>
    </w:p>
    <w:p w14:paraId="4ECA63C2">
      <w:pPr>
        <w:pStyle w:val="16"/>
        <w:overflowPunct w:val="0"/>
        <w:rPr>
          <w:rFonts w:ascii="仿宋_GB2312" w:hAnsi="仿宋_GB2312" w:eastAsia="仿宋_GB2312" w:cs="仿宋_GB2312"/>
          <w:sz w:val="32"/>
          <w:szCs w:val="32"/>
          <w:highlight w:val="none"/>
        </w:rPr>
      </w:pPr>
    </w:p>
    <w:p w14:paraId="4220EF68">
      <w:pPr>
        <w:pStyle w:val="16"/>
        <w:overflowPunct w:val="0"/>
        <w:rPr>
          <w:rFonts w:ascii="仿宋_GB2312" w:hAnsi="仿宋_GB2312" w:eastAsia="仿宋_GB2312" w:cs="仿宋_GB2312"/>
          <w:sz w:val="32"/>
          <w:szCs w:val="32"/>
          <w:highlight w:val="none"/>
        </w:rPr>
      </w:pPr>
    </w:p>
    <w:p w14:paraId="4F1FA114">
      <w:pPr>
        <w:pStyle w:val="16"/>
        <w:overflowPunct w:val="0"/>
        <w:rPr>
          <w:rFonts w:ascii="仿宋_GB2312" w:hAnsi="仿宋_GB2312" w:eastAsia="仿宋_GB2312" w:cs="仿宋_GB2312"/>
          <w:sz w:val="32"/>
          <w:szCs w:val="32"/>
          <w:highlight w:val="none"/>
        </w:rPr>
      </w:pPr>
    </w:p>
    <w:p w14:paraId="169B3679">
      <w:pPr>
        <w:pStyle w:val="16"/>
        <w:overflowPunct w:val="0"/>
        <w:rPr>
          <w:rFonts w:ascii="仿宋_GB2312" w:hAnsi="仿宋_GB2312" w:eastAsia="仿宋_GB2312" w:cs="仿宋_GB2312"/>
          <w:sz w:val="32"/>
          <w:szCs w:val="32"/>
          <w:highlight w:val="none"/>
        </w:rPr>
      </w:pPr>
    </w:p>
    <w:p w14:paraId="2259949D">
      <w:pPr>
        <w:pStyle w:val="16"/>
        <w:overflowPunct w:val="0"/>
        <w:rPr>
          <w:rFonts w:ascii="仿宋_GB2312" w:hAnsi="仿宋_GB2312" w:eastAsia="仿宋_GB2312" w:cs="仿宋_GB2312"/>
          <w:sz w:val="32"/>
          <w:szCs w:val="32"/>
          <w:highlight w:val="none"/>
        </w:rPr>
      </w:pPr>
    </w:p>
    <w:p w14:paraId="7A03B248">
      <w:pPr>
        <w:pStyle w:val="16"/>
        <w:overflowPunct w:val="0"/>
        <w:rPr>
          <w:rFonts w:ascii="仿宋_GB2312" w:hAnsi="仿宋_GB2312" w:eastAsia="仿宋_GB2312" w:cs="仿宋_GB2312"/>
          <w:sz w:val="32"/>
          <w:szCs w:val="32"/>
          <w:highlight w:val="none"/>
        </w:rPr>
      </w:pPr>
    </w:p>
    <w:p w14:paraId="7158BBD9">
      <w:pPr>
        <w:pStyle w:val="16"/>
        <w:overflowPunct w:val="0"/>
        <w:rPr>
          <w:rFonts w:ascii="仿宋_GB2312" w:hAnsi="仿宋_GB2312" w:eastAsia="仿宋_GB2312" w:cs="仿宋_GB2312"/>
          <w:sz w:val="32"/>
          <w:szCs w:val="32"/>
          <w:highlight w:val="none"/>
        </w:rPr>
      </w:pPr>
    </w:p>
    <w:p w14:paraId="4BF0C5CD">
      <w:pPr>
        <w:pStyle w:val="16"/>
        <w:overflowPunct w:val="0"/>
        <w:rPr>
          <w:rFonts w:ascii="仿宋_GB2312" w:hAnsi="仿宋_GB2312" w:eastAsia="仿宋_GB2312" w:cs="仿宋_GB2312"/>
          <w:sz w:val="32"/>
          <w:szCs w:val="32"/>
          <w:highlight w:val="none"/>
        </w:rPr>
      </w:pPr>
    </w:p>
    <w:p w14:paraId="24E1AD8C">
      <w:pPr>
        <w:pStyle w:val="16"/>
        <w:overflowPunct w:val="0"/>
        <w:rPr>
          <w:rFonts w:ascii="仿宋_GB2312" w:hAnsi="仿宋_GB2312" w:eastAsia="仿宋_GB2312" w:cs="仿宋_GB2312"/>
          <w:sz w:val="32"/>
          <w:szCs w:val="32"/>
          <w:highlight w:val="none"/>
        </w:rPr>
      </w:pPr>
    </w:p>
    <w:p w14:paraId="6D6A4A5F">
      <w:pPr>
        <w:pStyle w:val="16"/>
        <w:overflowPunct w:val="0"/>
        <w:rPr>
          <w:rFonts w:ascii="仿宋_GB2312" w:hAnsi="仿宋_GB2312" w:eastAsia="仿宋_GB2312" w:cs="仿宋_GB2312"/>
          <w:sz w:val="32"/>
          <w:szCs w:val="32"/>
          <w:highlight w:val="none"/>
        </w:rPr>
      </w:pPr>
    </w:p>
    <w:p w14:paraId="5526CE71">
      <w:pPr>
        <w:pStyle w:val="16"/>
        <w:overflowPunct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 xml:space="preserve">                      </w:t>
      </w:r>
      <w:r>
        <w:rPr>
          <w:rFonts w:hint="eastAsia" w:ascii="仿宋_GB2312" w:hAnsi="仿宋_GB2312" w:eastAsia="仿宋_GB2312" w:cs="仿宋_GB2312"/>
          <w:sz w:val="32"/>
          <w:szCs w:val="32"/>
          <w:highlight w:val="none"/>
          <w:lang w:val="en-US" w:eastAsia="zh-CN"/>
        </w:rPr>
        <w:t xml:space="preserve">  </w:t>
      </w:r>
      <w:r>
        <w:rPr>
          <w:rFonts w:hint="eastAsia" w:ascii="仿宋_GB2312" w:hAnsi="仿宋_GB2312" w:eastAsia="仿宋_GB2312" w:cs="仿宋_GB2312"/>
          <w:sz w:val="32"/>
          <w:szCs w:val="32"/>
          <w:highlight w:val="none"/>
        </w:rPr>
        <w:t xml:space="preserve">  </w:t>
      </w:r>
      <w:r>
        <w:rPr>
          <w:rFonts w:hint="eastAsia" w:ascii="仿宋_GB2312" w:hAnsi="仿宋_GB2312" w:eastAsia="仿宋_GB2312" w:cs="仿宋_GB2312"/>
          <w:sz w:val="32"/>
          <w:szCs w:val="32"/>
          <w:highlight w:val="none"/>
          <w:lang w:val="en-US" w:eastAsia="zh-CN"/>
        </w:rPr>
        <w:t xml:space="preserve"> </w:t>
      </w:r>
      <w:r>
        <w:rPr>
          <w:rFonts w:hint="eastAsia" w:ascii="仿宋_GB2312" w:hAnsi="仿宋_GB2312" w:eastAsia="仿宋_GB2312" w:cs="仿宋_GB2312"/>
          <w:sz w:val="32"/>
          <w:szCs w:val="32"/>
          <w:highlight w:val="none"/>
        </w:rPr>
        <w:t xml:space="preserve"> 甘肃卓诚财务咨询有限公司</w:t>
      </w:r>
    </w:p>
    <w:p w14:paraId="2ED3D8B5">
      <w:pPr>
        <w:pStyle w:val="16"/>
        <w:overflowPunct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 xml:space="preserve">                                     </w:t>
      </w:r>
    </w:p>
    <w:p w14:paraId="6A5B8FA9">
      <w:pPr>
        <w:pStyle w:val="16"/>
        <w:overflowPunct w:val="0"/>
        <w:ind w:firstLine="5120" w:firstLineChars="160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7</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31日</w:t>
      </w:r>
    </w:p>
    <w:sectPr>
      <w:pgSz w:w="11906" w:h="16838"/>
      <w:pgMar w:top="1417" w:right="1474" w:bottom="1417" w:left="1587" w:header="851" w:footer="992" w:gutter="0"/>
      <w:pgBorders>
        <w:top w:val="none" w:sz="0" w:space="0"/>
        <w:left w:val="none" w:sz="0" w:space="0"/>
        <w:bottom w:val="none" w:sz="0" w:space="0"/>
        <w:right w:val="none" w:sz="0" w:space="0"/>
      </w:pgBorders>
      <w:cols w:space="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38FDE7C-4248-4609-A433-731AF1C2F28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2" w:fontKey="{BD2DB097-EC8A-485D-939C-CBC81D575507}"/>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embedRegular r:id="rId3" w:fontKey="{32BB3899-1639-4A90-B4C0-08DB444302F1}"/>
  </w:font>
  <w:font w:name="方正小标宋简体">
    <w:panose1 w:val="02000000000000000000"/>
    <w:charset w:val="86"/>
    <w:family w:val="script"/>
    <w:pitch w:val="default"/>
    <w:sig w:usb0="00000001" w:usb1="08000000" w:usb2="00000000" w:usb3="00000000" w:csb0="00040000" w:csb1="00000000"/>
    <w:embedRegular r:id="rId4" w:fontKey="{B195CAF9-AB0A-46DA-89D0-871CCF4DD8B5}"/>
  </w:font>
  <w:font w:name="楷体">
    <w:panose1 w:val="02010609060101010101"/>
    <w:charset w:val="86"/>
    <w:family w:val="modern"/>
    <w:pitch w:val="default"/>
    <w:sig w:usb0="800002BF" w:usb1="38CF7CFA" w:usb2="00000016" w:usb3="00000000" w:csb0="00040001" w:csb1="00000000"/>
    <w:embedRegular r:id="rId5" w:fontKey="{067FEA9E-2237-4F9E-8505-7097781D7495}"/>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FE043C">
    <w:pPr>
      <w:pStyle w:val="15"/>
    </w:pPr>
    <w:r>
      <w:rPr>
        <w:rFonts w:hint="eastAsia" w:ascii="黑体" w:hAnsi="黑体" w:eastAsia="黑体" w:cs="黑体"/>
      </w:rPr>
      <w:t>地址：甘肃省兰州市城关区南滨河东路5148号名城广场1栋1单元20层2016室       电话：0931-2906259</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515D0D">
    <w:pPr>
      <w:pStyle w:val="15"/>
      <w:pBdr>
        <w:top w:val="single" w:color="auto" w:sz="4" w:space="0"/>
      </w:pBdr>
      <w:jc w:val="center"/>
      <w:rPr>
        <w:rFonts w:ascii="黑体" w:hAnsi="黑体" w:eastAsia="黑体" w:cs="黑体"/>
      </w:rPr>
    </w:pPr>
    <w:r>
      <w:rPr>
        <w:rFonts w:hint="eastAsia" w:ascii="黑体" w:hAnsi="黑体" w:eastAsia="黑体" w:cs="黑体"/>
      </w:rPr>
      <w:t>地址：甘肃省兰州市城关区南滨河东路5148号名城广场1栋1单元20层2016室       电话：0931-2906259</w:t>
    </w:r>
  </w:p>
  <w:p w14:paraId="0E4FD7CE">
    <w:pPr>
      <w:pStyle w:val="1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9A7BF8">
    <w:pPr>
      <w:pStyle w:val="15"/>
      <w:pBdr>
        <w:top w:val="single" w:color="auto" w:sz="4" w:space="0"/>
      </w:pBdr>
      <w:jc w:val="center"/>
      <w:rPr>
        <w:rFonts w:ascii="黑体" w:hAnsi="黑体" w:eastAsia="黑体" w:cs="黑体"/>
      </w:rPr>
    </w:pPr>
    <w:r>
      <w:rPr>
        <w:rFonts w:hint="eastAsia" w:ascii="黑体" w:hAnsi="黑体" w:eastAsia="黑体" w:cs="黑体"/>
      </w:rPr>
      <w:t>地址：甘肃省兰州市城关区南滨河东路5148号名城广场1栋1单元20层2016室       电话：0931-2906259</w:t>
    </w:r>
  </w:p>
  <w:p w14:paraId="39DD72D2">
    <w:pPr>
      <w:pStyle w:val="1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BA1418">
    <w:pPr>
      <w:pStyle w:val="15"/>
      <w:pBdr>
        <w:top w:val="single" w:color="auto" w:sz="4" w:space="0"/>
      </w:pBdr>
      <w:jc w:val="center"/>
      <w:rPr>
        <w:rFonts w:ascii="黑体" w:hAnsi="黑体" w:eastAsia="黑体" w:cs="黑体"/>
      </w:rPr>
    </w:pPr>
    <w:r>
      <w:rPr>
        <w:rFonts w:hint="eastAsia" w:ascii="黑体" w:hAnsi="黑体" w:eastAsia="黑体" w:cs="黑体"/>
      </w:rPr>
      <w:t>地址：甘肃省兰州市城关区南滨河东路5148号名城广场1栋1单元20层2016室       电话：0931-2906259</w:t>
    </w:r>
  </w:p>
  <w:p w14:paraId="1E5CC6DB">
    <w:pPr>
      <w:pStyle w:val="15"/>
    </w:pPr>
    <w:r>
      <mc:AlternateContent>
        <mc:Choice Requires="wps">
          <w:drawing>
            <wp:anchor distT="0" distB="0" distL="114300" distR="114300" simplePos="0" relativeHeight="251659264" behindDoc="0" locked="0" layoutInCell="1" allowOverlap="1">
              <wp:simplePos x="0" y="0"/>
              <wp:positionH relativeFrom="margin">
                <wp:posOffset>2573020</wp:posOffset>
              </wp:positionH>
              <wp:positionV relativeFrom="paragraph">
                <wp:posOffset>114300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9D8F4DB">
                          <w:pPr>
                            <w:pStyle w:val="15"/>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202.6pt;margin-top:9pt;height:144pt;width:144pt;mso-position-horizontal-relative:margin;mso-wrap-style:none;z-index:251659264;mso-width-relative:page;mso-height-relative:page;" filled="f" stroked="f" coordsize="21600,21600" o:gfxdata="UEsDBAoAAAAAAIdO4kAAAAAAAAAAAAAAAAAEAAAAZHJzL1BLAwQUAAAACACHTuJAFe1ZgdcAAAAK&#10;AQAADwAAAGRycy9kb3ducmV2LnhtbE2PzU7DMBCE70i8g7VI3KjdpkRtiFOJinBEouHA0Y23ScA/&#10;ke2m4e1ZTvS4M59mZ8rdbA2bMMTBOwnLhQCGrvV6cJ2Ej6Z+2ACLSTmtjHco4Qcj7Krbm1IV2l/c&#10;O06H1DEKcbFQEvqUxoLz2PZoVVz4ER15Jx+sSnSGjuugLhRuDV8JkXOrBkcfejXivsf2+3C2EvZ1&#10;04QJYzCf+FpnX2/Pa3yZpby/W4onYAnn9A/DX32qDhV1Ovqz05EZCWvxuCKUjA1tIiDfZiQcJWQi&#10;F8Crkl9PqH4BUEsDBBQAAAAIAIdO4kCvY9gwLAIAAFUEAAAOAAAAZHJzL2Uyb0RvYy54bWytVM2O&#10;0zAQviPxDpbvNGlRV1XVdFW2KkKq2JUK4uw6ThPJf7LdJuUB4A04ceHOc/U59nN+umjhsAcuztgz&#10;/sbfNzNZ3DZKkpNwvjI6o+NRSonQ3OSVPmT086fNmxklPjCdM2m0yOhZeHq7fP1qUdu5mJjSyFw4&#10;AhDt57XNaBmCnSeJ56VQzI+MFRrOwjjFArbukOSO1UBXMpmk6U1SG5dbZ7jwHqfrzkl7RPcSQFMU&#10;FRdrw49K6NChOiFZACVfVtbTZfvaohA83BeFF4HIjIJpaFckgb2Pa7JcsPnBMVtWvH8Ce8kTnnFS&#10;rNJIeoVas8DI0VV/QamKO+NNEUbcqKQj0ioCFuP0mTa7klnRcoHU3l5F9/8Pln88PThS5RmdUqKZ&#10;QsEvP75ffv6+/PpGplGe2vo5onYWcaF5Zxo0zXDucRhZN4VT8Qs+BH6Ie76KK5pAeLw0m8xmKVwc&#10;vmED/OTpunU+vBdGkWhk1KF6rajstPWhCx1CYjZtNpWUbQWlJnVGb95O0/bC1QNwqZEjkugeG63Q&#10;7Jue2d7kZxBzpusMb/mmQvIt8+GBObQCHoxhCfdYCmmQxPQWJaVxX/91HuNRIXgpqdFaGdWYJErk&#10;B43KATAMhhuM/WDoo7oz6NUxhtDy1sQFF+RgFs6oL5igVcwBF9McmTIaBvMudO2NCeRitWqD0GuW&#10;ha3eWR6ho3jero4BAra6RlE6JXqt0G1tZfrJiO38576Nevob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Fe1ZgdcAAAAKAQAADwAAAAAAAAABACAAAAAiAAAAZHJzL2Rvd25yZXYueG1sUEsBAhQA&#10;FAAAAAgAh07iQK9j2DAsAgAAVQQAAA4AAAAAAAAAAQAgAAAAJgEAAGRycy9lMm9Eb2MueG1sUEsF&#10;BgAAAAAGAAYAWQEAAMQFAAAAAA==&#10;">
              <v:fill on="f" focussize="0,0"/>
              <v:stroke on="f" weight="0.5pt"/>
              <v:imagedata o:title=""/>
              <o:lock v:ext="edit" aspectratio="f"/>
              <v:textbox inset="0mm,0mm,0mm,0mm" style="mso-fit-shape-to-text:t;">
                <w:txbxContent>
                  <w:p w14:paraId="69D8F4DB">
                    <w:pPr>
                      <w:pStyle w:val="15"/>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5027F9">
    <w:pPr>
      <w:pStyle w:val="15"/>
      <w:pBdr>
        <w:top w:val="single" w:color="auto" w:sz="4" w:space="1"/>
        <w:left w:val="none" w:color="auto" w:sz="0" w:space="4"/>
        <w:bottom w:val="none" w:color="auto" w:sz="0" w:space="1"/>
        <w:right w:val="none" w:color="auto" w:sz="0" w:space="4"/>
      </w:pBdr>
      <w:spacing w:line="360" w:lineRule="auto"/>
      <w:jc w:val="both"/>
    </w:pPr>
    <w:r>
      <mc:AlternateContent>
        <mc:Choice Requires="wps">
          <w:drawing>
            <wp:anchor distT="0" distB="0" distL="114300" distR="114300" simplePos="0" relativeHeight="251660288" behindDoc="0" locked="0" layoutInCell="1" allowOverlap="1">
              <wp:simplePos x="0" y="0"/>
              <wp:positionH relativeFrom="margin">
                <wp:posOffset>2546985</wp:posOffset>
              </wp:positionH>
              <wp:positionV relativeFrom="paragraph">
                <wp:posOffset>229235</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037BFC6">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200.55pt;margin-top:18.05pt;height:144pt;width:144pt;mso-position-horizontal-relative:margin;mso-wrap-style:none;z-index:251660288;mso-width-relative:page;mso-height-relative:page;" filled="f" stroked="f" coordsize="21600,21600" o:gfxdata="UEsDBAoAAAAAAIdO4kAAAAAAAAAAAAAAAAAEAAAAZHJzL1BLAwQUAAAACACHTuJA9GUTBNYAAAAK&#10;AQAADwAAAGRycy9kb3ducmV2LnhtbE2Py07DMBBF90j8gzVI7KjjNopKiFOJirBEomHB0o2nSYof&#10;ke2m4e8ZVrCa19W9Z6rdYg2bMcTROwlilQFD13k9ul7CR9s8bIHFpJxWxjuU8I0RdvXtTaVK7a/u&#10;HedD6hmZuFgqCUNKU8l57Aa0Kq78hI5uJx+sSjSGnuugrmRuDV9nWcGtGh0lDGrC/YDd1+FiJeyb&#10;tg0zxmA+8bXZnN+ec3xZpLy/E9kTsIRL+hPDLz6hQ01MR39xOjIjIc+EIKmETUGVBMX2kZojLda5&#10;AF5X/P8L9Q9QSwMEFAAAAAgAh07iQCbVWnMqAgAAVQQAAA4AAABkcnMvZTJvRG9jLnhtbK1UzY7T&#10;MBC+I/EOlu80bRFVVTVdla2KkCp2pQVxdh2nieQ/2W6T8gDwBpy4cOe5+hx8dpIuWjjsgYsz9oy/&#10;8ffNTJY3rZLkJJyvjc7pZDSmRGhuilofcvrp4/bVnBIfmC6YNFrk9Cw8vVm9fLFs7EJMTWVkIRwB&#10;iPaLxua0CsEusszzSijmR8YKDWdpnGIBW3fICscaoCuZTcfjWdYYV1hnuPAep5vOSXtE9xxAU5Y1&#10;FxvDj0ro0KE6IVkAJV/V1tNVem1ZCh7uytKLQGROwTSkFUlg7+OarZZscXDMVjXvn8Ce84QnnBSr&#10;NZJeoTYsMHJ09V9QqubOeFOGETcq64gkRcBiMn6izUPFrEhcILW3V9H9/4PlH073jtRFTmeUaKZQ&#10;8Mv3b5cfvy4/v5JZlKexfoGoB4u40L41LZpmOPc4jKzb0qn4BR8CP8Q9X8UVbSA8XppP5/MxXBy+&#10;YQP87PG6dT68E0aRaOTUoXpJVHba+dCFDiExmzbbWspUQalJAwqv34zThasH4FIjRyTRPTZaod23&#10;PbO9Kc4g5kzXGd7ybY3kO+bDPXNoBTwYwxLusJTSIInpLUoq47786zzGo0LwUtKgtXKqMUmUyPca&#10;lQNgGAw3GPvB0Ed1a9CrEwyh5cnEBRfkYJbOqM+YoHXMARfTHJlyGgbzNnTtjQnkYr1OQeg1y8JO&#10;P1geoaN43q6PAQImXaMonRK9Vui2VJl+MmI7/7lPUY9/g9V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9GUTBNYAAAAKAQAADwAAAAAAAAABACAAAAAiAAAAZHJzL2Rvd25yZXYueG1sUEsBAhQAFAAA&#10;AAgAh07iQCbVWnMqAgAAVQQAAA4AAAAAAAAAAQAgAAAAJQEAAGRycy9lMm9Eb2MueG1sUEsFBgAA&#10;AAAGAAYAWQEAAMEFAAAAAA==&#10;">
              <v:fill on="f" focussize="0,0"/>
              <v:stroke on="f" weight="0.5pt"/>
              <v:imagedata o:title=""/>
              <o:lock v:ext="edit" aspectratio="f"/>
              <v:textbox inset="0mm,0mm,0mm,0mm" style="mso-fit-shape-to-text:t;">
                <w:txbxContent>
                  <w:p w14:paraId="0037BFC6">
                    <w:pPr>
                      <w:pStyle w:val="15"/>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ascii="黑体" w:hAnsi="黑体" w:eastAsia="黑体" w:cs="黑体"/>
      </w:rPr>
      <w:t>地址：甘肃省兰州市城关区南滨河东路5148号名城广场1栋1单元20层2016室       电话：0931-2906259</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2C56FB">
    <w:pPr>
      <w:pStyle w:val="16"/>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6B05FB">
    <w:pPr>
      <w:pStyle w:val="16"/>
      <w:pBdr>
        <w:bottom w:val="none" w:color="auto" w:sz="0" w:space="0"/>
      </w:pBdr>
    </w:pPr>
    <w:r>
      <w:rPr>
        <w:rFonts w:ascii="仿宋" w:hAnsi="仿宋" w:eastAsia="仿宋" w:cs="仿宋"/>
        <w:b/>
        <w:color w:val="000000" w:themeColor="text1"/>
        <w:u w:val="single"/>
        <w14:textFill>
          <w14:solidFill>
            <w14:schemeClr w14:val="tx1"/>
          </w14:solidFill>
        </w14:textFill>
      </w:rPr>
      <w:drawing>
        <wp:inline distT="0" distB="0" distL="114300" distR="114300">
          <wp:extent cx="407035" cy="348615"/>
          <wp:effectExtent l="0" t="0" r="12065" b="6985"/>
          <wp:docPr id="1" name="图片 1" descr="IMG_18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1868"/>
                  <pic:cNvPicPr>
                    <a:picLocks noChangeAspect="1"/>
                  </pic:cNvPicPr>
                </pic:nvPicPr>
                <pic:blipFill>
                  <a:blip r:embed="rId1"/>
                  <a:stretch>
                    <a:fillRect/>
                  </a:stretch>
                </pic:blipFill>
                <pic:spPr>
                  <a:xfrm>
                    <a:off x="0" y="0"/>
                    <a:ext cx="407035" cy="348615"/>
                  </a:xfrm>
                  <a:prstGeom prst="rect">
                    <a:avLst/>
                  </a:prstGeom>
                  <a:noFill/>
                  <a:ln>
                    <a:noFill/>
                  </a:ln>
                </pic:spPr>
              </pic:pic>
            </a:graphicData>
          </a:graphic>
        </wp:inline>
      </w:drawing>
    </w:r>
    <w:r>
      <w:rPr>
        <w:rFonts w:hint="eastAsia" w:ascii="仿宋" w:hAnsi="仿宋" w:eastAsia="仿宋" w:cs="仿宋"/>
        <w:b/>
        <w:color w:val="000000" w:themeColor="text1"/>
        <w:u w:val="single"/>
        <w14:textFill>
          <w14:solidFill>
            <w14:schemeClr w14:val="tx1"/>
          </w14:solidFill>
        </w14:textFill>
      </w:rPr>
      <w:t xml:space="preserve">                                                        </w:t>
    </w:r>
    <w:r>
      <w:rPr>
        <w:rFonts w:hint="eastAsia" w:ascii="仿宋" w:hAnsi="仿宋" w:eastAsia="仿宋" w:cs="仿宋"/>
        <w:b/>
        <w:color w:val="000000" w:themeColor="text1"/>
        <w:u w:val="single"/>
        <w:lang w:val="en-US" w:eastAsia="zh-CN"/>
        <w14:textFill>
          <w14:solidFill>
            <w14:schemeClr w14:val="tx1"/>
          </w14:solidFill>
        </w14:textFill>
      </w:rPr>
      <w:t xml:space="preserve">     </w:t>
    </w:r>
    <w:r>
      <w:rPr>
        <w:rFonts w:hint="eastAsia" w:ascii="仿宋" w:hAnsi="仿宋" w:eastAsia="仿宋" w:cs="仿宋"/>
        <w:b/>
        <w:color w:val="000000" w:themeColor="text1"/>
        <w:u w:val="single"/>
        <w14:textFill>
          <w14:solidFill>
            <w14:schemeClr w14:val="tx1"/>
          </w14:solidFill>
        </w14:textFill>
      </w:rPr>
      <w:t xml:space="preserve">                绩效评价报告</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B1388A">
    <w:pPr>
      <w:pStyle w:val="16"/>
      <w:pBdr>
        <w:bottom w:val="none" w:color="auto" w:sz="0" w:space="0"/>
      </w:pBdr>
    </w:pPr>
    <w:r>
      <w:rPr>
        <w:rFonts w:ascii="仿宋" w:hAnsi="仿宋" w:eastAsia="仿宋" w:cs="仿宋"/>
        <w:b/>
        <w:color w:val="000000" w:themeColor="text1"/>
        <w:u w:val="single"/>
        <w14:textFill>
          <w14:solidFill>
            <w14:schemeClr w14:val="tx1"/>
          </w14:solidFill>
        </w14:textFill>
      </w:rPr>
      <w:drawing>
        <wp:inline distT="0" distB="0" distL="114300" distR="114300">
          <wp:extent cx="407035" cy="348615"/>
          <wp:effectExtent l="0" t="0" r="12065" b="6985"/>
          <wp:docPr id="2" name="图片 2" descr="IMG_18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1868"/>
                  <pic:cNvPicPr>
                    <a:picLocks noChangeAspect="1"/>
                  </pic:cNvPicPr>
                </pic:nvPicPr>
                <pic:blipFill>
                  <a:blip r:embed="rId1"/>
                  <a:stretch>
                    <a:fillRect/>
                  </a:stretch>
                </pic:blipFill>
                <pic:spPr>
                  <a:xfrm>
                    <a:off x="0" y="0"/>
                    <a:ext cx="407035" cy="348615"/>
                  </a:xfrm>
                  <a:prstGeom prst="rect">
                    <a:avLst/>
                  </a:prstGeom>
                  <a:noFill/>
                  <a:ln>
                    <a:noFill/>
                  </a:ln>
                </pic:spPr>
              </pic:pic>
            </a:graphicData>
          </a:graphic>
        </wp:inline>
      </w:drawing>
    </w:r>
    <w:r>
      <w:rPr>
        <w:rFonts w:hint="eastAsia" w:ascii="仿宋" w:hAnsi="仿宋" w:eastAsia="仿宋" w:cs="仿宋"/>
        <w:b/>
        <w:color w:val="000000" w:themeColor="text1"/>
        <w:u w:val="single"/>
        <w14:textFill>
          <w14:solidFill>
            <w14:schemeClr w14:val="tx1"/>
          </w14:solidFill>
        </w14:textFill>
      </w:rPr>
      <w:t xml:space="preserve">                                                                        绩效评价报告</w:t>
    </w:r>
  </w:p>
  <w:p w14:paraId="61E601A1">
    <w:pPr>
      <w:pStyle w:val="1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5C96C9">
    <w:pPr>
      <w:pStyle w:val="16"/>
      <w:pBdr>
        <w:bottom w:val="none" w:color="auto" w:sz="0" w:space="0"/>
      </w:pBdr>
    </w:pPr>
    <w:r>
      <w:rPr>
        <w:rFonts w:ascii="仿宋" w:hAnsi="仿宋" w:eastAsia="仿宋" w:cs="仿宋"/>
        <w:b/>
        <w:color w:val="000000" w:themeColor="text1"/>
        <w:u w:val="single"/>
        <w14:textFill>
          <w14:solidFill>
            <w14:schemeClr w14:val="tx1"/>
          </w14:solidFill>
        </w14:textFill>
      </w:rPr>
      <w:drawing>
        <wp:inline distT="0" distB="0" distL="114300" distR="114300">
          <wp:extent cx="407035" cy="348615"/>
          <wp:effectExtent l="0" t="0" r="12065" b="6985"/>
          <wp:docPr id="3" name="图片 3" descr="IMG_18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IMG_1868"/>
                  <pic:cNvPicPr>
                    <a:picLocks noChangeAspect="1"/>
                  </pic:cNvPicPr>
                </pic:nvPicPr>
                <pic:blipFill>
                  <a:blip r:embed="rId1"/>
                  <a:stretch>
                    <a:fillRect/>
                  </a:stretch>
                </pic:blipFill>
                <pic:spPr>
                  <a:xfrm>
                    <a:off x="0" y="0"/>
                    <a:ext cx="407035" cy="348615"/>
                  </a:xfrm>
                  <a:prstGeom prst="rect">
                    <a:avLst/>
                  </a:prstGeom>
                  <a:noFill/>
                  <a:ln>
                    <a:noFill/>
                  </a:ln>
                </pic:spPr>
              </pic:pic>
            </a:graphicData>
          </a:graphic>
        </wp:inline>
      </w:drawing>
    </w:r>
    <w:r>
      <w:rPr>
        <w:rFonts w:hint="eastAsia" w:ascii="仿宋" w:hAnsi="仿宋" w:eastAsia="仿宋" w:cs="仿宋"/>
        <w:b/>
        <w:color w:val="000000" w:themeColor="text1"/>
        <w:u w:val="single"/>
        <w14:textFill>
          <w14:solidFill>
            <w14:schemeClr w14:val="tx1"/>
          </w14:solidFill>
        </w14:textFill>
      </w:rPr>
      <w:t xml:space="preserve">                                                                        绩效评价报告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6D6B77"/>
    <w:multiLevelType w:val="singleLevel"/>
    <w:tmpl w:val="7B6D6B7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ZkNzQ4ZWFiZmQ4NTRhOWRkZTk3YTMwMjlmMmZhYmUifQ=="/>
  </w:docVars>
  <w:rsids>
    <w:rsidRoot w:val="0F9473FE"/>
    <w:rsid w:val="0000216A"/>
    <w:rsid w:val="00024278"/>
    <w:rsid w:val="00037090"/>
    <w:rsid w:val="00046BCA"/>
    <w:rsid w:val="000518F6"/>
    <w:rsid w:val="00051C05"/>
    <w:rsid w:val="00064326"/>
    <w:rsid w:val="000643BA"/>
    <w:rsid w:val="00065073"/>
    <w:rsid w:val="000753A4"/>
    <w:rsid w:val="000A4E2C"/>
    <w:rsid w:val="000C1B1E"/>
    <w:rsid w:val="000F2060"/>
    <w:rsid w:val="000F34E0"/>
    <w:rsid w:val="00100C77"/>
    <w:rsid w:val="001104A4"/>
    <w:rsid w:val="001105B7"/>
    <w:rsid w:val="00112EEC"/>
    <w:rsid w:val="001318C8"/>
    <w:rsid w:val="00137C9D"/>
    <w:rsid w:val="00140940"/>
    <w:rsid w:val="00141CF0"/>
    <w:rsid w:val="0014363A"/>
    <w:rsid w:val="001531B6"/>
    <w:rsid w:val="0015398F"/>
    <w:rsid w:val="00170334"/>
    <w:rsid w:val="00172CD5"/>
    <w:rsid w:val="00172DFF"/>
    <w:rsid w:val="00194BF7"/>
    <w:rsid w:val="001B6342"/>
    <w:rsid w:val="001D19B7"/>
    <w:rsid w:val="00203DC9"/>
    <w:rsid w:val="0020515B"/>
    <w:rsid w:val="00232042"/>
    <w:rsid w:val="002324DF"/>
    <w:rsid w:val="00246D16"/>
    <w:rsid w:val="002555FD"/>
    <w:rsid w:val="00256EBC"/>
    <w:rsid w:val="00264411"/>
    <w:rsid w:val="00267454"/>
    <w:rsid w:val="0028698A"/>
    <w:rsid w:val="00290093"/>
    <w:rsid w:val="002967A9"/>
    <w:rsid w:val="00296D38"/>
    <w:rsid w:val="002A7299"/>
    <w:rsid w:val="002C6AED"/>
    <w:rsid w:val="002D1330"/>
    <w:rsid w:val="002D789A"/>
    <w:rsid w:val="002D79DD"/>
    <w:rsid w:val="002E3891"/>
    <w:rsid w:val="002E6422"/>
    <w:rsid w:val="002F33E7"/>
    <w:rsid w:val="00307F85"/>
    <w:rsid w:val="0031439E"/>
    <w:rsid w:val="00351E08"/>
    <w:rsid w:val="00353E30"/>
    <w:rsid w:val="00355885"/>
    <w:rsid w:val="00355CF4"/>
    <w:rsid w:val="003610F3"/>
    <w:rsid w:val="003631E5"/>
    <w:rsid w:val="00363DA7"/>
    <w:rsid w:val="0036744F"/>
    <w:rsid w:val="00375AD2"/>
    <w:rsid w:val="0038540D"/>
    <w:rsid w:val="003947F2"/>
    <w:rsid w:val="00395522"/>
    <w:rsid w:val="00395F53"/>
    <w:rsid w:val="003B223D"/>
    <w:rsid w:val="003B748F"/>
    <w:rsid w:val="003C0E0C"/>
    <w:rsid w:val="003D5C85"/>
    <w:rsid w:val="003F7310"/>
    <w:rsid w:val="003F742B"/>
    <w:rsid w:val="004001D5"/>
    <w:rsid w:val="00416B2C"/>
    <w:rsid w:val="00423018"/>
    <w:rsid w:val="00427FB9"/>
    <w:rsid w:val="00433725"/>
    <w:rsid w:val="004349C8"/>
    <w:rsid w:val="00436D4B"/>
    <w:rsid w:val="00440370"/>
    <w:rsid w:val="004617FB"/>
    <w:rsid w:val="004718C0"/>
    <w:rsid w:val="004731A6"/>
    <w:rsid w:val="00476AA1"/>
    <w:rsid w:val="0048717A"/>
    <w:rsid w:val="00495970"/>
    <w:rsid w:val="004C148D"/>
    <w:rsid w:val="004C24F5"/>
    <w:rsid w:val="004D25FD"/>
    <w:rsid w:val="004E55D3"/>
    <w:rsid w:val="004F1576"/>
    <w:rsid w:val="005004FB"/>
    <w:rsid w:val="005035F7"/>
    <w:rsid w:val="00504267"/>
    <w:rsid w:val="005047DE"/>
    <w:rsid w:val="00514103"/>
    <w:rsid w:val="00515E36"/>
    <w:rsid w:val="0053373A"/>
    <w:rsid w:val="00533BBE"/>
    <w:rsid w:val="005344A8"/>
    <w:rsid w:val="00536626"/>
    <w:rsid w:val="005530FC"/>
    <w:rsid w:val="00571249"/>
    <w:rsid w:val="00572A18"/>
    <w:rsid w:val="005862D0"/>
    <w:rsid w:val="00597E41"/>
    <w:rsid w:val="005B0FE6"/>
    <w:rsid w:val="005C019D"/>
    <w:rsid w:val="005C09A6"/>
    <w:rsid w:val="005C259C"/>
    <w:rsid w:val="005D164E"/>
    <w:rsid w:val="005E347C"/>
    <w:rsid w:val="005F3E31"/>
    <w:rsid w:val="0061647A"/>
    <w:rsid w:val="00620CB8"/>
    <w:rsid w:val="006303E4"/>
    <w:rsid w:val="00631C33"/>
    <w:rsid w:val="00637972"/>
    <w:rsid w:val="00641904"/>
    <w:rsid w:val="0064468F"/>
    <w:rsid w:val="0065294B"/>
    <w:rsid w:val="006704C2"/>
    <w:rsid w:val="00684C32"/>
    <w:rsid w:val="006A1158"/>
    <w:rsid w:val="006A4011"/>
    <w:rsid w:val="006A471F"/>
    <w:rsid w:val="006A5198"/>
    <w:rsid w:val="006A6FA3"/>
    <w:rsid w:val="006B6EB9"/>
    <w:rsid w:val="006C0F31"/>
    <w:rsid w:val="006C55BC"/>
    <w:rsid w:val="006C56EC"/>
    <w:rsid w:val="006C5913"/>
    <w:rsid w:val="006E2763"/>
    <w:rsid w:val="006F74A7"/>
    <w:rsid w:val="0070777E"/>
    <w:rsid w:val="00736A39"/>
    <w:rsid w:val="007406DE"/>
    <w:rsid w:val="00742474"/>
    <w:rsid w:val="007433B6"/>
    <w:rsid w:val="0074366E"/>
    <w:rsid w:val="00746793"/>
    <w:rsid w:val="0077156E"/>
    <w:rsid w:val="007777B8"/>
    <w:rsid w:val="007805A7"/>
    <w:rsid w:val="0078446E"/>
    <w:rsid w:val="007900CD"/>
    <w:rsid w:val="0079033E"/>
    <w:rsid w:val="007A100D"/>
    <w:rsid w:val="007C2CDD"/>
    <w:rsid w:val="007C7458"/>
    <w:rsid w:val="007D441F"/>
    <w:rsid w:val="007E3DA4"/>
    <w:rsid w:val="0080585C"/>
    <w:rsid w:val="00822FBE"/>
    <w:rsid w:val="00831664"/>
    <w:rsid w:val="00832BAA"/>
    <w:rsid w:val="00833033"/>
    <w:rsid w:val="008373D0"/>
    <w:rsid w:val="00843CDD"/>
    <w:rsid w:val="00852BC1"/>
    <w:rsid w:val="00866593"/>
    <w:rsid w:val="00867C57"/>
    <w:rsid w:val="00871FEC"/>
    <w:rsid w:val="008847BB"/>
    <w:rsid w:val="00885368"/>
    <w:rsid w:val="008954E9"/>
    <w:rsid w:val="008A4C06"/>
    <w:rsid w:val="008C1FAF"/>
    <w:rsid w:val="008C37C5"/>
    <w:rsid w:val="008C5384"/>
    <w:rsid w:val="008C7D70"/>
    <w:rsid w:val="008D2AEF"/>
    <w:rsid w:val="008D6707"/>
    <w:rsid w:val="008E3D21"/>
    <w:rsid w:val="008E68A7"/>
    <w:rsid w:val="008F2B1F"/>
    <w:rsid w:val="008F3CDC"/>
    <w:rsid w:val="0092595D"/>
    <w:rsid w:val="00951D57"/>
    <w:rsid w:val="009522FA"/>
    <w:rsid w:val="00952A97"/>
    <w:rsid w:val="009532AE"/>
    <w:rsid w:val="009556AA"/>
    <w:rsid w:val="00962C53"/>
    <w:rsid w:val="00984208"/>
    <w:rsid w:val="009A5F10"/>
    <w:rsid w:val="009C488C"/>
    <w:rsid w:val="009C7579"/>
    <w:rsid w:val="00A0647F"/>
    <w:rsid w:val="00A0735D"/>
    <w:rsid w:val="00A130AA"/>
    <w:rsid w:val="00A17548"/>
    <w:rsid w:val="00A4749D"/>
    <w:rsid w:val="00A50ACF"/>
    <w:rsid w:val="00A65C51"/>
    <w:rsid w:val="00A779D6"/>
    <w:rsid w:val="00A94859"/>
    <w:rsid w:val="00A95371"/>
    <w:rsid w:val="00A96209"/>
    <w:rsid w:val="00AA7F7A"/>
    <w:rsid w:val="00AE6EF7"/>
    <w:rsid w:val="00AF3AD7"/>
    <w:rsid w:val="00B0713C"/>
    <w:rsid w:val="00B07904"/>
    <w:rsid w:val="00B07C4B"/>
    <w:rsid w:val="00B14C20"/>
    <w:rsid w:val="00B2231F"/>
    <w:rsid w:val="00B31FF4"/>
    <w:rsid w:val="00B32DFF"/>
    <w:rsid w:val="00B548B6"/>
    <w:rsid w:val="00B570AE"/>
    <w:rsid w:val="00B61F9A"/>
    <w:rsid w:val="00B77331"/>
    <w:rsid w:val="00B9317B"/>
    <w:rsid w:val="00B95E7C"/>
    <w:rsid w:val="00BC1290"/>
    <w:rsid w:val="00BD3CCA"/>
    <w:rsid w:val="00BD632C"/>
    <w:rsid w:val="00C010A7"/>
    <w:rsid w:val="00C255E1"/>
    <w:rsid w:val="00C34C1C"/>
    <w:rsid w:val="00C4547F"/>
    <w:rsid w:val="00C549D0"/>
    <w:rsid w:val="00C63032"/>
    <w:rsid w:val="00C84D69"/>
    <w:rsid w:val="00CA5249"/>
    <w:rsid w:val="00CB64D6"/>
    <w:rsid w:val="00CD504A"/>
    <w:rsid w:val="00CE12D1"/>
    <w:rsid w:val="00D05F31"/>
    <w:rsid w:val="00D37060"/>
    <w:rsid w:val="00D40F23"/>
    <w:rsid w:val="00D42B30"/>
    <w:rsid w:val="00D71E50"/>
    <w:rsid w:val="00D71E6D"/>
    <w:rsid w:val="00D7279D"/>
    <w:rsid w:val="00D76F46"/>
    <w:rsid w:val="00D97669"/>
    <w:rsid w:val="00DC76C2"/>
    <w:rsid w:val="00DD0BB7"/>
    <w:rsid w:val="00DD753B"/>
    <w:rsid w:val="00DE6582"/>
    <w:rsid w:val="00E070C6"/>
    <w:rsid w:val="00E11E05"/>
    <w:rsid w:val="00E35CB0"/>
    <w:rsid w:val="00E64E11"/>
    <w:rsid w:val="00E67E6B"/>
    <w:rsid w:val="00E7278C"/>
    <w:rsid w:val="00EB0813"/>
    <w:rsid w:val="00EB3E1E"/>
    <w:rsid w:val="00ED264E"/>
    <w:rsid w:val="00ED2CC9"/>
    <w:rsid w:val="00ED629E"/>
    <w:rsid w:val="00EE1878"/>
    <w:rsid w:val="00EE1E54"/>
    <w:rsid w:val="00EE2984"/>
    <w:rsid w:val="00F1037C"/>
    <w:rsid w:val="00F12EF7"/>
    <w:rsid w:val="00F613D1"/>
    <w:rsid w:val="00F62C47"/>
    <w:rsid w:val="00F7424A"/>
    <w:rsid w:val="00F772C2"/>
    <w:rsid w:val="00F80F07"/>
    <w:rsid w:val="00F835CD"/>
    <w:rsid w:val="00F97680"/>
    <w:rsid w:val="00FA6867"/>
    <w:rsid w:val="00FD1277"/>
    <w:rsid w:val="00FD6444"/>
    <w:rsid w:val="01DD46AF"/>
    <w:rsid w:val="024141DC"/>
    <w:rsid w:val="031318D1"/>
    <w:rsid w:val="037712D6"/>
    <w:rsid w:val="03B94246"/>
    <w:rsid w:val="03C2759E"/>
    <w:rsid w:val="03E97283"/>
    <w:rsid w:val="045645C0"/>
    <w:rsid w:val="058A237B"/>
    <w:rsid w:val="06CD5526"/>
    <w:rsid w:val="07140A9A"/>
    <w:rsid w:val="07533F29"/>
    <w:rsid w:val="07FE1FF0"/>
    <w:rsid w:val="083329D8"/>
    <w:rsid w:val="087072CA"/>
    <w:rsid w:val="08AB0275"/>
    <w:rsid w:val="08C33641"/>
    <w:rsid w:val="08F22909"/>
    <w:rsid w:val="08F75C9D"/>
    <w:rsid w:val="096A282C"/>
    <w:rsid w:val="09B434E5"/>
    <w:rsid w:val="09F53119"/>
    <w:rsid w:val="0A106957"/>
    <w:rsid w:val="0AE76F27"/>
    <w:rsid w:val="0BD460C1"/>
    <w:rsid w:val="0BF17FA9"/>
    <w:rsid w:val="0C434FF4"/>
    <w:rsid w:val="0C890F59"/>
    <w:rsid w:val="0D96045C"/>
    <w:rsid w:val="0D9A262A"/>
    <w:rsid w:val="0DCC2607"/>
    <w:rsid w:val="0E170E01"/>
    <w:rsid w:val="0E6935CA"/>
    <w:rsid w:val="0E8D3E88"/>
    <w:rsid w:val="0F9473FE"/>
    <w:rsid w:val="0FF03D3B"/>
    <w:rsid w:val="108D506C"/>
    <w:rsid w:val="10D92909"/>
    <w:rsid w:val="11205904"/>
    <w:rsid w:val="11242B0B"/>
    <w:rsid w:val="1133610C"/>
    <w:rsid w:val="116B653C"/>
    <w:rsid w:val="11D13C42"/>
    <w:rsid w:val="120073C8"/>
    <w:rsid w:val="125C110E"/>
    <w:rsid w:val="125D10BB"/>
    <w:rsid w:val="12604E05"/>
    <w:rsid w:val="12694F68"/>
    <w:rsid w:val="12700720"/>
    <w:rsid w:val="12C51DA8"/>
    <w:rsid w:val="13071A5B"/>
    <w:rsid w:val="130F5021"/>
    <w:rsid w:val="13282DDB"/>
    <w:rsid w:val="132C6ADB"/>
    <w:rsid w:val="139D5005"/>
    <w:rsid w:val="142D5185"/>
    <w:rsid w:val="1430449D"/>
    <w:rsid w:val="14DF373A"/>
    <w:rsid w:val="15E10BB4"/>
    <w:rsid w:val="1608508A"/>
    <w:rsid w:val="16A05998"/>
    <w:rsid w:val="16D572E4"/>
    <w:rsid w:val="17401E27"/>
    <w:rsid w:val="178E68E1"/>
    <w:rsid w:val="17B111EE"/>
    <w:rsid w:val="17D44FBD"/>
    <w:rsid w:val="17D86A90"/>
    <w:rsid w:val="187769F1"/>
    <w:rsid w:val="18F64379"/>
    <w:rsid w:val="19654911"/>
    <w:rsid w:val="19871A5C"/>
    <w:rsid w:val="199D21E8"/>
    <w:rsid w:val="1A9E3225"/>
    <w:rsid w:val="1B002044"/>
    <w:rsid w:val="1BAA299A"/>
    <w:rsid w:val="1C7E157C"/>
    <w:rsid w:val="1CA81C4F"/>
    <w:rsid w:val="1E9159EE"/>
    <w:rsid w:val="1EA571D7"/>
    <w:rsid w:val="1EA96F39"/>
    <w:rsid w:val="1F037124"/>
    <w:rsid w:val="1F673C24"/>
    <w:rsid w:val="20232D1B"/>
    <w:rsid w:val="20D203BB"/>
    <w:rsid w:val="211B00F8"/>
    <w:rsid w:val="226D6F9C"/>
    <w:rsid w:val="22B834CC"/>
    <w:rsid w:val="22BA6C58"/>
    <w:rsid w:val="22F977E7"/>
    <w:rsid w:val="23D30D7C"/>
    <w:rsid w:val="24B3368D"/>
    <w:rsid w:val="24FF4DBF"/>
    <w:rsid w:val="256D300D"/>
    <w:rsid w:val="258C32D8"/>
    <w:rsid w:val="25D9654E"/>
    <w:rsid w:val="26C47DB8"/>
    <w:rsid w:val="26F95412"/>
    <w:rsid w:val="277C2B6C"/>
    <w:rsid w:val="27EC7E96"/>
    <w:rsid w:val="28184F18"/>
    <w:rsid w:val="28BA659C"/>
    <w:rsid w:val="28E65D4E"/>
    <w:rsid w:val="29EF79A9"/>
    <w:rsid w:val="2B277B63"/>
    <w:rsid w:val="2B322BF8"/>
    <w:rsid w:val="2B9B5117"/>
    <w:rsid w:val="2C4D184B"/>
    <w:rsid w:val="2CB02D9F"/>
    <w:rsid w:val="2CE52E0A"/>
    <w:rsid w:val="2D637948"/>
    <w:rsid w:val="2D684AB0"/>
    <w:rsid w:val="2DC51834"/>
    <w:rsid w:val="2DDA637C"/>
    <w:rsid w:val="2E3A29A3"/>
    <w:rsid w:val="2EC7583D"/>
    <w:rsid w:val="2EF245BC"/>
    <w:rsid w:val="2F0A59C4"/>
    <w:rsid w:val="302A0383"/>
    <w:rsid w:val="30F027A5"/>
    <w:rsid w:val="32076F12"/>
    <w:rsid w:val="321E6765"/>
    <w:rsid w:val="32545E6A"/>
    <w:rsid w:val="32B1544F"/>
    <w:rsid w:val="32F075DE"/>
    <w:rsid w:val="336851BD"/>
    <w:rsid w:val="339B25AB"/>
    <w:rsid w:val="33CF0D98"/>
    <w:rsid w:val="348C146E"/>
    <w:rsid w:val="34F27CC6"/>
    <w:rsid w:val="35121DD1"/>
    <w:rsid w:val="35A95619"/>
    <w:rsid w:val="35F95F98"/>
    <w:rsid w:val="37820855"/>
    <w:rsid w:val="378C532A"/>
    <w:rsid w:val="37D265E4"/>
    <w:rsid w:val="37F42E3D"/>
    <w:rsid w:val="38830D8A"/>
    <w:rsid w:val="38C45C47"/>
    <w:rsid w:val="3A0379ED"/>
    <w:rsid w:val="3A375EC4"/>
    <w:rsid w:val="3A49589C"/>
    <w:rsid w:val="3A5C534F"/>
    <w:rsid w:val="3A6B1ECF"/>
    <w:rsid w:val="3A906225"/>
    <w:rsid w:val="3BB22762"/>
    <w:rsid w:val="3BF42446"/>
    <w:rsid w:val="3C06542B"/>
    <w:rsid w:val="3C232A14"/>
    <w:rsid w:val="3C243C4B"/>
    <w:rsid w:val="3C6E1044"/>
    <w:rsid w:val="3CB054DF"/>
    <w:rsid w:val="3CD23946"/>
    <w:rsid w:val="3D261A25"/>
    <w:rsid w:val="3DA3231D"/>
    <w:rsid w:val="3E1D2536"/>
    <w:rsid w:val="3EB679FB"/>
    <w:rsid w:val="3ED45096"/>
    <w:rsid w:val="40692574"/>
    <w:rsid w:val="40B11F25"/>
    <w:rsid w:val="40B8336F"/>
    <w:rsid w:val="41011831"/>
    <w:rsid w:val="42A02E9C"/>
    <w:rsid w:val="42C321E3"/>
    <w:rsid w:val="435B2AD7"/>
    <w:rsid w:val="43E65A72"/>
    <w:rsid w:val="440C7F8D"/>
    <w:rsid w:val="4428109E"/>
    <w:rsid w:val="444F7D1F"/>
    <w:rsid w:val="445F69EB"/>
    <w:rsid w:val="44CF424F"/>
    <w:rsid w:val="44FE7ACA"/>
    <w:rsid w:val="454F4568"/>
    <w:rsid w:val="4550785F"/>
    <w:rsid w:val="45706814"/>
    <w:rsid w:val="45AB4E37"/>
    <w:rsid w:val="45B707FB"/>
    <w:rsid w:val="45BE1574"/>
    <w:rsid w:val="46004CC6"/>
    <w:rsid w:val="463A607F"/>
    <w:rsid w:val="46B721AC"/>
    <w:rsid w:val="46CB1893"/>
    <w:rsid w:val="46E23F0F"/>
    <w:rsid w:val="46F63507"/>
    <w:rsid w:val="46F96E62"/>
    <w:rsid w:val="47207120"/>
    <w:rsid w:val="477B2FAE"/>
    <w:rsid w:val="47915F6E"/>
    <w:rsid w:val="483B5A4C"/>
    <w:rsid w:val="490002A0"/>
    <w:rsid w:val="494122E2"/>
    <w:rsid w:val="49F22E5E"/>
    <w:rsid w:val="4A133393"/>
    <w:rsid w:val="4A7A052A"/>
    <w:rsid w:val="4AB06881"/>
    <w:rsid w:val="4AB32D0C"/>
    <w:rsid w:val="4AE96514"/>
    <w:rsid w:val="4AF02F9F"/>
    <w:rsid w:val="4B231CEA"/>
    <w:rsid w:val="4B286C8B"/>
    <w:rsid w:val="4BA64472"/>
    <w:rsid w:val="4CEC18C2"/>
    <w:rsid w:val="4D7A132D"/>
    <w:rsid w:val="4D7A36CB"/>
    <w:rsid w:val="4DB115E5"/>
    <w:rsid w:val="4FCE631F"/>
    <w:rsid w:val="4FD5108C"/>
    <w:rsid w:val="4FDA4D75"/>
    <w:rsid w:val="512824DF"/>
    <w:rsid w:val="51E657D3"/>
    <w:rsid w:val="520B327F"/>
    <w:rsid w:val="52450A6B"/>
    <w:rsid w:val="530A5A72"/>
    <w:rsid w:val="531A233B"/>
    <w:rsid w:val="539C1B4C"/>
    <w:rsid w:val="540C51E5"/>
    <w:rsid w:val="54602A07"/>
    <w:rsid w:val="549728DF"/>
    <w:rsid w:val="54AA7074"/>
    <w:rsid w:val="54AF69C2"/>
    <w:rsid w:val="54E52762"/>
    <w:rsid w:val="54EA5CFF"/>
    <w:rsid w:val="55444E7D"/>
    <w:rsid w:val="55743D0D"/>
    <w:rsid w:val="55D622FA"/>
    <w:rsid w:val="55EB5D70"/>
    <w:rsid w:val="56314DDD"/>
    <w:rsid w:val="56841443"/>
    <w:rsid w:val="56AF292A"/>
    <w:rsid w:val="56BE6D1E"/>
    <w:rsid w:val="570767C3"/>
    <w:rsid w:val="57114DA6"/>
    <w:rsid w:val="574330DD"/>
    <w:rsid w:val="578E547B"/>
    <w:rsid w:val="57BA3C8B"/>
    <w:rsid w:val="587A4EC7"/>
    <w:rsid w:val="589957BB"/>
    <w:rsid w:val="5A1C2DE0"/>
    <w:rsid w:val="5A4A2677"/>
    <w:rsid w:val="5A605BC3"/>
    <w:rsid w:val="5B2801B6"/>
    <w:rsid w:val="5B337230"/>
    <w:rsid w:val="5B6A103A"/>
    <w:rsid w:val="5B7250DA"/>
    <w:rsid w:val="5B7B6F90"/>
    <w:rsid w:val="5BC92176"/>
    <w:rsid w:val="5C0C22DA"/>
    <w:rsid w:val="5CCB6F4A"/>
    <w:rsid w:val="5CCF29EE"/>
    <w:rsid w:val="5CDE7F54"/>
    <w:rsid w:val="5D4D151D"/>
    <w:rsid w:val="5D5C1A81"/>
    <w:rsid w:val="5E215BF2"/>
    <w:rsid w:val="5E681402"/>
    <w:rsid w:val="5EF872DF"/>
    <w:rsid w:val="5F7167F8"/>
    <w:rsid w:val="60A72DA9"/>
    <w:rsid w:val="61887833"/>
    <w:rsid w:val="61B32201"/>
    <w:rsid w:val="62894AA4"/>
    <w:rsid w:val="62D957B2"/>
    <w:rsid w:val="63005858"/>
    <w:rsid w:val="640115C4"/>
    <w:rsid w:val="650027E2"/>
    <w:rsid w:val="65527A8B"/>
    <w:rsid w:val="65E55F25"/>
    <w:rsid w:val="6604433E"/>
    <w:rsid w:val="668B69A8"/>
    <w:rsid w:val="66A15EC8"/>
    <w:rsid w:val="66A851F0"/>
    <w:rsid w:val="66F75934"/>
    <w:rsid w:val="67746BAD"/>
    <w:rsid w:val="68807C45"/>
    <w:rsid w:val="68D7790B"/>
    <w:rsid w:val="68E02B24"/>
    <w:rsid w:val="69A41DA4"/>
    <w:rsid w:val="69FA2D97"/>
    <w:rsid w:val="6A10235D"/>
    <w:rsid w:val="6A3C4E7F"/>
    <w:rsid w:val="6AF80C0A"/>
    <w:rsid w:val="6B9D61A3"/>
    <w:rsid w:val="6BAA0FA6"/>
    <w:rsid w:val="6D2D3E5E"/>
    <w:rsid w:val="6E2C310F"/>
    <w:rsid w:val="6E433D4C"/>
    <w:rsid w:val="6ED83431"/>
    <w:rsid w:val="6F544B1C"/>
    <w:rsid w:val="6F553085"/>
    <w:rsid w:val="6FC00ECA"/>
    <w:rsid w:val="6FCA5E2A"/>
    <w:rsid w:val="6FDA2167"/>
    <w:rsid w:val="70593D8C"/>
    <w:rsid w:val="705D2CAC"/>
    <w:rsid w:val="70D40212"/>
    <w:rsid w:val="71796A7B"/>
    <w:rsid w:val="71C34851"/>
    <w:rsid w:val="71EC2296"/>
    <w:rsid w:val="722D639D"/>
    <w:rsid w:val="723B19A6"/>
    <w:rsid w:val="72DB17DE"/>
    <w:rsid w:val="738B2CF1"/>
    <w:rsid w:val="73B73DD2"/>
    <w:rsid w:val="73EF3D7E"/>
    <w:rsid w:val="73FB02E9"/>
    <w:rsid w:val="74E76ED0"/>
    <w:rsid w:val="7517271E"/>
    <w:rsid w:val="751E4025"/>
    <w:rsid w:val="760D4365"/>
    <w:rsid w:val="76651342"/>
    <w:rsid w:val="7705705D"/>
    <w:rsid w:val="770957CF"/>
    <w:rsid w:val="77746DC6"/>
    <w:rsid w:val="79050385"/>
    <w:rsid w:val="79104282"/>
    <w:rsid w:val="794F5B30"/>
    <w:rsid w:val="79976D4D"/>
    <w:rsid w:val="79AB0441"/>
    <w:rsid w:val="7AD419FF"/>
    <w:rsid w:val="7B5F3D7C"/>
    <w:rsid w:val="7BE944F5"/>
    <w:rsid w:val="7C220811"/>
    <w:rsid w:val="7C367028"/>
    <w:rsid w:val="7D0421BC"/>
    <w:rsid w:val="7D367A2D"/>
    <w:rsid w:val="7D635D0C"/>
    <w:rsid w:val="7F042647"/>
    <w:rsid w:val="7F3D0469"/>
    <w:rsid w:val="7FE26C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nhideWhenUsed="0" w:uiPriority="9" w:semiHidden="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nhideWhenUsed="0" w:uiPriority="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31"/>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40"/>
    <w:unhideWhenUsed/>
    <w:qFormat/>
    <w:uiPriority w:val="0"/>
    <w:pPr>
      <w:keepNext/>
      <w:keepLines/>
      <w:spacing w:line="360" w:lineRule="auto"/>
      <w:ind w:firstLine="200" w:firstLineChars="200"/>
      <w:outlineLvl w:val="1"/>
    </w:pPr>
    <w:rPr>
      <w:rFonts w:ascii="Arial" w:hAnsi="Arial" w:eastAsia="仿宋"/>
      <w:b/>
      <w:sz w:val="32"/>
    </w:rPr>
  </w:style>
  <w:style w:type="paragraph" w:styleId="5">
    <w:name w:val="heading 3"/>
    <w:basedOn w:val="1"/>
    <w:next w:val="1"/>
    <w:unhideWhenUsed/>
    <w:qFormat/>
    <w:uiPriority w:val="0"/>
    <w:pPr>
      <w:keepNext/>
      <w:keepLines/>
      <w:spacing w:before="260" w:after="260" w:line="413" w:lineRule="auto"/>
      <w:outlineLvl w:val="2"/>
    </w:pPr>
    <w:rPr>
      <w:b/>
      <w:sz w:val="32"/>
    </w:rPr>
  </w:style>
  <w:style w:type="paragraph" w:styleId="6">
    <w:name w:val="heading 6"/>
    <w:basedOn w:val="1"/>
    <w:next w:val="1"/>
    <w:qFormat/>
    <w:uiPriority w:val="9"/>
    <w:pPr>
      <w:keepNext/>
      <w:keepLines/>
      <w:spacing w:line="360" w:lineRule="auto"/>
      <w:outlineLvl w:val="5"/>
    </w:pPr>
    <w:rPr>
      <w:rFonts w:ascii="Cambria" w:hAnsi="Cambria" w:cs="Times New Roman"/>
      <w:bCs/>
      <w:sz w:val="24"/>
    </w:rPr>
  </w:style>
  <w:style w:type="character" w:default="1" w:styleId="22">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2">
    <w:name w:val="index 1"/>
    <w:basedOn w:val="1"/>
    <w:next w:val="1"/>
    <w:qFormat/>
    <w:uiPriority w:val="0"/>
  </w:style>
  <w:style w:type="paragraph" w:styleId="7">
    <w:name w:val="Normal Indent"/>
    <w:basedOn w:val="1"/>
    <w:next w:val="1"/>
    <w:qFormat/>
    <w:uiPriority w:val="0"/>
    <w:pPr>
      <w:ind w:firstLine="420" w:firstLineChars="200"/>
    </w:pPr>
  </w:style>
  <w:style w:type="paragraph" w:styleId="8">
    <w:name w:val="annotation text"/>
    <w:basedOn w:val="1"/>
    <w:link w:val="35"/>
    <w:qFormat/>
    <w:uiPriority w:val="0"/>
    <w:pPr>
      <w:jc w:val="left"/>
    </w:pPr>
  </w:style>
  <w:style w:type="paragraph" w:styleId="9">
    <w:name w:val="index 6"/>
    <w:basedOn w:val="1"/>
    <w:next w:val="1"/>
    <w:semiHidden/>
    <w:qFormat/>
    <w:uiPriority w:val="0"/>
    <w:pPr>
      <w:ind w:firstLine="640"/>
    </w:pPr>
    <w:rPr>
      <w:rFonts w:cs="仿宋_GB2312"/>
      <w:color w:val="0000FF"/>
      <w:sz w:val="32"/>
      <w:szCs w:val="32"/>
    </w:rPr>
  </w:style>
  <w:style w:type="paragraph" w:styleId="10">
    <w:name w:val="Body Text"/>
    <w:basedOn w:val="1"/>
    <w:qFormat/>
    <w:uiPriority w:val="1"/>
    <w:rPr>
      <w:rFonts w:eastAsia="仿宋_GB2312"/>
      <w:sz w:val="32"/>
      <w:szCs w:val="32"/>
    </w:rPr>
  </w:style>
  <w:style w:type="paragraph" w:styleId="11">
    <w:name w:val="toc 3"/>
    <w:basedOn w:val="1"/>
    <w:next w:val="1"/>
    <w:qFormat/>
    <w:uiPriority w:val="0"/>
    <w:pPr>
      <w:ind w:left="840" w:leftChars="400"/>
    </w:pPr>
  </w:style>
  <w:style w:type="paragraph" w:styleId="12">
    <w:name w:val="Body Text Indent 2"/>
    <w:basedOn w:val="1"/>
    <w:next w:val="13"/>
    <w:qFormat/>
    <w:uiPriority w:val="0"/>
    <w:pPr>
      <w:spacing w:after="120" w:line="480" w:lineRule="auto"/>
      <w:ind w:left="420" w:leftChars="200"/>
    </w:pPr>
    <w:rPr>
      <w:rFonts w:ascii="Calibri" w:hAnsi="Calibri" w:eastAsia="宋体"/>
    </w:rPr>
  </w:style>
  <w:style w:type="paragraph" w:styleId="13">
    <w:name w:val="toc 9"/>
    <w:basedOn w:val="1"/>
    <w:next w:val="1"/>
    <w:qFormat/>
    <w:uiPriority w:val="0"/>
    <w:pPr>
      <w:wordWrap w:val="0"/>
      <w:ind w:left="2975"/>
      <w:jc w:val="both"/>
    </w:pPr>
    <w:rPr>
      <w:rFonts w:ascii="Calibri" w:hAnsi="Calibri" w:eastAsia="宋体" w:cs="Times New Roman"/>
      <w:sz w:val="21"/>
      <w:szCs w:val="22"/>
      <w:lang w:val="en-US" w:eastAsia="zh-CN" w:bidi="ar-SA"/>
    </w:rPr>
  </w:style>
  <w:style w:type="paragraph" w:styleId="14">
    <w:name w:val="Balloon Text"/>
    <w:basedOn w:val="1"/>
    <w:link w:val="37"/>
    <w:semiHidden/>
    <w:unhideWhenUsed/>
    <w:qFormat/>
    <w:uiPriority w:val="0"/>
    <w:rPr>
      <w:sz w:val="18"/>
      <w:szCs w:val="18"/>
    </w:rPr>
  </w:style>
  <w:style w:type="paragraph" w:styleId="15">
    <w:name w:val="footer"/>
    <w:basedOn w:val="1"/>
    <w:link w:val="33"/>
    <w:qFormat/>
    <w:uiPriority w:val="99"/>
    <w:pPr>
      <w:tabs>
        <w:tab w:val="center" w:pos="4153"/>
        <w:tab w:val="right" w:pos="8306"/>
      </w:tabs>
      <w:snapToGrid w:val="0"/>
      <w:jc w:val="left"/>
    </w:pPr>
    <w:rPr>
      <w:sz w:val="18"/>
    </w:rPr>
  </w:style>
  <w:style w:type="paragraph" w:styleId="1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7">
    <w:name w:val="toc 1"/>
    <w:basedOn w:val="1"/>
    <w:next w:val="1"/>
    <w:qFormat/>
    <w:uiPriority w:val="0"/>
  </w:style>
  <w:style w:type="paragraph" w:styleId="18">
    <w:name w:val="toc 2"/>
    <w:basedOn w:val="1"/>
    <w:next w:val="1"/>
    <w:qFormat/>
    <w:uiPriority w:val="0"/>
    <w:pPr>
      <w:ind w:left="420" w:leftChars="200"/>
    </w:pPr>
  </w:style>
  <w:style w:type="paragraph" w:styleId="19">
    <w:name w:val="annotation subject"/>
    <w:basedOn w:val="8"/>
    <w:next w:val="8"/>
    <w:link w:val="36"/>
    <w:semiHidden/>
    <w:unhideWhenUsed/>
    <w:qFormat/>
    <w:uiPriority w:val="0"/>
    <w:rPr>
      <w:b/>
      <w:bCs/>
    </w:rPr>
  </w:style>
  <w:style w:type="table" w:styleId="21">
    <w:name w:val="Table Grid"/>
    <w:basedOn w:val="2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3">
    <w:name w:val="Strong"/>
    <w:basedOn w:val="22"/>
    <w:qFormat/>
    <w:uiPriority w:val="0"/>
    <w:rPr>
      <w:b/>
    </w:rPr>
  </w:style>
  <w:style w:type="character" w:styleId="24">
    <w:name w:val="annotation reference"/>
    <w:basedOn w:val="22"/>
    <w:qFormat/>
    <w:uiPriority w:val="0"/>
    <w:rPr>
      <w:sz w:val="21"/>
      <w:szCs w:val="21"/>
    </w:rPr>
  </w:style>
  <w:style w:type="paragraph" w:customStyle="1" w:styleId="25">
    <w:name w:val="正文文本缩进 21"/>
    <w:basedOn w:val="1"/>
    <w:next w:val="16"/>
    <w:qFormat/>
    <w:uiPriority w:val="0"/>
    <w:pPr>
      <w:spacing w:line="480" w:lineRule="auto"/>
      <w:ind w:left="420" w:leftChars="200"/>
    </w:pPr>
  </w:style>
  <w:style w:type="paragraph" w:customStyle="1" w:styleId="26">
    <w:name w:val="样式  + 首行缩进:  2 字符"/>
    <w:basedOn w:val="1"/>
    <w:qFormat/>
    <w:uiPriority w:val="0"/>
    <w:pPr>
      <w:adjustRightInd w:val="0"/>
      <w:snapToGrid w:val="0"/>
      <w:ind w:firstLine="480"/>
    </w:pPr>
    <w:rPr>
      <w:kern w:val="0"/>
      <w:sz w:val="24"/>
    </w:rPr>
  </w:style>
  <w:style w:type="paragraph" w:styleId="27">
    <w:name w:val="List Paragraph"/>
    <w:basedOn w:val="1"/>
    <w:qFormat/>
    <w:uiPriority w:val="99"/>
    <w:pPr>
      <w:ind w:firstLine="420" w:firstLineChars="200"/>
    </w:pPr>
  </w:style>
  <w:style w:type="paragraph" w:customStyle="1" w:styleId="28">
    <w:name w:val="WPSOffice手动目录 1"/>
    <w:qFormat/>
    <w:uiPriority w:val="0"/>
    <w:rPr>
      <w:rFonts w:ascii="Times New Roman" w:hAnsi="Times New Roman" w:eastAsia="宋体" w:cs="Times New Roman"/>
      <w:lang w:val="en-US" w:eastAsia="zh-CN" w:bidi="ar-SA"/>
    </w:rPr>
  </w:style>
  <w:style w:type="paragraph" w:customStyle="1" w:styleId="29">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30">
    <w:name w:val="WPSOffice手动目录 3"/>
    <w:qFormat/>
    <w:uiPriority w:val="0"/>
    <w:pPr>
      <w:ind w:left="400" w:leftChars="400"/>
    </w:pPr>
    <w:rPr>
      <w:rFonts w:ascii="Times New Roman" w:hAnsi="Times New Roman" w:eastAsia="宋体" w:cs="Times New Roman"/>
      <w:lang w:val="en-US" w:eastAsia="zh-CN" w:bidi="ar-SA"/>
    </w:rPr>
  </w:style>
  <w:style w:type="character" w:customStyle="1" w:styleId="31">
    <w:name w:val="标题 1 字符"/>
    <w:basedOn w:val="22"/>
    <w:link w:val="3"/>
    <w:qFormat/>
    <w:uiPriority w:val="0"/>
    <w:rPr>
      <w:rFonts w:asciiTheme="minorHAnsi" w:hAnsiTheme="minorHAnsi" w:eastAsiaTheme="minorEastAsia" w:cstheme="minorBidi"/>
      <w:b/>
      <w:bCs/>
      <w:kern w:val="44"/>
      <w:sz w:val="44"/>
      <w:szCs w:val="44"/>
    </w:rPr>
  </w:style>
  <w:style w:type="character" w:customStyle="1" w:styleId="32">
    <w:name w:val="标题 2 字符"/>
    <w:link w:val="4"/>
    <w:qFormat/>
    <w:uiPriority w:val="0"/>
    <w:rPr>
      <w:rFonts w:ascii="Arial" w:hAnsi="Arial" w:eastAsia="仿宋"/>
      <w:b/>
      <w:sz w:val="32"/>
    </w:rPr>
  </w:style>
  <w:style w:type="character" w:customStyle="1" w:styleId="33">
    <w:name w:val="页脚 字符"/>
    <w:basedOn w:val="22"/>
    <w:link w:val="15"/>
    <w:qFormat/>
    <w:uiPriority w:val="99"/>
    <w:rPr>
      <w:rFonts w:asciiTheme="minorHAnsi" w:hAnsiTheme="minorHAnsi" w:eastAsiaTheme="minorEastAsia" w:cstheme="minorBidi"/>
      <w:kern w:val="2"/>
      <w:sz w:val="18"/>
      <w:szCs w:val="22"/>
    </w:rPr>
  </w:style>
  <w:style w:type="character" w:customStyle="1" w:styleId="34">
    <w:name w:val="font11"/>
    <w:basedOn w:val="22"/>
    <w:qFormat/>
    <w:uiPriority w:val="0"/>
    <w:rPr>
      <w:rFonts w:hint="eastAsia" w:ascii="宋体" w:hAnsi="宋体" w:eastAsia="宋体" w:cs="宋体"/>
      <w:color w:val="000000"/>
      <w:sz w:val="20"/>
      <w:szCs w:val="20"/>
      <w:u w:val="none"/>
    </w:rPr>
  </w:style>
  <w:style w:type="character" w:customStyle="1" w:styleId="35">
    <w:name w:val="批注文字 字符"/>
    <w:basedOn w:val="22"/>
    <w:link w:val="8"/>
    <w:qFormat/>
    <w:uiPriority w:val="0"/>
    <w:rPr>
      <w:rFonts w:asciiTheme="minorHAnsi" w:hAnsiTheme="minorHAnsi" w:eastAsiaTheme="minorEastAsia" w:cstheme="minorBidi"/>
      <w:kern w:val="2"/>
      <w:sz w:val="21"/>
      <w:szCs w:val="22"/>
    </w:rPr>
  </w:style>
  <w:style w:type="character" w:customStyle="1" w:styleId="36">
    <w:name w:val="批注主题 字符"/>
    <w:basedOn w:val="35"/>
    <w:link w:val="19"/>
    <w:semiHidden/>
    <w:qFormat/>
    <w:uiPriority w:val="0"/>
    <w:rPr>
      <w:rFonts w:asciiTheme="minorHAnsi" w:hAnsiTheme="minorHAnsi" w:eastAsiaTheme="minorEastAsia" w:cstheme="minorBidi"/>
      <w:b/>
      <w:bCs/>
      <w:kern w:val="2"/>
      <w:sz w:val="21"/>
      <w:szCs w:val="22"/>
    </w:rPr>
  </w:style>
  <w:style w:type="character" w:customStyle="1" w:styleId="37">
    <w:name w:val="批注框文本 字符"/>
    <w:basedOn w:val="22"/>
    <w:link w:val="14"/>
    <w:semiHidden/>
    <w:qFormat/>
    <w:uiPriority w:val="0"/>
    <w:rPr>
      <w:rFonts w:asciiTheme="minorHAnsi" w:hAnsiTheme="minorHAnsi" w:eastAsiaTheme="minorEastAsia" w:cstheme="minorBidi"/>
      <w:kern w:val="2"/>
      <w:sz w:val="18"/>
      <w:szCs w:val="18"/>
    </w:rPr>
  </w:style>
  <w:style w:type="character" w:customStyle="1" w:styleId="38">
    <w:name w:val="font41"/>
    <w:basedOn w:val="22"/>
    <w:qFormat/>
    <w:uiPriority w:val="0"/>
    <w:rPr>
      <w:rFonts w:hint="default" w:ascii="Arial" w:hAnsi="Arial" w:cs="Arial"/>
      <w:color w:val="000000"/>
      <w:sz w:val="20"/>
      <w:szCs w:val="20"/>
      <w:u w:val="none"/>
    </w:rPr>
  </w:style>
  <w:style w:type="character" w:customStyle="1" w:styleId="39">
    <w:name w:val="font21"/>
    <w:basedOn w:val="22"/>
    <w:qFormat/>
    <w:uiPriority w:val="0"/>
    <w:rPr>
      <w:rFonts w:hint="eastAsia" w:ascii="宋体" w:hAnsi="宋体" w:eastAsia="宋体" w:cs="宋体"/>
      <w:color w:val="000000"/>
      <w:sz w:val="20"/>
      <w:szCs w:val="20"/>
      <w:u w:val="none"/>
    </w:rPr>
  </w:style>
  <w:style w:type="character" w:customStyle="1" w:styleId="40">
    <w:name w:val="标题 2 Char"/>
    <w:link w:val="4"/>
    <w:qFormat/>
    <w:uiPriority w:val="0"/>
    <w:rPr>
      <w:rFonts w:ascii="Arial" w:hAnsi="Arial" w:eastAsia="仿宋"/>
      <w:b/>
      <w:sz w:val="32"/>
    </w:rPr>
  </w:style>
  <w:style w:type="character" w:customStyle="1" w:styleId="41">
    <w:name w:val="font51"/>
    <w:basedOn w:val="22"/>
    <w:qFormat/>
    <w:uiPriority w:val="0"/>
    <w:rPr>
      <w:rFonts w:hint="eastAsia" w:ascii="宋体" w:hAnsi="宋体" w:eastAsia="宋体" w:cs="宋体"/>
      <w:b/>
      <w:bCs/>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chart" Target="charts/chart1.xml"/><Relationship Id="rId12" Type="http://schemas.openxmlformats.org/officeDocument/2006/relationships/theme" Target="theme/theme1.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r>
              <a:rPr lang="zh-CN"/>
              <a:t>       法庭运维费项目绩效评价指标得分情况</a:t>
            </a:r>
            <a:endParaRPr lang="zh-CN"/>
          </a:p>
        </c:rich>
      </c:tx>
      <c:layout>
        <c:manualLayout>
          <c:xMode val="edge"/>
          <c:yMode val="edge"/>
          <c:x val="0.147975363209581"/>
          <c:y val="0.0181273031706581"/>
        </c:manualLayout>
      </c:layout>
      <c:overlay val="0"/>
      <c:spPr>
        <a:noFill/>
        <a:ln>
          <a:noFill/>
        </a:ln>
        <a:effectLst/>
      </c:spPr>
    </c:title>
    <c:autoTitleDeleted val="0"/>
    <c:plotArea>
      <c:layout>
        <c:manualLayout>
          <c:layoutTarget val="inner"/>
          <c:xMode val="edge"/>
          <c:yMode val="edge"/>
          <c:x val="0.125233904767623"/>
          <c:y val="0.124365532381998"/>
          <c:w val="0.8337"/>
          <c:h val="0.5763"/>
        </c:manualLayout>
      </c:layout>
      <c:barChart>
        <c:barDir val="col"/>
        <c:grouping val="clustered"/>
        <c:varyColors val="0"/>
        <c:ser>
          <c:idx val="0"/>
          <c:order val="0"/>
          <c:tx>
            <c:strRef>
              <c:f>Sheet1!$B$1</c:f>
              <c:strCache>
                <c:ptCount val="1"/>
                <c:pt idx="0">
                  <c:v>权重</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Sheet1!$A$2:$A$6</c:f>
              <c:strCache>
                <c:ptCount val="5"/>
                <c:pt idx="0">
                  <c:v>决策指标</c:v>
                </c:pt>
                <c:pt idx="1">
                  <c:v>过程指标</c:v>
                </c:pt>
                <c:pt idx="2">
                  <c:v>成本指标</c:v>
                </c:pt>
                <c:pt idx="3">
                  <c:v>产出指标</c:v>
                </c:pt>
                <c:pt idx="4">
                  <c:v>效益指标</c:v>
                </c:pt>
              </c:strCache>
            </c:strRef>
          </c:cat>
          <c:val>
            <c:numRef>
              <c:f>Sheet1!$B$2:$B$6</c:f>
              <c:numCache>
                <c:formatCode>General</c:formatCode>
                <c:ptCount val="5"/>
                <c:pt idx="0">
                  <c:v>15</c:v>
                </c:pt>
                <c:pt idx="1">
                  <c:v>15</c:v>
                </c:pt>
                <c:pt idx="2">
                  <c:v>10</c:v>
                </c:pt>
                <c:pt idx="3">
                  <c:v>30</c:v>
                </c:pt>
                <c:pt idx="4">
                  <c:v>30</c:v>
                </c:pt>
              </c:numCache>
            </c:numRef>
          </c:val>
        </c:ser>
        <c:ser>
          <c:idx val="1"/>
          <c:order val="1"/>
          <c:tx>
            <c:strRef>
              <c:f>Sheet1!$C$1</c:f>
              <c:strCache>
                <c:ptCount val="1"/>
                <c:pt idx="0">
                  <c:v>得分</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Sheet1!$A$2:$A$6</c:f>
              <c:strCache>
                <c:ptCount val="5"/>
                <c:pt idx="0">
                  <c:v>决策指标</c:v>
                </c:pt>
                <c:pt idx="1">
                  <c:v>过程指标</c:v>
                </c:pt>
                <c:pt idx="2">
                  <c:v>成本指标</c:v>
                </c:pt>
                <c:pt idx="3">
                  <c:v>产出指标</c:v>
                </c:pt>
                <c:pt idx="4">
                  <c:v>效益指标</c:v>
                </c:pt>
              </c:strCache>
            </c:strRef>
          </c:cat>
          <c:val>
            <c:numRef>
              <c:f>Sheet1!$C$2:$C$6</c:f>
              <c:numCache>
                <c:formatCode>General</c:formatCode>
                <c:ptCount val="5"/>
                <c:pt idx="0">
                  <c:v>12.6</c:v>
                </c:pt>
                <c:pt idx="1">
                  <c:v>13.45</c:v>
                </c:pt>
                <c:pt idx="2">
                  <c:v>10</c:v>
                </c:pt>
                <c:pt idx="3">
                  <c:v>30</c:v>
                </c:pt>
                <c:pt idx="4">
                  <c:v>30</c:v>
                </c:pt>
              </c:numCache>
            </c:numRef>
          </c:val>
        </c:ser>
        <c:ser>
          <c:idx val="2"/>
          <c:order val="2"/>
          <c:tx>
            <c:strRef>
              <c:f>Sheet1!$D$1</c:f>
              <c:strCache>
                <c:ptCount val="1"/>
                <c:pt idx="0">
                  <c:v>得分率</c:v>
                </c:pt>
              </c:strCache>
            </c:strRef>
          </c:tx>
          <c:spPr>
            <a:solidFill>
              <a:schemeClr val="accent3"/>
            </a:solidFill>
            <a:ln>
              <a:noFill/>
            </a:ln>
            <a:effectLst/>
          </c:spPr>
          <c:invertIfNegative val="0"/>
          <c:dLbls>
            <c:dLbl>
              <c:idx val="0"/>
              <c:layout>
                <c:manualLayout>
                  <c:x val="0.017531556802244"/>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0.0245441795231417"/>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0.0210378681626928"/>
                  <c:y val="0.00493502220759993"/>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0.0227910238429173"/>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Sheet1!$A$2:$A$6</c:f>
              <c:strCache>
                <c:ptCount val="5"/>
                <c:pt idx="0">
                  <c:v>决策指标</c:v>
                </c:pt>
                <c:pt idx="1">
                  <c:v>过程指标</c:v>
                </c:pt>
                <c:pt idx="2">
                  <c:v>成本指标</c:v>
                </c:pt>
                <c:pt idx="3">
                  <c:v>产出指标</c:v>
                </c:pt>
                <c:pt idx="4">
                  <c:v>效益指标</c:v>
                </c:pt>
              </c:strCache>
            </c:strRef>
          </c:cat>
          <c:val>
            <c:numRef>
              <c:f>Sheet1!$D$2:$D$6</c:f>
              <c:numCache>
                <c:formatCode>0.00%</c:formatCode>
                <c:ptCount val="5"/>
                <c:pt idx="0">
                  <c:v>0.84</c:v>
                </c:pt>
                <c:pt idx="1">
                  <c:v>0.896666666666667</c:v>
                </c:pt>
                <c:pt idx="2">
                  <c:v>1</c:v>
                </c:pt>
                <c:pt idx="3">
                  <c:v>1</c:v>
                </c:pt>
                <c:pt idx="4">
                  <c:v>1</c:v>
                </c:pt>
              </c:numCache>
            </c:numRef>
          </c:val>
        </c:ser>
        <c:dLbls>
          <c:showLegendKey val="0"/>
          <c:showVal val="1"/>
          <c:showCatName val="0"/>
          <c:showSerName val="0"/>
          <c:showPercent val="0"/>
          <c:showBubbleSize val="0"/>
        </c:dLbls>
        <c:gapWidth val="219"/>
        <c:overlap val="-27"/>
        <c:axId val="-1549276064"/>
        <c:axId val="-1549272256"/>
      </c:barChart>
      <c:catAx>
        <c:axId val="-1549276064"/>
        <c:scaling>
          <c:orientation val="minMax"/>
        </c:scaling>
        <c:delete val="0"/>
        <c:axPos val="b"/>
        <c:numFmt formatCode="General"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549272256"/>
        <c:crosses val="autoZero"/>
        <c:auto val="1"/>
        <c:lblAlgn val="ctr"/>
        <c:lblOffset val="100"/>
        <c:noMultiLvlLbl val="0"/>
      </c:catAx>
      <c:valAx>
        <c:axId val="-154927225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549276064"/>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dTable>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3FDBD11-1D92-48EC-A2E2-01E0962C9A49}">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40</Pages>
  <Words>17249</Words>
  <Characters>20412</Characters>
  <Lines>168</Lines>
  <Paragraphs>47</Paragraphs>
  <TotalTime>3</TotalTime>
  <ScaleCrop>false</ScaleCrop>
  <LinksUpToDate>false</LinksUpToDate>
  <CharactersWithSpaces>21055</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2023-08-31T02:58:00Z</dcterms:created>
  <dc:creator>1129</dc:creator>
  <cp:lastModifiedBy>18194293010</cp:lastModifiedBy>
  <cp:lastPrinted>2024-07-09T08:19:00Z</cp:lastPrinted>
  <dcterms:modified xsi:type="dcterms:W3CDTF">2024-08-12T08:53:17Z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499CC0D3C01742529F24A2C82CBA02CB_13</vt:lpwstr>
  </property>
</Properties>
</file>