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5C799">
      <w:pPr>
        <w:pStyle w:val="9"/>
        <w:overflowPunct w:val="0"/>
        <w:spacing w:line="680" w:lineRule="exact"/>
        <w:rPr>
          <w:rFonts w:hint="eastAsia" w:ascii="仿宋_GB2312"/>
        </w:rPr>
      </w:pPr>
    </w:p>
    <w:p w14:paraId="60B9DCC7">
      <w:pPr>
        <w:overflowPunct w:val="0"/>
        <w:spacing w:line="680" w:lineRule="exact"/>
        <w:ind w:left="6" w:right="4"/>
        <w:jc w:val="center"/>
        <w:rPr>
          <w:rFonts w:ascii="宋体" w:hAnsi="宋体" w:eastAsia="宋体" w:cs="Times New Roman"/>
          <w:b/>
          <w:sz w:val="44"/>
          <w:szCs w:val="44"/>
        </w:rPr>
      </w:pPr>
    </w:p>
    <w:p w14:paraId="02416814">
      <w:pPr>
        <w:overflowPunct w:val="0"/>
        <w:spacing w:line="680" w:lineRule="exact"/>
        <w:ind w:left="6" w:right="4"/>
        <w:jc w:val="center"/>
        <w:rPr>
          <w:rFonts w:ascii="宋体" w:hAnsi="宋体" w:eastAsia="宋体" w:cs="Times New Roman"/>
          <w:b/>
          <w:sz w:val="44"/>
          <w:szCs w:val="44"/>
        </w:rPr>
      </w:pPr>
    </w:p>
    <w:p w14:paraId="4FB434FE">
      <w:pPr>
        <w:overflowPunct w:val="0"/>
        <w:spacing w:line="680" w:lineRule="exact"/>
        <w:ind w:left="6" w:right="4"/>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sz w:val="44"/>
          <w:szCs w:val="44"/>
        </w:rPr>
        <w:t>2023年度</w:t>
      </w:r>
      <w:r>
        <w:rPr>
          <w:rFonts w:hint="eastAsia" w:ascii="方正小标宋简体" w:hAnsi="方正小标宋简体" w:eastAsia="方正小标宋简体" w:cs="方正小标宋简体"/>
          <w:sz w:val="44"/>
          <w:szCs w:val="44"/>
          <w:lang w:val="en-US" w:eastAsia="zh-CN"/>
        </w:rPr>
        <w:t>甘肃省高级人民法院</w:t>
      </w:r>
      <w:r>
        <w:rPr>
          <w:rFonts w:hint="eastAsia" w:ascii="方正小标宋简体" w:hAnsi="方正小标宋简体" w:eastAsia="方正小标宋简体" w:cs="方正小标宋简体"/>
          <w:sz w:val="44"/>
          <w:szCs w:val="44"/>
        </w:rPr>
        <w:t>重点项目</w:t>
      </w:r>
    </w:p>
    <w:p w14:paraId="1CAE88F1">
      <w:pPr>
        <w:overflowPunct w:val="0"/>
        <w:spacing w:line="680" w:lineRule="exact"/>
        <w:ind w:left="6" w:right="4"/>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全省法院业务费</w:t>
      </w:r>
      <w:r>
        <w:rPr>
          <w:rFonts w:hint="eastAsia" w:ascii="方正小标宋简体" w:hAnsi="方正小标宋简体" w:eastAsia="方正小标宋简体" w:cs="方正小标宋简体"/>
          <w:sz w:val="44"/>
          <w:szCs w:val="44"/>
          <w:lang w:val="en-US" w:eastAsia="zh-CN"/>
        </w:rPr>
        <w:t>项目</w:t>
      </w:r>
      <w:r>
        <w:rPr>
          <w:rFonts w:hint="eastAsia" w:ascii="方正小标宋简体" w:hAnsi="方正小标宋简体" w:eastAsia="方正小标宋简体" w:cs="方正小标宋简体"/>
          <w:sz w:val="44"/>
          <w:szCs w:val="44"/>
        </w:rPr>
        <w:t>绩效评价报告</w:t>
      </w:r>
    </w:p>
    <w:p w14:paraId="4417FDB2">
      <w:pPr>
        <w:pStyle w:val="9"/>
        <w:overflowPunct w:val="0"/>
        <w:spacing w:line="680" w:lineRule="exact"/>
        <w:rPr>
          <w:sz w:val="56"/>
        </w:rPr>
      </w:pPr>
    </w:p>
    <w:p w14:paraId="1A67EB41">
      <w:pPr>
        <w:pStyle w:val="14"/>
      </w:pPr>
    </w:p>
    <w:p w14:paraId="71E72121">
      <w:pPr>
        <w:pStyle w:val="9"/>
        <w:overflowPunct w:val="0"/>
        <w:spacing w:line="680" w:lineRule="exact"/>
        <w:rPr>
          <w:sz w:val="56"/>
        </w:rPr>
      </w:pPr>
    </w:p>
    <w:p w14:paraId="549AF184">
      <w:pPr>
        <w:pStyle w:val="14"/>
        <w:rPr>
          <w:sz w:val="56"/>
        </w:rPr>
      </w:pPr>
    </w:p>
    <w:p w14:paraId="4ADB26A1">
      <w:pPr>
        <w:spacing w:line="578" w:lineRule="exact"/>
        <w:ind w:firstLine="300" w:firstLineChars="100"/>
        <w:rPr>
          <w:rFonts w:ascii="仿宋_GB2312" w:hAnsi="仿宋" w:eastAsia="仿宋_GB2312" w:cs="仿宋"/>
          <w:sz w:val="30"/>
          <w:szCs w:val="32"/>
          <w:u w:val="single"/>
        </w:rPr>
      </w:pPr>
      <w:r>
        <w:rPr>
          <w:rFonts w:hint="eastAsia" w:ascii="仿宋_GB2312" w:hAnsi="仿宋" w:eastAsia="仿宋_GB2312" w:cs="仿宋"/>
          <w:sz w:val="30"/>
          <w:szCs w:val="32"/>
        </w:rPr>
        <w:t>评价类型：</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实施过程评价</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完成结果评价</w:t>
      </w:r>
    </w:p>
    <w:p w14:paraId="0E8A13C9">
      <w:pPr>
        <w:spacing w:line="578" w:lineRule="exact"/>
        <w:ind w:left="1800" w:right="456" w:rightChars="217" w:hanging="1800" w:hangingChars="600"/>
        <w:jc w:val="left"/>
        <w:rPr>
          <w:rFonts w:hint="eastAsia" w:ascii="仿宋_GB2312" w:hAnsi="仿宋" w:eastAsia="仿宋_GB2312" w:cs="仿宋"/>
          <w:sz w:val="30"/>
          <w:szCs w:val="32"/>
          <w:u w:val="single"/>
        </w:rPr>
      </w:pPr>
      <w:r>
        <w:rPr>
          <w:rFonts w:hint="eastAsia" w:ascii="仿宋_GB2312" w:hAnsi="仿宋" w:eastAsia="仿宋_GB2312" w:cs="仿宋"/>
          <w:sz w:val="30"/>
          <w:szCs w:val="32"/>
        </w:rPr>
        <w:t xml:space="preserve">  项目名称：</w:t>
      </w:r>
      <w:r>
        <w:rPr>
          <w:rFonts w:hint="eastAsia" w:ascii="仿宋_GB2312" w:hAnsi="仿宋" w:eastAsia="仿宋_GB2312" w:cs="仿宋"/>
          <w:sz w:val="30"/>
          <w:szCs w:val="32"/>
          <w:u w:val="single"/>
        </w:rPr>
        <w:t xml:space="preserve"> 2023年度</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重点项目</w:t>
      </w:r>
    </w:p>
    <w:p w14:paraId="1247143B">
      <w:pPr>
        <w:spacing w:line="578" w:lineRule="exact"/>
        <w:ind w:left="1791" w:leftChars="710" w:right="456" w:rightChars="217" w:hanging="300" w:hangingChars="100"/>
        <w:jc w:val="left"/>
        <w:rPr>
          <w:rFonts w:hint="default" w:ascii="仿宋_GB2312" w:hAnsi="仿宋" w:eastAsia="仿宋_GB2312" w:cs="仿宋"/>
          <w:sz w:val="30"/>
          <w:szCs w:val="32"/>
          <w:lang w:val="en-US" w:eastAsia="zh-CN"/>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w:t>
      </w:r>
      <w:r>
        <w:rPr>
          <w:rFonts w:hint="eastAsia" w:ascii="仿宋_GB2312" w:hAnsi="仿宋" w:eastAsia="仿宋_GB2312" w:cs="仿宋"/>
          <w:sz w:val="30"/>
          <w:szCs w:val="32"/>
          <w:u w:val="single"/>
          <w:lang w:eastAsia="zh-CN"/>
        </w:rPr>
        <w:t>全省法院业务费</w:t>
      </w:r>
      <w:r>
        <w:rPr>
          <w:rFonts w:hint="eastAsia" w:ascii="仿宋_GB2312" w:hAnsi="仿宋" w:eastAsia="仿宋_GB2312" w:cs="仿宋"/>
          <w:b w:val="0"/>
          <w:bCs w:val="0"/>
          <w:color w:val="auto"/>
          <w:sz w:val="30"/>
          <w:szCs w:val="32"/>
          <w:u w:val="single"/>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 xml:space="preserve">     </w:t>
      </w:r>
    </w:p>
    <w:p w14:paraId="548A0994">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lang w:val="en-US" w:eastAsia="zh-CN"/>
        </w:rPr>
        <w:t>主管部门</w:t>
      </w:r>
      <w:r>
        <w:rPr>
          <w:rFonts w:hint="eastAsia" w:ascii="仿宋_GB2312" w:hAnsi="仿宋" w:eastAsia="仿宋_GB2312" w:cs="仿宋"/>
          <w:sz w:val="30"/>
          <w:szCs w:val="32"/>
        </w:rPr>
        <w:t>：</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 xml:space="preserve"> </w:t>
      </w:r>
    </w:p>
    <w:p w14:paraId="27DCCF8A">
      <w:pPr>
        <w:spacing w:line="578" w:lineRule="exact"/>
        <w:ind w:left="1800" w:right="456" w:rightChars="217" w:hanging="1800" w:hangingChars="600"/>
        <w:jc w:val="left"/>
        <w:rPr>
          <w:rFonts w:ascii="仿宋_GB2312" w:hAnsi="仿宋" w:eastAsia="仿宋_GB2312" w:cs="仿宋"/>
          <w:sz w:val="30"/>
          <w:szCs w:val="32"/>
          <w:u w:val="single"/>
        </w:rPr>
      </w:pPr>
      <w:r>
        <w:rPr>
          <w:rFonts w:hint="eastAsia" w:ascii="仿宋_GB2312" w:hAnsi="仿宋" w:eastAsia="仿宋_GB2312" w:cs="仿宋"/>
          <w:sz w:val="30"/>
          <w:szCs w:val="32"/>
        </w:rPr>
        <w:t xml:space="preserve">  评价时间： </w:t>
      </w:r>
      <w:r>
        <w:rPr>
          <w:rFonts w:hint="eastAsia" w:ascii="仿宋_GB2312" w:hAnsi="仿宋" w:eastAsia="仿宋_GB2312" w:cs="仿宋"/>
          <w:sz w:val="30"/>
          <w:szCs w:val="32"/>
          <w:u w:val="single"/>
        </w:rPr>
        <w:t>2023年01月01日至 2023年12月31日</w:t>
      </w:r>
    </w:p>
    <w:p w14:paraId="1CCE2FF7">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组织方式：</w:t>
      </w:r>
      <w:r>
        <w:rPr>
          <w:rFonts w:hint="eastAsia" w:ascii="仿宋_GB2312" w:hAnsi="仿宋" w:eastAsia="仿宋_GB2312" w:cs="仿宋"/>
          <w:sz w:val="30"/>
          <w:szCs w:val="32"/>
          <w:u w:val="single"/>
        </w:rPr>
        <w:t>□财政部门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主管部门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项目单位</w:t>
      </w:r>
      <w:r>
        <w:rPr>
          <w:rFonts w:hint="eastAsia" w:ascii="仿宋_GB2312" w:hAnsi="仿宋" w:eastAsia="仿宋_GB2312" w:cs="仿宋"/>
          <w:sz w:val="30"/>
          <w:szCs w:val="32"/>
        </w:rPr>
        <w:t xml:space="preserve"> </w:t>
      </w:r>
    </w:p>
    <w:p w14:paraId="49B22A60">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评价机构：</w:t>
      </w:r>
      <w:r>
        <w:rPr>
          <w:rFonts w:hint="eastAsia" w:ascii="仿宋_GB2312" w:hAnsi="仿宋" w:eastAsia="仿宋_GB2312" w:cs="仿宋"/>
          <w:sz w:val="30"/>
          <w:szCs w:val="32"/>
          <w:u w:val="single"/>
        </w:rPr>
        <w:t>☑中介机构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□专家组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□项目单位评价组</w:t>
      </w:r>
    </w:p>
    <w:p w14:paraId="75E9DABD">
      <w:pPr>
        <w:spacing w:line="578" w:lineRule="exact"/>
        <w:rPr>
          <w:rFonts w:ascii="仿宋_GB2312" w:hAnsi="仿宋" w:eastAsia="仿宋_GB2312" w:cs="仿宋"/>
          <w:sz w:val="30"/>
          <w:szCs w:val="32"/>
        </w:rPr>
      </w:pPr>
    </w:p>
    <w:p w14:paraId="198676EC">
      <w:pPr>
        <w:spacing w:line="578" w:lineRule="exact"/>
        <w:ind w:left="4800" w:hanging="4800" w:hangingChars="1600"/>
        <w:rPr>
          <w:rFonts w:hint="eastAsia" w:ascii="仿宋_GB2312" w:hAnsi="仿宋" w:eastAsia="仿宋_GB2312" w:cs="仿宋"/>
          <w:sz w:val="30"/>
          <w:szCs w:val="32"/>
        </w:rPr>
      </w:pPr>
      <w:r>
        <w:rPr>
          <w:rFonts w:hint="eastAsia" w:ascii="仿宋_GB2312" w:hAnsi="仿宋" w:eastAsia="仿宋_GB2312" w:cs="仿宋"/>
          <w:sz w:val="30"/>
          <w:szCs w:val="32"/>
        </w:rPr>
        <w:t xml:space="preserve">           </w:t>
      </w:r>
    </w:p>
    <w:p w14:paraId="70E575B7">
      <w:pPr>
        <w:spacing w:line="578" w:lineRule="exact"/>
        <w:ind w:left="4800" w:hanging="4800" w:hangingChars="1600"/>
        <w:rPr>
          <w:rFonts w:ascii="仿宋_GB2312" w:hAnsi="仿宋" w:eastAsia="仿宋_GB2312" w:cs="仿宋"/>
          <w:sz w:val="30"/>
          <w:szCs w:val="32"/>
        </w:rPr>
      </w:pPr>
      <w:r>
        <w:rPr>
          <w:rFonts w:hint="eastAsia" w:ascii="仿宋_GB2312" w:hAnsi="仿宋" w:eastAsia="仿宋_GB2312" w:cs="仿宋"/>
          <w:sz w:val="30"/>
          <w:szCs w:val="32"/>
        </w:rPr>
        <w:t xml:space="preserve">  </w:t>
      </w:r>
    </w:p>
    <w:p w14:paraId="44257E26">
      <w:pPr>
        <w:spacing w:line="578" w:lineRule="exact"/>
        <w:ind w:right="456" w:rightChars="217" w:firstLine="300" w:firstLineChars="100"/>
        <w:jc w:val="center"/>
        <w:rPr>
          <w:rFonts w:ascii="宋体" w:hAnsi="宋体" w:eastAsia="宋体" w:cs="宋体"/>
          <w:sz w:val="30"/>
          <w:szCs w:val="32"/>
        </w:rPr>
      </w:pPr>
      <w:r>
        <w:rPr>
          <w:rFonts w:hint="eastAsia" w:ascii="宋体" w:hAnsi="宋体" w:eastAsia="宋体" w:cs="宋体"/>
          <w:sz w:val="30"/>
          <w:szCs w:val="32"/>
        </w:rPr>
        <w:t>评价单位：甘肃卓诚财务咨询有限公司</w:t>
      </w:r>
    </w:p>
    <w:p w14:paraId="0E647966">
      <w:pPr>
        <w:spacing w:line="578" w:lineRule="exact"/>
        <w:ind w:right="456" w:rightChars="217" w:firstLine="1500" w:firstLineChars="500"/>
        <w:jc w:val="both"/>
        <w:rPr>
          <w:rFonts w:hint="default" w:ascii="宋体" w:hAnsi="宋体" w:eastAsia="宋体" w:cs="宋体"/>
          <w:sz w:val="30"/>
          <w:szCs w:val="32"/>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sz w:val="30"/>
          <w:szCs w:val="32"/>
        </w:rPr>
        <w:t>编制日期：202</w:t>
      </w:r>
      <w:r>
        <w:rPr>
          <w:rFonts w:hint="eastAsia" w:ascii="宋体" w:hAnsi="宋体" w:eastAsia="宋体" w:cs="宋体"/>
          <w:sz w:val="30"/>
          <w:szCs w:val="32"/>
          <w:lang w:val="en-US" w:eastAsia="zh-CN"/>
        </w:rPr>
        <w:t>4</w:t>
      </w:r>
      <w:r>
        <w:rPr>
          <w:rFonts w:hint="eastAsia" w:ascii="宋体" w:hAnsi="宋体" w:eastAsia="宋体" w:cs="宋体"/>
          <w:sz w:val="30"/>
          <w:szCs w:val="32"/>
        </w:rPr>
        <w:t>年</w:t>
      </w:r>
      <w:r>
        <w:rPr>
          <w:rFonts w:hint="eastAsia" w:ascii="宋体" w:hAnsi="宋体" w:eastAsia="宋体" w:cs="宋体"/>
          <w:sz w:val="30"/>
          <w:szCs w:val="32"/>
          <w:lang w:val="en-US" w:eastAsia="zh-CN"/>
        </w:rPr>
        <w:t>7</w:t>
      </w:r>
      <w:r>
        <w:rPr>
          <w:rFonts w:hint="eastAsia" w:ascii="宋体" w:hAnsi="宋体" w:eastAsia="宋体" w:cs="宋体"/>
          <w:sz w:val="30"/>
          <w:szCs w:val="32"/>
        </w:rPr>
        <w:t>月</w:t>
      </w:r>
      <w:r>
        <w:rPr>
          <w:rFonts w:hint="eastAsia" w:ascii="宋体" w:hAnsi="宋体" w:eastAsia="宋体" w:cs="宋体"/>
          <w:sz w:val="30"/>
          <w:szCs w:val="32"/>
          <w:lang w:val="en-US" w:eastAsia="zh-CN"/>
        </w:rPr>
        <w:t>31日</w:t>
      </w:r>
    </w:p>
    <w:sdt>
      <w:sdtPr>
        <w:rPr>
          <w:rFonts w:hint="eastAsia" w:ascii="宋体" w:hAnsi="宋体" w:eastAsia="宋体" w:cs="宋体"/>
          <w:color w:val="FF0000"/>
          <w:sz w:val="40"/>
          <w:szCs w:val="40"/>
        </w:rPr>
        <w:id w:val="147453237"/>
        <w15:color w:val="DBDBDB"/>
        <w:docPartObj>
          <w:docPartGallery w:val="Table of Contents"/>
          <w:docPartUnique/>
        </w:docPartObj>
      </w:sdtPr>
      <w:sdtEndPr>
        <w:rPr>
          <w:rFonts w:hint="eastAsia" w:ascii="宋体" w:hAnsi="宋体" w:eastAsia="宋体" w:cs="宋体"/>
          <w:b/>
          <w:bCs/>
          <w:color w:val="FF0000"/>
          <w:sz w:val="32"/>
          <w:szCs w:val="44"/>
          <w:highlight w:val="yellow"/>
        </w:rPr>
      </w:sdtEndPr>
      <w:sdtContent>
        <w:p w14:paraId="7FD41D3E">
          <w:pPr>
            <w:jc w:val="center"/>
            <w:rPr>
              <w:rFonts w:ascii="宋体" w:hAnsi="宋体" w:eastAsia="宋体" w:cs="宋体"/>
              <w:b/>
              <w:bCs/>
              <w:sz w:val="36"/>
              <w:szCs w:val="36"/>
            </w:rPr>
          </w:pPr>
          <w:r>
            <w:rPr>
              <w:rFonts w:hint="eastAsia" w:ascii="宋体" w:hAnsi="宋体" w:eastAsia="宋体" w:cs="宋体"/>
              <w:b/>
              <w:bCs/>
              <w:sz w:val="36"/>
              <w:szCs w:val="36"/>
            </w:rPr>
            <w:t>目  录</w:t>
          </w:r>
        </w:p>
        <w:p w14:paraId="6F356DA1">
          <w:pPr>
            <w:pStyle w:val="16"/>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TOC \o "1-2" \h \u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_Toc10066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摘   要</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_Toc10066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1DE5F450">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_Toc25559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kern w:val="2"/>
              <w:sz w:val="28"/>
              <w:szCs w:val="28"/>
              <w:lang w:val="en-US" w:eastAsia="zh-CN" w:bidi="ar-SA"/>
            </w:rPr>
            <w:t>一、</w:t>
          </w:r>
          <w:r>
            <w:rPr>
              <w:rFonts w:hint="eastAsia" w:ascii="宋体" w:hAnsi="宋体" w:eastAsia="宋体" w:cs="宋体"/>
              <w:bCs w:val="0"/>
              <w:sz w:val="28"/>
              <w:szCs w:val="28"/>
              <w:highlight w:val="none"/>
            </w:rPr>
            <w:t>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_Toc25559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C48184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_Toc2934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（一）项目立项背景及实施目的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_Toc2934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6C336B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_Toc20928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（二）项目预算安排和支出情况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_Toc20928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9DBB62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_Toc2396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项目实施情况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_Toc2396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8294DA1">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_Toc15695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sz w:val="28"/>
              <w:szCs w:val="28"/>
              <w:highlight w:val="none"/>
              <w:lang w:val="en-US" w:eastAsia="zh-CN"/>
            </w:rPr>
            <w:t>二</w:t>
          </w:r>
          <w:r>
            <w:rPr>
              <w:rFonts w:hint="eastAsia" w:ascii="宋体" w:hAnsi="宋体" w:eastAsia="宋体" w:cs="宋体"/>
              <w:bCs w:val="0"/>
              <w:sz w:val="28"/>
              <w:szCs w:val="28"/>
              <w:highlight w:val="none"/>
            </w:rPr>
            <w:t>、评价结论和绩效分析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_Toc15695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3CD7E5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_Toc25236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（一）综合评价结论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_Toc25236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A530295">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_Toc31512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_Toc31512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5096DBC">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_Toc30083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44"/>
              <w:sz w:val="28"/>
              <w:szCs w:val="28"/>
              <w:highlight w:val="none"/>
              <w:lang w:val="en-US" w:eastAsia="zh-CN" w:bidi="ar-SA"/>
            </w:rPr>
            <w:t>三、</w:t>
          </w:r>
          <w:r>
            <w:rPr>
              <w:rFonts w:hint="eastAsia" w:ascii="宋体" w:hAnsi="宋体" w:eastAsia="宋体" w:cs="宋体"/>
              <w:bCs/>
              <w:sz w:val="28"/>
              <w:szCs w:val="28"/>
              <w:highlight w:val="none"/>
            </w:rPr>
            <w:t>存在问题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_Toc30083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595F6E8">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_Toc7551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44"/>
              <w:sz w:val="28"/>
              <w:szCs w:val="28"/>
              <w:highlight w:val="none"/>
              <w:lang w:val="en-US" w:eastAsia="zh-CN" w:bidi="ar-SA"/>
            </w:rPr>
            <w:t>四、</w:t>
          </w:r>
          <w:r>
            <w:rPr>
              <w:rFonts w:hint="eastAsia" w:ascii="宋体" w:hAnsi="宋体" w:eastAsia="宋体" w:cs="宋体"/>
              <w:bCs/>
              <w:sz w:val="28"/>
              <w:szCs w:val="28"/>
              <w:highlight w:val="none"/>
            </w:rPr>
            <w:t>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_Toc7551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91F3D22">
          <w:pPr>
            <w:pStyle w:val="16"/>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_Toc8600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2023年度</w:t>
          </w:r>
          <w:r>
            <w:rPr>
              <w:rFonts w:hint="eastAsia" w:ascii="宋体" w:hAnsi="宋体" w:eastAsia="宋体" w:cs="宋体"/>
              <w:b/>
              <w:bCs/>
              <w:sz w:val="28"/>
              <w:szCs w:val="28"/>
              <w:highlight w:val="none"/>
              <w:lang w:val="en-US" w:eastAsia="zh-CN"/>
            </w:rPr>
            <w:t>甘肃省高级人民法院</w:t>
          </w:r>
          <w:r>
            <w:rPr>
              <w:rFonts w:hint="eastAsia" w:ascii="宋体" w:hAnsi="宋体" w:eastAsia="宋体" w:cs="宋体"/>
              <w:b/>
              <w:bCs/>
              <w:sz w:val="28"/>
              <w:szCs w:val="28"/>
              <w:highlight w:val="none"/>
            </w:rPr>
            <w:t>重点项目</w:t>
          </w:r>
          <w:r>
            <w:rPr>
              <w:rFonts w:hint="eastAsia" w:ascii="宋体" w:hAnsi="宋体" w:eastAsia="宋体" w:cs="宋体"/>
              <w:b/>
              <w:bCs/>
              <w:sz w:val="28"/>
              <w:szCs w:val="28"/>
              <w:highlight w:val="none"/>
              <w:lang w:eastAsia="zh-CN"/>
            </w:rPr>
            <w:t>全省法院业务费</w:t>
          </w:r>
          <w:r>
            <w:rPr>
              <w:rFonts w:hint="eastAsia" w:ascii="宋体" w:hAnsi="宋体" w:eastAsia="宋体" w:cs="宋体"/>
              <w:b/>
              <w:bCs/>
              <w:sz w:val="28"/>
              <w:szCs w:val="28"/>
              <w:highlight w:val="none"/>
            </w:rPr>
            <w:t>绩效评价报告</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_Toc8600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5</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3C42E88A">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_Toc25013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一、项目基本情况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_Toc25013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1F22F6A">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_Toc2329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_Toc2329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FE2676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_Toc30712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（二）项目预算安排及使用情况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_Toc30712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B611CAA">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_Toc27366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（三）项目计划内容及实施情况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_Toc27366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9C1D49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_Toc18281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（四）项目组织管理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_Toc18281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1E9EA84">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_Toc30254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二、项目绩效目标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_Toc30254 \h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E85DCC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_Toc12389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（一）总体目标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_Toc12389 \h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ACA7AC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_Toc13277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（二）年度目标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_Toc13277 \h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B93838F">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_Toc16904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三、评价基本情况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_Toc16904 \h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BA3AF06">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（一）评价目的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_Toc254 \h </w:instrText>
          </w:r>
          <w:r>
            <w:rPr>
              <w:rFonts w:hint="eastAsia" w:ascii="宋体" w:hAnsi="宋体" w:eastAsia="宋体" w:cs="宋体"/>
              <w:sz w:val="28"/>
              <w:szCs w:val="28"/>
            </w:rPr>
            <w:fldChar w:fldCharType="separate"/>
          </w:r>
          <w:r>
            <w:rPr>
              <w:rFonts w:hint="eastAsia" w:ascii="宋体" w:hAnsi="宋体" w:eastAsia="宋体" w:cs="宋体"/>
              <w:sz w:val="28"/>
              <w:szCs w:val="28"/>
            </w:rPr>
            <w:t>16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1459B4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_Toc11815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（二）评价对象与范围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_Toc11815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D20992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_Toc13627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（三）评价依据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_Toc13627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F1E23C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_Toc20037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（四）评价原则、评价方法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_Toc20037 \h </w:instrText>
          </w:r>
          <w:r>
            <w:rPr>
              <w:rFonts w:hint="eastAsia" w:ascii="宋体" w:hAnsi="宋体" w:eastAsia="宋体" w:cs="宋体"/>
              <w:sz w:val="28"/>
              <w:szCs w:val="28"/>
            </w:rPr>
            <w:fldChar w:fldCharType="separate"/>
          </w:r>
          <w:r>
            <w:rPr>
              <w:rFonts w:hint="eastAsia"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D4B50B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_Toc5852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（五）绩效评价指标体系</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_Toc5852 \h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A80817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_Toc9691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六</w:t>
          </w:r>
          <w:r>
            <w:rPr>
              <w:rFonts w:hint="eastAsia" w:ascii="宋体" w:hAnsi="宋体" w:eastAsia="宋体" w:cs="宋体"/>
              <w:bCs/>
              <w:sz w:val="28"/>
              <w:szCs w:val="28"/>
              <w:highlight w:val="none"/>
            </w:rPr>
            <w:t>）绩效评价工作过程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_Toc9691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9D00FB1">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_Toc29082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四、评价结论及分析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_Toc29082 \h </w:instrText>
          </w:r>
          <w:r>
            <w:rPr>
              <w:rFonts w:hint="eastAsia" w:ascii="宋体" w:hAnsi="宋体" w:eastAsia="宋体" w:cs="宋体"/>
              <w:sz w:val="28"/>
              <w:szCs w:val="28"/>
            </w:rPr>
            <w:fldChar w:fldCharType="separate"/>
          </w:r>
          <w:r>
            <w:rPr>
              <w:rFonts w:hint="eastAsia" w:ascii="宋体" w:hAnsi="宋体" w:eastAsia="宋体" w:cs="宋体"/>
              <w:sz w:val="28"/>
              <w:szCs w:val="28"/>
            </w:rPr>
            <w:t>24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A948FAE">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_Toc16535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五、绩效评价指标分析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_Toc16535 \h </w:instrText>
          </w:r>
          <w:r>
            <w:rPr>
              <w:rFonts w:hint="eastAsia" w:ascii="宋体" w:hAnsi="宋体" w:eastAsia="宋体" w:cs="宋体"/>
              <w:sz w:val="28"/>
              <w:szCs w:val="28"/>
            </w:rPr>
            <w:fldChar w:fldCharType="separate"/>
          </w:r>
          <w:r>
            <w:rPr>
              <w:rFonts w:hint="eastAsia"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7008487">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_Toc10145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_Toc10145 \h </w:instrText>
          </w:r>
          <w:r>
            <w:rPr>
              <w:rFonts w:hint="eastAsia" w:ascii="宋体" w:hAnsi="宋体" w:eastAsia="宋体" w:cs="宋体"/>
              <w:sz w:val="28"/>
              <w:szCs w:val="28"/>
            </w:rPr>
            <w:fldChar w:fldCharType="separate"/>
          </w:r>
          <w:r>
            <w:rPr>
              <w:rFonts w:hint="eastAsia" w:ascii="宋体" w:hAnsi="宋体" w:eastAsia="宋体" w:cs="宋体"/>
              <w:sz w:val="28"/>
              <w:szCs w:val="28"/>
            </w:rPr>
            <w:t>27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0D83CEE">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_Toc15959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（二）项目过程情况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_Toc15959 \h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99F4D55">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_Toc18704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2"/>
              <w:sz w:val="28"/>
              <w:szCs w:val="28"/>
              <w:highlight w:val="none"/>
              <w:lang w:val="en-US" w:eastAsia="zh-CN" w:bidi="ar-SA"/>
            </w:rPr>
            <w:t>（三）</w:t>
          </w:r>
          <w:r>
            <w:rPr>
              <w:rFonts w:hint="eastAsia" w:ascii="宋体" w:hAnsi="宋体" w:eastAsia="宋体" w:cs="宋体"/>
              <w:bCs/>
              <w:sz w:val="28"/>
              <w:szCs w:val="28"/>
              <w:highlight w:val="none"/>
            </w:rPr>
            <w:t>项目</w:t>
          </w:r>
          <w:r>
            <w:rPr>
              <w:rFonts w:hint="eastAsia" w:ascii="宋体" w:hAnsi="宋体" w:eastAsia="宋体" w:cs="宋体"/>
              <w:bCs/>
              <w:sz w:val="28"/>
              <w:szCs w:val="28"/>
              <w:highlight w:val="none"/>
              <w:lang w:val="en-US" w:eastAsia="zh-CN"/>
            </w:rPr>
            <w:t>成本情况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_Toc18704 \h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B60A7B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_Toc6043 </w:instrText>
          </w:r>
          <w:r>
            <w:rPr>
              <w:rFonts w:hint="eastAsia" w:ascii="宋体" w:hAnsi="宋体" w:eastAsia="宋体" w:cs="宋体"/>
              <w:bCs/>
              <w:sz w:val="28"/>
              <w:szCs w:val="28"/>
              <w:highlight w:val="yellow"/>
            </w:rPr>
            <w:fldChar w:fldCharType="separate"/>
          </w:r>
          <w:r>
            <w:rPr>
              <w:rFonts w:hint="eastAsia" w:ascii="宋体" w:hAnsi="宋体" w:eastAsia="宋体" w:cs="宋体"/>
              <w:bCs/>
              <w:kern w:val="2"/>
              <w:sz w:val="28"/>
              <w:szCs w:val="28"/>
              <w:lang w:val="en-US" w:eastAsia="zh-CN" w:bidi="ar-SA"/>
            </w:rPr>
            <w:t>（四）</w:t>
          </w:r>
          <w:r>
            <w:rPr>
              <w:rFonts w:hint="eastAsia" w:ascii="宋体" w:hAnsi="宋体" w:eastAsia="宋体" w:cs="宋体"/>
              <w:bCs/>
              <w:sz w:val="28"/>
              <w:szCs w:val="28"/>
              <w:highlight w:val="none"/>
              <w:lang w:val="en-US" w:eastAsia="zh-CN"/>
            </w:rPr>
            <w:t>项目</w:t>
          </w:r>
          <w:r>
            <w:rPr>
              <w:rFonts w:hint="eastAsia" w:ascii="宋体" w:hAnsi="宋体" w:eastAsia="宋体" w:cs="宋体"/>
              <w:bCs/>
              <w:sz w:val="28"/>
              <w:szCs w:val="28"/>
              <w:highlight w:val="none"/>
            </w:rPr>
            <w:t>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_Toc6043 \h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A772C9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_Toc15292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五</w:t>
          </w:r>
          <w:r>
            <w:rPr>
              <w:rFonts w:hint="eastAsia" w:ascii="宋体" w:hAnsi="宋体" w:eastAsia="宋体" w:cs="宋体"/>
              <w:bCs/>
              <w:sz w:val="28"/>
              <w:szCs w:val="28"/>
              <w:highlight w:val="none"/>
            </w:rPr>
            <w:t>）项目效益情况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_Toc15292 \h </w:instrText>
          </w:r>
          <w:r>
            <w:rPr>
              <w:rFonts w:hint="eastAsia" w:ascii="宋体" w:hAnsi="宋体" w:eastAsia="宋体" w:cs="宋体"/>
              <w:sz w:val="28"/>
              <w:szCs w:val="28"/>
            </w:rPr>
            <w:fldChar w:fldCharType="separate"/>
          </w:r>
          <w:r>
            <w:rPr>
              <w:rFonts w:hint="eastAsia" w:ascii="宋体" w:hAnsi="宋体" w:eastAsia="宋体" w:cs="宋体"/>
              <w:sz w:val="28"/>
              <w:szCs w:val="28"/>
            </w:rPr>
            <w:t>38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59524A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_Toc21820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六、项目主要经验及做法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_Toc21820 \h </w:instrText>
          </w:r>
          <w:r>
            <w:rPr>
              <w:rFonts w:hint="eastAsia" w:ascii="宋体" w:hAnsi="宋体" w:eastAsia="宋体" w:cs="宋体"/>
              <w:sz w:val="28"/>
              <w:szCs w:val="28"/>
            </w:rPr>
            <w:fldChar w:fldCharType="separate"/>
          </w:r>
          <w:r>
            <w:rPr>
              <w:rFonts w:hint="eastAsia" w:ascii="宋体" w:hAnsi="宋体" w:eastAsia="宋体" w:cs="宋体"/>
              <w:sz w:val="28"/>
              <w:szCs w:val="28"/>
            </w:rPr>
            <w:t>42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2C634BA">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_Toc32127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七、存在的问题及原因分析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_Toc32127 \h </w:instrText>
          </w:r>
          <w:r>
            <w:rPr>
              <w:rFonts w:hint="eastAsia" w:ascii="宋体" w:hAnsi="宋体" w:eastAsia="宋体" w:cs="宋体"/>
              <w:sz w:val="28"/>
              <w:szCs w:val="28"/>
            </w:rPr>
            <w:fldChar w:fldCharType="separate"/>
          </w:r>
          <w:r>
            <w:rPr>
              <w:rFonts w:hint="eastAsia" w:ascii="宋体" w:hAnsi="宋体" w:eastAsia="宋体" w:cs="宋体"/>
              <w:sz w:val="28"/>
              <w:szCs w:val="28"/>
            </w:rPr>
            <w:t>44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E503B9D">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_Toc28378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八、有关建议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_Toc28378 \h </w:instrText>
          </w:r>
          <w:r>
            <w:rPr>
              <w:rFonts w:hint="eastAsia" w:ascii="宋体" w:hAnsi="宋体" w:eastAsia="宋体" w:cs="宋体"/>
              <w:sz w:val="28"/>
              <w:szCs w:val="28"/>
            </w:rPr>
            <w:fldChar w:fldCharType="separate"/>
          </w:r>
          <w:r>
            <w:rPr>
              <w:rFonts w:hint="eastAsia" w:ascii="宋体" w:hAnsi="宋体" w:eastAsia="宋体" w:cs="宋体"/>
              <w:sz w:val="28"/>
              <w:szCs w:val="28"/>
            </w:rPr>
            <w:t>46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F65694E">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_Toc6371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九、需要说明的问题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_Toc6371 \h </w:instrText>
          </w:r>
          <w:r>
            <w:rPr>
              <w:rFonts w:hint="eastAsia" w:ascii="宋体" w:hAnsi="宋体" w:eastAsia="宋体" w:cs="宋体"/>
              <w:sz w:val="28"/>
              <w:szCs w:val="28"/>
            </w:rPr>
            <w:fldChar w:fldCharType="separate"/>
          </w:r>
          <w:r>
            <w:rPr>
              <w:rFonts w:hint="eastAsia" w:ascii="宋体" w:hAnsi="宋体" w:eastAsia="宋体" w:cs="宋体"/>
              <w:sz w:val="28"/>
              <w:szCs w:val="28"/>
            </w:rPr>
            <w:t>48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C7486E8">
          <w:pPr>
            <w:pStyle w:val="9"/>
            <w:overflowPunct w:val="0"/>
            <w:spacing w:line="560" w:lineRule="exact"/>
            <w:rPr>
              <w:rFonts w:ascii="宋体" w:hAnsi="宋体" w:eastAsia="宋体"/>
              <w:b/>
              <w:bCs/>
              <w:szCs w:val="44"/>
              <w:highlight w:val="yellow"/>
            </w:rPr>
            <w:sectPr>
              <w:headerReference r:id="rId6" w:type="first"/>
              <w:footerReference r:id="rId8" w:type="first"/>
              <w:headerReference r:id="rId5"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ascii="宋体" w:hAnsi="宋体" w:eastAsia="宋体" w:cs="宋体"/>
              <w:bCs/>
              <w:sz w:val="28"/>
              <w:szCs w:val="28"/>
              <w:highlight w:val="yellow"/>
            </w:rPr>
            <w:fldChar w:fldCharType="end"/>
          </w:r>
        </w:p>
      </w:sdtContent>
    </w:sdt>
    <w:p w14:paraId="1D93DA07">
      <w:pPr>
        <w:pStyle w:val="9"/>
        <w:overflowPunct w:val="0"/>
        <w:spacing w:line="560" w:lineRule="exact"/>
        <w:jc w:val="center"/>
        <w:outlineLvl w:val="0"/>
        <w:rPr>
          <w:rFonts w:ascii="方正小标宋简体" w:hAnsi="宋体" w:eastAsia="方正小标宋简体"/>
          <w:sz w:val="44"/>
          <w:szCs w:val="44"/>
          <w:highlight w:val="none"/>
        </w:rPr>
      </w:pPr>
      <w:bookmarkStart w:id="0" w:name="_Toc10066"/>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0"/>
    </w:p>
    <w:p w14:paraId="4FDBA257">
      <w:pPr>
        <w:overflowPunct w:val="0"/>
        <w:spacing w:line="560" w:lineRule="exact"/>
        <w:ind w:firstLine="420" w:firstLineChars="200"/>
        <w:jc w:val="center"/>
        <w:rPr>
          <w:highlight w:val="yellow"/>
        </w:rPr>
      </w:pPr>
    </w:p>
    <w:p w14:paraId="1F00CDCC">
      <w:pPr>
        <w:keepNext w:val="0"/>
        <w:keepLines w:val="0"/>
        <w:pageBreakBefore w:val="0"/>
        <w:widowControl w:val="0"/>
        <w:numPr>
          <w:ilvl w:val="0"/>
          <w:numId w:val="0"/>
        </w:numPr>
        <w:tabs>
          <w:tab w:val="left" w:pos="849"/>
        </w:tabs>
        <w:kinsoku/>
        <w:wordWrap/>
        <w:overflowPunct/>
        <w:topLinePunct w:val="0"/>
        <w:autoSpaceDE/>
        <w:autoSpaceDN/>
        <w:bidi w:val="0"/>
        <w:adjustRightInd/>
        <w:snapToGrid/>
        <w:spacing w:line="556" w:lineRule="exact"/>
        <w:ind w:firstLine="640" w:firstLineChars="200"/>
        <w:textAlignment w:val="auto"/>
        <w:outlineLvl w:val="0"/>
        <w:rPr>
          <w:rFonts w:ascii="黑体" w:hAnsi="黑体" w:eastAsia="黑体" w:cs="黑体"/>
          <w:b w:val="0"/>
          <w:bCs w:val="0"/>
          <w:color w:val="auto"/>
          <w:sz w:val="32"/>
          <w:szCs w:val="32"/>
          <w:highlight w:val="none"/>
        </w:rPr>
      </w:pPr>
      <w:bookmarkStart w:id="1" w:name="_Toc3638"/>
      <w:bookmarkStart w:id="2" w:name="_Toc13873"/>
      <w:bookmarkStart w:id="3" w:name="_Toc25559"/>
      <w:r>
        <w:rPr>
          <w:rFonts w:hint="eastAsia" w:ascii="黑体" w:hAnsi="黑体" w:eastAsia="黑体" w:cs="黑体"/>
          <w:b w:val="0"/>
          <w:bCs w:val="0"/>
          <w:color w:val="auto"/>
          <w:kern w:val="2"/>
          <w:sz w:val="32"/>
          <w:szCs w:val="32"/>
          <w:lang w:val="en-US" w:eastAsia="zh-CN" w:bidi="ar-SA"/>
        </w:rPr>
        <w:t>一、</w:t>
      </w:r>
      <w:r>
        <w:rPr>
          <w:rFonts w:hint="eastAsia" w:ascii="黑体" w:hAnsi="黑体" w:eastAsia="黑体" w:cs="黑体"/>
          <w:b w:val="0"/>
          <w:bCs w:val="0"/>
          <w:color w:val="auto"/>
          <w:sz w:val="32"/>
          <w:szCs w:val="32"/>
          <w:highlight w:val="none"/>
        </w:rPr>
        <w:t>项目基本情况</w:t>
      </w:r>
      <w:bookmarkEnd w:id="1"/>
      <w:bookmarkEnd w:id="2"/>
      <w:bookmarkEnd w:id="3"/>
    </w:p>
    <w:p w14:paraId="6999B60B">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4" w:name="_Toc4031"/>
      <w:bookmarkStart w:id="5" w:name="_Toc30374"/>
      <w:bookmarkStart w:id="6" w:name="_Toc2934"/>
      <w:r>
        <w:rPr>
          <w:rFonts w:hint="eastAsia" w:ascii="楷体" w:hAnsi="楷体" w:eastAsia="楷体" w:cs="楷体"/>
          <w:b/>
          <w:bCs/>
          <w:color w:val="auto"/>
          <w:highlight w:val="none"/>
        </w:rPr>
        <w:t>（一）项目立项背景及实施目的</w:t>
      </w:r>
      <w:bookmarkEnd w:id="4"/>
      <w:bookmarkEnd w:id="5"/>
      <w:bookmarkEnd w:id="6"/>
    </w:p>
    <w:p w14:paraId="4A30F180">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cs="仿宋_GB2312"/>
          <w:highlight w:val="none"/>
          <w:lang w:val="en-US" w:eastAsia="zh-CN"/>
        </w:rPr>
      </w:pPr>
      <w:bookmarkStart w:id="7" w:name="_Toc24239"/>
      <w:r>
        <w:rPr>
          <w:rFonts w:hint="eastAsia" w:ascii="仿宋_GB2312" w:hAnsi="仿宋_GB2312" w:cs="仿宋_GB2312"/>
          <w:highlight w:val="none"/>
          <w:lang w:val="en-US" w:eastAsia="zh-CN"/>
        </w:rPr>
        <w:t>随着审判为中心的诉讼司法体制改革和登记立案制改革的深入推进，全省各级法院案件受理量逐年增长，同时，审判案件成本也将进一步增加，按目前省法院测算的案件成本计算，全省中、基层法院办案业务经费仍然不足，现有的办案业务费标准无法保障日益增加的办案需求。因此，根据法院民商事审判和行政审判标准公共服务的客观实际，每年从考核收入中安排增加部分办案业务补助经费，解决全省中、基层法院办案业务费不足的实际问题。</w:t>
      </w:r>
    </w:p>
    <w:p w14:paraId="46EB9189">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cs="仿宋_GB2312"/>
          <w:highlight w:val="none"/>
          <w:lang w:val="en-US" w:eastAsia="zh-CN"/>
        </w:rPr>
        <w:t>全省法院业务费主要是紧紧围绕我省法院审判办案所需业务经费以及与办案有关的一些经费支出，为了提高审判办案质效，保障法院重点工作，弥补法院项目经费不足的情况而设立的，属于法院经常性项目。</w:t>
      </w:r>
    </w:p>
    <w:p w14:paraId="3A497170">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8" w:name="_Toc15128"/>
      <w:bookmarkStart w:id="9" w:name="_Toc20928"/>
      <w:r>
        <w:rPr>
          <w:rFonts w:hint="eastAsia" w:ascii="楷体" w:hAnsi="楷体" w:eastAsia="楷体" w:cs="楷体"/>
          <w:b/>
          <w:bCs/>
          <w:color w:val="auto"/>
          <w:highlight w:val="none"/>
        </w:rPr>
        <w:t>（二）项目预算安排和支出情况</w:t>
      </w:r>
      <w:bookmarkEnd w:id="7"/>
      <w:bookmarkEnd w:id="8"/>
      <w:bookmarkEnd w:id="9"/>
    </w:p>
    <w:p w14:paraId="7D4543D2">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全省法院业务费项目全年预算数27,195.47万元，其中上年结转资金2,185.47万元，当年财政拨款25,010.00万元，</w:t>
      </w:r>
      <w:r>
        <w:rPr>
          <w:rFonts w:hint="eastAsia" w:ascii="仿宋_GB2312" w:hAnsi="仿宋_GB2312" w:cs="仿宋_GB2312"/>
          <w:color w:val="auto"/>
          <w:highlight w:val="none"/>
          <w:lang w:val="en-US" w:eastAsia="zh-CN"/>
        </w:rPr>
        <w:t>专项资金共</w:t>
      </w:r>
      <w:r>
        <w:rPr>
          <w:rFonts w:hint="eastAsia" w:ascii="仿宋_GB2312" w:hAnsi="仿宋_GB2312" w:eastAsia="仿宋_GB2312" w:cs="仿宋_GB2312"/>
          <w:color w:val="auto"/>
          <w:highlight w:val="none"/>
        </w:rPr>
        <w:t>分配给全省115个</w:t>
      </w:r>
      <w:r>
        <w:rPr>
          <w:rFonts w:hint="eastAsia" w:ascii="仿宋_GB2312" w:hAnsi="仿宋_GB2312" w:cs="仿宋_GB2312"/>
          <w:color w:val="auto"/>
          <w:highlight w:val="none"/>
          <w:lang w:val="en-US" w:eastAsia="zh-CN"/>
        </w:rPr>
        <w:t>中、基层</w:t>
      </w:r>
      <w:r>
        <w:rPr>
          <w:rFonts w:hint="eastAsia" w:ascii="仿宋_GB2312" w:hAnsi="仿宋_GB2312" w:eastAsia="仿宋_GB2312" w:cs="仿宋_GB2312"/>
          <w:color w:val="auto"/>
          <w:highlight w:val="none"/>
        </w:rPr>
        <w:t>法院。</w:t>
      </w:r>
    </w:p>
    <w:p w14:paraId="2BFCA55C">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截至2023年12月31日，全省法院业务费项目实际支出26,052.10万元，预算执行率95.80%</w:t>
      </w:r>
      <w:r>
        <w:rPr>
          <w:rFonts w:hint="eastAsia" w:ascii="仿宋_GB2312" w:hAnsi="仿宋_GB2312" w:cs="仿宋_GB2312"/>
          <w:color w:val="auto"/>
          <w:highlight w:val="none"/>
          <w:lang w:eastAsia="zh-CN"/>
        </w:rPr>
        <w:t>。</w:t>
      </w:r>
    </w:p>
    <w:p w14:paraId="2807A182">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hint="eastAsia" w:ascii="楷体" w:hAnsi="楷体" w:eastAsia="楷体" w:cs="楷体"/>
          <w:b/>
          <w:bCs/>
          <w:color w:val="auto"/>
          <w:highlight w:val="none"/>
          <w:lang w:val="en-US" w:eastAsia="zh-CN"/>
        </w:rPr>
      </w:pPr>
      <w:bookmarkStart w:id="10" w:name="_Toc2396"/>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三</w:t>
      </w:r>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项目实施情况</w:t>
      </w:r>
      <w:bookmarkEnd w:id="10"/>
    </w:p>
    <w:p w14:paraId="69AE3C16">
      <w:pPr>
        <w:pStyle w:val="14"/>
        <w:numPr>
          <w:ilvl w:val="0"/>
          <w:numId w:val="0"/>
        </w:numPr>
        <w:spacing w:line="560" w:lineRule="exact"/>
        <w:ind w:firstLine="640" w:firstLineChars="200"/>
        <w:jc w:val="both"/>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lang w:val="en-US" w:eastAsia="zh-CN"/>
        </w:rPr>
        <w:t>通过项目的实施，一是确保了全省法院审判工作的顺利开展，保证当年案件审判在规定时间内优质高效完成，法定审限内结案率达到100.00%，当事人满意度达到95.69%；二是保障法院的重点工作，有效保障法院工作的有序开展；三是督促全省法院根据各自业务费预算做好采购工作，规范有效的使用专项资金。</w:t>
      </w:r>
    </w:p>
    <w:p w14:paraId="33005EB9">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0"/>
        <w:rPr>
          <w:rFonts w:ascii="仿宋" w:hAnsi="仿宋" w:eastAsia="仿宋" w:cs="仿宋"/>
          <w:b w:val="0"/>
          <w:bCs w:val="0"/>
          <w:color w:val="auto"/>
          <w:highlight w:val="none"/>
        </w:rPr>
      </w:pPr>
      <w:bookmarkStart w:id="11" w:name="_Toc29824"/>
      <w:bookmarkStart w:id="12" w:name="_Toc26463"/>
      <w:bookmarkStart w:id="13" w:name="_Toc15695"/>
      <w:r>
        <w:rPr>
          <w:rFonts w:hint="eastAsia" w:ascii="黑体" w:hAnsi="黑体" w:eastAsia="黑体" w:cs="黑体"/>
          <w:b w:val="0"/>
          <w:bCs w:val="0"/>
          <w:color w:val="auto"/>
          <w:highlight w:val="none"/>
          <w:lang w:val="en-US" w:eastAsia="zh-CN"/>
        </w:rPr>
        <w:t>二</w:t>
      </w:r>
      <w:r>
        <w:rPr>
          <w:rFonts w:hint="eastAsia" w:ascii="黑体" w:hAnsi="黑体" w:eastAsia="黑体" w:cs="黑体"/>
          <w:b w:val="0"/>
          <w:bCs w:val="0"/>
          <w:color w:val="auto"/>
          <w:highlight w:val="none"/>
        </w:rPr>
        <w:t>、评价结论和绩效分析</w:t>
      </w:r>
      <w:bookmarkEnd w:id="11"/>
      <w:bookmarkEnd w:id="12"/>
      <w:bookmarkEnd w:id="13"/>
    </w:p>
    <w:p w14:paraId="6FEE35CB">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4" w:name="_Toc3082"/>
      <w:bookmarkStart w:id="15" w:name="_Toc11898"/>
      <w:bookmarkStart w:id="16" w:name="_Toc25236"/>
      <w:r>
        <w:rPr>
          <w:rFonts w:hint="eastAsia" w:ascii="楷体" w:hAnsi="楷体" w:eastAsia="楷体" w:cs="楷体"/>
          <w:b/>
          <w:bCs/>
          <w:color w:val="auto"/>
          <w:highlight w:val="none"/>
        </w:rPr>
        <w:t>（一）综合评价结论</w:t>
      </w:r>
      <w:bookmarkEnd w:id="14"/>
      <w:bookmarkEnd w:id="15"/>
      <w:bookmarkEnd w:id="16"/>
    </w:p>
    <w:p w14:paraId="1071C119">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eastAsia="仿宋_GB2312" w:cs="仿宋_GB2312"/>
          <w:color w:val="auto"/>
          <w:sz w:val="32"/>
          <w:szCs w:val="32"/>
          <w:highlight w:val="none"/>
          <w:lang w:val="en-US" w:eastAsia="zh-CN"/>
        </w:rPr>
        <w:t>评价方法</w:t>
      </w:r>
      <w:r>
        <w:rPr>
          <w:rFonts w:hint="eastAsia" w:ascii="仿宋_GB2312" w:hAnsi="仿宋_GB2312" w:eastAsia="仿宋_GB2312" w:cs="仿宋_GB2312"/>
          <w:color w:val="auto"/>
          <w:sz w:val="32"/>
          <w:szCs w:val="32"/>
          <w:highlight w:val="none"/>
        </w:rPr>
        <w:t>，客观公正地评价，评定2023年度</w:t>
      </w:r>
      <w:r>
        <w:rPr>
          <w:rFonts w:hint="eastAsia" w:ascii="仿宋_GB2312" w:hAnsi="仿宋_GB2312" w:eastAsia="仿宋_GB2312" w:cs="仿宋_GB2312"/>
          <w:color w:val="auto"/>
          <w:sz w:val="32"/>
          <w:szCs w:val="32"/>
          <w:highlight w:val="none"/>
          <w:lang w:eastAsia="zh-CN"/>
        </w:rPr>
        <w:t>全省法院业务费</w:t>
      </w:r>
      <w:r>
        <w:rPr>
          <w:rFonts w:hint="eastAsia" w:ascii="仿宋_GB2312" w:hAnsi="仿宋_GB2312" w:eastAsia="仿宋_GB2312" w:cs="仿宋_GB2312"/>
          <w:color w:val="auto"/>
          <w:sz w:val="32"/>
          <w:szCs w:val="32"/>
          <w:highlight w:val="none"/>
        </w:rPr>
        <w:t>项目综合评价得分为</w:t>
      </w:r>
      <w:r>
        <w:rPr>
          <w:rFonts w:hint="eastAsia" w:ascii="仿宋_GB2312" w:hAnsi="仿宋_GB2312" w:eastAsia="仿宋_GB2312" w:cs="仿宋_GB2312"/>
          <w:color w:val="auto"/>
          <w:sz w:val="32"/>
          <w:szCs w:val="32"/>
          <w:highlight w:val="none"/>
          <w:lang w:val="en-US" w:eastAsia="zh-CN"/>
        </w:rPr>
        <w:t>95.63</w:t>
      </w:r>
      <w:r>
        <w:rPr>
          <w:rFonts w:hint="eastAsia" w:ascii="仿宋_GB2312" w:hAnsi="仿宋_GB2312" w:eastAsia="仿宋_GB2312" w:cs="仿宋_GB2312"/>
          <w:color w:val="auto"/>
          <w:sz w:val="32"/>
          <w:szCs w:val="32"/>
          <w:highlight w:val="none"/>
        </w:rPr>
        <w:t>分，评价等级为“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rPr>
        <w:t>”。</w:t>
      </w:r>
    </w:p>
    <w:p w14:paraId="3C9C2EDD">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7" w:name="_Toc14316"/>
      <w:bookmarkStart w:id="18" w:name="_Toc24181"/>
      <w:bookmarkStart w:id="19" w:name="_Toc31512"/>
      <w:r>
        <w:rPr>
          <w:rFonts w:hint="eastAsia" w:ascii="楷体" w:hAnsi="楷体" w:eastAsia="楷体" w:cs="楷体"/>
          <w:b/>
          <w:bCs/>
          <w:color w:val="auto"/>
          <w:highlight w:val="none"/>
        </w:rPr>
        <w:t>（二）绩效分析</w:t>
      </w:r>
      <w:bookmarkEnd w:id="17"/>
      <w:bookmarkEnd w:id="18"/>
      <w:bookmarkEnd w:id="19"/>
    </w:p>
    <w:p w14:paraId="6CB206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通过项目实施，有效保障了</w:t>
      </w:r>
      <w:r>
        <w:rPr>
          <w:rFonts w:hint="eastAsia" w:ascii="仿宋_GB2312" w:hAnsi="仿宋_GB2312" w:eastAsia="仿宋_GB2312" w:cs="仿宋_GB2312"/>
          <w:sz w:val="32"/>
          <w:szCs w:val="32"/>
          <w:highlight w:val="none"/>
        </w:rPr>
        <w:t>公共设施运行维护、审判保障服务、公共秩序维护等业务正常运转。但该项目也</w:t>
      </w:r>
      <w:r>
        <w:rPr>
          <w:rFonts w:hint="eastAsia" w:ascii="仿宋_GB2312" w:hAnsi="仿宋_GB2312" w:eastAsia="仿宋_GB2312" w:cs="仿宋_GB2312"/>
          <w:sz w:val="32"/>
          <w:szCs w:val="32"/>
          <w:highlight w:val="none"/>
          <w:lang w:val="en-US" w:eastAsia="zh-CN"/>
        </w:rPr>
        <w:t>存在绩效管理有待规范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预算执行有待提高，个别指标未达到年度目标的</w:t>
      </w:r>
      <w:r>
        <w:rPr>
          <w:rFonts w:hint="eastAsia" w:ascii="仿宋_GB2312" w:hAnsi="仿宋_GB2312" w:eastAsia="仿宋_GB2312" w:cs="仿宋_GB2312"/>
          <w:sz w:val="32"/>
          <w:szCs w:val="32"/>
          <w:highlight w:val="none"/>
        </w:rPr>
        <w:t>问题。</w:t>
      </w:r>
    </w:p>
    <w:p w14:paraId="04065E6D">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ascii="黑体" w:hAnsi="黑体" w:eastAsia="黑体" w:cs="黑体"/>
          <w:b w:val="0"/>
          <w:bCs/>
          <w:color w:val="auto"/>
          <w:sz w:val="32"/>
          <w:szCs w:val="32"/>
          <w:highlight w:val="none"/>
        </w:rPr>
      </w:pPr>
      <w:bookmarkStart w:id="20" w:name="_Toc16038"/>
      <w:bookmarkStart w:id="21" w:name="_Toc26660"/>
      <w:bookmarkStart w:id="22" w:name="_Toc30083"/>
      <w:r>
        <w:rPr>
          <w:rFonts w:hint="eastAsia" w:ascii="黑体" w:hAnsi="黑体" w:eastAsia="黑体" w:cs="黑体"/>
          <w:b w:val="0"/>
          <w:bCs/>
          <w:color w:val="auto"/>
          <w:kern w:val="44"/>
          <w:sz w:val="32"/>
          <w:szCs w:val="32"/>
          <w:highlight w:val="none"/>
          <w:lang w:val="en-US" w:eastAsia="zh-CN" w:bidi="ar-SA"/>
        </w:rPr>
        <w:t>三、</w:t>
      </w:r>
      <w:r>
        <w:rPr>
          <w:rFonts w:hint="eastAsia" w:ascii="黑体" w:hAnsi="黑体" w:eastAsia="黑体" w:cs="黑体"/>
          <w:b w:val="0"/>
          <w:bCs/>
          <w:color w:val="auto"/>
          <w:sz w:val="32"/>
          <w:szCs w:val="32"/>
          <w:highlight w:val="none"/>
        </w:rPr>
        <w:t>存在问题</w:t>
      </w:r>
      <w:bookmarkEnd w:id="20"/>
      <w:bookmarkEnd w:id="21"/>
      <w:bookmarkEnd w:id="22"/>
    </w:p>
    <w:p w14:paraId="341A5F43">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3" w:name="_Toc25482"/>
      <w:bookmarkStart w:id="24" w:name="_Toc16290"/>
      <w:bookmarkStart w:id="25" w:name="_Toc16824"/>
      <w:bookmarkStart w:id="26" w:name="_Toc4321"/>
      <w:bookmarkStart w:id="27" w:name="_Toc3487"/>
      <w:r>
        <w:rPr>
          <w:rStyle w:val="31"/>
          <w:rFonts w:hint="eastAsia" w:ascii="楷体" w:hAnsi="楷体" w:eastAsia="楷体" w:cs="楷体"/>
          <w:szCs w:val="32"/>
          <w:highlight w:val="none"/>
        </w:rPr>
        <w:t>（一）</w:t>
      </w:r>
      <w:r>
        <w:rPr>
          <w:rStyle w:val="31"/>
          <w:rFonts w:hint="eastAsia" w:ascii="楷体" w:hAnsi="楷体" w:eastAsia="楷体" w:cs="楷体"/>
          <w:szCs w:val="32"/>
          <w:highlight w:val="none"/>
          <w:lang w:val="en-US" w:eastAsia="zh-CN"/>
        </w:rPr>
        <w:t>项目绩效管理有待规范</w:t>
      </w:r>
      <w:bookmarkEnd w:id="23"/>
    </w:p>
    <w:p w14:paraId="0FCE4F8A">
      <w:pPr>
        <w:overflowPunct w:val="0"/>
        <w:spacing w:line="560" w:lineRule="exact"/>
        <w:ind w:firstLine="640" w:firstLineChars="200"/>
        <w:outlineLvl w:val="1"/>
        <w:rPr>
          <w:rFonts w:hint="eastAsia" w:ascii="仿宋_GB2312" w:hAnsi="仿宋_GB2312" w:eastAsia="仿宋_GB2312" w:cs="仿宋_GB2312"/>
          <w:sz w:val="32"/>
          <w:szCs w:val="32"/>
          <w:highlight w:val="none"/>
        </w:rPr>
      </w:pPr>
      <w:bookmarkStart w:id="28" w:name="_Toc17938"/>
      <w:r>
        <w:rPr>
          <w:rFonts w:hint="eastAsia" w:ascii="仿宋_GB2312" w:hAnsi="仿宋_GB2312" w:eastAsia="仿宋_GB2312" w:cs="仿宋_GB2312"/>
          <w:sz w:val="32"/>
          <w:szCs w:val="32"/>
          <w:highlight w:val="none"/>
        </w:rPr>
        <w:t>评价组经核查《</w:t>
      </w: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项目支出绩效目标申报表》，</w:t>
      </w:r>
      <w:r>
        <w:rPr>
          <w:rFonts w:hint="eastAsia" w:ascii="仿宋_GB2312" w:hAnsi="仿宋_GB2312" w:eastAsia="仿宋_GB2312" w:cs="仿宋_GB2312"/>
          <w:sz w:val="32"/>
          <w:szCs w:val="32"/>
          <w:highlight w:val="none"/>
          <w:lang w:val="en-US" w:eastAsia="zh-CN"/>
        </w:rPr>
        <w:t>一是</w:t>
      </w:r>
      <w:r>
        <w:rPr>
          <w:rFonts w:hint="eastAsia" w:ascii="仿宋_GB2312" w:hAnsi="仿宋_GB2312" w:eastAsia="仿宋_GB2312" w:cs="仿宋_GB2312"/>
          <w:sz w:val="32"/>
          <w:szCs w:val="32"/>
          <w:highlight w:val="none"/>
        </w:rPr>
        <w:t>存在个别中、基层法院指标编制不规范的情况，数量指标目标值编制不符合细化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量化要求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指标目标值设置未做到清晰、可衡量</w:t>
      </w:r>
      <w:r>
        <w:rPr>
          <w:rFonts w:hint="eastAsia" w:ascii="仿宋_GB2312" w:hAnsi="仿宋_GB2312" w:eastAsia="仿宋_GB2312" w:cs="仿宋_GB2312"/>
          <w:sz w:val="32"/>
          <w:szCs w:val="32"/>
          <w:highlight w:val="none"/>
          <w:lang w:val="en-US" w:eastAsia="zh-CN"/>
        </w:rPr>
        <w:t>等问题</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二是存在</w:t>
      </w:r>
      <w:r>
        <w:rPr>
          <w:rFonts w:hint="eastAsia" w:ascii="仿宋_GB2312" w:hAnsi="仿宋_GB2312" w:eastAsia="仿宋_GB2312" w:cs="仿宋_GB2312"/>
          <w:sz w:val="32"/>
          <w:szCs w:val="32"/>
          <w:highlight w:val="none"/>
        </w:rPr>
        <w:t>个别法院绩效自评内容不完整，未充分评估项目各种效益实际情况及项目管理存在的问题。</w:t>
      </w:r>
      <w:bookmarkEnd w:id="28"/>
    </w:p>
    <w:p w14:paraId="518D8DD2">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9" w:name="_Toc2898"/>
      <w:r>
        <w:rPr>
          <w:rStyle w:val="31"/>
          <w:rFonts w:hint="eastAsia" w:ascii="楷体" w:hAnsi="楷体" w:eastAsia="楷体" w:cs="楷体"/>
          <w:szCs w:val="32"/>
          <w:highlight w:val="none"/>
          <w:lang w:val="en-US" w:eastAsia="zh-CN"/>
        </w:rPr>
        <w:t>（二）项目资金预算执行有待提高</w:t>
      </w:r>
      <w:bookmarkEnd w:id="29"/>
    </w:p>
    <w:p w14:paraId="3B58A0DE">
      <w:pPr>
        <w:overflowPunct w:val="0"/>
        <w:spacing w:line="560" w:lineRule="exact"/>
        <w:ind w:firstLine="640" w:firstLineChars="200"/>
        <w:outlineLvl w:val="1"/>
        <w:rPr>
          <w:rFonts w:hint="eastAsia" w:ascii="仿宋_GB2312" w:hAnsi="仿宋_GB2312" w:eastAsia="仿宋_GB2312" w:cs="仿宋_GB2312"/>
          <w:sz w:val="32"/>
          <w:szCs w:val="32"/>
          <w:highlight w:val="none"/>
          <w:lang w:val="en-US" w:eastAsia="zh-CN"/>
        </w:rPr>
      </w:pPr>
      <w:bookmarkStart w:id="30" w:name="_Toc23799"/>
      <w:r>
        <w:rPr>
          <w:rFonts w:hint="eastAsia" w:ascii="仿宋_GB2312" w:hAnsi="仿宋_GB2312" w:eastAsia="仿宋_GB2312" w:cs="仿宋_GB2312"/>
          <w:sz w:val="32"/>
          <w:szCs w:val="32"/>
          <w:highlight w:val="none"/>
          <w:lang w:val="en-US" w:eastAsia="zh-CN"/>
        </w:rPr>
        <w:t>一是专项资金存在结余。全省法院业务费项目全年预算数27,195.47万元，全年支出数26,052.10万元，预算执行率95.80%，年末结转结余资金1,143.37万元。二是存在部分中、基层法院上年存量资金较大，本年度持续下达预算资金，导致年底预算执行率较低，专项资金滚存结余的情况。</w:t>
      </w:r>
      <w:bookmarkEnd w:id="30"/>
    </w:p>
    <w:p w14:paraId="73066226">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31" w:name="_Toc14905"/>
      <w:r>
        <w:rPr>
          <w:rStyle w:val="31"/>
          <w:rFonts w:hint="eastAsia" w:ascii="楷体" w:hAnsi="楷体" w:eastAsia="楷体" w:cs="楷体"/>
          <w:szCs w:val="32"/>
          <w:highlight w:val="none"/>
          <w:lang w:val="en-US" w:eastAsia="zh-CN"/>
        </w:rPr>
        <w:t>（三）个别指标未达到年度目标</w:t>
      </w:r>
      <w:bookmarkEnd w:id="31"/>
    </w:p>
    <w:p w14:paraId="3F5779CE">
      <w:pPr>
        <w:pStyle w:val="9"/>
        <w:overflowPunct w:val="0"/>
        <w:spacing w:line="560" w:lineRule="exact"/>
        <w:ind w:firstLine="640" w:firstLineChars="200"/>
        <w:outlineLvl w:val="0"/>
        <w:rPr>
          <w:rFonts w:hint="eastAsia" w:ascii="仿宋_GB2312" w:hAnsi="仿宋_GB2312" w:cs="仿宋_GB2312"/>
          <w:kern w:val="2"/>
          <w:sz w:val="32"/>
          <w:szCs w:val="32"/>
          <w:highlight w:val="none"/>
          <w:lang w:val="en-US" w:eastAsia="zh-CN" w:bidi="ar-SA"/>
        </w:rPr>
      </w:pPr>
      <w:bookmarkStart w:id="32" w:name="_Toc18215"/>
      <w:r>
        <w:rPr>
          <w:rFonts w:hint="eastAsia" w:ascii="仿宋_GB2312" w:hAnsi="仿宋_GB2312" w:eastAsia="仿宋_GB2312" w:cs="仿宋_GB2312"/>
          <w:kern w:val="2"/>
          <w:sz w:val="32"/>
          <w:szCs w:val="32"/>
          <w:highlight w:val="none"/>
          <w:lang w:val="en-US" w:eastAsia="zh-CN" w:bidi="ar-SA"/>
        </w:rPr>
        <w:t>1.一审服判息诉率</w:t>
      </w:r>
      <w:r>
        <w:rPr>
          <w:rFonts w:hint="eastAsia" w:ascii="仿宋_GB2312" w:hAnsi="仿宋_GB2312" w:cs="仿宋_GB2312"/>
          <w:kern w:val="2"/>
          <w:sz w:val="32"/>
          <w:szCs w:val="32"/>
          <w:highlight w:val="none"/>
          <w:lang w:val="en-US" w:eastAsia="zh-CN" w:bidi="ar-SA"/>
        </w:rPr>
        <w:t>，年度目标值&gt;=90%，实际全省法院2023年度</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87.79%，未达到年度目标，全省各辖区法院中矿区法院</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78%，兰铁辖区法院</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80.67%，低于“82.73%-88.37%”的合理区间。</w:t>
      </w:r>
      <w:bookmarkEnd w:id="32"/>
    </w:p>
    <w:p w14:paraId="0BEF17AC">
      <w:pPr>
        <w:pStyle w:val="9"/>
        <w:overflowPunct w:val="0"/>
        <w:spacing w:line="560" w:lineRule="exact"/>
        <w:ind w:firstLine="640" w:firstLineChars="200"/>
        <w:outlineLvl w:val="0"/>
        <w:rPr>
          <w:rFonts w:hint="default" w:ascii="仿宋_GB2312" w:hAnsi="仿宋_GB2312" w:cs="仿宋_GB2312"/>
          <w:kern w:val="2"/>
          <w:sz w:val="32"/>
          <w:szCs w:val="32"/>
          <w:highlight w:val="none"/>
          <w:lang w:val="en-US" w:eastAsia="zh-CN" w:bidi="ar-SA"/>
        </w:rPr>
      </w:pPr>
      <w:bookmarkStart w:id="33" w:name="_Toc15577"/>
      <w:r>
        <w:rPr>
          <w:rFonts w:hint="eastAsia" w:ascii="仿宋_GB2312" w:hAnsi="仿宋_GB2312" w:cs="仿宋_GB2312"/>
          <w:kern w:val="2"/>
          <w:sz w:val="32"/>
          <w:szCs w:val="32"/>
          <w:highlight w:val="none"/>
          <w:lang w:val="en-US" w:eastAsia="zh-CN" w:bidi="ar-SA"/>
        </w:rPr>
        <w:t>2.执行标的到位率，</w:t>
      </w:r>
      <w:r>
        <w:rPr>
          <w:rFonts w:hint="eastAsia" w:ascii="仿宋_GB2312" w:hAnsi="仿宋_GB2312" w:cs="仿宋_GB2312"/>
          <w:b w:val="0"/>
          <w:bCs w:val="0"/>
          <w:highlight w:val="none"/>
          <w:lang w:val="en-US" w:eastAsia="zh-CN"/>
        </w:rPr>
        <w:t>武威辖区法院</w:t>
      </w:r>
      <w:r>
        <w:rPr>
          <w:rFonts w:hint="eastAsia" w:ascii="仿宋_GB2312" w:hAnsi="仿宋_GB2312" w:cs="仿宋_GB2312"/>
          <w:kern w:val="2"/>
          <w:sz w:val="32"/>
          <w:szCs w:val="32"/>
          <w:highlight w:val="none"/>
          <w:lang w:val="en-US" w:eastAsia="zh-CN" w:bidi="ar-SA"/>
        </w:rPr>
        <w:t>执行标的到位率33.91%</w:t>
      </w:r>
      <w:r>
        <w:rPr>
          <w:rFonts w:hint="eastAsia" w:ascii="仿宋_GB2312" w:hAnsi="仿宋_GB2312" w:cs="仿宋_GB2312"/>
          <w:b w:val="0"/>
          <w:bCs w:val="0"/>
          <w:highlight w:val="none"/>
          <w:lang w:val="en-US" w:eastAsia="zh-CN"/>
        </w:rPr>
        <w:t>、矿区法院</w:t>
      </w:r>
      <w:r>
        <w:rPr>
          <w:rFonts w:hint="eastAsia" w:ascii="仿宋_GB2312" w:hAnsi="仿宋_GB2312" w:cs="仿宋_GB2312"/>
          <w:kern w:val="2"/>
          <w:sz w:val="32"/>
          <w:szCs w:val="32"/>
          <w:highlight w:val="none"/>
          <w:lang w:val="en-US" w:eastAsia="zh-CN" w:bidi="ar-SA"/>
        </w:rPr>
        <w:t>执行标的到位率28.48%</w:t>
      </w:r>
      <w:r>
        <w:rPr>
          <w:rFonts w:hint="eastAsia" w:ascii="仿宋_GB2312" w:hAnsi="仿宋_GB2312" w:cs="仿宋_GB2312"/>
          <w:b w:val="0"/>
          <w:bCs w:val="0"/>
          <w:highlight w:val="none"/>
          <w:lang w:val="en-US" w:eastAsia="zh-CN"/>
        </w:rPr>
        <w:t>、兰铁辖区法院</w:t>
      </w:r>
      <w:r>
        <w:rPr>
          <w:rFonts w:hint="eastAsia" w:ascii="仿宋_GB2312" w:hAnsi="仿宋_GB2312" w:cs="仿宋_GB2312"/>
          <w:kern w:val="2"/>
          <w:sz w:val="32"/>
          <w:szCs w:val="32"/>
          <w:highlight w:val="none"/>
          <w:lang w:val="en-US" w:eastAsia="zh-CN" w:bidi="ar-SA"/>
        </w:rPr>
        <w:t>执行标的到位率28.01%</w:t>
      </w:r>
      <w:r>
        <w:rPr>
          <w:rFonts w:hint="eastAsia" w:ascii="仿宋_GB2312" w:hAnsi="仿宋_GB2312" w:cs="仿宋_GB2312"/>
          <w:b w:val="0"/>
          <w:bCs w:val="0"/>
          <w:highlight w:val="none"/>
          <w:lang w:val="en-US" w:eastAsia="zh-CN"/>
        </w:rPr>
        <w:t>、林区辖区法院</w:t>
      </w:r>
      <w:r>
        <w:rPr>
          <w:rFonts w:hint="eastAsia" w:ascii="仿宋_GB2312" w:hAnsi="仿宋_GB2312" w:cs="仿宋_GB2312"/>
          <w:kern w:val="2"/>
          <w:sz w:val="32"/>
          <w:szCs w:val="32"/>
          <w:highlight w:val="none"/>
          <w:lang w:val="en-US" w:eastAsia="zh-CN" w:bidi="ar-SA"/>
        </w:rPr>
        <w:t>执行标的到位率31.66%，</w:t>
      </w:r>
      <w:r>
        <w:rPr>
          <w:rFonts w:hint="eastAsia" w:ascii="仿宋_GB2312" w:hAnsi="仿宋_GB2312" w:cs="仿宋_GB2312"/>
          <w:b w:val="0"/>
          <w:bCs w:val="0"/>
          <w:highlight w:val="none"/>
          <w:lang w:val="en-US" w:eastAsia="zh-CN"/>
        </w:rPr>
        <w:t>兰州辖区法院执行标的到位率29.01%，以上辖区法院低</w:t>
      </w:r>
      <w:r>
        <w:rPr>
          <w:rFonts w:hint="eastAsia" w:ascii="仿宋_GB2312" w:hAnsi="仿宋_GB2312" w:cs="仿宋_GB2312"/>
          <w:kern w:val="2"/>
          <w:sz w:val="32"/>
          <w:szCs w:val="32"/>
          <w:highlight w:val="none"/>
          <w:lang w:val="en-US" w:eastAsia="zh-CN" w:bidi="ar-SA"/>
        </w:rPr>
        <w:t>执行标的到位率</w:t>
      </w:r>
      <w:r>
        <w:rPr>
          <w:rFonts w:hint="eastAsia" w:ascii="仿宋_GB2312" w:hAnsi="仿宋_GB2312" w:cs="仿宋_GB2312"/>
          <w:b w:val="0"/>
          <w:bCs w:val="0"/>
          <w:highlight w:val="none"/>
          <w:lang w:val="en-US" w:eastAsia="zh-CN"/>
        </w:rPr>
        <w:t>于“35.61%-50.52%”的合理区间。</w:t>
      </w:r>
      <w:bookmarkEnd w:id="33"/>
    </w:p>
    <w:bookmarkEnd w:id="24"/>
    <w:bookmarkEnd w:id="25"/>
    <w:bookmarkEnd w:id="26"/>
    <w:bookmarkEnd w:id="27"/>
    <w:p w14:paraId="4938BF80">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hint="eastAsia" w:ascii="黑体" w:hAnsi="黑体" w:eastAsia="黑体" w:cs="黑体"/>
          <w:b w:val="0"/>
          <w:bCs/>
          <w:color w:val="auto"/>
          <w:sz w:val="32"/>
          <w:szCs w:val="32"/>
          <w:highlight w:val="none"/>
        </w:rPr>
      </w:pPr>
      <w:bookmarkStart w:id="34" w:name="_Toc7706"/>
      <w:bookmarkStart w:id="35" w:name="_Toc7551"/>
      <w:r>
        <w:rPr>
          <w:rFonts w:hint="eastAsia" w:ascii="黑体" w:hAnsi="黑体" w:eastAsia="黑体" w:cs="黑体"/>
          <w:b w:val="0"/>
          <w:bCs/>
          <w:color w:val="auto"/>
          <w:kern w:val="44"/>
          <w:sz w:val="32"/>
          <w:szCs w:val="32"/>
          <w:highlight w:val="none"/>
          <w:lang w:val="en-US" w:eastAsia="zh-CN" w:bidi="ar-SA"/>
        </w:rPr>
        <w:t>四、</w:t>
      </w:r>
      <w:r>
        <w:rPr>
          <w:rFonts w:hint="eastAsia" w:ascii="黑体" w:hAnsi="黑体" w:eastAsia="黑体" w:cs="黑体"/>
          <w:b w:val="0"/>
          <w:bCs/>
          <w:color w:val="auto"/>
          <w:sz w:val="32"/>
          <w:szCs w:val="32"/>
          <w:highlight w:val="none"/>
        </w:rPr>
        <w:t>有关建议</w:t>
      </w:r>
      <w:bookmarkEnd w:id="34"/>
      <w:bookmarkEnd w:id="35"/>
    </w:p>
    <w:p w14:paraId="794E4916">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36" w:name="_Toc12491"/>
      <w:r>
        <w:rPr>
          <w:rStyle w:val="31"/>
          <w:rFonts w:hint="eastAsia" w:ascii="楷体" w:hAnsi="楷体" w:eastAsia="楷体" w:cs="楷体"/>
          <w:szCs w:val="32"/>
          <w:highlight w:val="none"/>
        </w:rPr>
        <w:t>（一）加强绩效管理，提高</w:t>
      </w:r>
      <w:r>
        <w:rPr>
          <w:rStyle w:val="31"/>
          <w:rFonts w:hint="eastAsia" w:ascii="楷体" w:hAnsi="楷体" w:eastAsia="楷体" w:cs="楷体"/>
          <w:szCs w:val="32"/>
          <w:highlight w:val="none"/>
          <w:lang w:val="en-US" w:eastAsia="zh-CN"/>
        </w:rPr>
        <w:t>资金使用效益</w:t>
      </w:r>
      <w:bookmarkEnd w:id="36"/>
    </w:p>
    <w:p w14:paraId="447DF39B">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lang w:val="en-US" w:eastAsia="zh-CN"/>
        </w:rPr>
        <w:t>一是</w:t>
      </w:r>
      <w:r>
        <w:rPr>
          <w:rFonts w:hint="eastAsia" w:ascii="仿宋_GB2312" w:hAnsi="仿宋_GB2312" w:cs="仿宋_GB2312"/>
          <w:highlight w:val="none"/>
        </w:rPr>
        <w:t>建议</w:t>
      </w:r>
      <w:r>
        <w:rPr>
          <w:rFonts w:hint="eastAsia" w:ascii="仿宋_GB2312" w:hAnsi="仿宋_GB2312" w:cs="仿宋_GB2312"/>
          <w:highlight w:val="none"/>
          <w:lang w:val="en-US" w:eastAsia="zh-CN"/>
        </w:rPr>
        <w:t>全省各中、基层法院</w:t>
      </w:r>
      <w:r>
        <w:rPr>
          <w:rFonts w:hint="eastAsia" w:ascii="仿宋_GB2312" w:hAnsi="仿宋_GB2312" w:cs="仿宋_GB2312"/>
          <w:highlight w:val="none"/>
        </w:rPr>
        <w:t>进行项目申报时，按照</w:t>
      </w:r>
      <w:r>
        <w:rPr>
          <w:rFonts w:hint="eastAsia" w:ascii="仿宋_GB2312" w:hAnsi="仿宋_GB2312" w:eastAsia="仿宋_GB2312" w:cs="仿宋_GB2312"/>
          <w:sz w:val="32"/>
          <w:szCs w:val="32"/>
          <w:highlight w:val="none"/>
        </w:rPr>
        <w:t>《甘肃省省级预算绩效目标管理办法》</w:t>
      </w:r>
      <w:r>
        <w:rPr>
          <w:rFonts w:hint="eastAsia" w:ascii="仿宋_GB2312" w:hAnsi="仿宋_GB2312" w:cs="仿宋_GB2312"/>
          <w:highlight w:val="none"/>
        </w:rPr>
        <w:t>的要求，根据本年度项目计划内容和上年度工作量填报绩效目标申报表，以更好地反映和考核项目绩效目标与项目实施的相符情况，提高预算</w:t>
      </w:r>
      <w:r>
        <w:rPr>
          <w:rFonts w:hint="eastAsia" w:ascii="仿宋_GB2312" w:hAnsi="仿宋_GB2312" w:cs="仿宋_GB2312"/>
          <w:highlight w:val="none"/>
          <w:lang w:val="en-US" w:eastAsia="zh-CN"/>
        </w:rPr>
        <w:t>绩效</w:t>
      </w:r>
      <w:r>
        <w:rPr>
          <w:rFonts w:hint="eastAsia" w:ascii="仿宋_GB2312" w:hAnsi="仿宋_GB2312" w:cs="仿宋_GB2312"/>
          <w:highlight w:val="none"/>
        </w:rPr>
        <w:t>管理水平。</w:t>
      </w:r>
      <w:r>
        <w:rPr>
          <w:rFonts w:hint="eastAsia" w:ascii="仿宋_GB2312" w:hAnsi="仿宋_GB2312" w:cs="仿宋_GB2312"/>
          <w:highlight w:val="none"/>
          <w:lang w:val="en-US" w:eastAsia="zh-CN"/>
        </w:rPr>
        <w:t>二是</w:t>
      </w:r>
      <w:r>
        <w:rPr>
          <w:rFonts w:hint="eastAsia" w:ascii="仿宋_GB2312" w:hAnsi="仿宋_GB2312" w:eastAsia="仿宋_GB2312" w:cs="仿宋_GB2312"/>
          <w:kern w:val="2"/>
          <w:sz w:val="32"/>
          <w:szCs w:val="32"/>
          <w:highlight w:val="none"/>
          <w:lang w:val="en-US" w:eastAsia="zh-CN" w:bidi="ar-SA"/>
        </w:rPr>
        <w:t>组织开展预算绩效管理相关业务知识和技能培训，从而提高绩效目标编制的水平和质量。</w:t>
      </w:r>
      <w:r>
        <w:rPr>
          <w:rFonts w:hint="eastAsia" w:ascii="仿宋_GB2312" w:hAnsi="仿宋_GB2312" w:cs="仿宋_GB2312"/>
          <w:highlight w:val="none"/>
          <w:lang w:val="en-US" w:eastAsia="zh-CN"/>
        </w:rPr>
        <w:t>三是</w:t>
      </w:r>
      <w:r>
        <w:rPr>
          <w:rFonts w:hint="eastAsia" w:ascii="仿宋_GB2312" w:hAnsi="仿宋_GB2312" w:cs="仿宋_GB2312"/>
          <w:highlight w:val="none"/>
        </w:rPr>
        <w:t>加强部门自评工作，</w:t>
      </w:r>
      <w:r>
        <w:rPr>
          <w:rFonts w:hint="eastAsia" w:ascii="仿宋_GB2312" w:hAnsi="仿宋_GB2312" w:cs="仿宋_GB2312"/>
          <w:highlight w:val="none"/>
          <w:lang w:val="en-US" w:eastAsia="zh-CN"/>
        </w:rPr>
        <w:t>全省法院</w:t>
      </w:r>
      <w:r>
        <w:rPr>
          <w:rFonts w:hint="eastAsia" w:ascii="仿宋_GB2312" w:hAnsi="仿宋_GB2312" w:cs="仿宋_GB2312"/>
          <w:highlight w:val="none"/>
        </w:rPr>
        <w:t>根据实际情况对项目自评表进行填写，并完善项目自评报告，真实、准确地反映项目实际产出、效益及存在的问题。</w:t>
      </w:r>
    </w:p>
    <w:p w14:paraId="6AB74B83">
      <w:pPr>
        <w:pStyle w:val="9"/>
        <w:tabs>
          <w:tab w:val="left" w:pos="510"/>
          <w:tab w:val="left" w:pos="675"/>
        </w:tabs>
        <w:overflowPunct w:val="0"/>
        <w:spacing w:line="560" w:lineRule="exact"/>
        <w:ind w:firstLine="643" w:firstLineChars="200"/>
        <w:outlineLvl w:val="1"/>
        <w:rPr>
          <w:rFonts w:ascii="楷体" w:hAnsi="楷体" w:eastAsia="楷体" w:cs="楷体"/>
          <w:b/>
          <w:bCs/>
          <w:highlight w:val="none"/>
        </w:rPr>
      </w:pPr>
      <w:bookmarkStart w:id="37" w:name="_Toc10209"/>
      <w:r>
        <w:rPr>
          <w:rStyle w:val="31"/>
          <w:rFonts w:hint="eastAsia" w:ascii="楷体" w:hAnsi="楷体" w:eastAsia="楷体" w:cs="楷体"/>
          <w:szCs w:val="32"/>
          <w:highlight w:val="none"/>
        </w:rPr>
        <w:t>（二）</w:t>
      </w:r>
      <w:r>
        <w:rPr>
          <w:rStyle w:val="39"/>
          <w:rFonts w:hint="eastAsia" w:ascii="楷体" w:hAnsi="楷体" w:eastAsia="楷体" w:cs="楷体"/>
          <w:szCs w:val="32"/>
          <w:highlight w:val="none"/>
        </w:rPr>
        <w:t>优化项目经费安排结构，提高财政资金使用效率</w:t>
      </w:r>
      <w:bookmarkEnd w:id="37"/>
    </w:p>
    <w:p w14:paraId="62CAD0A6">
      <w:pPr>
        <w:pStyle w:val="14"/>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建议全省法院细化、明确项目的计划安排，对项目的预算以及产出、效果、效益等方面进行综合考量。二是结合往年项目执行和结余情况展开分析研究，提高预算编制的科学性和合理性，优化项目经费安排结构，提高财政资金使用效率。三是严格执行预算。落实预算执行分析，在预算的执行阶段，严格控制每笔支出，并定期监控预算资金使用情况，切实提高部门预算收支管理水平。</w:t>
      </w:r>
    </w:p>
    <w:p w14:paraId="541E0A91">
      <w:pPr>
        <w:pStyle w:val="9"/>
        <w:tabs>
          <w:tab w:val="left" w:pos="510"/>
          <w:tab w:val="left" w:pos="675"/>
        </w:tabs>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38" w:name="_Toc32158"/>
      <w:r>
        <w:rPr>
          <w:rStyle w:val="31"/>
          <w:rFonts w:hint="eastAsia" w:ascii="楷体" w:hAnsi="楷体" w:eastAsia="楷体" w:cs="楷体"/>
          <w:szCs w:val="32"/>
          <w:highlight w:val="none"/>
          <w:lang w:val="en-US" w:eastAsia="zh-CN"/>
        </w:rPr>
        <w:t>（三）加强审判管理，提升办案质效</w:t>
      </w:r>
      <w:bookmarkEnd w:id="38"/>
    </w:p>
    <w:p w14:paraId="3FF67BA8">
      <w:pPr>
        <w:pStyle w:val="14"/>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一是把提升案件一审服判息诉率作为维护社会稳定、促进社会和谐的重要举措，将服判息诉工作贯穿到案件办理的全过程。二是强化执限管理，实施限时执行，提高执行能力案件的实体结案率。</w:t>
      </w:r>
    </w:p>
    <w:p w14:paraId="448036EC">
      <w:pPr>
        <w:keepNext w:val="0"/>
        <w:keepLines w:val="0"/>
        <w:pageBreakBefore w:val="0"/>
        <w:widowControl w:val="0"/>
        <w:kinsoku/>
        <w:wordWrap/>
        <w:overflowPunct/>
        <w:topLinePunct w:val="0"/>
        <w:autoSpaceDE/>
        <w:autoSpaceDN/>
        <w:bidi w:val="0"/>
        <w:adjustRightInd/>
        <w:snapToGrid/>
        <w:spacing w:line="556" w:lineRule="exact"/>
        <w:ind w:firstLine="420" w:firstLineChars="200"/>
        <w:textAlignment w:val="auto"/>
        <w:outlineLvl w:val="1"/>
        <w:rPr>
          <w:rFonts w:hint="eastAsia" w:ascii="仿宋_GB2312" w:hAnsi="仿宋_GB2312" w:eastAsia="仿宋_GB2312" w:cs="仿宋_GB2312"/>
          <w:b w:val="0"/>
          <w:bCs/>
          <w:highlight w:val="yellow"/>
        </w:rPr>
      </w:pPr>
    </w:p>
    <w:p w14:paraId="657119B1">
      <w:pPr>
        <w:pStyle w:val="9"/>
        <w:overflowPunct w:val="0"/>
        <w:spacing w:line="560" w:lineRule="exact"/>
        <w:ind w:firstLine="640" w:firstLineChars="200"/>
        <w:rPr>
          <w:rFonts w:ascii="仿宋_GB2312" w:hAnsi="仿宋_GB2312" w:cs="仿宋_GB2312"/>
          <w:highlight w:val="yellow"/>
        </w:rPr>
      </w:pPr>
      <w:bookmarkStart w:id="39" w:name="_Toc2283"/>
      <w:bookmarkStart w:id="40" w:name="_Toc1784"/>
    </w:p>
    <w:p w14:paraId="78A201CD">
      <w:pPr>
        <w:overflowPunct w:val="0"/>
        <w:spacing w:line="560" w:lineRule="exact"/>
        <w:jc w:val="center"/>
        <w:rPr>
          <w:rFonts w:ascii="方正小标宋简体" w:hAnsi="宋体" w:eastAsia="方正小标宋简体"/>
          <w:sz w:val="44"/>
          <w:szCs w:val="44"/>
          <w:highlight w:val="yellow"/>
        </w:rPr>
        <w:sectPr>
          <w:headerReference r:id="rId9" w:type="first"/>
          <w:footerReference r:id="rId11" w:type="first"/>
          <w:footerReference r:id="rId10" w:type="default"/>
          <w:pgSz w:w="11906" w:h="16838"/>
          <w:pgMar w:top="1440" w:right="1803" w:bottom="1440" w:left="1633" w:header="851" w:footer="992" w:gutter="0"/>
          <w:pgBorders>
            <w:top w:val="none" w:sz="0" w:space="0"/>
            <w:left w:val="none" w:sz="0" w:space="0"/>
            <w:bottom w:val="none" w:sz="0" w:space="0"/>
            <w:right w:val="none" w:sz="0" w:space="0"/>
          </w:pgBorders>
          <w:pgNumType w:start="1"/>
          <w:cols w:space="0" w:num="1"/>
          <w:titlePg/>
          <w:docGrid w:type="lines" w:linePitch="312" w:charSpace="0"/>
        </w:sectPr>
      </w:pPr>
    </w:p>
    <w:p w14:paraId="0E7417F7">
      <w:pPr>
        <w:overflowPunct w:val="0"/>
        <w:spacing w:line="560" w:lineRule="exact"/>
        <w:jc w:val="center"/>
        <w:outlineLvl w:val="0"/>
        <w:rPr>
          <w:rFonts w:hint="eastAsia" w:ascii="方正小标宋简体" w:hAnsi="宋体" w:eastAsia="方正小标宋简体"/>
          <w:sz w:val="44"/>
          <w:szCs w:val="44"/>
          <w:highlight w:val="none"/>
        </w:rPr>
      </w:pPr>
      <w:bookmarkStart w:id="41" w:name="_Toc2289"/>
      <w:bookmarkStart w:id="42" w:name="_Toc8600"/>
      <w:r>
        <w:rPr>
          <w:rFonts w:hint="eastAsia" w:ascii="方正小标宋简体" w:hAnsi="宋体" w:eastAsia="方正小标宋简体"/>
          <w:sz w:val="44"/>
          <w:szCs w:val="44"/>
          <w:highlight w:val="none"/>
        </w:rPr>
        <w:t>2023年度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41"/>
      <w:bookmarkEnd w:id="42"/>
    </w:p>
    <w:p w14:paraId="3FAB546E">
      <w:pPr>
        <w:overflowPunct w:val="0"/>
        <w:spacing w:line="560" w:lineRule="exact"/>
        <w:jc w:val="center"/>
        <w:outlineLvl w:val="0"/>
        <w:rPr>
          <w:rFonts w:ascii="方正小标宋简体" w:hAnsi="宋体" w:eastAsia="方正小标宋简体"/>
          <w:sz w:val="44"/>
          <w:szCs w:val="44"/>
          <w:highlight w:val="none"/>
        </w:rPr>
      </w:pPr>
      <w:bookmarkStart w:id="43" w:name="_Toc7337"/>
      <w:bookmarkStart w:id="44" w:name="_Toc905"/>
      <w:r>
        <w:rPr>
          <w:rFonts w:hint="eastAsia" w:ascii="方正小标宋简体" w:hAnsi="宋体" w:eastAsia="方正小标宋简体"/>
          <w:sz w:val="44"/>
          <w:szCs w:val="44"/>
          <w:highlight w:val="none"/>
        </w:rPr>
        <w:t>—</w:t>
      </w:r>
      <w:bookmarkStart w:id="45" w:name="_Toc13609"/>
      <w:r>
        <w:rPr>
          <w:rFonts w:hint="eastAsia" w:ascii="方正小标宋简体" w:hAnsi="宋体" w:eastAsia="方正小标宋简体"/>
          <w:sz w:val="44"/>
          <w:szCs w:val="44"/>
          <w:highlight w:val="none"/>
          <w:lang w:eastAsia="zh-CN"/>
        </w:rPr>
        <w:t>全省法院业务费</w:t>
      </w:r>
      <w:r>
        <w:rPr>
          <w:rFonts w:hint="eastAsia" w:ascii="方正小标宋简体" w:hAnsi="宋体" w:eastAsia="方正小标宋简体"/>
          <w:sz w:val="44"/>
          <w:szCs w:val="44"/>
          <w:highlight w:val="none"/>
        </w:rPr>
        <w:t>绩效评价报告</w:t>
      </w:r>
      <w:bookmarkEnd w:id="43"/>
      <w:bookmarkEnd w:id="44"/>
      <w:bookmarkEnd w:id="45"/>
    </w:p>
    <w:p w14:paraId="25A949F9">
      <w:pPr>
        <w:pStyle w:val="9"/>
        <w:overflowPunct w:val="0"/>
        <w:spacing w:before="156" w:beforeLines="50" w:after="156" w:afterLines="50" w:line="560" w:lineRule="exact"/>
        <w:ind w:firstLine="560" w:firstLineChars="200"/>
        <w:jc w:val="right"/>
        <w:outlineLvl w:val="0"/>
        <w:rPr>
          <w:rFonts w:ascii="黑体" w:eastAsia="黑体"/>
          <w:sz w:val="28"/>
          <w:szCs w:val="28"/>
          <w:highlight w:val="none"/>
        </w:rPr>
      </w:pPr>
      <w:bookmarkStart w:id="46" w:name="_Toc20544"/>
      <w:bookmarkStart w:id="47" w:name="_Toc13825"/>
      <w:bookmarkStart w:id="48" w:name="_Toc26720"/>
      <w:bookmarkStart w:id="49" w:name="_Toc11834"/>
      <w:bookmarkStart w:id="50" w:name="_Toc9789"/>
      <w:bookmarkStart w:id="51" w:name="_Toc31691"/>
      <w:bookmarkStart w:id="52" w:name="_Toc28166"/>
      <w:r>
        <w:rPr>
          <w:rFonts w:hint="eastAsia" w:ascii="楷体" w:hAnsi="楷体" w:eastAsia="楷体" w:cs="楷体"/>
          <w:sz w:val="28"/>
          <w:szCs w:val="28"/>
          <w:highlight w:val="none"/>
        </w:rPr>
        <w:t>甘卓诚咨字【202</w:t>
      </w:r>
      <w:r>
        <w:rPr>
          <w:rFonts w:hint="eastAsia" w:ascii="楷体" w:hAnsi="楷体" w:eastAsia="楷体" w:cs="楷体"/>
          <w:sz w:val="28"/>
          <w:szCs w:val="28"/>
          <w:highlight w:val="none"/>
          <w:lang w:val="en-US" w:eastAsia="zh-CN"/>
        </w:rPr>
        <w:t>4</w:t>
      </w:r>
      <w:r>
        <w:rPr>
          <w:rFonts w:hint="eastAsia" w:ascii="楷体" w:hAnsi="楷体" w:eastAsia="楷体" w:cs="楷体"/>
          <w:sz w:val="28"/>
          <w:szCs w:val="28"/>
          <w:highlight w:val="none"/>
        </w:rPr>
        <w:t>】第</w:t>
      </w:r>
      <w:r>
        <w:rPr>
          <w:rFonts w:hint="eastAsia" w:ascii="楷体" w:hAnsi="楷体" w:eastAsia="楷体" w:cs="楷体"/>
          <w:sz w:val="28"/>
          <w:szCs w:val="28"/>
          <w:highlight w:val="none"/>
          <w:lang w:val="en-US" w:eastAsia="zh-CN"/>
        </w:rPr>
        <w:t>194</w:t>
      </w:r>
      <w:r>
        <w:rPr>
          <w:rFonts w:hint="eastAsia" w:ascii="楷体" w:hAnsi="楷体" w:eastAsia="楷体" w:cs="楷体"/>
          <w:sz w:val="28"/>
          <w:szCs w:val="28"/>
          <w:highlight w:val="none"/>
        </w:rPr>
        <w:t>号</w:t>
      </w:r>
      <w:bookmarkEnd w:id="46"/>
      <w:bookmarkEnd w:id="47"/>
      <w:bookmarkEnd w:id="48"/>
      <w:bookmarkEnd w:id="49"/>
      <w:bookmarkEnd w:id="50"/>
      <w:bookmarkEnd w:id="51"/>
    </w:p>
    <w:p w14:paraId="3559C1C6">
      <w:pPr>
        <w:pStyle w:val="9"/>
        <w:overflowPunct w:val="0"/>
        <w:spacing w:line="560" w:lineRule="exact"/>
        <w:ind w:firstLine="640" w:firstLineChars="200"/>
        <w:outlineLvl w:val="0"/>
        <w:rPr>
          <w:rFonts w:ascii="黑体" w:eastAsia="黑体"/>
          <w:highlight w:val="none"/>
        </w:rPr>
      </w:pPr>
      <w:bookmarkStart w:id="53" w:name="_Toc25013"/>
      <w:r>
        <w:rPr>
          <w:rFonts w:hint="eastAsia" w:ascii="黑体" w:eastAsia="黑体"/>
          <w:highlight w:val="none"/>
        </w:rPr>
        <w:t>一、项目基本情况</w:t>
      </w:r>
      <w:bookmarkEnd w:id="39"/>
      <w:bookmarkEnd w:id="40"/>
      <w:bookmarkEnd w:id="52"/>
      <w:bookmarkEnd w:id="53"/>
    </w:p>
    <w:p w14:paraId="761CBF8E">
      <w:pPr>
        <w:pStyle w:val="9"/>
        <w:overflowPunct w:val="0"/>
        <w:spacing w:line="560" w:lineRule="exact"/>
        <w:ind w:firstLine="643" w:firstLineChars="200"/>
        <w:outlineLvl w:val="1"/>
        <w:rPr>
          <w:rFonts w:ascii="楷体" w:hAnsi="楷体" w:eastAsia="楷体" w:cs="楷体"/>
          <w:b/>
          <w:bCs/>
          <w:highlight w:val="none"/>
        </w:rPr>
      </w:pPr>
      <w:bookmarkStart w:id="54" w:name="_Toc21843"/>
      <w:bookmarkStart w:id="55" w:name="_Toc11404"/>
      <w:bookmarkStart w:id="56" w:name="_Toc2329"/>
      <w:r>
        <w:rPr>
          <w:rFonts w:hint="eastAsia" w:ascii="楷体" w:hAnsi="楷体" w:eastAsia="楷体" w:cs="楷体"/>
          <w:b/>
          <w:bCs/>
          <w:highlight w:val="none"/>
        </w:rPr>
        <w:t>（一）项目立项背景</w:t>
      </w:r>
      <w:bookmarkEnd w:id="54"/>
      <w:bookmarkEnd w:id="55"/>
      <w:bookmarkEnd w:id="56"/>
    </w:p>
    <w:p w14:paraId="6FEDEB31">
      <w:pPr>
        <w:pStyle w:val="9"/>
        <w:overflowPunct w:val="0"/>
        <w:spacing w:line="560" w:lineRule="exact"/>
        <w:ind w:firstLine="640" w:firstLineChars="200"/>
        <w:rPr>
          <w:rFonts w:hint="eastAsia" w:ascii="仿宋_GB2312" w:hAnsi="仿宋_GB2312" w:cs="仿宋_GB2312"/>
          <w:highlight w:val="none"/>
          <w:lang w:val="en-US" w:eastAsia="zh-CN"/>
        </w:rPr>
      </w:pPr>
      <w:bookmarkStart w:id="57" w:name="_Toc27159"/>
      <w:bookmarkStart w:id="58" w:name="_Toc10699"/>
      <w:r>
        <w:rPr>
          <w:rFonts w:hint="eastAsia" w:ascii="仿宋_GB2312" w:hAnsi="仿宋_GB2312" w:cs="仿宋_GB2312"/>
          <w:highlight w:val="none"/>
          <w:lang w:val="en-US" w:eastAsia="zh-CN"/>
        </w:rPr>
        <w:t>随着以审判为中心的诉讼司法体制改革和登记立案制改革的深入推进，全省各级法院案件受理量逐年增长，同时，审判案件成本也进一步增加，按目前省法院测算的案件成本计算，全省中、基层法院办案业务经费仍然不足，现有的办案业务费标准无法保障日益增加的办案需求。尤其是地域面积大、案件量多的部分法院，审判法庭日常费用开支远远大于一般党政机关，办案业务费更是紧缺。因此，根据法院民商事审判和行政审判标准公共服务的客观实际，每年从考核收入中安排增加部分办案业务补助经费，解决全省中、基层法院办案业务费不足的实际问题。</w:t>
      </w:r>
    </w:p>
    <w:p w14:paraId="0204E236">
      <w:pPr>
        <w:pStyle w:val="9"/>
        <w:overflowPunct w:val="0"/>
        <w:spacing w:line="560" w:lineRule="exact"/>
        <w:ind w:firstLine="640" w:firstLineChars="200"/>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全省法院业务费主要是紧紧围绕我省法院审判办案所需业务经费以及与办案有关的一些经费支出，为了提高审判办案质效，保障法院重点工作，弥补法院项目经费不足的情况而设立的，属于法院经常性项目。为了加强社会主义法制建设，保证人民法院审判工作的顺利进行，2023年甘肃省高级人民法院继续申请全省法院业务费项目经费，用于全省各级法院，为司法服务提供经费保障，充分发挥审判职能。</w:t>
      </w:r>
    </w:p>
    <w:p w14:paraId="1FB5EDCB">
      <w:pPr>
        <w:pStyle w:val="9"/>
        <w:overflowPunct w:val="0"/>
        <w:spacing w:line="560" w:lineRule="exact"/>
        <w:ind w:firstLine="643" w:firstLineChars="200"/>
        <w:outlineLvl w:val="1"/>
        <w:rPr>
          <w:rFonts w:ascii="楷体" w:hAnsi="楷体" w:eastAsia="楷体" w:cs="楷体"/>
          <w:b/>
          <w:bCs/>
          <w:highlight w:val="none"/>
        </w:rPr>
      </w:pPr>
      <w:bookmarkStart w:id="59" w:name="_Toc30712"/>
      <w:r>
        <w:rPr>
          <w:rFonts w:hint="eastAsia" w:ascii="楷体" w:hAnsi="楷体" w:eastAsia="楷体" w:cs="楷体"/>
          <w:b/>
          <w:bCs/>
          <w:highlight w:val="none"/>
        </w:rPr>
        <w:t>（二）项目预算安排及使用情况</w:t>
      </w:r>
      <w:bookmarkEnd w:id="57"/>
      <w:bookmarkEnd w:id="58"/>
      <w:bookmarkEnd w:id="59"/>
    </w:p>
    <w:p w14:paraId="0691F8A7">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14:paraId="1623A767">
      <w:pPr>
        <w:pStyle w:val="9"/>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全省法院业务费项目</w:t>
      </w:r>
      <w:r>
        <w:rPr>
          <w:rFonts w:hint="eastAsia" w:ascii="仿宋_GB2312" w:hAnsi="仿宋_GB2312" w:cs="仿宋_GB2312"/>
          <w:highlight w:val="none"/>
          <w:lang w:val="en-US" w:eastAsia="zh-CN"/>
        </w:rPr>
        <w:t>全年预算数27,195.47万元，其中上年结转资金2,185.47万元，当年财政拨款25,010.00万元，专项资金共</w:t>
      </w:r>
      <w:r>
        <w:rPr>
          <w:rFonts w:hint="eastAsia" w:ascii="仿宋_GB2312" w:hAnsi="仿宋_GB2312" w:cs="仿宋_GB2312"/>
          <w:highlight w:val="none"/>
        </w:rPr>
        <w:t>分配</w:t>
      </w:r>
      <w:r>
        <w:rPr>
          <w:rFonts w:hint="eastAsia" w:ascii="仿宋_GB2312" w:hAnsi="仿宋_GB2312" w:cs="仿宋_GB2312"/>
          <w:highlight w:val="none"/>
          <w:lang w:val="en-US" w:eastAsia="zh-CN"/>
        </w:rPr>
        <w:t>下达</w:t>
      </w:r>
      <w:r>
        <w:rPr>
          <w:rFonts w:hint="eastAsia" w:ascii="仿宋_GB2312" w:hAnsi="仿宋_GB2312" w:cs="仿宋_GB2312"/>
          <w:highlight w:val="none"/>
        </w:rPr>
        <w:t>给全省115个</w:t>
      </w:r>
      <w:r>
        <w:rPr>
          <w:rFonts w:hint="eastAsia" w:ascii="仿宋_GB2312" w:hAnsi="仿宋_GB2312" w:cs="仿宋_GB2312"/>
          <w:highlight w:val="none"/>
          <w:lang w:val="en-US" w:eastAsia="zh-CN"/>
        </w:rPr>
        <w:t>中、基层</w:t>
      </w:r>
      <w:r>
        <w:rPr>
          <w:rFonts w:hint="eastAsia" w:ascii="仿宋_GB2312" w:hAnsi="仿宋_GB2312" w:cs="仿宋_GB2312"/>
          <w:highlight w:val="none"/>
        </w:rPr>
        <w:t>法院。</w:t>
      </w:r>
    </w:p>
    <w:p w14:paraId="376770BB">
      <w:pPr>
        <w:pStyle w:val="9"/>
        <w:overflowPunct w:val="0"/>
        <w:spacing w:line="560" w:lineRule="exact"/>
        <w:ind w:firstLine="643" w:firstLineChars="200"/>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w:t>
      </w:r>
      <w:r>
        <w:rPr>
          <w:rFonts w:hint="eastAsia" w:ascii="仿宋_GB2312" w:hAnsi="仿宋_GB2312" w:cs="仿宋_GB2312"/>
          <w:b/>
          <w:bCs/>
          <w:color w:val="000000" w:themeColor="text1"/>
          <w:highlight w:val="none"/>
          <w:lang w:val="en-US" w:eastAsia="zh-CN"/>
          <w14:textFill>
            <w14:solidFill>
              <w14:schemeClr w14:val="tx1"/>
            </w14:solidFill>
          </w14:textFill>
        </w:rPr>
        <w:t>资金下达情况</w:t>
      </w:r>
    </w:p>
    <w:p w14:paraId="41D03240">
      <w:pPr>
        <w:pStyle w:val="9"/>
        <w:overflowPunct w:val="0"/>
        <w:spacing w:line="560" w:lineRule="exact"/>
        <w:ind w:firstLine="640" w:firstLineChars="200"/>
        <w:outlineLvl w:val="2"/>
        <w:rPr>
          <w:rFonts w:hint="default" w:ascii="仿宋_GB2312" w:hAnsi="仿宋_GB2312" w:cs="仿宋_GB2312"/>
          <w:b w:val="0"/>
          <w:bCs w:val="0"/>
          <w:color w:val="000000" w:themeColor="text1"/>
          <w:highlight w:val="none"/>
          <w:lang w:val="en-US" w:eastAsia="zh-CN"/>
          <w14:textFill>
            <w14:solidFill>
              <w14:schemeClr w14:val="tx1"/>
            </w14:solidFill>
          </w14:textFill>
        </w:rPr>
      </w:pPr>
      <w:r>
        <w:rPr>
          <w:rFonts w:hint="eastAsia" w:ascii="仿宋_GB2312" w:hAnsi="仿宋_GB2312" w:cs="仿宋_GB2312"/>
          <w:b w:val="0"/>
          <w:bCs w:val="0"/>
          <w:color w:val="000000" w:themeColor="text1"/>
          <w:highlight w:val="none"/>
          <w:lang w:val="en-US" w:eastAsia="zh-CN"/>
          <w14:textFill>
            <w14:solidFill>
              <w14:schemeClr w14:val="tx1"/>
            </w14:solidFill>
          </w14:textFill>
        </w:rPr>
        <w:t>截至2023年12月31日，全省法院业务费共下达专项资金</w:t>
      </w:r>
      <w:r>
        <w:rPr>
          <w:rFonts w:hint="eastAsia" w:ascii="仿宋_GB2312" w:hAnsi="仿宋_GB2312" w:cs="仿宋_GB2312"/>
          <w:highlight w:val="none"/>
        </w:rPr>
        <w:t>25,010.00</w:t>
      </w:r>
      <w:r>
        <w:rPr>
          <w:rFonts w:hint="eastAsia" w:ascii="仿宋_GB2312" w:hAnsi="仿宋_GB2312" w:cs="仿宋_GB2312"/>
          <w:b w:val="0"/>
          <w:bCs w:val="0"/>
          <w:color w:val="000000" w:themeColor="text1"/>
          <w:highlight w:val="none"/>
          <w:lang w:val="en-US" w:eastAsia="zh-CN"/>
          <w14:textFill>
            <w14:solidFill>
              <w14:schemeClr w14:val="tx1"/>
            </w14:solidFill>
          </w14:textFill>
        </w:rPr>
        <w:t>万元。全省法院业务费项目年初随部门预算下达第一批专项资金20,000.00万元，2023年7月28日甘肃省高级人民法院《关于2023年“全省法院业务费”拟安排建议的报告》（甘高法〔2023〕174号）提出第二批分配建议，共计下达5,010.00万元。</w:t>
      </w:r>
    </w:p>
    <w:p w14:paraId="4D296B42">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cs="仿宋_GB2312"/>
          <w:b/>
          <w:bCs/>
          <w:color w:val="000000" w:themeColor="text1"/>
          <w:highlight w:val="none"/>
          <w14:textFill>
            <w14:solidFill>
              <w14:schemeClr w14:val="tx1"/>
            </w14:solidFill>
          </w14:textFill>
        </w:rPr>
        <w:t>资金使用情况</w:t>
      </w:r>
    </w:p>
    <w:p w14:paraId="5F504C6E">
      <w:pPr>
        <w:pStyle w:val="9"/>
        <w:overflowPunct w:val="0"/>
        <w:spacing w:line="560" w:lineRule="exact"/>
        <w:ind w:firstLine="640" w:firstLineChars="200"/>
        <w:rPr>
          <w:rFonts w:hint="eastAsia" w:ascii="仿宋_GB2312" w:hAnsi="仿宋_GB2312" w:cs="仿宋_GB2312"/>
          <w:highlight w:val="none"/>
          <w:lang w:val="en-US" w:eastAsia="zh-CN"/>
        </w:rPr>
      </w:pPr>
      <w:r>
        <w:rPr>
          <w:rFonts w:hint="eastAsia" w:ascii="仿宋_GB2312" w:hAnsi="仿宋_GB2312" w:cs="仿宋_GB2312"/>
          <w:highlight w:val="none"/>
          <w:lang w:eastAsia="zh-CN"/>
        </w:rPr>
        <w:t>截至2023年</w:t>
      </w:r>
      <w:r>
        <w:rPr>
          <w:rFonts w:hint="eastAsia" w:ascii="仿宋_GB2312" w:hAnsi="仿宋_GB2312" w:cs="仿宋_GB2312"/>
          <w:highlight w:val="none"/>
        </w:rPr>
        <w:t>12月31日，</w:t>
      </w:r>
      <w:r>
        <w:rPr>
          <w:rFonts w:hint="eastAsia" w:ascii="仿宋_GB2312" w:hAnsi="仿宋_GB2312" w:cs="仿宋_GB2312"/>
          <w:highlight w:val="none"/>
          <w:lang w:val="en-US" w:eastAsia="zh-CN"/>
        </w:rPr>
        <w:t>全省法院业务费</w:t>
      </w:r>
      <w:r>
        <w:rPr>
          <w:rFonts w:hint="eastAsia" w:ascii="仿宋_GB2312" w:hAnsi="仿宋_GB2312" w:cs="仿宋_GB2312"/>
          <w:highlight w:val="none"/>
        </w:rPr>
        <w:t>项目实际支出</w:t>
      </w:r>
      <w:r>
        <w:rPr>
          <w:rFonts w:hint="eastAsia" w:ascii="仿宋_GB2312" w:hAnsi="仿宋_GB2312" w:cs="仿宋_GB2312"/>
          <w:highlight w:val="none"/>
          <w:lang w:val="en-US" w:eastAsia="zh-CN"/>
        </w:rPr>
        <w:t>26,052.10万元，预算执行率95.80%，资金使用明细如下：</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9"/>
        <w:gridCol w:w="2242"/>
        <w:gridCol w:w="1166"/>
        <w:gridCol w:w="1188"/>
        <w:gridCol w:w="1210"/>
        <w:gridCol w:w="1199"/>
        <w:gridCol w:w="1137"/>
      </w:tblGrid>
      <w:tr w14:paraId="7C7D3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9" w:type="dxa"/>
            <w:vMerge w:val="restart"/>
            <w:vAlign w:val="center"/>
          </w:tcPr>
          <w:p w14:paraId="291243D3">
            <w:pPr>
              <w:keepNext w:val="0"/>
              <w:keepLines w:val="0"/>
              <w:widowControl/>
              <w:suppressLineNumbers w:val="0"/>
              <w:jc w:val="center"/>
              <w:textAlignment w:val="center"/>
              <w:rPr>
                <w:rFonts w:hint="eastAsia" w:ascii="宋体" w:hAnsi="宋体" w:eastAsia="宋体" w:cs="宋体"/>
                <w:b/>
                <w:bCs/>
                <w:color w:val="auto"/>
                <w:sz w:val="20"/>
                <w:szCs w:val="20"/>
                <w:highlight w:val="yellow"/>
                <w:vertAlign w:val="baseline"/>
                <w:lang w:val="en-US" w:eastAsia="zh-CN"/>
              </w:rPr>
            </w:pPr>
            <w:bookmarkStart w:id="60" w:name="_Toc15106"/>
            <w:bookmarkStart w:id="61" w:name="_Toc32586"/>
            <w:r>
              <w:rPr>
                <w:rFonts w:hint="eastAsia" w:ascii="宋体" w:hAnsi="宋体" w:eastAsia="宋体" w:cs="宋体"/>
                <w:b/>
                <w:bCs/>
                <w:i w:val="0"/>
                <w:iCs w:val="0"/>
                <w:color w:val="000000"/>
                <w:kern w:val="0"/>
                <w:sz w:val="20"/>
                <w:szCs w:val="20"/>
                <w:u w:val="none"/>
                <w:lang w:val="en-US" w:eastAsia="zh-CN" w:bidi="ar"/>
              </w:rPr>
              <w:t>序号</w:t>
            </w:r>
          </w:p>
        </w:tc>
        <w:tc>
          <w:tcPr>
            <w:tcW w:w="2242" w:type="dxa"/>
            <w:vMerge w:val="restart"/>
            <w:vAlign w:val="center"/>
          </w:tcPr>
          <w:p w14:paraId="41F0CBAB">
            <w:pPr>
              <w:keepNext w:val="0"/>
              <w:keepLines w:val="0"/>
              <w:widowControl/>
              <w:suppressLineNumbers w:val="0"/>
              <w:jc w:val="center"/>
              <w:textAlignment w:val="center"/>
              <w:rPr>
                <w:rFonts w:hint="eastAsia" w:ascii="宋体" w:hAnsi="宋体" w:eastAsia="宋体" w:cs="宋体"/>
                <w:b/>
                <w:bCs/>
                <w:color w:val="auto"/>
                <w:sz w:val="20"/>
                <w:szCs w:val="20"/>
                <w:highlight w:val="yellow"/>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实施单位</w:t>
            </w:r>
          </w:p>
        </w:tc>
        <w:tc>
          <w:tcPr>
            <w:tcW w:w="3564" w:type="dxa"/>
            <w:gridSpan w:val="3"/>
            <w:vAlign w:val="center"/>
          </w:tcPr>
          <w:p w14:paraId="5495AF92">
            <w:pPr>
              <w:keepNext w:val="0"/>
              <w:keepLines w:val="0"/>
              <w:widowControl/>
              <w:suppressLineNumbers w:val="0"/>
              <w:jc w:val="center"/>
              <w:textAlignment w:val="center"/>
              <w:rPr>
                <w:rFonts w:hint="default" w:ascii="宋体" w:hAnsi="宋体" w:eastAsia="宋体" w:cs="宋体"/>
                <w:b/>
                <w:bCs/>
                <w:i w:val="0"/>
                <w:iCs w:val="0"/>
                <w:color w:val="auto"/>
                <w:kern w:val="0"/>
                <w:sz w:val="20"/>
                <w:szCs w:val="20"/>
                <w:highlight w:val="yellow"/>
                <w:u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全年预算数（万元）</w:t>
            </w:r>
          </w:p>
        </w:tc>
        <w:tc>
          <w:tcPr>
            <w:tcW w:w="1199" w:type="dxa"/>
            <w:vMerge w:val="restart"/>
            <w:vAlign w:val="center"/>
          </w:tcPr>
          <w:p w14:paraId="3CBF2C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全年支出数（万元）</w:t>
            </w:r>
          </w:p>
        </w:tc>
        <w:tc>
          <w:tcPr>
            <w:tcW w:w="1137" w:type="dxa"/>
            <w:vMerge w:val="restart"/>
            <w:vAlign w:val="center"/>
          </w:tcPr>
          <w:p w14:paraId="2CBA7BC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预算执行率</w:t>
            </w:r>
          </w:p>
        </w:tc>
      </w:tr>
      <w:tr w14:paraId="4D5C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539" w:type="dxa"/>
            <w:vMerge w:val="continue"/>
            <w:vAlign w:val="center"/>
          </w:tcPr>
          <w:p w14:paraId="1AAD4A5E">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p>
        </w:tc>
        <w:tc>
          <w:tcPr>
            <w:tcW w:w="2242" w:type="dxa"/>
            <w:vMerge w:val="continue"/>
            <w:vAlign w:val="center"/>
          </w:tcPr>
          <w:p w14:paraId="679BBA08">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p>
        </w:tc>
        <w:tc>
          <w:tcPr>
            <w:tcW w:w="1166" w:type="dxa"/>
            <w:vAlign w:val="center"/>
          </w:tcPr>
          <w:p w14:paraId="3145DE1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上年结转资金</w:t>
            </w:r>
          </w:p>
        </w:tc>
        <w:tc>
          <w:tcPr>
            <w:tcW w:w="1188" w:type="dxa"/>
            <w:vAlign w:val="center"/>
          </w:tcPr>
          <w:p w14:paraId="28EA2F01">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本年下达资金</w:t>
            </w:r>
          </w:p>
        </w:tc>
        <w:tc>
          <w:tcPr>
            <w:tcW w:w="1210" w:type="dxa"/>
            <w:vAlign w:val="center"/>
          </w:tcPr>
          <w:p w14:paraId="3636457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c>
          <w:tcPr>
            <w:tcW w:w="1199" w:type="dxa"/>
            <w:vMerge w:val="continue"/>
            <w:vAlign w:val="center"/>
          </w:tcPr>
          <w:p w14:paraId="6D6433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137" w:type="dxa"/>
            <w:vMerge w:val="continue"/>
            <w:vAlign w:val="center"/>
          </w:tcPr>
          <w:p w14:paraId="3837A1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FCFF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EA7C37C">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1</w:t>
            </w:r>
          </w:p>
        </w:tc>
        <w:tc>
          <w:tcPr>
            <w:tcW w:w="2242" w:type="dxa"/>
            <w:vAlign w:val="center"/>
          </w:tcPr>
          <w:p w14:paraId="352715CB">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甘肃矿区人民法院</w:t>
            </w:r>
          </w:p>
        </w:tc>
        <w:tc>
          <w:tcPr>
            <w:tcW w:w="1166" w:type="dxa"/>
            <w:vAlign w:val="center"/>
          </w:tcPr>
          <w:p w14:paraId="0735FAC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59.55</w:t>
            </w:r>
          </w:p>
        </w:tc>
        <w:tc>
          <w:tcPr>
            <w:tcW w:w="1188" w:type="dxa"/>
            <w:vAlign w:val="center"/>
          </w:tcPr>
          <w:p w14:paraId="22F440B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257.00</w:t>
            </w:r>
          </w:p>
        </w:tc>
        <w:tc>
          <w:tcPr>
            <w:tcW w:w="1210" w:type="dxa"/>
            <w:vAlign w:val="center"/>
          </w:tcPr>
          <w:p w14:paraId="1B4086F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316.55</w:t>
            </w:r>
          </w:p>
        </w:tc>
        <w:tc>
          <w:tcPr>
            <w:tcW w:w="1199" w:type="dxa"/>
            <w:vAlign w:val="center"/>
          </w:tcPr>
          <w:p w14:paraId="061581B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166.55</w:t>
            </w:r>
          </w:p>
        </w:tc>
        <w:tc>
          <w:tcPr>
            <w:tcW w:w="1137" w:type="dxa"/>
            <w:vAlign w:val="center"/>
          </w:tcPr>
          <w:p w14:paraId="317D3D5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52.61%</w:t>
            </w:r>
          </w:p>
        </w:tc>
      </w:tr>
      <w:tr w14:paraId="501DF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FBE3E47">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2242" w:type="dxa"/>
            <w:vAlign w:val="center"/>
          </w:tcPr>
          <w:p w14:paraId="04A389AA">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甘肃省林区中级法院</w:t>
            </w:r>
          </w:p>
        </w:tc>
        <w:tc>
          <w:tcPr>
            <w:tcW w:w="1166" w:type="dxa"/>
            <w:vAlign w:val="center"/>
          </w:tcPr>
          <w:p w14:paraId="7CCCE28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52.70</w:t>
            </w:r>
          </w:p>
        </w:tc>
        <w:tc>
          <w:tcPr>
            <w:tcW w:w="1188" w:type="dxa"/>
            <w:vAlign w:val="center"/>
          </w:tcPr>
          <w:p w14:paraId="53C1600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188.00</w:t>
            </w:r>
          </w:p>
        </w:tc>
        <w:tc>
          <w:tcPr>
            <w:tcW w:w="1210" w:type="dxa"/>
            <w:vAlign w:val="center"/>
          </w:tcPr>
          <w:p w14:paraId="6B21EB7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240.70</w:t>
            </w:r>
          </w:p>
        </w:tc>
        <w:tc>
          <w:tcPr>
            <w:tcW w:w="1199" w:type="dxa"/>
            <w:vAlign w:val="center"/>
          </w:tcPr>
          <w:p w14:paraId="28352F9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189.16</w:t>
            </w:r>
          </w:p>
        </w:tc>
        <w:tc>
          <w:tcPr>
            <w:tcW w:w="1137" w:type="dxa"/>
            <w:vAlign w:val="center"/>
          </w:tcPr>
          <w:p w14:paraId="32CD9AF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78.59%</w:t>
            </w:r>
          </w:p>
        </w:tc>
      </w:tr>
      <w:tr w14:paraId="3255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9237866">
            <w:pPr>
              <w:keepNext w:val="0"/>
              <w:keepLines w:val="0"/>
              <w:widowControl/>
              <w:suppressLineNumbers w:val="0"/>
              <w:jc w:val="center"/>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2242" w:type="dxa"/>
            <w:vAlign w:val="center"/>
          </w:tcPr>
          <w:p w14:paraId="1033EDD3">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祁连山林区法院</w:t>
            </w:r>
          </w:p>
        </w:tc>
        <w:tc>
          <w:tcPr>
            <w:tcW w:w="1166" w:type="dxa"/>
            <w:vAlign w:val="center"/>
          </w:tcPr>
          <w:p w14:paraId="05B5A78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79.83</w:t>
            </w:r>
          </w:p>
        </w:tc>
        <w:tc>
          <w:tcPr>
            <w:tcW w:w="1188" w:type="dxa"/>
            <w:vAlign w:val="center"/>
          </w:tcPr>
          <w:p w14:paraId="049F39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3FB5AF0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234.83</w:t>
            </w:r>
          </w:p>
        </w:tc>
        <w:tc>
          <w:tcPr>
            <w:tcW w:w="1199" w:type="dxa"/>
            <w:vAlign w:val="center"/>
          </w:tcPr>
          <w:p w14:paraId="168D9AE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162.35</w:t>
            </w:r>
          </w:p>
        </w:tc>
        <w:tc>
          <w:tcPr>
            <w:tcW w:w="1137" w:type="dxa"/>
            <w:vAlign w:val="center"/>
          </w:tcPr>
          <w:p w14:paraId="7D43C4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69.14%</w:t>
            </w:r>
          </w:p>
        </w:tc>
      </w:tr>
      <w:tr w14:paraId="3296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1C20FD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2242" w:type="dxa"/>
            <w:vAlign w:val="center"/>
          </w:tcPr>
          <w:p w14:paraId="7858863E">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小陇山林区法院</w:t>
            </w:r>
          </w:p>
        </w:tc>
        <w:tc>
          <w:tcPr>
            <w:tcW w:w="1166" w:type="dxa"/>
            <w:vAlign w:val="center"/>
          </w:tcPr>
          <w:p w14:paraId="3C1DBF25">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auto"/>
                <w:kern w:val="0"/>
                <w:sz w:val="20"/>
                <w:szCs w:val="20"/>
                <w:highlight w:val="yellow"/>
                <w:u w:val="none"/>
                <w:lang w:val="en-US" w:eastAsia="zh-CN" w:bidi="ar"/>
              </w:rPr>
            </w:pPr>
          </w:p>
        </w:tc>
        <w:tc>
          <w:tcPr>
            <w:tcW w:w="1188" w:type="dxa"/>
            <w:vAlign w:val="center"/>
          </w:tcPr>
          <w:p w14:paraId="1F490B2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210" w:type="dxa"/>
            <w:vAlign w:val="center"/>
          </w:tcPr>
          <w:p w14:paraId="11A3818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199" w:type="dxa"/>
            <w:vAlign w:val="center"/>
          </w:tcPr>
          <w:p w14:paraId="3F05C3F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137" w:type="dxa"/>
            <w:vAlign w:val="center"/>
          </w:tcPr>
          <w:p w14:paraId="1F492BD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E54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221BCB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242" w:type="dxa"/>
            <w:vAlign w:val="center"/>
          </w:tcPr>
          <w:p w14:paraId="37BB2487">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白龙江林区法院</w:t>
            </w:r>
          </w:p>
        </w:tc>
        <w:tc>
          <w:tcPr>
            <w:tcW w:w="1166" w:type="dxa"/>
            <w:vAlign w:val="center"/>
          </w:tcPr>
          <w:p w14:paraId="49231A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90.83</w:t>
            </w:r>
          </w:p>
        </w:tc>
        <w:tc>
          <w:tcPr>
            <w:tcW w:w="1188" w:type="dxa"/>
            <w:vAlign w:val="center"/>
          </w:tcPr>
          <w:p w14:paraId="50CA30B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210" w:type="dxa"/>
            <w:vAlign w:val="center"/>
          </w:tcPr>
          <w:p w14:paraId="5785C3A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200.83</w:t>
            </w:r>
          </w:p>
        </w:tc>
        <w:tc>
          <w:tcPr>
            <w:tcW w:w="1199" w:type="dxa"/>
            <w:vAlign w:val="center"/>
          </w:tcPr>
          <w:p w14:paraId="3B25276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200.83</w:t>
            </w:r>
          </w:p>
        </w:tc>
        <w:tc>
          <w:tcPr>
            <w:tcW w:w="1137" w:type="dxa"/>
            <w:vAlign w:val="center"/>
          </w:tcPr>
          <w:p w14:paraId="03E36DA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BB4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B9084B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242" w:type="dxa"/>
            <w:vAlign w:val="center"/>
          </w:tcPr>
          <w:p w14:paraId="443C2663">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洮河林区法院</w:t>
            </w:r>
          </w:p>
        </w:tc>
        <w:tc>
          <w:tcPr>
            <w:tcW w:w="1166" w:type="dxa"/>
            <w:vAlign w:val="center"/>
          </w:tcPr>
          <w:p w14:paraId="04ADA8A0">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auto"/>
                <w:kern w:val="0"/>
                <w:sz w:val="20"/>
                <w:szCs w:val="20"/>
                <w:highlight w:val="yellow"/>
                <w:u w:val="none"/>
                <w:lang w:val="en-US" w:eastAsia="zh-CN" w:bidi="ar"/>
              </w:rPr>
            </w:pPr>
          </w:p>
        </w:tc>
        <w:tc>
          <w:tcPr>
            <w:tcW w:w="1188" w:type="dxa"/>
            <w:vAlign w:val="center"/>
          </w:tcPr>
          <w:p w14:paraId="7897FC4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2AEC203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99" w:type="dxa"/>
            <w:vAlign w:val="center"/>
          </w:tcPr>
          <w:p w14:paraId="5986C02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37" w:type="dxa"/>
            <w:vAlign w:val="center"/>
          </w:tcPr>
          <w:p w14:paraId="1DD7CDE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EE3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3BFF4C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2242" w:type="dxa"/>
            <w:vAlign w:val="center"/>
          </w:tcPr>
          <w:p w14:paraId="33A57E07">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兰州铁路运输中级法院</w:t>
            </w:r>
          </w:p>
        </w:tc>
        <w:tc>
          <w:tcPr>
            <w:tcW w:w="1166" w:type="dxa"/>
            <w:vAlign w:val="center"/>
          </w:tcPr>
          <w:p w14:paraId="33EBFD5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1.82</w:t>
            </w:r>
          </w:p>
        </w:tc>
        <w:tc>
          <w:tcPr>
            <w:tcW w:w="1188" w:type="dxa"/>
            <w:vAlign w:val="center"/>
          </w:tcPr>
          <w:p w14:paraId="292C05A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550.00</w:t>
            </w:r>
          </w:p>
        </w:tc>
        <w:tc>
          <w:tcPr>
            <w:tcW w:w="1210" w:type="dxa"/>
            <w:vAlign w:val="center"/>
          </w:tcPr>
          <w:p w14:paraId="7563590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551.82</w:t>
            </w:r>
          </w:p>
        </w:tc>
        <w:tc>
          <w:tcPr>
            <w:tcW w:w="1199" w:type="dxa"/>
            <w:vAlign w:val="center"/>
          </w:tcPr>
          <w:p w14:paraId="3E4AF0E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551.82</w:t>
            </w:r>
          </w:p>
        </w:tc>
        <w:tc>
          <w:tcPr>
            <w:tcW w:w="1137" w:type="dxa"/>
            <w:vAlign w:val="center"/>
          </w:tcPr>
          <w:p w14:paraId="56046C8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87DF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8BC3E1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2242" w:type="dxa"/>
            <w:vAlign w:val="center"/>
          </w:tcPr>
          <w:p w14:paraId="1333873E">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兰州铁路运输法院</w:t>
            </w:r>
          </w:p>
        </w:tc>
        <w:tc>
          <w:tcPr>
            <w:tcW w:w="1166" w:type="dxa"/>
            <w:vAlign w:val="center"/>
          </w:tcPr>
          <w:p w14:paraId="768FE74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0.05</w:t>
            </w:r>
          </w:p>
        </w:tc>
        <w:tc>
          <w:tcPr>
            <w:tcW w:w="1188" w:type="dxa"/>
            <w:vAlign w:val="center"/>
          </w:tcPr>
          <w:p w14:paraId="201D6F4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350.00</w:t>
            </w:r>
          </w:p>
        </w:tc>
        <w:tc>
          <w:tcPr>
            <w:tcW w:w="1210" w:type="dxa"/>
            <w:vAlign w:val="center"/>
          </w:tcPr>
          <w:p w14:paraId="5A9DA92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350.05</w:t>
            </w:r>
          </w:p>
        </w:tc>
        <w:tc>
          <w:tcPr>
            <w:tcW w:w="1199" w:type="dxa"/>
            <w:vAlign w:val="center"/>
          </w:tcPr>
          <w:p w14:paraId="799BA27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350.05</w:t>
            </w:r>
          </w:p>
        </w:tc>
        <w:tc>
          <w:tcPr>
            <w:tcW w:w="1137" w:type="dxa"/>
            <w:vAlign w:val="center"/>
          </w:tcPr>
          <w:p w14:paraId="7F62292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C47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61B164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9</w:t>
            </w:r>
          </w:p>
        </w:tc>
        <w:tc>
          <w:tcPr>
            <w:tcW w:w="2242" w:type="dxa"/>
            <w:vAlign w:val="center"/>
          </w:tcPr>
          <w:p w14:paraId="4CB41AED">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武威铁路运输法院</w:t>
            </w:r>
          </w:p>
        </w:tc>
        <w:tc>
          <w:tcPr>
            <w:tcW w:w="1166" w:type="dxa"/>
            <w:vAlign w:val="center"/>
          </w:tcPr>
          <w:p w14:paraId="421A2F69">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auto"/>
                <w:kern w:val="0"/>
                <w:sz w:val="20"/>
                <w:szCs w:val="20"/>
                <w:highlight w:val="yellow"/>
                <w:u w:val="none"/>
                <w:lang w:val="en-US" w:eastAsia="zh-CN" w:bidi="ar"/>
              </w:rPr>
            </w:pPr>
          </w:p>
        </w:tc>
        <w:tc>
          <w:tcPr>
            <w:tcW w:w="1188" w:type="dxa"/>
            <w:vAlign w:val="center"/>
          </w:tcPr>
          <w:p w14:paraId="3AA4516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255.00</w:t>
            </w:r>
          </w:p>
        </w:tc>
        <w:tc>
          <w:tcPr>
            <w:tcW w:w="1210" w:type="dxa"/>
            <w:vAlign w:val="center"/>
          </w:tcPr>
          <w:p w14:paraId="19A77B8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255.00</w:t>
            </w:r>
          </w:p>
        </w:tc>
        <w:tc>
          <w:tcPr>
            <w:tcW w:w="1199" w:type="dxa"/>
            <w:vAlign w:val="center"/>
          </w:tcPr>
          <w:p w14:paraId="5B26BC2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255.00</w:t>
            </w:r>
          </w:p>
        </w:tc>
        <w:tc>
          <w:tcPr>
            <w:tcW w:w="1137" w:type="dxa"/>
            <w:vAlign w:val="center"/>
          </w:tcPr>
          <w:p w14:paraId="14C2E13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2AF6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99C485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2242" w:type="dxa"/>
            <w:vAlign w:val="center"/>
          </w:tcPr>
          <w:p w14:paraId="3C53E19F">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甘肃省法官学院分院</w:t>
            </w:r>
          </w:p>
        </w:tc>
        <w:tc>
          <w:tcPr>
            <w:tcW w:w="1166" w:type="dxa"/>
            <w:vAlign w:val="center"/>
          </w:tcPr>
          <w:p w14:paraId="72AC560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24.98</w:t>
            </w:r>
          </w:p>
        </w:tc>
        <w:tc>
          <w:tcPr>
            <w:tcW w:w="1188" w:type="dxa"/>
            <w:vAlign w:val="center"/>
          </w:tcPr>
          <w:p w14:paraId="7011B7C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90.00</w:t>
            </w:r>
          </w:p>
        </w:tc>
        <w:tc>
          <w:tcPr>
            <w:tcW w:w="1210" w:type="dxa"/>
            <w:vAlign w:val="center"/>
          </w:tcPr>
          <w:p w14:paraId="2244A12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114.98</w:t>
            </w:r>
          </w:p>
        </w:tc>
        <w:tc>
          <w:tcPr>
            <w:tcW w:w="1199" w:type="dxa"/>
            <w:vAlign w:val="center"/>
          </w:tcPr>
          <w:p w14:paraId="4C5A33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98.76</w:t>
            </w:r>
          </w:p>
        </w:tc>
        <w:tc>
          <w:tcPr>
            <w:tcW w:w="1137" w:type="dxa"/>
            <w:vAlign w:val="center"/>
          </w:tcPr>
          <w:p w14:paraId="0E96B72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85.89%</w:t>
            </w:r>
          </w:p>
        </w:tc>
      </w:tr>
      <w:tr w14:paraId="5BDE1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4C2084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w:t>
            </w:r>
          </w:p>
        </w:tc>
        <w:tc>
          <w:tcPr>
            <w:tcW w:w="2242" w:type="dxa"/>
            <w:vAlign w:val="center"/>
          </w:tcPr>
          <w:p w14:paraId="36659D59">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甘肃省法官学院</w:t>
            </w:r>
          </w:p>
        </w:tc>
        <w:tc>
          <w:tcPr>
            <w:tcW w:w="1166" w:type="dxa"/>
            <w:vAlign w:val="center"/>
          </w:tcPr>
          <w:p w14:paraId="5F10E174">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auto"/>
                <w:kern w:val="0"/>
                <w:sz w:val="20"/>
                <w:szCs w:val="20"/>
                <w:highlight w:val="yellow"/>
                <w:u w:val="none"/>
                <w:lang w:val="en-US" w:eastAsia="zh-CN" w:bidi="ar"/>
              </w:rPr>
            </w:pPr>
          </w:p>
        </w:tc>
        <w:tc>
          <w:tcPr>
            <w:tcW w:w="1188" w:type="dxa"/>
            <w:vAlign w:val="center"/>
          </w:tcPr>
          <w:p w14:paraId="702D284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210" w:type="dxa"/>
            <w:vAlign w:val="center"/>
          </w:tcPr>
          <w:p w14:paraId="4B9563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199" w:type="dxa"/>
            <w:vAlign w:val="center"/>
          </w:tcPr>
          <w:p w14:paraId="3721ABA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137" w:type="dxa"/>
            <w:vAlign w:val="center"/>
          </w:tcPr>
          <w:p w14:paraId="5027BC8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8BB4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F754EF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12</w:t>
            </w:r>
          </w:p>
        </w:tc>
        <w:tc>
          <w:tcPr>
            <w:tcW w:w="2242" w:type="dxa"/>
            <w:vAlign w:val="center"/>
          </w:tcPr>
          <w:p w14:paraId="36527A7E">
            <w:pPr>
              <w:keepNext w:val="0"/>
              <w:keepLines w:val="0"/>
              <w:widowControl/>
              <w:suppressLineNumbers w:val="0"/>
              <w:jc w:val="left"/>
              <w:textAlignment w:val="center"/>
              <w:rPr>
                <w:rFonts w:hint="eastAsia" w:ascii="宋体" w:hAnsi="宋体" w:eastAsia="宋体" w:cs="宋体"/>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甘肃省民族法制文化研究所</w:t>
            </w:r>
          </w:p>
        </w:tc>
        <w:tc>
          <w:tcPr>
            <w:tcW w:w="1166" w:type="dxa"/>
            <w:vAlign w:val="center"/>
          </w:tcPr>
          <w:p w14:paraId="382AAE8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60.58</w:t>
            </w:r>
          </w:p>
        </w:tc>
        <w:tc>
          <w:tcPr>
            <w:tcW w:w="1188" w:type="dxa"/>
            <w:vAlign w:val="center"/>
          </w:tcPr>
          <w:p w14:paraId="7A62751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210" w:type="dxa"/>
            <w:vAlign w:val="center"/>
          </w:tcPr>
          <w:p w14:paraId="34BB2F2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170.58</w:t>
            </w:r>
          </w:p>
        </w:tc>
        <w:tc>
          <w:tcPr>
            <w:tcW w:w="1199" w:type="dxa"/>
            <w:vAlign w:val="center"/>
          </w:tcPr>
          <w:p w14:paraId="7E7FA86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165.00</w:t>
            </w:r>
          </w:p>
        </w:tc>
        <w:tc>
          <w:tcPr>
            <w:tcW w:w="1137" w:type="dxa"/>
            <w:vAlign w:val="center"/>
          </w:tcPr>
          <w:p w14:paraId="6E0BD5F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96.73%</w:t>
            </w:r>
          </w:p>
        </w:tc>
      </w:tr>
      <w:tr w14:paraId="79914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21AF50F">
            <w:pPr>
              <w:keepNext w:val="0"/>
              <w:keepLines w:val="0"/>
              <w:widowControl/>
              <w:suppressLineNumbers w:val="0"/>
              <w:jc w:val="center"/>
              <w:textAlignment w:val="center"/>
              <w:rPr>
                <w:rFonts w:hint="eastAsia" w:ascii="宋体" w:hAnsi="宋体" w:eastAsia="宋体" w:cs="宋体"/>
                <w:b/>
                <w:bCs/>
                <w:color w:val="auto"/>
                <w:sz w:val="20"/>
                <w:szCs w:val="20"/>
                <w:highlight w:val="yellow"/>
                <w:vertAlign w:val="baseline"/>
                <w:lang w:val="en-US" w:eastAsia="zh-CN"/>
              </w:rPr>
            </w:pPr>
            <w:r>
              <w:rPr>
                <w:rFonts w:hint="eastAsia" w:ascii="宋体" w:hAnsi="宋体" w:eastAsia="宋体" w:cs="宋体"/>
                <w:i w:val="0"/>
                <w:iCs w:val="0"/>
                <w:color w:val="000000"/>
                <w:kern w:val="0"/>
                <w:sz w:val="20"/>
                <w:szCs w:val="20"/>
                <w:u w:val="none"/>
                <w:lang w:val="en-US" w:eastAsia="zh-CN" w:bidi="ar"/>
              </w:rPr>
              <w:t>13</w:t>
            </w:r>
          </w:p>
        </w:tc>
        <w:tc>
          <w:tcPr>
            <w:tcW w:w="2242" w:type="dxa"/>
            <w:vAlign w:val="center"/>
          </w:tcPr>
          <w:p w14:paraId="29A3BDC3">
            <w:pPr>
              <w:keepNext w:val="0"/>
              <w:keepLines w:val="0"/>
              <w:widowControl/>
              <w:suppressLineNumbers w:val="0"/>
              <w:jc w:val="left"/>
              <w:textAlignment w:val="center"/>
            </w:pPr>
            <w:r>
              <w:rPr>
                <w:rFonts w:hint="eastAsia" w:ascii="宋体" w:hAnsi="宋体" w:eastAsia="宋体" w:cs="宋体"/>
                <w:i w:val="0"/>
                <w:iCs w:val="0"/>
                <w:color w:val="000000"/>
                <w:kern w:val="0"/>
                <w:sz w:val="20"/>
                <w:szCs w:val="20"/>
                <w:u w:val="none"/>
                <w:lang w:val="en-US" w:eastAsia="zh-CN" w:bidi="ar"/>
              </w:rPr>
              <w:t>甘肃省兰州市中级人民法院</w:t>
            </w:r>
          </w:p>
        </w:tc>
        <w:tc>
          <w:tcPr>
            <w:tcW w:w="1166" w:type="dxa"/>
            <w:vAlign w:val="center"/>
          </w:tcPr>
          <w:p w14:paraId="319BF86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229.88</w:t>
            </w:r>
          </w:p>
        </w:tc>
        <w:tc>
          <w:tcPr>
            <w:tcW w:w="1188" w:type="dxa"/>
            <w:vAlign w:val="center"/>
          </w:tcPr>
          <w:p w14:paraId="320300C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945.00</w:t>
            </w:r>
          </w:p>
        </w:tc>
        <w:tc>
          <w:tcPr>
            <w:tcW w:w="1210" w:type="dxa"/>
            <w:vAlign w:val="center"/>
          </w:tcPr>
          <w:p w14:paraId="09450E6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auto"/>
                <w:kern w:val="0"/>
                <w:sz w:val="20"/>
                <w:szCs w:val="20"/>
                <w:highlight w:val="yellow"/>
                <w:u w:val="none"/>
                <w:lang w:val="en-US" w:eastAsia="zh-CN" w:bidi="ar"/>
              </w:rPr>
            </w:pPr>
            <w:r>
              <w:rPr>
                <w:rFonts w:hint="eastAsia" w:ascii="宋体" w:hAnsi="宋体" w:eastAsia="宋体" w:cs="宋体"/>
                <w:i w:val="0"/>
                <w:iCs w:val="0"/>
                <w:color w:val="000000"/>
                <w:kern w:val="0"/>
                <w:sz w:val="20"/>
                <w:szCs w:val="20"/>
                <w:u w:val="none"/>
                <w:lang w:val="en-US" w:eastAsia="zh-CN" w:bidi="ar"/>
              </w:rPr>
              <w:t>1,174.88</w:t>
            </w:r>
          </w:p>
        </w:tc>
        <w:tc>
          <w:tcPr>
            <w:tcW w:w="1199" w:type="dxa"/>
            <w:vAlign w:val="center"/>
          </w:tcPr>
          <w:p w14:paraId="05AA320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928.77</w:t>
            </w:r>
          </w:p>
        </w:tc>
        <w:tc>
          <w:tcPr>
            <w:tcW w:w="1137" w:type="dxa"/>
            <w:vAlign w:val="center"/>
          </w:tcPr>
          <w:p w14:paraId="4E1625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79.05%</w:t>
            </w:r>
          </w:p>
        </w:tc>
      </w:tr>
      <w:tr w14:paraId="5FA28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16CE2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w:t>
            </w:r>
          </w:p>
        </w:tc>
        <w:tc>
          <w:tcPr>
            <w:tcW w:w="2242" w:type="dxa"/>
            <w:vAlign w:val="center"/>
          </w:tcPr>
          <w:p w14:paraId="743C4DC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兰州市城关区人民法院</w:t>
            </w:r>
          </w:p>
        </w:tc>
        <w:tc>
          <w:tcPr>
            <w:tcW w:w="1166" w:type="dxa"/>
            <w:vAlign w:val="center"/>
          </w:tcPr>
          <w:p w14:paraId="3504F81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336.80</w:t>
            </w:r>
          </w:p>
        </w:tc>
        <w:tc>
          <w:tcPr>
            <w:tcW w:w="1188" w:type="dxa"/>
            <w:vAlign w:val="center"/>
          </w:tcPr>
          <w:p w14:paraId="176EAA8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530.00</w:t>
            </w:r>
          </w:p>
        </w:tc>
        <w:tc>
          <w:tcPr>
            <w:tcW w:w="1210" w:type="dxa"/>
            <w:vAlign w:val="center"/>
          </w:tcPr>
          <w:p w14:paraId="661C912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866.80</w:t>
            </w:r>
          </w:p>
        </w:tc>
        <w:tc>
          <w:tcPr>
            <w:tcW w:w="1199" w:type="dxa"/>
            <w:vAlign w:val="center"/>
          </w:tcPr>
          <w:p w14:paraId="5019B04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817.06</w:t>
            </w:r>
          </w:p>
        </w:tc>
        <w:tc>
          <w:tcPr>
            <w:tcW w:w="1137" w:type="dxa"/>
            <w:vAlign w:val="center"/>
          </w:tcPr>
          <w:p w14:paraId="6F3105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94.26%</w:t>
            </w:r>
          </w:p>
        </w:tc>
      </w:tr>
      <w:tr w14:paraId="67A35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D71651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2242" w:type="dxa"/>
            <w:vAlign w:val="center"/>
          </w:tcPr>
          <w:p w14:paraId="0522F46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兰州市七里河区人民法院</w:t>
            </w:r>
          </w:p>
        </w:tc>
        <w:tc>
          <w:tcPr>
            <w:tcW w:w="1166" w:type="dxa"/>
            <w:vAlign w:val="center"/>
          </w:tcPr>
          <w:p w14:paraId="57DB412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15.32</w:t>
            </w:r>
          </w:p>
        </w:tc>
        <w:tc>
          <w:tcPr>
            <w:tcW w:w="1188" w:type="dxa"/>
            <w:vAlign w:val="center"/>
          </w:tcPr>
          <w:p w14:paraId="14649E3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267.00</w:t>
            </w:r>
          </w:p>
        </w:tc>
        <w:tc>
          <w:tcPr>
            <w:tcW w:w="1210" w:type="dxa"/>
            <w:vAlign w:val="center"/>
          </w:tcPr>
          <w:p w14:paraId="06E0C55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282.32</w:t>
            </w:r>
          </w:p>
        </w:tc>
        <w:tc>
          <w:tcPr>
            <w:tcW w:w="1199" w:type="dxa"/>
            <w:vAlign w:val="center"/>
          </w:tcPr>
          <w:p w14:paraId="7F0D049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282.32</w:t>
            </w:r>
          </w:p>
        </w:tc>
        <w:tc>
          <w:tcPr>
            <w:tcW w:w="1137" w:type="dxa"/>
            <w:vAlign w:val="center"/>
          </w:tcPr>
          <w:p w14:paraId="4A477C6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6EF0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5796D0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w:t>
            </w:r>
          </w:p>
        </w:tc>
        <w:tc>
          <w:tcPr>
            <w:tcW w:w="2242" w:type="dxa"/>
            <w:vAlign w:val="center"/>
          </w:tcPr>
          <w:p w14:paraId="4127E8D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兰州市西固区人民法院</w:t>
            </w:r>
          </w:p>
        </w:tc>
        <w:tc>
          <w:tcPr>
            <w:tcW w:w="1166" w:type="dxa"/>
            <w:vAlign w:val="center"/>
          </w:tcPr>
          <w:p w14:paraId="1D7A16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37.58</w:t>
            </w:r>
          </w:p>
        </w:tc>
        <w:tc>
          <w:tcPr>
            <w:tcW w:w="1188" w:type="dxa"/>
            <w:vAlign w:val="center"/>
          </w:tcPr>
          <w:p w14:paraId="647EAD5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133.00</w:t>
            </w:r>
          </w:p>
        </w:tc>
        <w:tc>
          <w:tcPr>
            <w:tcW w:w="1210" w:type="dxa"/>
            <w:vAlign w:val="center"/>
          </w:tcPr>
          <w:p w14:paraId="27C5BE9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170.58</w:t>
            </w:r>
          </w:p>
        </w:tc>
        <w:tc>
          <w:tcPr>
            <w:tcW w:w="1199" w:type="dxa"/>
            <w:vAlign w:val="center"/>
          </w:tcPr>
          <w:p w14:paraId="1025451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170.58</w:t>
            </w:r>
          </w:p>
        </w:tc>
        <w:tc>
          <w:tcPr>
            <w:tcW w:w="1137" w:type="dxa"/>
            <w:vAlign w:val="center"/>
          </w:tcPr>
          <w:p w14:paraId="0374B02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AC87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407A8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w:t>
            </w:r>
          </w:p>
        </w:tc>
        <w:tc>
          <w:tcPr>
            <w:tcW w:w="2242" w:type="dxa"/>
            <w:vAlign w:val="center"/>
          </w:tcPr>
          <w:p w14:paraId="7C16309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兰州市安宁区人民法院</w:t>
            </w:r>
          </w:p>
        </w:tc>
        <w:tc>
          <w:tcPr>
            <w:tcW w:w="1166" w:type="dxa"/>
            <w:vAlign w:val="center"/>
          </w:tcPr>
          <w:p w14:paraId="32CF3CD8">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FBF0E6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210" w:type="dxa"/>
            <w:vAlign w:val="center"/>
          </w:tcPr>
          <w:p w14:paraId="268B846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99" w:type="dxa"/>
            <w:vAlign w:val="center"/>
          </w:tcPr>
          <w:p w14:paraId="33D3B24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37" w:type="dxa"/>
            <w:vAlign w:val="center"/>
          </w:tcPr>
          <w:p w14:paraId="5984A1A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B9E0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E0BAA2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w:t>
            </w:r>
          </w:p>
        </w:tc>
        <w:tc>
          <w:tcPr>
            <w:tcW w:w="2242" w:type="dxa"/>
            <w:vAlign w:val="center"/>
          </w:tcPr>
          <w:p w14:paraId="3953192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兰州市红古区人民法院</w:t>
            </w:r>
          </w:p>
        </w:tc>
        <w:tc>
          <w:tcPr>
            <w:tcW w:w="1166" w:type="dxa"/>
            <w:vAlign w:val="center"/>
          </w:tcPr>
          <w:p w14:paraId="364805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27.71</w:t>
            </w:r>
          </w:p>
        </w:tc>
        <w:tc>
          <w:tcPr>
            <w:tcW w:w="1188" w:type="dxa"/>
            <w:vAlign w:val="center"/>
          </w:tcPr>
          <w:p w14:paraId="392214A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195.00</w:t>
            </w:r>
          </w:p>
        </w:tc>
        <w:tc>
          <w:tcPr>
            <w:tcW w:w="1210" w:type="dxa"/>
            <w:vAlign w:val="center"/>
          </w:tcPr>
          <w:p w14:paraId="3EC5918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222.71</w:t>
            </w:r>
          </w:p>
        </w:tc>
        <w:tc>
          <w:tcPr>
            <w:tcW w:w="1199" w:type="dxa"/>
            <w:vAlign w:val="center"/>
          </w:tcPr>
          <w:p w14:paraId="305B94E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222.71</w:t>
            </w:r>
          </w:p>
        </w:tc>
        <w:tc>
          <w:tcPr>
            <w:tcW w:w="1137" w:type="dxa"/>
            <w:vAlign w:val="center"/>
          </w:tcPr>
          <w:p w14:paraId="4230FAA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299B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DF1E33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w:t>
            </w:r>
          </w:p>
        </w:tc>
        <w:tc>
          <w:tcPr>
            <w:tcW w:w="2242" w:type="dxa"/>
            <w:vAlign w:val="center"/>
          </w:tcPr>
          <w:p w14:paraId="16EA82A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兰州新区人民法院</w:t>
            </w:r>
          </w:p>
        </w:tc>
        <w:tc>
          <w:tcPr>
            <w:tcW w:w="1166" w:type="dxa"/>
            <w:vAlign w:val="center"/>
          </w:tcPr>
          <w:p w14:paraId="0F67EB1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13.05</w:t>
            </w:r>
          </w:p>
        </w:tc>
        <w:tc>
          <w:tcPr>
            <w:tcW w:w="1188" w:type="dxa"/>
            <w:vAlign w:val="center"/>
          </w:tcPr>
          <w:p w14:paraId="06693D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206.00</w:t>
            </w:r>
          </w:p>
        </w:tc>
        <w:tc>
          <w:tcPr>
            <w:tcW w:w="1210" w:type="dxa"/>
            <w:vAlign w:val="center"/>
          </w:tcPr>
          <w:p w14:paraId="72DD9EA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219.05</w:t>
            </w:r>
          </w:p>
        </w:tc>
        <w:tc>
          <w:tcPr>
            <w:tcW w:w="1199" w:type="dxa"/>
            <w:vAlign w:val="center"/>
          </w:tcPr>
          <w:p w14:paraId="39E42A9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214.54</w:t>
            </w:r>
          </w:p>
        </w:tc>
        <w:tc>
          <w:tcPr>
            <w:tcW w:w="1137" w:type="dxa"/>
            <w:vAlign w:val="center"/>
          </w:tcPr>
          <w:p w14:paraId="02D86C5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97.94%</w:t>
            </w:r>
          </w:p>
        </w:tc>
      </w:tr>
      <w:tr w14:paraId="79E37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E244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2242" w:type="dxa"/>
            <w:vAlign w:val="center"/>
          </w:tcPr>
          <w:p w14:paraId="439B7ED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永登县人民法院</w:t>
            </w:r>
          </w:p>
        </w:tc>
        <w:tc>
          <w:tcPr>
            <w:tcW w:w="1166" w:type="dxa"/>
            <w:vAlign w:val="center"/>
          </w:tcPr>
          <w:p w14:paraId="73ADF8E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4.77</w:t>
            </w:r>
          </w:p>
        </w:tc>
        <w:tc>
          <w:tcPr>
            <w:tcW w:w="1188" w:type="dxa"/>
            <w:vAlign w:val="center"/>
          </w:tcPr>
          <w:p w14:paraId="7108968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175.00</w:t>
            </w:r>
          </w:p>
        </w:tc>
        <w:tc>
          <w:tcPr>
            <w:tcW w:w="1210" w:type="dxa"/>
            <w:vAlign w:val="center"/>
          </w:tcPr>
          <w:p w14:paraId="7928E3D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179.77</w:t>
            </w:r>
          </w:p>
        </w:tc>
        <w:tc>
          <w:tcPr>
            <w:tcW w:w="1199" w:type="dxa"/>
            <w:vAlign w:val="center"/>
          </w:tcPr>
          <w:p w14:paraId="3E9A6E0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179.77</w:t>
            </w:r>
          </w:p>
        </w:tc>
        <w:tc>
          <w:tcPr>
            <w:tcW w:w="1137" w:type="dxa"/>
            <w:vAlign w:val="center"/>
          </w:tcPr>
          <w:p w14:paraId="441C08C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E5AB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A162C1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w:t>
            </w:r>
          </w:p>
        </w:tc>
        <w:tc>
          <w:tcPr>
            <w:tcW w:w="2242" w:type="dxa"/>
            <w:vAlign w:val="center"/>
          </w:tcPr>
          <w:p w14:paraId="51060DF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榆中县人民法院</w:t>
            </w:r>
          </w:p>
        </w:tc>
        <w:tc>
          <w:tcPr>
            <w:tcW w:w="1166" w:type="dxa"/>
            <w:vAlign w:val="center"/>
          </w:tcPr>
          <w:p w14:paraId="7C5E064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42.50</w:t>
            </w:r>
          </w:p>
        </w:tc>
        <w:tc>
          <w:tcPr>
            <w:tcW w:w="1188" w:type="dxa"/>
            <w:vAlign w:val="center"/>
          </w:tcPr>
          <w:p w14:paraId="1B8CB2D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170.00</w:t>
            </w:r>
          </w:p>
        </w:tc>
        <w:tc>
          <w:tcPr>
            <w:tcW w:w="1210" w:type="dxa"/>
            <w:vAlign w:val="center"/>
          </w:tcPr>
          <w:p w14:paraId="36B6F0B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212.50</w:t>
            </w:r>
          </w:p>
        </w:tc>
        <w:tc>
          <w:tcPr>
            <w:tcW w:w="1199" w:type="dxa"/>
            <w:vAlign w:val="center"/>
          </w:tcPr>
          <w:p w14:paraId="648497D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212.50</w:t>
            </w:r>
          </w:p>
        </w:tc>
        <w:tc>
          <w:tcPr>
            <w:tcW w:w="1137" w:type="dxa"/>
            <w:vAlign w:val="center"/>
          </w:tcPr>
          <w:p w14:paraId="0B492A6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699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59308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w:t>
            </w:r>
          </w:p>
        </w:tc>
        <w:tc>
          <w:tcPr>
            <w:tcW w:w="2242" w:type="dxa"/>
            <w:vAlign w:val="center"/>
          </w:tcPr>
          <w:p w14:paraId="3F8E7A1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皋兰县人民法院</w:t>
            </w:r>
          </w:p>
        </w:tc>
        <w:tc>
          <w:tcPr>
            <w:tcW w:w="1166" w:type="dxa"/>
            <w:vAlign w:val="center"/>
          </w:tcPr>
          <w:p w14:paraId="694E95C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23.14</w:t>
            </w:r>
          </w:p>
        </w:tc>
        <w:tc>
          <w:tcPr>
            <w:tcW w:w="1188" w:type="dxa"/>
            <w:vAlign w:val="center"/>
          </w:tcPr>
          <w:p w14:paraId="6EC8B5A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148.00</w:t>
            </w:r>
          </w:p>
        </w:tc>
        <w:tc>
          <w:tcPr>
            <w:tcW w:w="1210" w:type="dxa"/>
            <w:vAlign w:val="center"/>
          </w:tcPr>
          <w:p w14:paraId="401936E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171.14</w:t>
            </w:r>
          </w:p>
        </w:tc>
        <w:tc>
          <w:tcPr>
            <w:tcW w:w="1199" w:type="dxa"/>
            <w:vAlign w:val="center"/>
          </w:tcPr>
          <w:p w14:paraId="6F0FFBB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168.69</w:t>
            </w:r>
          </w:p>
        </w:tc>
        <w:tc>
          <w:tcPr>
            <w:tcW w:w="1137" w:type="dxa"/>
            <w:vAlign w:val="center"/>
          </w:tcPr>
          <w:p w14:paraId="686647E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98.57%</w:t>
            </w:r>
          </w:p>
        </w:tc>
      </w:tr>
      <w:tr w14:paraId="318D7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CE46EF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w:t>
            </w:r>
          </w:p>
        </w:tc>
        <w:tc>
          <w:tcPr>
            <w:tcW w:w="2242" w:type="dxa"/>
            <w:vAlign w:val="center"/>
          </w:tcPr>
          <w:p w14:paraId="672C5B6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嘉峪关市中级人民法院</w:t>
            </w:r>
          </w:p>
        </w:tc>
        <w:tc>
          <w:tcPr>
            <w:tcW w:w="1166" w:type="dxa"/>
            <w:vAlign w:val="center"/>
          </w:tcPr>
          <w:p w14:paraId="0EDB6920">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DCFB05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210" w:type="dxa"/>
            <w:vAlign w:val="center"/>
          </w:tcPr>
          <w:p w14:paraId="468086A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199" w:type="dxa"/>
            <w:vAlign w:val="center"/>
          </w:tcPr>
          <w:p w14:paraId="5AC972E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137" w:type="dxa"/>
            <w:vAlign w:val="center"/>
          </w:tcPr>
          <w:p w14:paraId="25FF2D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66F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83FBE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w:t>
            </w:r>
          </w:p>
        </w:tc>
        <w:tc>
          <w:tcPr>
            <w:tcW w:w="2242" w:type="dxa"/>
            <w:vAlign w:val="center"/>
          </w:tcPr>
          <w:p w14:paraId="186611F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嘉峪关市城区人民法院</w:t>
            </w:r>
          </w:p>
        </w:tc>
        <w:tc>
          <w:tcPr>
            <w:tcW w:w="1166" w:type="dxa"/>
            <w:vAlign w:val="center"/>
          </w:tcPr>
          <w:p w14:paraId="1B8CF994">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548A9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210" w:type="dxa"/>
            <w:vAlign w:val="center"/>
          </w:tcPr>
          <w:p w14:paraId="1407373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199" w:type="dxa"/>
            <w:vAlign w:val="center"/>
          </w:tcPr>
          <w:p w14:paraId="1C0DF54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137" w:type="dxa"/>
            <w:vAlign w:val="center"/>
          </w:tcPr>
          <w:p w14:paraId="1294F1A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2887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9149EB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2242" w:type="dxa"/>
            <w:vAlign w:val="center"/>
          </w:tcPr>
          <w:p w14:paraId="2A89800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金昌市中级人民法院</w:t>
            </w:r>
          </w:p>
        </w:tc>
        <w:tc>
          <w:tcPr>
            <w:tcW w:w="1166" w:type="dxa"/>
            <w:vAlign w:val="center"/>
          </w:tcPr>
          <w:p w14:paraId="6D760CE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0.14</w:t>
            </w:r>
          </w:p>
        </w:tc>
        <w:tc>
          <w:tcPr>
            <w:tcW w:w="1188" w:type="dxa"/>
            <w:vAlign w:val="center"/>
          </w:tcPr>
          <w:p w14:paraId="0D3D0FE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275.00</w:t>
            </w:r>
          </w:p>
        </w:tc>
        <w:tc>
          <w:tcPr>
            <w:tcW w:w="1210" w:type="dxa"/>
            <w:vAlign w:val="center"/>
          </w:tcPr>
          <w:p w14:paraId="015DB91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275.14</w:t>
            </w:r>
          </w:p>
        </w:tc>
        <w:tc>
          <w:tcPr>
            <w:tcW w:w="1199" w:type="dxa"/>
            <w:vAlign w:val="center"/>
          </w:tcPr>
          <w:p w14:paraId="6F8694A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275.14</w:t>
            </w:r>
          </w:p>
        </w:tc>
        <w:tc>
          <w:tcPr>
            <w:tcW w:w="1137" w:type="dxa"/>
            <w:vAlign w:val="center"/>
          </w:tcPr>
          <w:p w14:paraId="6055B46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2903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8B6ED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w:t>
            </w:r>
          </w:p>
        </w:tc>
        <w:tc>
          <w:tcPr>
            <w:tcW w:w="2242" w:type="dxa"/>
            <w:vAlign w:val="center"/>
          </w:tcPr>
          <w:p w14:paraId="04B707F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金昌市金川区人民法院</w:t>
            </w:r>
          </w:p>
        </w:tc>
        <w:tc>
          <w:tcPr>
            <w:tcW w:w="1166" w:type="dxa"/>
            <w:vAlign w:val="center"/>
          </w:tcPr>
          <w:p w14:paraId="64E7CB68">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3D47945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275.00</w:t>
            </w:r>
          </w:p>
        </w:tc>
        <w:tc>
          <w:tcPr>
            <w:tcW w:w="1210" w:type="dxa"/>
            <w:vAlign w:val="center"/>
          </w:tcPr>
          <w:p w14:paraId="7757538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275.00</w:t>
            </w:r>
          </w:p>
        </w:tc>
        <w:tc>
          <w:tcPr>
            <w:tcW w:w="1199" w:type="dxa"/>
            <w:vAlign w:val="center"/>
          </w:tcPr>
          <w:p w14:paraId="69725B4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275.00</w:t>
            </w:r>
          </w:p>
        </w:tc>
        <w:tc>
          <w:tcPr>
            <w:tcW w:w="1137" w:type="dxa"/>
            <w:vAlign w:val="center"/>
          </w:tcPr>
          <w:p w14:paraId="3D405DB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61D2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481B1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w:t>
            </w:r>
          </w:p>
        </w:tc>
        <w:tc>
          <w:tcPr>
            <w:tcW w:w="2242" w:type="dxa"/>
            <w:vAlign w:val="center"/>
          </w:tcPr>
          <w:p w14:paraId="3014EA6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永昌县人民法院</w:t>
            </w:r>
          </w:p>
        </w:tc>
        <w:tc>
          <w:tcPr>
            <w:tcW w:w="1166" w:type="dxa"/>
            <w:vAlign w:val="center"/>
          </w:tcPr>
          <w:p w14:paraId="737E3870">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140284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210" w:type="dxa"/>
            <w:vAlign w:val="center"/>
          </w:tcPr>
          <w:p w14:paraId="7E876FA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199" w:type="dxa"/>
            <w:vAlign w:val="center"/>
          </w:tcPr>
          <w:p w14:paraId="72742D3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137" w:type="dxa"/>
            <w:vAlign w:val="center"/>
          </w:tcPr>
          <w:p w14:paraId="4A22C75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7F17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5F765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w:t>
            </w:r>
          </w:p>
        </w:tc>
        <w:tc>
          <w:tcPr>
            <w:tcW w:w="2242" w:type="dxa"/>
            <w:vAlign w:val="center"/>
          </w:tcPr>
          <w:p w14:paraId="3938DE3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甘肃省白银市中级人民法院</w:t>
            </w:r>
          </w:p>
        </w:tc>
        <w:tc>
          <w:tcPr>
            <w:tcW w:w="1166" w:type="dxa"/>
            <w:vAlign w:val="center"/>
          </w:tcPr>
          <w:p w14:paraId="217FF2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65.00</w:t>
            </w:r>
          </w:p>
        </w:tc>
        <w:tc>
          <w:tcPr>
            <w:tcW w:w="1188" w:type="dxa"/>
            <w:vAlign w:val="center"/>
          </w:tcPr>
          <w:p w14:paraId="4D02D06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274.00</w:t>
            </w:r>
          </w:p>
        </w:tc>
        <w:tc>
          <w:tcPr>
            <w:tcW w:w="1210" w:type="dxa"/>
            <w:vAlign w:val="center"/>
          </w:tcPr>
          <w:p w14:paraId="7525D72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339.00</w:t>
            </w:r>
          </w:p>
        </w:tc>
        <w:tc>
          <w:tcPr>
            <w:tcW w:w="1199" w:type="dxa"/>
            <w:vAlign w:val="center"/>
          </w:tcPr>
          <w:p w14:paraId="0B926CE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339.00</w:t>
            </w:r>
          </w:p>
        </w:tc>
        <w:tc>
          <w:tcPr>
            <w:tcW w:w="1137" w:type="dxa"/>
            <w:vAlign w:val="center"/>
          </w:tcPr>
          <w:p w14:paraId="46D0750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37B0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97A1B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w:t>
            </w:r>
          </w:p>
        </w:tc>
        <w:tc>
          <w:tcPr>
            <w:tcW w:w="2242" w:type="dxa"/>
            <w:vAlign w:val="center"/>
          </w:tcPr>
          <w:p w14:paraId="19D8D2F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白银市白银区人民法院</w:t>
            </w:r>
          </w:p>
        </w:tc>
        <w:tc>
          <w:tcPr>
            <w:tcW w:w="1166" w:type="dxa"/>
            <w:vAlign w:val="center"/>
          </w:tcPr>
          <w:p w14:paraId="0803DBC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6B7E63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270.00</w:t>
            </w:r>
          </w:p>
        </w:tc>
        <w:tc>
          <w:tcPr>
            <w:tcW w:w="1210" w:type="dxa"/>
            <w:vAlign w:val="center"/>
          </w:tcPr>
          <w:p w14:paraId="3E42DF0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270.00</w:t>
            </w:r>
          </w:p>
        </w:tc>
        <w:tc>
          <w:tcPr>
            <w:tcW w:w="1199" w:type="dxa"/>
            <w:vAlign w:val="center"/>
          </w:tcPr>
          <w:p w14:paraId="0BD7F1C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270.00</w:t>
            </w:r>
          </w:p>
        </w:tc>
        <w:tc>
          <w:tcPr>
            <w:tcW w:w="1137" w:type="dxa"/>
            <w:vAlign w:val="center"/>
          </w:tcPr>
          <w:p w14:paraId="69DF165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0E1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E850D3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2242" w:type="dxa"/>
            <w:vAlign w:val="center"/>
          </w:tcPr>
          <w:p w14:paraId="27566DA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白银市平川区人民法院</w:t>
            </w:r>
          </w:p>
        </w:tc>
        <w:tc>
          <w:tcPr>
            <w:tcW w:w="1166" w:type="dxa"/>
            <w:vAlign w:val="center"/>
          </w:tcPr>
          <w:p w14:paraId="0CDDB1E4">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BA9EC6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210" w:type="dxa"/>
            <w:vAlign w:val="center"/>
          </w:tcPr>
          <w:p w14:paraId="5A717E3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199" w:type="dxa"/>
            <w:vAlign w:val="center"/>
          </w:tcPr>
          <w:p w14:paraId="2A6D1D7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137" w:type="dxa"/>
            <w:vAlign w:val="center"/>
          </w:tcPr>
          <w:p w14:paraId="3D0FD79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374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FC2DC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2242" w:type="dxa"/>
            <w:vAlign w:val="center"/>
          </w:tcPr>
          <w:p w14:paraId="7BD7B2C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会宁县人民法院</w:t>
            </w:r>
          </w:p>
        </w:tc>
        <w:tc>
          <w:tcPr>
            <w:tcW w:w="1166" w:type="dxa"/>
            <w:vAlign w:val="center"/>
          </w:tcPr>
          <w:p w14:paraId="0321EED9">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714736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210" w:type="dxa"/>
            <w:vAlign w:val="center"/>
          </w:tcPr>
          <w:p w14:paraId="02526F3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199" w:type="dxa"/>
            <w:vAlign w:val="center"/>
          </w:tcPr>
          <w:p w14:paraId="06D1E6D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220.00</w:t>
            </w:r>
          </w:p>
        </w:tc>
        <w:tc>
          <w:tcPr>
            <w:tcW w:w="1137" w:type="dxa"/>
            <w:vAlign w:val="center"/>
          </w:tcPr>
          <w:p w14:paraId="6175A22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65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08FB3A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2242" w:type="dxa"/>
            <w:vAlign w:val="center"/>
          </w:tcPr>
          <w:p w14:paraId="771D288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靖远县人民法院</w:t>
            </w:r>
          </w:p>
        </w:tc>
        <w:tc>
          <w:tcPr>
            <w:tcW w:w="1166" w:type="dxa"/>
            <w:vAlign w:val="center"/>
          </w:tcPr>
          <w:p w14:paraId="161EB21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0.41</w:t>
            </w:r>
          </w:p>
        </w:tc>
        <w:tc>
          <w:tcPr>
            <w:tcW w:w="1188" w:type="dxa"/>
            <w:vAlign w:val="center"/>
          </w:tcPr>
          <w:p w14:paraId="4BFA279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215.00</w:t>
            </w:r>
          </w:p>
        </w:tc>
        <w:tc>
          <w:tcPr>
            <w:tcW w:w="1210" w:type="dxa"/>
            <w:vAlign w:val="center"/>
          </w:tcPr>
          <w:p w14:paraId="1F84740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215.41</w:t>
            </w:r>
          </w:p>
        </w:tc>
        <w:tc>
          <w:tcPr>
            <w:tcW w:w="1199" w:type="dxa"/>
            <w:vAlign w:val="center"/>
          </w:tcPr>
          <w:p w14:paraId="3DC2E34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215.41</w:t>
            </w:r>
          </w:p>
        </w:tc>
        <w:tc>
          <w:tcPr>
            <w:tcW w:w="1137" w:type="dxa"/>
            <w:vAlign w:val="center"/>
          </w:tcPr>
          <w:p w14:paraId="4787DEC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187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40BF9A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2242" w:type="dxa"/>
            <w:vAlign w:val="center"/>
          </w:tcPr>
          <w:p w14:paraId="275F4A3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景泰县人民法院</w:t>
            </w:r>
          </w:p>
        </w:tc>
        <w:tc>
          <w:tcPr>
            <w:tcW w:w="1166" w:type="dxa"/>
            <w:vAlign w:val="center"/>
          </w:tcPr>
          <w:p w14:paraId="7A1DC455">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7B8230F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285.00</w:t>
            </w:r>
          </w:p>
        </w:tc>
        <w:tc>
          <w:tcPr>
            <w:tcW w:w="1210" w:type="dxa"/>
            <w:vAlign w:val="center"/>
          </w:tcPr>
          <w:p w14:paraId="218F6B6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285.00</w:t>
            </w:r>
          </w:p>
        </w:tc>
        <w:tc>
          <w:tcPr>
            <w:tcW w:w="1199" w:type="dxa"/>
            <w:vAlign w:val="center"/>
          </w:tcPr>
          <w:p w14:paraId="5181ADF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284.71</w:t>
            </w:r>
          </w:p>
        </w:tc>
        <w:tc>
          <w:tcPr>
            <w:tcW w:w="1137" w:type="dxa"/>
            <w:vAlign w:val="center"/>
          </w:tcPr>
          <w:p w14:paraId="2C60EBD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99.90%</w:t>
            </w:r>
          </w:p>
        </w:tc>
      </w:tr>
      <w:tr w14:paraId="6EC9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C30B70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2242" w:type="dxa"/>
            <w:vAlign w:val="center"/>
          </w:tcPr>
          <w:p w14:paraId="065346D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天水市中级人民法院</w:t>
            </w:r>
          </w:p>
        </w:tc>
        <w:tc>
          <w:tcPr>
            <w:tcW w:w="1166" w:type="dxa"/>
            <w:vAlign w:val="center"/>
          </w:tcPr>
          <w:p w14:paraId="677D2F3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40.74</w:t>
            </w:r>
          </w:p>
        </w:tc>
        <w:tc>
          <w:tcPr>
            <w:tcW w:w="1188" w:type="dxa"/>
            <w:vAlign w:val="center"/>
          </w:tcPr>
          <w:p w14:paraId="6254631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400.00</w:t>
            </w:r>
          </w:p>
        </w:tc>
        <w:tc>
          <w:tcPr>
            <w:tcW w:w="1210" w:type="dxa"/>
            <w:vAlign w:val="center"/>
          </w:tcPr>
          <w:p w14:paraId="360A7C7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440.74</w:t>
            </w:r>
          </w:p>
        </w:tc>
        <w:tc>
          <w:tcPr>
            <w:tcW w:w="1199" w:type="dxa"/>
            <w:vAlign w:val="center"/>
          </w:tcPr>
          <w:p w14:paraId="464E906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440.74</w:t>
            </w:r>
          </w:p>
        </w:tc>
        <w:tc>
          <w:tcPr>
            <w:tcW w:w="1137" w:type="dxa"/>
            <w:vAlign w:val="center"/>
          </w:tcPr>
          <w:p w14:paraId="6FDD3F1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75E9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1EC2B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w:t>
            </w:r>
          </w:p>
        </w:tc>
        <w:tc>
          <w:tcPr>
            <w:tcW w:w="2242" w:type="dxa"/>
            <w:vAlign w:val="center"/>
          </w:tcPr>
          <w:p w14:paraId="1D9A352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天水市秦州区人民法院</w:t>
            </w:r>
          </w:p>
        </w:tc>
        <w:tc>
          <w:tcPr>
            <w:tcW w:w="1166" w:type="dxa"/>
            <w:vAlign w:val="center"/>
          </w:tcPr>
          <w:p w14:paraId="2FA032D4">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7E7A6A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210" w:type="dxa"/>
            <w:vAlign w:val="center"/>
          </w:tcPr>
          <w:p w14:paraId="12E1049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199" w:type="dxa"/>
            <w:vAlign w:val="center"/>
          </w:tcPr>
          <w:p w14:paraId="2416037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235.00</w:t>
            </w:r>
          </w:p>
        </w:tc>
        <w:tc>
          <w:tcPr>
            <w:tcW w:w="1137" w:type="dxa"/>
            <w:vAlign w:val="center"/>
          </w:tcPr>
          <w:p w14:paraId="6B42016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5E7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E2994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36</w:t>
            </w:r>
          </w:p>
        </w:tc>
        <w:tc>
          <w:tcPr>
            <w:tcW w:w="2242" w:type="dxa"/>
            <w:vAlign w:val="center"/>
          </w:tcPr>
          <w:p w14:paraId="15F10E8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天水市麦积区人民法院</w:t>
            </w:r>
          </w:p>
        </w:tc>
        <w:tc>
          <w:tcPr>
            <w:tcW w:w="1166" w:type="dxa"/>
            <w:vAlign w:val="center"/>
          </w:tcPr>
          <w:p w14:paraId="56CD76E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13.90</w:t>
            </w:r>
          </w:p>
        </w:tc>
        <w:tc>
          <w:tcPr>
            <w:tcW w:w="1188" w:type="dxa"/>
            <w:vAlign w:val="center"/>
          </w:tcPr>
          <w:p w14:paraId="735BC95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188.00</w:t>
            </w:r>
          </w:p>
        </w:tc>
        <w:tc>
          <w:tcPr>
            <w:tcW w:w="1210" w:type="dxa"/>
            <w:vAlign w:val="center"/>
          </w:tcPr>
          <w:p w14:paraId="0AEE49F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201.90</w:t>
            </w:r>
          </w:p>
        </w:tc>
        <w:tc>
          <w:tcPr>
            <w:tcW w:w="1199" w:type="dxa"/>
            <w:vAlign w:val="center"/>
          </w:tcPr>
          <w:p w14:paraId="2F2229F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183.77</w:t>
            </w:r>
          </w:p>
        </w:tc>
        <w:tc>
          <w:tcPr>
            <w:tcW w:w="1137" w:type="dxa"/>
            <w:vAlign w:val="center"/>
          </w:tcPr>
          <w:p w14:paraId="098FA5B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91.02%</w:t>
            </w:r>
          </w:p>
        </w:tc>
      </w:tr>
      <w:tr w14:paraId="42AB5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777F7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w:t>
            </w:r>
          </w:p>
        </w:tc>
        <w:tc>
          <w:tcPr>
            <w:tcW w:w="2242" w:type="dxa"/>
            <w:vAlign w:val="center"/>
          </w:tcPr>
          <w:p w14:paraId="58E9C0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秦安县人民法院</w:t>
            </w:r>
          </w:p>
        </w:tc>
        <w:tc>
          <w:tcPr>
            <w:tcW w:w="1166" w:type="dxa"/>
            <w:vAlign w:val="center"/>
          </w:tcPr>
          <w:p w14:paraId="6B7A0A7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8.90</w:t>
            </w:r>
          </w:p>
        </w:tc>
        <w:tc>
          <w:tcPr>
            <w:tcW w:w="1188" w:type="dxa"/>
            <w:vAlign w:val="center"/>
          </w:tcPr>
          <w:p w14:paraId="10E8D7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138.00</w:t>
            </w:r>
          </w:p>
        </w:tc>
        <w:tc>
          <w:tcPr>
            <w:tcW w:w="1210" w:type="dxa"/>
            <w:vAlign w:val="center"/>
          </w:tcPr>
          <w:p w14:paraId="01CBD5C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146.90</w:t>
            </w:r>
          </w:p>
        </w:tc>
        <w:tc>
          <w:tcPr>
            <w:tcW w:w="1199" w:type="dxa"/>
            <w:vAlign w:val="center"/>
          </w:tcPr>
          <w:p w14:paraId="3AC76CD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146.90</w:t>
            </w:r>
          </w:p>
        </w:tc>
        <w:tc>
          <w:tcPr>
            <w:tcW w:w="1137" w:type="dxa"/>
            <w:vAlign w:val="center"/>
          </w:tcPr>
          <w:p w14:paraId="14BA37A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4D71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F04C5C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38</w:t>
            </w:r>
          </w:p>
        </w:tc>
        <w:tc>
          <w:tcPr>
            <w:tcW w:w="2242" w:type="dxa"/>
            <w:vAlign w:val="center"/>
          </w:tcPr>
          <w:p w14:paraId="564D8B6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甘谷县人民法院</w:t>
            </w:r>
          </w:p>
        </w:tc>
        <w:tc>
          <w:tcPr>
            <w:tcW w:w="1166" w:type="dxa"/>
            <w:vAlign w:val="center"/>
          </w:tcPr>
          <w:p w14:paraId="6FFBFD0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27.49</w:t>
            </w:r>
          </w:p>
        </w:tc>
        <w:tc>
          <w:tcPr>
            <w:tcW w:w="1188" w:type="dxa"/>
            <w:vAlign w:val="center"/>
          </w:tcPr>
          <w:p w14:paraId="0849AD3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121.00</w:t>
            </w:r>
          </w:p>
        </w:tc>
        <w:tc>
          <w:tcPr>
            <w:tcW w:w="1210" w:type="dxa"/>
            <w:vAlign w:val="center"/>
          </w:tcPr>
          <w:p w14:paraId="385B6C0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148.49</w:t>
            </w:r>
          </w:p>
        </w:tc>
        <w:tc>
          <w:tcPr>
            <w:tcW w:w="1199" w:type="dxa"/>
            <w:vAlign w:val="center"/>
          </w:tcPr>
          <w:p w14:paraId="66EDEB4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134.29</w:t>
            </w:r>
          </w:p>
        </w:tc>
        <w:tc>
          <w:tcPr>
            <w:tcW w:w="1137" w:type="dxa"/>
            <w:vAlign w:val="center"/>
          </w:tcPr>
          <w:p w14:paraId="2AB1CC8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90.44%</w:t>
            </w:r>
          </w:p>
        </w:tc>
      </w:tr>
      <w:tr w14:paraId="73E33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2EA200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w:t>
            </w:r>
          </w:p>
        </w:tc>
        <w:tc>
          <w:tcPr>
            <w:tcW w:w="2242" w:type="dxa"/>
            <w:vAlign w:val="center"/>
          </w:tcPr>
          <w:p w14:paraId="4476B98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武山县人民法院</w:t>
            </w:r>
          </w:p>
        </w:tc>
        <w:tc>
          <w:tcPr>
            <w:tcW w:w="1166" w:type="dxa"/>
            <w:vAlign w:val="center"/>
          </w:tcPr>
          <w:p w14:paraId="63EC421F">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0E948B7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w:t>
            </w:r>
          </w:p>
        </w:tc>
        <w:tc>
          <w:tcPr>
            <w:tcW w:w="1210" w:type="dxa"/>
            <w:vAlign w:val="center"/>
          </w:tcPr>
          <w:p w14:paraId="0B0F437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w:t>
            </w:r>
          </w:p>
        </w:tc>
        <w:tc>
          <w:tcPr>
            <w:tcW w:w="1199" w:type="dxa"/>
            <w:vAlign w:val="center"/>
          </w:tcPr>
          <w:p w14:paraId="65B6914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w:t>
            </w:r>
          </w:p>
        </w:tc>
        <w:tc>
          <w:tcPr>
            <w:tcW w:w="1137" w:type="dxa"/>
            <w:vAlign w:val="center"/>
          </w:tcPr>
          <w:p w14:paraId="7FC74D9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8B81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C2E834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w:t>
            </w:r>
          </w:p>
        </w:tc>
        <w:tc>
          <w:tcPr>
            <w:tcW w:w="2242" w:type="dxa"/>
            <w:vAlign w:val="center"/>
          </w:tcPr>
          <w:p w14:paraId="415A798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清水县人民法院</w:t>
            </w:r>
          </w:p>
        </w:tc>
        <w:tc>
          <w:tcPr>
            <w:tcW w:w="1166" w:type="dxa"/>
            <w:vAlign w:val="center"/>
          </w:tcPr>
          <w:p w14:paraId="1061AB9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39.58</w:t>
            </w:r>
          </w:p>
        </w:tc>
        <w:tc>
          <w:tcPr>
            <w:tcW w:w="1188" w:type="dxa"/>
            <w:vAlign w:val="center"/>
          </w:tcPr>
          <w:p w14:paraId="693521B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138.00</w:t>
            </w:r>
          </w:p>
        </w:tc>
        <w:tc>
          <w:tcPr>
            <w:tcW w:w="1210" w:type="dxa"/>
            <w:vAlign w:val="center"/>
          </w:tcPr>
          <w:p w14:paraId="1B1DE9F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177.58</w:t>
            </w:r>
          </w:p>
        </w:tc>
        <w:tc>
          <w:tcPr>
            <w:tcW w:w="1199" w:type="dxa"/>
            <w:vAlign w:val="center"/>
          </w:tcPr>
          <w:p w14:paraId="5B782DF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177.58</w:t>
            </w:r>
          </w:p>
        </w:tc>
        <w:tc>
          <w:tcPr>
            <w:tcW w:w="1137" w:type="dxa"/>
            <w:vAlign w:val="center"/>
          </w:tcPr>
          <w:p w14:paraId="68921C2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8EA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148EA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w:t>
            </w:r>
          </w:p>
        </w:tc>
        <w:tc>
          <w:tcPr>
            <w:tcW w:w="2242" w:type="dxa"/>
            <w:vAlign w:val="center"/>
          </w:tcPr>
          <w:p w14:paraId="5A67FF8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张家川回族自治县人民法院</w:t>
            </w:r>
          </w:p>
        </w:tc>
        <w:tc>
          <w:tcPr>
            <w:tcW w:w="1166" w:type="dxa"/>
            <w:vAlign w:val="center"/>
          </w:tcPr>
          <w:p w14:paraId="1AD7F7A9">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D90A8F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138.00</w:t>
            </w:r>
          </w:p>
        </w:tc>
        <w:tc>
          <w:tcPr>
            <w:tcW w:w="1210" w:type="dxa"/>
            <w:vAlign w:val="center"/>
          </w:tcPr>
          <w:p w14:paraId="4A33CFD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138.00</w:t>
            </w:r>
          </w:p>
        </w:tc>
        <w:tc>
          <w:tcPr>
            <w:tcW w:w="1199" w:type="dxa"/>
            <w:vAlign w:val="center"/>
          </w:tcPr>
          <w:p w14:paraId="400BA38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138.00</w:t>
            </w:r>
          </w:p>
        </w:tc>
        <w:tc>
          <w:tcPr>
            <w:tcW w:w="1137" w:type="dxa"/>
            <w:vAlign w:val="center"/>
          </w:tcPr>
          <w:p w14:paraId="62083B8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2F7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59CF72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42</w:t>
            </w:r>
          </w:p>
        </w:tc>
        <w:tc>
          <w:tcPr>
            <w:tcW w:w="2242" w:type="dxa"/>
            <w:vAlign w:val="center"/>
          </w:tcPr>
          <w:p w14:paraId="7B0CEA3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甘肃省酒泉市中级人民法院</w:t>
            </w:r>
          </w:p>
        </w:tc>
        <w:tc>
          <w:tcPr>
            <w:tcW w:w="1166" w:type="dxa"/>
            <w:vAlign w:val="center"/>
          </w:tcPr>
          <w:p w14:paraId="30CAC9C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0.98</w:t>
            </w:r>
          </w:p>
        </w:tc>
        <w:tc>
          <w:tcPr>
            <w:tcW w:w="1188" w:type="dxa"/>
            <w:vAlign w:val="center"/>
          </w:tcPr>
          <w:p w14:paraId="73012A9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358.00</w:t>
            </w:r>
          </w:p>
        </w:tc>
        <w:tc>
          <w:tcPr>
            <w:tcW w:w="1210" w:type="dxa"/>
            <w:vAlign w:val="center"/>
          </w:tcPr>
          <w:p w14:paraId="0D353E9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358.98</w:t>
            </w:r>
          </w:p>
        </w:tc>
        <w:tc>
          <w:tcPr>
            <w:tcW w:w="1199" w:type="dxa"/>
            <w:vAlign w:val="center"/>
          </w:tcPr>
          <w:p w14:paraId="443375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358.98</w:t>
            </w:r>
          </w:p>
        </w:tc>
        <w:tc>
          <w:tcPr>
            <w:tcW w:w="1137" w:type="dxa"/>
            <w:vAlign w:val="center"/>
          </w:tcPr>
          <w:p w14:paraId="4BB5354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67B0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1411F9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43</w:t>
            </w:r>
          </w:p>
        </w:tc>
        <w:tc>
          <w:tcPr>
            <w:tcW w:w="2242" w:type="dxa"/>
            <w:vAlign w:val="center"/>
          </w:tcPr>
          <w:p w14:paraId="076F5EE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金塔县人民法院</w:t>
            </w:r>
          </w:p>
        </w:tc>
        <w:tc>
          <w:tcPr>
            <w:tcW w:w="1166" w:type="dxa"/>
            <w:vAlign w:val="center"/>
          </w:tcPr>
          <w:p w14:paraId="127F8A97">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468928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78EB1F2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99" w:type="dxa"/>
            <w:vAlign w:val="center"/>
          </w:tcPr>
          <w:p w14:paraId="654E41A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37" w:type="dxa"/>
            <w:vAlign w:val="center"/>
          </w:tcPr>
          <w:p w14:paraId="1867641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6875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B8E473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44</w:t>
            </w:r>
          </w:p>
        </w:tc>
        <w:tc>
          <w:tcPr>
            <w:tcW w:w="2242" w:type="dxa"/>
            <w:vAlign w:val="center"/>
          </w:tcPr>
          <w:p w14:paraId="4DAD414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玉门市人民法院</w:t>
            </w:r>
          </w:p>
        </w:tc>
        <w:tc>
          <w:tcPr>
            <w:tcW w:w="1166" w:type="dxa"/>
            <w:vAlign w:val="center"/>
          </w:tcPr>
          <w:p w14:paraId="296119B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34.42</w:t>
            </w:r>
          </w:p>
        </w:tc>
        <w:tc>
          <w:tcPr>
            <w:tcW w:w="1188" w:type="dxa"/>
            <w:vAlign w:val="center"/>
          </w:tcPr>
          <w:p w14:paraId="062C27F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210" w:type="dxa"/>
            <w:vAlign w:val="center"/>
          </w:tcPr>
          <w:p w14:paraId="3695209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219.42</w:t>
            </w:r>
          </w:p>
        </w:tc>
        <w:tc>
          <w:tcPr>
            <w:tcW w:w="1199" w:type="dxa"/>
            <w:vAlign w:val="center"/>
          </w:tcPr>
          <w:p w14:paraId="3935A12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219.42</w:t>
            </w:r>
          </w:p>
        </w:tc>
        <w:tc>
          <w:tcPr>
            <w:tcW w:w="1137" w:type="dxa"/>
            <w:vAlign w:val="center"/>
          </w:tcPr>
          <w:p w14:paraId="3276383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3C6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4D3D9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45</w:t>
            </w:r>
          </w:p>
        </w:tc>
        <w:tc>
          <w:tcPr>
            <w:tcW w:w="2242" w:type="dxa"/>
            <w:vAlign w:val="center"/>
          </w:tcPr>
          <w:p w14:paraId="121AC48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阿克塞哈萨克族自治县人民法院</w:t>
            </w:r>
          </w:p>
        </w:tc>
        <w:tc>
          <w:tcPr>
            <w:tcW w:w="1166" w:type="dxa"/>
            <w:vAlign w:val="center"/>
          </w:tcPr>
          <w:p w14:paraId="5D8A13E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F288EC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98.00</w:t>
            </w:r>
          </w:p>
        </w:tc>
        <w:tc>
          <w:tcPr>
            <w:tcW w:w="1210" w:type="dxa"/>
            <w:vAlign w:val="center"/>
          </w:tcPr>
          <w:p w14:paraId="1EA7F0D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98.00</w:t>
            </w:r>
          </w:p>
        </w:tc>
        <w:tc>
          <w:tcPr>
            <w:tcW w:w="1199" w:type="dxa"/>
            <w:vAlign w:val="center"/>
          </w:tcPr>
          <w:p w14:paraId="52AB25B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98.00</w:t>
            </w:r>
          </w:p>
        </w:tc>
        <w:tc>
          <w:tcPr>
            <w:tcW w:w="1137" w:type="dxa"/>
            <w:vAlign w:val="center"/>
          </w:tcPr>
          <w:p w14:paraId="2EB1EFD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EF15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4F9A9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46</w:t>
            </w:r>
          </w:p>
        </w:tc>
        <w:tc>
          <w:tcPr>
            <w:tcW w:w="2242" w:type="dxa"/>
            <w:vAlign w:val="center"/>
          </w:tcPr>
          <w:p w14:paraId="47E6B3A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肃北蒙古族自治县人民法院</w:t>
            </w:r>
          </w:p>
        </w:tc>
        <w:tc>
          <w:tcPr>
            <w:tcW w:w="1166" w:type="dxa"/>
            <w:vAlign w:val="center"/>
          </w:tcPr>
          <w:p w14:paraId="7BF36A0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11.34</w:t>
            </w:r>
          </w:p>
        </w:tc>
        <w:tc>
          <w:tcPr>
            <w:tcW w:w="1188" w:type="dxa"/>
            <w:vAlign w:val="center"/>
          </w:tcPr>
          <w:p w14:paraId="4050AA8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132.00</w:t>
            </w:r>
          </w:p>
        </w:tc>
        <w:tc>
          <w:tcPr>
            <w:tcW w:w="1210" w:type="dxa"/>
            <w:vAlign w:val="center"/>
          </w:tcPr>
          <w:p w14:paraId="783F442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143.34</w:t>
            </w:r>
          </w:p>
        </w:tc>
        <w:tc>
          <w:tcPr>
            <w:tcW w:w="1199" w:type="dxa"/>
            <w:vAlign w:val="center"/>
          </w:tcPr>
          <w:p w14:paraId="7D3D135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143.34</w:t>
            </w:r>
          </w:p>
        </w:tc>
        <w:tc>
          <w:tcPr>
            <w:tcW w:w="1137" w:type="dxa"/>
            <w:vAlign w:val="center"/>
          </w:tcPr>
          <w:p w14:paraId="0E32A3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DC72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5F842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47</w:t>
            </w:r>
          </w:p>
        </w:tc>
        <w:tc>
          <w:tcPr>
            <w:tcW w:w="2242" w:type="dxa"/>
            <w:vAlign w:val="center"/>
          </w:tcPr>
          <w:p w14:paraId="266F38F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酒泉市肃州区人民法院</w:t>
            </w:r>
          </w:p>
        </w:tc>
        <w:tc>
          <w:tcPr>
            <w:tcW w:w="1166" w:type="dxa"/>
            <w:vAlign w:val="center"/>
          </w:tcPr>
          <w:p w14:paraId="1B820FC5">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8A0EDF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402.00</w:t>
            </w:r>
          </w:p>
        </w:tc>
        <w:tc>
          <w:tcPr>
            <w:tcW w:w="1210" w:type="dxa"/>
            <w:vAlign w:val="center"/>
          </w:tcPr>
          <w:p w14:paraId="70D89D2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402.00</w:t>
            </w:r>
          </w:p>
        </w:tc>
        <w:tc>
          <w:tcPr>
            <w:tcW w:w="1199" w:type="dxa"/>
            <w:vAlign w:val="center"/>
          </w:tcPr>
          <w:p w14:paraId="6AE5218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402.00</w:t>
            </w:r>
          </w:p>
        </w:tc>
        <w:tc>
          <w:tcPr>
            <w:tcW w:w="1137" w:type="dxa"/>
            <w:vAlign w:val="center"/>
          </w:tcPr>
          <w:p w14:paraId="503B07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7387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3E0ED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48</w:t>
            </w:r>
          </w:p>
        </w:tc>
        <w:tc>
          <w:tcPr>
            <w:tcW w:w="2242" w:type="dxa"/>
            <w:vAlign w:val="center"/>
          </w:tcPr>
          <w:p w14:paraId="5E1B0C1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敦煌市人民法院</w:t>
            </w:r>
          </w:p>
        </w:tc>
        <w:tc>
          <w:tcPr>
            <w:tcW w:w="1166" w:type="dxa"/>
            <w:vAlign w:val="center"/>
          </w:tcPr>
          <w:p w14:paraId="5B27E5FA">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C5ED89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175.00</w:t>
            </w:r>
          </w:p>
        </w:tc>
        <w:tc>
          <w:tcPr>
            <w:tcW w:w="1210" w:type="dxa"/>
            <w:vAlign w:val="center"/>
          </w:tcPr>
          <w:p w14:paraId="04B04D8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175.00</w:t>
            </w:r>
          </w:p>
        </w:tc>
        <w:tc>
          <w:tcPr>
            <w:tcW w:w="1199" w:type="dxa"/>
            <w:vAlign w:val="center"/>
          </w:tcPr>
          <w:p w14:paraId="1A0803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175.00</w:t>
            </w:r>
          </w:p>
        </w:tc>
        <w:tc>
          <w:tcPr>
            <w:tcW w:w="1137" w:type="dxa"/>
            <w:vAlign w:val="center"/>
          </w:tcPr>
          <w:p w14:paraId="00C8B75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A12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BD2209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49</w:t>
            </w:r>
          </w:p>
        </w:tc>
        <w:tc>
          <w:tcPr>
            <w:tcW w:w="2242" w:type="dxa"/>
            <w:vAlign w:val="center"/>
          </w:tcPr>
          <w:p w14:paraId="2A4041D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瓜州县人民法院</w:t>
            </w:r>
          </w:p>
        </w:tc>
        <w:tc>
          <w:tcPr>
            <w:tcW w:w="1166" w:type="dxa"/>
            <w:vAlign w:val="center"/>
          </w:tcPr>
          <w:p w14:paraId="7CBF59F6">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80C1C7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108.00</w:t>
            </w:r>
          </w:p>
        </w:tc>
        <w:tc>
          <w:tcPr>
            <w:tcW w:w="1210" w:type="dxa"/>
            <w:vAlign w:val="center"/>
          </w:tcPr>
          <w:p w14:paraId="64AE87A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108.00</w:t>
            </w:r>
          </w:p>
        </w:tc>
        <w:tc>
          <w:tcPr>
            <w:tcW w:w="1199" w:type="dxa"/>
            <w:vAlign w:val="center"/>
          </w:tcPr>
          <w:p w14:paraId="527EB22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101.98</w:t>
            </w:r>
          </w:p>
        </w:tc>
        <w:tc>
          <w:tcPr>
            <w:tcW w:w="1137" w:type="dxa"/>
            <w:vAlign w:val="center"/>
          </w:tcPr>
          <w:p w14:paraId="268E1C3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94.43%</w:t>
            </w:r>
          </w:p>
        </w:tc>
      </w:tr>
      <w:tr w14:paraId="5EF2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B39E2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w:t>
            </w:r>
          </w:p>
        </w:tc>
        <w:tc>
          <w:tcPr>
            <w:tcW w:w="2242" w:type="dxa"/>
            <w:vAlign w:val="center"/>
          </w:tcPr>
          <w:p w14:paraId="539173B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甘肃省张掖市中级人民法院</w:t>
            </w:r>
          </w:p>
        </w:tc>
        <w:tc>
          <w:tcPr>
            <w:tcW w:w="1166" w:type="dxa"/>
            <w:vAlign w:val="center"/>
          </w:tcPr>
          <w:p w14:paraId="3A5F074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55.00</w:t>
            </w:r>
          </w:p>
        </w:tc>
        <w:tc>
          <w:tcPr>
            <w:tcW w:w="1188" w:type="dxa"/>
            <w:vAlign w:val="center"/>
          </w:tcPr>
          <w:p w14:paraId="45BA8C4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340.00</w:t>
            </w:r>
          </w:p>
        </w:tc>
        <w:tc>
          <w:tcPr>
            <w:tcW w:w="1210" w:type="dxa"/>
            <w:vAlign w:val="center"/>
          </w:tcPr>
          <w:p w14:paraId="6FA2419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395.00</w:t>
            </w:r>
          </w:p>
        </w:tc>
        <w:tc>
          <w:tcPr>
            <w:tcW w:w="1199" w:type="dxa"/>
            <w:vAlign w:val="center"/>
          </w:tcPr>
          <w:p w14:paraId="26F74E4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395.00</w:t>
            </w:r>
          </w:p>
        </w:tc>
        <w:tc>
          <w:tcPr>
            <w:tcW w:w="1137" w:type="dxa"/>
            <w:vAlign w:val="center"/>
          </w:tcPr>
          <w:p w14:paraId="0EFA275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456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473F6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51</w:t>
            </w:r>
          </w:p>
        </w:tc>
        <w:tc>
          <w:tcPr>
            <w:tcW w:w="2242" w:type="dxa"/>
            <w:vAlign w:val="center"/>
          </w:tcPr>
          <w:p w14:paraId="66A6CDC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张掖市甘州区人民法院</w:t>
            </w:r>
          </w:p>
        </w:tc>
        <w:tc>
          <w:tcPr>
            <w:tcW w:w="1166" w:type="dxa"/>
            <w:vAlign w:val="center"/>
          </w:tcPr>
          <w:p w14:paraId="0375BB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56.00</w:t>
            </w:r>
          </w:p>
        </w:tc>
        <w:tc>
          <w:tcPr>
            <w:tcW w:w="1188" w:type="dxa"/>
            <w:vAlign w:val="center"/>
          </w:tcPr>
          <w:p w14:paraId="6A97A59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840.00</w:t>
            </w:r>
          </w:p>
        </w:tc>
        <w:tc>
          <w:tcPr>
            <w:tcW w:w="1210" w:type="dxa"/>
            <w:vAlign w:val="center"/>
          </w:tcPr>
          <w:p w14:paraId="45A7F2D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896.00</w:t>
            </w:r>
          </w:p>
        </w:tc>
        <w:tc>
          <w:tcPr>
            <w:tcW w:w="1199" w:type="dxa"/>
            <w:vAlign w:val="center"/>
          </w:tcPr>
          <w:p w14:paraId="27AA948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896.00</w:t>
            </w:r>
          </w:p>
        </w:tc>
        <w:tc>
          <w:tcPr>
            <w:tcW w:w="1137" w:type="dxa"/>
            <w:vAlign w:val="center"/>
          </w:tcPr>
          <w:p w14:paraId="48FA96B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0163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1CF3C2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52</w:t>
            </w:r>
          </w:p>
        </w:tc>
        <w:tc>
          <w:tcPr>
            <w:tcW w:w="2242" w:type="dxa"/>
            <w:vAlign w:val="center"/>
          </w:tcPr>
          <w:p w14:paraId="318A1F6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高台县人民法院</w:t>
            </w:r>
          </w:p>
        </w:tc>
        <w:tc>
          <w:tcPr>
            <w:tcW w:w="1166" w:type="dxa"/>
            <w:vAlign w:val="center"/>
          </w:tcPr>
          <w:p w14:paraId="1B497DCE">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3EDB84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265.00</w:t>
            </w:r>
          </w:p>
        </w:tc>
        <w:tc>
          <w:tcPr>
            <w:tcW w:w="1210" w:type="dxa"/>
            <w:vAlign w:val="center"/>
          </w:tcPr>
          <w:p w14:paraId="2FA4A1E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265.00</w:t>
            </w:r>
          </w:p>
        </w:tc>
        <w:tc>
          <w:tcPr>
            <w:tcW w:w="1199" w:type="dxa"/>
            <w:vAlign w:val="center"/>
          </w:tcPr>
          <w:p w14:paraId="20171BD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264.64</w:t>
            </w:r>
          </w:p>
        </w:tc>
        <w:tc>
          <w:tcPr>
            <w:tcW w:w="1137" w:type="dxa"/>
            <w:vAlign w:val="center"/>
          </w:tcPr>
          <w:p w14:paraId="44B8843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99.86%</w:t>
            </w:r>
          </w:p>
        </w:tc>
      </w:tr>
      <w:tr w14:paraId="3FB50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96D29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w:t>
            </w:r>
          </w:p>
        </w:tc>
        <w:tc>
          <w:tcPr>
            <w:tcW w:w="2242" w:type="dxa"/>
            <w:vAlign w:val="center"/>
          </w:tcPr>
          <w:p w14:paraId="788AA5A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临泽县人民法院</w:t>
            </w:r>
          </w:p>
        </w:tc>
        <w:tc>
          <w:tcPr>
            <w:tcW w:w="1166" w:type="dxa"/>
            <w:vAlign w:val="center"/>
          </w:tcPr>
          <w:p w14:paraId="17463EA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0C4AFDE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210" w:type="dxa"/>
            <w:vAlign w:val="center"/>
          </w:tcPr>
          <w:p w14:paraId="372AE9F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199" w:type="dxa"/>
            <w:vAlign w:val="center"/>
          </w:tcPr>
          <w:p w14:paraId="2632D65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137" w:type="dxa"/>
            <w:vAlign w:val="center"/>
          </w:tcPr>
          <w:p w14:paraId="0002BC7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99A4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64364E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54</w:t>
            </w:r>
          </w:p>
        </w:tc>
        <w:tc>
          <w:tcPr>
            <w:tcW w:w="2242" w:type="dxa"/>
            <w:vAlign w:val="center"/>
          </w:tcPr>
          <w:p w14:paraId="05B7E89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山丹县人民法院</w:t>
            </w:r>
          </w:p>
        </w:tc>
        <w:tc>
          <w:tcPr>
            <w:tcW w:w="1166" w:type="dxa"/>
            <w:vAlign w:val="center"/>
          </w:tcPr>
          <w:p w14:paraId="4293107B">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F9146A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210" w:type="dxa"/>
            <w:vAlign w:val="center"/>
          </w:tcPr>
          <w:p w14:paraId="7558419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199" w:type="dxa"/>
            <w:vAlign w:val="center"/>
          </w:tcPr>
          <w:p w14:paraId="66BD629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137" w:type="dxa"/>
            <w:vAlign w:val="center"/>
          </w:tcPr>
          <w:p w14:paraId="7CF1D8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D792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F84BD7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55</w:t>
            </w:r>
          </w:p>
        </w:tc>
        <w:tc>
          <w:tcPr>
            <w:tcW w:w="2242" w:type="dxa"/>
            <w:vAlign w:val="center"/>
          </w:tcPr>
          <w:p w14:paraId="309D455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肃南裕固族自治县人民法院</w:t>
            </w:r>
          </w:p>
        </w:tc>
        <w:tc>
          <w:tcPr>
            <w:tcW w:w="1166" w:type="dxa"/>
            <w:vAlign w:val="center"/>
          </w:tcPr>
          <w:p w14:paraId="3227A119">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3ED238D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190.00</w:t>
            </w:r>
          </w:p>
        </w:tc>
        <w:tc>
          <w:tcPr>
            <w:tcW w:w="1210" w:type="dxa"/>
            <w:vAlign w:val="center"/>
          </w:tcPr>
          <w:p w14:paraId="1FE34E0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190.00</w:t>
            </w:r>
          </w:p>
        </w:tc>
        <w:tc>
          <w:tcPr>
            <w:tcW w:w="1199" w:type="dxa"/>
            <w:vAlign w:val="center"/>
          </w:tcPr>
          <w:p w14:paraId="70A3F6A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190.00</w:t>
            </w:r>
          </w:p>
        </w:tc>
        <w:tc>
          <w:tcPr>
            <w:tcW w:w="1137" w:type="dxa"/>
            <w:vAlign w:val="center"/>
          </w:tcPr>
          <w:p w14:paraId="48E8025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BA2B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BA22A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w:t>
            </w:r>
          </w:p>
        </w:tc>
        <w:tc>
          <w:tcPr>
            <w:tcW w:w="2242" w:type="dxa"/>
            <w:vAlign w:val="center"/>
          </w:tcPr>
          <w:p w14:paraId="1A35637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民乐县人民法院</w:t>
            </w:r>
          </w:p>
        </w:tc>
        <w:tc>
          <w:tcPr>
            <w:tcW w:w="1166" w:type="dxa"/>
            <w:vAlign w:val="center"/>
          </w:tcPr>
          <w:p w14:paraId="38F1725F">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68AD7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310.00</w:t>
            </w:r>
          </w:p>
        </w:tc>
        <w:tc>
          <w:tcPr>
            <w:tcW w:w="1210" w:type="dxa"/>
            <w:vAlign w:val="center"/>
          </w:tcPr>
          <w:p w14:paraId="314C0D1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310.00</w:t>
            </w:r>
          </w:p>
        </w:tc>
        <w:tc>
          <w:tcPr>
            <w:tcW w:w="1199" w:type="dxa"/>
            <w:vAlign w:val="center"/>
          </w:tcPr>
          <w:p w14:paraId="2ED6499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286.51</w:t>
            </w:r>
          </w:p>
        </w:tc>
        <w:tc>
          <w:tcPr>
            <w:tcW w:w="1137" w:type="dxa"/>
            <w:vAlign w:val="center"/>
          </w:tcPr>
          <w:p w14:paraId="36307DC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92.42%</w:t>
            </w:r>
          </w:p>
        </w:tc>
      </w:tr>
      <w:tr w14:paraId="3F8F4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8AEA8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57</w:t>
            </w:r>
          </w:p>
        </w:tc>
        <w:tc>
          <w:tcPr>
            <w:tcW w:w="2242" w:type="dxa"/>
            <w:vAlign w:val="center"/>
          </w:tcPr>
          <w:p w14:paraId="0A0A4D6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武威市中级人民法院</w:t>
            </w:r>
          </w:p>
        </w:tc>
        <w:tc>
          <w:tcPr>
            <w:tcW w:w="1166" w:type="dxa"/>
            <w:vAlign w:val="center"/>
          </w:tcPr>
          <w:p w14:paraId="5E76DDC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35.77</w:t>
            </w:r>
          </w:p>
        </w:tc>
        <w:tc>
          <w:tcPr>
            <w:tcW w:w="1188" w:type="dxa"/>
            <w:vAlign w:val="center"/>
          </w:tcPr>
          <w:p w14:paraId="0ADBAFB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335.00</w:t>
            </w:r>
          </w:p>
        </w:tc>
        <w:tc>
          <w:tcPr>
            <w:tcW w:w="1210" w:type="dxa"/>
            <w:vAlign w:val="center"/>
          </w:tcPr>
          <w:p w14:paraId="61AA30B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370.77</w:t>
            </w:r>
          </w:p>
        </w:tc>
        <w:tc>
          <w:tcPr>
            <w:tcW w:w="1199" w:type="dxa"/>
            <w:vAlign w:val="center"/>
          </w:tcPr>
          <w:p w14:paraId="77095B2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370.77</w:t>
            </w:r>
          </w:p>
        </w:tc>
        <w:tc>
          <w:tcPr>
            <w:tcW w:w="1137" w:type="dxa"/>
            <w:vAlign w:val="center"/>
          </w:tcPr>
          <w:p w14:paraId="13892E0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844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30E51C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58</w:t>
            </w:r>
          </w:p>
        </w:tc>
        <w:tc>
          <w:tcPr>
            <w:tcW w:w="2242" w:type="dxa"/>
            <w:vAlign w:val="center"/>
          </w:tcPr>
          <w:p w14:paraId="16F6258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凉州区人民法院</w:t>
            </w:r>
          </w:p>
        </w:tc>
        <w:tc>
          <w:tcPr>
            <w:tcW w:w="1166" w:type="dxa"/>
            <w:vAlign w:val="center"/>
          </w:tcPr>
          <w:p w14:paraId="6C42968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41.90</w:t>
            </w:r>
          </w:p>
        </w:tc>
        <w:tc>
          <w:tcPr>
            <w:tcW w:w="1188" w:type="dxa"/>
            <w:vAlign w:val="center"/>
          </w:tcPr>
          <w:p w14:paraId="4C6B9B6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660.00</w:t>
            </w:r>
          </w:p>
        </w:tc>
        <w:tc>
          <w:tcPr>
            <w:tcW w:w="1210" w:type="dxa"/>
            <w:vAlign w:val="center"/>
          </w:tcPr>
          <w:p w14:paraId="518BABF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701.90</w:t>
            </w:r>
          </w:p>
        </w:tc>
        <w:tc>
          <w:tcPr>
            <w:tcW w:w="1199" w:type="dxa"/>
            <w:vAlign w:val="center"/>
          </w:tcPr>
          <w:p w14:paraId="469FABE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701.90</w:t>
            </w:r>
          </w:p>
        </w:tc>
        <w:tc>
          <w:tcPr>
            <w:tcW w:w="1137" w:type="dxa"/>
            <w:vAlign w:val="center"/>
          </w:tcPr>
          <w:p w14:paraId="255988B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2E98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2C0152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59</w:t>
            </w:r>
          </w:p>
        </w:tc>
        <w:tc>
          <w:tcPr>
            <w:tcW w:w="2242" w:type="dxa"/>
            <w:vAlign w:val="center"/>
          </w:tcPr>
          <w:p w14:paraId="5DD2D6D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民勤县人民法院</w:t>
            </w:r>
          </w:p>
        </w:tc>
        <w:tc>
          <w:tcPr>
            <w:tcW w:w="1166" w:type="dxa"/>
            <w:vAlign w:val="center"/>
          </w:tcPr>
          <w:p w14:paraId="6C33BB2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50.30</w:t>
            </w:r>
          </w:p>
        </w:tc>
        <w:tc>
          <w:tcPr>
            <w:tcW w:w="1188" w:type="dxa"/>
            <w:vAlign w:val="center"/>
          </w:tcPr>
          <w:p w14:paraId="5DC3BD0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w:t>
            </w:r>
          </w:p>
        </w:tc>
        <w:tc>
          <w:tcPr>
            <w:tcW w:w="1210" w:type="dxa"/>
            <w:vAlign w:val="center"/>
          </w:tcPr>
          <w:p w14:paraId="750CFEA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230.30</w:t>
            </w:r>
          </w:p>
        </w:tc>
        <w:tc>
          <w:tcPr>
            <w:tcW w:w="1199" w:type="dxa"/>
            <w:vAlign w:val="center"/>
          </w:tcPr>
          <w:p w14:paraId="1D96E06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220.58</w:t>
            </w:r>
          </w:p>
        </w:tc>
        <w:tc>
          <w:tcPr>
            <w:tcW w:w="1137" w:type="dxa"/>
            <w:vAlign w:val="center"/>
          </w:tcPr>
          <w:p w14:paraId="0E3FFD1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95.78%</w:t>
            </w:r>
          </w:p>
        </w:tc>
      </w:tr>
      <w:tr w14:paraId="71779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8FC4C6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w:t>
            </w:r>
          </w:p>
        </w:tc>
        <w:tc>
          <w:tcPr>
            <w:tcW w:w="2242" w:type="dxa"/>
            <w:vAlign w:val="center"/>
          </w:tcPr>
          <w:p w14:paraId="754D0AA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古浪县人民法院</w:t>
            </w:r>
          </w:p>
        </w:tc>
        <w:tc>
          <w:tcPr>
            <w:tcW w:w="1166" w:type="dxa"/>
            <w:vAlign w:val="center"/>
          </w:tcPr>
          <w:p w14:paraId="2703628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3C29E2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135.00</w:t>
            </w:r>
          </w:p>
        </w:tc>
        <w:tc>
          <w:tcPr>
            <w:tcW w:w="1210" w:type="dxa"/>
            <w:vAlign w:val="center"/>
          </w:tcPr>
          <w:p w14:paraId="284F713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135.00</w:t>
            </w:r>
          </w:p>
        </w:tc>
        <w:tc>
          <w:tcPr>
            <w:tcW w:w="1199" w:type="dxa"/>
            <w:vAlign w:val="center"/>
          </w:tcPr>
          <w:p w14:paraId="1BFE6B1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135.00</w:t>
            </w:r>
          </w:p>
        </w:tc>
        <w:tc>
          <w:tcPr>
            <w:tcW w:w="1137" w:type="dxa"/>
            <w:vAlign w:val="center"/>
          </w:tcPr>
          <w:p w14:paraId="37C47D5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F21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59155C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61</w:t>
            </w:r>
          </w:p>
        </w:tc>
        <w:tc>
          <w:tcPr>
            <w:tcW w:w="2242" w:type="dxa"/>
            <w:vAlign w:val="center"/>
          </w:tcPr>
          <w:p w14:paraId="76638E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天祝藏族自治县人民法院</w:t>
            </w:r>
          </w:p>
        </w:tc>
        <w:tc>
          <w:tcPr>
            <w:tcW w:w="1166" w:type="dxa"/>
            <w:vAlign w:val="center"/>
          </w:tcPr>
          <w:p w14:paraId="54755DD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00E69F4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143.00</w:t>
            </w:r>
          </w:p>
        </w:tc>
        <w:tc>
          <w:tcPr>
            <w:tcW w:w="1210" w:type="dxa"/>
            <w:vAlign w:val="center"/>
          </w:tcPr>
          <w:p w14:paraId="3A314BB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143.00</w:t>
            </w:r>
          </w:p>
        </w:tc>
        <w:tc>
          <w:tcPr>
            <w:tcW w:w="1199" w:type="dxa"/>
            <w:vAlign w:val="center"/>
          </w:tcPr>
          <w:p w14:paraId="62C0C97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138.81</w:t>
            </w:r>
          </w:p>
        </w:tc>
        <w:tc>
          <w:tcPr>
            <w:tcW w:w="1137" w:type="dxa"/>
            <w:vAlign w:val="center"/>
          </w:tcPr>
          <w:p w14:paraId="04D9AA2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97.07%</w:t>
            </w:r>
          </w:p>
        </w:tc>
      </w:tr>
      <w:tr w14:paraId="5852E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1136A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w:t>
            </w:r>
          </w:p>
        </w:tc>
        <w:tc>
          <w:tcPr>
            <w:tcW w:w="2242" w:type="dxa"/>
            <w:vAlign w:val="center"/>
          </w:tcPr>
          <w:p w14:paraId="2B24F7A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甘肃省定西市中级人民法院</w:t>
            </w:r>
          </w:p>
        </w:tc>
        <w:tc>
          <w:tcPr>
            <w:tcW w:w="1166" w:type="dxa"/>
            <w:vAlign w:val="center"/>
          </w:tcPr>
          <w:p w14:paraId="5B79D94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0.05</w:t>
            </w:r>
          </w:p>
        </w:tc>
        <w:tc>
          <w:tcPr>
            <w:tcW w:w="1188" w:type="dxa"/>
            <w:vAlign w:val="center"/>
          </w:tcPr>
          <w:p w14:paraId="6ADC1B3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355.00</w:t>
            </w:r>
          </w:p>
        </w:tc>
        <w:tc>
          <w:tcPr>
            <w:tcW w:w="1210" w:type="dxa"/>
            <w:vAlign w:val="center"/>
          </w:tcPr>
          <w:p w14:paraId="4C29FF7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355.05</w:t>
            </w:r>
          </w:p>
        </w:tc>
        <w:tc>
          <w:tcPr>
            <w:tcW w:w="1199" w:type="dxa"/>
            <w:vAlign w:val="center"/>
          </w:tcPr>
          <w:p w14:paraId="564F80D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355.05</w:t>
            </w:r>
          </w:p>
        </w:tc>
        <w:tc>
          <w:tcPr>
            <w:tcW w:w="1137" w:type="dxa"/>
            <w:vAlign w:val="center"/>
          </w:tcPr>
          <w:p w14:paraId="60C5618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3079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B4718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63</w:t>
            </w:r>
          </w:p>
        </w:tc>
        <w:tc>
          <w:tcPr>
            <w:tcW w:w="2242" w:type="dxa"/>
            <w:vAlign w:val="center"/>
          </w:tcPr>
          <w:p w14:paraId="4EC4460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安定区人民法院</w:t>
            </w:r>
          </w:p>
        </w:tc>
        <w:tc>
          <w:tcPr>
            <w:tcW w:w="1166" w:type="dxa"/>
            <w:vAlign w:val="center"/>
          </w:tcPr>
          <w:p w14:paraId="06F8A98A">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EACFB0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210" w:type="dxa"/>
            <w:vAlign w:val="center"/>
          </w:tcPr>
          <w:p w14:paraId="23AC3D2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199" w:type="dxa"/>
            <w:vAlign w:val="center"/>
          </w:tcPr>
          <w:p w14:paraId="1CD9397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280.00</w:t>
            </w:r>
          </w:p>
        </w:tc>
        <w:tc>
          <w:tcPr>
            <w:tcW w:w="1137" w:type="dxa"/>
            <w:vAlign w:val="center"/>
          </w:tcPr>
          <w:p w14:paraId="38B07FC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B3D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62A34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64</w:t>
            </w:r>
          </w:p>
        </w:tc>
        <w:tc>
          <w:tcPr>
            <w:tcW w:w="2242" w:type="dxa"/>
            <w:vAlign w:val="center"/>
          </w:tcPr>
          <w:p w14:paraId="29BB95F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通渭县人民法院</w:t>
            </w:r>
          </w:p>
        </w:tc>
        <w:tc>
          <w:tcPr>
            <w:tcW w:w="1166" w:type="dxa"/>
            <w:vAlign w:val="center"/>
          </w:tcPr>
          <w:p w14:paraId="36E70797">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0701445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210" w:type="dxa"/>
            <w:vAlign w:val="center"/>
          </w:tcPr>
          <w:p w14:paraId="337E483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199" w:type="dxa"/>
            <w:vAlign w:val="center"/>
          </w:tcPr>
          <w:p w14:paraId="2D69E81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200.00</w:t>
            </w:r>
          </w:p>
        </w:tc>
        <w:tc>
          <w:tcPr>
            <w:tcW w:w="1137" w:type="dxa"/>
            <w:vAlign w:val="center"/>
          </w:tcPr>
          <w:p w14:paraId="3442C15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6DA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4599CA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65</w:t>
            </w:r>
          </w:p>
        </w:tc>
        <w:tc>
          <w:tcPr>
            <w:tcW w:w="2242" w:type="dxa"/>
            <w:vAlign w:val="center"/>
          </w:tcPr>
          <w:p w14:paraId="5FBD222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陇西县人民法院</w:t>
            </w:r>
          </w:p>
        </w:tc>
        <w:tc>
          <w:tcPr>
            <w:tcW w:w="1166" w:type="dxa"/>
            <w:vAlign w:val="center"/>
          </w:tcPr>
          <w:p w14:paraId="0596A5B6">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CB914A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285.00</w:t>
            </w:r>
          </w:p>
        </w:tc>
        <w:tc>
          <w:tcPr>
            <w:tcW w:w="1210" w:type="dxa"/>
            <w:vAlign w:val="center"/>
          </w:tcPr>
          <w:p w14:paraId="336949E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285.00</w:t>
            </w:r>
          </w:p>
        </w:tc>
        <w:tc>
          <w:tcPr>
            <w:tcW w:w="1199" w:type="dxa"/>
            <w:vAlign w:val="center"/>
          </w:tcPr>
          <w:p w14:paraId="2F72445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285.00</w:t>
            </w:r>
          </w:p>
        </w:tc>
        <w:tc>
          <w:tcPr>
            <w:tcW w:w="1137" w:type="dxa"/>
            <w:vAlign w:val="center"/>
          </w:tcPr>
          <w:p w14:paraId="0AF70DA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089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58A7A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66</w:t>
            </w:r>
          </w:p>
        </w:tc>
        <w:tc>
          <w:tcPr>
            <w:tcW w:w="2242" w:type="dxa"/>
            <w:vAlign w:val="center"/>
          </w:tcPr>
          <w:p w14:paraId="66CE424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渭源县人民法院</w:t>
            </w:r>
          </w:p>
        </w:tc>
        <w:tc>
          <w:tcPr>
            <w:tcW w:w="1166" w:type="dxa"/>
            <w:vAlign w:val="center"/>
          </w:tcPr>
          <w:p w14:paraId="77F41A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20.63</w:t>
            </w:r>
          </w:p>
        </w:tc>
        <w:tc>
          <w:tcPr>
            <w:tcW w:w="1188" w:type="dxa"/>
            <w:vAlign w:val="center"/>
          </w:tcPr>
          <w:p w14:paraId="49B6D21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205.00</w:t>
            </w:r>
          </w:p>
        </w:tc>
        <w:tc>
          <w:tcPr>
            <w:tcW w:w="1210" w:type="dxa"/>
            <w:vAlign w:val="center"/>
          </w:tcPr>
          <w:p w14:paraId="7C06803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225.63</w:t>
            </w:r>
          </w:p>
        </w:tc>
        <w:tc>
          <w:tcPr>
            <w:tcW w:w="1199" w:type="dxa"/>
            <w:vAlign w:val="center"/>
          </w:tcPr>
          <w:p w14:paraId="45D0DAE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225.63</w:t>
            </w:r>
          </w:p>
        </w:tc>
        <w:tc>
          <w:tcPr>
            <w:tcW w:w="1137" w:type="dxa"/>
            <w:vAlign w:val="center"/>
          </w:tcPr>
          <w:p w14:paraId="4EBBBA5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44E2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F3DEFF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67</w:t>
            </w:r>
          </w:p>
        </w:tc>
        <w:tc>
          <w:tcPr>
            <w:tcW w:w="2242" w:type="dxa"/>
            <w:vAlign w:val="center"/>
          </w:tcPr>
          <w:p w14:paraId="6C35EBF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临洮县人民法院</w:t>
            </w:r>
          </w:p>
        </w:tc>
        <w:tc>
          <w:tcPr>
            <w:tcW w:w="1166" w:type="dxa"/>
            <w:vAlign w:val="center"/>
          </w:tcPr>
          <w:p w14:paraId="4F48E1F6">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C673BF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210" w:type="dxa"/>
            <w:vAlign w:val="center"/>
          </w:tcPr>
          <w:p w14:paraId="1254219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199" w:type="dxa"/>
            <w:vAlign w:val="center"/>
          </w:tcPr>
          <w:p w14:paraId="60BD5B3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225.00</w:t>
            </w:r>
          </w:p>
        </w:tc>
        <w:tc>
          <w:tcPr>
            <w:tcW w:w="1137" w:type="dxa"/>
            <w:vAlign w:val="center"/>
          </w:tcPr>
          <w:p w14:paraId="5524C33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A0D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31851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68</w:t>
            </w:r>
          </w:p>
        </w:tc>
        <w:tc>
          <w:tcPr>
            <w:tcW w:w="2242" w:type="dxa"/>
            <w:vAlign w:val="center"/>
          </w:tcPr>
          <w:p w14:paraId="57F0861C">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漳县人民法院</w:t>
            </w:r>
          </w:p>
        </w:tc>
        <w:tc>
          <w:tcPr>
            <w:tcW w:w="1166" w:type="dxa"/>
            <w:vAlign w:val="center"/>
          </w:tcPr>
          <w:p w14:paraId="2EAA57C0">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1AB8B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210" w:type="dxa"/>
            <w:vAlign w:val="center"/>
          </w:tcPr>
          <w:p w14:paraId="552F57A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199" w:type="dxa"/>
            <w:vAlign w:val="center"/>
          </w:tcPr>
          <w:p w14:paraId="5E0B9BA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137" w:type="dxa"/>
            <w:vAlign w:val="center"/>
          </w:tcPr>
          <w:p w14:paraId="666381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EDA7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1C9428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69</w:t>
            </w:r>
          </w:p>
        </w:tc>
        <w:tc>
          <w:tcPr>
            <w:tcW w:w="2242" w:type="dxa"/>
            <w:vAlign w:val="center"/>
          </w:tcPr>
          <w:p w14:paraId="1B6FBF8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岷县人民法院</w:t>
            </w:r>
          </w:p>
        </w:tc>
        <w:tc>
          <w:tcPr>
            <w:tcW w:w="1166" w:type="dxa"/>
            <w:vAlign w:val="center"/>
          </w:tcPr>
          <w:p w14:paraId="76164AC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6.19</w:t>
            </w:r>
          </w:p>
        </w:tc>
        <w:tc>
          <w:tcPr>
            <w:tcW w:w="1188" w:type="dxa"/>
            <w:vAlign w:val="center"/>
          </w:tcPr>
          <w:p w14:paraId="79578F4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196.00</w:t>
            </w:r>
          </w:p>
        </w:tc>
        <w:tc>
          <w:tcPr>
            <w:tcW w:w="1210" w:type="dxa"/>
            <w:vAlign w:val="center"/>
          </w:tcPr>
          <w:p w14:paraId="23FBB8B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202.19</w:t>
            </w:r>
          </w:p>
        </w:tc>
        <w:tc>
          <w:tcPr>
            <w:tcW w:w="1199" w:type="dxa"/>
            <w:vAlign w:val="center"/>
          </w:tcPr>
          <w:p w14:paraId="0671B6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202.19</w:t>
            </w:r>
          </w:p>
        </w:tc>
        <w:tc>
          <w:tcPr>
            <w:tcW w:w="1137" w:type="dxa"/>
            <w:vAlign w:val="center"/>
          </w:tcPr>
          <w:p w14:paraId="27A8384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3CB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03D38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w:t>
            </w:r>
          </w:p>
        </w:tc>
        <w:tc>
          <w:tcPr>
            <w:tcW w:w="2242" w:type="dxa"/>
            <w:vAlign w:val="center"/>
          </w:tcPr>
          <w:p w14:paraId="6F57BF0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甘肃省陇南市中级人民法院</w:t>
            </w:r>
          </w:p>
        </w:tc>
        <w:tc>
          <w:tcPr>
            <w:tcW w:w="1166" w:type="dxa"/>
            <w:vAlign w:val="center"/>
          </w:tcPr>
          <w:p w14:paraId="70B25E4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24.43</w:t>
            </w:r>
          </w:p>
        </w:tc>
        <w:tc>
          <w:tcPr>
            <w:tcW w:w="1188" w:type="dxa"/>
            <w:vAlign w:val="center"/>
          </w:tcPr>
          <w:p w14:paraId="00B1539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370.00</w:t>
            </w:r>
          </w:p>
        </w:tc>
        <w:tc>
          <w:tcPr>
            <w:tcW w:w="1210" w:type="dxa"/>
            <w:vAlign w:val="center"/>
          </w:tcPr>
          <w:p w14:paraId="26F26CB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394.43</w:t>
            </w:r>
          </w:p>
        </w:tc>
        <w:tc>
          <w:tcPr>
            <w:tcW w:w="1199" w:type="dxa"/>
            <w:vAlign w:val="center"/>
          </w:tcPr>
          <w:p w14:paraId="100EC5C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374.43</w:t>
            </w:r>
          </w:p>
        </w:tc>
        <w:tc>
          <w:tcPr>
            <w:tcW w:w="1137" w:type="dxa"/>
            <w:vAlign w:val="center"/>
          </w:tcPr>
          <w:p w14:paraId="115D19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94.93%</w:t>
            </w:r>
          </w:p>
        </w:tc>
      </w:tr>
      <w:tr w14:paraId="7263F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9491A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71</w:t>
            </w:r>
          </w:p>
        </w:tc>
        <w:tc>
          <w:tcPr>
            <w:tcW w:w="2242" w:type="dxa"/>
            <w:vAlign w:val="center"/>
          </w:tcPr>
          <w:p w14:paraId="0DFEB1B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徽县人民法院</w:t>
            </w:r>
          </w:p>
        </w:tc>
        <w:tc>
          <w:tcPr>
            <w:tcW w:w="1166" w:type="dxa"/>
            <w:vAlign w:val="center"/>
          </w:tcPr>
          <w:p w14:paraId="0E194E7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56.95</w:t>
            </w:r>
          </w:p>
        </w:tc>
        <w:tc>
          <w:tcPr>
            <w:tcW w:w="1188" w:type="dxa"/>
            <w:vAlign w:val="center"/>
          </w:tcPr>
          <w:p w14:paraId="10DF275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195.00</w:t>
            </w:r>
          </w:p>
        </w:tc>
        <w:tc>
          <w:tcPr>
            <w:tcW w:w="1210" w:type="dxa"/>
            <w:vAlign w:val="center"/>
          </w:tcPr>
          <w:p w14:paraId="5E5810C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251.95</w:t>
            </w:r>
          </w:p>
        </w:tc>
        <w:tc>
          <w:tcPr>
            <w:tcW w:w="1199" w:type="dxa"/>
            <w:vAlign w:val="center"/>
          </w:tcPr>
          <w:p w14:paraId="4E66EB0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242.70</w:t>
            </w:r>
          </w:p>
        </w:tc>
        <w:tc>
          <w:tcPr>
            <w:tcW w:w="1137" w:type="dxa"/>
            <w:vAlign w:val="center"/>
          </w:tcPr>
          <w:p w14:paraId="3626E25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96.33%</w:t>
            </w:r>
          </w:p>
        </w:tc>
      </w:tr>
      <w:tr w14:paraId="42B34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9C1F44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72</w:t>
            </w:r>
          </w:p>
        </w:tc>
        <w:tc>
          <w:tcPr>
            <w:tcW w:w="2242" w:type="dxa"/>
            <w:vAlign w:val="center"/>
          </w:tcPr>
          <w:p w14:paraId="7D9FDF7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成县人民法院</w:t>
            </w:r>
          </w:p>
        </w:tc>
        <w:tc>
          <w:tcPr>
            <w:tcW w:w="1166" w:type="dxa"/>
            <w:vAlign w:val="center"/>
          </w:tcPr>
          <w:p w14:paraId="1F049BF2">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A75C76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210" w:type="dxa"/>
            <w:vAlign w:val="center"/>
          </w:tcPr>
          <w:p w14:paraId="52036E4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199" w:type="dxa"/>
            <w:vAlign w:val="center"/>
          </w:tcPr>
          <w:p w14:paraId="470594A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167.00</w:t>
            </w:r>
          </w:p>
        </w:tc>
        <w:tc>
          <w:tcPr>
            <w:tcW w:w="1137" w:type="dxa"/>
            <w:vAlign w:val="center"/>
          </w:tcPr>
          <w:p w14:paraId="036617A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90.27%</w:t>
            </w:r>
          </w:p>
        </w:tc>
      </w:tr>
      <w:tr w14:paraId="49084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4F84A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73</w:t>
            </w:r>
          </w:p>
        </w:tc>
        <w:tc>
          <w:tcPr>
            <w:tcW w:w="2242" w:type="dxa"/>
            <w:vAlign w:val="center"/>
          </w:tcPr>
          <w:p w14:paraId="4CA7906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康县人民法院</w:t>
            </w:r>
          </w:p>
        </w:tc>
        <w:tc>
          <w:tcPr>
            <w:tcW w:w="1166" w:type="dxa"/>
            <w:vAlign w:val="center"/>
          </w:tcPr>
          <w:p w14:paraId="47879D65">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2E871B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165.00</w:t>
            </w:r>
          </w:p>
        </w:tc>
        <w:tc>
          <w:tcPr>
            <w:tcW w:w="1210" w:type="dxa"/>
            <w:vAlign w:val="center"/>
          </w:tcPr>
          <w:p w14:paraId="7969341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165.00</w:t>
            </w:r>
          </w:p>
        </w:tc>
        <w:tc>
          <w:tcPr>
            <w:tcW w:w="1199" w:type="dxa"/>
            <w:vAlign w:val="center"/>
          </w:tcPr>
          <w:p w14:paraId="6A0CDD1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165.00</w:t>
            </w:r>
          </w:p>
        </w:tc>
        <w:tc>
          <w:tcPr>
            <w:tcW w:w="1137" w:type="dxa"/>
            <w:vAlign w:val="center"/>
          </w:tcPr>
          <w:p w14:paraId="1C13772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21B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1C373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74</w:t>
            </w:r>
          </w:p>
        </w:tc>
        <w:tc>
          <w:tcPr>
            <w:tcW w:w="2242" w:type="dxa"/>
            <w:vAlign w:val="center"/>
          </w:tcPr>
          <w:p w14:paraId="2F66D2D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礼县人民法院</w:t>
            </w:r>
          </w:p>
        </w:tc>
        <w:tc>
          <w:tcPr>
            <w:tcW w:w="1166" w:type="dxa"/>
            <w:vAlign w:val="center"/>
          </w:tcPr>
          <w:p w14:paraId="40AB7C8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2.44</w:t>
            </w:r>
          </w:p>
        </w:tc>
        <w:tc>
          <w:tcPr>
            <w:tcW w:w="1188" w:type="dxa"/>
            <w:vAlign w:val="center"/>
          </w:tcPr>
          <w:p w14:paraId="489607E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210" w:type="dxa"/>
            <w:vAlign w:val="center"/>
          </w:tcPr>
          <w:p w14:paraId="219DB98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122.44</w:t>
            </w:r>
          </w:p>
        </w:tc>
        <w:tc>
          <w:tcPr>
            <w:tcW w:w="1199" w:type="dxa"/>
            <w:vAlign w:val="center"/>
          </w:tcPr>
          <w:p w14:paraId="6DCB0EB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122.44</w:t>
            </w:r>
          </w:p>
        </w:tc>
        <w:tc>
          <w:tcPr>
            <w:tcW w:w="1137" w:type="dxa"/>
            <w:vAlign w:val="center"/>
          </w:tcPr>
          <w:p w14:paraId="21BE9DE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AABC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EDB373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75</w:t>
            </w:r>
          </w:p>
        </w:tc>
        <w:tc>
          <w:tcPr>
            <w:tcW w:w="2242" w:type="dxa"/>
            <w:vAlign w:val="center"/>
          </w:tcPr>
          <w:p w14:paraId="3BA7568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文县人民法院</w:t>
            </w:r>
          </w:p>
        </w:tc>
        <w:tc>
          <w:tcPr>
            <w:tcW w:w="1166" w:type="dxa"/>
            <w:vAlign w:val="center"/>
          </w:tcPr>
          <w:p w14:paraId="284EF47E">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FB5D1A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140356B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99" w:type="dxa"/>
            <w:vAlign w:val="center"/>
          </w:tcPr>
          <w:p w14:paraId="3186701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154.50</w:t>
            </w:r>
          </w:p>
        </w:tc>
        <w:tc>
          <w:tcPr>
            <w:tcW w:w="1137" w:type="dxa"/>
            <w:vAlign w:val="center"/>
          </w:tcPr>
          <w:p w14:paraId="708A66E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99.68%</w:t>
            </w:r>
          </w:p>
        </w:tc>
      </w:tr>
      <w:tr w14:paraId="4E5CD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9446EE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76</w:t>
            </w:r>
          </w:p>
        </w:tc>
        <w:tc>
          <w:tcPr>
            <w:tcW w:w="2242" w:type="dxa"/>
            <w:vAlign w:val="center"/>
          </w:tcPr>
          <w:p w14:paraId="7AA4073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陇南市武都区人民法院</w:t>
            </w:r>
          </w:p>
        </w:tc>
        <w:tc>
          <w:tcPr>
            <w:tcW w:w="1166" w:type="dxa"/>
            <w:vAlign w:val="center"/>
          </w:tcPr>
          <w:p w14:paraId="6D7399A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11.33</w:t>
            </w:r>
          </w:p>
        </w:tc>
        <w:tc>
          <w:tcPr>
            <w:tcW w:w="1188" w:type="dxa"/>
            <w:vAlign w:val="center"/>
          </w:tcPr>
          <w:p w14:paraId="2A1557C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215.00</w:t>
            </w:r>
          </w:p>
        </w:tc>
        <w:tc>
          <w:tcPr>
            <w:tcW w:w="1210" w:type="dxa"/>
            <w:vAlign w:val="center"/>
          </w:tcPr>
          <w:p w14:paraId="4A84D26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226.33</w:t>
            </w:r>
          </w:p>
        </w:tc>
        <w:tc>
          <w:tcPr>
            <w:tcW w:w="1199" w:type="dxa"/>
            <w:vAlign w:val="center"/>
          </w:tcPr>
          <w:p w14:paraId="764E570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210.30</w:t>
            </w:r>
          </w:p>
        </w:tc>
        <w:tc>
          <w:tcPr>
            <w:tcW w:w="1137" w:type="dxa"/>
            <w:vAlign w:val="center"/>
          </w:tcPr>
          <w:p w14:paraId="5A67921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92.92%</w:t>
            </w:r>
          </w:p>
        </w:tc>
      </w:tr>
      <w:tr w14:paraId="5230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4B37E9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77</w:t>
            </w:r>
          </w:p>
        </w:tc>
        <w:tc>
          <w:tcPr>
            <w:tcW w:w="2242" w:type="dxa"/>
            <w:vAlign w:val="center"/>
          </w:tcPr>
          <w:p w14:paraId="11EE4CE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宕昌县人民法院</w:t>
            </w:r>
          </w:p>
        </w:tc>
        <w:tc>
          <w:tcPr>
            <w:tcW w:w="1166" w:type="dxa"/>
            <w:vAlign w:val="center"/>
          </w:tcPr>
          <w:p w14:paraId="3BF6B80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76.46</w:t>
            </w:r>
          </w:p>
        </w:tc>
        <w:tc>
          <w:tcPr>
            <w:tcW w:w="1188" w:type="dxa"/>
            <w:vAlign w:val="center"/>
          </w:tcPr>
          <w:p w14:paraId="728D674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210" w:type="dxa"/>
            <w:vAlign w:val="center"/>
          </w:tcPr>
          <w:p w14:paraId="5B06663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186.46</w:t>
            </w:r>
          </w:p>
        </w:tc>
        <w:tc>
          <w:tcPr>
            <w:tcW w:w="1199" w:type="dxa"/>
            <w:vAlign w:val="center"/>
          </w:tcPr>
          <w:p w14:paraId="01CB0BA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186.46</w:t>
            </w:r>
          </w:p>
        </w:tc>
        <w:tc>
          <w:tcPr>
            <w:tcW w:w="1137" w:type="dxa"/>
            <w:vAlign w:val="center"/>
          </w:tcPr>
          <w:p w14:paraId="71FB7A4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AFD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DA30A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78</w:t>
            </w:r>
          </w:p>
        </w:tc>
        <w:tc>
          <w:tcPr>
            <w:tcW w:w="2242" w:type="dxa"/>
            <w:vAlign w:val="center"/>
          </w:tcPr>
          <w:p w14:paraId="6297125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西和县人民法院</w:t>
            </w:r>
          </w:p>
        </w:tc>
        <w:tc>
          <w:tcPr>
            <w:tcW w:w="1166" w:type="dxa"/>
            <w:vAlign w:val="center"/>
          </w:tcPr>
          <w:p w14:paraId="3C30D606">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7DAC69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210" w:type="dxa"/>
            <w:vAlign w:val="center"/>
          </w:tcPr>
          <w:p w14:paraId="0B8487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99" w:type="dxa"/>
            <w:vAlign w:val="center"/>
          </w:tcPr>
          <w:p w14:paraId="4F6FE7C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37" w:type="dxa"/>
            <w:vAlign w:val="center"/>
          </w:tcPr>
          <w:p w14:paraId="27A03F5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B16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4D1D6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79</w:t>
            </w:r>
          </w:p>
        </w:tc>
        <w:tc>
          <w:tcPr>
            <w:tcW w:w="2242" w:type="dxa"/>
            <w:vAlign w:val="center"/>
          </w:tcPr>
          <w:p w14:paraId="2A23C12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两当县人民法院</w:t>
            </w:r>
          </w:p>
        </w:tc>
        <w:tc>
          <w:tcPr>
            <w:tcW w:w="1166" w:type="dxa"/>
            <w:vAlign w:val="center"/>
          </w:tcPr>
          <w:p w14:paraId="6FFF547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13.70</w:t>
            </w:r>
          </w:p>
        </w:tc>
        <w:tc>
          <w:tcPr>
            <w:tcW w:w="1188" w:type="dxa"/>
            <w:vAlign w:val="center"/>
          </w:tcPr>
          <w:p w14:paraId="7CBC284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80.00</w:t>
            </w:r>
          </w:p>
        </w:tc>
        <w:tc>
          <w:tcPr>
            <w:tcW w:w="1210" w:type="dxa"/>
            <w:vAlign w:val="center"/>
          </w:tcPr>
          <w:p w14:paraId="37DCDE8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93.70</w:t>
            </w:r>
          </w:p>
        </w:tc>
        <w:tc>
          <w:tcPr>
            <w:tcW w:w="1199" w:type="dxa"/>
            <w:vAlign w:val="center"/>
          </w:tcPr>
          <w:p w14:paraId="1FEDC48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66.13</w:t>
            </w:r>
          </w:p>
        </w:tc>
        <w:tc>
          <w:tcPr>
            <w:tcW w:w="1137" w:type="dxa"/>
            <w:vAlign w:val="center"/>
          </w:tcPr>
          <w:p w14:paraId="2434D86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70.58%</w:t>
            </w:r>
          </w:p>
        </w:tc>
      </w:tr>
      <w:tr w14:paraId="72717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61632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80</w:t>
            </w:r>
          </w:p>
        </w:tc>
        <w:tc>
          <w:tcPr>
            <w:tcW w:w="2242" w:type="dxa"/>
            <w:vAlign w:val="center"/>
          </w:tcPr>
          <w:p w14:paraId="7991D02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甘肃省平凉市中级人民法院</w:t>
            </w:r>
          </w:p>
        </w:tc>
        <w:tc>
          <w:tcPr>
            <w:tcW w:w="1166" w:type="dxa"/>
            <w:vAlign w:val="center"/>
          </w:tcPr>
          <w:p w14:paraId="537EDF5A">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705264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325.00</w:t>
            </w:r>
          </w:p>
        </w:tc>
        <w:tc>
          <w:tcPr>
            <w:tcW w:w="1210" w:type="dxa"/>
            <w:vAlign w:val="center"/>
          </w:tcPr>
          <w:p w14:paraId="3A40740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325.00</w:t>
            </w:r>
          </w:p>
        </w:tc>
        <w:tc>
          <w:tcPr>
            <w:tcW w:w="1199" w:type="dxa"/>
            <w:vAlign w:val="center"/>
          </w:tcPr>
          <w:p w14:paraId="17FC6F0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325.00</w:t>
            </w:r>
          </w:p>
        </w:tc>
        <w:tc>
          <w:tcPr>
            <w:tcW w:w="1137" w:type="dxa"/>
            <w:vAlign w:val="center"/>
          </w:tcPr>
          <w:p w14:paraId="66C187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B4D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F06E0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81</w:t>
            </w:r>
          </w:p>
        </w:tc>
        <w:tc>
          <w:tcPr>
            <w:tcW w:w="2242" w:type="dxa"/>
            <w:vAlign w:val="center"/>
          </w:tcPr>
          <w:p w14:paraId="3538952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平凉市崆峒区人民法院</w:t>
            </w:r>
          </w:p>
        </w:tc>
        <w:tc>
          <w:tcPr>
            <w:tcW w:w="1166" w:type="dxa"/>
            <w:vAlign w:val="center"/>
          </w:tcPr>
          <w:p w14:paraId="31E55CE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24.50</w:t>
            </w:r>
          </w:p>
        </w:tc>
        <w:tc>
          <w:tcPr>
            <w:tcW w:w="1188" w:type="dxa"/>
            <w:vAlign w:val="center"/>
          </w:tcPr>
          <w:p w14:paraId="78D4663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335.00</w:t>
            </w:r>
          </w:p>
        </w:tc>
        <w:tc>
          <w:tcPr>
            <w:tcW w:w="1210" w:type="dxa"/>
            <w:vAlign w:val="center"/>
          </w:tcPr>
          <w:p w14:paraId="741A1A2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359.50</w:t>
            </w:r>
          </w:p>
        </w:tc>
        <w:tc>
          <w:tcPr>
            <w:tcW w:w="1199" w:type="dxa"/>
            <w:vAlign w:val="center"/>
          </w:tcPr>
          <w:p w14:paraId="7AA2341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359.50</w:t>
            </w:r>
          </w:p>
        </w:tc>
        <w:tc>
          <w:tcPr>
            <w:tcW w:w="1137" w:type="dxa"/>
            <w:vAlign w:val="center"/>
          </w:tcPr>
          <w:p w14:paraId="2F6380E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4FBF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3AA0D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82</w:t>
            </w:r>
          </w:p>
        </w:tc>
        <w:tc>
          <w:tcPr>
            <w:tcW w:w="2242" w:type="dxa"/>
            <w:vAlign w:val="center"/>
          </w:tcPr>
          <w:p w14:paraId="0344E89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庄浪县人民法院</w:t>
            </w:r>
          </w:p>
        </w:tc>
        <w:tc>
          <w:tcPr>
            <w:tcW w:w="1166" w:type="dxa"/>
            <w:vAlign w:val="center"/>
          </w:tcPr>
          <w:p w14:paraId="01BCA658">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42B33E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210" w:type="dxa"/>
            <w:vAlign w:val="center"/>
          </w:tcPr>
          <w:p w14:paraId="345E256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99" w:type="dxa"/>
            <w:vAlign w:val="center"/>
          </w:tcPr>
          <w:p w14:paraId="34BB7F8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37" w:type="dxa"/>
            <w:vAlign w:val="center"/>
          </w:tcPr>
          <w:p w14:paraId="44E053C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F5F5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2D731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83</w:t>
            </w:r>
          </w:p>
        </w:tc>
        <w:tc>
          <w:tcPr>
            <w:tcW w:w="2242" w:type="dxa"/>
            <w:vAlign w:val="center"/>
          </w:tcPr>
          <w:p w14:paraId="601CC42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崇信县人民法院</w:t>
            </w:r>
          </w:p>
        </w:tc>
        <w:tc>
          <w:tcPr>
            <w:tcW w:w="1166" w:type="dxa"/>
            <w:vAlign w:val="center"/>
          </w:tcPr>
          <w:p w14:paraId="47070C6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3.36</w:t>
            </w:r>
          </w:p>
        </w:tc>
        <w:tc>
          <w:tcPr>
            <w:tcW w:w="1188" w:type="dxa"/>
            <w:vAlign w:val="center"/>
          </w:tcPr>
          <w:p w14:paraId="28BB9DE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190.00</w:t>
            </w:r>
          </w:p>
        </w:tc>
        <w:tc>
          <w:tcPr>
            <w:tcW w:w="1210" w:type="dxa"/>
            <w:vAlign w:val="center"/>
          </w:tcPr>
          <w:p w14:paraId="4562CD0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193.36</w:t>
            </w:r>
          </w:p>
        </w:tc>
        <w:tc>
          <w:tcPr>
            <w:tcW w:w="1199" w:type="dxa"/>
            <w:vAlign w:val="center"/>
          </w:tcPr>
          <w:p w14:paraId="7AE65FB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193.36</w:t>
            </w:r>
          </w:p>
        </w:tc>
        <w:tc>
          <w:tcPr>
            <w:tcW w:w="1137" w:type="dxa"/>
            <w:vAlign w:val="center"/>
          </w:tcPr>
          <w:p w14:paraId="07A869B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1EE5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B1028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84</w:t>
            </w:r>
          </w:p>
        </w:tc>
        <w:tc>
          <w:tcPr>
            <w:tcW w:w="2242" w:type="dxa"/>
            <w:vAlign w:val="center"/>
          </w:tcPr>
          <w:p w14:paraId="711A592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灵台县人民法院</w:t>
            </w:r>
          </w:p>
        </w:tc>
        <w:tc>
          <w:tcPr>
            <w:tcW w:w="1166" w:type="dxa"/>
            <w:vAlign w:val="center"/>
          </w:tcPr>
          <w:p w14:paraId="1739CFE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0.53</w:t>
            </w:r>
          </w:p>
        </w:tc>
        <w:tc>
          <w:tcPr>
            <w:tcW w:w="1188" w:type="dxa"/>
            <w:vAlign w:val="center"/>
          </w:tcPr>
          <w:p w14:paraId="3B3700B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210" w:type="dxa"/>
            <w:vAlign w:val="center"/>
          </w:tcPr>
          <w:p w14:paraId="0E53532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185.53</w:t>
            </w:r>
          </w:p>
        </w:tc>
        <w:tc>
          <w:tcPr>
            <w:tcW w:w="1199" w:type="dxa"/>
            <w:vAlign w:val="center"/>
          </w:tcPr>
          <w:p w14:paraId="726DB15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185.53</w:t>
            </w:r>
          </w:p>
        </w:tc>
        <w:tc>
          <w:tcPr>
            <w:tcW w:w="1137" w:type="dxa"/>
            <w:vAlign w:val="center"/>
          </w:tcPr>
          <w:p w14:paraId="37CCAF7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779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3C8DDC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85</w:t>
            </w:r>
          </w:p>
        </w:tc>
        <w:tc>
          <w:tcPr>
            <w:tcW w:w="2242" w:type="dxa"/>
            <w:vAlign w:val="center"/>
          </w:tcPr>
          <w:p w14:paraId="471D881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华亭市人民法院</w:t>
            </w:r>
          </w:p>
        </w:tc>
        <w:tc>
          <w:tcPr>
            <w:tcW w:w="1166" w:type="dxa"/>
            <w:vAlign w:val="center"/>
          </w:tcPr>
          <w:p w14:paraId="25CF218C">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739BB25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245.00</w:t>
            </w:r>
          </w:p>
        </w:tc>
        <w:tc>
          <w:tcPr>
            <w:tcW w:w="1210" w:type="dxa"/>
            <w:vAlign w:val="center"/>
          </w:tcPr>
          <w:p w14:paraId="2B532D2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245.00</w:t>
            </w:r>
          </w:p>
        </w:tc>
        <w:tc>
          <w:tcPr>
            <w:tcW w:w="1199" w:type="dxa"/>
            <w:vAlign w:val="center"/>
          </w:tcPr>
          <w:p w14:paraId="38462A6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245.00</w:t>
            </w:r>
          </w:p>
        </w:tc>
        <w:tc>
          <w:tcPr>
            <w:tcW w:w="1137" w:type="dxa"/>
            <w:vAlign w:val="center"/>
          </w:tcPr>
          <w:p w14:paraId="210B4FD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133F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B0200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86</w:t>
            </w:r>
          </w:p>
        </w:tc>
        <w:tc>
          <w:tcPr>
            <w:tcW w:w="2242" w:type="dxa"/>
            <w:vAlign w:val="center"/>
          </w:tcPr>
          <w:p w14:paraId="1DD499D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静宁县人民法院</w:t>
            </w:r>
          </w:p>
        </w:tc>
        <w:tc>
          <w:tcPr>
            <w:tcW w:w="1166" w:type="dxa"/>
            <w:vAlign w:val="center"/>
          </w:tcPr>
          <w:p w14:paraId="3455B52E">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0C697A2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210" w:type="dxa"/>
            <w:vAlign w:val="center"/>
          </w:tcPr>
          <w:p w14:paraId="6F1C8A9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199" w:type="dxa"/>
            <w:vAlign w:val="center"/>
          </w:tcPr>
          <w:p w14:paraId="7E2CFE4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137" w:type="dxa"/>
            <w:vAlign w:val="center"/>
          </w:tcPr>
          <w:p w14:paraId="7900D93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B06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A2DE9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87</w:t>
            </w:r>
          </w:p>
        </w:tc>
        <w:tc>
          <w:tcPr>
            <w:tcW w:w="2242" w:type="dxa"/>
            <w:vAlign w:val="center"/>
          </w:tcPr>
          <w:p w14:paraId="6DA9293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泾川县人民法院</w:t>
            </w:r>
          </w:p>
        </w:tc>
        <w:tc>
          <w:tcPr>
            <w:tcW w:w="1166" w:type="dxa"/>
            <w:vAlign w:val="center"/>
          </w:tcPr>
          <w:p w14:paraId="7AF913F0">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16C2E6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210" w:type="dxa"/>
            <w:vAlign w:val="center"/>
          </w:tcPr>
          <w:p w14:paraId="6E91926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199" w:type="dxa"/>
            <w:vAlign w:val="center"/>
          </w:tcPr>
          <w:p w14:paraId="12ECCD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137" w:type="dxa"/>
            <w:vAlign w:val="center"/>
          </w:tcPr>
          <w:p w14:paraId="32EE87E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2ACA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DCC023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w:t>
            </w:r>
          </w:p>
        </w:tc>
        <w:tc>
          <w:tcPr>
            <w:tcW w:w="2242" w:type="dxa"/>
            <w:vAlign w:val="center"/>
          </w:tcPr>
          <w:p w14:paraId="4F10337A">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庆阳市中级人民法院</w:t>
            </w:r>
          </w:p>
        </w:tc>
        <w:tc>
          <w:tcPr>
            <w:tcW w:w="1166" w:type="dxa"/>
            <w:vAlign w:val="center"/>
          </w:tcPr>
          <w:p w14:paraId="5CEF4EA8">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568AED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210" w:type="dxa"/>
            <w:vAlign w:val="center"/>
          </w:tcPr>
          <w:p w14:paraId="35D997B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199" w:type="dxa"/>
            <w:vAlign w:val="center"/>
          </w:tcPr>
          <w:p w14:paraId="0422697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290.00</w:t>
            </w:r>
          </w:p>
        </w:tc>
        <w:tc>
          <w:tcPr>
            <w:tcW w:w="1137" w:type="dxa"/>
            <w:vAlign w:val="center"/>
          </w:tcPr>
          <w:p w14:paraId="2229A3F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A5C5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24B49D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89</w:t>
            </w:r>
          </w:p>
        </w:tc>
        <w:tc>
          <w:tcPr>
            <w:tcW w:w="2242" w:type="dxa"/>
            <w:vAlign w:val="center"/>
          </w:tcPr>
          <w:p w14:paraId="07BB14E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环县人民法院</w:t>
            </w:r>
          </w:p>
        </w:tc>
        <w:tc>
          <w:tcPr>
            <w:tcW w:w="1166" w:type="dxa"/>
            <w:vAlign w:val="center"/>
          </w:tcPr>
          <w:p w14:paraId="2B6D86C5">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7F1946A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210" w:type="dxa"/>
            <w:vAlign w:val="center"/>
          </w:tcPr>
          <w:p w14:paraId="5D0208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199" w:type="dxa"/>
            <w:vAlign w:val="center"/>
          </w:tcPr>
          <w:p w14:paraId="2AB90DD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137" w:type="dxa"/>
            <w:vAlign w:val="center"/>
          </w:tcPr>
          <w:p w14:paraId="3C0BC7B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A73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38FA6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2242" w:type="dxa"/>
            <w:vAlign w:val="center"/>
          </w:tcPr>
          <w:p w14:paraId="45CE479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正宁县人民法院</w:t>
            </w:r>
          </w:p>
        </w:tc>
        <w:tc>
          <w:tcPr>
            <w:tcW w:w="1166" w:type="dxa"/>
            <w:vAlign w:val="center"/>
          </w:tcPr>
          <w:p w14:paraId="4A6FA37E">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700AD0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210" w:type="dxa"/>
            <w:vAlign w:val="center"/>
          </w:tcPr>
          <w:p w14:paraId="211156D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99" w:type="dxa"/>
            <w:vAlign w:val="center"/>
          </w:tcPr>
          <w:p w14:paraId="796AFE4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37" w:type="dxa"/>
            <w:vAlign w:val="center"/>
          </w:tcPr>
          <w:p w14:paraId="31C7783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4BF2A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17078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91</w:t>
            </w:r>
          </w:p>
        </w:tc>
        <w:tc>
          <w:tcPr>
            <w:tcW w:w="2242" w:type="dxa"/>
            <w:vAlign w:val="center"/>
          </w:tcPr>
          <w:p w14:paraId="667D966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合水县人民法院</w:t>
            </w:r>
          </w:p>
        </w:tc>
        <w:tc>
          <w:tcPr>
            <w:tcW w:w="1166" w:type="dxa"/>
            <w:vAlign w:val="center"/>
          </w:tcPr>
          <w:p w14:paraId="01639EF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10.72</w:t>
            </w:r>
          </w:p>
        </w:tc>
        <w:tc>
          <w:tcPr>
            <w:tcW w:w="1188" w:type="dxa"/>
            <w:vAlign w:val="center"/>
          </w:tcPr>
          <w:p w14:paraId="43A22D9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210" w:type="dxa"/>
            <w:vAlign w:val="center"/>
          </w:tcPr>
          <w:p w14:paraId="699C9FA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160.72</w:t>
            </w:r>
          </w:p>
        </w:tc>
        <w:tc>
          <w:tcPr>
            <w:tcW w:w="1199" w:type="dxa"/>
            <w:vAlign w:val="center"/>
          </w:tcPr>
          <w:p w14:paraId="5D5633E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160.72</w:t>
            </w:r>
          </w:p>
        </w:tc>
        <w:tc>
          <w:tcPr>
            <w:tcW w:w="1137" w:type="dxa"/>
            <w:vAlign w:val="center"/>
          </w:tcPr>
          <w:p w14:paraId="180C0E3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2D7E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675E7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92</w:t>
            </w:r>
          </w:p>
        </w:tc>
        <w:tc>
          <w:tcPr>
            <w:tcW w:w="2242" w:type="dxa"/>
            <w:vAlign w:val="center"/>
          </w:tcPr>
          <w:p w14:paraId="05CF9AE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镇原县人民法院</w:t>
            </w:r>
          </w:p>
        </w:tc>
        <w:tc>
          <w:tcPr>
            <w:tcW w:w="1166" w:type="dxa"/>
            <w:vAlign w:val="center"/>
          </w:tcPr>
          <w:p w14:paraId="2927586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14.26</w:t>
            </w:r>
          </w:p>
        </w:tc>
        <w:tc>
          <w:tcPr>
            <w:tcW w:w="1188" w:type="dxa"/>
            <w:vAlign w:val="center"/>
          </w:tcPr>
          <w:p w14:paraId="20F4D58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4010A2A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169.26</w:t>
            </w:r>
          </w:p>
        </w:tc>
        <w:tc>
          <w:tcPr>
            <w:tcW w:w="1199" w:type="dxa"/>
            <w:vAlign w:val="center"/>
          </w:tcPr>
          <w:p w14:paraId="0C64C61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169.26</w:t>
            </w:r>
          </w:p>
        </w:tc>
        <w:tc>
          <w:tcPr>
            <w:tcW w:w="1137" w:type="dxa"/>
            <w:vAlign w:val="center"/>
          </w:tcPr>
          <w:p w14:paraId="6890CAB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476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D7AA6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93</w:t>
            </w:r>
          </w:p>
        </w:tc>
        <w:tc>
          <w:tcPr>
            <w:tcW w:w="2242" w:type="dxa"/>
            <w:vAlign w:val="center"/>
          </w:tcPr>
          <w:p w14:paraId="5EC7FAB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华池县人民法院</w:t>
            </w:r>
          </w:p>
        </w:tc>
        <w:tc>
          <w:tcPr>
            <w:tcW w:w="1166" w:type="dxa"/>
            <w:vAlign w:val="center"/>
          </w:tcPr>
          <w:p w14:paraId="2D48A74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16.66</w:t>
            </w:r>
          </w:p>
        </w:tc>
        <w:tc>
          <w:tcPr>
            <w:tcW w:w="1188" w:type="dxa"/>
            <w:vAlign w:val="center"/>
          </w:tcPr>
          <w:p w14:paraId="2C39771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150.00</w:t>
            </w:r>
          </w:p>
        </w:tc>
        <w:tc>
          <w:tcPr>
            <w:tcW w:w="1210" w:type="dxa"/>
            <w:vAlign w:val="center"/>
          </w:tcPr>
          <w:p w14:paraId="298F434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166.66</w:t>
            </w:r>
          </w:p>
        </w:tc>
        <w:tc>
          <w:tcPr>
            <w:tcW w:w="1199" w:type="dxa"/>
            <w:vAlign w:val="center"/>
          </w:tcPr>
          <w:p w14:paraId="07436E5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150.90</w:t>
            </w:r>
          </w:p>
        </w:tc>
        <w:tc>
          <w:tcPr>
            <w:tcW w:w="1137" w:type="dxa"/>
            <w:vAlign w:val="center"/>
          </w:tcPr>
          <w:p w14:paraId="716EDCD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90.54%</w:t>
            </w:r>
          </w:p>
        </w:tc>
      </w:tr>
      <w:tr w14:paraId="6AC2D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D99BD6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94</w:t>
            </w:r>
          </w:p>
        </w:tc>
        <w:tc>
          <w:tcPr>
            <w:tcW w:w="2242" w:type="dxa"/>
            <w:vAlign w:val="center"/>
          </w:tcPr>
          <w:p w14:paraId="7F7EDD5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宁县人民法院</w:t>
            </w:r>
          </w:p>
        </w:tc>
        <w:tc>
          <w:tcPr>
            <w:tcW w:w="1166" w:type="dxa"/>
            <w:vAlign w:val="center"/>
          </w:tcPr>
          <w:p w14:paraId="313BC181">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142B835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53389C6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99" w:type="dxa"/>
            <w:vAlign w:val="center"/>
          </w:tcPr>
          <w:p w14:paraId="5206296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137" w:type="dxa"/>
            <w:vAlign w:val="center"/>
          </w:tcPr>
          <w:p w14:paraId="0B16908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D1F3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7E2E41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95</w:t>
            </w:r>
          </w:p>
        </w:tc>
        <w:tc>
          <w:tcPr>
            <w:tcW w:w="2242" w:type="dxa"/>
            <w:vAlign w:val="center"/>
          </w:tcPr>
          <w:p w14:paraId="791E355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子午岭林区法院</w:t>
            </w:r>
          </w:p>
        </w:tc>
        <w:tc>
          <w:tcPr>
            <w:tcW w:w="1166" w:type="dxa"/>
            <w:vAlign w:val="center"/>
          </w:tcPr>
          <w:p w14:paraId="798014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25.73</w:t>
            </w:r>
          </w:p>
        </w:tc>
        <w:tc>
          <w:tcPr>
            <w:tcW w:w="1188" w:type="dxa"/>
            <w:vAlign w:val="center"/>
          </w:tcPr>
          <w:p w14:paraId="6782F3E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102.00</w:t>
            </w:r>
          </w:p>
        </w:tc>
        <w:tc>
          <w:tcPr>
            <w:tcW w:w="1210" w:type="dxa"/>
            <w:vAlign w:val="center"/>
          </w:tcPr>
          <w:p w14:paraId="6A581B6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127.73</w:t>
            </w:r>
          </w:p>
        </w:tc>
        <w:tc>
          <w:tcPr>
            <w:tcW w:w="1199" w:type="dxa"/>
            <w:vAlign w:val="center"/>
          </w:tcPr>
          <w:p w14:paraId="140EB12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127.73</w:t>
            </w:r>
          </w:p>
        </w:tc>
        <w:tc>
          <w:tcPr>
            <w:tcW w:w="1137" w:type="dxa"/>
            <w:vAlign w:val="center"/>
          </w:tcPr>
          <w:p w14:paraId="72BDE63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87E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9A26B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96</w:t>
            </w:r>
          </w:p>
        </w:tc>
        <w:tc>
          <w:tcPr>
            <w:tcW w:w="2242" w:type="dxa"/>
            <w:vAlign w:val="center"/>
          </w:tcPr>
          <w:p w14:paraId="01A3EEC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庆城县人民法院</w:t>
            </w:r>
          </w:p>
        </w:tc>
        <w:tc>
          <w:tcPr>
            <w:tcW w:w="1166" w:type="dxa"/>
            <w:vAlign w:val="center"/>
          </w:tcPr>
          <w:p w14:paraId="4911E4B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30.86</w:t>
            </w:r>
          </w:p>
        </w:tc>
        <w:tc>
          <w:tcPr>
            <w:tcW w:w="1188" w:type="dxa"/>
            <w:vAlign w:val="center"/>
          </w:tcPr>
          <w:p w14:paraId="416638F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221.00</w:t>
            </w:r>
          </w:p>
        </w:tc>
        <w:tc>
          <w:tcPr>
            <w:tcW w:w="1210" w:type="dxa"/>
            <w:vAlign w:val="center"/>
          </w:tcPr>
          <w:p w14:paraId="40CD83F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251.86</w:t>
            </w:r>
          </w:p>
        </w:tc>
        <w:tc>
          <w:tcPr>
            <w:tcW w:w="1199" w:type="dxa"/>
            <w:vAlign w:val="center"/>
          </w:tcPr>
          <w:p w14:paraId="2FC0A2F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251.86</w:t>
            </w:r>
          </w:p>
        </w:tc>
        <w:tc>
          <w:tcPr>
            <w:tcW w:w="1137" w:type="dxa"/>
            <w:vAlign w:val="center"/>
          </w:tcPr>
          <w:p w14:paraId="5CACF4D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EB3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5CDB04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97</w:t>
            </w:r>
          </w:p>
        </w:tc>
        <w:tc>
          <w:tcPr>
            <w:tcW w:w="2242" w:type="dxa"/>
            <w:vAlign w:val="center"/>
          </w:tcPr>
          <w:p w14:paraId="2C04F60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西峰区人民法院</w:t>
            </w:r>
          </w:p>
        </w:tc>
        <w:tc>
          <w:tcPr>
            <w:tcW w:w="1166" w:type="dxa"/>
            <w:vAlign w:val="center"/>
          </w:tcPr>
          <w:p w14:paraId="7BB96634">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47D3D4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335.00</w:t>
            </w:r>
          </w:p>
        </w:tc>
        <w:tc>
          <w:tcPr>
            <w:tcW w:w="1210" w:type="dxa"/>
            <w:vAlign w:val="center"/>
          </w:tcPr>
          <w:p w14:paraId="164A0FE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335.00</w:t>
            </w:r>
          </w:p>
        </w:tc>
        <w:tc>
          <w:tcPr>
            <w:tcW w:w="1199" w:type="dxa"/>
            <w:vAlign w:val="center"/>
          </w:tcPr>
          <w:p w14:paraId="7FF171A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335.00</w:t>
            </w:r>
          </w:p>
        </w:tc>
        <w:tc>
          <w:tcPr>
            <w:tcW w:w="1137" w:type="dxa"/>
            <w:vAlign w:val="center"/>
          </w:tcPr>
          <w:p w14:paraId="189D5A0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C0C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10B20D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w:t>
            </w:r>
          </w:p>
        </w:tc>
        <w:tc>
          <w:tcPr>
            <w:tcW w:w="2242" w:type="dxa"/>
            <w:vAlign w:val="center"/>
          </w:tcPr>
          <w:p w14:paraId="2FC53F8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临夏州中级人民法院</w:t>
            </w:r>
          </w:p>
        </w:tc>
        <w:tc>
          <w:tcPr>
            <w:tcW w:w="1166" w:type="dxa"/>
            <w:vAlign w:val="center"/>
          </w:tcPr>
          <w:p w14:paraId="3B3FE0C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27.32</w:t>
            </w:r>
          </w:p>
        </w:tc>
        <w:tc>
          <w:tcPr>
            <w:tcW w:w="1188" w:type="dxa"/>
            <w:vAlign w:val="center"/>
          </w:tcPr>
          <w:p w14:paraId="12F6742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245.00</w:t>
            </w:r>
          </w:p>
        </w:tc>
        <w:tc>
          <w:tcPr>
            <w:tcW w:w="1210" w:type="dxa"/>
            <w:vAlign w:val="center"/>
          </w:tcPr>
          <w:p w14:paraId="21A8551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272.32</w:t>
            </w:r>
          </w:p>
        </w:tc>
        <w:tc>
          <w:tcPr>
            <w:tcW w:w="1199" w:type="dxa"/>
            <w:vAlign w:val="center"/>
          </w:tcPr>
          <w:p w14:paraId="218FC05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154.36</w:t>
            </w:r>
          </w:p>
        </w:tc>
        <w:tc>
          <w:tcPr>
            <w:tcW w:w="1137" w:type="dxa"/>
            <w:vAlign w:val="center"/>
          </w:tcPr>
          <w:p w14:paraId="74D6662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56.68%</w:t>
            </w:r>
          </w:p>
        </w:tc>
      </w:tr>
      <w:tr w14:paraId="16204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74CE74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99</w:t>
            </w:r>
          </w:p>
        </w:tc>
        <w:tc>
          <w:tcPr>
            <w:tcW w:w="2242" w:type="dxa"/>
            <w:vAlign w:val="center"/>
          </w:tcPr>
          <w:p w14:paraId="14C7BE6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东乡族自治县人民法院</w:t>
            </w:r>
          </w:p>
        </w:tc>
        <w:tc>
          <w:tcPr>
            <w:tcW w:w="1166" w:type="dxa"/>
            <w:vAlign w:val="center"/>
          </w:tcPr>
          <w:p w14:paraId="442669EB">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55664DE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210" w:type="dxa"/>
            <w:vAlign w:val="center"/>
          </w:tcPr>
          <w:p w14:paraId="370D5F6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185.00</w:t>
            </w:r>
          </w:p>
        </w:tc>
        <w:tc>
          <w:tcPr>
            <w:tcW w:w="1199" w:type="dxa"/>
            <w:vAlign w:val="center"/>
          </w:tcPr>
          <w:p w14:paraId="0ACD4D2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129.90</w:t>
            </w:r>
          </w:p>
        </w:tc>
        <w:tc>
          <w:tcPr>
            <w:tcW w:w="1137" w:type="dxa"/>
            <w:vAlign w:val="center"/>
          </w:tcPr>
          <w:p w14:paraId="03645AE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70.22%</w:t>
            </w:r>
          </w:p>
        </w:tc>
      </w:tr>
      <w:tr w14:paraId="20D06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5F2BFA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2242" w:type="dxa"/>
            <w:vAlign w:val="center"/>
          </w:tcPr>
          <w:p w14:paraId="58987518">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临夏市人民法院</w:t>
            </w:r>
          </w:p>
        </w:tc>
        <w:tc>
          <w:tcPr>
            <w:tcW w:w="1166" w:type="dxa"/>
            <w:vAlign w:val="center"/>
          </w:tcPr>
          <w:p w14:paraId="286BC2C8">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B7179E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153.00</w:t>
            </w:r>
          </w:p>
        </w:tc>
        <w:tc>
          <w:tcPr>
            <w:tcW w:w="1210" w:type="dxa"/>
            <w:vAlign w:val="center"/>
          </w:tcPr>
          <w:p w14:paraId="3B540FB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153.00</w:t>
            </w:r>
          </w:p>
        </w:tc>
        <w:tc>
          <w:tcPr>
            <w:tcW w:w="1199" w:type="dxa"/>
            <w:vAlign w:val="center"/>
          </w:tcPr>
          <w:p w14:paraId="49ECB09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153.00</w:t>
            </w:r>
          </w:p>
        </w:tc>
        <w:tc>
          <w:tcPr>
            <w:tcW w:w="1137" w:type="dxa"/>
            <w:vAlign w:val="center"/>
          </w:tcPr>
          <w:p w14:paraId="56E3AA8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6997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C6D3C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101</w:t>
            </w:r>
          </w:p>
        </w:tc>
        <w:tc>
          <w:tcPr>
            <w:tcW w:w="2242" w:type="dxa"/>
            <w:vAlign w:val="center"/>
          </w:tcPr>
          <w:p w14:paraId="747B182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广河县人民法院</w:t>
            </w:r>
          </w:p>
        </w:tc>
        <w:tc>
          <w:tcPr>
            <w:tcW w:w="1166" w:type="dxa"/>
            <w:vAlign w:val="center"/>
          </w:tcPr>
          <w:p w14:paraId="653CD2A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40.57</w:t>
            </w:r>
          </w:p>
        </w:tc>
        <w:tc>
          <w:tcPr>
            <w:tcW w:w="1188" w:type="dxa"/>
            <w:vAlign w:val="center"/>
          </w:tcPr>
          <w:p w14:paraId="68E57C6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120.00</w:t>
            </w:r>
          </w:p>
        </w:tc>
        <w:tc>
          <w:tcPr>
            <w:tcW w:w="1210" w:type="dxa"/>
            <w:vAlign w:val="center"/>
          </w:tcPr>
          <w:p w14:paraId="6CDEC86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160.57</w:t>
            </w:r>
          </w:p>
        </w:tc>
        <w:tc>
          <w:tcPr>
            <w:tcW w:w="1199" w:type="dxa"/>
            <w:vAlign w:val="center"/>
          </w:tcPr>
          <w:p w14:paraId="26DFA41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123.23</w:t>
            </w:r>
          </w:p>
        </w:tc>
        <w:tc>
          <w:tcPr>
            <w:tcW w:w="1137" w:type="dxa"/>
            <w:vAlign w:val="center"/>
          </w:tcPr>
          <w:p w14:paraId="48BE388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76.75%</w:t>
            </w:r>
          </w:p>
        </w:tc>
      </w:tr>
      <w:tr w14:paraId="3745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3917B0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102</w:t>
            </w:r>
          </w:p>
        </w:tc>
        <w:tc>
          <w:tcPr>
            <w:tcW w:w="2242" w:type="dxa"/>
            <w:vAlign w:val="center"/>
          </w:tcPr>
          <w:p w14:paraId="2BBDB40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康乐县人民法院</w:t>
            </w:r>
          </w:p>
        </w:tc>
        <w:tc>
          <w:tcPr>
            <w:tcW w:w="1166" w:type="dxa"/>
            <w:vAlign w:val="center"/>
          </w:tcPr>
          <w:p w14:paraId="4BB7C103">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EFE3CD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133.00</w:t>
            </w:r>
          </w:p>
        </w:tc>
        <w:tc>
          <w:tcPr>
            <w:tcW w:w="1210" w:type="dxa"/>
            <w:vAlign w:val="center"/>
          </w:tcPr>
          <w:p w14:paraId="41E964A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133.00</w:t>
            </w:r>
          </w:p>
        </w:tc>
        <w:tc>
          <w:tcPr>
            <w:tcW w:w="1199" w:type="dxa"/>
            <w:vAlign w:val="center"/>
          </w:tcPr>
          <w:p w14:paraId="664231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133.00</w:t>
            </w:r>
          </w:p>
        </w:tc>
        <w:tc>
          <w:tcPr>
            <w:tcW w:w="1137" w:type="dxa"/>
            <w:vAlign w:val="center"/>
          </w:tcPr>
          <w:p w14:paraId="3E5E37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39CB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02B788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103</w:t>
            </w:r>
          </w:p>
        </w:tc>
        <w:tc>
          <w:tcPr>
            <w:tcW w:w="2242" w:type="dxa"/>
            <w:vAlign w:val="center"/>
          </w:tcPr>
          <w:p w14:paraId="7A2F021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临夏县人民法院</w:t>
            </w:r>
          </w:p>
        </w:tc>
        <w:tc>
          <w:tcPr>
            <w:tcW w:w="1166" w:type="dxa"/>
            <w:vAlign w:val="center"/>
          </w:tcPr>
          <w:p w14:paraId="2A1FC3D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3.26</w:t>
            </w:r>
          </w:p>
        </w:tc>
        <w:tc>
          <w:tcPr>
            <w:tcW w:w="1188" w:type="dxa"/>
            <w:vAlign w:val="center"/>
          </w:tcPr>
          <w:p w14:paraId="4AC842A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116.00</w:t>
            </w:r>
          </w:p>
        </w:tc>
        <w:tc>
          <w:tcPr>
            <w:tcW w:w="1210" w:type="dxa"/>
            <w:vAlign w:val="center"/>
          </w:tcPr>
          <w:p w14:paraId="1D53AE2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119.26</w:t>
            </w:r>
          </w:p>
        </w:tc>
        <w:tc>
          <w:tcPr>
            <w:tcW w:w="1199" w:type="dxa"/>
            <w:vAlign w:val="center"/>
          </w:tcPr>
          <w:p w14:paraId="2B6518C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119.26</w:t>
            </w:r>
          </w:p>
        </w:tc>
        <w:tc>
          <w:tcPr>
            <w:tcW w:w="1137" w:type="dxa"/>
            <w:vAlign w:val="center"/>
          </w:tcPr>
          <w:p w14:paraId="77FC867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EDD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DE378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104</w:t>
            </w:r>
          </w:p>
        </w:tc>
        <w:tc>
          <w:tcPr>
            <w:tcW w:w="2242" w:type="dxa"/>
            <w:vAlign w:val="center"/>
          </w:tcPr>
          <w:p w14:paraId="1A6A78BE">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和政县人民法院</w:t>
            </w:r>
          </w:p>
        </w:tc>
        <w:tc>
          <w:tcPr>
            <w:tcW w:w="1166" w:type="dxa"/>
            <w:vAlign w:val="center"/>
          </w:tcPr>
          <w:p w14:paraId="066CA73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2.75</w:t>
            </w:r>
          </w:p>
        </w:tc>
        <w:tc>
          <w:tcPr>
            <w:tcW w:w="1188" w:type="dxa"/>
            <w:vAlign w:val="center"/>
          </w:tcPr>
          <w:p w14:paraId="4E5E8D9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116.00</w:t>
            </w:r>
          </w:p>
        </w:tc>
        <w:tc>
          <w:tcPr>
            <w:tcW w:w="1210" w:type="dxa"/>
            <w:vAlign w:val="center"/>
          </w:tcPr>
          <w:p w14:paraId="5052F6B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118.75</w:t>
            </w:r>
          </w:p>
        </w:tc>
        <w:tc>
          <w:tcPr>
            <w:tcW w:w="1199" w:type="dxa"/>
            <w:vAlign w:val="center"/>
          </w:tcPr>
          <w:p w14:paraId="7DC4BA3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118.75</w:t>
            </w:r>
          </w:p>
        </w:tc>
        <w:tc>
          <w:tcPr>
            <w:tcW w:w="1137" w:type="dxa"/>
            <w:vAlign w:val="center"/>
          </w:tcPr>
          <w:p w14:paraId="2671058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A3B7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0D37851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105</w:t>
            </w:r>
          </w:p>
        </w:tc>
        <w:tc>
          <w:tcPr>
            <w:tcW w:w="2242" w:type="dxa"/>
            <w:vAlign w:val="center"/>
          </w:tcPr>
          <w:p w14:paraId="65EE70B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积石山县人民法院</w:t>
            </w:r>
          </w:p>
        </w:tc>
        <w:tc>
          <w:tcPr>
            <w:tcW w:w="1166" w:type="dxa"/>
            <w:vAlign w:val="center"/>
          </w:tcPr>
          <w:p w14:paraId="38E3E362">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4B61130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126.00</w:t>
            </w:r>
          </w:p>
        </w:tc>
        <w:tc>
          <w:tcPr>
            <w:tcW w:w="1210" w:type="dxa"/>
            <w:vAlign w:val="center"/>
          </w:tcPr>
          <w:p w14:paraId="468B321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126.00</w:t>
            </w:r>
          </w:p>
        </w:tc>
        <w:tc>
          <w:tcPr>
            <w:tcW w:w="1199" w:type="dxa"/>
            <w:vAlign w:val="center"/>
          </w:tcPr>
          <w:p w14:paraId="2169E24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126.00</w:t>
            </w:r>
          </w:p>
        </w:tc>
        <w:tc>
          <w:tcPr>
            <w:tcW w:w="1137" w:type="dxa"/>
            <w:vAlign w:val="center"/>
          </w:tcPr>
          <w:p w14:paraId="755EFB4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9180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3AD6A70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106</w:t>
            </w:r>
          </w:p>
        </w:tc>
        <w:tc>
          <w:tcPr>
            <w:tcW w:w="2242" w:type="dxa"/>
            <w:vAlign w:val="center"/>
          </w:tcPr>
          <w:p w14:paraId="6371A59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永靖县人民法院</w:t>
            </w:r>
          </w:p>
        </w:tc>
        <w:tc>
          <w:tcPr>
            <w:tcW w:w="1166" w:type="dxa"/>
            <w:vAlign w:val="center"/>
          </w:tcPr>
          <w:p w14:paraId="1DE1A2C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37.04</w:t>
            </w:r>
          </w:p>
        </w:tc>
        <w:tc>
          <w:tcPr>
            <w:tcW w:w="1188" w:type="dxa"/>
            <w:vAlign w:val="center"/>
          </w:tcPr>
          <w:p w14:paraId="76D0FE1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180.00</w:t>
            </w:r>
          </w:p>
        </w:tc>
        <w:tc>
          <w:tcPr>
            <w:tcW w:w="1210" w:type="dxa"/>
            <w:vAlign w:val="center"/>
          </w:tcPr>
          <w:p w14:paraId="3B96139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217.04</w:t>
            </w:r>
          </w:p>
        </w:tc>
        <w:tc>
          <w:tcPr>
            <w:tcW w:w="1199" w:type="dxa"/>
            <w:vAlign w:val="center"/>
          </w:tcPr>
          <w:p w14:paraId="6A3A066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214.28</w:t>
            </w:r>
          </w:p>
        </w:tc>
        <w:tc>
          <w:tcPr>
            <w:tcW w:w="1137" w:type="dxa"/>
            <w:vAlign w:val="center"/>
          </w:tcPr>
          <w:p w14:paraId="126EE1F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98.73%</w:t>
            </w:r>
          </w:p>
        </w:tc>
      </w:tr>
      <w:tr w14:paraId="5E09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262C20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w:t>
            </w:r>
          </w:p>
        </w:tc>
        <w:tc>
          <w:tcPr>
            <w:tcW w:w="2242" w:type="dxa"/>
            <w:vAlign w:val="center"/>
          </w:tcPr>
          <w:p w14:paraId="044BDC70">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甘南藏族自治州中级人民法院</w:t>
            </w:r>
          </w:p>
        </w:tc>
        <w:tc>
          <w:tcPr>
            <w:tcW w:w="1166" w:type="dxa"/>
            <w:vAlign w:val="center"/>
          </w:tcPr>
          <w:p w14:paraId="033DD91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w:t>
            </w:r>
          </w:p>
        </w:tc>
        <w:tc>
          <w:tcPr>
            <w:tcW w:w="1188" w:type="dxa"/>
            <w:vAlign w:val="center"/>
          </w:tcPr>
          <w:p w14:paraId="197E673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230.00</w:t>
            </w:r>
          </w:p>
        </w:tc>
        <w:tc>
          <w:tcPr>
            <w:tcW w:w="1210" w:type="dxa"/>
            <w:vAlign w:val="center"/>
          </w:tcPr>
          <w:p w14:paraId="28D5CBF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244.00</w:t>
            </w:r>
          </w:p>
        </w:tc>
        <w:tc>
          <w:tcPr>
            <w:tcW w:w="1199" w:type="dxa"/>
            <w:vAlign w:val="center"/>
          </w:tcPr>
          <w:p w14:paraId="4CFA459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244.00</w:t>
            </w:r>
          </w:p>
        </w:tc>
        <w:tc>
          <w:tcPr>
            <w:tcW w:w="1137" w:type="dxa"/>
            <w:vAlign w:val="center"/>
          </w:tcPr>
          <w:p w14:paraId="4CCFD95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E06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BEC1DF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108</w:t>
            </w:r>
          </w:p>
        </w:tc>
        <w:tc>
          <w:tcPr>
            <w:tcW w:w="2242" w:type="dxa"/>
            <w:vAlign w:val="center"/>
          </w:tcPr>
          <w:p w14:paraId="569B4FE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临潭县人民法院</w:t>
            </w:r>
          </w:p>
        </w:tc>
        <w:tc>
          <w:tcPr>
            <w:tcW w:w="1166" w:type="dxa"/>
            <w:vAlign w:val="center"/>
          </w:tcPr>
          <w:p w14:paraId="3D57671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2.07</w:t>
            </w:r>
          </w:p>
        </w:tc>
        <w:tc>
          <w:tcPr>
            <w:tcW w:w="1188" w:type="dxa"/>
            <w:vAlign w:val="center"/>
          </w:tcPr>
          <w:p w14:paraId="00BCA07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110.00</w:t>
            </w:r>
          </w:p>
        </w:tc>
        <w:tc>
          <w:tcPr>
            <w:tcW w:w="1210" w:type="dxa"/>
            <w:vAlign w:val="center"/>
          </w:tcPr>
          <w:p w14:paraId="2D63FB3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112.07</w:t>
            </w:r>
          </w:p>
        </w:tc>
        <w:tc>
          <w:tcPr>
            <w:tcW w:w="1199" w:type="dxa"/>
            <w:vAlign w:val="center"/>
          </w:tcPr>
          <w:p w14:paraId="40718BE4">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112.07</w:t>
            </w:r>
          </w:p>
        </w:tc>
        <w:tc>
          <w:tcPr>
            <w:tcW w:w="1137" w:type="dxa"/>
            <w:vAlign w:val="center"/>
          </w:tcPr>
          <w:p w14:paraId="77795E1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1765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217EA32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109</w:t>
            </w:r>
          </w:p>
        </w:tc>
        <w:tc>
          <w:tcPr>
            <w:tcW w:w="2242" w:type="dxa"/>
            <w:vAlign w:val="center"/>
          </w:tcPr>
          <w:p w14:paraId="257282A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夏河县人民法院</w:t>
            </w:r>
          </w:p>
        </w:tc>
        <w:tc>
          <w:tcPr>
            <w:tcW w:w="1166" w:type="dxa"/>
            <w:vAlign w:val="center"/>
          </w:tcPr>
          <w:p w14:paraId="05A4A21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53.00</w:t>
            </w:r>
          </w:p>
        </w:tc>
        <w:tc>
          <w:tcPr>
            <w:tcW w:w="1188" w:type="dxa"/>
            <w:vAlign w:val="center"/>
          </w:tcPr>
          <w:p w14:paraId="6105595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165.00</w:t>
            </w:r>
          </w:p>
        </w:tc>
        <w:tc>
          <w:tcPr>
            <w:tcW w:w="1210" w:type="dxa"/>
            <w:vAlign w:val="center"/>
          </w:tcPr>
          <w:p w14:paraId="5C5EDA8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218.00</w:t>
            </w:r>
          </w:p>
        </w:tc>
        <w:tc>
          <w:tcPr>
            <w:tcW w:w="1199" w:type="dxa"/>
            <w:vAlign w:val="center"/>
          </w:tcPr>
          <w:p w14:paraId="6721BFB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193.00</w:t>
            </w:r>
          </w:p>
        </w:tc>
        <w:tc>
          <w:tcPr>
            <w:tcW w:w="1137" w:type="dxa"/>
            <w:vAlign w:val="center"/>
          </w:tcPr>
          <w:p w14:paraId="6E22554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88.53%</w:t>
            </w:r>
          </w:p>
        </w:tc>
      </w:tr>
      <w:tr w14:paraId="32047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AE5E2D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w:t>
            </w:r>
          </w:p>
        </w:tc>
        <w:tc>
          <w:tcPr>
            <w:tcW w:w="2242" w:type="dxa"/>
            <w:vAlign w:val="center"/>
          </w:tcPr>
          <w:p w14:paraId="60500F5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碌曲县人民法院</w:t>
            </w:r>
          </w:p>
        </w:tc>
        <w:tc>
          <w:tcPr>
            <w:tcW w:w="1166" w:type="dxa"/>
            <w:vAlign w:val="center"/>
          </w:tcPr>
          <w:p w14:paraId="26E8AA6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2FBCD1F1">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130.00</w:t>
            </w:r>
          </w:p>
        </w:tc>
        <w:tc>
          <w:tcPr>
            <w:tcW w:w="1210" w:type="dxa"/>
            <w:vAlign w:val="center"/>
          </w:tcPr>
          <w:p w14:paraId="6607595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130.00</w:t>
            </w:r>
          </w:p>
        </w:tc>
        <w:tc>
          <w:tcPr>
            <w:tcW w:w="1199" w:type="dxa"/>
            <w:vAlign w:val="center"/>
          </w:tcPr>
          <w:p w14:paraId="393C3A3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105.00</w:t>
            </w:r>
          </w:p>
        </w:tc>
        <w:tc>
          <w:tcPr>
            <w:tcW w:w="1137" w:type="dxa"/>
            <w:vAlign w:val="center"/>
          </w:tcPr>
          <w:p w14:paraId="594257A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80.77%</w:t>
            </w:r>
          </w:p>
        </w:tc>
      </w:tr>
      <w:tr w14:paraId="0B5FF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4EF22E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111</w:t>
            </w:r>
          </w:p>
        </w:tc>
        <w:tc>
          <w:tcPr>
            <w:tcW w:w="2242" w:type="dxa"/>
            <w:vAlign w:val="center"/>
          </w:tcPr>
          <w:p w14:paraId="62F9D9A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舟曲县人民法院</w:t>
            </w:r>
          </w:p>
        </w:tc>
        <w:tc>
          <w:tcPr>
            <w:tcW w:w="1166" w:type="dxa"/>
            <w:vAlign w:val="center"/>
          </w:tcPr>
          <w:p w14:paraId="4D67A372">
            <w:pPr>
              <w:keepNext w:val="0"/>
              <w:keepLines w:val="0"/>
              <w:pageBreakBefore w:val="0"/>
              <w:widowControl/>
              <w:kinsoku/>
              <w:wordWrap/>
              <w:overflowPunct/>
              <w:topLinePunct w:val="0"/>
              <w:autoSpaceDE/>
              <w:autoSpaceDN/>
              <w:bidi w:val="0"/>
              <w:adjustRightInd/>
              <w:snapToGrid/>
              <w:jc w:val="right"/>
              <w:rPr>
                <w:rFonts w:hint="eastAsia" w:ascii="宋体" w:hAnsi="宋体" w:eastAsia="宋体" w:cs="宋体"/>
                <w:i w:val="0"/>
                <w:iCs w:val="0"/>
                <w:color w:val="000000"/>
                <w:kern w:val="0"/>
                <w:sz w:val="20"/>
                <w:szCs w:val="20"/>
                <w:u w:val="none"/>
                <w:lang w:val="en-US" w:eastAsia="zh-CN" w:bidi="ar"/>
              </w:rPr>
            </w:pPr>
          </w:p>
        </w:tc>
        <w:tc>
          <w:tcPr>
            <w:tcW w:w="1188" w:type="dxa"/>
            <w:vAlign w:val="center"/>
          </w:tcPr>
          <w:p w14:paraId="62653F2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210" w:type="dxa"/>
            <w:vAlign w:val="center"/>
          </w:tcPr>
          <w:p w14:paraId="67BC06BB">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99" w:type="dxa"/>
            <w:vAlign w:val="center"/>
          </w:tcPr>
          <w:p w14:paraId="739DA11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140.00</w:t>
            </w:r>
          </w:p>
        </w:tc>
        <w:tc>
          <w:tcPr>
            <w:tcW w:w="1137" w:type="dxa"/>
            <w:vAlign w:val="center"/>
          </w:tcPr>
          <w:p w14:paraId="44E6ACF2">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1BF5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63B055B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112</w:t>
            </w:r>
          </w:p>
        </w:tc>
        <w:tc>
          <w:tcPr>
            <w:tcW w:w="2242" w:type="dxa"/>
            <w:vAlign w:val="center"/>
          </w:tcPr>
          <w:p w14:paraId="1C0893D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卓尼县人民法院</w:t>
            </w:r>
          </w:p>
        </w:tc>
        <w:tc>
          <w:tcPr>
            <w:tcW w:w="1166" w:type="dxa"/>
            <w:vAlign w:val="center"/>
          </w:tcPr>
          <w:p w14:paraId="58811D0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37.68</w:t>
            </w:r>
          </w:p>
        </w:tc>
        <w:tc>
          <w:tcPr>
            <w:tcW w:w="1188" w:type="dxa"/>
            <w:vAlign w:val="center"/>
          </w:tcPr>
          <w:p w14:paraId="5409AD2C">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130.00</w:t>
            </w:r>
          </w:p>
        </w:tc>
        <w:tc>
          <w:tcPr>
            <w:tcW w:w="1210" w:type="dxa"/>
            <w:vAlign w:val="center"/>
          </w:tcPr>
          <w:p w14:paraId="32766C9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167.68</w:t>
            </w:r>
          </w:p>
        </w:tc>
        <w:tc>
          <w:tcPr>
            <w:tcW w:w="1199" w:type="dxa"/>
            <w:vAlign w:val="center"/>
          </w:tcPr>
          <w:p w14:paraId="73E1E51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118.82</w:t>
            </w:r>
          </w:p>
        </w:tc>
        <w:tc>
          <w:tcPr>
            <w:tcW w:w="1137" w:type="dxa"/>
            <w:vAlign w:val="center"/>
          </w:tcPr>
          <w:p w14:paraId="041B682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70.86%</w:t>
            </w:r>
          </w:p>
        </w:tc>
      </w:tr>
      <w:tr w14:paraId="44C7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113102F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113</w:t>
            </w:r>
          </w:p>
        </w:tc>
        <w:tc>
          <w:tcPr>
            <w:tcW w:w="2242" w:type="dxa"/>
            <w:vAlign w:val="center"/>
          </w:tcPr>
          <w:p w14:paraId="3644851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迭部县人民法院</w:t>
            </w:r>
          </w:p>
        </w:tc>
        <w:tc>
          <w:tcPr>
            <w:tcW w:w="1166" w:type="dxa"/>
            <w:vAlign w:val="center"/>
          </w:tcPr>
          <w:p w14:paraId="09FDDE7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19.51</w:t>
            </w:r>
          </w:p>
        </w:tc>
        <w:tc>
          <w:tcPr>
            <w:tcW w:w="1188" w:type="dxa"/>
            <w:vAlign w:val="center"/>
          </w:tcPr>
          <w:p w14:paraId="75FA084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10" w:type="dxa"/>
            <w:vAlign w:val="center"/>
          </w:tcPr>
          <w:p w14:paraId="688CA6C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119.51</w:t>
            </w:r>
          </w:p>
        </w:tc>
        <w:tc>
          <w:tcPr>
            <w:tcW w:w="1199" w:type="dxa"/>
            <w:vAlign w:val="center"/>
          </w:tcPr>
          <w:p w14:paraId="1218F33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99.09</w:t>
            </w:r>
          </w:p>
        </w:tc>
        <w:tc>
          <w:tcPr>
            <w:tcW w:w="1137" w:type="dxa"/>
            <w:vAlign w:val="center"/>
          </w:tcPr>
          <w:p w14:paraId="77E607F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82.91%</w:t>
            </w:r>
          </w:p>
        </w:tc>
      </w:tr>
      <w:tr w14:paraId="21C2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A8C65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114</w:t>
            </w:r>
          </w:p>
        </w:tc>
        <w:tc>
          <w:tcPr>
            <w:tcW w:w="2242" w:type="dxa"/>
            <w:vAlign w:val="center"/>
          </w:tcPr>
          <w:p w14:paraId="7DA6D2B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玛曲县人民法院</w:t>
            </w:r>
          </w:p>
        </w:tc>
        <w:tc>
          <w:tcPr>
            <w:tcW w:w="1166" w:type="dxa"/>
            <w:vAlign w:val="center"/>
          </w:tcPr>
          <w:p w14:paraId="47AD1F5D">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13.18</w:t>
            </w:r>
          </w:p>
        </w:tc>
        <w:tc>
          <w:tcPr>
            <w:tcW w:w="1188" w:type="dxa"/>
            <w:vAlign w:val="center"/>
          </w:tcPr>
          <w:p w14:paraId="74FBC559">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10" w:type="dxa"/>
            <w:vAlign w:val="center"/>
          </w:tcPr>
          <w:p w14:paraId="6C3239F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113.18</w:t>
            </w:r>
          </w:p>
        </w:tc>
        <w:tc>
          <w:tcPr>
            <w:tcW w:w="1199" w:type="dxa"/>
            <w:vAlign w:val="center"/>
          </w:tcPr>
          <w:p w14:paraId="13A83BA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89.28</w:t>
            </w:r>
          </w:p>
        </w:tc>
        <w:tc>
          <w:tcPr>
            <w:tcW w:w="1137" w:type="dxa"/>
            <w:vAlign w:val="center"/>
          </w:tcPr>
          <w:p w14:paraId="01789A36">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78.88%</w:t>
            </w:r>
          </w:p>
        </w:tc>
      </w:tr>
      <w:tr w14:paraId="051A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59FA307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115</w:t>
            </w:r>
          </w:p>
        </w:tc>
        <w:tc>
          <w:tcPr>
            <w:tcW w:w="2242" w:type="dxa"/>
            <w:vAlign w:val="center"/>
          </w:tcPr>
          <w:p w14:paraId="3DAD747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合作市人民法院</w:t>
            </w:r>
          </w:p>
        </w:tc>
        <w:tc>
          <w:tcPr>
            <w:tcW w:w="1166" w:type="dxa"/>
            <w:vAlign w:val="center"/>
          </w:tcPr>
          <w:p w14:paraId="4BEAD96E">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13.33</w:t>
            </w:r>
          </w:p>
        </w:tc>
        <w:tc>
          <w:tcPr>
            <w:tcW w:w="1188" w:type="dxa"/>
            <w:vAlign w:val="center"/>
          </w:tcPr>
          <w:p w14:paraId="5557C0F0">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155.00</w:t>
            </w:r>
          </w:p>
        </w:tc>
        <w:tc>
          <w:tcPr>
            <w:tcW w:w="1210" w:type="dxa"/>
            <w:vAlign w:val="center"/>
          </w:tcPr>
          <w:p w14:paraId="59F7D4E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168.33</w:t>
            </w:r>
          </w:p>
        </w:tc>
        <w:tc>
          <w:tcPr>
            <w:tcW w:w="1199" w:type="dxa"/>
            <w:vAlign w:val="center"/>
          </w:tcPr>
          <w:p w14:paraId="1765651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163.44</w:t>
            </w:r>
          </w:p>
        </w:tc>
        <w:tc>
          <w:tcPr>
            <w:tcW w:w="1137" w:type="dxa"/>
            <w:vAlign w:val="center"/>
          </w:tcPr>
          <w:p w14:paraId="38470268">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97.09%</w:t>
            </w:r>
          </w:p>
        </w:tc>
      </w:tr>
      <w:tr w14:paraId="1968B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9" w:type="dxa"/>
            <w:vAlign w:val="center"/>
          </w:tcPr>
          <w:p w14:paraId="700A98F9">
            <w:pPr>
              <w:jc w:val="both"/>
              <w:rPr>
                <w:rFonts w:hint="eastAsia" w:ascii="宋体" w:hAnsi="宋体" w:eastAsia="宋体" w:cs="宋体"/>
                <w:i w:val="0"/>
                <w:iCs w:val="0"/>
                <w:color w:val="000000"/>
                <w:kern w:val="0"/>
                <w:sz w:val="20"/>
                <w:szCs w:val="20"/>
                <w:u w:val="none"/>
                <w:lang w:val="en-US" w:eastAsia="zh-CN" w:bidi="ar"/>
              </w:rPr>
            </w:pPr>
          </w:p>
        </w:tc>
        <w:tc>
          <w:tcPr>
            <w:tcW w:w="2242" w:type="dxa"/>
            <w:vAlign w:val="center"/>
          </w:tcPr>
          <w:p w14:paraId="7E80C645">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合计</w:t>
            </w:r>
          </w:p>
        </w:tc>
        <w:tc>
          <w:tcPr>
            <w:tcW w:w="1166" w:type="dxa"/>
            <w:vAlign w:val="center"/>
          </w:tcPr>
          <w:p w14:paraId="0BD6CBC5">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2,185.47</w:t>
            </w:r>
          </w:p>
        </w:tc>
        <w:tc>
          <w:tcPr>
            <w:tcW w:w="1188" w:type="dxa"/>
            <w:vAlign w:val="center"/>
          </w:tcPr>
          <w:p w14:paraId="744B5993">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25,010.00</w:t>
            </w:r>
          </w:p>
        </w:tc>
        <w:tc>
          <w:tcPr>
            <w:tcW w:w="1210" w:type="dxa"/>
            <w:vAlign w:val="center"/>
          </w:tcPr>
          <w:p w14:paraId="5C2E64B7">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27,195.47</w:t>
            </w:r>
          </w:p>
        </w:tc>
        <w:tc>
          <w:tcPr>
            <w:tcW w:w="1199" w:type="dxa"/>
            <w:vAlign w:val="center"/>
          </w:tcPr>
          <w:p w14:paraId="2DD317FA">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26,052.10</w:t>
            </w:r>
          </w:p>
        </w:tc>
        <w:tc>
          <w:tcPr>
            <w:tcW w:w="1137" w:type="dxa"/>
            <w:vAlign w:val="center"/>
          </w:tcPr>
          <w:p w14:paraId="59384EDF">
            <w:pPr>
              <w:keepNext w:val="0"/>
              <w:keepLines w:val="0"/>
              <w:pageBreakBefore w:val="0"/>
              <w:widowControl/>
              <w:suppressLineNumbers w:val="0"/>
              <w:kinsoku/>
              <w:wordWrap/>
              <w:overflowPunct/>
              <w:topLinePunct w:val="0"/>
              <w:autoSpaceDE/>
              <w:autoSpaceDN/>
              <w:bidi w:val="0"/>
              <w:adjustRightInd/>
              <w:snapToGrid/>
              <w:jc w:val="right"/>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95.80%</w:t>
            </w:r>
          </w:p>
        </w:tc>
      </w:tr>
    </w:tbl>
    <w:p w14:paraId="389FF5DA">
      <w:pPr>
        <w:pStyle w:val="9"/>
        <w:overflowPunct w:val="0"/>
        <w:spacing w:line="560" w:lineRule="exact"/>
        <w:ind w:firstLine="643" w:firstLineChars="200"/>
        <w:outlineLvl w:val="1"/>
        <w:rPr>
          <w:rFonts w:ascii="楷体" w:hAnsi="楷体" w:eastAsia="楷体" w:cs="楷体"/>
          <w:b/>
          <w:bCs/>
          <w:highlight w:val="none"/>
        </w:rPr>
      </w:pPr>
      <w:bookmarkStart w:id="62" w:name="_Toc27366"/>
      <w:r>
        <w:rPr>
          <w:rFonts w:hint="eastAsia" w:ascii="楷体" w:hAnsi="楷体" w:eastAsia="楷体" w:cs="楷体"/>
          <w:b/>
          <w:bCs/>
          <w:highlight w:val="none"/>
        </w:rPr>
        <w:t>（三）项目计划内容及实施情况</w:t>
      </w:r>
      <w:bookmarkEnd w:id="60"/>
      <w:bookmarkEnd w:id="61"/>
      <w:bookmarkEnd w:id="62"/>
    </w:p>
    <w:p w14:paraId="6CE4E8DB">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1.项目计划内容</w:t>
      </w:r>
    </w:p>
    <w:p w14:paraId="22DA3321">
      <w:pPr>
        <w:pStyle w:val="9"/>
        <w:overflowPunct w:val="0"/>
        <w:spacing w:line="560" w:lineRule="exact"/>
        <w:ind w:firstLine="640" w:firstLineChars="200"/>
        <w:outlineLvl w:val="2"/>
        <w:rPr>
          <w:rFonts w:hint="eastAsia" w:ascii="仿宋_GB2312" w:hAnsi="仿宋_GB2312" w:cs="仿宋_GB2312"/>
          <w:highlight w:val="none"/>
        </w:rPr>
      </w:pPr>
      <w:r>
        <w:rPr>
          <w:rFonts w:hint="eastAsia" w:ascii="仿宋_GB2312" w:hAnsi="仿宋_GB2312" w:cs="仿宋_GB2312"/>
          <w:highlight w:val="none"/>
        </w:rPr>
        <w:t>一是确保全省法院审判工作的顺利开展，保证当年案件审判在规定时间内优质高效完成，使法定审限内结案率达到95%以上，当事人满意度达到90%以上；二是保障法院的重点工作；三是用于弥补公用经费不足。</w:t>
      </w:r>
    </w:p>
    <w:p w14:paraId="7F4CDF09">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2.项目实施情况</w:t>
      </w:r>
    </w:p>
    <w:p w14:paraId="328AB67F">
      <w:pPr>
        <w:pStyle w:val="14"/>
        <w:numPr>
          <w:ilvl w:val="0"/>
          <w:numId w:val="0"/>
        </w:numPr>
        <w:spacing w:line="560" w:lineRule="exact"/>
        <w:ind w:firstLine="640" w:firstLineChars="200"/>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通过项目的实施，一是确保了全省法院审判工作的顺利开展，保证当年案件审判在规定时间内优质高效完成，法定审限内结案率达到100%，当事人满意度达到95.69%；二是保障法院的重点工作，有效保障法院各项工作的有序开展；三是督促全省中、基层法院根据各自业务费预算做好采购工作，规范有效的使用专项资金。</w:t>
      </w:r>
    </w:p>
    <w:p w14:paraId="39EBC861">
      <w:pPr>
        <w:pStyle w:val="9"/>
        <w:overflowPunct w:val="0"/>
        <w:spacing w:line="560" w:lineRule="exact"/>
        <w:ind w:firstLine="643" w:firstLineChars="200"/>
        <w:outlineLvl w:val="1"/>
        <w:rPr>
          <w:rFonts w:ascii="楷体" w:hAnsi="楷体" w:eastAsia="楷体" w:cs="楷体"/>
          <w:b/>
          <w:bCs/>
          <w:highlight w:val="none"/>
        </w:rPr>
      </w:pPr>
      <w:bookmarkStart w:id="63" w:name="_Toc4490"/>
      <w:bookmarkStart w:id="64" w:name="_Toc25356"/>
      <w:bookmarkStart w:id="65" w:name="_Toc18281"/>
      <w:r>
        <w:rPr>
          <w:rFonts w:hint="eastAsia" w:ascii="楷体" w:hAnsi="楷体" w:eastAsia="楷体" w:cs="楷体"/>
          <w:b/>
          <w:bCs/>
          <w:highlight w:val="none"/>
        </w:rPr>
        <w:t>（四）项目组织管理</w:t>
      </w:r>
      <w:bookmarkEnd w:id="63"/>
      <w:bookmarkEnd w:id="64"/>
      <w:bookmarkEnd w:id="65"/>
    </w:p>
    <w:p w14:paraId="0AAED3CC">
      <w:pPr>
        <w:pStyle w:val="9"/>
        <w:overflowPunct w:val="0"/>
        <w:spacing w:line="560" w:lineRule="exact"/>
        <w:ind w:firstLine="643" w:firstLineChars="200"/>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1.项目组织流程</w:t>
      </w:r>
    </w:p>
    <w:p w14:paraId="328D1479">
      <w:pPr>
        <w:pStyle w:val="9"/>
        <w:overflowPunct w:val="0"/>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rPr>
        <w:t>预算资金拨付单位：甘肃省财政厅是项目预算资金的拨付单位，负责项目预算的审核批复，保证</w:t>
      </w:r>
      <w:r>
        <w:rPr>
          <w:rFonts w:hint="eastAsia" w:ascii="仿宋_GB2312" w:hAnsi="仿宋_GB2312" w:cs="仿宋_GB2312"/>
          <w:highlight w:val="none"/>
          <w:lang w:val="en-US" w:eastAsia="zh-CN"/>
        </w:rPr>
        <w:t>全省法院业务费</w:t>
      </w:r>
      <w:r>
        <w:rPr>
          <w:rFonts w:hint="eastAsia" w:ascii="仿宋_GB2312" w:hAnsi="仿宋_GB2312" w:cs="仿宋_GB2312"/>
          <w:highlight w:val="none"/>
        </w:rPr>
        <w:t>项目经费及时、足额拨付到位</w:t>
      </w:r>
      <w:r>
        <w:rPr>
          <w:rFonts w:hint="eastAsia" w:ascii="仿宋_GB2312" w:hAnsi="仿宋_GB2312" w:cs="仿宋_GB2312"/>
          <w:highlight w:val="none"/>
          <w:lang w:eastAsia="zh-CN"/>
        </w:rPr>
        <w:t>，</w:t>
      </w:r>
      <w:r>
        <w:rPr>
          <w:rFonts w:hint="eastAsia" w:ascii="仿宋_GB2312" w:hAnsi="仿宋_GB2312" w:cs="仿宋_GB2312"/>
          <w:highlight w:val="none"/>
        </w:rPr>
        <w:t>对资金使用情况进行监督管理</w:t>
      </w:r>
      <w:r>
        <w:rPr>
          <w:rFonts w:hint="eastAsia" w:ascii="仿宋_GB2312" w:hAnsi="仿宋_GB2312" w:cs="仿宋_GB2312"/>
          <w:highlight w:val="none"/>
          <w:lang w:eastAsia="zh-CN"/>
        </w:rPr>
        <w:t>；</w:t>
      </w:r>
    </w:p>
    <w:p w14:paraId="3C970EC7">
      <w:pPr>
        <w:pStyle w:val="9"/>
        <w:overflowPunct w:val="0"/>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项目主管部门：</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是项目的主管部门，对</w:t>
      </w:r>
      <w:r>
        <w:rPr>
          <w:rFonts w:hint="eastAsia" w:ascii="仿宋_GB2312" w:hAnsi="仿宋_GB2312" w:cs="仿宋_GB2312"/>
          <w:highlight w:val="none"/>
          <w:lang w:val="en-US" w:eastAsia="zh-CN"/>
        </w:rPr>
        <w:t>全省中、基层法院</w:t>
      </w:r>
      <w:r>
        <w:rPr>
          <w:rFonts w:hint="eastAsia" w:ascii="仿宋_GB2312" w:hAnsi="仿宋_GB2312" w:cs="仿宋_GB2312"/>
          <w:highlight w:val="none"/>
        </w:rPr>
        <w:t>实施的项目进行监督管理，对全省法院业务费项目进行绩效监控、绩效自评，并出具自评报告；</w:t>
      </w:r>
    </w:p>
    <w:p w14:paraId="3DE536DB">
      <w:pPr>
        <w:pStyle w:val="9"/>
        <w:overflowPunct w:val="0"/>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预算执行单位：</w:t>
      </w:r>
      <w:r>
        <w:rPr>
          <w:rFonts w:hint="eastAsia" w:ascii="仿宋_GB2312" w:hAnsi="仿宋_GB2312" w:cs="仿宋_GB2312"/>
          <w:highlight w:val="none"/>
          <w:lang w:val="en-US" w:eastAsia="zh-CN"/>
        </w:rPr>
        <w:t>全省</w:t>
      </w:r>
      <w:r>
        <w:rPr>
          <w:rFonts w:hint="eastAsia" w:ascii="仿宋_GB2312" w:hAnsi="仿宋_GB2312" w:cs="仿宋_GB2312"/>
          <w:highlight w:val="none"/>
        </w:rPr>
        <w:t>中、基层法院负责规划、指导、监督本辖区和本院</w:t>
      </w:r>
      <w:r>
        <w:rPr>
          <w:rFonts w:hint="eastAsia" w:ascii="仿宋_GB2312" w:hAnsi="仿宋_GB2312" w:cs="仿宋_GB2312"/>
          <w:highlight w:val="none"/>
          <w:lang w:val="en-US" w:eastAsia="zh-CN"/>
        </w:rPr>
        <w:t>全省法院业务费项目</w:t>
      </w:r>
      <w:r>
        <w:rPr>
          <w:rFonts w:hint="eastAsia" w:ascii="仿宋_GB2312" w:hAnsi="仿宋_GB2312" w:cs="仿宋_GB2312"/>
          <w:highlight w:val="none"/>
        </w:rPr>
        <w:t>，考核项目</w:t>
      </w:r>
      <w:r>
        <w:rPr>
          <w:rFonts w:hint="eastAsia" w:ascii="仿宋_GB2312" w:hAnsi="仿宋_GB2312" w:cs="仿宋_GB2312"/>
          <w:highlight w:val="none"/>
          <w:lang w:val="en-US" w:eastAsia="zh-CN"/>
        </w:rPr>
        <w:t>资金使用</w:t>
      </w:r>
      <w:r>
        <w:rPr>
          <w:rFonts w:hint="eastAsia" w:ascii="仿宋_GB2312" w:hAnsi="仿宋_GB2312" w:cs="仿宋_GB2312"/>
          <w:highlight w:val="none"/>
        </w:rPr>
        <w:t>成效。</w:t>
      </w:r>
    </w:p>
    <w:p w14:paraId="40308798">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sz w:val="32"/>
          <w:szCs w:val="32"/>
          <w:highlight w:val="none"/>
          <w:lang w:val="en-US"/>
        </w:rPr>
      </w:pPr>
      <w:r>
        <w:rPr>
          <w:rFonts w:hint="eastAsia" w:ascii="仿宋_GB2312" w:hAnsi="仿宋_GB2312" w:cs="仿宋_GB2312"/>
          <w:b/>
          <w:bCs/>
          <w:sz w:val="32"/>
          <w:szCs w:val="32"/>
          <w:highlight w:val="none"/>
          <w:lang w:val="en-US" w:eastAsia="zh-CN"/>
        </w:rPr>
        <w:t>2.项目实施流程</w:t>
      </w:r>
    </w:p>
    <w:p w14:paraId="2475CB05">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项目的实施流程包括</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项目资金预算申报、项目</w:t>
      </w:r>
      <w:r>
        <w:rPr>
          <w:rFonts w:hint="eastAsia" w:ascii="仿宋_GB2312" w:hAnsi="仿宋_GB2312" w:cs="仿宋_GB2312"/>
          <w:sz w:val="32"/>
          <w:szCs w:val="32"/>
          <w:highlight w:val="none"/>
          <w:lang w:val="en-US" w:eastAsia="zh-CN"/>
        </w:rPr>
        <w:t>资金实施管理</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项目资金绩效管理</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项目资金监督管理</w:t>
      </w:r>
      <w:r>
        <w:rPr>
          <w:rFonts w:hint="eastAsia" w:ascii="仿宋_GB2312" w:hAnsi="仿宋_GB2312" w:eastAsia="仿宋_GB2312" w:cs="仿宋_GB2312"/>
          <w:sz w:val="32"/>
          <w:szCs w:val="32"/>
          <w:highlight w:val="none"/>
        </w:rPr>
        <w:t>等流程。</w:t>
      </w:r>
    </w:p>
    <w:p w14:paraId="491F8C17">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项目资金预算申报</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各中、基层法院作为省级财政部门的预算单位，按年度、按程序、按要求编制项目资金预算。凡是经过省财政部门审定列入部门预算，报请人代会批准后，由甘肃省财政厅做预算批复并下达指标，其中包括已细化至各中、基层法院的项目资金，确定由甘肃省高级人民法院统筹提出分配意见的项目预算经费，由甘肃省高级人民法院在预算执行过程中对各中、基层法院的申请进行合规性、真实性、可行性做初审筛选后，每季度末向甘肃省财政厅申报</w:t>
      </w:r>
      <w:r>
        <w:rPr>
          <w:rFonts w:hint="eastAsia" w:ascii="仿宋_GB2312" w:hAnsi="仿宋_GB2312" w:cs="仿宋_GB2312"/>
          <w:sz w:val="32"/>
          <w:szCs w:val="32"/>
          <w:highlight w:val="none"/>
          <w:lang w:eastAsia="zh-CN"/>
        </w:rPr>
        <w:t>；</w:t>
      </w:r>
    </w:p>
    <w:p w14:paraId="377CC95E">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项目资金实施管理</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项目资金预算经甘肃省财政部门或甘肃省发改部门按照程序审核、调整、修改、批准后，通过部门预算系统和国库集中支付系统，将资金指标分配下达到各中、基层法院，各中、基层法院严格按照项目资金计划和项目进度申报用款计划</w:t>
      </w:r>
      <w:r>
        <w:rPr>
          <w:rFonts w:hint="eastAsia" w:ascii="仿宋_GB2312" w:hAnsi="仿宋_GB2312" w:cs="仿宋_GB2312"/>
          <w:sz w:val="32"/>
          <w:szCs w:val="32"/>
          <w:highlight w:val="none"/>
          <w:lang w:eastAsia="zh-CN"/>
        </w:rPr>
        <w:t>；</w:t>
      </w:r>
    </w:p>
    <w:p w14:paraId="1A151940">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cs="仿宋_GB2312"/>
          <w:sz w:val="32"/>
          <w:szCs w:val="32"/>
          <w:highlight w:val="none"/>
          <w:lang w:val="en-US" w:eastAsia="zh-CN"/>
        </w:rPr>
        <w:t>项目资金绩效管理</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各</w:t>
      </w:r>
      <w:r>
        <w:rPr>
          <w:rFonts w:hint="eastAsia" w:ascii="仿宋_GB2312" w:hAnsi="仿宋_GB2312" w:cs="仿宋_GB2312"/>
          <w:sz w:val="32"/>
          <w:szCs w:val="32"/>
          <w:highlight w:val="none"/>
          <w:lang w:val="en-US" w:eastAsia="zh-CN"/>
        </w:rPr>
        <w:t>中、基层法院</w:t>
      </w:r>
      <w:r>
        <w:rPr>
          <w:rFonts w:hint="eastAsia" w:ascii="仿宋_GB2312" w:hAnsi="仿宋_GB2312" w:eastAsia="仿宋_GB2312" w:cs="仿宋_GB2312"/>
          <w:sz w:val="32"/>
          <w:szCs w:val="32"/>
          <w:highlight w:val="none"/>
        </w:rPr>
        <w:t>每年度在做预算编制前，按照规定时间、程序先编制项目资金预算绩效目标。项目资金预算绩效目标将作为预算编制、执行、审计的约束性条件推进预算绩效管理与预算编制、执行、监督有机结合，提高预算编制的科学性、合理性和规范性。项目资金预算绩效评价结果作为以后年度资金安排的参考依据。对绩效评价不达标、资金损失浪费严重、发生违反财经纪律、存在重大责任事故的项目，取消项目实施单位下一年度同类财政专项资金的申报资格</w:t>
      </w:r>
      <w:r>
        <w:rPr>
          <w:rFonts w:hint="eastAsia" w:ascii="仿宋_GB2312" w:hAnsi="仿宋_GB2312" w:cs="仿宋_GB2312"/>
          <w:sz w:val="32"/>
          <w:szCs w:val="32"/>
          <w:highlight w:val="none"/>
          <w:lang w:eastAsia="zh-CN"/>
        </w:rPr>
        <w:t>；</w:t>
      </w:r>
    </w:p>
    <w:p w14:paraId="5FF22164">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default" w:ascii="仿宋_GB2312" w:hAnsi="仿宋_GB2312" w:eastAsia="仿宋_GB2312" w:cs="仿宋_GB2312"/>
          <w:sz w:val="32"/>
          <w:szCs w:val="32"/>
          <w:highlight w:val="none"/>
          <w:lang w:val="en-US"/>
        </w:rPr>
      </w:pPr>
      <w:r>
        <w:rPr>
          <w:rFonts w:hint="eastAsia" w:ascii="仿宋_GB2312" w:hAnsi="仿宋_GB2312" w:cs="仿宋_GB2312"/>
          <w:sz w:val="32"/>
          <w:szCs w:val="32"/>
          <w:highlight w:val="none"/>
          <w:lang w:val="en-US" w:eastAsia="zh-CN"/>
        </w:rPr>
        <w:t>项目资金监督管理</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各中、基层法院在项目资金的管理中主动接受甘肃省高级人民法院内审机构、财政、审计等部门的监督检查。甘肃省高级人民法院联合甘肃省财政厅、甘肃省发展和改革委员会等职能部门定期或不定期的对专项资金使用和项目进展进行监督检查，督促各中、基层法院加强专项资金使用和项目管理。</w:t>
      </w:r>
    </w:p>
    <w:p w14:paraId="3FD0086C">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资金管理流程</w:t>
      </w:r>
    </w:p>
    <w:p w14:paraId="12ECA077">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地方法院经费保障实行省级统一管理体制，甘肃省高级人民法院秉承“问题导向和需求导向”的原则，得到了甘肃省财政厅的大力支持，在甘肃省高级人民法院的部门预算中安排了全省法院业务费，为改善各级法院办案办公条件提供了经费保障。</w:t>
      </w:r>
    </w:p>
    <w:p w14:paraId="150F5EF4">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依据甘肃省高级人民法院年度部门预算下达预算指标，各级法院按照国库集中支付规定科学编报用款计划，合法合规办理直接支付或授权支付业务。全省法院业务费主要是紧紧围绕我省法院审判办案所需业务经费以及与办案有关的一些经费支出，主要用于各级法院保障审判法庭的水、电、暖费用，物业费、法院信息化运维经费、数字化扫描档案经费等资金。</w:t>
      </w:r>
    </w:p>
    <w:p w14:paraId="5685CBA5">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w:t>
      </w:r>
      <w:r>
        <w:rPr>
          <w:rFonts w:hint="eastAsia" w:ascii="仿宋_GB2312" w:hAnsi="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资金按照“谁主办，谁负责”的原则，</w:t>
      </w:r>
      <w:r>
        <w:rPr>
          <w:rFonts w:hint="eastAsia" w:ascii="仿宋_GB2312" w:hAnsi="仿宋_GB2312" w:cs="仿宋_GB2312"/>
          <w:sz w:val="32"/>
          <w:szCs w:val="32"/>
          <w:highlight w:val="none"/>
          <w:lang w:val="en-US" w:eastAsia="zh-CN"/>
        </w:rPr>
        <w:t>各中、基层法院依据相关项目资金的科目规范核算资金，纳入年度部门决算，并接受审计部门和上级法院的监督检查。</w:t>
      </w:r>
    </w:p>
    <w:p w14:paraId="216507E4">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outlineLvl w:val="0"/>
        <w:rPr>
          <w:rFonts w:ascii="黑体" w:eastAsia="黑体"/>
          <w:highlight w:val="none"/>
        </w:rPr>
      </w:pPr>
      <w:bookmarkStart w:id="66" w:name="_Toc319"/>
      <w:bookmarkStart w:id="67" w:name="_Toc29508"/>
      <w:bookmarkStart w:id="68" w:name="_Toc30254"/>
      <w:r>
        <w:rPr>
          <w:rFonts w:hint="eastAsia" w:ascii="黑体" w:eastAsia="黑体"/>
          <w:highlight w:val="none"/>
        </w:rPr>
        <w:t>二、项目绩效目标</w:t>
      </w:r>
      <w:bookmarkEnd w:id="66"/>
      <w:bookmarkEnd w:id="67"/>
      <w:bookmarkEnd w:id="68"/>
    </w:p>
    <w:p w14:paraId="7A0CE0F1">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69" w:name="_Toc21140"/>
      <w:bookmarkStart w:id="70" w:name="_Toc28577"/>
      <w:bookmarkStart w:id="71" w:name="_Toc12389"/>
      <w:r>
        <w:rPr>
          <w:rFonts w:hint="eastAsia" w:ascii="楷体" w:hAnsi="楷体" w:eastAsia="楷体" w:cs="楷体"/>
          <w:b/>
          <w:bCs/>
          <w:highlight w:val="none"/>
        </w:rPr>
        <w:t>（一）总体目标</w:t>
      </w:r>
      <w:bookmarkEnd w:id="69"/>
      <w:bookmarkEnd w:id="70"/>
      <w:bookmarkEnd w:id="71"/>
    </w:p>
    <w:p w14:paraId="64B14487">
      <w:pPr>
        <w:pStyle w:val="14"/>
        <w:keepNext w:val="0"/>
        <w:keepLines w:val="0"/>
        <w:pageBreakBefore w:val="0"/>
        <w:widowControl w:val="0"/>
        <w:kinsoku/>
        <w:wordWrap/>
        <w:topLinePunct w:val="0"/>
        <w:autoSpaceDE/>
        <w:autoSpaceDN/>
        <w:bidi w:val="0"/>
        <w:adjustRightInd/>
        <w:spacing w:line="60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bookmarkStart w:id="72" w:name="_Toc26047"/>
      <w:bookmarkStart w:id="73" w:name="_Toc32085"/>
      <w:r>
        <w:rPr>
          <w:rFonts w:hint="eastAsia" w:ascii="仿宋_GB2312" w:hAnsi="仿宋_GB2312" w:eastAsia="仿宋_GB2312" w:cs="仿宋_GB2312"/>
          <w:kern w:val="2"/>
          <w:sz w:val="32"/>
          <w:szCs w:val="32"/>
          <w:highlight w:val="none"/>
          <w:lang w:val="en-US" w:eastAsia="zh-CN" w:bidi="ar-SA"/>
        </w:rPr>
        <w:t>确保全省法院审判工作的顺利开展，保证当年案件审判在规定时间内优质高效完成，使法定审限内结案率达到90%以上，人民群众满意度达到85%以上，为促进案件审判及法院各项事业运转提供有力保障。</w:t>
      </w:r>
    </w:p>
    <w:p w14:paraId="634158AD">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74" w:name="_Toc13277"/>
      <w:r>
        <w:rPr>
          <w:rFonts w:hint="eastAsia" w:ascii="楷体" w:hAnsi="楷体" w:eastAsia="楷体" w:cs="楷体"/>
          <w:b/>
          <w:bCs/>
          <w:highlight w:val="none"/>
        </w:rPr>
        <w:t>（二）年度目标</w:t>
      </w:r>
      <w:bookmarkEnd w:id="72"/>
      <w:bookmarkEnd w:id="73"/>
      <w:bookmarkEnd w:id="74"/>
    </w:p>
    <w:p w14:paraId="24CD3DAC">
      <w:pPr>
        <w:pStyle w:val="14"/>
        <w:keepNext w:val="0"/>
        <w:keepLines w:val="0"/>
        <w:pageBreakBefore w:val="0"/>
        <w:widowControl w:val="0"/>
        <w:kinsoku/>
        <w:wordWrap/>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bookmarkStart w:id="75" w:name="_Toc7330"/>
      <w:bookmarkStart w:id="76" w:name="_Toc11613"/>
      <w:r>
        <w:rPr>
          <w:rFonts w:hint="eastAsia" w:ascii="仿宋_GB2312" w:hAnsi="仿宋_GB2312" w:eastAsia="仿宋_GB2312" w:cs="仿宋_GB2312"/>
          <w:kern w:val="2"/>
          <w:sz w:val="32"/>
          <w:szCs w:val="32"/>
          <w:highlight w:val="none"/>
          <w:lang w:val="en-US" w:eastAsia="zh-CN" w:bidi="ar-SA"/>
        </w:rPr>
        <w:t>一是确保全省法院审判工作的顺利开展，保证当年案件审判在规定时间内优质高效完成，使法定审限内结案率达到95%以上，当事人满意度达到90%以上；二是保障法院的重点工作；三是用于弥补公用经费不足。</w:t>
      </w:r>
      <w:r>
        <w:rPr>
          <w:rFonts w:hint="eastAsia" w:ascii="仿宋_GB2312" w:hAnsi="仿宋_GB2312" w:eastAsia="仿宋_GB2312" w:cs="仿宋_GB2312"/>
          <w:sz w:val="32"/>
          <w:szCs w:val="32"/>
          <w:highlight w:val="none"/>
        </w:rPr>
        <w:t>具体指标详见下表：</w:t>
      </w:r>
      <w:bookmarkEnd w:id="75"/>
      <w:bookmarkEnd w:id="76"/>
    </w:p>
    <w:tbl>
      <w:tblPr>
        <w:tblStyle w:val="19"/>
        <w:tblpPr w:leftFromText="180" w:rightFromText="180" w:vertAnchor="text" w:horzAnchor="page" w:tblpX="1736" w:tblpY="28"/>
        <w:tblOverlap w:val="never"/>
        <w:tblW w:w="4895" w:type="pct"/>
        <w:tblInd w:w="0" w:type="dxa"/>
        <w:tblLayout w:type="autofit"/>
        <w:tblCellMar>
          <w:top w:w="0" w:type="dxa"/>
          <w:left w:w="108" w:type="dxa"/>
          <w:bottom w:w="0" w:type="dxa"/>
          <w:right w:w="108" w:type="dxa"/>
        </w:tblCellMar>
      </w:tblPr>
      <w:tblGrid>
        <w:gridCol w:w="1627"/>
        <w:gridCol w:w="1778"/>
        <w:gridCol w:w="3241"/>
        <w:gridCol w:w="1858"/>
      </w:tblGrid>
      <w:tr w14:paraId="49B494B2">
        <w:tblPrEx>
          <w:tblCellMar>
            <w:top w:w="0" w:type="dxa"/>
            <w:left w:w="108" w:type="dxa"/>
            <w:bottom w:w="0" w:type="dxa"/>
            <w:right w:w="108" w:type="dxa"/>
          </w:tblCellMar>
        </w:tblPrEx>
        <w:trPr>
          <w:trHeight w:val="567" w:hRule="atLeast"/>
          <w:tblHeader/>
        </w:trPr>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0352C">
            <w:pPr>
              <w:widowControl/>
              <w:jc w:val="center"/>
              <w:textAlignment w:val="center"/>
              <w:rPr>
                <w:rFonts w:hint="eastAsia" w:ascii="宋体" w:hAnsi="宋体" w:eastAsia="宋体" w:cs="宋体"/>
                <w:b/>
                <w:bCs/>
                <w:color w:val="auto"/>
                <w:kern w:val="0"/>
                <w:sz w:val="20"/>
                <w:szCs w:val="20"/>
                <w:highlight w:val="none"/>
                <w:lang w:bidi="ar"/>
              </w:rPr>
            </w:pPr>
            <w:bookmarkStart w:id="77" w:name="_Toc24688"/>
            <w:bookmarkStart w:id="78" w:name="_Toc11016"/>
            <w:r>
              <w:rPr>
                <w:rFonts w:hint="eastAsia" w:ascii="宋体" w:hAnsi="宋体" w:eastAsia="宋体" w:cs="宋体"/>
                <w:b/>
                <w:bCs/>
                <w:color w:val="auto"/>
                <w:kern w:val="0"/>
                <w:sz w:val="20"/>
                <w:szCs w:val="20"/>
                <w:highlight w:val="none"/>
                <w:lang w:bidi="ar"/>
              </w:rPr>
              <w:t>一级指标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5F49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9923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A7A6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r>
      <w:tr w14:paraId="332A22B0">
        <w:tblPrEx>
          <w:tblCellMar>
            <w:top w:w="0" w:type="dxa"/>
            <w:left w:w="108" w:type="dxa"/>
            <w:bottom w:w="0" w:type="dxa"/>
            <w:right w:w="108" w:type="dxa"/>
          </w:tblCellMar>
        </w:tblPrEx>
        <w:trPr>
          <w:trHeight w:val="567" w:hRule="atLeast"/>
        </w:trPr>
        <w:tc>
          <w:tcPr>
            <w:tcW w:w="956" w:type="pct"/>
            <w:tcBorders>
              <w:top w:val="single" w:color="000000" w:sz="4" w:space="0"/>
              <w:left w:val="single" w:color="000000" w:sz="4" w:space="0"/>
              <w:bottom w:val="single" w:color="auto" w:sz="4" w:space="0"/>
              <w:right w:val="single" w:color="000000" w:sz="4" w:space="0"/>
            </w:tcBorders>
            <w:shd w:val="clear" w:color="auto" w:fill="auto"/>
            <w:vAlign w:val="center"/>
          </w:tcPr>
          <w:p w14:paraId="29C56976">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b/>
                <w:bCs/>
                <w:i w:val="0"/>
                <w:iCs w:val="0"/>
                <w:color w:val="auto"/>
                <w:kern w:val="0"/>
                <w:sz w:val="20"/>
                <w:szCs w:val="20"/>
                <w:u w:val="none"/>
                <w:lang w:val="en-US" w:eastAsia="zh-CN" w:bidi="ar"/>
              </w:rPr>
              <w:t>成本指标</w:t>
            </w:r>
          </w:p>
        </w:tc>
        <w:tc>
          <w:tcPr>
            <w:tcW w:w="1045" w:type="pct"/>
            <w:tcBorders>
              <w:top w:val="single" w:color="000000" w:sz="4" w:space="0"/>
              <w:left w:val="single" w:color="000000" w:sz="4" w:space="0"/>
              <w:bottom w:val="single" w:color="auto" w:sz="4" w:space="0"/>
              <w:right w:val="single" w:color="000000" w:sz="4" w:space="0"/>
            </w:tcBorders>
            <w:shd w:val="clear" w:color="auto" w:fill="auto"/>
            <w:vAlign w:val="center"/>
          </w:tcPr>
          <w:p w14:paraId="374F7262">
            <w:pPr>
              <w:keepNext w:val="0"/>
              <w:keepLines w:val="0"/>
              <w:widowControl/>
              <w:suppressLineNumbers w:val="0"/>
              <w:jc w:val="center"/>
              <w:textAlignment w:val="center"/>
              <w:rPr>
                <w:rFonts w:hint="eastAsia" w:ascii="宋体" w:hAnsi="宋体" w:eastAsia="宋体" w:cs="宋体"/>
                <w:color w:val="auto"/>
                <w:sz w:val="20"/>
                <w:szCs w:val="20"/>
                <w:highlight w:val="yellow"/>
                <w:lang w:val="en-US" w:eastAsia="zh-CN"/>
              </w:rPr>
            </w:pPr>
            <w:r>
              <w:rPr>
                <w:rFonts w:hint="eastAsia" w:ascii="宋体" w:hAnsi="宋体" w:eastAsia="宋体" w:cs="宋体"/>
                <w:i w:val="0"/>
                <w:iCs w:val="0"/>
                <w:color w:val="auto"/>
                <w:kern w:val="0"/>
                <w:sz w:val="20"/>
                <w:szCs w:val="20"/>
                <w:u w:val="none"/>
                <w:lang w:val="en-US" w:eastAsia="zh-CN" w:bidi="ar"/>
              </w:rPr>
              <w:t>经济成本指标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D55E1">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成本控制情况</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00038">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定额标准内</w:t>
            </w:r>
          </w:p>
        </w:tc>
      </w:tr>
      <w:tr w14:paraId="2F666889">
        <w:tblPrEx>
          <w:tblCellMar>
            <w:top w:w="0" w:type="dxa"/>
            <w:left w:w="108" w:type="dxa"/>
            <w:bottom w:w="0" w:type="dxa"/>
            <w:right w:w="108" w:type="dxa"/>
          </w:tblCellMar>
        </w:tblPrEx>
        <w:trPr>
          <w:trHeight w:val="567" w:hRule="atLeast"/>
        </w:trPr>
        <w:tc>
          <w:tcPr>
            <w:tcW w:w="956"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EB34B49">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b/>
                <w:bCs/>
                <w:i w:val="0"/>
                <w:iCs w:val="0"/>
                <w:color w:val="auto"/>
                <w:kern w:val="0"/>
                <w:sz w:val="20"/>
                <w:szCs w:val="20"/>
                <w:u w:val="none"/>
                <w:lang w:val="en-US" w:eastAsia="zh-CN" w:bidi="ar"/>
              </w:rPr>
              <w:t>产出指标</w:t>
            </w: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9450DF2">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数量指标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DFC8F">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全省法院执行案件结案率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1A842">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&gt;=85%</w:t>
            </w:r>
          </w:p>
        </w:tc>
      </w:tr>
      <w:tr w14:paraId="1FB622BD">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77F6FF0">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38EDD5">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D2D6D">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全省法院行政案件结案率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5B1C0">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&gt;=90%</w:t>
            </w:r>
          </w:p>
        </w:tc>
      </w:tr>
      <w:tr w14:paraId="5DD84197">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F4F492">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70BBB0">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236AA">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全省法院刑事案件结案率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A7B0D">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&gt;=90%</w:t>
            </w:r>
          </w:p>
        </w:tc>
      </w:tr>
      <w:tr w14:paraId="4FA01A0B">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8E488E">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03DC0E">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0E2DB">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全省法院民商事案件结案率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62EEF">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&gt;=90%</w:t>
            </w:r>
          </w:p>
        </w:tc>
      </w:tr>
      <w:tr w14:paraId="45C9A653">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C375D1">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BAC49D">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C6EEF">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保障法院数</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AE105">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=115家</w:t>
            </w:r>
          </w:p>
        </w:tc>
      </w:tr>
      <w:tr w14:paraId="5980B442">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26812E">
            <w:pPr>
              <w:jc w:val="center"/>
              <w:rPr>
                <w:rFonts w:hint="eastAsia" w:ascii="宋体" w:hAnsi="宋体" w:eastAsia="宋体" w:cs="宋体"/>
                <w:color w:val="auto"/>
                <w:sz w:val="20"/>
                <w:szCs w:val="20"/>
                <w:highlight w:val="yellow"/>
              </w:rPr>
            </w:pP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5484C24">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质量指标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D547E">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一审服判息诉率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5843F">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&gt;=90%</w:t>
            </w:r>
          </w:p>
        </w:tc>
      </w:tr>
      <w:tr w14:paraId="7D05F8BE">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0ED365">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402D56">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38018">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信息化运维服务完成率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20D48">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=100%</w:t>
            </w:r>
          </w:p>
        </w:tc>
      </w:tr>
      <w:tr w14:paraId="0A243AD0">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ECBF5DB">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BAFFE6">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6D3CE">
            <w:pPr>
              <w:keepNext w:val="0"/>
              <w:keepLines w:val="0"/>
              <w:widowControl/>
              <w:suppressLineNumbers w:val="0"/>
              <w:jc w:val="left"/>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维修维护项目完成率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E56BF">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=100%</w:t>
            </w:r>
          </w:p>
        </w:tc>
      </w:tr>
      <w:tr w14:paraId="461AEF6D">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5C7171">
            <w:pPr>
              <w:jc w:val="center"/>
              <w:rPr>
                <w:rFonts w:hint="eastAsia" w:ascii="宋体" w:hAnsi="宋体" w:eastAsia="宋体" w:cs="宋体"/>
                <w:color w:val="auto"/>
                <w:sz w:val="20"/>
                <w:szCs w:val="20"/>
                <w:highlight w:val="yellow"/>
              </w:rPr>
            </w:pP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85BC09">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时效指标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EADA1">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办案经费支付及时率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E9A09">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=100%</w:t>
            </w:r>
          </w:p>
        </w:tc>
      </w:tr>
      <w:tr w14:paraId="66E148B1">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4BA0D0">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8D3C5A">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27C94">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信息化运维工作及时性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D0FD1">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及时</w:t>
            </w:r>
          </w:p>
        </w:tc>
      </w:tr>
      <w:tr w14:paraId="24D28B11">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A0C2C1">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F96A684">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C5F77">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维修修护及时性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58A66">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及时</w:t>
            </w:r>
          </w:p>
        </w:tc>
      </w:tr>
      <w:tr w14:paraId="09C4DE98">
        <w:tblPrEx>
          <w:tblCellMar>
            <w:top w:w="0" w:type="dxa"/>
            <w:left w:w="108" w:type="dxa"/>
            <w:bottom w:w="0" w:type="dxa"/>
            <w:right w:w="108" w:type="dxa"/>
          </w:tblCellMar>
        </w:tblPrEx>
        <w:trPr>
          <w:trHeight w:val="567" w:hRule="atLeast"/>
        </w:trPr>
        <w:tc>
          <w:tcPr>
            <w:tcW w:w="956"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074B90C">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b/>
                <w:bCs/>
                <w:i w:val="0"/>
                <w:iCs w:val="0"/>
                <w:color w:val="auto"/>
                <w:kern w:val="0"/>
                <w:sz w:val="20"/>
                <w:szCs w:val="20"/>
                <w:u w:val="none"/>
                <w:lang w:val="en-US" w:eastAsia="zh-CN" w:bidi="ar"/>
              </w:rPr>
              <w:t>效益指标</w:t>
            </w:r>
          </w:p>
        </w:tc>
        <w:tc>
          <w:tcPr>
            <w:tcW w:w="1045" w:type="pct"/>
            <w:tcBorders>
              <w:top w:val="single" w:color="auto" w:sz="4" w:space="0"/>
              <w:left w:val="single" w:color="000000" w:sz="4" w:space="0"/>
              <w:bottom w:val="single" w:color="auto" w:sz="4" w:space="0"/>
              <w:right w:val="single" w:color="000000" w:sz="4" w:space="0"/>
            </w:tcBorders>
            <w:shd w:val="clear" w:color="auto" w:fill="auto"/>
            <w:vAlign w:val="center"/>
          </w:tcPr>
          <w:p w14:paraId="52EC3E3F">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经济效益指标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1BE40">
            <w:pPr>
              <w:keepNext w:val="0"/>
              <w:keepLines w:val="0"/>
              <w:widowControl/>
              <w:suppressLineNumbers w:val="0"/>
              <w:jc w:val="left"/>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挽回经济损失效果</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28158">
            <w:pPr>
              <w:keepNext w:val="0"/>
              <w:keepLines w:val="0"/>
              <w:widowControl/>
              <w:suppressLineNumbers w:val="0"/>
              <w:jc w:val="center"/>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显著</w:t>
            </w:r>
          </w:p>
        </w:tc>
      </w:tr>
      <w:tr w14:paraId="60A212E3">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9658835">
            <w:pPr>
              <w:jc w:val="center"/>
              <w:rPr>
                <w:rFonts w:hint="eastAsia" w:ascii="宋体" w:hAnsi="宋体" w:eastAsia="宋体" w:cs="宋体"/>
                <w:color w:val="auto"/>
                <w:sz w:val="20"/>
                <w:szCs w:val="20"/>
                <w:highlight w:val="yellow"/>
              </w:rPr>
            </w:pP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FA0CAE0">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社会效益指标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D5D4D">
            <w:pPr>
              <w:keepNext w:val="0"/>
              <w:keepLines w:val="0"/>
              <w:widowControl/>
              <w:suppressLineNumbers w:val="0"/>
              <w:jc w:val="left"/>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维护社会稳定</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8BBC1">
            <w:pPr>
              <w:keepNext w:val="0"/>
              <w:keepLines w:val="0"/>
              <w:widowControl/>
              <w:suppressLineNumbers w:val="0"/>
              <w:jc w:val="center"/>
              <w:textAlignment w:val="center"/>
              <w:rPr>
                <w:rStyle w:val="37"/>
                <w:rFonts w:hint="eastAsia" w:ascii="宋体" w:hAnsi="宋体" w:eastAsia="宋体" w:cs="宋体"/>
                <w:color w:val="auto"/>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良好</w:t>
            </w:r>
          </w:p>
        </w:tc>
      </w:tr>
      <w:tr w14:paraId="0C0D3BC8">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EEA59A">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AAACEA1">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1C9E2">
            <w:pPr>
              <w:keepNext w:val="0"/>
              <w:keepLines w:val="0"/>
              <w:widowControl/>
              <w:suppressLineNumbers w:val="0"/>
              <w:jc w:val="left"/>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有效保障审判服务</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2DAC5">
            <w:pPr>
              <w:keepNext w:val="0"/>
              <w:keepLines w:val="0"/>
              <w:widowControl/>
              <w:suppressLineNumbers w:val="0"/>
              <w:jc w:val="center"/>
              <w:textAlignment w:val="center"/>
              <w:rPr>
                <w:rStyle w:val="37"/>
                <w:rFonts w:hint="eastAsia" w:ascii="宋体" w:hAnsi="宋体" w:eastAsia="宋体" w:cs="宋体"/>
                <w:color w:val="auto"/>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有效保障</w:t>
            </w:r>
          </w:p>
        </w:tc>
      </w:tr>
      <w:tr w14:paraId="21D9A900">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871C32">
            <w:pPr>
              <w:jc w:val="center"/>
              <w:rPr>
                <w:rFonts w:hint="eastAsia" w:ascii="宋体" w:hAnsi="宋体" w:eastAsia="宋体" w:cs="宋体"/>
                <w:color w:val="auto"/>
                <w:sz w:val="20"/>
                <w:szCs w:val="20"/>
                <w:highlight w:val="yellow"/>
              </w:rPr>
            </w:pPr>
          </w:p>
        </w:tc>
        <w:tc>
          <w:tcPr>
            <w:tcW w:w="1045" w:type="pct"/>
            <w:tcBorders>
              <w:top w:val="single" w:color="auto" w:sz="4" w:space="0"/>
              <w:left w:val="single" w:color="000000" w:sz="4" w:space="0"/>
              <w:bottom w:val="single" w:color="auto" w:sz="4" w:space="0"/>
              <w:right w:val="single" w:color="000000" w:sz="4" w:space="0"/>
            </w:tcBorders>
            <w:shd w:val="clear" w:color="auto" w:fill="auto"/>
            <w:vAlign w:val="center"/>
          </w:tcPr>
          <w:p w14:paraId="2F1238D9">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生态效益指标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E6B52">
            <w:pPr>
              <w:keepNext w:val="0"/>
              <w:keepLines w:val="0"/>
              <w:widowControl/>
              <w:suppressLineNumbers w:val="0"/>
              <w:jc w:val="left"/>
              <w:textAlignment w:val="center"/>
              <w:rPr>
                <w:rFonts w:hint="eastAsia" w:ascii="宋体" w:hAnsi="宋体" w:eastAsia="宋体" w:cs="宋体"/>
                <w:color w:val="auto"/>
                <w:kern w:val="0"/>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打击生态犯罪，维护生态秩序</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B20A1">
            <w:pPr>
              <w:keepNext w:val="0"/>
              <w:keepLines w:val="0"/>
              <w:widowControl/>
              <w:suppressLineNumbers w:val="0"/>
              <w:jc w:val="center"/>
              <w:textAlignment w:val="center"/>
              <w:rPr>
                <w:rStyle w:val="37"/>
                <w:rFonts w:hint="eastAsia" w:ascii="宋体" w:hAnsi="宋体" w:eastAsia="宋体" w:cs="宋体"/>
                <w:color w:val="auto"/>
                <w:sz w:val="20"/>
                <w:szCs w:val="20"/>
                <w:highlight w:val="yellow"/>
                <w:lang w:bidi="ar"/>
              </w:rPr>
            </w:pPr>
            <w:r>
              <w:rPr>
                <w:rFonts w:hint="eastAsia" w:ascii="宋体" w:hAnsi="宋体" w:eastAsia="宋体" w:cs="宋体"/>
                <w:i w:val="0"/>
                <w:iCs w:val="0"/>
                <w:color w:val="auto"/>
                <w:kern w:val="0"/>
                <w:sz w:val="20"/>
                <w:szCs w:val="20"/>
                <w:u w:val="none"/>
                <w:lang w:val="en-US" w:eastAsia="zh-CN" w:bidi="ar"/>
              </w:rPr>
              <w:t>有效维护</w:t>
            </w:r>
          </w:p>
        </w:tc>
      </w:tr>
      <w:tr w14:paraId="2935B874">
        <w:tblPrEx>
          <w:tblCellMar>
            <w:top w:w="0" w:type="dxa"/>
            <w:left w:w="108" w:type="dxa"/>
            <w:bottom w:w="0" w:type="dxa"/>
            <w:right w:w="108" w:type="dxa"/>
          </w:tblCellMar>
        </w:tblPrEx>
        <w:trPr>
          <w:trHeight w:val="567" w:hRule="atLeast"/>
        </w:trPr>
        <w:tc>
          <w:tcPr>
            <w:tcW w:w="956"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64F235C">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b/>
                <w:bCs/>
                <w:i w:val="0"/>
                <w:iCs w:val="0"/>
                <w:color w:val="auto"/>
                <w:kern w:val="0"/>
                <w:sz w:val="20"/>
                <w:szCs w:val="20"/>
                <w:u w:val="none"/>
                <w:lang w:val="en-US" w:eastAsia="zh-CN" w:bidi="ar"/>
              </w:rPr>
              <w:t>满意度指标</w:t>
            </w:r>
          </w:p>
        </w:tc>
        <w:tc>
          <w:tcPr>
            <w:tcW w:w="1045"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012C9ED">
            <w:pPr>
              <w:keepNext w:val="0"/>
              <w:keepLines w:val="0"/>
              <w:widowControl/>
              <w:suppressLineNumbers w:val="0"/>
              <w:jc w:val="center"/>
              <w:textAlignment w:val="center"/>
              <w:rPr>
                <w:rFonts w:hint="eastAsia" w:ascii="宋体" w:hAnsi="宋体" w:eastAsia="宋体" w:cs="宋体"/>
                <w:color w:val="auto"/>
                <w:sz w:val="20"/>
                <w:szCs w:val="20"/>
                <w:highlight w:val="yellow"/>
              </w:rPr>
            </w:pPr>
            <w:r>
              <w:rPr>
                <w:rFonts w:hint="eastAsia" w:ascii="宋体" w:hAnsi="宋体" w:eastAsia="宋体" w:cs="宋体"/>
                <w:i w:val="0"/>
                <w:iCs w:val="0"/>
                <w:color w:val="auto"/>
                <w:kern w:val="0"/>
                <w:sz w:val="20"/>
                <w:szCs w:val="20"/>
                <w:u w:val="none"/>
                <w:lang w:val="en-US" w:eastAsia="zh-CN" w:bidi="ar"/>
              </w:rPr>
              <w:t>服务对象满意度指标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9369C">
            <w:pPr>
              <w:keepNext w:val="0"/>
              <w:keepLines w:val="0"/>
              <w:widowControl/>
              <w:suppressLineNumbers w:val="0"/>
              <w:jc w:val="left"/>
              <w:textAlignment w:val="center"/>
              <w:rPr>
                <w:rFonts w:hint="eastAsia" w:ascii="宋体" w:hAnsi="宋体" w:eastAsia="宋体" w:cs="宋体"/>
                <w:i w:val="0"/>
                <w:color w:val="auto"/>
                <w:kern w:val="0"/>
                <w:sz w:val="20"/>
                <w:szCs w:val="20"/>
                <w:highlight w:val="yellow"/>
                <w:u w:val="none"/>
                <w:lang w:val="en-US" w:eastAsia="zh-CN" w:bidi="ar"/>
              </w:rPr>
            </w:pPr>
            <w:r>
              <w:rPr>
                <w:rFonts w:hint="eastAsia" w:ascii="宋体" w:hAnsi="宋体" w:eastAsia="宋体" w:cs="宋体"/>
                <w:i w:val="0"/>
                <w:iCs w:val="0"/>
                <w:color w:val="auto"/>
                <w:kern w:val="0"/>
                <w:sz w:val="20"/>
                <w:szCs w:val="20"/>
                <w:u w:val="none"/>
                <w:lang w:val="en-US" w:eastAsia="zh-CN" w:bidi="ar"/>
              </w:rPr>
              <w:t>当事人满意程度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C1B26">
            <w:pPr>
              <w:keepNext w:val="0"/>
              <w:keepLines w:val="0"/>
              <w:widowControl/>
              <w:suppressLineNumbers w:val="0"/>
              <w:jc w:val="center"/>
              <w:textAlignment w:val="center"/>
              <w:rPr>
                <w:rFonts w:hint="eastAsia" w:ascii="宋体" w:hAnsi="宋体" w:eastAsia="宋体" w:cs="宋体"/>
                <w:i w:val="0"/>
                <w:color w:val="auto"/>
                <w:kern w:val="0"/>
                <w:sz w:val="20"/>
                <w:szCs w:val="20"/>
                <w:highlight w:val="yellow"/>
                <w:u w:val="none"/>
                <w:lang w:val="en-US" w:eastAsia="zh-CN" w:bidi="ar"/>
              </w:rPr>
            </w:pPr>
            <w:r>
              <w:rPr>
                <w:rFonts w:hint="eastAsia" w:ascii="宋体" w:hAnsi="宋体" w:eastAsia="宋体" w:cs="宋体"/>
                <w:i w:val="0"/>
                <w:iCs w:val="0"/>
                <w:color w:val="auto"/>
                <w:kern w:val="0"/>
                <w:sz w:val="20"/>
                <w:szCs w:val="20"/>
                <w:u w:val="none"/>
                <w:lang w:val="en-US" w:eastAsia="zh-CN" w:bidi="ar"/>
              </w:rPr>
              <w:t>&gt;=90%</w:t>
            </w:r>
          </w:p>
        </w:tc>
      </w:tr>
      <w:tr w14:paraId="119B39C6">
        <w:tblPrEx>
          <w:tblCellMar>
            <w:top w:w="0" w:type="dxa"/>
            <w:left w:w="108" w:type="dxa"/>
            <w:bottom w:w="0" w:type="dxa"/>
            <w:right w:w="108" w:type="dxa"/>
          </w:tblCellMar>
        </w:tblPrEx>
        <w:trPr>
          <w:trHeight w:val="567" w:hRule="atLeast"/>
        </w:trPr>
        <w:tc>
          <w:tcPr>
            <w:tcW w:w="956"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264D86C">
            <w:pPr>
              <w:jc w:val="center"/>
              <w:rPr>
                <w:rFonts w:hint="eastAsia" w:ascii="宋体" w:hAnsi="宋体" w:eastAsia="宋体" w:cs="宋体"/>
                <w:color w:val="auto"/>
                <w:sz w:val="20"/>
                <w:szCs w:val="20"/>
                <w:highlight w:val="yellow"/>
              </w:rPr>
            </w:pPr>
          </w:p>
        </w:tc>
        <w:tc>
          <w:tcPr>
            <w:tcW w:w="1045" w:type="pct"/>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A762B52">
            <w:pPr>
              <w:jc w:val="center"/>
              <w:rPr>
                <w:rFonts w:hint="eastAsia" w:ascii="宋体" w:hAnsi="宋体" w:eastAsia="宋体" w:cs="宋体"/>
                <w:color w:val="auto"/>
                <w:sz w:val="20"/>
                <w:szCs w:val="20"/>
                <w:highlight w:val="yellow"/>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1D17E">
            <w:pPr>
              <w:keepNext w:val="0"/>
              <w:keepLines w:val="0"/>
              <w:widowControl/>
              <w:suppressLineNumbers w:val="0"/>
              <w:jc w:val="left"/>
              <w:textAlignment w:val="center"/>
              <w:rPr>
                <w:rFonts w:hint="eastAsia" w:ascii="宋体" w:hAnsi="宋体" w:eastAsia="宋体" w:cs="宋体"/>
                <w:i w:val="0"/>
                <w:color w:val="auto"/>
                <w:kern w:val="0"/>
                <w:sz w:val="20"/>
                <w:szCs w:val="20"/>
                <w:highlight w:val="yellow"/>
                <w:u w:val="none"/>
                <w:lang w:val="en-US" w:eastAsia="zh-CN" w:bidi="ar"/>
              </w:rPr>
            </w:pPr>
            <w:r>
              <w:rPr>
                <w:rFonts w:hint="eastAsia" w:ascii="宋体" w:hAnsi="宋体" w:eastAsia="宋体" w:cs="宋体"/>
                <w:i w:val="0"/>
                <w:iCs w:val="0"/>
                <w:color w:val="auto"/>
                <w:kern w:val="0"/>
                <w:sz w:val="20"/>
                <w:szCs w:val="20"/>
                <w:u w:val="none"/>
                <w:lang w:val="en-US" w:eastAsia="zh-CN" w:bidi="ar"/>
              </w:rPr>
              <w:t>干警满意程度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5FFFC">
            <w:pPr>
              <w:keepNext w:val="0"/>
              <w:keepLines w:val="0"/>
              <w:widowControl/>
              <w:suppressLineNumbers w:val="0"/>
              <w:jc w:val="center"/>
              <w:textAlignment w:val="center"/>
              <w:rPr>
                <w:rFonts w:hint="eastAsia" w:ascii="宋体" w:hAnsi="宋体" w:eastAsia="宋体" w:cs="宋体"/>
                <w:i w:val="0"/>
                <w:color w:val="auto"/>
                <w:kern w:val="0"/>
                <w:sz w:val="20"/>
                <w:szCs w:val="20"/>
                <w:highlight w:val="yellow"/>
                <w:u w:val="none"/>
                <w:lang w:val="en-US" w:eastAsia="zh-CN" w:bidi="ar"/>
              </w:rPr>
            </w:pPr>
            <w:r>
              <w:rPr>
                <w:rFonts w:hint="eastAsia" w:ascii="宋体" w:hAnsi="宋体" w:eastAsia="宋体" w:cs="宋体"/>
                <w:i w:val="0"/>
                <w:iCs w:val="0"/>
                <w:color w:val="auto"/>
                <w:kern w:val="0"/>
                <w:sz w:val="20"/>
                <w:szCs w:val="20"/>
                <w:u w:val="none"/>
                <w:lang w:val="en-US" w:eastAsia="zh-CN" w:bidi="ar"/>
              </w:rPr>
              <w:t>&gt;=90%</w:t>
            </w:r>
          </w:p>
        </w:tc>
      </w:tr>
    </w:tbl>
    <w:p w14:paraId="1B35648E">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outlineLvl w:val="0"/>
        <w:rPr>
          <w:rFonts w:ascii="黑体" w:eastAsia="黑体"/>
          <w:highlight w:val="none"/>
        </w:rPr>
      </w:pPr>
      <w:bookmarkStart w:id="79" w:name="_Toc16904"/>
      <w:r>
        <w:rPr>
          <w:rFonts w:hint="eastAsia" w:ascii="黑体" w:eastAsia="黑体"/>
          <w:highlight w:val="none"/>
        </w:rPr>
        <w:t>三、评价基本情况</w:t>
      </w:r>
      <w:bookmarkEnd w:id="77"/>
      <w:bookmarkEnd w:id="78"/>
      <w:bookmarkEnd w:id="79"/>
    </w:p>
    <w:p w14:paraId="195F4FCD">
      <w:pPr>
        <w:pStyle w:val="9"/>
        <w:keepNext w:val="0"/>
        <w:keepLines w:val="0"/>
        <w:pageBreakBefore w:val="0"/>
        <w:widowControl w:val="0"/>
        <w:kinsoku/>
        <w:wordWrap/>
        <w:overflowPunct w:val="0"/>
        <w:topLinePunct w:val="0"/>
        <w:autoSpaceDE/>
        <w:autoSpaceDN/>
        <w:bidi w:val="0"/>
        <w:adjustRightInd/>
        <w:snapToGrid/>
        <w:spacing w:line="600" w:lineRule="exact"/>
        <w:ind w:firstLine="643" w:firstLineChars="200"/>
        <w:textAlignment w:val="auto"/>
        <w:outlineLvl w:val="1"/>
        <w:rPr>
          <w:rFonts w:ascii="楷体" w:hAnsi="楷体" w:eastAsia="楷体" w:cs="楷体"/>
          <w:b/>
          <w:bCs/>
          <w:highlight w:val="none"/>
        </w:rPr>
      </w:pPr>
      <w:bookmarkStart w:id="80" w:name="_Toc5301"/>
      <w:bookmarkStart w:id="81" w:name="_Toc254"/>
      <w:r>
        <w:rPr>
          <w:rFonts w:hint="eastAsia" w:ascii="楷体" w:hAnsi="楷体" w:eastAsia="楷体" w:cs="楷体"/>
          <w:b/>
          <w:bCs/>
          <w:highlight w:val="none"/>
        </w:rPr>
        <w:t>（一）评价目的</w:t>
      </w:r>
      <w:bookmarkEnd w:id="80"/>
      <w:bookmarkEnd w:id="81"/>
    </w:p>
    <w:p w14:paraId="31DC8E24">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本次绩效评价工作通过运用规范的绩效评价指标体系和科学的绩效评价方法，引入第三方开展绩效评价，客观公正地核查</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重点绩效评价项目目标的完成情况。第三方通过对项目资料的审阅、现场核查、问卷调查等方式，了解该项目从决策到实施全过程，查验项目资金支出及项目实施的合规性，考评资金分配的合理性、资金支出效率、效益和综合效果，及时总结项目管理经验，分析存在的问题及原因，提出切实可行的改进措施，规范项目和资金管理行为，从而进一步规范财政资金支出管理，加强财政资金全方位监督，杜绝违纪违规行为发生。评价结果将作为下一年资金分配的重要参考依据，同时协助</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重新梳理项目绩效目标，切实提高财政资金使用效益。</w:t>
      </w:r>
    </w:p>
    <w:p w14:paraId="46AB90EE">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本次绩效评价的侧重点和切入点：</w:t>
      </w:r>
    </w:p>
    <w:p w14:paraId="0144D93D">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1.重点关注项目资金使用管理以及保障项目预期绩效目标实现的相关措施；</w:t>
      </w:r>
    </w:p>
    <w:p w14:paraId="480F0AD3">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2.重点关注采购流程规范性、资金使用合规性、项目合同管理的有效性以及通过项目的实施为</w:t>
      </w:r>
      <w:r>
        <w:rPr>
          <w:rFonts w:hint="eastAsia" w:ascii="仿宋_GB2312" w:hAnsi="仿宋_GB2312" w:cs="仿宋_GB2312"/>
          <w:highlight w:val="none"/>
          <w:lang w:val="en-US" w:eastAsia="zh-CN"/>
        </w:rPr>
        <w:t>全省各中、基层法院</w:t>
      </w:r>
      <w:r>
        <w:rPr>
          <w:rFonts w:hint="eastAsia" w:ascii="仿宋_GB2312" w:hAnsi="仿宋_GB2312" w:cs="仿宋_GB2312"/>
          <w:highlight w:val="none"/>
        </w:rPr>
        <w:t>带来的产出与效益。</w:t>
      </w:r>
    </w:p>
    <w:p w14:paraId="4AC87808">
      <w:pPr>
        <w:pStyle w:val="9"/>
        <w:overflowPunct w:val="0"/>
        <w:spacing w:line="560" w:lineRule="exact"/>
        <w:ind w:firstLine="643" w:firstLineChars="200"/>
        <w:outlineLvl w:val="1"/>
        <w:rPr>
          <w:rFonts w:ascii="楷体" w:hAnsi="楷体" w:eastAsia="楷体" w:cs="楷体"/>
          <w:b/>
          <w:bCs/>
          <w:highlight w:val="none"/>
        </w:rPr>
      </w:pPr>
      <w:bookmarkStart w:id="82" w:name="_Toc2071"/>
      <w:bookmarkStart w:id="83" w:name="_Toc11815"/>
      <w:r>
        <w:rPr>
          <w:rFonts w:hint="eastAsia" w:ascii="楷体" w:hAnsi="楷体" w:eastAsia="楷体" w:cs="楷体"/>
          <w:b/>
          <w:bCs/>
          <w:highlight w:val="none"/>
        </w:rPr>
        <w:t>（二）评价对象与范围</w:t>
      </w:r>
      <w:bookmarkEnd w:id="82"/>
      <w:bookmarkEnd w:id="83"/>
    </w:p>
    <w:p w14:paraId="0FE251EE">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2023年绩效评价重点项目</w:t>
      </w:r>
      <w:r>
        <w:rPr>
          <w:rFonts w:hint="eastAsia" w:ascii="仿宋_GB2312" w:hAnsi="仿宋_GB2312" w:cs="仿宋_GB2312"/>
          <w:highlight w:val="none"/>
          <w:lang w:val="en-US" w:eastAsia="zh-CN"/>
        </w:rPr>
        <w:t>-</w:t>
      </w:r>
      <w:r>
        <w:rPr>
          <w:rFonts w:hint="eastAsia" w:ascii="仿宋_GB2312" w:hAnsi="仿宋_GB2312" w:cs="仿宋_GB2312"/>
          <w:highlight w:val="none"/>
          <w:lang w:eastAsia="zh-CN"/>
        </w:rPr>
        <w:t>全省法院业务费</w:t>
      </w:r>
      <w:r>
        <w:rPr>
          <w:rFonts w:hint="eastAsia" w:ascii="仿宋_GB2312" w:hAnsi="仿宋_GB2312" w:cs="仿宋_GB2312"/>
          <w:highlight w:val="none"/>
        </w:rPr>
        <w:t>。</w:t>
      </w:r>
    </w:p>
    <w:p w14:paraId="6557E2DF">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评价范围为</w:t>
      </w:r>
      <w:r>
        <w:rPr>
          <w:rFonts w:hint="eastAsia" w:ascii="仿宋_GB2312" w:hAnsi="仿宋_GB2312" w:cs="仿宋_GB2312"/>
          <w:highlight w:val="none"/>
          <w:lang w:eastAsia="zh-CN"/>
        </w:rPr>
        <w:t>全省法院业务费</w:t>
      </w:r>
      <w:r>
        <w:rPr>
          <w:rFonts w:hint="eastAsia" w:ascii="仿宋_GB2312" w:hAnsi="仿宋_GB2312" w:cs="仿宋_GB2312"/>
          <w:highlight w:val="none"/>
        </w:rPr>
        <w:t>项目</w:t>
      </w:r>
      <w:r>
        <w:rPr>
          <w:rFonts w:hint="eastAsia" w:ascii="仿宋_GB2312" w:hAnsi="仿宋_GB2312" w:cs="仿宋_GB2312"/>
          <w:highlight w:val="none"/>
          <w:lang w:val="en-US" w:eastAsia="zh-CN"/>
        </w:rPr>
        <w:t>全年</w:t>
      </w:r>
      <w:r>
        <w:rPr>
          <w:rFonts w:hint="eastAsia" w:ascii="仿宋_GB2312" w:hAnsi="仿宋_GB2312" w:cs="仿宋_GB2312"/>
          <w:highlight w:val="none"/>
        </w:rPr>
        <w:t>预算资金</w:t>
      </w:r>
      <w:r>
        <w:rPr>
          <w:rFonts w:hint="eastAsia" w:ascii="仿宋_GB2312" w:hAnsi="仿宋_GB2312" w:cs="仿宋_GB2312"/>
          <w:highlight w:val="none"/>
          <w:lang w:val="en-US" w:eastAsia="zh-CN"/>
        </w:rPr>
        <w:t>27,195.47</w:t>
      </w:r>
      <w:r>
        <w:rPr>
          <w:rFonts w:hint="eastAsia" w:ascii="仿宋_GB2312" w:hAnsi="仿宋_GB2312" w:cs="仿宋_GB2312"/>
          <w:highlight w:val="none"/>
        </w:rPr>
        <w:t>万元的资金使用和项目实施效益情况，评价基准日为2023年12月31日。</w:t>
      </w:r>
    </w:p>
    <w:p w14:paraId="510AD9BE">
      <w:pPr>
        <w:pStyle w:val="9"/>
        <w:overflowPunct w:val="0"/>
        <w:spacing w:line="560" w:lineRule="exact"/>
        <w:ind w:firstLine="643" w:firstLineChars="200"/>
        <w:outlineLvl w:val="1"/>
        <w:rPr>
          <w:rFonts w:ascii="楷体" w:hAnsi="楷体" w:eastAsia="楷体" w:cs="楷体"/>
          <w:b/>
          <w:bCs/>
          <w:highlight w:val="none"/>
        </w:rPr>
      </w:pPr>
      <w:bookmarkStart w:id="84" w:name="_Toc17041"/>
      <w:bookmarkStart w:id="85" w:name="_Toc13627"/>
      <w:r>
        <w:rPr>
          <w:rFonts w:hint="eastAsia" w:ascii="楷体" w:hAnsi="楷体" w:eastAsia="楷体" w:cs="楷体"/>
          <w:b/>
          <w:bCs/>
          <w:highlight w:val="none"/>
        </w:rPr>
        <w:t>（三）评价依据</w:t>
      </w:r>
      <w:bookmarkEnd w:id="84"/>
      <w:bookmarkEnd w:id="85"/>
    </w:p>
    <w:p w14:paraId="39919989">
      <w:pPr>
        <w:pStyle w:val="9"/>
        <w:overflowPunct w:val="0"/>
        <w:spacing w:line="560" w:lineRule="exact"/>
        <w:ind w:firstLine="640" w:firstLineChars="200"/>
        <w:rPr>
          <w:rFonts w:ascii="仿宋_GB2312" w:hAnsi="仿宋_GB2312" w:cs="仿宋_GB2312"/>
          <w:highlight w:val="none"/>
        </w:rPr>
      </w:pPr>
      <w:bookmarkStart w:id="86" w:name="_Toc17840"/>
      <w:r>
        <w:rPr>
          <w:rFonts w:hint="eastAsia" w:ascii="仿宋_GB2312" w:hAnsi="仿宋_GB2312" w:cs="仿宋_GB2312"/>
          <w:highlight w:val="none"/>
        </w:rPr>
        <w:t>1.《中华人民共和国预算法》；</w:t>
      </w:r>
    </w:p>
    <w:p w14:paraId="142086B0">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2.《中华人民共和国预算法实施条例》；</w:t>
      </w:r>
    </w:p>
    <w:p w14:paraId="1404B673">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3.《中共中央 国务院关于全面实施预算绩效管理的意见》（中发〔2018〕34号）；</w:t>
      </w:r>
    </w:p>
    <w:p w14:paraId="60E9EBB7">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4.《财政部关于印发〈项目支出绩效评价管理办法〉的通知》（财预〔2021〕10号）；</w:t>
      </w:r>
    </w:p>
    <w:p w14:paraId="0439215B">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5.《财政部关于委托第三方机构参与预算绩效管理的指导意见》（财预〔2021〕6号）；</w:t>
      </w:r>
    </w:p>
    <w:p w14:paraId="428944D1">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6.《财政部关于印发第三方机构预算绩效评价业务监督管理暂行办法的通知》（财监〔2021〕4号）；</w:t>
      </w:r>
    </w:p>
    <w:p w14:paraId="7AD51DCD">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7.《中共甘肃省委 甘肃省人民政府关于全面实施预算绩效管理的实施意见》（甘发〔2018〕32号）；</w:t>
      </w:r>
    </w:p>
    <w:p w14:paraId="2556CF76">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8.《甘肃省财政厅关于印发甘肃省省级预算绩效管理办法等6个办法和规程的通知》（甘财绩〔2020〕5号）；</w:t>
      </w:r>
    </w:p>
    <w:p w14:paraId="2A661F5F">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9.《甘肃省省级项目支出绩效部门评价和财政评价工作规程》（甘财绩〔2021〕5号）；</w:t>
      </w:r>
    </w:p>
    <w:p w14:paraId="232512A8">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0</w:t>
      </w:r>
      <w:r>
        <w:rPr>
          <w:rFonts w:hint="eastAsia" w:ascii="仿宋_GB2312" w:hAnsi="仿宋_GB2312" w:cs="仿宋_GB2312"/>
          <w:highlight w:val="none"/>
        </w:rPr>
        <w:t>.</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职责相关规定；</w:t>
      </w:r>
    </w:p>
    <w:p w14:paraId="1C1D1AEC">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1</w:t>
      </w:r>
      <w:r>
        <w:rPr>
          <w:rFonts w:hint="eastAsia" w:ascii="仿宋_GB2312" w:hAnsi="仿宋_GB2312" w:cs="仿宋_GB2312"/>
          <w:highlight w:val="none"/>
        </w:rPr>
        <w:t>.被评价单位提供的立项背景、实施方案、预算批复相关文件、绩效目标、自评价相关资料、财政资金拨付凭证、</w:t>
      </w:r>
      <w:r>
        <w:rPr>
          <w:rFonts w:hint="eastAsia" w:ascii="仿宋_GB2312" w:hAnsi="仿宋_GB2312" w:cs="仿宋_GB2312"/>
          <w:highlight w:val="none"/>
          <w:lang w:val="en-US" w:eastAsia="zh-CN"/>
        </w:rPr>
        <w:t>项目</w:t>
      </w:r>
      <w:r>
        <w:rPr>
          <w:rFonts w:hint="eastAsia" w:ascii="仿宋_GB2312" w:hAnsi="仿宋_GB2312" w:cs="仿宋_GB2312"/>
          <w:highlight w:val="none"/>
        </w:rPr>
        <w:t>全过程资料和项目实施效果等资料；</w:t>
      </w:r>
    </w:p>
    <w:p w14:paraId="3DCD72CA">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2</w:t>
      </w:r>
      <w:r>
        <w:rPr>
          <w:rFonts w:hint="eastAsia" w:ascii="仿宋_GB2312" w:hAnsi="仿宋_GB2312" w:cs="仿宋_GB2312"/>
          <w:highlight w:val="none"/>
        </w:rPr>
        <w:t>.评价组收集、调研、访谈、问卷调查获取的其他相关资料。</w:t>
      </w:r>
    </w:p>
    <w:p w14:paraId="2E21363B">
      <w:pPr>
        <w:pStyle w:val="9"/>
        <w:overflowPunct w:val="0"/>
        <w:spacing w:line="560" w:lineRule="exact"/>
        <w:ind w:firstLine="643" w:firstLineChars="200"/>
        <w:outlineLvl w:val="1"/>
        <w:rPr>
          <w:rFonts w:ascii="楷体" w:hAnsi="楷体" w:eastAsia="楷体" w:cs="楷体"/>
          <w:b/>
          <w:bCs/>
          <w:highlight w:val="none"/>
        </w:rPr>
      </w:pPr>
      <w:bookmarkStart w:id="87" w:name="_Toc20037"/>
      <w:r>
        <w:rPr>
          <w:rFonts w:hint="eastAsia" w:ascii="楷体" w:hAnsi="楷体" w:eastAsia="楷体" w:cs="楷体"/>
          <w:b/>
          <w:bCs/>
          <w:highlight w:val="none"/>
        </w:rPr>
        <w:t>（四）评价原则、评价方法</w:t>
      </w:r>
      <w:bookmarkEnd w:id="86"/>
      <w:bookmarkEnd w:id="87"/>
    </w:p>
    <w:p w14:paraId="265507D9">
      <w:pPr>
        <w:overflowPunct w:val="0"/>
        <w:spacing w:line="560" w:lineRule="exact"/>
        <w:ind w:firstLine="643" w:firstLineChars="200"/>
        <w:outlineLvl w:val="2"/>
        <w:rPr>
          <w:rFonts w:ascii="仿宋_GB2312" w:hAnsi="仿宋_GB2312" w:eastAsia="仿宋_GB2312" w:cs="仿宋_GB2312"/>
          <w:b/>
          <w:sz w:val="32"/>
          <w:szCs w:val="32"/>
          <w:highlight w:val="none"/>
        </w:rPr>
      </w:pPr>
      <w:bookmarkStart w:id="88" w:name="_Toc7306"/>
      <w:bookmarkStart w:id="89" w:name="_Toc3229"/>
      <w:bookmarkStart w:id="90" w:name="_Toc32216"/>
      <w:bookmarkStart w:id="91" w:name="_Toc28403"/>
      <w:bookmarkStart w:id="92" w:name="_Toc25746"/>
      <w:bookmarkStart w:id="93" w:name="_Toc5841"/>
      <w:bookmarkStart w:id="94" w:name="_Toc17493"/>
      <w:bookmarkStart w:id="95" w:name="_Toc2871"/>
      <w:bookmarkStart w:id="96" w:name="_Toc15543"/>
      <w:bookmarkStart w:id="97" w:name="_Toc32314"/>
      <w:bookmarkStart w:id="98" w:name="_Toc10884"/>
      <w:r>
        <w:rPr>
          <w:rStyle w:val="31"/>
          <w:rFonts w:hint="eastAsia" w:ascii="仿宋_GB2312" w:hAnsi="仿宋_GB2312" w:eastAsia="仿宋_GB2312" w:cs="仿宋_GB2312"/>
          <w:szCs w:val="32"/>
          <w:highlight w:val="none"/>
        </w:rPr>
        <w:t>1.评价原则</w:t>
      </w:r>
      <w:bookmarkEnd w:id="88"/>
      <w:bookmarkEnd w:id="89"/>
      <w:bookmarkEnd w:id="90"/>
      <w:bookmarkEnd w:id="91"/>
      <w:bookmarkEnd w:id="92"/>
      <w:bookmarkEnd w:id="93"/>
      <w:bookmarkEnd w:id="94"/>
      <w:bookmarkEnd w:id="95"/>
      <w:bookmarkEnd w:id="96"/>
      <w:bookmarkEnd w:id="97"/>
      <w:bookmarkEnd w:id="98"/>
    </w:p>
    <w:p w14:paraId="3A04A189">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14:paraId="442301FF">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rPr>
        <w:t>情况以及预算支出和绩效之间的对应关系。以绩效为核心导向，将事前绩效评估、绩效目标管理、绩效运行监控、绩效评价、评价结果反馈及应用深度融入预算管理的全过程，实现财政资金使用效益最大化。</w:t>
      </w:r>
    </w:p>
    <w:p w14:paraId="251A02B6">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14:paraId="64BF9C34">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14:paraId="64A82B3C">
      <w:pPr>
        <w:overflowPunct w:val="0"/>
        <w:spacing w:line="560" w:lineRule="exact"/>
        <w:ind w:firstLine="643" w:firstLineChars="200"/>
        <w:outlineLvl w:val="2"/>
        <w:rPr>
          <w:rStyle w:val="31"/>
          <w:rFonts w:ascii="仿宋_GB2312" w:hAnsi="仿宋_GB2312" w:eastAsia="仿宋_GB2312" w:cs="仿宋_GB2312"/>
          <w:szCs w:val="32"/>
          <w:highlight w:val="none"/>
        </w:rPr>
      </w:pPr>
      <w:bookmarkStart w:id="99" w:name="_Toc15034"/>
      <w:bookmarkStart w:id="100" w:name="_Toc1742"/>
      <w:bookmarkStart w:id="101" w:name="_Toc1839"/>
      <w:bookmarkStart w:id="102" w:name="_Toc7156"/>
      <w:bookmarkStart w:id="103" w:name="_Toc24950"/>
      <w:bookmarkStart w:id="104" w:name="_Toc15552"/>
      <w:bookmarkStart w:id="105" w:name="_Toc15129"/>
      <w:bookmarkStart w:id="106" w:name="_Toc12173"/>
      <w:bookmarkStart w:id="107" w:name="_Toc11918"/>
      <w:bookmarkStart w:id="108" w:name="_Toc18724"/>
      <w:r>
        <w:rPr>
          <w:rStyle w:val="31"/>
          <w:rFonts w:hint="eastAsia" w:ascii="仿宋_GB2312" w:hAnsi="仿宋_GB2312" w:eastAsia="仿宋_GB2312" w:cs="仿宋_GB2312"/>
          <w:szCs w:val="32"/>
          <w:highlight w:val="none"/>
        </w:rPr>
        <w:t>2.评价方法</w:t>
      </w:r>
      <w:bookmarkEnd w:id="99"/>
    </w:p>
    <w:bookmarkEnd w:id="100"/>
    <w:bookmarkEnd w:id="101"/>
    <w:bookmarkEnd w:id="102"/>
    <w:bookmarkEnd w:id="103"/>
    <w:bookmarkEnd w:id="104"/>
    <w:bookmarkEnd w:id="105"/>
    <w:bookmarkEnd w:id="106"/>
    <w:bookmarkEnd w:id="107"/>
    <w:bookmarkEnd w:id="108"/>
    <w:p w14:paraId="21D2769B">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项目预算执行情况的经济性、效率性、效益性进行客观公正</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分析评价，确保评价结论公正客观，评价意见有效可用。</w:t>
      </w:r>
    </w:p>
    <w:p w14:paraId="31F250F0">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p>
    <w:p w14:paraId="2EF03314">
      <w:pPr>
        <w:pStyle w:val="11"/>
        <w:overflowPunct w:val="0"/>
        <w:spacing w:after="0" w:line="560" w:lineRule="exact"/>
        <w:ind w:left="0" w:leftChars="0"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各项因素罗列出来进行分析，通过不同因素的权重评比，进行综合评分，最终确定项目的效率性和效益性。</w:t>
      </w:r>
    </w:p>
    <w:p w14:paraId="4A29B8B6">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w:t>
      </w:r>
    </w:p>
    <w:p w14:paraId="2A35BC15">
      <w:pPr>
        <w:overflowPunct w:val="0"/>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14:paraId="54A1E8DB">
      <w:pPr>
        <w:overflowPunct w:val="0"/>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（5）访谈法。评价小组现场访谈相关专业人员，根据被询问者的答复收集客观的、不带偏见的事实材料。</w:t>
      </w:r>
    </w:p>
    <w:p w14:paraId="645A6254">
      <w:pPr>
        <w:pStyle w:val="9"/>
        <w:overflowPunct w:val="0"/>
        <w:spacing w:line="560" w:lineRule="exact"/>
        <w:ind w:firstLine="643" w:firstLineChars="200"/>
        <w:outlineLvl w:val="1"/>
        <w:rPr>
          <w:rFonts w:ascii="楷体" w:hAnsi="楷体" w:eastAsia="楷体" w:cs="楷体"/>
          <w:b/>
          <w:bCs/>
          <w:highlight w:val="none"/>
        </w:rPr>
      </w:pPr>
      <w:bookmarkStart w:id="109" w:name="_Toc4958"/>
      <w:bookmarkStart w:id="110" w:name="_Toc5852"/>
      <w:r>
        <w:rPr>
          <w:rFonts w:hint="eastAsia" w:ascii="楷体" w:hAnsi="楷体" w:eastAsia="楷体" w:cs="楷体"/>
          <w:b/>
          <w:bCs/>
          <w:highlight w:val="none"/>
        </w:rPr>
        <w:t>（五）绩效评价指标体系</w:t>
      </w:r>
      <w:bookmarkEnd w:id="109"/>
      <w:bookmarkEnd w:id="110"/>
    </w:p>
    <w:p w14:paraId="7CAC1BF9">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1.指标体系设计的总体思路</w:t>
      </w:r>
    </w:p>
    <w:p w14:paraId="0C15EFFE">
      <w:pPr>
        <w:pStyle w:val="9"/>
        <w:tabs>
          <w:tab w:val="left" w:pos="510"/>
          <w:tab w:val="left" w:pos="675"/>
        </w:tabs>
        <w:overflowPunct w:val="0"/>
        <w:spacing w:line="560" w:lineRule="exact"/>
        <w:ind w:firstLine="640" w:firstLineChars="200"/>
        <w:rPr>
          <w:rFonts w:ascii="仿宋_GB2312" w:hAnsi="仿宋_GB2312" w:cs="仿宋_GB2312"/>
          <w:kern w:val="0"/>
          <w:highlight w:val="none"/>
          <w:lang w:bidi="ar"/>
        </w:rPr>
      </w:pPr>
      <w:r>
        <w:rPr>
          <w:rFonts w:hint="eastAsia" w:ascii="仿宋_GB2312" w:hAnsi="仿宋_GB2312" w:cs="仿宋_GB2312"/>
          <w:kern w:val="0"/>
          <w:highlight w:val="none"/>
          <w:lang w:bidi="ar"/>
        </w:rPr>
        <w:t>根据</w:t>
      </w:r>
      <w:r>
        <w:rPr>
          <w:rFonts w:hint="eastAsia" w:ascii="仿宋_GB2312" w:hAnsi="仿宋_GB2312" w:cs="仿宋_GB2312"/>
          <w:highlight w:val="none"/>
        </w:rPr>
        <w:t>《甘肃省省级项目支出绩效部门评价和财政评价工作规程》</w:t>
      </w:r>
      <w:r>
        <w:rPr>
          <w:rFonts w:hint="eastAsia" w:ascii="仿宋_GB2312" w:hAnsi="仿宋_GB2312" w:cs="仿宋_GB2312"/>
          <w:kern w:val="0"/>
          <w:highlight w:val="none"/>
          <w:lang w:bidi="ar"/>
        </w:rPr>
        <w:t>要求，以结果为导向，根据指标类型设定定性与定量标准，决策、过程、</w:t>
      </w:r>
      <w:r>
        <w:rPr>
          <w:rFonts w:hint="eastAsia" w:ascii="仿宋_GB2312" w:hAnsi="仿宋_GB2312" w:cs="仿宋_GB2312"/>
          <w:kern w:val="0"/>
          <w:highlight w:val="none"/>
          <w:lang w:val="en-US" w:eastAsia="zh-CN" w:bidi="ar"/>
        </w:rPr>
        <w:t>成本、</w:t>
      </w:r>
      <w:r>
        <w:rPr>
          <w:rFonts w:hint="eastAsia" w:ascii="仿宋_GB2312" w:hAnsi="仿宋_GB2312" w:cs="仿宋_GB2312"/>
          <w:kern w:val="0"/>
          <w:highlight w:val="none"/>
          <w:lang w:bidi="ar"/>
        </w:rPr>
        <w:t>产出、效益分配比例为</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30:30</w:t>
      </w:r>
      <w:r>
        <w:rPr>
          <w:rFonts w:hint="eastAsia" w:ascii="仿宋_GB2312" w:hAnsi="仿宋_GB2312" w:cs="仿宋_GB2312"/>
          <w:kern w:val="0"/>
          <w:highlight w:val="none"/>
          <w:lang w:bidi="ar"/>
        </w:rPr>
        <w:t>。本次评价侧重项目产出与效益方面，产出和效益指标权重</w:t>
      </w:r>
      <w:r>
        <w:rPr>
          <w:rFonts w:hint="eastAsia" w:ascii="仿宋_GB2312" w:hAnsi="仿宋_GB2312" w:cs="仿宋_GB2312"/>
          <w:kern w:val="0"/>
          <w:highlight w:val="none"/>
          <w:lang w:val="en-US" w:eastAsia="zh-CN" w:bidi="ar"/>
        </w:rPr>
        <w:t>占比</w:t>
      </w:r>
      <w:r>
        <w:rPr>
          <w:rFonts w:hint="eastAsia" w:ascii="仿宋_GB2312" w:hAnsi="仿宋_GB2312" w:cs="仿宋_GB2312"/>
          <w:kern w:val="0"/>
          <w:highlight w:val="none"/>
          <w:lang w:bidi="ar"/>
        </w:rPr>
        <w:t>6</w:t>
      </w:r>
      <w:r>
        <w:rPr>
          <w:rFonts w:hint="eastAsia" w:ascii="仿宋_GB2312" w:hAnsi="仿宋_GB2312" w:cs="仿宋_GB2312"/>
          <w:kern w:val="0"/>
          <w:highlight w:val="none"/>
          <w:lang w:val="en-US" w:eastAsia="zh-CN" w:bidi="ar"/>
        </w:rPr>
        <w:t>0</w:t>
      </w:r>
      <w:r>
        <w:rPr>
          <w:rFonts w:hint="eastAsia" w:ascii="仿宋_GB2312" w:hAnsi="仿宋_GB2312" w:cs="仿宋_GB2312"/>
          <w:kern w:val="0"/>
          <w:highlight w:val="none"/>
          <w:lang w:bidi="ar"/>
        </w:rPr>
        <w:t>%。</w:t>
      </w:r>
    </w:p>
    <w:p w14:paraId="1CA3B086">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2.绩效评价指标体系</w:t>
      </w:r>
    </w:p>
    <w:p w14:paraId="2C6AA3B6">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w:t>
      </w:r>
      <w:r>
        <w:rPr>
          <w:rFonts w:hint="eastAsia" w:ascii="仿宋_GB2312" w:hAnsi="仿宋_GB2312" w:cs="仿宋_GB2312"/>
          <w:szCs w:val="28"/>
          <w:highlight w:val="none"/>
          <w:lang w:val="en-US" w:eastAsia="zh-CN"/>
        </w:rPr>
        <w:t>成本指标、</w:t>
      </w:r>
      <w:r>
        <w:rPr>
          <w:rFonts w:hint="eastAsia" w:ascii="仿宋_GB2312" w:hAnsi="仿宋_GB2312" w:cs="仿宋_GB2312"/>
          <w:szCs w:val="28"/>
          <w:highlight w:val="none"/>
        </w:rPr>
        <w:t>产出指标、效益指标。二、三级评价指标根据项目实际情况制定了可量化、可操作的细化绩效目标，指标分值根据项目指标重要程度、项目实施阶段等因素综合确定（项目评价指标体系详见附表1）。</w:t>
      </w:r>
    </w:p>
    <w:p w14:paraId="6DC8B4D3">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（1）项目决策指标为一级指标，权重1</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分。重点关注项目立项的政策依据是否充分，是否符合国家相关法律法规、部门规章、发展规划及职能；立项流程是否合规，项目申请设立过程是否符合相关要求；项目是否设定绩效目标，设定的绩效目标依据是否充分、符合客观实际，是否能做到细化、量化和可衡量；项目预算编制是否经过科学论证，预算额度与年度目标是否相适应；资金安排依据是否充分，安排额度是否与项目相适应。</w:t>
      </w:r>
    </w:p>
    <w:p w14:paraId="61F57E21">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w:t>
      </w:r>
      <w:r>
        <w:rPr>
          <w:rFonts w:hint="eastAsia" w:ascii="仿宋_GB2312" w:hAnsi="仿宋_GB2312" w:cs="仿宋_GB2312"/>
          <w:szCs w:val="28"/>
          <w:highlight w:val="none"/>
          <w:lang w:val="en-US" w:eastAsia="zh-CN"/>
        </w:rPr>
        <w:t>15</w:t>
      </w:r>
      <w:r>
        <w:rPr>
          <w:rFonts w:hint="eastAsia" w:ascii="仿宋_GB2312" w:hAnsi="仿宋_GB2312" w:cs="仿宋_GB2312"/>
          <w:szCs w:val="28"/>
          <w:highlight w:val="none"/>
        </w:rPr>
        <w:t>分。重点关注专项资金是否及时到位，保障项目执行；项目资金是否按照预算执行；资金使用范围和方向是否符合专项资金管理规定；</w:t>
      </w:r>
      <w:r>
        <w:rPr>
          <w:rFonts w:hint="eastAsia" w:ascii="仿宋_GB2312" w:hAnsi="仿宋_GB2312" w:cs="仿宋_GB2312"/>
          <w:szCs w:val="28"/>
          <w:highlight w:val="none"/>
          <w:lang w:val="en-US" w:eastAsia="zh-CN"/>
        </w:rPr>
        <w:t>甘肃省高级人民法院</w:t>
      </w:r>
      <w:r>
        <w:rPr>
          <w:rFonts w:hint="eastAsia" w:ascii="仿宋_GB2312" w:hAnsi="仿宋_GB2312" w:cs="仿宋_GB2312"/>
          <w:szCs w:val="28"/>
          <w:highlight w:val="none"/>
        </w:rPr>
        <w:t>专项资金和业务管理制度是否健全，是否符合相关法律法规并得到有效执行；项目是否按照规定实施；是否遵守相关法律法规和相关管理规定，按时向社会公告项目实施情况。</w:t>
      </w:r>
    </w:p>
    <w:p w14:paraId="2EF044AE">
      <w:pPr>
        <w:pStyle w:val="9"/>
        <w:tabs>
          <w:tab w:val="left" w:pos="510"/>
          <w:tab w:val="left" w:pos="675"/>
        </w:tabs>
        <w:overflowPunct w:val="0"/>
        <w:spacing w:line="560" w:lineRule="exact"/>
        <w:ind w:firstLine="640" w:firstLineChars="200"/>
        <w:rPr>
          <w:rFonts w:hint="default" w:ascii="仿宋_GB2312" w:hAnsi="仿宋_GB2312" w:eastAsia="仿宋_GB2312" w:cs="仿宋_GB2312"/>
          <w:szCs w:val="28"/>
          <w:highlight w:val="none"/>
          <w:lang w:val="en-US" w:eastAsia="zh-CN"/>
        </w:rPr>
      </w:pPr>
      <w:r>
        <w:rPr>
          <w:rFonts w:hint="eastAsia" w:ascii="仿宋_GB2312" w:hAnsi="仿宋_GB2312" w:cs="仿宋_GB2312"/>
          <w:szCs w:val="28"/>
          <w:highlight w:val="none"/>
        </w:rPr>
        <w:t>（3）</w:t>
      </w:r>
      <w:r>
        <w:rPr>
          <w:rFonts w:hint="eastAsia" w:ascii="仿宋_GB2312" w:hAnsi="仿宋_GB2312" w:cs="仿宋_GB2312"/>
          <w:szCs w:val="28"/>
          <w:highlight w:val="none"/>
          <w:lang w:val="en-US" w:eastAsia="zh-CN"/>
        </w:rPr>
        <w:t>项目成本指标一级指标，权重10分。重点关注项目经济成本，项目实际支出是否超出预算，用以反映和考核项目的成本节约程度。</w:t>
      </w:r>
    </w:p>
    <w:p w14:paraId="170D1866">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项目产出指标为一级指标，权重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分。从数量、质量、时效</w:t>
      </w:r>
      <w:r>
        <w:rPr>
          <w:rFonts w:hint="eastAsia" w:ascii="仿宋_GB2312" w:hAnsi="仿宋_GB2312" w:cs="仿宋_GB2312"/>
          <w:szCs w:val="28"/>
          <w:highlight w:val="none"/>
          <w:lang w:val="en-US" w:eastAsia="zh-CN"/>
        </w:rPr>
        <w:t>三</w:t>
      </w:r>
      <w:r>
        <w:rPr>
          <w:rFonts w:hint="eastAsia" w:ascii="仿宋_GB2312" w:hAnsi="仿宋_GB2312" w:cs="仿宋_GB2312"/>
          <w:szCs w:val="28"/>
          <w:highlight w:val="none"/>
        </w:rPr>
        <w:t>个方面分析项目的产出情况，重点关注项目实施的实际产出数与计划产出数的比率。</w:t>
      </w:r>
    </w:p>
    <w:p w14:paraId="00B375CA">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）项目效益指标为一级指标，权重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w:t>
      </w:r>
      <w:r>
        <w:rPr>
          <w:rFonts w:hint="eastAsia" w:ascii="仿宋_GB2312" w:hAnsi="仿宋_GB2312" w:cs="仿宋_GB2312"/>
          <w:szCs w:val="28"/>
          <w:highlight w:val="none"/>
          <w:lang w:val="en-US" w:eastAsia="zh-CN"/>
        </w:rPr>
        <w:t>经济效益、</w:t>
      </w:r>
      <w:r>
        <w:rPr>
          <w:rFonts w:hint="eastAsia" w:ascii="仿宋_GB2312" w:hAnsi="仿宋_GB2312" w:cs="仿宋_GB2312"/>
          <w:szCs w:val="28"/>
          <w:highlight w:val="none"/>
        </w:rPr>
        <w:t>社会效益、</w:t>
      </w:r>
      <w:r>
        <w:rPr>
          <w:rFonts w:hint="eastAsia" w:ascii="仿宋_GB2312" w:hAnsi="仿宋_GB2312" w:cs="仿宋_GB2312"/>
          <w:szCs w:val="28"/>
          <w:highlight w:val="none"/>
          <w:lang w:val="en-US" w:eastAsia="zh-CN"/>
        </w:rPr>
        <w:t>生态效益、</w:t>
      </w:r>
      <w:r>
        <w:rPr>
          <w:rFonts w:hint="eastAsia" w:ascii="仿宋_GB2312" w:hAnsi="仿宋_GB2312" w:cs="仿宋_GB2312"/>
          <w:szCs w:val="28"/>
          <w:highlight w:val="none"/>
        </w:rPr>
        <w:t>满意度指标</w:t>
      </w:r>
      <w:r>
        <w:rPr>
          <w:rFonts w:hint="eastAsia" w:ascii="仿宋_GB2312" w:hAnsi="仿宋_GB2312" w:cs="仿宋_GB2312"/>
          <w:szCs w:val="28"/>
          <w:highlight w:val="none"/>
          <w:lang w:val="en-US" w:eastAsia="zh-CN"/>
        </w:rPr>
        <w:t>四</w:t>
      </w:r>
      <w:r>
        <w:rPr>
          <w:rFonts w:hint="eastAsia" w:ascii="仿宋_GB2312" w:hAnsi="仿宋_GB2312" w:cs="仿宋_GB2312"/>
          <w:szCs w:val="28"/>
          <w:highlight w:val="none"/>
        </w:rPr>
        <w:t>个方面分析项目实施产生的效益，重点项目的实施产生</w:t>
      </w:r>
      <w:r>
        <w:rPr>
          <w:rFonts w:hint="eastAsia" w:ascii="仿宋_GB2312" w:hAnsi="仿宋_GB2312" w:cs="仿宋_GB2312"/>
          <w:szCs w:val="28"/>
          <w:highlight w:val="none"/>
          <w:lang w:val="en-US" w:eastAsia="zh-CN"/>
        </w:rPr>
        <w:t>效益是否达到预期</w:t>
      </w:r>
      <w:r>
        <w:rPr>
          <w:rFonts w:hint="eastAsia" w:ascii="仿宋_GB2312" w:hAnsi="仿宋_GB2312" w:cs="仿宋_GB2312"/>
          <w:szCs w:val="28"/>
          <w:highlight w:val="none"/>
        </w:rPr>
        <w:t>。</w:t>
      </w:r>
    </w:p>
    <w:p w14:paraId="0C22EE9B">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 xml:space="preserve">3.评价标准 </w:t>
      </w:r>
    </w:p>
    <w:p w14:paraId="2FA3E94E">
      <w:pPr>
        <w:widowControl/>
        <w:spacing w:line="560" w:lineRule="exact"/>
        <w:ind w:firstLine="640" w:firstLineChars="200"/>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 xml:space="preserve">本次绩效评价结果采取评分与评级相结合的形式。 </w:t>
      </w:r>
    </w:p>
    <w:p w14:paraId="4BB06314">
      <w:pPr>
        <w:widowControl/>
        <w:spacing w:line="560" w:lineRule="exact"/>
        <w:ind w:firstLine="640" w:firstLineChars="200"/>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w:t>
      </w:r>
      <w:r>
        <w:rPr>
          <w:rFonts w:ascii="仿宋_GB2312" w:hAnsi="仿宋_GB2312" w:eastAsia="仿宋_GB2312" w:cs="仿宋_GB2312"/>
          <w:sz w:val="32"/>
          <w:szCs w:val="28"/>
          <w:highlight w:val="none"/>
        </w:rPr>
        <w:t>1</w:t>
      </w:r>
      <w:r>
        <w:rPr>
          <w:rFonts w:hint="eastAsia" w:ascii="仿宋_GB2312" w:hAnsi="仿宋_GB2312" w:eastAsia="仿宋_GB2312" w:cs="仿宋_GB2312"/>
          <w:sz w:val="32"/>
          <w:szCs w:val="28"/>
          <w:highlight w:val="none"/>
        </w:rPr>
        <w:t>）评价评分。采用定性与定量评价相结合的方法，对定性评价指标采取分析打分，对定量评价指标采用量化打分，评价综合得分采用百分制，满分为</w:t>
      </w:r>
      <w:r>
        <w:rPr>
          <w:rFonts w:ascii="仿宋_GB2312" w:hAnsi="仿宋_GB2312" w:eastAsia="仿宋_GB2312" w:cs="仿宋_GB2312"/>
          <w:sz w:val="32"/>
          <w:szCs w:val="28"/>
          <w:highlight w:val="none"/>
        </w:rPr>
        <w:t>100</w:t>
      </w:r>
      <w:r>
        <w:rPr>
          <w:rFonts w:hint="eastAsia" w:ascii="仿宋_GB2312" w:hAnsi="仿宋_GB2312" w:eastAsia="仿宋_GB2312" w:cs="仿宋_GB2312"/>
          <w:sz w:val="32"/>
          <w:szCs w:val="28"/>
          <w:highlight w:val="none"/>
        </w:rPr>
        <w:t>分。</w:t>
      </w:r>
    </w:p>
    <w:p w14:paraId="4F68E4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ascii="仿宋_GB2312" w:hAnsi="仿宋_GB2312" w:eastAsia="仿宋_GB2312" w:cs="仿宋_GB2312"/>
          <w:sz w:val="32"/>
          <w:szCs w:val="28"/>
          <w:highlight w:val="none"/>
        </w:rPr>
        <w:t>（2）评价等级。依据财政部《关于印发〈项目支出绩效评价管理办法〉的通知》（财预</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2020</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10</w:t>
      </w:r>
      <w:r>
        <w:rPr>
          <w:rFonts w:hint="eastAsia" w:ascii="仿宋_GB2312" w:hAnsi="仿宋_GB2312" w:eastAsia="仿宋_GB2312" w:cs="仿宋_GB2312"/>
          <w:sz w:val="32"/>
          <w:szCs w:val="28"/>
          <w:highlight w:val="none"/>
        </w:rPr>
        <w:t>号），绩效评价结果评分分值与评价等级的对应关系如下：</w:t>
      </w:r>
    </w:p>
    <w:p w14:paraId="5E2AB14D">
      <w:pPr>
        <w:widowControl/>
        <w:jc w:val="center"/>
        <w:rPr>
          <w:highlight w:val="none"/>
        </w:rPr>
      </w:pPr>
      <w:r>
        <w:rPr>
          <w:rFonts w:hint="eastAsia" w:ascii="宋体" w:hAnsi="宋体" w:eastAsia="宋体" w:cs="宋体"/>
          <w:color w:val="000000"/>
          <w:kern w:val="0"/>
          <w:sz w:val="28"/>
          <w:szCs w:val="28"/>
          <w:highlight w:val="none"/>
          <w:lang w:bidi="ar"/>
        </w:rPr>
        <w:t>绩效评价结果评分分值与评价等级表</w:t>
      </w:r>
    </w:p>
    <w:tbl>
      <w:tblPr>
        <w:tblStyle w:val="20"/>
        <w:tblW w:w="4875" w:type="pct"/>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6"/>
        <w:gridCol w:w="1737"/>
        <w:gridCol w:w="1737"/>
        <w:gridCol w:w="1737"/>
        <w:gridCol w:w="1632"/>
      </w:tblGrid>
      <w:tr w14:paraId="087FA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214D73D5">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评价等级</w:t>
            </w:r>
          </w:p>
        </w:tc>
        <w:tc>
          <w:tcPr>
            <w:tcW w:w="1025" w:type="pct"/>
            <w:vAlign w:val="center"/>
          </w:tcPr>
          <w:p w14:paraId="2FEC705D">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优</w:t>
            </w:r>
          </w:p>
        </w:tc>
        <w:tc>
          <w:tcPr>
            <w:tcW w:w="1025" w:type="pct"/>
            <w:vAlign w:val="center"/>
          </w:tcPr>
          <w:p w14:paraId="78EBAC3F">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良</w:t>
            </w:r>
          </w:p>
        </w:tc>
        <w:tc>
          <w:tcPr>
            <w:tcW w:w="1025" w:type="pct"/>
            <w:vAlign w:val="center"/>
          </w:tcPr>
          <w:p w14:paraId="49B29AC7">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中</w:t>
            </w:r>
          </w:p>
        </w:tc>
        <w:tc>
          <w:tcPr>
            <w:tcW w:w="963" w:type="pct"/>
            <w:vAlign w:val="center"/>
          </w:tcPr>
          <w:p w14:paraId="11231CEF">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差</w:t>
            </w:r>
          </w:p>
        </w:tc>
      </w:tr>
      <w:tr w14:paraId="30635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5BE1C8CF">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评分分值</w:t>
            </w:r>
          </w:p>
        </w:tc>
        <w:tc>
          <w:tcPr>
            <w:tcW w:w="1025" w:type="pct"/>
            <w:vAlign w:val="center"/>
          </w:tcPr>
          <w:p w14:paraId="0EADB921">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w:t>
            </w:r>
          </w:p>
        </w:tc>
        <w:tc>
          <w:tcPr>
            <w:tcW w:w="1025" w:type="pct"/>
            <w:vAlign w:val="center"/>
          </w:tcPr>
          <w:p w14:paraId="24B7965F">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＜90，≥80</w:t>
            </w:r>
          </w:p>
        </w:tc>
        <w:tc>
          <w:tcPr>
            <w:tcW w:w="1025" w:type="pct"/>
            <w:vAlign w:val="center"/>
          </w:tcPr>
          <w:p w14:paraId="40B7EF3B">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＜80，≥60</w:t>
            </w:r>
          </w:p>
        </w:tc>
        <w:tc>
          <w:tcPr>
            <w:tcW w:w="963" w:type="pct"/>
            <w:vAlign w:val="center"/>
          </w:tcPr>
          <w:p w14:paraId="3A1BC046">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＜60</w:t>
            </w:r>
          </w:p>
        </w:tc>
      </w:tr>
    </w:tbl>
    <w:p w14:paraId="22DB4487">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4.数据来源及证据收集方式</w:t>
      </w:r>
    </w:p>
    <w:p w14:paraId="5D6FEBFF">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p>
    <w:p w14:paraId="26902FFF">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（1）由</w:t>
      </w:r>
      <w:r>
        <w:rPr>
          <w:rFonts w:hint="eastAsia" w:ascii="仿宋_GB2312" w:hAnsi="仿宋_GB2312" w:cs="仿宋_GB2312"/>
          <w:szCs w:val="28"/>
          <w:highlight w:val="none"/>
          <w:lang w:val="en-US" w:eastAsia="zh-CN"/>
        </w:rPr>
        <w:t>全省各中、基层法院</w:t>
      </w:r>
      <w:r>
        <w:rPr>
          <w:rFonts w:hint="eastAsia" w:ascii="仿宋_GB2312" w:hAnsi="仿宋_GB2312" w:cs="仿宋_GB2312"/>
          <w:highlight w:val="none"/>
        </w:rPr>
        <w:t>根据资料清单</w:t>
      </w:r>
      <w:r>
        <w:rPr>
          <w:rFonts w:hint="eastAsia" w:ascii="仿宋_GB2312" w:hAnsi="仿宋_GB2312" w:cs="仿宋_GB2312"/>
          <w:szCs w:val="28"/>
          <w:highlight w:val="none"/>
        </w:rPr>
        <w:t>提供基础数据资料；</w:t>
      </w:r>
    </w:p>
    <w:p w14:paraId="287065C9">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（2）通过与</w:t>
      </w:r>
      <w:r>
        <w:rPr>
          <w:rFonts w:hint="eastAsia" w:ascii="仿宋_GB2312" w:hAnsi="仿宋_GB2312" w:cs="仿宋_GB2312"/>
          <w:szCs w:val="28"/>
          <w:highlight w:val="none"/>
          <w:lang w:val="en-US" w:eastAsia="zh-CN"/>
        </w:rPr>
        <w:t>全省各中、基层法院</w:t>
      </w:r>
      <w:r>
        <w:rPr>
          <w:rFonts w:hint="eastAsia" w:ascii="仿宋_GB2312" w:hAnsi="仿宋_GB2312" w:cs="仿宋_GB2312"/>
          <w:highlight w:val="none"/>
        </w:rPr>
        <w:t>相关工作人员</w:t>
      </w:r>
      <w:r>
        <w:rPr>
          <w:rFonts w:hint="eastAsia" w:ascii="仿宋_GB2312" w:hAnsi="仿宋_GB2312" w:cs="仿宋_GB2312"/>
          <w:szCs w:val="28"/>
          <w:highlight w:val="none"/>
        </w:rPr>
        <w:t>交流，获取信息，了解项目的成效；</w:t>
      </w:r>
    </w:p>
    <w:p w14:paraId="7C244B26">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（3）对受益对象进行问卷调查，获取满意度数据。</w:t>
      </w:r>
    </w:p>
    <w:p w14:paraId="644153D9">
      <w:pPr>
        <w:pStyle w:val="9"/>
        <w:overflowPunct w:val="0"/>
        <w:spacing w:line="560" w:lineRule="exact"/>
        <w:ind w:firstLine="643" w:firstLineChars="200"/>
        <w:outlineLvl w:val="1"/>
        <w:rPr>
          <w:rFonts w:ascii="楷体" w:hAnsi="楷体" w:eastAsia="楷体" w:cs="楷体"/>
          <w:b/>
          <w:bCs/>
          <w:highlight w:val="none"/>
        </w:rPr>
      </w:pPr>
      <w:bookmarkStart w:id="111" w:name="_Toc8104"/>
      <w:bookmarkStart w:id="112" w:name="_Toc9691"/>
      <w:r>
        <w:rPr>
          <w:rFonts w:hint="eastAsia" w:ascii="楷体" w:hAnsi="楷体" w:eastAsia="楷体" w:cs="楷体"/>
          <w:b/>
          <w:bCs/>
          <w:highlight w:val="none"/>
        </w:rPr>
        <w:t>（</w:t>
      </w:r>
      <w:r>
        <w:rPr>
          <w:rFonts w:hint="eastAsia" w:ascii="楷体" w:hAnsi="楷体" w:eastAsia="楷体" w:cs="楷体"/>
          <w:b/>
          <w:bCs/>
          <w:highlight w:val="none"/>
          <w:lang w:val="en-US" w:eastAsia="zh-CN"/>
        </w:rPr>
        <w:t>六</w:t>
      </w:r>
      <w:r>
        <w:rPr>
          <w:rFonts w:hint="eastAsia" w:ascii="楷体" w:hAnsi="楷体" w:eastAsia="楷体" w:cs="楷体"/>
          <w:b/>
          <w:bCs/>
          <w:highlight w:val="none"/>
        </w:rPr>
        <w:t>）绩效评价工作过程</w:t>
      </w:r>
      <w:bookmarkEnd w:id="111"/>
      <w:bookmarkEnd w:id="112"/>
    </w:p>
    <w:p w14:paraId="2AC09E8E">
      <w:pPr>
        <w:pStyle w:val="9"/>
        <w:overflowPunct w:val="0"/>
        <w:spacing w:line="560" w:lineRule="exact"/>
        <w:ind w:firstLine="640" w:firstLineChars="200"/>
        <w:rPr>
          <w:rFonts w:ascii="仿宋_GB2312" w:hAnsi="仿宋_GB2312" w:cs="仿宋_GB2312"/>
          <w:highlight w:val="none"/>
        </w:rPr>
      </w:pPr>
      <w:bookmarkStart w:id="113" w:name="_Toc19094"/>
      <w:bookmarkStart w:id="114" w:name="_Toc95"/>
      <w:bookmarkStart w:id="115" w:name="_Toc1946"/>
      <w:bookmarkStart w:id="116" w:name="_Toc10150"/>
      <w:bookmarkStart w:id="117" w:name="_Toc30609"/>
      <w:bookmarkStart w:id="118" w:name="_Toc27041"/>
      <w:bookmarkStart w:id="119" w:name="_Toc31135"/>
      <w:bookmarkStart w:id="120" w:name="_Toc3172"/>
      <w:r>
        <w:rPr>
          <w:rFonts w:hint="eastAsia" w:ascii="仿宋_GB2312" w:hAnsi="仿宋_GB2312" w:cs="仿宋_GB2312"/>
          <w:highlight w:val="none"/>
        </w:rPr>
        <w:t>绩效评价工作过程主要包括准备阶段、实施阶段、撰写报告阶段三个阶段。</w:t>
      </w:r>
      <w:bookmarkEnd w:id="113"/>
      <w:bookmarkEnd w:id="114"/>
      <w:bookmarkEnd w:id="115"/>
      <w:bookmarkEnd w:id="116"/>
      <w:bookmarkEnd w:id="117"/>
      <w:bookmarkEnd w:id="118"/>
      <w:bookmarkEnd w:id="119"/>
      <w:bookmarkEnd w:id="120"/>
    </w:p>
    <w:p w14:paraId="4BF58DD0">
      <w:pPr>
        <w:pStyle w:val="5"/>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1.准备阶段</w:t>
      </w:r>
    </w:p>
    <w:p w14:paraId="788F30A0">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（1）确定绩效评价组</w:t>
      </w:r>
    </w:p>
    <w:p w14:paraId="0FE10496">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安排部署本次绩效评价工作</w:t>
      </w:r>
      <w:r>
        <w:rPr>
          <w:rFonts w:hint="eastAsia" w:ascii="仿宋_GB2312" w:hAnsi="仿宋_GB2312" w:cs="仿宋_GB2312"/>
          <w:highlight w:val="none"/>
          <w:lang w:eastAsia="zh-CN"/>
        </w:rPr>
        <w:t>，</w:t>
      </w:r>
      <w:r>
        <w:rPr>
          <w:rFonts w:hint="eastAsia" w:ascii="仿宋_GB2312" w:hAnsi="仿宋_GB2312" w:cs="仿宋_GB2312"/>
          <w:highlight w:val="none"/>
        </w:rPr>
        <w:t>我公司及时确定绩效评价对象和范围、成立评价工作组、开展前期调研、研究制定绩效评价工作方案、组织专家论证，明确了工作范围和职责，组织评价组人员进行业务培训，明确评价工作程序及要求，解析评价指标体系，使各参评人员对绩效评价情况做进一步了解。</w:t>
      </w:r>
      <w:r>
        <w:rPr>
          <w:rFonts w:hint="eastAsia" w:ascii="仿宋_GB2312" w:hAnsi="仿宋_GB2312" w:cs="仿宋_GB2312"/>
          <w:szCs w:val="28"/>
          <w:highlight w:val="none"/>
        </w:rPr>
        <w:t>评价工作组人员名单及职责分工情况见下表：</w:t>
      </w:r>
    </w:p>
    <w:tbl>
      <w:tblPr>
        <w:tblStyle w:val="20"/>
        <w:tblW w:w="4960" w:type="pct"/>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1195"/>
        <w:gridCol w:w="1517"/>
        <w:gridCol w:w="2149"/>
        <w:gridCol w:w="2870"/>
      </w:tblGrid>
      <w:tr w14:paraId="3BE73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blHeader/>
        </w:trPr>
        <w:tc>
          <w:tcPr>
            <w:tcW w:w="514" w:type="pct"/>
            <w:vAlign w:val="center"/>
          </w:tcPr>
          <w:p w14:paraId="10E617F2">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序号</w:t>
            </w:r>
          </w:p>
        </w:tc>
        <w:tc>
          <w:tcPr>
            <w:tcW w:w="693" w:type="pct"/>
            <w:vAlign w:val="center"/>
          </w:tcPr>
          <w:p w14:paraId="1ED555B4">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姓名</w:t>
            </w:r>
          </w:p>
        </w:tc>
        <w:tc>
          <w:tcPr>
            <w:tcW w:w="880" w:type="pct"/>
            <w:vAlign w:val="center"/>
          </w:tcPr>
          <w:p w14:paraId="1B3D289F">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职务</w:t>
            </w:r>
          </w:p>
        </w:tc>
        <w:tc>
          <w:tcPr>
            <w:tcW w:w="1246" w:type="pct"/>
            <w:vAlign w:val="center"/>
          </w:tcPr>
          <w:p w14:paraId="7985FB1C">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职称和职业资格</w:t>
            </w:r>
          </w:p>
        </w:tc>
        <w:tc>
          <w:tcPr>
            <w:tcW w:w="1664" w:type="pct"/>
          </w:tcPr>
          <w:p w14:paraId="09A9526F">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工作内容</w:t>
            </w:r>
          </w:p>
        </w:tc>
      </w:tr>
      <w:tr w14:paraId="0049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44F9232D">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1</w:t>
            </w:r>
          </w:p>
        </w:tc>
        <w:tc>
          <w:tcPr>
            <w:tcW w:w="693" w:type="pct"/>
            <w:vAlign w:val="center"/>
          </w:tcPr>
          <w:p w14:paraId="63AF0C90">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郑生伟</w:t>
            </w:r>
          </w:p>
        </w:tc>
        <w:tc>
          <w:tcPr>
            <w:tcW w:w="880" w:type="pct"/>
            <w:vAlign w:val="center"/>
          </w:tcPr>
          <w:p w14:paraId="3F6AAD43">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审核人</w:t>
            </w:r>
          </w:p>
        </w:tc>
        <w:tc>
          <w:tcPr>
            <w:tcW w:w="1246" w:type="pct"/>
            <w:vAlign w:val="center"/>
          </w:tcPr>
          <w:p w14:paraId="5A520DB7">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4" w:type="pct"/>
            <w:vAlign w:val="center"/>
          </w:tcPr>
          <w:p w14:paraId="7DD681DE">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绩效评价指导、复核</w:t>
            </w:r>
          </w:p>
        </w:tc>
      </w:tr>
      <w:tr w14:paraId="23A65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514" w:type="pct"/>
            <w:vAlign w:val="center"/>
          </w:tcPr>
          <w:p w14:paraId="41CF344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2</w:t>
            </w:r>
          </w:p>
        </w:tc>
        <w:tc>
          <w:tcPr>
            <w:tcW w:w="693" w:type="pct"/>
            <w:vAlign w:val="center"/>
          </w:tcPr>
          <w:p w14:paraId="520C9022">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刘燕</w:t>
            </w:r>
          </w:p>
        </w:tc>
        <w:tc>
          <w:tcPr>
            <w:tcW w:w="880" w:type="pct"/>
            <w:vAlign w:val="center"/>
          </w:tcPr>
          <w:p w14:paraId="665BB17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主评人</w:t>
            </w:r>
          </w:p>
        </w:tc>
        <w:tc>
          <w:tcPr>
            <w:tcW w:w="1246" w:type="pct"/>
            <w:vAlign w:val="center"/>
          </w:tcPr>
          <w:p w14:paraId="50E59C7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4" w:type="pct"/>
            <w:vAlign w:val="center"/>
          </w:tcPr>
          <w:p w14:paraId="106F7F20">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制定评价方案、评价报告撰写、现场及非现场评价</w:t>
            </w:r>
          </w:p>
        </w:tc>
      </w:tr>
      <w:tr w14:paraId="6CB4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633502A2">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3</w:t>
            </w:r>
          </w:p>
        </w:tc>
        <w:tc>
          <w:tcPr>
            <w:tcW w:w="693" w:type="pct"/>
            <w:vAlign w:val="center"/>
          </w:tcPr>
          <w:p w14:paraId="1C6B0B45">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向文霞</w:t>
            </w:r>
          </w:p>
        </w:tc>
        <w:tc>
          <w:tcPr>
            <w:tcW w:w="880" w:type="pct"/>
            <w:vAlign w:val="center"/>
          </w:tcPr>
          <w:p w14:paraId="6A1A31F2">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5F464591">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4" w:type="pct"/>
            <w:vMerge w:val="restart"/>
            <w:vAlign w:val="center"/>
          </w:tcPr>
          <w:p w14:paraId="0CA0B3F4">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资料收集、审核、整理分析、现场及非现场评价</w:t>
            </w:r>
          </w:p>
        </w:tc>
      </w:tr>
      <w:tr w14:paraId="2BDC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4" w:type="pct"/>
            <w:vAlign w:val="center"/>
          </w:tcPr>
          <w:p w14:paraId="0A6460F3">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4</w:t>
            </w:r>
          </w:p>
        </w:tc>
        <w:tc>
          <w:tcPr>
            <w:tcW w:w="693" w:type="pct"/>
            <w:vAlign w:val="center"/>
          </w:tcPr>
          <w:p w14:paraId="4EAB42C1">
            <w:pPr>
              <w:pStyle w:val="9"/>
              <w:overflowPunct w:val="0"/>
              <w:spacing w:line="360" w:lineRule="auto"/>
              <w:jc w:val="center"/>
              <w:rPr>
                <w:rFonts w:hint="eastAsia" w:ascii="宋体" w:hAnsi="宋体" w:eastAsia="宋体" w:cs="Times New Roman"/>
                <w:sz w:val="24"/>
                <w:szCs w:val="24"/>
                <w:highlight w:val="none"/>
                <w:shd w:val="clear" w:color="auto" w:fill="FFFFFF"/>
                <w:lang w:eastAsia="zh-CN"/>
              </w:rPr>
            </w:pPr>
            <w:r>
              <w:rPr>
                <w:rFonts w:hint="eastAsia" w:ascii="宋体" w:hAnsi="宋体" w:eastAsia="宋体" w:cs="Times New Roman"/>
                <w:sz w:val="24"/>
                <w:szCs w:val="24"/>
                <w:highlight w:val="none"/>
                <w:shd w:val="clear" w:color="auto" w:fill="FFFFFF"/>
                <w:lang w:val="en-US" w:eastAsia="zh-CN"/>
              </w:rPr>
              <w:t>赵悦江</w:t>
            </w:r>
          </w:p>
        </w:tc>
        <w:tc>
          <w:tcPr>
            <w:tcW w:w="880" w:type="pct"/>
            <w:vAlign w:val="center"/>
          </w:tcPr>
          <w:p w14:paraId="7BD6C3D1">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0A4E26B6">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4" w:type="pct"/>
            <w:vMerge w:val="continue"/>
          </w:tcPr>
          <w:p w14:paraId="09F46574">
            <w:pPr>
              <w:overflowPunct w:val="0"/>
              <w:spacing w:line="360" w:lineRule="auto"/>
              <w:rPr>
                <w:rFonts w:ascii="宋体" w:hAnsi="宋体" w:eastAsia="宋体" w:cs="Times New Roman"/>
                <w:sz w:val="24"/>
                <w:szCs w:val="24"/>
                <w:highlight w:val="none"/>
                <w:shd w:val="clear" w:color="auto" w:fill="FFFFFF"/>
              </w:rPr>
            </w:pPr>
          </w:p>
        </w:tc>
      </w:tr>
      <w:tr w14:paraId="7E7C6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6F497BC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5</w:t>
            </w:r>
          </w:p>
        </w:tc>
        <w:tc>
          <w:tcPr>
            <w:tcW w:w="693" w:type="pct"/>
            <w:vAlign w:val="center"/>
          </w:tcPr>
          <w:p w14:paraId="1B28AF5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杨世勋</w:t>
            </w:r>
          </w:p>
        </w:tc>
        <w:tc>
          <w:tcPr>
            <w:tcW w:w="880" w:type="pct"/>
            <w:vAlign w:val="center"/>
          </w:tcPr>
          <w:p w14:paraId="0DF1B2D8">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3FB4AA5C">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4" w:type="pct"/>
            <w:vMerge w:val="continue"/>
          </w:tcPr>
          <w:p w14:paraId="43C1E163">
            <w:pPr>
              <w:overflowPunct w:val="0"/>
              <w:spacing w:line="360" w:lineRule="auto"/>
              <w:rPr>
                <w:rFonts w:ascii="宋体" w:hAnsi="宋体" w:eastAsia="宋体" w:cs="Times New Roman"/>
                <w:sz w:val="24"/>
                <w:szCs w:val="24"/>
                <w:highlight w:val="none"/>
                <w:shd w:val="clear" w:color="auto" w:fill="FFFFFF"/>
              </w:rPr>
            </w:pPr>
          </w:p>
        </w:tc>
      </w:tr>
      <w:tr w14:paraId="2609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51895CFA">
            <w:pPr>
              <w:pStyle w:val="9"/>
              <w:overflowPunct w:val="0"/>
              <w:spacing w:line="360" w:lineRule="auto"/>
              <w:jc w:val="center"/>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6</w:t>
            </w:r>
          </w:p>
        </w:tc>
        <w:tc>
          <w:tcPr>
            <w:tcW w:w="693" w:type="pct"/>
            <w:vAlign w:val="center"/>
          </w:tcPr>
          <w:p w14:paraId="040EC88B">
            <w:pPr>
              <w:pStyle w:val="9"/>
              <w:overflowPunct w:val="0"/>
              <w:spacing w:line="360" w:lineRule="auto"/>
              <w:jc w:val="center"/>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吕晓芳</w:t>
            </w:r>
          </w:p>
        </w:tc>
        <w:tc>
          <w:tcPr>
            <w:tcW w:w="880" w:type="pct"/>
            <w:vAlign w:val="center"/>
          </w:tcPr>
          <w:p w14:paraId="49604463">
            <w:pPr>
              <w:pStyle w:val="9"/>
              <w:overflowPunct w:val="0"/>
              <w:spacing w:line="360" w:lineRule="auto"/>
              <w:jc w:val="center"/>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44AC89C5">
            <w:pPr>
              <w:overflowPunct w:val="0"/>
              <w:spacing w:line="360" w:lineRule="auto"/>
              <w:jc w:val="center"/>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4" w:type="pct"/>
            <w:vMerge w:val="continue"/>
          </w:tcPr>
          <w:p w14:paraId="4A402F34">
            <w:pPr>
              <w:overflowPunct w:val="0"/>
              <w:spacing w:line="360" w:lineRule="auto"/>
              <w:rPr>
                <w:rFonts w:ascii="宋体" w:hAnsi="宋体" w:eastAsia="宋体" w:cs="Times New Roman"/>
                <w:sz w:val="24"/>
                <w:szCs w:val="24"/>
                <w:highlight w:val="none"/>
                <w:shd w:val="clear" w:color="auto" w:fill="FFFFFF"/>
              </w:rPr>
            </w:pPr>
          </w:p>
        </w:tc>
      </w:tr>
    </w:tbl>
    <w:p w14:paraId="4BC2C616">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（2）评价时间安排</w:t>
      </w:r>
    </w:p>
    <w:p w14:paraId="24DE56A9">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根据</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要求，确定评价时间为2023年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w:t>
      </w:r>
      <w:r>
        <w:rPr>
          <w:rFonts w:hint="eastAsia" w:ascii="仿宋_GB2312" w:hAnsi="仿宋_GB2312" w:cs="仿宋_GB2312"/>
          <w:highlight w:val="none"/>
          <w:lang w:val="en-US" w:eastAsia="zh-CN"/>
        </w:rPr>
        <w:t>1</w:t>
      </w:r>
      <w:r>
        <w:rPr>
          <w:rFonts w:hint="eastAsia" w:ascii="仿宋_GB2312" w:hAnsi="仿宋_GB2312" w:cs="仿宋_GB2312"/>
          <w:highlight w:val="none"/>
        </w:rPr>
        <w:t>日—2023年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月3</w:t>
      </w:r>
      <w:r>
        <w:rPr>
          <w:rFonts w:hint="eastAsia" w:ascii="仿宋_GB2312" w:hAnsi="仿宋_GB2312" w:cs="仿宋_GB2312"/>
          <w:highlight w:val="none"/>
          <w:lang w:val="en-US" w:eastAsia="zh-CN"/>
        </w:rPr>
        <w:t>1</w:t>
      </w:r>
      <w:r>
        <w:rPr>
          <w:rFonts w:hint="eastAsia" w:ascii="仿宋_GB2312" w:hAnsi="仿宋_GB2312" w:cs="仿宋_GB2312"/>
          <w:highlight w:val="none"/>
        </w:rPr>
        <w:t>日。</w:t>
      </w:r>
    </w:p>
    <w:p w14:paraId="51989D50">
      <w:pPr>
        <w:pStyle w:val="5"/>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2.实施阶段</w:t>
      </w:r>
    </w:p>
    <w:p w14:paraId="1AFD4CA3">
      <w:pPr>
        <w:pStyle w:val="9"/>
        <w:tabs>
          <w:tab w:val="left" w:pos="510"/>
          <w:tab w:val="left" w:pos="675"/>
        </w:tabs>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（1）</w:t>
      </w:r>
      <w:r>
        <w:rPr>
          <w:rFonts w:hint="eastAsia" w:ascii="仿宋_GB2312" w:hAnsi="仿宋_GB2312" w:cs="仿宋_GB2312"/>
          <w:highlight w:val="none"/>
          <w:lang w:val="en-US" w:eastAsia="zh-CN"/>
        </w:rPr>
        <w:t>递交资料清单</w:t>
      </w:r>
    </w:p>
    <w:p w14:paraId="75BBFCE1">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绩效评价组在拟开展现场评价的5个工作日前向</w:t>
      </w:r>
      <w:r>
        <w:rPr>
          <w:rFonts w:hint="eastAsia" w:ascii="仿宋_GB2312" w:hAnsi="仿宋_GB2312" w:cs="仿宋_GB2312"/>
          <w:highlight w:val="none"/>
          <w:lang w:val="en-US" w:eastAsia="zh-CN"/>
        </w:rPr>
        <w:t>甘肃省高级人民法院递交</w:t>
      </w:r>
      <w:r>
        <w:rPr>
          <w:rFonts w:hint="eastAsia" w:ascii="仿宋_GB2312" w:hAnsi="仿宋_GB2312" w:cs="仿宋_GB2312"/>
          <w:highlight w:val="none"/>
        </w:rPr>
        <w:t>资料清单，提前准备评价资料。</w:t>
      </w:r>
    </w:p>
    <w:p w14:paraId="02A1D9D9">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（2）进驻评价单位</w:t>
      </w:r>
    </w:p>
    <w:p w14:paraId="28329C01">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评价组按</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安排的时间进驻，根据工作方案，评价组对相关工作人员采取访谈方式了解项目基本情况以及重点工作任务完成情况。</w:t>
      </w:r>
    </w:p>
    <w:p w14:paraId="6E7E4AF4">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（3）资料分析及复核</w:t>
      </w:r>
    </w:p>
    <w:p w14:paraId="56DFDB28">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根据访谈了解情况对</w:t>
      </w:r>
      <w:r>
        <w:rPr>
          <w:rFonts w:hint="eastAsia" w:ascii="仿宋_GB2312" w:hAnsi="仿宋_GB2312" w:cs="仿宋_GB2312"/>
          <w:highlight w:val="none"/>
          <w:lang w:val="en-US" w:eastAsia="zh-CN"/>
        </w:rPr>
        <w:t>全省各中、基层法院</w:t>
      </w:r>
      <w:r>
        <w:rPr>
          <w:rFonts w:hint="eastAsia" w:ascii="仿宋_GB2312" w:hAnsi="仿宋_GB2312" w:cs="仿宋_GB2312"/>
          <w:highlight w:val="none"/>
        </w:rPr>
        <w:t>提供的资料进行核对，核实其真实性。结合资料进行现场查看，核实</w:t>
      </w:r>
      <w:r>
        <w:rPr>
          <w:rFonts w:hint="eastAsia" w:ascii="仿宋_GB2312" w:hAnsi="仿宋_GB2312" w:cs="仿宋_GB2312"/>
          <w:highlight w:val="none"/>
          <w:lang w:val="en-US" w:eastAsia="zh-CN"/>
        </w:rPr>
        <w:t>全省各中、基层法院</w:t>
      </w:r>
      <w:r>
        <w:rPr>
          <w:rFonts w:hint="eastAsia" w:ascii="仿宋_GB2312" w:hAnsi="仿宋_GB2312" w:cs="仿宋_GB2312"/>
          <w:highlight w:val="none"/>
        </w:rPr>
        <w:t>各项重点工作任务的完成情况的真实性和规范性。</w:t>
      </w:r>
    </w:p>
    <w:p w14:paraId="288C1251">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（4）进行现场评分</w:t>
      </w:r>
    </w:p>
    <w:p w14:paraId="5E778FB2">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针对评价中发现的问题与</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及时沟通，对各项评价指标进行分析讨论，经反复分析、研究，按设计的评价指标体系进行现场评价打分。</w:t>
      </w:r>
    </w:p>
    <w:p w14:paraId="76BA5217">
      <w:pPr>
        <w:pStyle w:val="9"/>
        <w:tabs>
          <w:tab w:val="left" w:pos="510"/>
          <w:tab w:val="left" w:pos="675"/>
        </w:tabs>
        <w:overflowPunct w:val="0"/>
        <w:spacing w:line="560" w:lineRule="exact"/>
        <w:ind w:firstLine="640" w:firstLineChars="200"/>
        <w:rPr>
          <w:rFonts w:hint="eastAsia" w:ascii="仿宋_GB2312" w:hAnsi="仿宋_GB2312" w:cs="仿宋_GB2312"/>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5</w:t>
      </w:r>
      <w:r>
        <w:rPr>
          <w:rFonts w:hint="eastAsia" w:ascii="仿宋_GB2312" w:hAnsi="仿宋_GB2312" w:cs="仿宋_GB2312"/>
          <w:highlight w:val="none"/>
          <w:lang w:eastAsia="zh-CN"/>
        </w:rPr>
        <w:t>）开展社会调查</w:t>
      </w:r>
    </w:p>
    <w:p w14:paraId="4F2B53A2">
      <w:pPr>
        <w:pStyle w:val="9"/>
        <w:tabs>
          <w:tab w:val="left" w:pos="510"/>
          <w:tab w:val="left" w:pos="675"/>
        </w:tabs>
        <w:overflowPunct w:val="0"/>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lang w:eastAsia="zh-CN"/>
        </w:rPr>
        <w:t>根据绩效评价方案中确定的调查对象、调查内容，随机抽取</w:t>
      </w:r>
      <w:r>
        <w:rPr>
          <w:rFonts w:hint="eastAsia" w:ascii="仿宋_GB2312" w:hAnsi="仿宋_GB2312" w:cs="仿宋_GB2312"/>
          <w:highlight w:val="none"/>
          <w:lang w:val="en-US" w:eastAsia="zh-CN"/>
        </w:rPr>
        <w:t>项目受益对象</w:t>
      </w:r>
      <w:r>
        <w:rPr>
          <w:rFonts w:hint="eastAsia" w:ascii="仿宋_GB2312" w:hAnsi="仿宋_GB2312" w:cs="仿宋_GB2312"/>
          <w:highlight w:val="none"/>
          <w:lang w:eastAsia="zh-CN"/>
        </w:rPr>
        <w:t>进行调查，发放并收回调查问卷，对调查问卷进行统计分析。</w:t>
      </w:r>
    </w:p>
    <w:p w14:paraId="33F58F23">
      <w:pPr>
        <w:pStyle w:val="5"/>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3.撰写报告阶段</w:t>
      </w:r>
    </w:p>
    <w:p w14:paraId="22BD350B">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（1）撰写绩效评价报告</w:t>
      </w:r>
    </w:p>
    <w:p w14:paraId="5137BDAE">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评价小组根据现场评价收集的资料，运用科学、合理的绩效评价指标、评价标准和评价方法，对项目支出的经济性、效率性和效益性进行客观、公正地评价，</w:t>
      </w:r>
      <w:r>
        <w:rPr>
          <w:rFonts w:hint="eastAsia" w:ascii="仿宋_GB2312" w:hAnsi="仿宋_GB2312" w:cs="仿宋_GB2312"/>
          <w:highlight w:val="none"/>
          <w:lang w:val="en-US" w:eastAsia="zh-CN"/>
        </w:rPr>
        <w:t>及时</w:t>
      </w:r>
      <w:r>
        <w:rPr>
          <w:rFonts w:hint="eastAsia" w:ascii="仿宋_GB2312" w:hAnsi="仿宋_GB2312" w:cs="仿宋_GB2312"/>
          <w:highlight w:val="none"/>
        </w:rPr>
        <w:t>撰写绩效评价报告，并做到依据充分、数据真实、内容完整、客观公正、结论明确、建议可行。</w:t>
      </w:r>
    </w:p>
    <w:p w14:paraId="0A5D5157">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（2）绩效评价报告征求意见</w:t>
      </w:r>
    </w:p>
    <w:p w14:paraId="4A7C5784">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绩效评价报告初稿完成后，征求</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的意见，根据反馈的有效意见对评价报告进行修改。</w:t>
      </w:r>
    </w:p>
    <w:p w14:paraId="70FBF7C8">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（3）提交绩效评价报告</w:t>
      </w:r>
    </w:p>
    <w:p w14:paraId="290BD312">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绩效评价报告及评价数据资料经绩效评价负责人和被评价单位确定，在规定时间内按照规定的格式、要求，提交</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w:t>
      </w:r>
    </w:p>
    <w:p w14:paraId="6345750B">
      <w:pPr>
        <w:pStyle w:val="9"/>
        <w:overflowPunct w:val="0"/>
        <w:spacing w:line="560" w:lineRule="exact"/>
        <w:ind w:firstLine="640" w:firstLineChars="200"/>
        <w:outlineLvl w:val="0"/>
        <w:rPr>
          <w:rFonts w:ascii="黑体" w:eastAsia="黑体"/>
          <w:highlight w:val="none"/>
        </w:rPr>
      </w:pPr>
      <w:bookmarkStart w:id="121" w:name="_Toc6529"/>
      <w:bookmarkStart w:id="122" w:name="_Toc22550"/>
      <w:bookmarkStart w:id="123" w:name="_Toc29082"/>
      <w:r>
        <w:rPr>
          <w:rFonts w:hint="eastAsia" w:ascii="黑体" w:eastAsia="黑体"/>
          <w:highlight w:val="none"/>
        </w:rPr>
        <w:t>四、评价结论及分析</w:t>
      </w:r>
      <w:bookmarkEnd w:id="121"/>
      <w:bookmarkEnd w:id="122"/>
      <w:bookmarkEnd w:id="123"/>
    </w:p>
    <w:p w14:paraId="5BC0F4B1">
      <w:pPr>
        <w:pStyle w:val="9"/>
        <w:spacing w:line="560" w:lineRule="exact"/>
        <w:ind w:firstLine="640" w:firstLineChars="200"/>
        <w:rPr>
          <w:highlight w:val="none"/>
        </w:rPr>
      </w:pPr>
      <w:r>
        <w:rPr>
          <w:rFonts w:hint="eastAsia" w:ascii="仿宋_GB2312" w:hAnsi="仿宋_GB2312" w:cs="仿宋_GB231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cs="仿宋_GB2312"/>
          <w:highlight w:val="none"/>
          <w:lang w:val="en-US" w:eastAsia="zh-CN"/>
        </w:rPr>
        <w:t>评价方法</w:t>
      </w:r>
      <w:r>
        <w:rPr>
          <w:rFonts w:hint="eastAsia" w:ascii="仿宋_GB2312" w:hAnsi="仿宋_GB2312" w:cs="仿宋_GB2312"/>
          <w:highlight w:val="none"/>
        </w:rPr>
        <w:t>，客观公正地评价，评定2023年度</w:t>
      </w:r>
      <w:r>
        <w:rPr>
          <w:rFonts w:hint="eastAsia" w:ascii="仿宋_GB2312" w:hAnsi="仿宋_GB2312" w:cs="仿宋_GB2312"/>
          <w:highlight w:val="none"/>
          <w:lang w:eastAsia="zh-CN"/>
        </w:rPr>
        <w:t>全省法院业务费</w:t>
      </w:r>
      <w:r>
        <w:rPr>
          <w:rFonts w:hint="eastAsia" w:ascii="仿宋_GB2312" w:hAnsi="仿宋_GB2312" w:cs="仿宋_GB2312"/>
          <w:highlight w:val="none"/>
        </w:rPr>
        <w:t>项目综合评价得分为</w:t>
      </w:r>
      <w:r>
        <w:rPr>
          <w:rFonts w:hint="eastAsia" w:ascii="仿宋_GB2312" w:hAnsi="仿宋_GB2312" w:cs="仿宋_GB2312"/>
          <w:highlight w:val="none"/>
          <w:lang w:val="en-US" w:eastAsia="zh-CN"/>
        </w:rPr>
        <w:t>95.63</w:t>
      </w:r>
      <w:r>
        <w:rPr>
          <w:rFonts w:hint="eastAsia" w:ascii="仿宋_GB2312" w:hAnsi="仿宋_GB2312" w:cs="仿宋_GB2312"/>
          <w:highlight w:val="none"/>
        </w:rPr>
        <w:t>分，评价等级为“</w:t>
      </w:r>
      <w:r>
        <w:rPr>
          <w:rFonts w:hint="eastAsia" w:ascii="仿宋_GB2312" w:hAnsi="仿宋_GB2312" w:cs="仿宋_GB2312"/>
          <w:highlight w:val="none"/>
          <w:lang w:val="en-US" w:eastAsia="zh-CN"/>
        </w:rPr>
        <w:t>优</w:t>
      </w:r>
      <w:r>
        <w:rPr>
          <w:rFonts w:hint="eastAsia" w:ascii="仿宋_GB2312" w:hAnsi="仿宋_GB2312" w:cs="仿宋_GB2312"/>
          <w:highlight w:val="none"/>
        </w:rPr>
        <w:t>”。指标具体得分情况见下表：</w:t>
      </w:r>
    </w:p>
    <w:tbl>
      <w:tblPr>
        <w:tblStyle w:val="19"/>
        <w:tblW w:w="8588" w:type="dxa"/>
        <w:tblInd w:w="0" w:type="dxa"/>
        <w:tblLayout w:type="autofit"/>
        <w:tblCellMar>
          <w:top w:w="0" w:type="dxa"/>
          <w:left w:w="108" w:type="dxa"/>
          <w:bottom w:w="0" w:type="dxa"/>
          <w:right w:w="108" w:type="dxa"/>
        </w:tblCellMar>
      </w:tblPr>
      <w:tblGrid>
        <w:gridCol w:w="1116"/>
        <w:gridCol w:w="1113"/>
        <w:gridCol w:w="2662"/>
        <w:gridCol w:w="1223"/>
        <w:gridCol w:w="1222"/>
        <w:gridCol w:w="1252"/>
      </w:tblGrid>
      <w:tr w14:paraId="43BD5CA9">
        <w:tblPrEx>
          <w:tblCellMar>
            <w:top w:w="0" w:type="dxa"/>
            <w:left w:w="108" w:type="dxa"/>
            <w:bottom w:w="0" w:type="dxa"/>
            <w:right w:w="108" w:type="dxa"/>
          </w:tblCellMar>
        </w:tblPrEx>
        <w:trPr>
          <w:trHeight w:val="454" w:hRule="atLeast"/>
          <w:tblHeader/>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E0D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一级指标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2D00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6393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D79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0B94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52" w:type="dxa"/>
            <w:tcBorders>
              <w:top w:val="single" w:color="000000" w:sz="4" w:space="0"/>
              <w:left w:val="single" w:color="000000" w:sz="4" w:space="0"/>
              <w:bottom w:val="single" w:color="auto" w:sz="4" w:space="0"/>
              <w:right w:val="single" w:color="000000" w:sz="4" w:space="0"/>
            </w:tcBorders>
            <w:shd w:val="clear" w:color="auto" w:fill="auto"/>
            <w:vAlign w:val="center"/>
          </w:tcPr>
          <w:p w14:paraId="31C7197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6E111C9B">
        <w:tblPrEx>
          <w:tblCellMar>
            <w:top w:w="0" w:type="dxa"/>
            <w:left w:w="108" w:type="dxa"/>
            <w:bottom w:w="0" w:type="dxa"/>
            <w:right w:w="108" w:type="dxa"/>
          </w:tblCellMar>
        </w:tblPrEx>
        <w:trPr>
          <w:trHeight w:val="454" w:hRule="atLeast"/>
        </w:trPr>
        <w:tc>
          <w:tcPr>
            <w:tcW w:w="1116"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780D9BD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决策指标</w:t>
            </w:r>
          </w:p>
        </w:tc>
        <w:tc>
          <w:tcPr>
            <w:tcW w:w="1113"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14:paraId="6E4E56D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项目立项</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891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立项依据充分性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897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3E4A75A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5359822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F1D7A4B">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A1CC8E">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DA24FC">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9C68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立项程序规范性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723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06D335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4A10D8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694E166">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522B46">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887D0F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绩效目标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54D4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绩效目标合理性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9263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DEF5B4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89A863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26C317E">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4C650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2CA7B7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1E4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绩效指标明确性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A6D3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6D1A81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1.67</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7BC724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66.80%</w:t>
            </w:r>
          </w:p>
        </w:tc>
      </w:tr>
      <w:tr w14:paraId="14F36BA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54A87C">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FA9AF3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资金投入</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3F8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预算编制科学性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61B6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C885F9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2BB7F83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11CE4CFE">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D0D204">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367E6D">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C293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资金分配合理性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8FB3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B4ACC3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1.67</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AF1099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66.80%</w:t>
            </w:r>
          </w:p>
        </w:tc>
      </w:tr>
      <w:tr w14:paraId="629F33C2">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2B334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过程指标</w:t>
            </w: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43F35D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资金管理</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F4A8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资金到位率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1A13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6F0060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E87F24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0ECAC563">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E9A6A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35581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3879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预算执行率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0CF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2E3E9B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2.62</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1FF95D8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87.33%</w:t>
            </w:r>
          </w:p>
        </w:tc>
      </w:tr>
      <w:tr w14:paraId="1FC4CBAA">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E6B6C2">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968F35">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A252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资金使用合规性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673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75A7546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164B17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547D406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136BE8">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BDFD51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组织实施</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366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管理制度健全性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41E5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A7218F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CB648C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E7C5C82">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B44BDD">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EE75DA">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8A90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制度执行有效性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B5C6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0FD6FC2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6127542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7F363FF">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541F1F">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743DFC">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E7C6">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333333"/>
                <w:kern w:val="0"/>
                <w:sz w:val="20"/>
                <w:szCs w:val="20"/>
                <w:highlight w:val="none"/>
                <w:u w:val="none"/>
                <w:lang w:val="en-US" w:eastAsia="zh-CN" w:bidi="ar"/>
              </w:rPr>
              <w:t>绩效管理有效性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7BA2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2</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B12C5D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E22745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50.00%</w:t>
            </w:r>
          </w:p>
        </w:tc>
      </w:tr>
      <w:tr w14:paraId="07798EDF">
        <w:tblPrEx>
          <w:tblCellMar>
            <w:top w:w="0" w:type="dxa"/>
            <w:left w:w="108" w:type="dxa"/>
            <w:bottom w:w="0" w:type="dxa"/>
            <w:right w:w="108" w:type="dxa"/>
          </w:tblCellMar>
        </w:tblPrEx>
        <w:trPr>
          <w:trHeight w:val="454" w:hRule="atLeast"/>
        </w:trPr>
        <w:tc>
          <w:tcPr>
            <w:tcW w:w="1116" w:type="dxa"/>
            <w:tcBorders>
              <w:top w:val="single" w:color="auto" w:sz="4" w:space="0"/>
              <w:left w:val="single" w:color="000000" w:sz="4" w:space="0"/>
              <w:bottom w:val="single" w:color="auto" w:sz="4" w:space="0"/>
              <w:right w:val="single" w:color="000000" w:sz="4" w:space="0"/>
            </w:tcBorders>
            <w:shd w:val="clear" w:color="auto" w:fill="auto"/>
            <w:vAlign w:val="center"/>
          </w:tcPr>
          <w:p w14:paraId="47E0DB58">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成本指标</w:t>
            </w:r>
          </w:p>
        </w:tc>
        <w:tc>
          <w:tcPr>
            <w:tcW w:w="1113" w:type="dxa"/>
            <w:tcBorders>
              <w:top w:val="single" w:color="auto" w:sz="4" w:space="0"/>
              <w:left w:val="single" w:color="000000" w:sz="4" w:space="0"/>
              <w:bottom w:val="single" w:color="auto" w:sz="4" w:space="0"/>
              <w:right w:val="single" w:color="000000" w:sz="4" w:space="0"/>
            </w:tcBorders>
            <w:shd w:val="clear" w:color="auto" w:fill="auto"/>
            <w:vAlign w:val="center"/>
          </w:tcPr>
          <w:p w14:paraId="3801F8C3">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经济成本指标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9D14">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成本控制情况</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C0D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10</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DFC9F2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586719A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01A5416">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right w:val="single" w:color="000000" w:sz="4" w:space="0"/>
            </w:tcBorders>
            <w:shd w:val="clear" w:color="auto" w:fill="auto"/>
            <w:vAlign w:val="center"/>
          </w:tcPr>
          <w:p w14:paraId="6F00040C">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产出指标</w:t>
            </w: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A103DE5">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数量指标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C9F7D">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全省法院执行案件结案率</w:t>
            </w:r>
          </w:p>
        </w:tc>
        <w:tc>
          <w:tcPr>
            <w:tcW w:w="1223" w:type="dxa"/>
            <w:tcBorders>
              <w:top w:val="single" w:color="auto" w:sz="4" w:space="0"/>
              <w:left w:val="single" w:color="auto" w:sz="4" w:space="0"/>
              <w:bottom w:val="nil"/>
              <w:right w:val="nil"/>
            </w:tcBorders>
            <w:shd w:val="clear" w:color="auto" w:fill="auto"/>
            <w:vAlign w:val="center"/>
          </w:tcPr>
          <w:p w14:paraId="3BF19D9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0FDD6E3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6DAAA9F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D665C0D">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7756D57F">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C94D2D">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60930">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全省法院行政案件结案率</w:t>
            </w:r>
          </w:p>
        </w:tc>
        <w:tc>
          <w:tcPr>
            <w:tcW w:w="1223" w:type="dxa"/>
            <w:tcBorders>
              <w:top w:val="single" w:color="auto" w:sz="4" w:space="0"/>
              <w:left w:val="single" w:color="auto" w:sz="4" w:space="0"/>
              <w:bottom w:val="nil"/>
              <w:right w:val="nil"/>
            </w:tcBorders>
            <w:shd w:val="clear" w:color="auto" w:fill="auto"/>
            <w:vAlign w:val="center"/>
          </w:tcPr>
          <w:p w14:paraId="4F42B90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0499A3B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0201307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07048AB">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291C2E1F">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A85300B">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CD42">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全省法院刑事案件结案率</w:t>
            </w:r>
          </w:p>
        </w:tc>
        <w:tc>
          <w:tcPr>
            <w:tcW w:w="1223" w:type="dxa"/>
            <w:tcBorders>
              <w:top w:val="single" w:color="auto" w:sz="4" w:space="0"/>
              <w:left w:val="single" w:color="auto" w:sz="4" w:space="0"/>
              <w:bottom w:val="nil"/>
              <w:right w:val="nil"/>
            </w:tcBorders>
            <w:shd w:val="clear" w:color="auto" w:fill="auto"/>
            <w:vAlign w:val="center"/>
          </w:tcPr>
          <w:p w14:paraId="41899F0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7AF8549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632CE78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0AF48359">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530BDA79">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6E057E">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9E86">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全省法院民商事案件结案率</w:t>
            </w:r>
          </w:p>
        </w:tc>
        <w:tc>
          <w:tcPr>
            <w:tcW w:w="1223" w:type="dxa"/>
            <w:tcBorders>
              <w:top w:val="single" w:color="auto" w:sz="4" w:space="0"/>
              <w:left w:val="single" w:color="auto" w:sz="4" w:space="0"/>
              <w:bottom w:val="nil"/>
              <w:right w:val="nil"/>
            </w:tcBorders>
            <w:shd w:val="clear" w:color="auto" w:fill="auto"/>
            <w:vAlign w:val="center"/>
          </w:tcPr>
          <w:p w14:paraId="2C6A8E0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429BCD0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4BC4423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5415F76F">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574A5232">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222B7B">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29E1AF32">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保障法院数</w:t>
            </w:r>
          </w:p>
        </w:tc>
        <w:tc>
          <w:tcPr>
            <w:tcW w:w="1223" w:type="dxa"/>
            <w:tcBorders>
              <w:top w:val="single" w:color="auto" w:sz="4" w:space="0"/>
              <w:left w:val="single" w:color="auto" w:sz="4" w:space="0"/>
              <w:bottom w:val="single" w:color="auto" w:sz="4" w:space="0"/>
              <w:right w:val="nil"/>
            </w:tcBorders>
            <w:shd w:val="clear" w:color="auto" w:fill="auto"/>
            <w:vAlign w:val="center"/>
          </w:tcPr>
          <w:p w14:paraId="33802A0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1F27221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34C74AF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B2BF10A">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62ED5DA9">
            <w:pPr>
              <w:jc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19A9785D">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质量指标</w:t>
            </w:r>
          </w:p>
        </w:tc>
        <w:tc>
          <w:tcPr>
            <w:tcW w:w="2662" w:type="dxa"/>
            <w:tcBorders>
              <w:top w:val="single" w:color="auto" w:sz="4" w:space="0"/>
              <w:left w:val="single" w:color="000000" w:sz="4" w:space="0"/>
              <w:bottom w:val="single" w:color="auto" w:sz="4" w:space="0"/>
              <w:right w:val="single" w:color="000000" w:sz="4" w:space="0"/>
            </w:tcBorders>
            <w:shd w:val="clear" w:color="auto" w:fill="auto"/>
            <w:vAlign w:val="center"/>
          </w:tcPr>
          <w:p w14:paraId="0EE6DDD7">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一审服判息诉率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3058CF8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53B5B95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2.67</w:t>
            </w:r>
          </w:p>
        </w:tc>
        <w:tc>
          <w:tcPr>
            <w:tcW w:w="1252" w:type="dxa"/>
            <w:tcBorders>
              <w:top w:val="single" w:color="auto" w:sz="4" w:space="0"/>
              <w:left w:val="nil"/>
              <w:bottom w:val="single" w:color="auto" w:sz="4" w:space="0"/>
              <w:right w:val="single" w:color="auto" w:sz="4" w:space="0"/>
            </w:tcBorders>
            <w:shd w:val="clear" w:color="auto" w:fill="auto"/>
            <w:vAlign w:val="center"/>
          </w:tcPr>
          <w:p w14:paraId="7FA27B5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89.00%</w:t>
            </w:r>
          </w:p>
        </w:tc>
      </w:tr>
      <w:tr w14:paraId="48FCA3D3">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61A55B08">
            <w:pPr>
              <w:jc w:val="center"/>
              <w:rPr>
                <w:rStyle w:val="33"/>
                <w:rFonts w:hint="eastAsia" w:ascii="宋体" w:hAnsi="宋体" w:eastAsia="宋体" w:cs="宋体"/>
                <w:color w:val="auto"/>
                <w:sz w:val="20"/>
                <w:szCs w:val="20"/>
                <w:highlight w:val="none"/>
                <w:lang w:bidi="ar"/>
              </w:rPr>
            </w:pPr>
          </w:p>
        </w:tc>
        <w:tc>
          <w:tcPr>
            <w:tcW w:w="1113" w:type="dxa"/>
            <w:vMerge w:val="continue"/>
            <w:tcBorders>
              <w:left w:val="single" w:color="000000" w:sz="4" w:space="0"/>
              <w:right w:val="single" w:color="000000" w:sz="4" w:space="0"/>
            </w:tcBorders>
            <w:shd w:val="clear" w:color="auto" w:fill="auto"/>
            <w:vAlign w:val="center"/>
          </w:tcPr>
          <w:p w14:paraId="24EA3194">
            <w:pPr>
              <w:jc w:val="center"/>
              <w:rPr>
                <w:rStyle w:val="33"/>
                <w:rFonts w:hint="eastAsia" w:ascii="宋体" w:hAnsi="宋体" w:eastAsia="宋体" w:cs="宋体"/>
                <w:color w:val="auto"/>
                <w:sz w:val="20"/>
                <w:szCs w:val="20"/>
                <w:highlight w:val="none"/>
                <w:lang w:bidi="ar"/>
              </w:rPr>
            </w:pP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6A2A34FF">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信息化运维服务完成率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259D535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2F15843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1B85211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412E2ED1">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39AF808C">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p>
        </w:tc>
        <w:tc>
          <w:tcPr>
            <w:tcW w:w="1113" w:type="dxa"/>
            <w:vMerge w:val="continue"/>
            <w:tcBorders>
              <w:left w:val="single" w:color="000000" w:sz="4" w:space="0"/>
              <w:bottom w:val="single" w:color="auto" w:sz="4" w:space="0"/>
              <w:right w:val="single" w:color="000000" w:sz="4" w:space="0"/>
            </w:tcBorders>
            <w:shd w:val="clear" w:color="auto" w:fill="auto"/>
            <w:vAlign w:val="center"/>
          </w:tcPr>
          <w:p w14:paraId="494887A4">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auto" w:sz="4" w:space="0"/>
            </w:tcBorders>
            <w:shd w:val="clear" w:color="auto" w:fill="auto"/>
            <w:vAlign w:val="center"/>
          </w:tcPr>
          <w:p w14:paraId="20D7E4A8">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维修维护项目完成率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7AAF8FB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nil"/>
              <w:left w:val="single" w:color="auto" w:sz="4" w:space="0"/>
              <w:bottom w:val="single" w:color="auto" w:sz="4" w:space="0"/>
              <w:right w:val="single" w:color="auto" w:sz="4" w:space="0"/>
            </w:tcBorders>
            <w:shd w:val="clear" w:color="auto" w:fill="auto"/>
            <w:vAlign w:val="center"/>
          </w:tcPr>
          <w:p w14:paraId="0F1D695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nil"/>
              <w:bottom w:val="single" w:color="auto" w:sz="4" w:space="0"/>
              <w:right w:val="single" w:color="auto" w:sz="4" w:space="0"/>
            </w:tcBorders>
            <w:shd w:val="clear" w:color="auto" w:fill="auto"/>
            <w:vAlign w:val="center"/>
          </w:tcPr>
          <w:p w14:paraId="52FBA66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484C261F">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auto" w:sz="4" w:space="0"/>
              <w:right w:val="single" w:color="000000" w:sz="4" w:space="0"/>
            </w:tcBorders>
            <w:shd w:val="clear" w:color="auto" w:fill="auto"/>
            <w:vAlign w:val="center"/>
          </w:tcPr>
          <w:p w14:paraId="6B6A198E">
            <w:pPr>
              <w:jc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8DB934A">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时效指标</w:t>
            </w: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4C17372F">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办案经费支付及时率</w:t>
            </w:r>
          </w:p>
        </w:tc>
        <w:tc>
          <w:tcPr>
            <w:tcW w:w="1223" w:type="dxa"/>
            <w:tcBorders>
              <w:top w:val="single" w:color="auto" w:sz="4" w:space="0"/>
              <w:left w:val="single" w:color="auto" w:sz="4" w:space="0"/>
              <w:bottom w:val="single" w:color="auto" w:sz="4" w:space="0"/>
              <w:right w:val="nil"/>
            </w:tcBorders>
            <w:shd w:val="clear" w:color="auto" w:fill="auto"/>
            <w:vAlign w:val="center"/>
          </w:tcPr>
          <w:p w14:paraId="1DDD2B5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2" w:type="dxa"/>
            <w:tcBorders>
              <w:top w:val="nil"/>
              <w:left w:val="single" w:color="auto" w:sz="4" w:space="0"/>
              <w:bottom w:val="single" w:color="auto" w:sz="4" w:space="0"/>
              <w:right w:val="single" w:color="auto" w:sz="4" w:space="0"/>
            </w:tcBorders>
            <w:shd w:val="clear" w:color="auto" w:fill="auto"/>
            <w:vAlign w:val="center"/>
          </w:tcPr>
          <w:p w14:paraId="1220797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52" w:type="dxa"/>
            <w:tcBorders>
              <w:top w:val="single" w:color="auto" w:sz="4" w:space="0"/>
              <w:left w:val="nil"/>
              <w:bottom w:val="single" w:color="auto" w:sz="4" w:space="0"/>
              <w:right w:val="single" w:color="auto" w:sz="4" w:space="0"/>
            </w:tcBorders>
            <w:shd w:val="clear" w:color="auto" w:fill="auto"/>
            <w:vAlign w:val="center"/>
          </w:tcPr>
          <w:p w14:paraId="329396F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5995331C">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C0CE46">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43963B">
            <w:pPr>
              <w:jc w:val="center"/>
              <w:rPr>
                <w:rStyle w:val="33"/>
                <w:rFonts w:hint="eastAsia" w:ascii="宋体" w:hAnsi="宋体" w:eastAsia="宋体" w:cs="宋体"/>
                <w:color w:val="auto"/>
                <w:sz w:val="20"/>
                <w:szCs w:val="20"/>
                <w:highlight w:val="none"/>
                <w:lang w:bidi="ar"/>
              </w:rPr>
            </w:pPr>
          </w:p>
        </w:tc>
        <w:tc>
          <w:tcPr>
            <w:tcW w:w="2662" w:type="dxa"/>
            <w:tcBorders>
              <w:top w:val="single" w:color="auto" w:sz="4" w:space="0"/>
              <w:left w:val="single" w:color="000000" w:sz="4" w:space="0"/>
              <w:bottom w:val="single" w:color="auto" w:sz="4" w:space="0"/>
              <w:right w:val="single" w:color="000000" w:sz="4" w:space="0"/>
            </w:tcBorders>
            <w:shd w:val="clear" w:color="auto" w:fill="auto"/>
            <w:vAlign w:val="center"/>
          </w:tcPr>
          <w:p w14:paraId="382C0754">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信息化运维工作及时性</w:t>
            </w:r>
          </w:p>
        </w:tc>
        <w:tc>
          <w:tcPr>
            <w:tcW w:w="1223" w:type="dxa"/>
            <w:tcBorders>
              <w:top w:val="single" w:color="auto" w:sz="4" w:space="0"/>
              <w:left w:val="single" w:color="auto" w:sz="4" w:space="0"/>
              <w:bottom w:val="nil"/>
              <w:right w:val="nil"/>
            </w:tcBorders>
            <w:shd w:val="clear" w:color="auto" w:fill="auto"/>
            <w:vAlign w:val="center"/>
          </w:tcPr>
          <w:p w14:paraId="3A3751E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2" w:type="dxa"/>
            <w:tcBorders>
              <w:top w:val="nil"/>
              <w:left w:val="single" w:color="auto" w:sz="4" w:space="0"/>
              <w:bottom w:val="single" w:color="auto" w:sz="4" w:space="0"/>
              <w:right w:val="single" w:color="auto" w:sz="4" w:space="0"/>
            </w:tcBorders>
            <w:shd w:val="clear" w:color="auto" w:fill="auto"/>
            <w:vAlign w:val="center"/>
          </w:tcPr>
          <w:p w14:paraId="5045AAE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52" w:type="dxa"/>
            <w:tcBorders>
              <w:top w:val="single" w:color="auto" w:sz="4" w:space="0"/>
              <w:left w:val="nil"/>
              <w:bottom w:val="single" w:color="auto" w:sz="4" w:space="0"/>
              <w:right w:val="single" w:color="auto" w:sz="4" w:space="0"/>
            </w:tcBorders>
            <w:shd w:val="clear" w:color="auto" w:fill="auto"/>
            <w:vAlign w:val="center"/>
          </w:tcPr>
          <w:p w14:paraId="7353E32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ADF0F01">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E75C3C">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AD1DA0">
            <w:pPr>
              <w:jc w:val="center"/>
              <w:rPr>
                <w:rStyle w:val="33"/>
                <w:rFonts w:hint="eastAsia" w:ascii="宋体" w:hAnsi="宋体" w:eastAsia="宋体" w:cs="宋体"/>
                <w:color w:val="auto"/>
                <w:sz w:val="20"/>
                <w:szCs w:val="20"/>
                <w:highlight w:val="none"/>
                <w:lang w:bidi="ar"/>
              </w:rPr>
            </w:pPr>
          </w:p>
        </w:tc>
        <w:tc>
          <w:tcPr>
            <w:tcW w:w="2662" w:type="dxa"/>
            <w:tcBorders>
              <w:top w:val="single" w:color="auto" w:sz="4" w:space="0"/>
              <w:left w:val="single" w:color="000000" w:sz="4" w:space="0"/>
              <w:bottom w:val="single" w:color="auto" w:sz="4" w:space="0"/>
              <w:right w:val="single" w:color="000000" w:sz="4" w:space="0"/>
            </w:tcBorders>
            <w:shd w:val="clear" w:color="auto" w:fill="auto"/>
            <w:vAlign w:val="center"/>
          </w:tcPr>
          <w:p w14:paraId="347A0E10">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维修修护及时性</w:t>
            </w:r>
          </w:p>
        </w:tc>
        <w:tc>
          <w:tcPr>
            <w:tcW w:w="1223" w:type="dxa"/>
            <w:tcBorders>
              <w:top w:val="single" w:color="auto" w:sz="4" w:space="0"/>
              <w:left w:val="single" w:color="auto" w:sz="4" w:space="0"/>
              <w:bottom w:val="single" w:color="auto" w:sz="4" w:space="0"/>
              <w:right w:val="nil"/>
            </w:tcBorders>
            <w:shd w:val="clear" w:color="auto" w:fill="auto"/>
            <w:vAlign w:val="center"/>
          </w:tcPr>
          <w:p w14:paraId="1D90C16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2" w:type="dxa"/>
            <w:tcBorders>
              <w:top w:val="nil"/>
              <w:left w:val="single" w:color="auto" w:sz="4" w:space="0"/>
              <w:bottom w:val="single" w:color="auto" w:sz="4" w:space="0"/>
              <w:right w:val="single" w:color="auto" w:sz="4" w:space="0"/>
            </w:tcBorders>
            <w:shd w:val="clear" w:color="auto" w:fill="auto"/>
            <w:vAlign w:val="center"/>
          </w:tcPr>
          <w:p w14:paraId="456D4A1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52" w:type="dxa"/>
            <w:tcBorders>
              <w:top w:val="single" w:color="auto" w:sz="4" w:space="0"/>
              <w:left w:val="nil"/>
              <w:bottom w:val="single" w:color="auto" w:sz="4" w:space="0"/>
              <w:right w:val="single" w:color="auto" w:sz="4" w:space="0"/>
            </w:tcBorders>
            <w:shd w:val="clear" w:color="auto" w:fill="auto"/>
            <w:vAlign w:val="center"/>
          </w:tcPr>
          <w:p w14:paraId="198A932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6230AE6">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E497581">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效益指标</w:t>
            </w:r>
          </w:p>
        </w:tc>
        <w:tc>
          <w:tcPr>
            <w:tcW w:w="1113" w:type="dxa"/>
            <w:tcBorders>
              <w:top w:val="single" w:color="auto" w:sz="4" w:space="0"/>
              <w:left w:val="single" w:color="000000" w:sz="4" w:space="0"/>
              <w:bottom w:val="single" w:color="auto" w:sz="4" w:space="0"/>
              <w:right w:val="single" w:color="000000" w:sz="4" w:space="0"/>
            </w:tcBorders>
            <w:shd w:val="clear" w:color="auto" w:fill="auto"/>
            <w:vAlign w:val="center"/>
          </w:tcPr>
          <w:p w14:paraId="213F19F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经济效益指标</w:t>
            </w:r>
          </w:p>
        </w:tc>
        <w:tc>
          <w:tcPr>
            <w:tcW w:w="2662" w:type="dxa"/>
            <w:tcBorders>
              <w:top w:val="single" w:color="auto" w:sz="4" w:space="0"/>
              <w:left w:val="single" w:color="000000" w:sz="4" w:space="0"/>
              <w:bottom w:val="single" w:color="auto" w:sz="4" w:space="0"/>
              <w:right w:val="single" w:color="000000" w:sz="4" w:space="0"/>
            </w:tcBorders>
            <w:shd w:val="clear" w:color="auto" w:fill="auto"/>
            <w:vAlign w:val="center"/>
          </w:tcPr>
          <w:p w14:paraId="423EC4AD">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挽回经济损失效果</w:t>
            </w:r>
          </w:p>
        </w:tc>
        <w:tc>
          <w:tcPr>
            <w:tcW w:w="1223" w:type="dxa"/>
            <w:tcBorders>
              <w:top w:val="single" w:color="auto" w:sz="4" w:space="0"/>
              <w:left w:val="single" w:color="auto" w:sz="4" w:space="0"/>
              <w:bottom w:val="single" w:color="auto" w:sz="4" w:space="0"/>
              <w:right w:val="nil"/>
            </w:tcBorders>
            <w:shd w:val="clear" w:color="auto" w:fill="auto"/>
            <w:vAlign w:val="center"/>
          </w:tcPr>
          <w:p w14:paraId="7B3817A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67BBEF5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52" w:type="dxa"/>
            <w:tcBorders>
              <w:top w:val="single" w:color="auto" w:sz="4" w:space="0"/>
              <w:left w:val="nil"/>
              <w:bottom w:val="single" w:color="auto" w:sz="4" w:space="0"/>
              <w:right w:val="single" w:color="auto" w:sz="4" w:space="0"/>
            </w:tcBorders>
            <w:shd w:val="clear" w:color="auto" w:fill="auto"/>
            <w:vAlign w:val="center"/>
          </w:tcPr>
          <w:p w14:paraId="035CBCD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80.00%</w:t>
            </w:r>
          </w:p>
        </w:tc>
      </w:tr>
      <w:tr w14:paraId="0B869A0A">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right w:val="single" w:color="000000" w:sz="4" w:space="0"/>
            </w:tcBorders>
            <w:shd w:val="clear" w:color="auto" w:fill="auto"/>
            <w:vAlign w:val="center"/>
          </w:tcPr>
          <w:p w14:paraId="0FCC3EC5">
            <w:pPr>
              <w:jc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099273A">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社会效益指标</w:t>
            </w:r>
          </w:p>
        </w:tc>
        <w:tc>
          <w:tcPr>
            <w:tcW w:w="2662" w:type="dxa"/>
            <w:tcBorders>
              <w:top w:val="single" w:color="auto" w:sz="4" w:space="0"/>
              <w:left w:val="single" w:color="000000" w:sz="4" w:space="0"/>
              <w:bottom w:val="single" w:color="auto" w:sz="4" w:space="0"/>
              <w:right w:val="single" w:color="000000" w:sz="4" w:space="0"/>
            </w:tcBorders>
            <w:shd w:val="clear" w:color="auto" w:fill="auto"/>
            <w:vAlign w:val="center"/>
          </w:tcPr>
          <w:p w14:paraId="4FBF1C49">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维护社会稳定</w:t>
            </w:r>
          </w:p>
        </w:tc>
        <w:tc>
          <w:tcPr>
            <w:tcW w:w="1223" w:type="dxa"/>
            <w:tcBorders>
              <w:top w:val="single" w:color="auto" w:sz="4" w:space="0"/>
              <w:left w:val="single" w:color="auto" w:sz="4" w:space="0"/>
              <w:bottom w:val="single" w:color="auto" w:sz="4" w:space="0"/>
              <w:right w:val="nil"/>
            </w:tcBorders>
            <w:shd w:val="clear" w:color="auto" w:fill="auto"/>
            <w:vAlign w:val="center"/>
          </w:tcPr>
          <w:p w14:paraId="2F63329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24F36C8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5F6B248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486785F">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72A2F398">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AFD640">
            <w:pPr>
              <w:jc w:val="center"/>
              <w:rPr>
                <w:rStyle w:val="33"/>
                <w:rFonts w:hint="eastAsia" w:ascii="宋体" w:hAnsi="宋体" w:eastAsia="宋体" w:cs="宋体"/>
                <w:color w:val="auto"/>
                <w:sz w:val="20"/>
                <w:szCs w:val="20"/>
                <w:highlight w:val="none"/>
                <w:lang w:bidi="ar"/>
              </w:rPr>
            </w:pP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4E44B69F">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有效保障审判服务</w:t>
            </w:r>
          </w:p>
        </w:tc>
        <w:tc>
          <w:tcPr>
            <w:tcW w:w="1223" w:type="dxa"/>
            <w:tcBorders>
              <w:top w:val="single" w:color="auto" w:sz="4" w:space="0"/>
              <w:left w:val="single" w:color="auto" w:sz="4" w:space="0"/>
              <w:bottom w:val="nil"/>
              <w:right w:val="nil"/>
            </w:tcBorders>
            <w:shd w:val="clear" w:color="auto" w:fill="auto"/>
            <w:vAlign w:val="center"/>
          </w:tcPr>
          <w:p w14:paraId="566D953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05596E6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12CE1B4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B0798BA">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auto" w:sz="4" w:space="0"/>
              <w:right w:val="single" w:color="000000" w:sz="4" w:space="0"/>
            </w:tcBorders>
            <w:shd w:val="clear" w:color="auto" w:fill="auto"/>
            <w:vAlign w:val="center"/>
          </w:tcPr>
          <w:p w14:paraId="5846088A">
            <w:pPr>
              <w:jc w:val="center"/>
              <w:rPr>
                <w:rStyle w:val="33"/>
                <w:rFonts w:hint="eastAsia" w:ascii="宋体" w:hAnsi="宋体" w:eastAsia="宋体" w:cs="宋体"/>
                <w:color w:val="auto"/>
                <w:sz w:val="20"/>
                <w:szCs w:val="20"/>
                <w:highlight w:val="none"/>
                <w:lang w:bidi="ar"/>
              </w:rPr>
            </w:pPr>
          </w:p>
        </w:tc>
        <w:tc>
          <w:tcPr>
            <w:tcW w:w="1113" w:type="dxa"/>
            <w:tcBorders>
              <w:top w:val="single" w:color="auto" w:sz="4" w:space="0"/>
              <w:left w:val="single" w:color="000000" w:sz="4" w:space="0"/>
              <w:bottom w:val="single" w:color="auto" w:sz="4" w:space="0"/>
              <w:right w:val="single" w:color="000000" w:sz="4" w:space="0"/>
            </w:tcBorders>
            <w:shd w:val="clear" w:color="auto" w:fill="auto"/>
            <w:vAlign w:val="center"/>
          </w:tcPr>
          <w:p w14:paraId="1FED94C1">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生态效益指标</w:t>
            </w: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2695034C">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打击生态犯罪，维护生态秩序</w:t>
            </w:r>
          </w:p>
        </w:tc>
        <w:tc>
          <w:tcPr>
            <w:tcW w:w="1223" w:type="dxa"/>
            <w:tcBorders>
              <w:top w:val="single" w:color="auto" w:sz="4" w:space="0"/>
              <w:left w:val="single" w:color="auto" w:sz="4" w:space="0"/>
              <w:bottom w:val="single" w:color="auto" w:sz="4" w:space="0"/>
              <w:right w:val="nil"/>
            </w:tcBorders>
            <w:shd w:val="clear" w:color="auto" w:fill="auto"/>
            <w:vAlign w:val="center"/>
          </w:tcPr>
          <w:p w14:paraId="5AF6F4F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7C7BC27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29A8148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1F4CD5B6">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000000" w:sz="4" w:space="0"/>
              <w:right w:val="single" w:color="000000" w:sz="4" w:space="0"/>
            </w:tcBorders>
            <w:shd w:val="clear" w:color="auto" w:fill="auto"/>
            <w:vAlign w:val="center"/>
          </w:tcPr>
          <w:p w14:paraId="04239324">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2315D3DB">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333333"/>
                <w:kern w:val="0"/>
                <w:sz w:val="20"/>
                <w:szCs w:val="20"/>
                <w:highlight w:val="none"/>
                <w:u w:val="none"/>
                <w:lang w:val="en-US" w:eastAsia="zh-CN" w:bidi="ar"/>
              </w:rPr>
              <w:t>服务对象满意度指标</w:t>
            </w: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1118D4B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当事人满意程度</w:t>
            </w:r>
          </w:p>
        </w:tc>
        <w:tc>
          <w:tcPr>
            <w:tcW w:w="1223" w:type="dxa"/>
            <w:tcBorders>
              <w:top w:val="single" w:color="auto" w:sz="4" w:space="0"/>
              <w:left w:val="single" w:color="auto" w:sz="4" w:space="0"/>
              <w:bottom w:val="nil"/>
              <w:right w:val="nil"/>
            </w:tcBorders>
            <w:shd w:val="clear" w:color="auto" w:fill="auto"/>
            <w:vAlign w:val="center"/>
          </w:tcPr>
          <w:p w14:paraId="4B30973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22E4DBF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75C61B7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044EECCE">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17258AD2">
            <w:pPr>
              <w:jc w:val="center"/>
              <w:rPr>
                <w:rStyle w:val="33"/>
                <w:rFonts w:hint="eastAsia" w:ascii="宋体" w:hAnsi="宋体" w:eastAsia="宋体" w:cs="宋体"/>
                <w:color w:val="auto"/>
                <w:sz w:val="20"/>
                <w:szCs w:val="20"/>
                <w:highlight w:val="none"/>
                <w:lang w:bidi="ar"/>
              </w:rPr>
            </w:pPr>
          </w:p>
        </w:tc>
        <w:tc>
          <w:tcPr>
            <w:tcW w:w="1113" w:type="dxa"/>
            <w:vMerge w:val="continue"/>
            <w:tcBorders>
              <w:top w:val="single" w:color="auto" w:sz="4" w:space="0"/>
              <w:left w:val="single" w:color="000000" w:sz="4" w:space="0"/>
              <w:right w:val="single" w:color="000000" w:sz="4" w:space="0"/>
            </w:tcBorders>
            <w:shd w:val="clear" w:color="auto" w:fill="auto"/>
            <w:vAlign w:val="center"/>
          </w:tcPr>
          <w:p w14:paraId="620201C4">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76D7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干警满意程度</w:t>
            </w:r>
          </w:p>
        </w:tc>
        <w:tc>
          <w:tcPr>
            <w:tcW w:w="1223" w:type="dxa"/>
            <w:tcBorders>
              <w:top w:val="single" w:color="auto" w:sz="4" w:space="0"/>
              <w:left w:val="single" w:color="auto" w:sz="4" w:space="0"/>
              <w:bottom w:val="nil"/>
              <w:right w:val="nil"/>
            </w:tcBorders>
            <w:shd w:val="clear" w:color="auto" w:fill="auto"/>
            <w:vAlign w:val="center"/>
          </w:tcPr>
          <w:p w14:paraId="4E6BE3B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64C7F48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0A302C4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4604DF60">
        <w:tblPrEx>
          <w:tblCellMar>
            <w:top w:w="0" w:type="dxa"/>
            <w:left w:w="108" w:type="dxa"/>
            <w:bottom w:w="0" w:type="dxa"/>
            <w:right w:w="108" w:type="dxa"/>
          </w:tblCellMar>
        </w:tblPrEx>
        <w:trPr>
          <w:trHeight w:val="454" w:hRule="atLeast"/>
        </w:trPr>
        <w:tc>
          <w:tcPr>
            <w:tcW w:w="4891"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17A9F5C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1223" w:type="dxa"/>
            <w:tcBorders>
              <w:top w:val="single" w:color="000000" w:sz="4" w:space="0"/>
              <w:left w:val="single" w:color="auto" w:sz="4" w:space="0"/>
              <w:bottom w:val="single" w:color="000000" w:sz="4" w:space="0"/>
              <w:right w:val="single" w:color="000000" w:sz="4" w:space="0"/>
            </w:tcBorders>
            <w:shd w:val="clear" w:color="auto" w:fill="auto"/>
            <w:vAlign w:val="center"/>
          </w:tcPr>
          <w:p w14:paraId="7E27015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E90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95.63</w:t>
            </w:r>
          </w:p>
        </w:tc>
        <w:tc>
          <w:tcPr>
            <w:tcW w:w="1252" w:type="dxa"/>
            <w:tcBorders>
              <w:top w:val="single" w:color="auto" w:sz="4" w:space="0"/>
              <w:left w:val="single" w:color="000000" w:sz="4" w:space="0"/>
              <w:bottom w:val="single" w:color="000000" w:sz="4" w:space="0"/>
              <w:right w:val="single" w:color="000000" w:sz="4" w:space="0"/>
            </w:tcBorders>
            <w:shd w:val="clear" w:color="auto" w:fill="auto"/>
            <w:vAlign w:val="center"/>
          </w:tcPr>
          <w:p w14:paraId="2A7E0468">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95.63%</w:t>
            </w:r>
          </w:p>
        </w:tc>
      </w:tr>
    </w:tbl>
    <w:p w14:paraId="585358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rPr>
      </w:pPr>
      <w:bookmarkStart w:id="124" w:name="_Toc10740"/>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通过项目实施，有效保障了</w:t>
      </w:r>
      <w:r>
        <w:rPr>
          <w:rFonts w:hint="eastAsia" w:ascii="仿宋_GB2312" w:hAnsi="仿宋_GB2312" w:eastAsia="仿宋_GB2312" w:cs="仿宋_GB2312"/>
          <w:sz w:val="32"/>
          <w:szCs w:val="32"/>
          <w:highlight w:val="none"/>
        </w:rPr>
        <w:t>公共设施运行维护、审判保障服务、公共秩序维护等业务正常运转。但该项目也</w:t>
      </w:r>
      <w:r>
        <w:rPr>
          <w:rFonts w:hint="eastAsia" w:ascii="仿宋_GB2312" w:hAnsi="仿宋_GB2312" w:eastAsia="仿宋_GB2312" w:cs="仿宋_GB2312"/>
          <w:sz w:val="32"/>
          <w:szCs w:val="32"/>
          <w:highlight w:val="none"/>
          <w:lang w:val="en-US" w:eastAsia="zh-CN"/>
        </w:rPr>
        <w:t>存在绩效管理有待规范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预算执行有待提高，个别指标未达到年度目标的</w:t>
      </w:r>
      <w:r>
        <w:rPr>
          <w:rFonts w:hint="eastAsia" w:ascii="仿宋_GB2312" w:hAnsi="仿宋_GB2312" w:eastAsia="仿宋_GB2312" w:cs="仿宋_GB2312"/>
          <w:sz w:val="32"/>
          <w:szCs w:val="32"/>
          <w:highlight w:val="none"/>
        </w:rPr>
        <w:t>问题。</w:t>
      </w:r>
      <w:bookmarkEnd w:id="124"/>
    </w:p>
    <w:p w14:paraId="107452E0">
      <w:pPr>
        <w:pStyle w:val="9"/>
        <w:tabs>
          <w:tab w:val="left" w:pos="3780"/>
        </w:tabs>
        <w:overflowPunct w:val="0"/>
        <w:spacing w:line="560" w:lineRule="exact"/>
        <w:ind w:firstLine="640" w:firstLineChars="200"/>
        <w:outlineLvl w:val="0"/>
        <w:rPr>
          <w:rFonts w:ascii="黑体" w:eastAsia="黑体"/>
          <w:highlight w:val="none"/>
        </w:rPr>
      </w:pPr>
      <w:bookmarkStart w:id="125" w:name="_Toc25412"/>
      <w:bookmarkStart w:id="126" w:name="_Toc30293"/>
      <w:bookmarkStart w:id="127" w:name="_Toc16535"/>
      <w:r>
        <w:rPr>
          <w:rFonts w:hint="eastAsia" w:ascii="黑体" w:eastAsia="黑体"/>
          <w:highlight w:val="none"/>
        </w:rPr>
        <w:t>五、绩效评价指标分析</w:t>
      </w:r>
      <w:bookmarkEnd w:id="125"/>
      <w:bookmarkEnd w:id="126"/>
      <w:bookmarkEnd w:id="127"/>
    </w:p>
    <w:p w14:paraId="40185CA0">
      <w:pPr>
        <w:tabs>
          <w:tab w:val="left" w:pos="3780"/>
        </w:tabs>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项目绩效评价分级设计项目决策、过程、</w:t>
      </w:r>
      <w:r>
        <w:rPr>
          <w:rFonts w:hint="eastAsia" w:ascii="仿宋_GB2312" w:hAnsi="仿宋_GB2312" w:eastAsia="仿宋_GB2312" w:cs="仿宋_GB2312"/>
          <w:sz w:val="32"/>
          <w:szCs w:val="32"/>
          <w:highlight w:val="none"/>
          <w:lang w:val="en-US" w:eastAsia="zh-CN"/>
        </w:rPr>
        <w:t>成本、</w:t>
      </w:r>
      <w:r>
        <w:rPr>
          <w:rFonts w:hint="eastAsia" w:ascii="仿宋_GB2312" w:hAnsi="仿宋_GB2312" w:eastAsia="仿宋_GB2312" w:cs="仿宋_GB2312"/>
          <w:sz w:val="32"/>
          <w:szCs w:val="32"/>
          <w:highlight w:val="none"/>
        </w:rPr>
        <w:t>产出、效益</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个一级指标，一级指标具体得分情况见下表：</w:t>
      </w:r>
    </w:p>
    <w:p w14:paraId="454E1A56">
      <w:pPr>
        <w:overflowPunct w:val="0"/>
        <w:spacing w:before="156" w:beforeLines="50" w:after="156" w:afterLines="50"/>
        <w:jc w:val="left"/>
        <w:rPr>
          <w:rFonts w:cs="黑体" w:asciiTheme="minorEastAsia" w:hAnsiTheme="minorEastAsia"/>
          <w:sz w:val="28"/>
          <w:szCs w:val="24"/>
          <w:highlight w:val="yellow"/>
        </w:rPr>
      </w:pPr>
      <w:r>
        <w:rPr>
          <w:rFonts w:hint="eastAsia" w:asciiTheme="minorEastAsia" w:hAnsiTheme="minorEastAsia" w:cstheme="minorEastAsia"/>
          <w:kern w:val="0"/>
          <w:sz w:val="28"/>
          <w:szCs w:val="28"/>
          <w:highlight w:val="none"/>
        </w:rPr>
        <w:drawing>
          <wp:inline distT="0" distB="0" distL="114300" distR="114300">
            <wp:extent cx="5433060" cy="3427095"/>
            <wp:effectExtent l="4445" t="4445" r="18415" b="1270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DB71539">
      <w:pPr>
        <w:pStyle w:val="9"/>
        <w:overflowPunct w:val="0"/>
        <w:spacing w:line="560" w:lineRule="exact"/>
        <w:ind w:firstLine="643" w:firstLineChars="200"/>
        <w:outlineLvl w:val="1"/>
        <w:rPr>
          <w:rFonts w:ascii="楷体" w:hAnsi="楷体" w:eastAsia="楷体" w:cs="楷体"/>
          <w:b/>
          <w:bCs/>
          <w:highlight w:val="none"/>
        </w:rPr>
      </w:pPr>
      <w:bookmarkStart w:id="128" w:name="_Toc30072"/>
      <w:bookmarkStart w:id="129" w:name="_Toc23689"/>
      <w:bookmarkStart w:id="130" w:name="_Toc10145"/>
      <w:r>
        <w:rPr>
          <w:rFonts w:hint="eastAsia" w:ascii="楷体" w:hAnsi="楷体" w:eastAsia="楷体" w:cs="楷体"/>
          <w:b/>
          <w:bCs/>
          <w:highlight w:val="none"/>
        </w:rPr>
        <w:t>（一）项目决策情况</w:t>
      </w:r>
      <w:bookmarkEnd w:id="128"/>
      <w:bookmarkEnd w:id="129"/>
      <w:bookmarkEnd w:id="130"/>
    </w:p>
    <w:p w14:paraId="4C2922E3">
      <w:pPr>
        <w:pStyle w:val="26"/>
        <w:overflowPunct w:val="0"/>
        <w:spacing w:line="560" w:lineRule="exact"/>
        <w:ind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项目决策指标包括项目立项、绩效目标、资金投入三个二级指标，项目立项指标包括立项依据充分性、立项程序规范性两个三级指标，绩效目标指标包括绩效目标合理性、绩效指标明确性两个三级指标，资</w:t>
      </w:r>
      <w:r>
        <w:rPr>
          <w:rFonts w:hint="eastAsia" w:ascii="仿宋_GB2312" w:hAnsi="仿宋_GB2312" w:eastAsia="仿宋_GB2312" w:cs="仿宋_GB2312"/>
          <w:color w:val="auto"/>
          <w:sz w:val="32"/>
          <w:szCs w:val="32"/>
          <w:highlight w:val="none"/>
        </w:rPr>
        <w:t>金投入指标包括预算编制科学性、资金分配合理性两个三级指标。指标分值</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分，评价得分1</w:t>
      </w:r>
      <w:r>
        <w:rPr>
          <w:rFonts w:hint="eastAsia" w:ascii="仿宋_GB2312" w:hAnsi="仿宋_GB2312" w:eastAsia="仿宋_GB2312" w:cs="仿宋_GB2312"/>
          <w:color w:val="auto"/>
          <w:sz w:val="32"/>
          <w:szCs w:val="32"/>
          <w:highlight w:val="none"/>
          <w:lang w:val="en-US" w:eastAsia="zh-CN"/>
        </w:rPr>
        <w:t>4.17</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94.47</w:t>
      </w:r>
      <w:r>
        <w:rPr>
          <w:rFonts w:hint="eastAsia" w:ascii="仿宋_GB2312" w:hAnsi="仿宋_GB2312" w:eastAsia="仿宋_GB2312" w:cs="仿宋_GB2312"/>
          <w:color w:val="auto"/>
          <w:sz w:val="32"/>
          <w:szCs w:val="32"/>
          <w:highlight w:val="none"/>
        </w:rPr>
        <w:t>%。</w:t>
      </w:r>
    </w:p>
    <w:tbl>
      <w:tblPr>
        <w:tblStyle w:val="20"/>
        <w:tblW w:w="86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98"/>
        <w:gridCol w:w="835"/>
        <w:gridCol w:w="1186"/>
        <w:gridCol w:w="1181"/>
        <w:gridCol w:w="805"/>
        <w:gridCol w:w="1241"/>
      </w:tblGrid>
      <w:tr w14:paraId="1C56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0" w:type="dxa"/>
            <w:tcBorders>
              <w:top w:val="single" w:color="auto" w:sz="12" w:space="0"/>
              <w:left w:val="nil"/>
              <w:bottom w:val="dotted" w:color="auto" w:sz="4" w:space="0"/>
              <w:right w:val="dotted" w:color="auto" w:sz="4" w:space="0"/>
            </w:tcBorders>
            <w:shd w:val="clear" w:color="auto" w:fill="BDD6EE" w:themeFill="accent1" w:themeFillTint="66"/>
            <w:vAlign w:val="center"/>
          </w:tcPr>
          <w:p w14:paraId="07336E2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198"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78CC19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7389E68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86"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758C91C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81"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355297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80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CDAF19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41" w:type="dxa"/>
            <w:tcBorders>
              <w:top w:val="single" w:color="auto" w:sz="12" w:space="0"/>
              <w:left w:val="dotted" w:color="auto" w:sz="4" w:space="0"/>
              <w:bottom w:val="dotted" w:color="auto" w:sz="4" w:space="0"/>
              <w:right w:val="nil"/>
            </w:tcBorders>
            <w:shd w:val="clear" w:color="auto" w:fill="BDD6EE" w:themeFill="accent1" w:themeFillTint="66"/>
            <w:vAlign w:val="center"/>
          </w:tcPr>
          <w:p w14:paraId="0C36F0B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3CA3A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4A4396CB">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项目立项</w:t>
            </w:r>
          </w:p>
        </w:tc>
        <w:tc>
          <w:tcPr>
            <w:tcW w:w="2198" w:type="dxa"/>
            <w:tcBorders>
              <w:top w:val="dotted" w:color="auto" w:sz="4" w:space="0"/>
              <w:left w:val="dotted" w:color="auto" w:sz="4" w:space="0"/>
              <w:bottom w:val="dotted" w:color="auto" w:sz="4" w:space="0"/>
              <w:right w:val="dotted" w:color="auto" w:sz="4" w:space="0"/>
            </w:tcBorders>
            <w:vAlign w:val="center"/>
          </w:tcPr>
          <w:p w14:paraId="782C1602">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立项依据充分性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31F047C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1575C84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511172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26EB4E3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310DD991">
            <w:pPr>
              <w:keepNext w:val="0"/>
              <w:keepLines w:val="0"/>
              <w:widowControl/>
              <w:suppressLineNumbers w:val="0"/>
              <w:jc w:val="right"/>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100.00%</w:t>
            </w:r>
          </w:p>
        </w:tc>
      </w:tr>
      <w:tr w14:paraId="5EB12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4D284C3C">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771A0B90">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立项程序规范性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28DD619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87715F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0011F39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47A5B63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0DDAC0B2">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100.00%</w:t>
            </w:r>
          </w:p>
        </w:tc>
      </w:tr>
      <w:tr w14:paraId="021B2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71A58230">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w:t>
            </w:r>
          </w:p>
        </w:tc>
        <w:tc>
          <w:tcPr>
            <w:tcW w:w="2198" w:type="dxa"/>
            <w:tcBorders>
              <w:top w:val="dotted" w:color="auto" w:sz="4" w:space="0"/>
              <w:left w:val="dotted" w:color="auto" w:sz="4" w:space="0"/>
              <w:bottom w:val="dotted" w:color="auto" w:sz="4" w:space="0"/>
              <w:right w:val="dotted" w:color="auto" w:sz="4" w:space="0"/>
            </w:tcBorders>
            <w:vAlign w:val="center"/>
          </w:tcPr>
          <w:p w14:paraId="5CE50B1D">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绩效目标合理性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0369E62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3ECC5F3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703060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合理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6D93408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35FCC68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100.00%</w:t>
            </w:r>
          </w:p>
        </w:tc>
      </w:tr>
      <w:tr w14:paraId="035DD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1C74B4A4">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55E2E6C3">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绩效指标明确性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5829881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45606CB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明确</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67C28E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333333"/>
                <w:kern w:val="0"/>
                <w:sz w:val="20"/>
                <w:szCs w:val="20"/>
                <w:u w:val="none"/>
                <w:lang w:val="en-US" w:eastAsia="zh-CN" w:bidi="ar"/>
              </w:rPr>
              <w:t>有待规范</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3331AFA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1.67</w:t>
            </w:r>
          </w:p>
        </w:tc>
        <w:tc>
          <w:tcPr>
            <w:tcW w:w="1241" w:type="dxa"/>
            <w:tcBorders>
              <w:top w:val="dotted" w:color="auto" w:sz="4" w:space="0"/>
              <w:left w:val="dotted" w:color="auto" w:sz="4" w:space="0"/>
              <w:bottom w:val="dotted" w:color="auto" w:sz="4" w:space="0"/>
              <w:right w:val="nil"/>
            </w:tcBorders>
            <w:shd w:val="clear" w:color="auto" w:fill="auto"/>
            <w:vAlign w:val="center"/>
          </w:tcPr>
          <w:p w14:paraId="5BD0DD82">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66.80%</w:t>
            </w:r>
          </w:p>
        </w:tc>
      </w:tr>
      <w:tr w14:paraId="3EBE9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4573590A">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资金投入</w:t>
            </w:r>
          </w:p>
        </w:tc>
        <w:tc>
          <w:tcPr>
            <w:tcW w:w="2198" w:type="dxa"/>
            <w:tcBorders>
              <w:top w:val="dotted" w:color="auto" w:sz="4" w:space="0"/>
              <w:left w:val="dotted" w:color="auto" w:sz="4" w:space="0"/>
              <w:bottom w:val="dotted" w:color="auto" w:sz="4" w:space="0"/>
              <w:right w:val="dotted" w:color="auto" w:sz="4" w:space="0"/>
            </w:tcBorders>
            <w:vAlign w:val="center"/>
          </w:tcPr>
          <w:p w14:paraId="25D2C555">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预算编制科学性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2546508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1D19CF5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702C9DD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0CEC67E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11EE2704">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100.00%</w:t>
            </w:r>
          </w:p>
        </w:tc>
      </w:tr>
      <w:tr w14:paraId="7FC1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0F96B8FC">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0B76BFE8">
            <w:pPr>
              <w:keepNext w:val="0"/>
              <w:keepLines w:val="0"/>
              <w:widowControl/>
              <w:suppressLineNumbers w:val="0"/>
              <w:jc w:val="center"/>
              <w:textAlignment w:val="center"/>
              <w:rPr>
                <w:rFonts w:hint="eastAsia" w:ascii="宋体" w:hAnsi="宋体" w:eastAsia="宋体" w:cs="宋体"/>
                <w:bCs/>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资金分配合理性    </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5B38556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23C7134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23F0B37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有待规范</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4C82EC0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7FE26E4A">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100.00%</w:t>
            </w:r>
          </w:p>
        </w:tc>
      </w:tr>
      <w:tr w14:paraId="54999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38" w:type="dxa"/>
            <w:gridSpan w:val="2"/>
            <w:tcBorders>
              <w:top w:val="dotted" w:color="auto" w:sz="4" w:space="0"/>
              <w:left w:val="nil"/>
              <w:bottom w:val="single" w:color="auto" w:sz="12" w:space="0"/>
              <w:right w:val="dotted" w:color="auto" w:sz="4" w:space="0"/>
            </w:tcBorders>
            <w:shd w:val="clear" w:color="auto" w:fill="BDD6EE" w:themeFill="accent1" w:themeFillTint="66"/>
            <w:vAlign w:val="center"/>
          </w:tcPr>
          <w:p w14:paraId="328E584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5E745D16">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u w:val="none"/>
                <w:lang w:val="en-US" w:eastAsia="zh-CN" w:bidi="ar"/>
              </w:rPr>
              <w:t>15</w:t>
            </w:r>
          </w:p>
        </w:tc>
        <w:tc>
          <w:tcPr>
            <w:tcW w:w="1186"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2D9BFB6E">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auto"/>
                <w:kern w:val="0"/>
                <w:sz w:val="20"/>
                <w:szCs w:val="20"/>
                <w:u w:val="none"/>
                <w:lang w:val="en-US" w:eastAsia="zh-CN" w:bidi="ar"/>
              </w:rPr>
              <w:t>-</w:t>
            </w:r>
          </w:p>
        </w:tc>
        <w:tc>
          <w:tcPr>
            <w:tcW w:w="1181"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322202AC">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auto"/>
                <w:kern w:val="0"/>
                <w:sz w:val="20"/>
                <w:szCs w:val="20"/>
                <w:u w:val="none"/>
                <w:lang w:val="en-US" w:eastAsia="zh-CN" w:bidi="ar"/>
              </w:rPr>
              <w:t>-</w:t>
            </w:r>
          </w:p>
        </w:tc>
        <w:tc>
          <w:tcPr>
            <w:tcW w:w="80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1618596E">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eastAsia="zh-CN" w:bidi="ar"/>
              </w:rPr>
            </w:pPr>
            <w:r>
              <w:rPr>
                <w:rFonts w:hint="eastAsia" w:ascii="宋体" w:hAnsi="宋体" w:eastAsia="宋体" w:cs="宋体"/>
                <w:b/>
                <w:bCs/>
                <w:i w:val="0"/>
                <w:iCs w:val="0"/>
                <w:color w:val="auto"/>
                <w:kern w:val="0"/>
                <w:sz w:val="20"/>
                <w:szCs w:val="20"/>
                <w:u w:val="none"/>
                <w:lang w:val="en-US" w:eastAsia="zh-CN" w:bidi="ar"/>
              </w:rPr>
              <w:t>14.17</w:t>
            </w:r>
          </w:p>
        </w:tc>
        <w:tc>
          <w:tcPr>
            <w:tcW w:w="1241" w:type="dxa"/>
            <w:tcBorders>
              <w:top w:val="dotted" w:color="auto" w:sz="4" w:space="0"/>
              <w:left w:val="dotted" w:color="auto" w:sz="4" w:space="0"/>
              <w:bottom w:val="single" w:color="auto" w:sz="12" w:space="0"/>
              <w:right w:val="nil"/>
            </w:tcBorders>
            <w:shd w:val="clear" w:color="auto" w:fill="BDD6EE" w:themeFill="accent1" w:themeFillTint="66"/>
            <w:vAlign w:val="center"/>
          </w:tcPr>
          <w:p w14:paraId="13D81002">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auto"/>
                <w:kern w:val="0"/>
                <w:sz w:val="20"/>
                <w:szCs w:val="20"/>
                <w:u w:val="none"/>
                <w:lang w:val="en-US" w:eastAsia="zh-CN" w:bidi="ar"/>
              </w:rPr>
              <w:t>94.47%</w:t>
            </w:r>
          </w:p>
        </w:tc>
      </w:tr>
    </w:tbl>
    <w:p w14:paraId="319013DF">
      <w:pPr>
        <w:pStyle w:val="5"/>
        <w:spacing w:before="0" w:after="0" w:line="560" w:lineRule="exact"/>
        <w:ind w:firstLine="643" w:firstLineChars="200"/>
        <w:rPr>
          <w:rFonts w:ascii="仿宋_GB2312" w:hAnsi="仿宋_GB2312" w:eastAsia="仿宋_GB2312" w:cs="仿宋_GB2312"/>
          <w:b w:val="0"/>
          <w:bCs/>
          <w:szCs w:val="32"/>
          <w:highlight w:val="none"/>
        </w:rPr>
      </w:pPr>
      <w:r>
        <w:rPr>
          <w:rFonts w:hint="eastAsia" w:ascii="仿宋_GB2312" w:hAnsi="仿宋_GB2312" w:eastAsia="仿宋_GB2312" w:cs="仿宋_GB2312"/>
          <w:bCs/>
          <w:szCs w:val="32"/>
          <w:highlight w:val="none"/>
        </w:rPr>
        <w:t>1.项目立项</w:t>
      </w:r>
    </w:p>
    <w:p w14:paraId="2460EEA1">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14:paraId="3ED0E94F">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7F47D736">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全省法院业务费主要是紧紧围绕我省法院审判办案所需业务经费以及与办案有关的一些经费支出，为了提高审判办案质效，保障法院重点工作，弥补法院项目经费不足的情况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特设立此项目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项</w:t>
      </w:r>
      <w:r>
        <w:rPr>
          <w:rFonts w:hint="eastAsia" w:ascii="仿宋_GB2312" w:hAnsi="仿宋_GB2312" w:eastAsia="仿宋_GB2312" w:cs="仿宋_GB2312"/>
          <w:sz w:val="32"/>
          <w:szCs w:val="32"/>
          <w:highlight w:val="none"/>
        </w:rPr>
        <w:t>目</w:t>
      </w:r>
      <w:r>
        <w:rPr>
          <w:rFonts w:hint="eastAsia" w:ascii="仿宋_GB2312" w:hAnsi="仿宋_GB2312" w:eastAsia="仿宋_GB2312" w:cs="仿宋_GB2312"/>
          <w:sz w:val="32"/>
          <w:szCs w:val="32"/>
          <w:highlight w:val="none"/>
          <w:lang w:val="en-US" w:eastAsia="zh-CN"/>
        </w:rPr>
        <w:t>设立符合国家发展规划和党政决策；项目与甘肃省高级人民法院的主要职能相符，属于甘肃省高级人民法院的职责范围；项目属于财政支持范围，符合中央、地方事权支出责任划分原则；项目与甘肃省高级人民法院其他相关项目不重复。评价认为，项目立项依据充分</w:t>
      </w:r>
      <w:r>
        <w:rPr>
          <w:rFonts w:hint="eastAsia" w:ascii="仿宋_GB2312" w:hAnsi="仿宋_GB2312" w:eastAsia="仿宋_GB2312" w:cs="仿宋_GB2312"/>
          <w:sz w:val="32"/>
          <w:szCs w:val="32"/>
          <w:highlight w:val="none"/>
        </w:rPr>
        <w:t>，立项符合法规政策。</w:t>
      </w:r>
    </w:p>
    <w:p w14:paraId="44202080">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75898465">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分。该项目根据制度申报并通过</w:t>
      </w:r>
      <w:r>
        <w:rPr>
          <w:rFonts w:hint="eastAsia" w:ascii="仿宋_GB2312" w:hAnsi="仿宋_GB2312" w:eastAsia="仿宋_GB2312" w:cs="仿宋_GB2312"/>
          <w:sz w:val="32"/>
          <w:szCs w:val="32"/>
          <w:highlight w:val="none"/>
          <w:lang w:val="en-US" w:eastAsia="zh-CN"/>
        </w:rPr>
        <w:t>甘肃省财政厅</w:t>
      </w:r>
      <w:r>
        <w:rPr>
          <w:rFonts w:hint="eastAsia" w:ascii="仿宋_GB2312" w:hAnsi="仿宋_GB2312" w:eastAsia="仿宋_GB2312" w:cs="仿宋_GB2312"/>
          <w:sz w:val="32"/>
          <w:szCs w:val="32"/>
          <w:highlight w:val="none"/>
        </w:rPr>
        <w:t>批复设立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并报请人代会批复</w:t>
      </w:r>
      <w:r>
        <w:rPr>
          <w:rFonts w:hint="eastAsia" w:ascii="仿宋_GB2312" w:hAnsi="仿宋_GB2312" w:eastAsia="仿宋_GB2312" w:cs="仿宋_GB2312"/>
          <w:sz w:val="32"/>
          <w:szCs w:val="32"/>
          <w:highlight w:val="none"/>
        </w:rPr>
        <w:t>，项目事前已</w:t>
      </w:r>
      <w:r>
        <w:rPr>
          <w:rFonts w:hint="eastAsia" w:ascii="仿宋_GB2312" w:hAnsi="仿宋_GB2312" w:eastAsia="仿宋_GB2312" w:cs="仿宋_GB2312"/>
          <w:sz w:val="32"/>
          <w:szCs w:val="32"/>
          <w:highlight w:val="none"/>
          <w:lang w:val="en-US" w:eastAsia="zh-CN"/>
        </w:rPr>
        <w:t>经人代会</w:t>
      </w:r>
      <w:r>
        <w:rPr>
          <w:rFonts w:hint="eastAsia" w:ascii="仿宋_GB2312" w:hAnsi="仿宋_GB2312" w:eastAsia="仿宋_GB2312" w:cs="仿宋_GB2312"/>
          <w:sz w:val="32"/>
          <w:szCs w:val="32"/>
          <w:highlight w:val="none"/>
        </w:rPr>
        <w:t>集体决策并按照规定的程序申请设立，审批文件、材料符合相关要求。评价认为，项目立项程序规范，预算、审批材料齐全。</w:t>
      </w:r>
    </w:p>
    <w:p w14:paraId="50F8C73A">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249D5230">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475CD421">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分。项目严格按照《甘肃省省级预算绩效目标管理办法》要求，编制了《</w:t>
      </w:r>
      <w:r>
        <w:rPr>
          <w:rFonts w:hint="eastAsia" w:ascii="仿宋_GB2312" w:hAnsi="仿宋_GB2312" w:eastAsia="仿宋_GB2312" w:cs="仿宋_GB2312"/>
          <w:sz w:val="32"/>
          <w:szCs w:val="32"/>
          <w:highlight w:val="none"/>
          <w:lang w:val="en-US" w:eastAsia="zh-CN"/>
        </w:rPr>
        <w:t>全省法院业务费</w:t>
      </w:r>
      <w:r>
        <w:rPr>
          <w:rFonts w:hint="eastAsia" w:ascii="仿宋_GB2312" w:hAnsi="仿宋_GB2312" w:eastAsia="仿宋_GB2312" w:cs="仿宋_GB2312"/>
          <w:sz w:val="32"/>
          <w:szCs w:val="32"/>
          <w:highlight w:val="none"/>
        </w:rPr>
        <w:t>项目支出绩效目标申报表》，绩效目标与实际工作具有相关性；与预算确定的投资额相匹配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评价认为，项目绩效目标编制合理</w:t>
      </w:r>
      <w:r>
        <w:rPr>
          <w:rFonts w:hint="eastAsia" w:ascii="仿宋_GB2312" w:hAnsi="仿宋_GB2312" w:eastAsia="仿宋_GB2312" w:cs="仿宋_GB2312"/>
          <w:sz w:val="32"/>
          <w:szCs w:val="32"/>
          <w:highlight w:val="none"/>
        </w:rPr>
        <w:t>。</w:t>
      </w:r>
    </w:p>
    <w:p w14:paraId="4B31EC98">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221B1897">
      <w:pPr>
        <w:pStyle w:val="26"/>
        <w:overflowPunct w:val="0"/>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绩效指标明确性：指标分值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1.67</w:t>
      </w:r>
      <w:r>
        <w:rPr>
          <w:rFonts w:hint="eastAsia" w:ascii="仿宋_GB2312" w:hAnsi="仿宋_GB2312" w:eastAsia="仿宋_GB2312" w:cs="仿宋_GB2312"/>
          <w:sz w:val="32"/>
          <w:szCs w:val="32"/>
          <w:highlight w:val="none"/>
        </w:rPr>
        <w:t>分。</w:t>
      </w:r>
      <w:r>
        <w:rPr>
          <w:rFonts w:ascii="仿宋_GB2312" w:hAnsi="仿宋_GB2312" w:eastAsia="仿宋_GB2312" w:cs="仿宋_GB2312"/>
          <w:sz w:val="32"/>
          <w:szCs w:val="32"/>
          <w:highlight w:val="none"/>
        </w:rPr>
        <w:t>经核查</w:t>
      </w:r>
      <w:r>
        <w:rPr>
          <w:rFonts w:hint="eastAsia" w:ascii="仿宋_GB2312" w:hAnsi="仿宋_GB2312" w:eastAsia="仿宋_GB2312" w:cs="仿宋_GB2312"/>
          <w:sz w:val="32"/>
          <w:szCs w:val="32"/>
          <w:highlight w:val="none"/>
          <w:lang w:val="en-US" w:eastAsia="zh-CN"/>
        </w:rPr>
        <w:t>甘肃省高级人民法院及全省中、基层法院</w:t>
      </w:r>
      <w:r>
        <w:rPr>
          <w:rFonts w:hint="eastAsia" w:ascii="仿宋_GB2312" w:hAnsi="仿宋_GB2312" w:eastAsia="仿宋_GB2312" w:cs="仿宋_GB2312"/>
          <w:sz w:val="32"/>
          <w:szCs w:val="32"/>
          <w:highlight w:val="none"/>
        </w:rPr>
        <w:t>年初制定的</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全省法院业务费</w:t>
      </w:r>
      <w:r>
        <w:rPr>
          <w:rFonts w:hint="eastAsia" w:ascii="仿宋_GB2312" w:hAnsi="仿宋_GB2312" w:eastAsia="仿宋_GB2312" w:cs="仿宋_GB2312"/>
          <w:sz w:val="32"/>
          <w:szCs w:val="32"/>
          <w:highlight w:val="none"/>
        </w:rPr>
        <w:t>项目支出绩效目标申报表</w:t>
      </w:r>
      <w:r>
        <w:rPr>
          <w:rFonts w:ascii="仿宋_GB2312" w:hAnsi="仿宋_GB2312" w:eastAsia="仿宋_GB2312" w:cs="仿宋_GB2312"/>
          <w:sz w:val="32"/>
          <w:szCs w:val="32"/>
          <w:highlight w:val="none"/>
        </w:rPr>
        <w:t>》，设置的绩效指标能够将项目绩效目标细化分解为具体的绩效指标</w:t>
      </w:r>
      <w:r>
        <w:rPr>
          <w:rFonts w:hint="eastAsia" w:ascii="仿宋_GB2312" w:hAnsi="仿宋_GB2312" w:eastAsia="仿宋_GB2312" w:cs="仿宋_GB2312"/>
          <w:sz w:val="32"/>
          <w:szCs w:val="32"/>
          <w:highlight w:val="none"/>
        </w:rPr>
        <w:t>；与项目年度计划相对应；与预算确定的项目投资额或资金量相匹配。</w:t>
      </w:r>
      <w:r>
        <w:rPr>
          <w:rFonts w:hint="eastAsia" w:ascii="仿宋_GB2312" w:hAnsi="仿宋_GB2312" w:eastAsia="仿宋_GB2312" w:cs="仿宋_GB2312"/>
          <w:sz w:val="32"/>
          <w:szCs w:val="32"/>
          <w:highlight w:val="none"/>
          <w:lang w:val="en-US" w:eastAsia="zh-CN"/>
        </w:rPr>
        <w:t>但存在个别中、基层法院指标编制不规范的情况，如指标设置简略、表述笼统、未能涵盖项目实施主要内容及预期效益等问题，扣0.83分。评价认为，个别中、基层法院绩效目标编制有待规范。</w:t>
      </w:r>
    </w:p>
    <w:p w14:paraId="25C1A14B">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51582BE1">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项目资金投入方向符合政策规定，按照年度预算合理分配。</w:t>
      </w:r>
    </w:p>
    <w:p w14:paraId="1762AD96">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14D0826C">
      <w:pPr>
        <w:pStyle w:val="26"/>
        <w:overflowPunct w:val="0"/>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实施前，甘肃省高级人民法院及全省各中、基层法院</w:t>
      </w:r>
      <w:r>
        <w:rPr>
          <w:rFonts w:hint="eastAsia" w:ascii="仿宋_GB2312" w:hAnsi="仿宋_GB2312" w:eastAsia="仿宋_GB2312" w:cs="仿宋_GB2312"/>
          <w:sz w:val="32"/>
          <w:szCs w:val="32"/>
          <w:highlight w:val="none"/>
        </w:rPr>
        <w:t>严格按照预算管理制度，分析研究并制定项目专项资金</w:t>
      </w:r>
      <w:r>
        <w:rPr>
          <w:rFonts w:hint="eastAsia" w:ascii="仿宋_GB2312" w:hAnsi="仿宋_GB2312" w:eastAsia="仿宋_GB2312" w:cs="仿宋_GB2312"/>
          <w:sz w:val="32"/>
          <w:szCs w:val="32"/>
          <w:highlight w:val="none"/>
          <w:lang w:val="en-US" w:eastAsia="zh-CN"/>
        </w:rPr>
        <w:t>分配</w:t>
      </w:r>
      <w:r>
        <w:rPr>
          <w:rFonts w:hint="eastAsia" w:ascii="仿宋_GB2312" w:hAnsi="仿宋_GB2312" w:eastAsia="仿宋_GB2312" w:cs="仿宋_GB2312"/>
          <w:sz w:val="32"/>
          <w:szCs w:val="32"/>
          <w:highlight w:val="none"/>
        </w:rPr>
        <w:t>计划，</w:t>
      </w:r>
      <w:r>
        <w:rPr>
          <w:rFonts w:hint="eastAsia" w:ascii="仿宋_GB2312" w:hAnsi="仿宋_GB2312" w:eastAsia="仿宋_GB2312" w:cs="仿宋_GB2312"/>
          <w:sz w:val="32"/>
          <w:szCs w:val="32"/>
          <w:highlight w:val="none"/>
          <w:lang w:val="en-US" w:eastAsia="zh-CN"/>
        </w:rPr>
        <w:t>且经甘肃省财政厅审核通过，预算内容与项目内容匹配，预算额度测算依据充分，按照标准编制，预算确定的项目资金量与工作任务相匹配</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项目预算编制规范</w:t>
      </w:r>
      <w:r>
        <w:rPr>
          <w:rFonts w:hint="eastAsia" w:ascii="仿宋_GB2312" w:hAnsi="仿宋_GB2312" w:eastAsia="仿宋_GB2312" w:cs="仿宋_GB2312"/>
          <w:sz w:val="32"/>
          <w:szCs w:val="32"/>
          <w:highlight w:val="none"/>
        </w:rPr>
        <w:t>。</w:t>
      </w:r>
    </w:p>
    <w:p w14:paraId="5CDE7A14">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666CEB43">
      <w:pPr>
        <w:pStyle w:val="9"/>
        <w:overflowPunct w:val="0"/>
        <w:spacing w:line="560" w:lineRule="exact"/>
        <w:ind w:firstLine="640" w:firstLineChars="200"/>
        <w:outlineLvl w:val="1"/>
        <w:rPr>
          <w:rFonts w:hint="eastAsia" w:ascii="仿宋_GB2312" w:hAnsi="仿宋_GB2312" w:eastAsia="仿宋_GB2312" w:cs="仿宋_GB2312"/>
          <w:sz w:val="32"/>
          <w:szCs w:val="32"/>
          <w:highlight w:val="none"/>
          <w:lang w:val="en-US" w:eastAsia="zh-CN"/>
        </w:rPr>
      </w:pPr>
      <w:bookmarkStart w:id="131" w:name="_Toc10475"/>
      <w:bookmarkStart w:id="132" w:name="_Toc30323"/>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1.67</w:t>
      </w:r>
      <w:r>
        <w:rPr>
          <w:rFonts w:hint="eastAsia" w:ascii="仿宋_GB2312" w:hAnsi="仿宋_GB2312" w:eastAsia="仿宋_GB2312" w:cs="仿宋_GB2312"/>
          <w:sz w:val="32"/>
          <w:szCs w:val="32"/>
          <w:highlight w:val="none"/>
        </w:rPr>
        <w:t>分。</w:t>
      </w:r>
      <w:bookmarkEnd w:id="131"/>
      <w:bookmarkStart w:id="133" w:name="_Toc22593"/>
      <w:bookmarkStart w:id="134" w:name="_Toc5353"/>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的预算编制首先主要依据《预算法》与《</w:t>
      </w:r>
      <w:r>
        <w:rPr>
          <w:rFonts w:hint="eastAsia" w:ascii="仿宋_GB2312" w:hAnsi="仿宋_GB2312" w:eastAsia="仿宋_GB2312" w:cs="仿宋_GB2312"/>
          <w:sz w:val="32"/>
          <w:szCs w:val="32"/>
          <w:highlight w:val="none"/>
          <w:lang w:val="en-US" w:eastAsia="zh-CN"/>
        </w:rPr>
        <w:t>全省法院系统项目预算资金申报使用管理规程</w:t>
      </w:r>
      <w:r>
        <w:rPr>
          <w:rFonts w:hint="eastAsia" w:ascii="仿宋_GB2312" w:hAnsi="仿宋_GB2312" w:eastAsia="仿宋_GB2312" w:cs="仿宋_GB2312"/>
          <w:sz w:val="32"/>
          <w:szCs w:val="32"/>
          <w:highlight w:val="none"/>
        </w:rPr>
        <w:t>》等</w:t>
      </w:r>
      <w:r>
        <w:rPr>
          <w:rFonts w:hint="eastAsia" w:ascii="仿宋_GB2312" w:hAnsi="仿宋_GB2312" w:cs="仿宋_GB2312"/>
          <w:sz w:val="32"/>
          <w:szCs w:val="32"/>
          <w:highlight w:val="none"/>
          <w:lang w:val="en-US" w:eastAsia="zh-CN"/>
        </w:rPr>
        <w:t>文件要求</w:t>
      </w:r>
      <w:r>
        <w:rPr>
          <w:rFonts w:hint="eastAsia" w:ascii="仿宋_GB2312" w:hAnsi="仿宋_GB2312" w:eastAsia="仿宋_GB2312" w:cs="仿宋_GB2312"/>
          <w:sz w:val="32"/>
          <w:szCs w:val="32"/>
          <w:highlight w:val="none"/>
        </w:rPr>
        <w:t>，其次通过制定</w:t>
      </w:r>
      <w:r>
        <w:rPr>
          <w:rFonts w:hint="eastAsia" w:ascii="仿宋_GB2312" w:hAnsi="仿宋_GB2312" w:eastAsia="仿宋_GB2312" w:cs="仿宋_GB2312"/>
          <w:sz w:val="32"/>
          <w:szCs w:val="32"/>
          <w:highlight w:val="none"/>
          <w:lang w:val="en-US" w:eastAsia="zh-CN"/>
        </w:rPr>
        <w:t>工作计划、工作要点</w:t>
      </w:r>
      <w:r>
        <w:rPr>
          <w:rFonts w:hint="eastAsia" w:ascii="仿宋_GB2312" w:hAnsi="仿宋_GB2312" w:eastAsia="仿宋_GB2312" w:cs="仿宋_GB2312"/>
          <w:sz w:val="32"/>
          <w:szCs w:val="32"/>
          <w:highlight w:val="none"/>
        </w:rPr>
        <w:t>等科学</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方式确定预算编制，项目预算内容与项目</w:t>
      </w:r>
      <w:r>
        <w:rPr>
          <w:rFonts w:hint="eastAsia" w:ascii="仿宋_GB2312" w:hAnsi="仿宋_GB2312" w:cs="仿宋_GB2312"/>
          <w:sz w:val="32"/>
          <w:szCs w:val="32"/>
          <w:highlight w:val="none"/>
          <w:lang w:val="en-US" w:eastAsia="zh-CN"/>
        </w:rPr>
        <w:t>实施</w:t>
      </w:r>
      <w:r>
        <w:rPr>
          <w:rFonts w:hint="eastAsia" w:ascii="仿宋_GB2312" w:hAnsi="仿宋_GB2312" w:eastAsia="仿宋_GB2312" w:cs="仿宋_GB2312"/>
          <w:sz w:val="32"/>
          <w:szCs w:val="32"/>
          <w:highlight w:val="none"/>
        </w:rPr>
        <w:t>内容匹配，预算编制经过科学论证，预算额度测算依据充分，按照标准编制，确定的项目资金量与工作任务相匹配。</w:t>
      </w:r>
      <w:r>
        <w:rPr>
          <w:rFonts w:hint="eastAsia" w:ascii="仿宋_GB2312" w:hAnsi="仿宋_GB2312" w:eastAsia="仿宋_GB2312" w:cs="仿宋_GB2312"/>
          <w:sz w:val="32"/>
          <w:szCs w:val="32"/>
          <w:highlight w:val="none"/>
          <w:lang w:val="en-US" w:eastAsia="zh-CN"/>
        </w:rPr>
        <w:t>但评价发现，存在</w:t>
      </w:r>
      <w:r>
        <w:rPr>
          <w:rFonts w:hint="eastAsia" w:ascii="仿宋_GB2312" w:hAnsi="仿宋_GB2312" w:cs="仿宋_GB2312"/>
          <w:sz w:val="32"/>
          <w:szCs w:val="32"/>
          <w:highlight w:val="none"/>
          <w:lang w:val="en-US" w:eastAsia="zh-CN"/>
        </w:rPr>
        <w:t>部分</w:t>
      </w:r>
      <w:r>
        <w:rPr>
          <w:rFonts w:hint="eastAsia" w:ascii="仿宋_GB2312" w:hAnsi="仿宋_GB2312" w:eastAsia="仿宋_GB2312" w:cs="仿宋_GB2312"/>
          <w:sz w:val="32"/>
          <w:szCs w:val="32"/>
          <w:highlight w:val="none"/>
          <w:lang w:val="en-US" w:eastAsia="zh-CN"/>
        </w:rPr>
        <w:t>中、基层法院上年存量资金较大，本年度持续下达预算资金，导致年底预算执行率较低，</w:t>
      </w:r>
      <w:r>
        <w:rPr>
          <w:rFonts w:hint="eastAsia" w:ascii="仿宋_GB2312" w:hAnsi="仿宋_GB2312" w:cs="仿宋_GB2312"/>
          <w:sz w:val="32"/>
          <w:szCs w:val="32"/>
          <w:highlight w:val="none"/>
          <w:lang w:val="en-US" w:eastAsia="zh-CN"/>
        </w:rPr>
        <w:t>专项</w:t>
      </w:r>
      <w:r>
        <w:rPr>
          <w:rFonts w:hint="eastAsia" w:ascii="仿宋_GB2312" w:hAnsi="仿宋_GB2312" w:eastAsia="仿宋_GB2312" w:cs="仿宋_GB2312"/>
          <w:sz w:val="32"/>
          <w:szCs w:val="32"/>
          <w:highlight w:val="none"/>
          <w:lang w:val="en-US" w:eastAsia="zh-CN"/>
        </w:rPr>
        <w:t>资金</w:t>
      </w:r>
      <w:r>
        <w:rPr>
          <w:rFonts w:hint="eastAsia" w:ascii="仿宋_GB2312" w:hAnsi="仿宋_GB2312" w:cs="仿宋_GB2312"/>
          <w:sz w:val="32"/>
          <w:szCs w:val="32"/>
          <w:highlight w:val="none"/>
          <w:lang w:val="en-US" w:eastAsia="zh-CN"/>
        </w:rPr>
        <w:t>滚存</w:t>
      </w:r>
      <w:r>
        <w:rPr>
          <w:rFonts w:hint="eastAsia" w:ascii="仿宋_GB2312" w:hAnsi="仿宋_GB2312" w:eastAsia="仿宋_GB2312" w:cs="仿宋_GB2312"/>
          <w:sz w:val="32"/>
          <w:szCs w:val="32"/>
          <w:highlight w:val="none"/>
          <w:lang w:val="en-US" w:eastAsia="zh-CN"/>
        </w:rPr>
        <w:t>结余</w:t>
      </w:r>
      <w:r>
        <w:rPr>
          <w:rFonts w:hint="eastAsia" w:ascii="仿宋_GB2312" w:hAnsi="仿宋_GB2312" w:cs="仿宋_GB2312"/>
          <w:sz w:val="32"/>
          <w:szCs w:val="32"/>
          <w:highlight w:val="none"/>
          <w:lang w:val="en-US" w:eastAsia="zh-CN"/>
        </w:rPr>
        <w:t>较大</w:t>
      </w:r>
      <w:r>
        <w:rPr>
          <w:rFonts w:hint="eastAsia" w:ascii="仿宋_GB2312" w:hAnsi="仿宋_GB2312" w:eastAsia="仿宋_GB2312" w:cs="仿宋_GB2312"/>
          <w:sz w:val="32"/>
          <w:szCs w:val="32"/>
          <w:highlight w:val="none"/>
          <w:lang w:val="en-US" w:eastAsia="zh-CN"/>
        </w:rPr>
        <w:t>的情况。</w:t>
      </w:r>
      <w:bookmarkEnd w:id="132"/>
    </w:p>
    <w:p w14:paraId="4276BF41">
      <w:pPr>
        <w:pStyle w:val="9"/>
        <w:overflowPunct w:val="0"/>
        <w:spacing w:line="560" w:lineRule="exact"/>
        <w:ind w:firstLine="643" w:firstLineChars="200"/>
        <w:outlineLvl w:val="1"/>
        <w:rPr>
          <w:rFonts w:ascii="楷体" w:hAnsi="楷体" w:eastAsia="楷体" w:cs="楷体"/>
          <w:b/>
          <w:bCs/>
          <w:highlight w:val="none"/>
        </w:rPr>
      </w:pPr>
      <w:bookmarkStart w:id="135" w:name="_Toc15959"/>
      <w:r>
        <w:rPr>
          <w:rFonts w:hint="eastAsia" w:ascii="楷体" w:hAnsi="楷体" w:eastAsia="楷体" w:cs="楷体"/>
          <w:b/>
          <w:bCs/>
          <w:highlight w:val="none"/>
        </w:rPr>
        <w:t>（二）项目过程情况</w:t>
      </w:r>
      <w:bookmarkEnd w:id="133"/>
      <w:bookmarkEnd w:id="134"/>
      <w:bookmarkEnd w:id="135"/>
    </w:p>
    <w:p w14:paraId="64D9C322">
      <w:pPr>
        <w:pStyle w:val="9"/>
        <w:tabs>
          <w:tab w:val="left" w:pos="0"/>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绩效管理有效性三</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15</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13.62</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90.80</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201"/>
        <w:gridCol w:w="1836"/>
        <w:gridCol w:w="999"/>
        <w:gridCol w:w="1151"/>
        <w:gridCol w:w="1170"/>
        <w:gridCol w:w="1048"/>
        <w:gridCol w:w="1065"/>
      </w:tblGrid>
      <w:tr w14:paraId="0D6E867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201" w:type="dxa"/>
            <w:tcBorders>
              <w:tl2br w:val="nil"/>
              <w:tr2bl w:val="nil"/>
            </w:tcBorders>
            <w:shd w:val="clear" w:color="auto" w:fill="BDD6EE" w:themeFill="accent1" w:themeFillTint="66"/>
            <w:vAlign w:val="center"/>
          </w:tcPr>
          <w:p w14:paraId="2D1F19C8">
            <w:pPr>
              <w:widowControl/>
              <w:jc w:val="center"/>
              <w:textAlignment w:val="center"/>
              <w:rPr>
                <w:rFonts w:hint="eastAsia" w:ascii="宋体" w:hAnsi="宋体" w:eastAsia="宋体" w:cs="宋体"/>
                <w:b/>
                <w:bCs/>
                <w:color w:val="auto"/>
                <w:kern w:val="0"/>
                <w:sz w:val="20"/>
                <w:szCs w:val="20"/>
                <w:highlight w:val="none"/>
                <w:lang w:bidi="ar"/>
              </w:rPr>
            </w:pPr>
            <w:bookmarkStart w:id="136" w:name="_Hlk167346931"/>
            <w:r>
              <w:rPr>
                <w:rFonts w:hint="eastAsia" w:ascii="宋体" w:hAnsi="宋体" w:eastAsia="宋体" w:cs="宋体"/>
                <w:b/>
                <w:bCs/>
                <w:color w:val="auto"/>
                <w:kern w:val="0"/>
                <w:sz w:val="20"/>
                <w:szCs w:val="20"/>
                <w:highlight w:val="none"/>
                <w:lang w:bidi="ar"/>
              </w:rPr>
              <w:t>二级指标</w:t>
            </w:r>
          </w:p>
        </w:tc>
        <w:tc>
          <w:tcPr>
            <w:tcW w:w="1836" w:type="dxa"/>
            <w:tcBorders>
              <w:tl2br w:val="nil"/>
              <w:tr2bl w:val="nil"/>
            </w:tcBorders>
            <w:shd w:val="clear" w:color="auto" w:fill="BDD6EE" w:themeFill="accent1" w:themeFillTint="66"/>
            <w:vAlign w:val="center"/>
          </w:tcPr>
          <w:p w14:paraId="121392D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99" w:type="dxa"/>
            <w:tcBorders>
              <w:tl2br w:val="nil"/>
              <w:tr2bl w:val="nil"/>
            </w:tcBorders>
            <w:shd w:val="clear" w:color="auto" w:fill="BDD6EE" w:themeFill="accent1" w:themeFillTint="66"/>
            <w:vAlign w:val="center"/>
          </w:tcPr>
          <w:p w14:paraId="77B7B93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51" w:type="dxa"/>
            <w:tcBorders>
              <w:tl2br w:val="nil"/>
              <w:tr2bl w:val="nil"/>
            </w:tcBorders>
            <w:shd w:val="clear" w:color="auto" w:fill="BDD6EE" w:themeFill="accent1" w:themeFillTint="66"/>
            <w:vAlign w:val="center"/>
          </w:tcPr>
          <w:p w14:paraId="382CB28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70" w:type="dxa"/>
            <w:tcBorders>
              <w:tl2br w:val="nil"/>
              <w:tr2bl w:val="nil"/>
            </w:tcBorders>
            <w:shd w:val="clear" w:color="auto" w:fill="BDD6EE" w:themeFill="accent1" w:themeFillTint="66"/>
            <w:vAlign w:val="center"/>
          </w:tcPr>
          <w:p w14:paraId="18EE77C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1048" w:type="dxa"/>
            <w:tcBorders>
              <w:tl2br w:val="nil"/>
              <w:tr2bl w:val="nil"/>
            </w:tcBorders>
            <w:shd w:val="clear" w:color="auto" w:fill="BDD6EE" w:themeFill="accent1" w:themeFillTint="66"/>
            <w:vAlign w:val="center"/>
          </w:tcPr>
          <w:p w14:paraId="0000D82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065" w:type="dxa"/>
            <w:tcBorders>
              <w:tl2br w:val="nil"/>
              <w:tr2bl w:val="nil"/>
            </w:tcBorders>
            <w:shd w:val="clear" w:color="auto" w:fill="BDD6EE" w:themeFill="accent1" w:themeFillTint="66"/>
            <w:vAlign w:val="center"/>
          </w:tcPr>
          <w:p w14:paraId="727E431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CBA41B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4D5AD33C">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资金管理</w:t>
            </w:r>
          </w:p>
        </w:tc>
        <w:tc>
          <w:tcPr>
            <w:tcW w:w="1836" w:type="dxa"/>
            <w:tcBorders>
              <w:tl2br w:val="nil"/>
              <w:tr2bl w:val="nil"/>
            </w:tcBorders>
            <w:vAlign w:val="center"/>
          </w:tcPr>
          <w:p w14:paraId="1261327A">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资金到位率</w:t>
            </w:r>
          </w:p>
        </w:tc>
        <w:tc>
          <w:tcPr>
            <w:tcW w:w="999" w:type="dxa"/>
            <w:tcBorders>
              <w:tl2br w:val="nil"/>
              <w:tr2bl w:val="nil"/>
            </w:tcBorders>
            <w:shd w:val="clear" w:color="auto" w:fill="auto"/>
            <w:vAlign w:val="center"/>
          </w:tcPr>
          <w:p w14:paraId="3055B14D">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55A06B4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=100%</w:t>
            </w:r>
          </w:p>
        </w:tc>
        <w:tc>
          <w:tcPr>
            <w:tcW w:w="1170" w:type="dxa"/>
            <w:tcBorders>
              <w:tl2br w:val="nil"/>
              <w:tr2bl w:val="nil"/>
            </w:tcBorders>
            <w:shd w:val="clear" w:color="auto" w:fill="auto"/>
            <w:vAlign w:val="center"/>
          </w:tcPr>
          <w:p w14:paraId="4E678FF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=100%</w:t>
            </w:r>
          </w:p>
        </w:tc>
        <w:tc>
          <w:tcPr>
            <w:tcW w:w="1048" w:type="dxa"/>
            <w:tcBorders>
              <w:tl2br w:val="nil"/>
              <w:tr2bl w:val="nil"/>
            </w:tcBorders>
            <w:shd w:val="clear" w:color="auto" w:fill="auto"/>
            <w:vAlign w:val="center"/>
          </w:tcPr>
          <w:p w14:paraId="0BA6A2C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71DD56B4">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F13A68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76ECC587">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7BF4E800">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预算执行率</w:t>
            </w:r>
          </w:p>
        </w:tc>
        <w:tc>
          <w:tcPr>
            <w:tcW w:w="999" w:type="dxa"/>
            <w:tcBorders>
              <w:tl2br w:val="nil"/>
              <w:tr2bl w:val="nil"/>
            </w:tcBorders>
            <w:shd w:val="clear" w:color="auto" w:fill="auto"/>
            <w:vAlign w:val="center"/>
          </w:tcPr>
          <w:p w14:paraId="7341F75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7240264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=100%</w:t>
            </w:r>
          </w:p>
        </w:tc>
        <w:tc>
          <w:tcPr>
            <w:tcW w:w="1170" w:type="dxa"/>
            <w:tcBorders>
              <w:tl2br w:val="nil"/>
              <w:tr2bl w:val="nil"/>
            </w:tcBorders>
            <w:shd w:val="clear" w:color="auto" w:fill="auto"/>
            <w:vAlign w:val="center"/>
          </w:tcPr>
          <w:p w14:paraId="47784A7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=95.80%</w:t>
            </w:r>
          </w:p>
        </w:tc>
        <w:tc>
          <w:tcPr>
            <w:tcW w:w="1048" w:type="dxa"/>
            <w:tcBorders>
              <w:tl2br w:val="nil"/>
              <w:tr2bl w:val="nil"/>
            </w:tcBorders>
            <w:shd w:val="clear" w:color="auto" w:fill="auto"/>
            <w:vAlign w:val="center"/>
          </w:tcPr>
          <w:p w14:paraId="7596F13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2.62</w:t>
            </w:r>
          </w:p>
        </w:tc>
        <w:tc>
          <w:tcPr>
            <w:tcW w:w="1065" w:type="dxa"/>
            <w:tcBorders>
              <w:tl2br w:val="nil"/>
              <w:tr2bl w:val="nil"/>
            </w:tcBorders>
            <w:shd w:val="clear" w:color="auto" w:fill="auto"/>
            <w:vAlign w:val="center"/>
          </w:tcPr>
          <w:p w14:paraId="0D55651C">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87.33%</w:t>
            </w:r>
          </w:p>
        </w:tc>
      </w:tr>
      <w:tr w14:paraId="50EE35F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6703EAF6">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7DFCE2CA">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资金使用合规性</w:t>
            </w:r>
          </w:p>
        </w:tc>
        <w:tc>
          <w:tcPr>
            <w:tcW w:w="999" w:type="dxa"/>
            <w:tcBorders>
              <w:tl2br w:val="nil"/>
              <w:tr2bl w:val="nil"/>
            </w:tcBorders>
            <w:shd w:val="clear" w:color="auto" w:fill="auto"/>
            <w:vAlign w:val="center"/>
          </w:tcPr>
          <w:p w14:paraId="5BC13C2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27261F4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合规</w:t>
            </w:r>
          </w:p>
        </w:tc>
        <w:tc>
          <w:tcPr>
            <w:tcW w:w="1170" w:type="dxa"/>
            <w:tcBorders>
              <w:tl2br w:val="nil"/>
              <w:tr2bl w:val="nil"/>
            </w:tcBorders>
            <w:shd w:val="clear" w:color="auto" w:fill="auto"/>
            <w:vAlign w:val="center"/>
          </w:tcPr>
          <w:p w14:paraId="1F345C92">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合规</w:t>
            </w:r>
          </w:p>
        </w:tc>
        <w:tc>
          <w:tcPr>
            <w:tcW w:w="1048" w:type="dxa"/>
            <w:tcBorders>
              <w:tl2br w:val="nil"/>
              <w:tr2bl w:val="nil"/>
            </w:tcBorders>
            <w:shd w:val="clear" w:color="auto" w:fill="auto"/>
            <w:vAlign w:val="center"/>
          </w:tcPr>
          <w:p w14:paraId="30E0FDD3">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7DC203EE">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47C1A2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7064FB64">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组织实施</w:t>
            </w:r>
          </w:p>
        </w:tc>
        <w:tc>
          <w:tcPr>
            <w:tcW w:w="1836" w:type="dxa"/>
            <w:tcBorders>
              <w:tl2br w:val="nil"/>
              <w:tr2bl w:val="nil"/>
            </w:tcBorders>
            <w:vAlign w:val="center"/>
          </w:tcPr>
          <w:p w14:paraId="503E209F">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管理制度健全性</w:t>
            </w:r>
          </w:p>
        </w:tc>
        <w:tc>
          <w:tcPr>
            <w:tcW w:w="999" w:type="dxa"/>
            <w:tcBorders>
              <w:tl2br w:val="nil"/>
              <w:tr2bl w:val="nil"/>
            </w:tcBorders>
            <w:shd w:val="clear" w:color="auto" w:fill="auto"/>
            <w:vAlign w:val="center"/>
          </w:tcPr>
          <w:p w14:paraId="6124A6D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3EBD7AB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健全</w:t>
            </w:r>
          </w:p>
        </w:tc>
        <w:tc>
          <w:tcPr>
            <w:tcW w:w="1170" w:type="dxa"/>
            <w:tcBorders>
              <w:tl2br w:val="nil"/>
              <w:tr2bl w:val="nil"/>
            </w:tcBorders>
            <w:shd w:val="clear" w:color="auto" w:fill="auto"/>
            <w:vAlign w:val="center"/>
          </w:tcPr>
          <w:p w14:paraId="467B8D1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健全</w:t>
            </w:r>
          </w:p>
        </w:tc>
        <w:tc>
          <w:tcPr>
            <w:tcW w:w="1048" w:type="dxa"/>
            <w:tcBorders>
              <w:tl2br w:val="nil"/>
              <w:tr2bl w:val="nil"/>
            </w:tcBorders>
            <w:shd w:val="clear" w:color="auto" w:fill="auto"/>
            <w:vAlign w:val="center"/>
          </w:tcPr>
          <w:p w14:paraId="014AF1F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065" w:type="dxa"/>
            <w:tcBorders>
              <w:tl2br w:val="nil"/>
              <w:tr2bl w:val="nil"/>
            </w:tcBorders>
            <w:shd w:val="clear" w:color="auto" w:fill="auto"/>
            <w:vAlign w:val="center"/>
          </w:tcPr>
          <w:p w14:paraId="6892CF40">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122E3AB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79649F26">
            <w:pPr>
              <w:widowControl/>
              <w:jc w:val="center"/>
              <w:textAlignment w:val="center"/>
              <w:rPr>
                <w:rFonts w:hint="eastAsia" w:ascii="宋体" w:hAnsi="宋体" w:eastAsia="宋体" w:cs="宋体"/>
                <w:color w:val="auto"/>
                <w:kern w:val="0"/>
                <w:sz w:val="20"/>
                <w:szCs w:val="20"/>
                <w:highlight w:val="none"/>
                <w:lang w:bidi="ar"/>
              </w:rPr>
            </w:pPr>
          </w:p>
        </w:tc>
        <w:tc>
          <w:tcPr>
            <w:tcW w:w="1836" w:type="dxa"/>
            <w:tcBorders>
              <w:tl2br w:val="nil"/>
              <w:tr2bl w:val="nil"/>
            </w:tcBorders>
            <w:vAlign w:val="center"/>
          </w:tcPr>
          <w:p w14:paraId="679066F7">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制度执行有效性</w:t>
            </w:r>
          </w:p>
        </w:tc>
        <w:tc>
          <w:tcPr>
            <w:tcW w:w="999" w:type="dxa"/>
            <w:tcBorders>
              <w:tl2br w:val="nil"/>
              <w:tr2bl w:val="nil"/>
            </w:tcBorders>
            <w:shd w:val="clear" w:color="auto" w:fill="auto"/>
            <w:vAlign w:val="center"/>
          </w:tcPr>
          <w:p w14:paraId="101CB51B">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44382F2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有效</w:t>
            </w:r>
          </w:p>
        </w:tc>
        <w:tc>
          <w:tcPr>
            <w:tcW w:w="1170" w:type="dxa"/>
            <w:tcBorders>
              <w:tl2br w:val="nil"/>
              <w:tr2bl w:val="nil"/>
            </w:tcBorders>
            <w:shd w:val="clear" w:color="auto" w:fill="auto"/>
            <w:vAlign w:val="center"/>
          </w:tcPr>
          <w:p w14:paraId="44BED6B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u w:val="none"/>
                <w:lang w:val="en-US" w:eastAsia="zh-CN" w:bidi="ar"/>
              </w:rPr>
              <w:t>有效</w:t>
            </w:r>
          </w:p>
        </w:tc>
        <w:tc>
          <w:tcPr>
            <w:tcW w:w="1048" w:type="dxa"/>
            <w:tcBorders>
              <w:tl2br w:val="nil"/>
              <w:tr2bl w:val="nil"/>
            </w:tcBorders>
            <w:shd w:val="clear" w:color="auto" w:fill="auto"/>
            <w:vAlign w:val="center"/>
          </w:tcPr>
          <w:p w14:paraId="33F7DCA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065" w:type="dxa"/>
            <w:tcBorders>
              <w:tl2br w:val="nil"/>
              <w:tr2bl w:val="nil"/>
            </w:tcBorders>
            <w:shd w:val="clear" w:color="auto" w:fill="auto"/>
            <w:vAlign w:val="center"/>
          </w:tcPr>
          <w:p w14:paraId="5026911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F57611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5A3A57D5">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2866447C">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绩效管理有效性</w:t>
            </w:r>
          </w:p>
        </w:tc>
        <w:tc>
          <w:tcPr>
            <w:tcW w:w="999" w:type="dxa"/>
            <w:tcBorders>
              <w:tl2br w:val="nil"/>
              <w:tr2bl w:val="nil"/>
            </w:tcBorders>
            <w:shd w:val="clear" w:color="auto" w:fill="auto"/>
            <w:vAlign w:val="center"/>
          </w:tcPr>
          <w:p w14:paraId="58A5741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w:t>
            </w:r>
          </w:p>
        </w:tc>
        <w:tc>
          <w:tcPr>
            <w:tcW w:w="1151" w:type="dxa"/>
            <w:tcBorders>
              <w:tl2br w:val="nil"/>
              <w:tr2bl w:val="nil"/>
            </w:tcBorders>
            <w:shd w:val="clear" w:color="auto" w:fill="auto"/>
            <w:vAlign w:val="center"/>
          </w:tcPr>
          <w:p w14:paraId="7DA9799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有效</w:t>
            </w:r>
          </w:p>
        </w:tc>
        <w:tc>
          <w:tcPr>
            <w:tcW w:w="1170" w:type="dxa"/>
            <w:tcBorders>
              <w:tl2br w:val="nil"/>
              <w:tr2bl w:val="nil"/>
            </w:tcBorders>
            <w:shd w:val="clear" w:color="auto" w:fill="auto"/>
            <w:vAlign w:val="center"/>
          </w:tcPr>
          <w:p w14:paraId="2A6231B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有待规范</w:t>
            </w:r>
          </w:p>
        </w:tc>
        <w:tc>
          <w:tcPr>
            <w:tcW w:w="1048" w:type="dxa"/>
            <w:tcBorders>
              <w:tl2br w:val="nil"/>
              <w:tr2bl w:val="nil"/>
            </w:tcBorders>
            <w:shd w:val="clear" w:color="auto" w:fill="auto"/>
            <w:vAlign w:val="center"/>
          </w:tcPr>
          <w:p w14:paraId="7F77BB7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w:t>
            </w:r>
          </w:p>
        </w:tc>
        <w:tc>
          <w:tcPr>
            <w:tcW w:w="1065" w:type="dxa"/>
            <w:tcBorders>
              <w:tl2br w:val="nil"/>
              <w:tr2bl w:val="nil"/>
            </w:tcBorders>
            <w:shd w:val="clear" w:color="auto" w:fill="auto"/>
            <w:vAlign w:val="center"/>
          </w:tcPr>
          <w:p w14:paraId="4E712A76">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50.00%</w:t>
            </w:r>
          </w:p>
        </w:tc>
      </w:tr>
      <w:tr w14:paraId="3D3074F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037" w:type="dxa"/>
            <w:gridSpan w:val="2"/>
            <w:tcBorders>
              <w:tl2br w:val="nil"/>
              <w:tr2bl w:val="nil"/>
            </w:tcBorders>
            <w:shd w:val="clear" w:color="auto" w:fill="BDD6EE" w:themeFill="accent1" w:themeFillTint="66"/>
            <w:vAlign w:val="center"/>
          </w:tcPr>
          <w:p w14:paraId="37E80EF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99" w:type="dxa"/>
            <w:tcBorders>
              <w:tl2br w:val="nil"/>
              <w:tr2bl w:val="nil"/>
            </w:tcBorders>
            <w:shd w:val="clear" w:color="auto" w:fill="BDD6EE" w:themeFill="accent1" w:themeFillTint="66"/>
            <w:vAlign w:val="center"/>
          </w:tcPr>
          <w:p w14:paraId="429834EB">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15</w:t>
            </w:r>
          </w:p>
        </w:tc>
        <w:tc>
          <w:tcPr>
            <w:tcW w:w="1151" w:type="dxa"/>
            <w:tcBorders>
              <w:tl2br w:val="nil"/>
              <w:tr2bl w:val="nil"/>
            </w:tcBorders>
            <w:shd w:val="clear" w:color="auto" w:fill="BDD6EE" w:themeFill="accent1" w:themeFillTint="66"/>
            <w:vAlign w:val="center"/>
          </w:tcPr>
          <w:p w14:paraId="05F5E6C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w:t>
            </w:r>
          </w:p>
        </w:tc>
        <w:tc>
          <w:tcPr>
            <w:tcW w:w="1170" w:type="dxa"/>
            <w:tcBorders>
              <w:tl2br w:val="nil"/>
              <w:tr2bl w:val="nil"/>
            </w:tcBorders>
            <w:shd w:val="clear" w:color="auto" w:fill="BDD6EE" w:themeFill="accent1" w:themeFillTint="66"/>
            <w:vAlign w:val="center"/>
          </w:tcPr>
          <w:p w14:paraId="08CBC10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w:t>
            </w:r>
          </w:p>
        </w:tc>
        <w:tc>
          <w:tcPr>
            <w:tcW w:w="1048" w:type="dxa"/>
            <w:tcBorders>
              <w:tl2br w:val="nil"/>
              <w:tr2bl w:val="nil"/>
            </w:tcBorders>
            <w:shd w:val="clear" w:color="auto" w:fill="BDD6EE" w:themeFill="accent1" w:themeFillTint="66"/>
            <w:vAlign w:val="center"/>
          </w:tcPr>
          <w:p w14:paraId="4A9EA100">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13.62</w:t>
            </w:r>
          </w:p>
        </w:tc>
        <w:tc>
          <w:tcPr>
            <w:tcW w:w="1065" w:type="dxa"/>
            <w:tcBorders>
              <w:tl2br w:val="nil"/>
              <w:tr2bl w:val="nil"/>
            </w:tcBorders>
            <w:shd w:val="clear" w:color="auto" w:fill="BDD6EE" w:themeFill="accent1" w:themeFillTint="66"/>
            <w:vAlign w:val="center"/>
          </w:tcPr>
          <w:p w14:paraId="4AB83DE5">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90.80%</w:t>
            </w:r>
          </w:p>
        </w:tc>
      </w:tr>
      <w:bookmarkEnd w:id="136"/>
    </w:tbl>
    <w:p w14:paraId="5B991EBC">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1.资金管理</w:t>
      </w:r>
    </w:p>
    <w:p w14:paraId="6411F922">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32988CB7">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default"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rPr>
        <w:t>分，评价得分</w:t>
      </w:r>
      <w:r>
        <w:rPr>
          <w:rFonts w:hint="default"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第一批</w:t>
      </w:r>
      <w:r>
        <w:rPr>
          <w:rFonts w:hint="eastAsia" w:ascii="仿宋_GB2312" w:hAnsi="仿宋_GB2312" w:eastAsia="仿宋_GB2312" w:cs="仿宋_GB2312"/>
          <w:sz w:val="32"/>
          <w:szCs w:val="32"/>
          <w:highlight w:val="none"/>
        </w:rPr>
        <w:t>全省</w:t>
      </w:r>
      <w:r>
        <w:rPr>
          <w:rFonts w:hint="eastAsia" w:ascii="仿宋_GB2312" w:hAnsi="仿宋_GB2312" w:eastAsia="仿宋_GB2312" w:cs="仿宋_GB2312"/>
          <w:sz w:val="32"/>
          <w:szCs w:val="32"/>
          <w:highlight w:val="none"/>
          <w:lang w:val="en-US" w:eastAsia="zh-CN"/>
        </w:rPr>
        <w:t>法院业务费</w:t>
      </w:r>
      <w:r>
        <w:rPr>
          <w:rFonts w:hint="eastAsia" w:ascii="仿宋_GB2312" w:hAnsi="仿宋_GB2312" w:eastAsia="仿宋_GB2312" w:cs="仿宋_GB2312"/>
          <w:sz w:val="32"/>
          <w:szCs w:val="32"/>
          <w:highlight w:val="none"/>
        </w:rPr>
        <w:t>项目资金20,000.00万元年初随部门预算一同下达至</w:t>
      </w:r>
      <w:r>
        <w:rPr>
          <w:rFonts w:hint="default" w:ascii="仿宋_GB2312" w:hAnsi="仿宋_GB2312" w:eastAsia="仿宋_GB2312" w:cs="仿宋_GB2312"/>
          <w:sz w:val="32"/>
          <w:szCs w:val="32"/>
          <w:highlight w:val="none"/>
        </w:rPr>
        <w:t>全省</w:t>
      </w:r>
      <w:r>
        <w:rPr>
          <w:rFonts w:hint="eastAsia" w:ascii="仿宋_GB2312" w:hAnsi="仿宋_GB2312" w:eastAsia="仿宋_GB2312" w:cs="仿宋_GB2312"/>
          <w:sz w:val="32"/>
          <w:szCs w:val="32"/>
          <w:highlight w:val="none"/>
          <w:lang w:val="en-US" w:eastAsia="zh-CN"/>
        </w:rPr>
        <w:t>各中、基层</w:t>
      </w:r>
      <w:r>
        <w:rPr>
          <w:rFonts w:hint="default" w:ascii="仿宋_GB2312" w:hAnsi="仿宋_GB2312" w:eastAsia="仿宋_GB2312" w:cs="仿宋_GB2312"/>
          <w:sz w:val="32"/>
          <w:szCs w:val="32"/>
          <w:highlight w:val="none"/>
        </w:rPr>
        <w:t>法院</w:t>
      </w:r>
      <w:r>
        <w:rPr>
          <w:rFonts w:hint="eastAsia" w:ascii="仿宋_GB2312" w:hAnsi="仿宋_GB2312" w:eastAsia="仿宋_GB2312" w:cs="仿宋_GB2312"/>
          <w:sz w:val="32"/>
          <w:szCs w:val="32"/>
          <w:highlight w:val="none"/>
        </w:rPr>
        <w:t>，2023年7月28日甘肃省高级人民法院《关于2023年“全省法院业务费”拟安排建议的报告》（甘高法〔2023〕174号）提出第二批分配建议，共计5,010.00万元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截至2023年12月31日，</w:t>
      </w:r>
      <w:r>
        <w:rPr>
          <w:rFonts w:hint="eastAsia" w:ascii="仿宋_GB2312" w:hAnsi="仿宋_GB2312" w:eastAsia="仿宋_GB2312" w:cs="仿宋_GB2312"/>
          <w:sz w:val="32"/>
          <w:szCs w:val="32"/>
          <w:highlight w:val="none"/>
        </w:rPr>
        <w:t>专项资金及时、足额拨付至各</w:t>
      </w:r>
      <w:r>
        <w:rPr>
          <w:rFonts w:hint="eastAsia" w:ascii="仿宋_GB2312" w:hAnsi="仿宋_GB2312" w:eastAsia="仿宋_GB2312" w:cs="仿宋_GB2312"/>
          <w:sz w:val="32"/>
          <w:szCs w:val="32"/>
          <w:highlight w:val="none"/>
          <w:lang w:val="en-US" w:eastAsia="zh-CN"/>
        </w:rPr>
        <w:t>中、基层</w:t>
      </w:r>
      <w:r>
        <w:rPr>
          <w:rFonts w:hint="eastAsia" w:ascii="仿宋_GB2312" w:hAnsi="仿宋_GB2312" w:eastAsia="仿宋_GB2312" w:cs="仿宋_GB2312"/>
          <w:sz w:val="32"/>
          <w:szCs w:val="32"/>
          <w:highlight w:val="none"/>
        </w:rPr>
        <w:t>法院，资金到位及时，到位率达到100</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p>
    <w:p w14:paraId="08D5BBE3">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7D80DA27">
      <w:pPr>
        <w:pStyle w:val="26"/>
        <w:overflowPunct w:val="0"/>
        <w:spacing w:line="560" w:lineRule="exact"/>
        <w:ind w:firstLine="640"/>
        <w:rPr>
          <w:rFonts w:hint="default"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default" w:ascii="仿宋_GB2312" w:hAnsi="仿宋_GB2312" w:eastAsia="仿宋_GB2312" w:cs="仿宋_GB2312"/>
          <w:sz w:val="32"/>
          <w:szCs w:val="32"/>
          <w:highlight w:val="none"/>
          <w:lang w:eastAsia="zh-CN"/>
        </w:rPr>
        <w:t>3</w:t>
      </w:r>
      <w:r>
        <w:rPr>
          <w:rFonts w:hint="eastAsia" w:ascii="仿宋_GB2312" w:hAnsi="仿宋_GB2312" w:eastAsia="仿宋_GB2312" w:cs="仿宋_GB2312"/>
          <w:sz w:val="32"/>
          <w:szCs w:val="32"/>
          <w:highlight w:val="none"/>
        </w:rPr>
        <w:t>分，评价得分</w:t>
      </w:r>
      <w:r>
        <w:rPr>
          <w:rFonts w:hint="default" w:ascii="仿宋_GB2312" w:hAnsi="仿宋_GB2312" w:eastAsia="仿宋_GB2312" w:cs="仿宋_GB2312"/>
          <w:sz w:val="32"/>
          <w:szCs w:val="32"/>
          <w:highlight w:val="none"/>
          <w:lang w:eastAsia="zh-CN"/>
        </w:rPr>
        <w:t>2.62</w:t>
      </w:r>
      <w:r>
        <w:rPr>
          <w:rFonts w:hint="eastAsia" w:ascii="仿宋_GB2312" w:hAnsi="仿宋_GB2312" w:eastAsia="仿宋_GB2312" w:cs="仿宋_GB2312"/>
          <w:sz w:val="32"/>
          <w:szCs w:val="32"/>
          <w:highlight w:val="none"/>
        </w:rPr>
        <w:t>分。全省法院业务费项目全年预算</w:t>
      </w:r>
      <w:r>
        <w:rPr>
          <w:rFonts w:hint="eastAsia" w:ascii="仿宋_GB2312" w:hAnsi="仿宋_GB2312" w:eastAsia="仿宋_GB2312" w:cs="仿宋_GB2312"/>
          <w:sz w:val="32"/>
          <w:szCs w:val="32"/>
          <w:highlight w:val="none"/>
          <w:lang w:val="en-US" w:eastAsia="zh-CN"/>
        </w:rPr>
        <w:t>数</w:t>
      </w:r>
      <w:r>
        <w:rPr>
          <w:rFonts w:hint="eastAsia" w:ascii="仿宋_GB2312" w:hAnsi="仿宋_GB2312" w:eastAsia="仿宋_GB2312" w:cs="仿宋_GB2312"/>
          <w:sz w:val="32"/>
          <w:szCs w:val="32"/>
          <w:highlight w:val="none"/>
        </w:rPr>
        <w:t>27,195.47万元，上年结转资金2,185.47万元，当年财政拨款25,010.00万元，全年支出</w:t>
      </w:r>
      <w:r>
        <w:rPr>
          <w:rFonts w:hint="eastAsia" w:ascii="仿宋_GB2312" w:hAnsi="仿宋_GB2312" w:eastAsia="仿宋_GB2312" w:cs="仿宋_GB2312"/>
          <w:sz w:val="32"/>
          <w:szCs w:val="32"/>
          <w:highlight w:val="none"/>
          <w:lang w:val="en-US" w:eastAsia="zh-CN"/>
        </w:rPr>
        <w:t>数</w:t>
      </w:r>
      <w:r>
        <w:rPr>
          <w:rFonts w:hint="eastAsia" w:ascii="仿宋_GB2312" w:hAnsi="仿宋_GB2312" w:eastAsia="仿宋_GB2312" w:cs="仿宋_GB2312"/>
          <w:sz w:val="32"/>
          <w:szCs w:val="32"/>
          <w:highlight w:val="none"/>
        </w:rPr>
        <w:t>26,052.10万元，预算执行率95.80%</w:t>
      </w:r>
      <w:r>
        <w:rPr>
          <w:rFonts w:hint="default" w:ascii="仿宋_GB2312" w:hAnsi="仿宋_GB2312" w:eastAsia="仿宋_GB2312" w:cs="仿宋_GB2312"/>
          <w:sz w:val="32"/>
          <w:szCs w:val="32"/>
          <w:highlight w:val="none"/>
        </w:rPr>
        <w:t>。</w:t>
      </w:r>
    </w:p>
    <w:p w14:paraId="69491C5F">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78E1854A">
      <w:pPr>
        <w:pStyle w:val="9"/>
        <w:tabs>
          <w:tab w:val="left" w:pos="510"/>
          <w:tab w:val="left" w:pos="675"/>
        </w:tabs>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资金使用合规性：指标分值</w:t>
      </w:r>
      <w:r>
        <w:rPr>
          <w:rFonts w:hint="default" w:ascii="仿宋_GB2312" w:hAnsi="仿宋_GB2312" w:cs="仿宋_GB2312"/>
          <w:highlight w:val="none"/>
          <w:lang w:eastAsia="zh-CN"/>
        </w:rPr>
        <w:t>3</w:t>
      </w:r>
      <w:r>
        <w:rPr>
          <w:rFonts w:hint="eastAsia" w:ascii="仿宋_GB2312" w:hAnsi="仿宋_GB2312" w:cs="仿宋_GB2312"/>
          <w:highlight w:val="none"/>
        </w:rPr>
        <w:t>分，评价得分</w:t>
      </w:r>
      <w:r>
        <w:rPr>
          <w:rFonts w:hint="default" w:ascii="仿宋_GB2312" w:hAnsi="仿宋_GB2312" w:cs="仿宋_GB2312"/>
          <w:highlight w:val="none"/>
          <w:lang w:eastAsia="zh-CN"/>
        </w:rPr>
        <w:t>3</w:t>
      </w:r>
      <w:r>
        <w:rPr>
          <w:rFonts w:hint="eastAsia" w:ascii="仿宋_GB2312" w:hAnsi="仿宋_GB2312" w:cs="仿宋_GB2312"/>
          <w:highlight w:val="none"/>
        </w:rPr>
        <w:t>分。</w:t>
      </w:r>
      <w:r>
        <w:rPr>
          <w:rFonts w:hint="eastAsia" w:ascii="仿宋_GB2312" w:hAnsi="仿宋_GB2312" w:cs="仿宋_GB2312"/>
          <w:highlight w:val="none"/>
          <w:lang w:val="en-US" w:eastAsia="zh-CN"/>
        </w:rPr>
        <w:t>评价组通过查阅国家及地方财务法规及文件办法，对比分析项目实施单位财务制度办法，经查看财务凭证及附件，比较分析资金落实情况、资金使用情况及财务监控情况，评价认为</w:t>
      </w:r>
      <w:r>
        <w:rPr>
          <w:rFonts w:hint="eastAsia" w:ascii="仿宋_GB2312" w:hAnsi="仿宋_GB2312" w:cs="仿宋_GB2312"/>
          <w:highlight w:val="none"/>
        </w:rPr>
        <w:t>专项资金的使用基本符合国家财经法规和财务管理制度以及</w:t>
      </w:r>
      <w:r>
        <w:rPr>
          <w:rFonts w:hint="eastAsia" w:ascii="仿宋_GB2312" w:hAnsi="仿宋_GB2312" w:eastAsia="仿宋_GB2312" w:cs="仿宋_GB2312"/>
          <w:sz w:val="32"/>
          <w:szCs w:val="32"/>
          <w:highlight w:val="none"/>
        </w:rPr>
        <w:t>《</w:t>
      </w:r>
      <w:r>
        <w:rPr>
          <w:rFonts w:hint="default" w:ascii="仿宋_GB2312" w:hAnsi="仿宋_GB2312" w:cs="仿宋_GB2312"/>
          <w:sz w:val="32"/>
          <w:szCs w:val="32"/>
          <w:highlight w:val="none"/>
          <w:lang w:eastAsia="zh-CN"/>
        </w:rPr>
        <w:t>最高人民法院业务经费开支范围</w:t>
      </w:r>
      <w:r>
        <w:rPr>
          <w:rFonts w:hint="eastAsia" w:ascii="仿宋_GB2312" w:hAnsi="仿宋_GB2312" w:eastAsia="仿宋_GB2312" w:cs="仿宋_GB2312"/>
          <w:sz w:val="32"/>
          <w:szCs w:val="32"/>
          <w:highlight w:val="none"/>
        </w:rPr>
        <w:t>》</w:t>
      </w:r>
      <w:r>
        <w:rPr>
          <w:rFonts w:hint="eastAsia" w:ascii="仿宋_GB2312" w:hAnsi="仿宋_GB2312" w:cs="仿宋_GB2312"/>
          <w:highlight w:val="none"/>
        </w:rPr>
        <w:t>等制度要求，资金支出的审批程序完整，符合项目预算批复或合同规定的用途</w:t>
      </w:r>
      <w:r>
        <w:rPr>
          <w:rFonts w:hint="eastAsia" w:ascii="仿宋_GB2312" w:hAnsi="仿宋_GB2312" w:cs="仿宋_GB2312"/>
          <w:highlight w:val="none"/>
          <w:lang w:eastAsia="zh-CN"/>
        </w:rPr>
        <w:t>，</w:t>
      </w:r>
      <w:r>
        <w:rPr>
          <w:rFonts w:hint="eastAsia" w:ascii="仿宋_GB2312" w:hAnsi="仿宋_GB2312" w:cs="仿宋_GB2312"/>
          <w:highlight w:val="none"/>
        </w:rPr>
        <w:t>未发现</w:t>
      </w:r>
      <w:r>
        <w:rPr>
          <w:rFonts w:hint="eastAsia" w:ascii="仿宋_GB2312" w:hAnsi="仿宋_GB2312" w:cs="仿宋_GB2312"/>
          <w:highlight w:val="none"/>
          <w:lang w:val="en-US" w:eastAsia="zh-CN"/>
        </w:rPr>
        <w:t>截留、</w:t>
      </w:r>
      <w:r>
        <w:rPr>
          <w:rFonts w:hint="eastAsia" w:ascii="仿宋_GB2312" w:hAnsi="仿宋_GB2312" w:cs="仿宋_GB2312"/>
          <w:highlight w:val="none"/>
        </w:rPr>
        <w:t>虚列支出情况</w:t>
      </w:r>
      <w:r>
        <w:rPr>
          <w:rFonts w:hint="eastAsia" w:ascii="仿宋_GB2312" w:hAnsi="仿宋_GB2312" w:cs="仿宋_GB2312"/>
          <w:highlight w:val="none"/>
          <w:lang w:eastAsia="zh-CN"/>
        </w:rPr>
        <w:t>，按规定实施政府采购和政府购买服务</w:t>
      </w:r>
      <w:r>
        <w:rPr>
          <w:rFonts w:hint="eastAsia" w:ascii="仿宋_GB2312" w:hAnsi="仿宋_GB2312" w:cs="仿宋_GB2312"/>
          <w:highlight w:val="none"/>
        </w:rPr>
        <w:t>。</w:t>
      </w:r>
      <w:r>
        <w:rPr>
          <w:rFonts w:hint="eastAsia" w:ascii="仿宋_GB2312" w:hAnsi="仿宋_GB2312" w:cs="仿宋_GB2312"/>
          <w:highlight w:val="none"/>
          <w:lang w:val="en-US" w:eastAsia="zh-CN"/>
        </w:rPr>
        <w:t>评价认为，专项资金使用合规。</w:t>
      </w:r>
    </w:p>
    <w:p w14:paraId="19DCFEE0">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2.组织实施</w:t>
      </w:r>
    </w:p>
    <w:p w14:paraId="662D0BF6">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058BAC83">
      <w:pPr>
        <w:pStyle w:val="26"/>
        <w:overflowPunct w:val="0"/>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管理制度健全性：指标分值</w:t>
      </w: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rPr>
        <w:t>分，评价得分</w:t>
      </w: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为加强和规范省级预算项目经费管理，提高项目工作质量和资金效益，《最高人民法院、财政部关于法院业务费开支范围的规定的通知》（法司发〔1985〕23号）文件明确了业务费开支的范围，主要用于办案费、服装费、业务设备购置费、专业会议费和其他费用的开支。2018年9月3日，甘肃省高级人民法院印发的《关于加强2018年“全省法院业务费”规范管理使用的通知》（甘高法〔2018〕266号）</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对于各</w:t>
      </w:r>
      <w:r>
        <w:rPr>
          <w:rFonts w:hint="default" w:ascii="仿宋_GB2312" w:hAnsi="仿宋_GB2312" w:eastAsia="仿宋_GB2312" w:cs="仿宋_GB2312"/>
          <w:sz w:val="32"/>
          <w:szCs w:val="32"/>
          <w:highlight w:val="none"/>
          <w:lang w:eastAsia="zh-CN"/>
        </w:rPr>
        <w:t>中、基层</w:t>
      </w:r>
      <w:r>
        <w:rPr>
          <w:rFonts w:hint="eastAsia" w:ascii="仿宋_GB2312" w:hAnsi="仿宋_GB2312" w:eastAsia="仿宋_GB2312" w:cs="仿宋_GB2312"/>
          <w:sz w:val="32"/>
          <w:szCs w:val="32"/>
          <w:highlight w:val="none"/>
          <w:lang w:val="en-US" w:eastAsia="zh-CN"/>
        </w:rPr>
        <w:t>法院工作的实施提供了强有力的政策制度支撑。</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制定了适用于本项目的财务管理制度及业务管理制度，且符合相关财务及业务制度的规定，制度健全。</w:t>
      </w:r>
    </w:p>
    <w:p w14:paraId="3221DC77">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785A4F08">
      <w:pPr>
        <w:pStyle w:val="26"/>
        <w:overflowPunct w:val="0"/>
        <w:spacing w:line="56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制度执行有效性：指标分值</w:t>
      </w: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rPr>
        <w:t>分，评价得分</w:t>
      </w: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rPr>
        <w:t>分。项目的执行遵守法律法规和相关管理规定，严格按照</w:t>
      </w:r>
      <w:r>
        <w:rPr>
          <w:rFonts w:hint="eastAsia" w:ascii="仿宋_GB2312" w:hAnsi="仿宋_GB2312" w:eastAsia="仿宋_GB2312" w:cs="仿宋_GB2312"/>
          <w:sz w:val="32"/>
          <w:szCs w:val="32"/>
          <w:highlight w:val="none"/>
          <w:lang w:val="en-US" w:eastAsia="zh-CN"/>
        </w:rPr>
        <w:t>项目计划实施</w:t>
      </w:r>
      <w:r>
        <w:rPr>
          <w:rFonts w:hint="eastAsia" w:ascii="仿宋_GB2312" w:hAnsi="仿宋_GB2312" w:eastAsia="仿宋_GB2312" w:cs="仿宋_GB2312"/>
          <w:sz w:val="32"/>
          <w:szCs w:val="32"/>
          <w:highlight w:val="none"/>
        </w:rPr>
        <w:t>，项目资料齐全并及时归档，项目实施过程中，</w:t>
      </w:r>
      <w:r>
        <w:rPr>
          <w:rFonts w:hint="eastAsia" w:ascii="仿宋_GB2312" w:hAnsi="仿宋_GB2312" w:eastAsia="仿宋_GB2312" w:cs="仿宋_GB2312"/>
          <w:sz w:val="32"/>
          <w:szCs w:val="32"/>
          <w:highlight w:val="none"/>
          <w:lang w:val="en-US" w:eastAsia="zh-CN"/>
        </w:rPr>
        <w:t>基本</w:t>
      </w:r>
      <w:r>
        <w:rPr>
          <w:rFonts w:hint="eastAsia" w:ascii="仿宋_GB2312" w:hAnsi="仿宋_GB2312" w:eastAsia="仿宋_GB2312" w:cs="仿宋_GB2312"/>
          <w:sz w:val="32"/>
          <w:szCs w:val="32"/>
          <w:highlight w:val="none"/>
        </w:rPr>
        <w:t>能够按照制度管理进行资金申请和下达、使用、监督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w:t>
      </w:r>
      <w:r>
        <w:rPr>
          <w:rFonts w:hint="default" w:ascii="仿宋_GB2312" w:hAnsi="仿宋_GB2312" w:eastAsia="仿宋_GB2312" w:cs="仿宋_GB2312"/>
          <w:sz w:val="32"/>
          <w:szCs w:val="32"/>
          <w:highlight w:val="none"/>
          <w:lang w:eastAsia="zh-CN"/>
        </w:rPr>
        <w:t>拨付</w:t>
      </w:r>
      <w:r>
        <w:rPr>
          <w:rFonts w:hint="eastAsia" w:ascii="仿宋_GB2312" w:hAnsi="仿宋_GB2312" w:eastAsia="仿宋_GB2312" w:cs="仿宋_GB2312"/>
          <w:sz w:val="32"/>
          <w:szCs w:val="32"/>
          <w:highlight w:val="none"/>
          <w:lang w:val="en-US" w:eastAsia="zh-CN"/>
        </w:rPr>
        <w:t>符合相关法律法规的管理规定，符合制度执行有效性要求，项目所需手续符合要求。各中、基层法院依据相关项目资金的科目规范核算资金，纳入部门决算。</w:t>
      </w:r>
      <w:r>
        <w:rPr>
          <w:rFonts w:hint="eastAsia" w:ascii="仿宋_GB2312" w:hAnsi="仿宋_GB2312" w:eastAsia="仿宋_GB2312" w:cs="仿宋_GB2312"/>
          <w:sz w:val="32"/>
          <w:szCs w:val="32"/>
          <w:highlight w:val="none"/>
        </w:rPr>
        <w:t>评价认为，制度执行总体有效。</w:t>
      </w:r>
    </w:p>
    <w:p w14:paraId="1A6A3711">
      <w:pPr>
        <w:pStyle w:val="26"/>
        <w:overflowPunct w:val="0"/>
        <w:spacing w:line="56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绩效管理有效性</w:t>
      </w:r>
    </w:p>
    <w:p w14:paraId="62D2E1C1">
      <w:pPr>
        <w:pStyle w:val="26"/>
        <w:overflowPunct w:val="0"/>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绩效管理有效性：指标分值</w:t>
      </w:r>
      <w:r>
        <w:rPr>
          <w:rFonts w:hint="default" w:ascii="仿宋_GB2312" w:hAnsi="仿宋_GB2312" w:eastAsia="仿宋_GB2312" w:cs="仿宋_GB2312"/>
          <w:sz w:val="32"/>
          <w:szCs w:val="32"/>
          <w:highlight w:val="none"/>
          <w:lang w:eastAsia="zh-CN"/>
        </w:rPr>
        <w:t>2</w:t>
      </w:r>
      <w:r>
        <w:rPr>
          <w:rFonts w:hint="eastAsia" w:ascii="仿宋_GB2312" w:hAnsi="仿宋_GB2312" w:eastAsia="仿宋_GB2312" w:cs="仿宋_GB2312"/>
          <w:sz w:val="32"/>
          <w:szCs w:val="32"/>
          <w:highlight w:val="none"/>
          <w:lang w:val="en-US" w:eastAsia="zh-CN"/>
        </w:rPr>
        <w:t>分，评价得分</w:t>
      </w:r>
      <w:r>
        <w:rPr>
          <w:rFonts w:hint="default" w:ascii="仿宋_GB2312" w:hAnsi="仿宋_GB2312" w:eastAsia="仿宋_GB2312" w:cs="仿宋_GB2312"/>
          <w:sz w:val="32"/>
          <w:szCs w:val="32"/>
          <w:highlight w:val="none"/>
          <w:lang w:eastAsia="zh-CN"/>
        </w:rPr>
        <w:t>1</w:t>
      </w:r>
      <w:r>
        <w:rPr>
          <w:rFonts w:hint="eastAsia" w:ascii="仿宋_GB2312" w:hAnsi="仿宋_GB2312" w:eastAsia="仿宋_GB2312" w:cs="仿宋_GB2312"/>
          <w:sz w:val="32"/>
          <w:szCs w:val="32"/>
          <w:highlight w:val="none"/>
          <w:lang w:val="en-US" w:eastAsia="zh-CN"/>
        </w:rPr>
        <w:t>分。该项目2023年度分别于6月、9月开展两次项目预算执行情况绩效监控，绩效监控开展规范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甘肃省高级人民法院及各中、基层</w:t>
      </w:r>
      <w:r>
        <w:rPr>
          <w:rFonts w:hint="default" w:ascii="仿宋_GB2312" w:hAnsi="仿宋_GB2312" w:eastAsia="仿宋_GB2312" w:cs="仿宋_GB2312"/>
          <w:sz w:val="32"/>
          <w:szCs w:val="32"/>
          <w:highlight w:val="none"/>
          <w:lang w:eastAsia="zh-CN"/>
        </w:rPr>
        <w:t>法院</w:t>
      </w:r>
      <w:r>
        <w:rPr>
          <w:rFonts w:hint="eastAsia" w:ascii="仿宋_GB2312" w:hAnsi="仿宋_GB2312" w:eastAsia="仿宋_GB2312" w:cs="仿宋_GB2312"/>
          <w:sz w:val="32"/>
          <w:szCs w:val="32"/>
          <w:highlight w:val="none"/>
          <w:lang w:val="en-US" w:eastAsia="zh-CN"/>
        </w:rPr>
        <w:t>2024年初开展了2023年度项目预算执行情况绩效自评，但评价组发现，个别法院存在绩效自评内容不完整，未充分评估项目各种效益实际情况及项目管理存在的问题。</w:t>
      </w:r>
    </w:p>
    <w:p w14:paraId="5945FBF5">
      <w:pPr>
        <w:pStyle w:val="9"/>
        <w:numPr>
          <w:ilvl w:val="0"/>
          <w:numId w:val="0"/>
        </w:numPr>
        <w:overflowPunct w:val="0"/>
        <w:spacing w:line="560" w:lineRule="exact"/>
        <w:ind w:firstLine="643" w:firstLineChars="200"/>
        <w:outlineLvl w:val="1"/>
        <w:rPr>
          <w:rFonts w:hint="eastAsia" w:ascii="楷体" w:hAnsi="楷体" w:eastAsia="楷体" w:cs="楷体"/>
          <w:b/>
          <w:bCs/>
          <w:highlight w:val="none"/>
          <w:lang w:val="en-US" w:eastAsia="zh-CN"/>
        </w:rPr>
      </w:pPr>
      <w:bookmarkStart w:id="137" w:name="_Toc18704"/>
      <w:bookmarkStart w:id="138" w:name="_Toc20113"/>
      <w:bookmarkStart w:id="139" w:name="_Toc3677"/>
      <w:r>
        <w:rPr>
          <w:rFonts w:hint="eastAsia" w:ascii="楷体" w:hAnsi="楷体" w:eastAsia="楷体" w:cs="楷体"/>
          <w:b/>
          <w:bCs/>
          <w:kern w:val="2"/>
          <w:sz w:val="32"/>
          <w:szCs w:val="32"/>
          <w:highlight w:val="none"/>
          <w:lang w:val="en-US" w:eastAsia="zh-CN" w:bidi="ar-SA"/>
        </w:rPr>
        <w:t>（三）</w:t>
      </w:r>
      <w:r>
        <w:rPr>
          <w:rFonts w:hint="eastAsia" w:ascii="楷体" w:hAnsi="楷体" w:eastAsia="楷体" w:cs="楷体"/>
          <w:b/>
          <w:bCs/>
          <w:highlight w:val="none"/>
        </w:rPr>
        <w:t>项目</w:t>
      </w:r>
      <w:r>
        <w:rPr>
          <w:rFonts w:hint="eastAsia" w:ascii="楷体" w:hAnsi="楷体" w:eastAsia="楷体" w:cs="楷体"/>
          <w:b/>
          <w:bCs/>
          <w:highlight w:val="none"/>
          <w:lang w:val="en-US" w:eastAsia="zh-CN"/>
        </w:rPr>
        <w:t>成本情况</w:t>
      </w:r>
      <w:bookmarkEnd w:id="137"/>
    </w:p>
    <w:p w14:paraId="22AED0FC">
      <w:pPr>
        <w:pStyle w:val="9"/>
        <w:numPr>
          <w:ilvl w:val="0"/>
          <w:numId w:val="0"/>
        </w:numPr>
        <w:overflowPunct w:val="0"/>
        <w:spacing w:line="560" w:lineRule="exact"/>
        <w:ind w:firstLine="640" w:firstLineChars="200"/>
        <w:outlineLvl w:val="1"/>
        <w:rPr>
          <w:rFonts w:hint="eastAsia" w:ascii="仿宋_GB2312" w:hAnsi="仿宋_GB2312" w:eastAsia="仿宋_GB2312" w:cs="仿宋_GB2312"/>
          <w:kern w:val="2"/>
          <w:sz w:val="32"/>
          <w:szCs w:val="32"/>
          <w:highlight w:val="none"/>
          <w:lang w:val="en-US" w:eastAsia="zh-CN" w:bidi="ar-SA"/>
        </w:rPr>
      </w:pPr>
      <w:bookmarkStart w:id="140" w:name="_Toc17256"/>
      <w:r>
        <w:rPr>
          <w:rFonts w:hint="eastAsia" w:ascii="仿宋_GB2312" w:hAnsi="仿宋_GB2312" w:eastAsia="仿宋_GB2312" w:cs="仿宋_GB2312"/>
          <w:kern w:val="2"/>
          <w:sz w:val="32"/>
          <w:szCs w:val="32"/>
          <w:highlight w:val="none"/>
          <w:lang w:val="en-US" w:eastAsia="zh-CN" w:bidi="ar-SA"/>
        </w:rPr>
        <w:t>项目成本指标包括经济成本指标一个二级指标，下设1个三级指标</w:t>
      </w:r>
      <w:r>
        <w:rPr>
          <w:rFonts w:hint="eastAsia" w:ascii="仿宋_GB2312" w:hAnsi="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指标分值10分，评价得分10分，得分率100</w:t>
      </w:r>
      <w:r>
        <w:rPr>
          <w:rFonts w:hint="eastAsia" w:ascii="仿宋_GB2312" w:hAnsi="仿宋_GB2312" w:cs="仿宋_GB2312"/>
          <w:kern w:val="2"/>
          <w:sz w:val="32"/>
          <w:szCs w:val="32"/>
          <w:highlight w:val="none"/>
          <w:lang w:val="en-US" w:eastAsia="zh-CN" w:bidi="ar-SA"/>
        </w:rPr>
        <w:t>.00</w:t>
      </w:r>
      <w:r>
        <w:rPr>
          <w:rFonts w:hint="eastAsia" w:ascii="仿宋_GB2312" w:hAnsi="仿宋_GB2312" w:eastAsia="仿宋_GB2312" w:cs="仿宋_GB2312"/>
          <w:kern w:val="2"/>
          <w:sz w:val="32"/>
          <w:szCs w:val="32"/>
          <w:highlight w:val="none"/>
          <w:lang w:val="en-US" w:eastAsia="zh-CN" w:bidi="ar-SA"/>
        </w:rPr>
        <w:t>%。</w:t>
      </w:r>
      <w:bookmarkEnd w:id="140"/>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5A5C403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6BD20A2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7A371C9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54A5471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78AF444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091B065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556A508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09D332E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D1F90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tcBorders>
              <w:tl2br w:val="nil"/>
              <w:tr2bl w:val="nil"/>
            </w:tcBorders>
            <w:vAlign w:val="center"/>
          </w:tcPr>
          <w:p w14:paraId="23475182">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217" w:type="dxa"/>
            <w:tcBorders>
              <w:tl2br w:val="nil"/>
              <w:tr2bl w:val="nil"/>
            </w:tcBorders>
            <w:shd w:val="clear" w:color="auto" w:fill="auto"/>
            <w:vAlign w:val="center"/>
          </w:tcPr>
          <w:p w14:paraId="051C60EB">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成本控制情况</w:t>
            </w:r>
          </w:p>
        </w:tc>
        <w:tc>
          <w:tcPr>
            <w:tcW w:w="831" w:type="dxa"/>
            <w:tcBorders>
              <w:tl2br w:val="nil"/>
              <w:tr2bl w:val="nil"/>
            </w:tcBorders>
            <w:shd w:val="clear" w:color="auto" w:fill="auto"/>
            <w:vAlign w:val="center"/>
          </w:tcPr>
          <w:p w14:paraId="46FDC097">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rPr>
              <w:t>10</w:t>
            </w:r>
          </w:p>
        </w:tc>
        <w:tc>
          <w:tcPr>
            <w:tcW w:w="1225" w:type="dxa"/>
            <w:tcBorders>
              <w:tl2br w:val="nil"/>
              <w:tr2bl w:val="nil"/>
            </w:tcBorders>
            <w:shd w:val="clear" w:color="auto" w:fill="auto"/>
            <w:vAlign w:val="center"/>
          </w:tcPr>
          <w:p w14:paraId="36EC995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定额标准内</w:t>
            </w:r>
          </w:p>
        </w:tc>
        <w:tc>
          <w:tcPr>
            <w:tcW w:w="1204" w:type="dxa"/>
            <w:tcBorders>
              <w:tl2br w:val="nil"/>
              <w:tr2bl w:val="nil"/>
            </w:tcBorders>
            <w:shd w:val="clear" w:color="auto" w:fill="auto"/>
            <w:vAlign w:val="center"/>
          </w:tcPr>
          <w:p w14:paraId="3A60B03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定额标准内</w:t>
            </w:r>
          </w:p>
        </w:tc>
        <w:tc>
          <w:tcPr>
            <w:tcW w:w="946" w:type="dxa"/>
            <w:tcBorders>
              <w:tl2br w:val="nil"/>
              <w:tr2bl w:val="nil"/>
            </w:tcBorders>
            <w:shd w:val="clear" w:color="auto" w:fill="auto"/>
            <w:vAlign w:val="center"/>
          </w:tcPr>
          <w:p w14:paraId="14E04BB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w:t>
            </w:r>
          </w:p>
        </w:tc>
        <w:tc>
          <w:tcPr>
            <w:tcW w:w="1110" w:type="dxa"/>
            <w:tcBorders>
              <w:tl2br w:val="nil"/>
              <w:tr2bl w:val="nil"/>
            </w:tcBorders>
            <w:shd w:val="clear" w:color="auto" w:fill="auto"/>
            <w:vAlign w:val="center"/>
          </w:tcPr>
          <w:p w14:paraId="3F4C257A">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64D17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5335DE3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4FE93922">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10</w:t>
            </w:r>
          </w:p>
        </w:tc>
        <w:tc>
          <w:tcPr>
            <w:tcW w:w="1225" w:type="dxa"/>
            <w:tcBorders>
              <w:tl2br w:val="nil"/>
              <w:tr2bl w:val="nil"/>
            </w:tcBorders>
            <w:shd w:val="clear" w:color="auto" w:fill="BDD6EE" w:themeFill="accent1" w:themeFillTint="66"/>
            <w:vAlign w:val="center"/>
          </w:tcPr>
          <w:p w14:paraId="14B47C0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204" w:type="dxa"/>
            <w:tcBorders>
              <w:tl2br w:val="nil"/>
              <w:tr2bl w:val="nil"/>
            </w:tcBorders>
            <w:shd w:val="clear" w:color="auto" w:fill="BDD6EE" w:themeFill="accent1" w:themeFillTint="66"/>
            <w:vAlign w:val="center"/>
          </w:tcPr>
          <w:p w14:paraId="60337938">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46" w:type="dxa"/>
            <w:tcBorders>
              <w:tl2br w:val="nil"/>
              <w:tr2bl w:val="nil"/>
            </w:tcBorders>
            <w:shd w:val="clear" w:color="auto" w:fill="BDD6EE" w:themeFill="accent1" w:themeFillTint="66"/>
            <w:vAlign w:val="center"/>
          </w:tcPr>
          <w:p w14:paraId="26E80856">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10</w:t>
            </w:r>
          </w:p>
        </w:tc>
        <w:tc>
          <w:tcPr>
            <w:tcW w:w="1110" w:type="dxa"/>
            <w:tcBorders>
              <w:tl2br w:val="nil"/>
              <w:tr2bl w:val="nil"/>
            </w:tcBorders>
            <w:shd w:val="clear" w:color="auto" w:fill="BDD6EE" w:themeFill="accent1" w:themeFillTint="66"/>
            <w:vAlign w:val="center"/>
          </w:tcPr>
          <w:p w14:paraId="6C3391F2">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6B0D419E">
      <w:pPr>
        <w:pStyle w:val="9"/>
        <w:numPr>
          <w:ilvl w:val="0"/>
          <w:numId w:val="0"/>
        </w:numPr>
        <w:overflowPunct w:val="0"/>
        <w:spacing w:line="560" w:lineRule="exact"/>
        <w:ind w:firstLine="640" w:firstLineChars="200"/>
        <w:outlineLvl w:val="1"/>
        <w:rPr>
          <w:rFonts w:hint="eastAsia" w:ascii="仿宋_GB2312" w:hAnsi="仿宋_GB2312" w:eastAsia="仿宋_GB2312" w:cs="仿宋_GB2312"/>
          <w:kern w:val="2"/>
          <w:sz w:val="32"/>
          <w:szCs w:val="32"/>
          <w:highlight w:val="none"/>
          <w:lang w:val="en-US" w:eastAsia="zh-CN" w:bidi="ar-SA"/>
        </w:rPr>
      </w:pPr>
      <w:bookmarkStart w:id="141" w:name="_Toc32712"/>
      <w:r>
        <w:rPr>
          <w:rFonts w:hint="eastAsia" w:ascii="仿宋_GB2312" w:hAnsi="仿宋_GB2312" w:eastAsia="仿宋_GB2312" w:cs="仿宋_GB2312"/>
          <w:kern w:val="2"/>
          <w:sz w:val="32"/>
          <w:szCs w:val="32"/>
          <w:highlight w:val="none"/>
          <w:lang w:val="en-US" w:eastAsia="zh-CN" w:bidi="ar-SA"/>
        </w:rPr>
        <w:t>成本控制情况：甘肃省高级人民</w:t>
      </w:r>
      <w:r>
        <w:rPr>
          <w:rFonts w:hint="eastAsia" w:ascii="仿宋_GB2312" w:hAnsi="仿宋_GB2312" w:cs="仿宋_GB2312"/>
          <w:kern w:val="2"/>
          <w:sz w:val="32"/>
          <w:szCs w:val="32"/>
          <w:highlight w:val="none"/>
          <w:lang w:val="en-US" w:eastAsia="zh-CN" w:bidi="ar-SA"/>
        </w:rPr>
        <w:t>法院及全省中、基层法院</w:t>
      </w:r>
      <w:r>
        <w:rPr>
          <w:rFonts w:hint="eastAsia" w:ascii="仿宋_GB2312" w:hAnsi="仿宋_GB2312" w:eastAsia="仿宋_GB2312" w:cs="仿宋_GB2312"/>
          <w:kern w:val="2"/>
          <w:sz w:val="32"/>
          <w:szCs w:val="32"/>
          <w:highlight w:val="none"/>
          <w:lang w:val="en-US" w:eastAsia="zh-CN" w:bidi="ar-SA"/>
        </w:rPr>
        <w:t>积极响应国家相关政策，坚持节约资金的原则，严格控制项目预算金额，提高服务质量水平的同时，降低成本开支，成本控制率</w:t>
      </w:r>
      <w:r>
        <w:rPr>
          <w:rFonts w:hint="eastAsia" w:ascii="仿宋_GB2312" w:hAnsi="仿宋_GB2312" w:cs="仿宋_GB2312"/>
          <w:kern w:val="2"/>
          <w:sz w:val="32"/>
          <w:szCs w:val="32"/>
          <w:highlight w:val="none"/>
          <w:lang w:val="en-US" w:eastAsia="zh-CN" w:bidi="ar-SA"/>
        </w:rPr>
        <w:t>为</w:t>
      </w:r>
      <w:r>
        <w:rPr>
          <w:rFonts w:hint="eastAsia" w:ascii="仿宋_GB2312" w:hAnsi="仿宋_GB2312" w:eastAsia="仿宋_GB2312" w:cs="仿宋_GB2312"/>
          <w:kern w:val="2"/>
          <w:sz w:val="32"/>
          <w:szCs w:val="32"/>
          <w:highlight w:val="none"/>
          <w:lang w:val="en-US" w:eastAsia="zh-CN" w:bidi="ar-SA"/>
        </w:rPr>
        <w:t>100</w:t>
      </w:r>
      <w:r>
        <w:rPr>
          <w:rFonts w:hint="eastAsia" w:ascii="仿宋_GB2312" w:hAnsi="仿宋_GB2312" w:cs="仿宋_GB2312"/>
          <w:kern w:val="2"/>
          <w:sz w:val="32"/>
          <w:szCs w:val="32"/>
          <w:highlight w:val="none"/>
          <w:lang w:val="en-US" w:eastAsia="zh-CN" w:bidi="ar-SA"/>
        </w:rPr>
        <w:t>.00</w:t>
      </w:r>
      <w:r>
        <w:rPr>
          <w:rFonts w:hint="eastAsia" w:ascii="仿宋_GB2312" w:hAnsi="仿宋_GB2312" w:eastAsia="仿宋_GB2312" w:cs="仿宋_GB2312"/>
          <w:kern w:val="2"/>
          <w:sz w:val="32"/>
          <w:szCs w:val="32"/>
          <w:highlight w:val="none"/>
          <w:lang w:val="en-US" w:eastAsia="zh-CN" w:bidi="ar-SA"/>
        </w:rPr>
        <w:t>%。</w:t>
      </w:r>
      <w:bookmarkEnd w:id="141"/>
    </w:p>
    <w:p w14:paraId="55829EB9">
      <w:pPr>
        <w:pStyle w:val="9"/>
        <w:numPr>
          <w:ilvl w:val="0"/>
          <w:numId w:val="0"/>
        </w:numPr>
        <w:overflowPunct w:val="0"/>
        <w:spacing w:line="560" w:lineRule="exact"/>
        <w:ind w:firstLine="643" w:firstLineChars="200"/>
        <w:outlineLvl w:val="1"/>
        <w:rPr>
          <w:rFonts w:hint="eastAsia" w:ascii="楷体" w:hAnsi="楷体" w:eastAsia="楷体" w:cs="楷体"/>
          <w:b/>
          <w:bCs/>
          <w:highlight w:val="yellow"/>
        </w:rPr>
      </w:pPr>
      <w:bookmarkStart w:id="142" w:name="_Toc6043"/>
      <w:r>
        <w:rPr>
          <w:rFonts w:hint="eastAsia" w:ascii="楷体" w:hAnsi="楷体" w:eastAsia="楷体" w:cs="楷体"/>
          <w:b/>
          <w:bCs/>
          <w:kern w:val="2"/>
          <w:sz w:val="32"/>
          <w:szCs w:val="32"/>
          <w:lang w:val="en-US" w:eastAsia="zh-CN" w:bidi="ar-SA"/>
        </w:rPr>
        <w:t>（四）</w:t>
      </w:r>
      <w:r>
        <w:rPr>
          <w:rFonts w:hint="eastAsia" w:ascii="楷体" w:hAnsi="楷体" w:eastAsia="楷体" w:cs="楷体"/>
          <w:b/>
          <w:bCs/>
          <w:highlight w:val="none"/>
          <w:lang w:val="en-US" w:eastAsia="zh-CN"/>
        </w:rPr>
        <w:t>项目</w:t>
      </w:r>
      <w:r>
        <w:rPr>
          <w:rFonts w:hint="eastAsia" w:ascii="楷体" w:hAnsi="楷体" w:eastAsia="楷体" w:cs="楷体"/>
          <w:b/>
          <w:bCs/>
          <w:highlight w:val="none"/>
        </w:rPr>
        <w:t>产出情况</w:t>
      </w:r>
      <w:bookmarkEnd w:id="138"/>
      <w:bookmarkEnd w:id="139"/>
      <w:bookmarkEnd w:id="142"/>
    </w:p>
    <w:p w14:paraId="3D09CE35">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项目产出指标包括产出数量、产出质量、产出时效</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个二级指标，指标分值</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29.67</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98.90</w:t>
      </w:r>
      <w:r>
        <w:rPr>
          <w:rFonts w:hint="eastAsia" w:ascii="仿宋_GB2312" w:hAnsi="仿宋_GB2312" w:eastAsia="仿宋_GB2312" w:cs="仿宋_GB2312"/>
          <w:sz w:val="32"/>
          <w:szCs w:val="32"/>
          <w:highlight w:val="none"/>
        </w:rPr>
        <w:t>%。</w:t>
      </w:r>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370F6FD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3EE2EFF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6676C65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6C1A170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5978C07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3CF4F9A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0EDDE4A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55E4714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53D9B14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05453DF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217" w:type="dxa"/>
            <w:tcBorders>
              <w:tl2br w:val="nil"/>
              <w:tr2bl w:val="nil"/>
            </w:tcBorders>
            <w:shd w:val="clear" w:color="auto" w:fill="auto"/>
            <w:vAlign w:val="center"/>
          </w:tcPr>
          <w:p w14:paraId="0D86E329">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全省法院执行案件结案率</w:t>
            </w:r>
          </w:p>
        </w:tc>
        <w:tc>
          <w:tcPr>
            <w:tcW w:w="831" w:type="dxa"/>
            <w:tcBorders>
              <w:tl2br w:val="nil"/>
              <w:tr2bl w:val="nil"/>
            </w:tcBorders>
            <w:shd w:val="clear" w:color="auto" w:fill="auto"/>
            <w:vAlign w:val="center"/>
          </w:tcPr>
          <w:p w14:paraId="24C09A5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74A88D3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&gt;=85%</w:t>
            </w:r>
          </w:p>
        </w:tc>
        <w:tc>
          <w:tcPr>
            <w:tcW w:w="1204" w:type="dxa"/>
            <w:tcBorders>
              <w:tl2br w:val="nil"/>
              <w:tr2bl w:val="nil"/>
            </w:tcBorders>
            <w:shd w:val="clear" w:color="auto" w:fill="auto"/>
            <w:vAlign w:val="center"/>
          </w:tcPr>
          <w:p w14:paraId="3923A92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89.19%</w:t>
            </w:r>
          </w:p>
        </w:tc>
        <w:tc>
          <w:tcPr>
            <w:tcW w:w="946" w:type="dxa"/>
            <w:tcBorders>
              <w:tl2br w:val="nil"/>
              <w:tr2bl w:val="nil"/>
            </w:tcBorders>
            <w:shd w:val="clear" w:color="auto" w:fill="auto"/>
            <w:vAlign w:val="center"/>
          </w:tcPr>
          <w:p w14:paraId="7B22137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6CBFDCA1">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07D2834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2B3C5286">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23BFDBF6">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全省法院行政案件结案率</w:t>
            </w:r>
          </w:p>
        </w:tc>
        <w:tc>
          <w:tcPr>
            <w:tcW w:w="831" w:type="dxa"/>
            <w:tcBorders>
              <w:tl2br w:val="nil"/>
              <w:tr2bl w:val="nil"/>
            </w:tcBorders>
            <w:shd w:val="clear" w:color="auto" w:fill="auto"/>
            <w:vAlign w:val="center"/>
          </w:tcPr>
          <w:p w14:paraId="20118C3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55C3693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&gt;=90%</w:t>
            </w:r>
          </w:p>
        </w:tc>
        <w:tc>
          <w:tcPr>
            <w:tcW w:w="1204" w:type="dxa"/>
            <w:tcBorders>
              <w:tl2br w:val="nil"/>
              <w:tr2bl w:val="nil"/>
            </w:tcBorders>
            <w:shd w:val="clear" w:color="auto" w:fill="auto"/>
            <w:vAlign w:val="center"/>
          </w:tcPr>
          <w:p w14:paraId="02109EB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97.05%</w:t>
            </w:r>
          </w:p>
        </w:tc>
        <w:tc>
          <w:tcPr>
            <w:tcW w:w="946" w:type="dxa"/>
            <w:tcBorders>
              <w:tl2br w:val="nil"/>
              <w:tr2bl w:val="nil"/>
            </w:tcBorders>
            <w:shd w:val="clear" w:color="auto" w:fill="auto"/>
            <w:vAlign w:val="center"/>
          </w:tcPr>
          <w:p w14:paraId="3693955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363E27F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3B4355E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74FFA40B">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0FD43AAF">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全省法院刑事案件结案率</w:t>
            </w:r>
          </w:p>
        </w:tc>
        <w:tc>
          <w:tcPr>
            <w:tcW w:w="831" w:type="dxa"/>
            <w:tcBorders>
              <w:tl2br w:val="nil"/>
              <w:tr2bl w:val="nil"/>
            </w:tcBorders>
            <w:shd w:val="clear" w:color="auto" w:fill="auto"/>
            <w:vAlign w:val="center"/>
          </w:tcPr>
          <w:p w14:paraId="732F09D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52BF872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&gt;=90%</w:t>
            </w:r>
          </w:p>
        </w:tc>
        <w:tc>
          <w:tcPr>
            <w:tcW w:w="1204" w:type="dxa"/>
            <w:tcBorders>
              <w:tl2br w:val="nil"/>
              <w:tr2bl w:val="nil"/>
            </w:tcBorders>
            <w:shd w:val="clear" w:color="auto" w:fill="auto"/>
            <w:vAlign w:val="center"/>
          </w:tcPr>
          <w:p w14:paraId="06FFF6B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95.74%</w:t>
            </w:r>
          </w:p>
        </w:tc>
        <w:tc>
          <w:tcPr>
            <w:tcW w:w="946" w:type="dxa"/>
            <w:tcBorders>
              <w:tl2br w:val="nil"/>
              <w:tr2bl w:val="nil"/>
            </w:tcBorders>
            <w:shd w:val="clear" w:color="auto" w:fill="auto"/>
            <w:vAlign w:val="center"/>
          </w:tcPr>
          <w:p w14:paraId="34A31F1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5F1AD7AF">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1250D22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40AA6106">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38298264">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全省法院民商事案件结案率</w:t>
            </w:r>
          </w:p>
        </w:tc>
        <w:tc>
          <w:tcPr>
            <w:tcW w:w="831" w:type="dxa"/>
            <w:tcBorders>
              <w:tl2br w:val="nil"/>
              <w:tr2bl w:val="nil"/>
            </w:tcBorders>
            <w:shd w:val="clear" w:color="auto" w:fill="auto"/>
            <w:vAlign w:val="center"/>
          </w:tcPr>
          <w:p w14:paraId="1C3882F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6B3D921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&gt;=90%</w:t>
            </w:r>
          </w:p>
        </w:tc>
        <w:tc>
          <w:tcPr>
            <w:tcW w:w="1204" w:type="dxa"/>
            <w:tcBorders>
              <w:tl2br w:val="nil"/>
              <w:tr2bl w:val="nil"/>
            </w:tcBorders>
            <w:shd w:val="clear" w:color="auto" w:fill="auto"/>
            <w:vAlign w:val="center"/>
          </w:tcPr>
          <w:p w14:paraId="0C85A3D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92.16%</w:t>
            </w:r>
          </w:p>
        </w:tc>
        <w:tc>
          <w:tcPr>
            <w:tcW w:w="946" w:type="dxa"/>
            <w:tcBorders>
              <w:tl2br w:val="nil"/>
              <w:tr2bl w:val="nil"/>
            </w:tcBorders>
            <w:shd w:val="clear" w:color="auto" w:fill="auto"/>
            <w:vAlign w:val="center"/>
          </w:tcPr>
          <w:p w14:paraId="2538E79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566EF81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7B98E3B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502CEA1B">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0B30D9E8">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保障法院数</w:t>
            </w:r>
          </w:p>
        </w:tc>
        <w:tc>
          <w:tcPr>
            <w:tcW w:w="831" w:type="dxa"/>
            <w:tcBorders>
              <w:tl2br w:val="nil"/>
              <w:tr2bl w:val="nil"/>
            </w:tcBorders>
            <w:shd w:val="clear" w:color="auto" w:fill="auto"/>
            <w:vAlign w:val="center"/>
          </w:tcPr>
          <w:p w14:paraId="249AD6A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23291D3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=115家</w:t>
            </w:r>
          </w:p>
        </w:tc>
        <w:tc>
          <w:tcPr>
            <w:tcW w:w="1204" w:type="dxa"/>
            <w:tcBorders>
              <w:tl2br w:val="nil"/>
              <w:tr2bl w:val="nil"/>
            </w:tcBorders>
            <w:shd w:val="clear" w:color="auto" w:fill="auto"/>
            <w:vAlign w:val="center"/>
          </w:tcPr>
          <w:p w14:paraId="61368A0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115家</w:t>
            </w:r>
          </w:p>
        </w:tc>
        <w:tc>
          <w:tcPr>
            <w:tcW w:w="946" w:type="dxa"/>
            <w:tcBorders>
              <w:tl2br w:val="nil"/>
              <w:tr2bl w:val="nil"/>
            </w:tcBorders>
            <w:shd w:val="clear" w:color="auto" w:fill="auto"/>
            <w:vAlign w:val="center"/>
          </w:tcPr>
          <w:p w14:paraId="3709BF58">
            <w:pPr>
              <w:keepNext w:val="0"/>
              <w:keepLines w:val="0"/>
              <w:widowControl/>
              <w:suppressLineNumbers w:val="0"/>
              <w:jc w:val="center"/>
              <w:textAlignment w:val="center"/>
              <w:rPr>
                <w:rFonts w:hint="eastAsia"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59B5DF54">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1883AD8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4C96E99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217" w:type="dxa"/>
            <w:tcBorders>
              <w:tl2br w:val="nil"/>
              <w:tr2bl w:val="nil"/>
            </w:tcBorders>
            <w:shd w:val="clear" w:color="auto" w:fill="auto"/>
            <w:vAlign w:val="center"/>
          </w:tcPr>
          <w:p w14:paraId="46CECC40">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一审服判息诉率</w:t>
            </w:r>
          </w:p>
        </w:tc>
        <w:tc>
          <w:tcPr>
            <w:tcW w:w="831" w:type="dxa"/>
            <w:tcBorders>
              <w:tl2br w:val="nil"/>
              <w:tr2bl w:val="nil"/>
            </w:tcBorders>
            <w:shd w:val="clear" w:color="auto" w:fill="auto"/>
            <w:vAlign w:val="center"/>
          </w:tcPr>
          <w:p w14:paraId="5BEBE59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5532A38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&gt;=90%</w:t>
            </w:r>
          </w:p>
        </w:tc>
        <w:tc>
          <w:tcPr>
            <w:tcW w:w="1204" w:type="dxa"/>
            <w:tcBorders>
              <w:tl2br w:val="nil"/>
              <w:tr2bl w:val="nil"/>
            </w:tcBorders>
            <w:shd w:val="clear" w:color="auto" w:fill="auto"/>
            <w:vAlign w:val="center"/>
          </w:tcPr>
          <w:p w14:paraId="3BD097A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87.79%</w:t>
            </w:r>
          </w:p>
        </w:tc>
        <w:tc>
          <w:tcPr>
            <w:tcW w:w="946" w:type="dxa"/>
            <w:tcBorders>
              <w:tl2br w:val="nil"/>
              <w:tr2bl w:val="nil"/>
            </w:tcBorders>
            <w:shd w:val="clear" w:color="auto" w:fill="auto"/>
            <w:vAlign w:val="center"/>
          </w:tcPr>
          <w:p w14:paraId="57F805F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2.67</w:t>
            </w:r>
          </w:p>
        </w:tc>
        <w:tc>
          <w:tcPr>
            <w:tcW w:w="1110" w:type="dxa"/>
            <w:tcBorders>
              <w:tl2br w:val="nil"/>
              <w:tr2bl w:val="nil"/>
            </w:tcBorders>
            <w:shd w:val="clear" w:color="auto" w:fill="auto"/>
            <w:vAlign w:val="center"/>
          </w:tcPr>
          <w:p w14:paraId="52880B49">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89.00%</w:t>
            </w:r>
          </w:p>
        </w:tc>
      </w:tr>
      <w:tr w14:paraId="2D2E875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7D94F7ED">
            <w:pPr>
              <w:jc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239D37DD">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信息化运维服务完成率</w:t>
            </w:r>
          </w:p>
        </w:tc>
        <w:tc>
          <w:tcPr>
            <w:tcW w:w="831" w:type="dxa"/>
            <w:tcBorders>
              <w:tl2br w:val="nil"/>
              <w:tr2bl w:val="nil"/>
            </w:tcBorders>
            <w:shd w:val="clear" w:color="auto" w:fill="auto"/>
            <w:vAlign w:val="center"/>
          </w:tcPr>
          <w:p w14:paraId="0A60F08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55DECF5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04" w:type="dxa"/>
            <w:tcBorders>
              <w:tl2br w:val="nil"/>
              <w:tr2bl w:val="nil"/>
            </w:tcBorders>
            <w:shd w:val="clear" w:color="auto" w:fill="auto"/>
            <w:vAlign w:val="center"/>
          </w:tcPr>
          <w:p w14:paraId="7BF6460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w:t>
            </w:r>
          </w:p>
        </w:tc>
        <w:tc>
          <w:tcPr>
            <w:tcW w:w="946" w:type="dxa"/>
            <w:tcBorders>
              <w:tl2br w:val="nil"/>
              <w:tr2bl w:val="nil"/>
            </w:tcBorders>
            <w:shd w:val="clear" w:color="auto" w:fill="auto"/>
            <w:vAlign w:val="center"/>
          </w:tcPr>
          <w:p w14:paraId="51EAC6A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17B324E5">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9D99C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60FE7BB8">
            <w:pPr>
              <w:jc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46BE368C">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维修维护项目完成率</w:t>
            </w:r>
          </w:p>
        </w:tc>
        <w:tc>
          <w:tcPr>
            <w:tcW w:w="831" w:type="dxa"/>
            <w:tcBorders>
              <w:tl2br w:val="nil"/>
              <w:tr2bl w:val="nil"/>
            </w:tcBorders>
            <w:shd w:val="clear" w:color="auto" w:fill="auto"/>
            <w:vAlign w:val="center"/>
          </w:tcPr>
          <w:p w14:paraId="33ABDFA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5" w:type="dxa"/>
            <w:tcBorders>
              <w:tl2br w:val="nil"/>
              <w:tr2bl w:val="nil"/>
            </w:tcBorders>
            <w:shd w:val="clear" w:color="auto" w:fill="auto"/>
            <w:vAlign w:val="center"/>
          </w:tcPr>
          <w:p w14:paraId="65897CF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04" w:type="dxa"/>
            <w:tcBorders>
              <w:tl2br w:val="nil"/>
              <w:tr2bl w:val="nil"/>
            </w:tcBorders>
            <w:shd w:val="clear" w:color="auto" w:fill="auto"/>
            <w:vAlign w:val="center"/>
          </w:tcPr>
          <w:p w14:paraId="5FAC489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w:t>
            </w:r>
          </w:p>
        </w:tc>
        <w:tc>
          <w:tcPr>
            <w:tcW w:w="946" w:type="dxa"/>
            <w:tcBorders>
              <w:tl2br w:val="nil"/>
              <w:tr2bl w:val="nil"/>
            </w:tcBorders>
            <w:shd w:val="clear" w:color="auto" w:fill="auto"/>
            <w:vAlign w:val="center"/>
          </w:tcPr>
          <w:p w14:paraId="39566EA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110" w:type="dxa"/>
            <w:tcBorders>
              <w:tl2br w:val="nil"/>
              <w:tr2bl w:val="nil"/>
            </w:tcBorders>
            <w:shd w:val="clear" w:color="auto" w:fill="auto"/>
            <w:vAlign w:val="center"/>
          </w:tcPr>
          <w:p w14:paraId="657305B2">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2805FC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7697F6D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217" w:type="dxa"/>
            <w:tcBorders>
              <w:tl2br w:val="nil"/>
              <w:tr2bl w:val="nil"/>
            </w:tcBorders>
            <w:shd w:val="clear" w:color="auto" w:fill="auto"/>
            <w:vAlign w:val="center"/>
          </w:tcPr>
          <w:p w14:paraId="407C0D1A">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办案经费支付及时率</w:t>
            </w:r>
          </w:p>
        </w:tc>
        <w:tc>
          <w:tcPr>
            <w:tcW w:w="831" w:type="dxa"/>
            <w:tcBorders>
              <w:tl2br w:val="nil"/>
              <w:tr2bl w:val="nil"/>
            </w:tcBorders>
            <w:shd w:val="clear" w:color="auto" w:fill="auto"/>
            <w:vAlign w:val="center"/>
          </w:tcPr>
          <w:p w14:paraId="2923EC8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5" w:type="dxa"/>
            <w:tcBorders>
              <w:tl2br w:val="nil"/>
              <w:tr2bl w:val="nil"/>
            </w:tcBorders>
            <w:shd w:val="clear" w:color="auto" w:fill="auto"/>
            <w:vAlign w:val="center"/>
          </w:tcPr>
          <w:p w14:paraId="794DFA4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w:t>
            </w:r>
          </w:p>
        </w:tc>
        <w:tc>
          <w:tcPr>
            <w:tcW w:w="1204" w:type="dxa"/>
            <w:tcBorders>
              <w:tl2br w:val="nil"/>
              <w:tr2bl w:val="nil"/>
            </w:tcBorders>
            <w:shd w:val="clear" w:color="auto" w:fill="auto"/>
            <w:vAlign w:val="center"/>
          </w:tcPr>
          <w:p w14:paraId="3A975EC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w:t>
            </w:r>
          </w:p>
        </w:tc>
        <w:tc>
          <w:tcPr>
            <w:tcW w:w="946" w:type="dxa"/>
            <w:tcBorders>
              <w:tl2br w:val="nil"/>
              <w:tr2bl w:val="nil"/>
            </w:tcBorders>
            <w:shd w:val="clear" w:color="auto" w:fill="auto"/>
            <w:vAlign w:val="center"/>
          </w:tcPr>
          <w:p w14:paraId="0A2CB72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110" w:type="dxa"/>
            <w:tcBorders>
              <w:tl2br w:val="nil"/>
              <w:tr2bl w:val="nil"/>
            </w:tcBorders>
            <w:shd w:val="clear" w:color="auto" w:fill="auto"/>
            <w:vAlign w:val="center"/>
          </w:tcPr>
          <w:p w14:paraId="52797AC4">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6B380B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4DBD8C1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743BFB26">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信息化运维工作及时性</w:t>
            </w:r>
          </w:p>
        </w:tc>
        <w:tc>
          <w:tcPr>
            <w:tcW w:w="831" w:type="dxa"/>
            <w:tcBorders>
              <w:tl2br w:val="nil"/>
              <w:tr2bl w:val="nil"/>
            </w:tcBorders>
            <w:shd w:val="clear" w:color="auto" w:fill="auto"/>
            <w:vAlign w:val="center"/>
          </w:tcPr>
          <w:p w14:paraId="45B5C23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5" w:type="dxa"/>
            <w:tcBorders>
              <w:tl2br w:val="nil"/>
              <w:tr2bl w:val="nil"/>
            </w:tcBorders>
            <w:shd w:val="clear" w:color="auto" w:fill="auto"/>
            <w:vAlign w:val="center"/>
          </w:tcPr>
          <w:p w14:paraId="676AD23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及时</w:t>
            </w:r>
          </w:p>
        </w:tc>
        <w:tc>
          <w:tcPr>
            <w:tcW w:w="1204" w:type="dxa"/>
            <w:tcBorders>
              <w:tl2br w:val="nil"/>
              <w:tr2bl w:val="nil"/>
            </w:tcBorders>
            <w:shd w:val="clear" w:color="auto" w:fill="auto"/>
            <w:vAlign w:val="center"/>
          </w:tcPr>
          <w:p w14:paraId="26C9FFA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及时</w:t>
            </w:r>
          </w:p>
        </w:tc>
        <w:tc>
          <w:tcPr>
            <w:tcW w:w="946" w:type="dxa"/>
            <w:tcBorders>
              <w:tl2br w:val="nil"/>
              <w:tr2bl w:val="nil"/>
            </w:tcBorders>
            <w:shd w:val="clear" w:color="auto" w:fill="auto"/>
            <w:vAlign w:val="center"/>
          </w:tcPr>
          <w:p w14:paraId="3FB6002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110" w:type="dxa"/>
            <w:tcBorders>
              <w:tl2br w:val="nil"/>
              <w:tr2bl w:val="nil"/>
            </w:tcBorders>
            <w:shd w:val="clear" w:color="auto" w:fill="auto"/>
            <w:vAlign w:val="center"/>
          </w:tcPr>
          <w:p w14:paraId="3B52F2F9">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1BB1EF7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5F8DE592">
            <w:pPr>
              <w:jc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7673000A">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维修修护及时性</w:t>
            </w:r>
          </w:p>
        </w:tc>
        <w:tc>
          <w:tcPr>
            <w:tcW w:w="831" w:type="dxa"/>
            <w:tcBorders>
              <w:tl2br w:val="nil"/>
              <w:tr2bl w:val="nil"/>
            </w:tcBorders>
            <w:shd w:val="clear" w:color="auto" w:fill="auto"/>
            <w:vAlign w:val="center"/>
          </w:tcPr>
          <w:p w14:paraId="3A0D162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225" w:type="dxa"/>
            <w:tcBorders>
              <w:tl2br w:val="nil"/>
              <w:tr2bl w:val="nil"/>
            </w:tcBorders>
            <w:shd w:val="clear" w:color="auto" w:fill="auto"/>
            <w:vAlign w:val="center"/>
          </w:tcPr>
          <w:p w14:paraId="620F906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及时</w:t>
            </w:r>
          </w:p>
        </w:tc>
        <w:tc>
          <w:tcPr>
            <w:tcW w:w="1204" w:type="dxa"/>
            <w:tcBorders>
              <w:tl2br w:val="nil"/>
              <w:tr2bl w:val="nil"/>
            </w:tcBorders>
            <w:shd w:val="clear" w:color="auto" w:fill="auto"/>
            <w:vAlign w:val="center"/>
          </w:tcPr>
          <w:p w14:paraId="7CFADB9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及时</w:t>
            </w:r>
          </w:p>
        </w:tc>
        <w:tc>
          <w:tcPr>
            <w:tcW w:w="946" w:type="dxa"/>
            <w:tcBorders>
              <w:tl2br w:val="nil"/>
              <w:tr2bl w:val="nil"/>
            </w:tcBorders>
            <w:shd w:val="clear" w:color="auto" w:fill="auto"/>
            <w:vAlign w:val="center"/>
          </w:tcPr>
          <w:p w14:paraId="56E44F4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w:t>
            </w:r>
          </w:p>
        </w:tc>
        <w:tc>
          <w:tcPr>
            <w:tcW w:w="1110" w:type="dxa"/>
            <w:tcBorders>
              <w:tl2br w:val="nil"/>
              <w:tr2bl w:val="nil"/>
            </w:tcBorders>
            <w:shd w:val="clear" w:color="auto" w:fill="auto"/>
            <w:vAlign w:val="center"/>
          </w:tcPr>
          <w:p w14:paraId="617B648C">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9BADCC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7C78AE7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5F585B94">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30</w:t>
            </w:r>
          </w:p>
        </w:tc>
        <w:tc>
          <w:tcPr>
            <w:tcW w:w="1225" w:type="dxa"/>
            <w:tcBorders>
              <w:tl2br w:val="nil"/>
              <w:tr2bl w:val="nil"/>
            </w:tcBorders>
            <w:shd w:val="clear" w:color="auto" w:fill="BDD6EE" w:themeFill="accent1" w:themeFillTint="66"/>
            <w:vAlign w:val="center"/>
          </w:tcPr>
          <w:p w14:paraId="1C5CE024">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w:t>
            </w:r>
          </w:p>
        </w:tc>
        <w:tc>
          <w:tcPr>
            <w:tcW w:w="1204" w:type="dxa"/>
            <w:tcBorders>
              <w:tl2br w:val="nil"/>
              <w:tr2bl w:val="nil"/>
            </w:tcBorders>
            <w:shd w:val="clear" w:color="auto" w:fill="BDD6EE" w:themeFill="accent1" w:themeFillTint="66"/>
            <w:vAlign w:val="center"/>
          </w:tcPr>
          <w:p w14:paraId="7ED93C84">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w:t>
            </w:r>
          </w:p>
        </w:tc>
        <w:tc>
          <w:tcPr>
            <w:tcW w:w="946" w:type="dxa"/>
            <w:tcBorders>
              <w:tl2br w:val="nil"/>
              <w:tr2bl w:val="nil"/>
            </w:tcBorders>
            <w:shd w:val="clear" w:color="auto" w:fill="BDD6EE" w:themeFill="accent1" w:themeFillTint="66"/>
            <w:vAlign w:val="center"/>
          </w:tcPr>
          <w:p w14:paraId="168ECF2B">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29.67</w:t>
            </w:r>
          </w:p>
        </w:tc>
        <w:tc>
          <w:tcPr>
            <w:tcW w:w="1110" w:type="dxa"/>
            <w:tcBorders>
              <w:tl2br w:val="nil"/>
              <w:tr2bl w:val="nil"/>
            </w:tcBorders>
            <w:shd w:val="clear" w:color="auto" w:fill="BDD6EE" w:themeFill="accent1" w:themeFillTint="66"/>
            <w:vAlign w:val="center"/>
          </w:tcPr>
          <w:p w14:paraId="3053C21E">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98.90%</w:t>
            </w:r>
          </w:p>
        </w:tc>
      </w:tr>
    </w:tbl>
    <w:p w14:paraId="288FD1B5">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14:paraId="1DEF6E6D">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2023年1至12月，全省法院共受理各类案件643522件，同比上升12.81%。新收案件573973件，结案601019件，未结案件42503件。</w:t>
      </w:r>
    </w:p>
    <w:p w14:paraId="089AFA4A">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2023年1至12月全省法院审判态势运行良好，其中结案率同比上升6.02个百分点，新收案件增加76672件，同比上升15.42%，结案数增加100583件，同比上升20.58%。未结案件减少29516件，同比显著下降，降幅达40.98%。</w:t>
      </w:r>
    </w:p>
    <w:p w14:paraId="51318072">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全省法院执行案件结案率：指标分值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85%，实际全省法院执行案件结案率89.19%</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4013EAA6">
      <w:pPr>
        <w:pStyle w:val="26"/>
        <w:overflowPunct w:val="0"/>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全省法院行政案件结案率：指标分值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90%，实际全省法院行政案件结案率97.05%。</w:t>
      </w:r>
    </w:p>
    <w:p w14:paraId="6AAE01DB">
      <w:pPr>
        <w:pStyle w:val="26"/>
        <w:overflowPunct w:val="0"/>
        <w:spacing w:line="560" w:lineRule="exact"/>
        <w:ind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全省法院刑事案件结案率：指标分值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90%，实际全省法院刑事案件结案率95.74%。</w:t>
      </w:r>
    </w:p>
    <w:p w14:paraId="1905E935">
      <w:pPr>
        <w:pStyle w:val="26"/>
        <w:overflowPunct w:val="0"/>
        <w:spacing w:line="560" w:lineRule="exact"/>
        <w:ind w:firstLine="64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全省法院民商事案件结案率：指标分值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90%，实际全省法院民商事案件结案率92.16%。</w:t>
      </w:r>
    </w:p>
    <w:p w14:paraId="5B76807C">
      <w:pPr>
        <w:autoSpaceDE w:val="0"/>
        <w:autoSpaceDN w:val="0"/>
        <w:spacing w:line="560" w:lineRule="exact"/>
        <w:ind w:firstLine="640" w:firstLineChars="200"/>
        <w:jc w:val="both"/>
        <w:rPr>
          <w:rFonts w:ascii="仿宋_GB2312" w:hAnsi="仿宋_GB2312" w:eastAsia="仿宋_GB2312" w:cs="仿宋_GB2312"/>
          <w:kern w:val="2"/>
          <w:sz w:val="32"/>
          <w:szCs w:val="24"/>
          <w:lang w:eastAsia="zh-CN"/>
        </w:rPr>
      </w:pPr>
      <w:r>
        <w:rPr>
          <w:rFonts w:hint="eastAsia" w:ascii="仿宋_GB2312" w:hAnsi="仿宋_GB2312" w:eastAsia="仿宋_GB2312" w:cs="仿宋_GB2312"/>
          <w:kern w:val="2"/>
          <w:sz w:val="32"/>
          <w:szCs w:val="24"/>
          <w:lang w:eastAsia="zh-CN"/>
        </w:rPr>
        <w:t>以下为统计各中级法院案件</w:t>
      </w:r>
      <w:r>
        <w:rPr>
          <w:rFonts w:hint="eastAsia" w:ascii="仿宋_GB2312" w:hAnsi="仿宋_GB2312" w:eastAsia="仿宋_GB2312" w:cs="仿宋_GB2312"/>
          <w:kern w:val="2"/>
          <w:sz w:val="32"/>
          <w:szCs w:val="24"/>
          <w:lang w:val="en-US" w:eastAsia="zh-CN"/>
        </w:rPr>
        <w:t>数量</w:t>
      </w:r>
      <w:r>
        <w:rPr>
          <w:rFonts w:hint="eastAsia" w:ascii="仿宋_GB2312" w:hAnsi="仿宋_GB2312" w:eastAsia="仿宋_GB2312" w:cs="仿宋_GB2312"/>
          <w:kern w:val="2"/>
          <w:sz w:val="32"/>
          <w:szCs w:val="24"/>
          <w:lang w:eastAsia="zh-CN"/>
        </w:rPr>
        <w:t>指标实际完成值：</w:t>
      </w:r>
    </w:p>
    <w:tbl>
      <w:tblPr>
        <w:tblStyle w:val="19"/>
        <w:tblW w:w="5087" w:type="pct"/>
        <w:tblInd w:w="0" w:type="dxa"/>
        <w:tblLayout w:type="autofit"/>
        <w:tblCellMar>
          <w:top w:w="0" w:type="dxa"/>
          <w:left w:w="108" w:type="dxa"/>
          <w:bottom w:w="0" w:type="dxa"/>
          <w:right w:w="108" w:type="dxa"/>
        </w:tblCellMar>
      </w:tblPr>
      <w:tblGrid>
        <w:gridCol w:w="3094"/>
        <w:gridCol w:w="1348"/>
        <w:gridCol w:w="1348"/>
        <w:gridCol w:w="1454"/>
        <w:gridCol w:w="1384"/>
      </w:tblGrid>
      <w:tr w14:paraId="53297187">
        <w:tblPrEx>
          <w:tblCellMar>
            <w:top w:w="0" w:type="dxa"/>
            <w:left w:w="108" w:type="dxa"/>
            <w:bottom w:w="0" w:type="dxa"/>
            <w:right w:w="108" w:type="dxa"/>
          </w:tblCellMar>
        </w:tblPrEx>
        <w:trPr>
          <w:trHeight w:val="397" w:hRule="atLeast"/>
          <w:tblHeader/>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0D14A3B">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法院名称</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4EB7B99">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刑事案件结案率</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8BBB114">
            <w:pPr>
              <w:spacing w:before="60"/>
              <w:ind w:left="180"/>
              <w:jc w:val="center"/>
              <w:rPr>
                <w:rFonts w:ascii="宋体" w:hAnsi="宋体" w:eastAsia="宋体" w:cs="宋体"/>
                <w:b/>
                <w:color w:val="000000"/>
                <w:lang w:eastAsia="zh-CN"/>
              </w:rPr>
            </w:pPr>
            <w:r>
              <w:rPr>
                <w:rFonts w:hint="eastAsia" w:ascii="宋体" w:hAnsi="宋体" w:eastAsia="宋体" w:cs="宋体"/>
                <w:b/>
                <w:color w:val="000000"/>
                <w:lang w:eastAsia="zh-CN"/>
              </w:rPr>
              <w:t>民商事案件结案率</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638CA2B">
            <w:pPr>
              <w:ind w:left="180"/>
              <w:jc w:val="center"/>
              <w:rPr>
                <w:rFonts w:ascii="宋体" w:hAnsi="宋体" w:eastAsia="宋体" w:cs="宋体"/>
                <w:b/>
                <w:color w:val="000000"/>
                <w:lang w:eastAsia="zh-CN"/>
              </w:rPr>
            </w:pPr>
            <w:r>
              <w:rPr>
                <w:rFonts w:hint="eastAsia" w:ascii="宋体" w:hAnsi="宋体" w:eastAsia="宋体" w:cs="宋体"/>
                <w:b/>
                <w:color w:val="000000"/>
                <w:lang w:eastAsia="zh-CN"/>
              </w:rPr>
              <w:t>执行案件结案率</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0FA3962">
            <w:pPr>
              <w:ind w:left="180"/>
              <w:jc w:val="center"/>
              <w:rPr>
                <w:rFonts w:hint="eastAsia" w:ascii="宋体" w:hAnsi="宋体" w:eastAsia="宋体" w:cs="宋体"/>
                <w:b/>
                <w:color w:val="000000"/>
                <w:lang w:eastAsia="zh-CN"/>
              </w:rPr>
            </w:pPr>
            <w:r>
              <w:rPr>
                <w:rFonts w:hint="eastAsia" w:ascii="宋体" w:hAnsi="宋体" w:eastAsia="宋体" w:cs="宋体"/>
                <w:b/>
                <w:color w:val="000000"/>
                <w:lang w:eastAsia="zh-CN"/>
              </w:rPr>
              <w:t>行政案件结案率</w:t>
            </w:r>
          </w:p>
        </w:tc>
      </w:tr>
      <w:tr w14:paraId="4554CFA6">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9CA0599">
            <w:pPr>
              <w:ind w:left="100" w:leftChars="0"/>
              <w:jc w:val="center"/>
              <w:rPr>
                <w:rFonts w:ascii="宋体" w:hAnsi="宋体" w:eastAsia="宋体" w:cs="宋体"/>
              </w:rPr>
            </w:pPr>
            <w:r>
              <w:rPr>
                <w:rFonts w:hint="eastAsia" w:ascii="宋体" w:hAnsi="宋体" w:eastAsia="宋体" w:cs="宋体"/>
                <w:highlight w:val="none"/>
                <w:lang w:val="en-US" w:eastAsia="zh-CN"/>
              </w:rPr>
              <w:t>甘肃省林区中级法院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D809637">
            <w:pPr>
              <w:widowControl w:val="0"/>
              <w:jc w:val="center"/>
              <w:rPr>
                <w:rFonts w:ascii="宋体" w:hAnsi="宋体" w:eastAsia="宋体" w:cs="宋体"/>
              </w:rPr>
            </w:pPr>
            <w:r>
              <w:rPr>
                <w:rFonts w:hint="eastAsia" w:ascii="宋体" w:hAnsi="宋体" w:eastAsia="宋体" w:cs="宋体"/>
              </w:rPr>
              <w:t>95%</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6C17D45">
            <w:pPr>
              <w:widowControl w:val="0"/>
              <w:jc w:val="center"/>
              <w:rPr>
                <w:rFonts w:ascii="宋体" w:hAnsi="宋体" w:eastAsia="宋体" w:cs="宋体"/>
                <w:lang w:eastAsia="zh-CN"/>
              </w:rPr>
            </w:pPr>
            <w:r>
              <w:rPr>
                <w:rFonts w:hint="eastAsia" w:ascii="宋体" w:hAnsi="宋体" w:eastAsia="宋体" w:cs="宋体"/>
                <w:lang w:eastAsia="zh-CN"/>
              </w:rPr>
              <w:t>96%</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FEC36B3">
            <w:pPr>
              <w:widowControl w:val="0"/>
              <w:jc w:val="center"/>
              <w:rPr>
                <w:rFonts w:ascii="宋体" w:hAnsi="宋体" w:eastAsia="宋体" w:cs="宋体"/>
              </w:rPr>
            </w:pPr>
            <w:r>
              <w:rPr>
                <w:rFonts w:hint="eastAsia" w:ascii="宋体" w:hAnsi="宋体" w:eastAsia="宋体" w:cs="宋体"/>
              </w:rPr>
              <w:t>98%</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C165F7">
            <w:pPr>
              <w:widowControl w:val="0"/>
              <w:jc w:val="center"/>
              <w:rPr>
                <w:rFonts w:hint="eastAsia" w:ascii="宋体" w:hAnsi="宋体" w:eastAsia="宋体" w:cs="宋体"/>
              </w:rPr>
            </w:pPr>
            <w:r>
              <w:rPr>
                <w:rFonts w:hint="eastAsia" w:ascii="宋体" w:hAnsi="宋体" w:eastAsia="宋体" w:cs="宋体"/>
              </w:rPr>
              <w:t>95%</w:t>
            </w:r>
          </w:p>
        </w:tc>
      </w:tr>
      <w:tr w14:paraId="43446D76">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8781610">
            <w:pPr>
              <w:ind w:left="100"/>
              <w:jc w:val="center"/>
              <w:rPr>
                <w:rFonts w:ascii="宋体" w:hAnsi="宋体" w:eastAsia="宋体" w:cs="宋体"/>
                <w:lang w:eastAsia="zh-CN"/>
              </w:rPr>
            </w:pPr>
            <w:r>
              <w:rPr>
                <w:rFonts w:hint="eastAsia" w:ascii="宋体" w:hAnsi="宋体" w:eastAsia="宋体" w:cs="宋体"/>
                <w:lang w:eastAsia="zh-CN"/>
              </w:rPr>
              <w:t>兰州铁路运输中级法院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B9A1246">
            <w:pPr>
              <w:widowControl w:val="0"/>
              <w:jc w:val="center"/>
              <w:rPr>
                <w:rFonts w:ascii="宋体" w:hAnsi="宋体" w:eastAsia="宋体" w:cs="宋体"/>
              </w:rPr>
            </w:pPr>
            <w:r>
              <w:rPr>
                <w:rFonts w:hint="eastAsia" w:ascii="宋体" w:hAnsi="宋体" w:eastAsia="宋体" w:cs="宋体"/>
              </w:rPr>
              <w:t>93.5%</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E1C5883">
            <w:pPr>
              <w:widowControl w:val="0"/>
              <w:jc w:val="center"/>
              <w:rPr>
                <w:rFonts w:ascii="宋体" w:hAnsi="宋体" w:eastAsia="宋体" w:cs="宋体"/>
                <w:lang w:eastAsia="zh-CN"/>
              </w:rPr>
            </w:pPr>
            <w:r>
              <w:rPr>
                <w:rFonts w:hint="eastAsia" w:ascii="宋体" w:hAnsi="宋体" w:eastAsia="宋体" w:cs="宋体"/>
                <w:lang w:eastAsia="zh-CN"/>
              </w:rPr>
              <w:t>92.29%</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CB7FEF2">
            <w:pPr>
              <w:widowControl w:val="0"/>
              <w:jc w:val="center"/>
              <w:rPr>
                <w:rFonts w:ascii="宋体" w:hAnsi="宋体" w:eastAsia="宋体" w:cs="宋体"/>
              </w:rPr>
            </w:pPr>
            <w:r>
              <w:rPr>
                <w:rFonts w:hint="eastAsia" w:ascii="宋体" w:hAnsi="宋体" w:eastAsia="宋体" w:cs="宋体"/>
              </w:rPr>
              <w:t>95.24%</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A953BCE">
            <w:pPr>
              <w:widowControl w:val="0"/>
              <w:jc w:val="center"/>
              <w:rPr>
                <w:rFonts w:hint="eastAsia" w:ascii="宋体" w:hAnsi="宋体" w:eastAsia="宋体" w:cs="宋体"/>
              </w:rPr>
            </w:pPr>
            <w:r>
              <w:rPr>
                <w:rFonts w:hint="eastAsia" w:ascii="宋体" w:hAnsi="宋体" w:eastAsia="宋体" w:cs="宋体"/>
              </w:rPr>
              <w:t>91.33%</w:t>
            </w:r>
          </w:p>
        </w:tc>
      </w:tr>
      <w:tr w14:paraId="43CE6174">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86678B2">
            <w:pPr>
              <w:ind w:left="100"/>
              <w:jc w:val="center"/>
              <w:rPr>
                <w:rFonts w:ascii="宋体" w:hAnsi="宋体" w:eastAsia="宋体" w:cs="宋体"/>
                <w:highlight w:val="none"/>
              </w:rPr>
            </w:pPr>
            <w:r>
              <w:rPr>
                <w:rFonts w:hint="eastAsia" w:ascii="宋体" w:hAnsi="宋体" w:eastAsia="宋体" w:cs="宋体"/>
                <w:highlight w:val="none"/>
              </w:rPr>
              <w:t>临夏州中级人民法院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F35AEE6">
            <w:pPr>
              <w:widowControl w:val="0"/>
              <w:jc w:val="center"/>
              <w:rPr>
                <w:rFonts w:ascii="宋体" w:hAnsi="宋体" w:eastAsia="宋体" w:cs="宋体"/>
                <w:lang w:eastAsia="zh-CN"/>
              </w:rPr>
            </w:pPr>
            <w:r>
              <w:rPr>
                <w:rFonts w:hint="eastAsia" w:ascii="宋体" w:hAnsi="宋体" w:eastAsia="宋体" w:cs="宋体"/>
                <w:lang w:eastAsia="zh-CN"/>
              </w:rPr>
              <w:t>90.72%</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1DEE6F7">
            <w:pPr>
              <w:widowControl w:val="0"/>
              <w:jc w:val="center"/>
              <w:rPr>
                <w:rFonts w:ascii="宋体" w:hAnsi="宋体" w:eastAsia="宋体" w:cs="宋体"/>
              </w:rPr>
            </w:pPr>
            <w:r>
              <w:rPr>
                <w:rFonts w:hint="eastAsia" w:ascii="宋体" w:hAnsi="宋体" w:eastAsia="宋体" w:cs="宋体"/>
                <w:lang w:eastAsia="zh-CN"/>
              </w:rPr>
              <w:t>82.08%</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B52C321">
            <w:pPr>
              <w:widowControl w:val="0"/>
              <w:jc w:val="center"/>
              <w:rPr>
                <w:rFonts w:ascii="宋体" w:hAnsi="宋体" w:eastAsia="宋体" w:cs="宋体"/>
                <w:lang w:eastAsia="zh-CN"/>
              </w:rPr>
            </w:pPr>
            <w:r>
              <w:rPr>
                <w:rFonts w:hint="eastAsia" w:ascii="宋体" w:hAnsi="宋体" w:eastAsia="宋体" w:cs="宋体"/>
                <w:lang w:eastAsia="zh-CN"/>
              </w:rPr>
              <w:t>97.86%</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00B4F07">
            <w:pPr>
              <w:widowControl w:val="0"/>
              <w:jc w:val="center"/>
              <w:rPr>
                <w:rFonts w:hint="eastAsia" w:ascii="宋体" w:hAnsi="宋体" w:eastAsia="宋体" w:cs="宋体"/>
                <w:lang w:eastAsia="zh-CN"/>
              </w:rPr>
            </w:pPr>
            <w:r>
              <w:rPr>
                <w:rFonts w:hint="eastAsia" w:ascii="宋体" w:hAnsi="宋体" w:eastAsia="宋体" w:cs="宋体"/>
                <w:lang w:eastAsia="zh-CN"/>
              </w:rPr>
              <w:t>86.92%</w:t>
            </w:r>
          </w:p>
        </w:tc>
      </w:tr>
      <w:tr w14:paraId="44949B5B">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83BC51A">
            <w:pPr>
              <w:ind w:left="100"/>
              <w:jc w:val="center"/>
              <w:rPr>
                <w:rFonts w:ascii="宋体" w:hAnsi="宋体" w:eastAsia="宋体" w:cs="宋体"/>
                <w:highlight w:val="none"/>
              </w:rPr>
            </w:pPr>
            <w:r>
              <w:rPr>
                <w:rFonts w:hint="eastAsia" w:ascii="宋体" w:hAnsi="宋体" w:eastAsia="宋体" w:cs="宋体"/>
                <w:highlight w:val="none"/>
              </w:rPr>
              <w:t>平凉市中级人民法院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189FEE1">
            <w:pPr>
              <w:widowControl w:val="0"/>
              <w:jc w:val="center"/>
              <w:rPr>
                <w:rFonts w:ascii="宋体" w:hAnsi="宋体" w:eastAsia="宋体" w:cs="宋体"/>
              </w:rPr>
            </w:pPr>
            <w:r>
              <w:rPr>
                <w:rFonts w:hint="eastAsia" w:ascii="宋体" w:hAnsi="宋体" w:eastAsia="宋体" w:cs="宋体"/>
              </w:rPr>
              <w:t>94.48%</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7B7366B">
            <w:pPr>
              <w:widowControl w:val="0"/>
              <w:jc w:val="center"/>
              <w:rPr>
                <w:rFonts w:ascii="宋体" w:hAnsi="宋体" w:eastAsia="宋体" w:cs="宋体"/>
                <w:lang w:eastAsia="zh-CN"/>
              </w:rPr>
            </w:pPr>
            <w:r>
              <w:rPr>
                <w:rFonts w:hint="eastAsia" w:ascii="宋体" w:hAnsi="宋体" w:eastAsia="宋体" w:cs="宋体"/>
                <w:lang w:eastAsia="zh-CN"/>
              </w:rPr>
              <w:t>93.45%</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048B72B">
            <w:pPr>
              <w:widowControl w:val="0"/>
              <w:jc w:val="center"/>
              <w:rPr>
                <w:rFonts w:ascii="宋体" w:hAnsi="宋体" w:eastAsia="宋体" w:cs="宋体"/>
              </w:rPr>
            </w:pPr>
            <w:r>
              <w:rPr>
                <w:rFonts w:hint="eastAsia" w:ascii="宋体" w:hAnsi="宋体" w:eastAsia="宋体" w:cs="宋体"/>
              </w:rPr>
              <w:t>93.85%</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5D4711E">
            <w:pPr>
              <w:widowControl w:val="0"/>
              <w:jc w:val="center"/>
              <w:rPr>
                <w:rFonts w:hint="eastAsia" w:ascii="宋体" w:hAnsi="宋体" w:eastAsia="宋体" w:cs="宋体"/>
              </w:rPr>
            </w:pPr>
            <w:r>
              <w:rPr>
                <w:rFonts w:hint="eastAsia" w:ascii="宋体" w:hAnsi="宋体" w:eastAsia="宋体" w:cs="宋体"/>
              </w:rPr>
              <w:t>93.24%</w:t>
            </w:r>
          </w:p>
        </w:tc>
      </w:tr>
      <w:tr w14:paraId="405677C9">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C4A9F1F">
            <w:pPr>
              <w:ind w:left="100"/>
              <w:jc w:val="center"/>
              <w:rPr>
                <w:rFonts w:ascii="宋体" w:hAnsi="宋体" w:eastAsia="宋体" w:cs="宋体"/>
                <w:highlight w:val="none"/>
              </w:rPr>
            </w:pPr>
            <w:r>
              <w:rPr>
                <w:rFonts w:hint="eastAsia" w:ascii="宋体" w:hAnsi="宋体" w:eastAsia="宋体" w:cs="宋体"/>
                <w:highlight w:val="none"/>
                <w:lang w:eastAsia="zh-CN"/>
              </w:rPr>
              <w:t>天水市中级人民法院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5A8D4C">
            <w:pPr>
              <w:widowControl w:val="0"/>
              <w:jc w:val="center"/>
              <w:rPr>
                <w:rFonts w:ascii="宋体" w:hAnsi="宋体" w:eastAsia="宋体" w:cs="宋体"/>
                <w:highlight w:val="none"/>
              </w:rPr>
            </w:pPr>
            <w:r>
              <w:rPr>
                <w:rFonts w:hint="eastAsia" w:ascii="宋体" w:hAnsi="宋体" w:eastAsia="宋体" w:cs="宋体"/>
                <w:highlight w:val="none"/>
              </w:rPr>
              <w:t>101.13%</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7CA2B02">
            <w:pPr>
              <w:widowControl w:val="0"/>
              <w:jc w:val="center"/>
              <w:rPr>
                <w:rFonts w:ascii="宋体" w:hAnsi="宋体" w:eastAsia="宋体" w:cs="宋体"/>
                <w:highlight w:val="none"/>
                <w:lang w:eastAsia="zh-CN"/>
              </w:rPr>
            </w:pPr>
            <w:r>
              <w:rPr>
                <w:rFonts w:hint="eastAsia" w:ascii="宋体" w:hAnsi="宋体" w:eastAsia="宋体" w:cs="宋体"/>
                <w:highlight w:val="none"/>
                <w:lang w:eastAsia="zh-CN"/>
              </w:rPr>
              <w:t>100.94%</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805B4F0">
            <w:pPr>
              <w:widowControl w:val="0"/>
              <w:jc w:val="center"/>
              <w:rPr>
                <w:rFonts w:ascii="宋体" w:hAnsi="宋体" w:eastAsia="宋体" w:cs="宋体"/>
                <w:highlight w:val="none"/>
              </w:rPr>
            </w:pPr>
            <w:r>
              <w:rPr>
                <w:rFonts w:hint="eastAsia" w:ascii="宋体" w:hAnsi="宋体" w:eastAsia="宋体" w:cs="宋体"/>
                <w:highlight w:val="none"/>
              </w:rPr>
              <w:t>93.1%</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EDB175F">
            <w:pPr>
              <w:widowControl w:val="0"/>
              <w:jc w:val="center"/>
              <w:rPr>
                <w:rFonts w:hint="eastAsia" w:ascii="宋体" w:hAnsi="宋体" w:eastAsia="宋体" w:cs="宋体"/>
                <w:highlight w:val="none"/>
              </w:rPr>
            </w:pPr>
            <w:r>
              <w:rPr>
                <w:rFonts w:hint="eastAsia" w:ascii="宋体" w:hAnsi="宋体" w:eastAsia="宋体" w:cs="宋体"/>
                <w:highlight w:val="none"/>
              </w:rPr>
              <w:t>112.68%</w:t>
            </w:r>
          </w:p>
        </w:tc>
      </w:tr>
      <w:tr w14:paraId="5885764D">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4B77F1B">
            <w:pPr>
              <w:ind w:left="10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白银市中级人民法院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E81F0F2">
            <w:pPr>
              <w:widowControl w:val="0"/>
              <w:jc w:val="center"/>
              <w:rPr>
                <w:rFonts w:hint="eastAsia" w:ascii="宋体" w:hAnsi="宋体" w:eastAsia="宋体" w:cs="宋体"/>
                <w:highlight w:val="none"/>
              </w:rPr>
            </w:pPr>
            <w:r>
              <w:rPr>
                <w:rFonts w:hint="eastAsia" w:ascii="宋体" w:hAnsi="宋体" w:eastAsia="宋体" w:cs="宋体"/>
                <w:highlight w:val="none"/>
              </w:rPr>
              <w:t>97.94%</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7644E3D">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98.28%</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B5A7722">
            <w:pPr>
              <w:widowControl w:val="0"/>
              <w:jc w:val="center"/>
              <w:rPr>
                <w:rFonts w:hint="eastAsia" w:ascii="宋体" w:hAnsi="宋体" w:eastAsia="宋体" w:cs="宋体"/>
                <w:highlight w:val="none"/>
              </w:rPr>
            </w:pPr>
            <w:r>
              <w:rPr>
                <w:rFonts w:hint="eastAsia" w:ascii="宋体" w:hAnsi="宋体" w:eastAsia="宋体" w:cs="宋体"/>
                <w:highlight w:val="none"/>
              </w:rPr>
              <w:t>96.94%</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B5856C">
            <w:pPr>
              <w:widowControl w:val="0"/>
              <w:jc w:val="center"/>
              <w:rPr>
                <w:rFonts w:hint="eastAsia" w:ascii="宋体" w:hAnsi="宋体" w:eastAsia="宋体" w:cs="宋体"/>
                <w:highlight w:val="none"/>
              </w:rPr>
            </w:pPr>
            <w:r>
              <w:rPr>
                <w:rFonts w:hint="eastAsia" w:ascii="宋体" w:hAnsi="宋体" w:eastAsia="宋体" w:cs="宋体"/>
                <w:highlight w:val="none"/>
              </w:rPr>
              <w:t>93.9%</w:t>
            </w:r>
          </w:p>
        </w:tc>
      </w:tr>
      <w:tr w14:paraId="47F4F291">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8710DEF">
            <w:pPr>
              <w:ind w:left="10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甘南藏族自治州中级人民法院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2CF5D4E">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rPr>
              <w:t>92.86</w:t>
            </w:r>
            <w:r>
              <w:rPr>
                <w:rFonts w:hint="eastAsia" w:ascii="宋体" w:hAnsi="宋体" w:eastAsia="宋体" w:cs="宋体"/>
                <w:highlight w:val="none"/>
                <w:lang w:val="en-US" w:eastAsia="zh-CN"/>
              </w:rPr>
              <w:t>%</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86BF889">
            <w:pPr>
              <w:widowControl w:val="0"/>
              <w:jc w:val="center"/>
              <w:rPr>
                <w:rFonts w:hint="default" w:ascii="宋体" w:hAnsi="宋体" w:eastAsia="宋体" w:cs="宋体"/>
                <w:highlight w:val="none"/>
                <w:lang w:val="en-US" w:eastAsia="zh-CN"/>
              </w:rPr>
            </w:pPr>
            <w:r>
              <w:rPr>
                <w:rFonts w:hint="eastAsia" w:ascii="宋体" w:hAnsi="宋体" w:eastAsia="宋体" w:cs="宋体"/>
                <w:highlight w:val="none"/>
                <w:lang w:eastAsia="zh-CN"/>
              </w:rPr>
              <w:t>88.76</w:t>
            </w:r>
            <w:r>
              <w:rPr>
                <w:rFonts w:hint="eastAsia" w:ascii="宋体" w:hAnsi="宋体" w:eastAsia="宋体" w:cs="宋体"/>
                <w:highlight w:val="none"/>
                <w:lang w:val="en-US" w:eastAsia="zh-CN"/>
              </w:rPr>
              <w:t>%</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379A66">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rPr>
              <w:t>98.82</w:t>
            </w:r>
            <w:r>
              <w:rPr>
                <w:rFonts w:hint="eastAsia" w:ascii="宋体" w:hAnsi="宋体" w:eastAsia="宋体" w:cs="宋体"/>
                <w:highlight w:val="none"/>
                <w:lang w:val="en-US" w:eastAsia="zh-CN"/>
              </w:rPr>
              <w:t>%</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1EAFF77">
            <w:pPr>
              <w:widowControl w:val="0"/>
              <w:jc w:val="center"/>
              <w:rPr>
                <w:rFonts w:hint="eastAsia" w:ascii="宋体" w:hAnsi="宋体" w:eastAsia="宋体" w:cs="宋体"/>
                <w:highlight w:val="none"/>
                <w:lang w:val="en-US" w:eastAsia="zh-CN"/>
              </w:rPr>
            </w:pPr>
            <w:r>
              <w:rPr>
                <w:rFonts w:hint="eastAsia" w:ascii="宋体" w:hAnsi="宋体" w:eastAsia="宋体" w:cs="宋体"/>
                <w:highlight w:val="none"/>
              </w:rPr>
              <w:t>94.87</w:t>
            </w:r>
            <w:r>
              <w:rPr>
                <w:rFonts w:hint="eastAsia" w:ascii="宋体" w:hAnsi="宋体" w:eastAsia="宋体" w:cs="宋体"/>
                <w:highlight w:val="none"/>
                <w:lang w:val="en-US" w:eastAsia="zh-CN"/>
              </w:rPr>
              <w:t>%</w:t>
            </w:r>
          </w:p>
        </w:tc>
      </w:tr>
      <w:tr w14:paraId="57DB8619">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932AFD7">
            <w:pPr>
              <w:ind w:left="10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嘉峪关中级人民法院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30E7460">
            <w:pPr>
              <w:widowControl w:val="0"/>
              <w:jc w:val="center"/>
              <w:rPr>
                <w:rFonts w:hint="eastAsia" w:ascii="宋体" w:hAnsi="宋体" w:eastAsia="宋体" w:cs="宋体"/>
                <w:highlight w:val="none"/>
              </w:rPr>
            </w:pPr>
            <w:r>
              <w:rPr>
                <w:rFonts w:hint="eastAsia" w:ascii="宋体" w:hAnsi="宋体" w:eastAsia="宋体" w:cs="宋体"/>
                <w:highlight w:val="none"/>
              </w:rPr>
              <w:t>94.2%</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2ABEC95">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96.38%</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E7956CC">
            <w:pPr>
              <w:widowControl w:val="0"/>
              <w:jc w:val="center"/>
              <w:rPr>
                <w:rFonts w:hint="eastAsia" w:ascii="宋体" w:hAnsi="宋体" w:eastAsia="宋体" w:cs="宋体"/>
                <w:highlight w:val="none"/>
              </w:rPr>
            </w:pPr>
            <w:r>
              <w:rPr>
                <w:rFonts w:hint="eastAsia" w:ascii="宋体" w:hAnsi="宋体" w:eastAsia="宋体" w:cs="宋体"/>
                <w:highlight w:val="none"/>
              </w:rPr>
              <w:t>96.23%</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1C86EEC">
            <w:pPr>
              <w:widowControl w:val="0"/>
              <w:jc w:val="center"/>
              <w:rPr>
                <w:rFonts w:hint="eastAsia" w:ascii="宋体" w:hAnsi="宋体" w:eastAsia="宋体" w:cs="宋体"/>
                <w:highlight w:val="none"/>
              </w:rPr>
            </w:pPr>
            <w:r>
              <w:rPr>
                <w:rFonts w:hint="eastAsia" w:ascii="宋体" w:hAnsi="宋体" w:eastAsia="宋体" w:cs="宋体"/>
                <w:highlight w:val="none"/>
              </w:rPr>
              <w:t>85.45%</w:t>
            </w:r>
          </w:p>
        </w:tc>
      </w:tr>
      <w:tr w14:paraId="07A9E4AF">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6F4590D">
            <w:pPr>
              <w:ind w:left="100"/>
              <w:jc w:val="center"/>
              <w:rPr>
                <w:rFonts w:hint="default" w:ascii="宋体" w:hAnsi="宋体" w:eastAsia="宋体" w:cs="宋体"/>
                <w:highlight w:val="none"/>
                <w:lang w:val="en-US" w:eastAsia="zh-CN"/>
              </w:rPr>
            </w:pPr>
            <w:r>
              <w:rPr>
                <w:rFonts w:hint="eastAsia" w:ascii="宋体" w:hAnsi="宋体" w:eastAsia="宋体" w:cs="宋体"/>
                <w:highlight w:val="none"/>
                <w:lang w:val="en-US" w:eastAsia="zh-CN"/>
              </w:rPr>
              <w:t>金昌市中级人民法院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2204C98">
            <w:pPr>
              <w:widowControl w:val="0"/>
              <w:jc w:val="center"/>
              <w:rPr>
                <w:rFonts w:hint="eastAsia" w:ascii="宋体" w:hAnsi="宋体" w:eastAsia="宋体" w:cs="宋体"/>
                <w:highlight w:val="none"/>
              </w:rPr>
            </w:pPr>
            <w:r>
              <w:rPr>
                <w:rFonts w:hint="eastAsia" w:ascii="宋体" w:hAnsi="宋体" w:eastAsia="宋体" w:cs="宋体"/>
                <w:highlight w:val="none"/>
              </w:rPr>
              <w:t>100%</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F1EF6D9">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99.18%</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B327B06">
            <w:pPr>
              <w:widowControl w:val="0"/>
              <w:jc w:val="center"/>
              <w:rPr>
                <w:rFonts w:hint="eastAsia" w:ascii="宋体" w:hAnsi="宋体" w:eastAsia="宋体" w:cs="宋体"/>
                <w:highlight w:val="none"/>
              </w:rPr>
            </w:pPr>
            <w:r>
              <w:rPr>
                <w:rFonts w:hint="eastAsia" w:ascii="宋体" w:hAnsi="宋体" w:eastAsia="宋体" w:cs="宋体"/>
                <w:highlight w:val="none"/>
              </w:rPr>
              <w:t>98.58%</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21ADFCE">
            <w:pPr>
              <w:widowControl w:val="0"/>
              <w:jc w:val="center"/>
              <w:rPr>
                <w:rFonts w:hint="eastAsia" w:ascii="宋体" w:hAnsi="宋体" w:eastAsia="宋体" w:cs="宋体"/>
                <w:highlight w:val="none"/>
              </w:rPr>
            </w:pPr>
            <w:r>
              <w:rPr>
                <w:rFonts w:hint="eastAsia" w:ascii="宋体" w:hAnsi="宋体" w:eastAsia="宋体" w:cs="宋体"/>
                <w:highlight w:val="none"/>
              </w:rPr>
              <w:t>98.73%</w:t>
            </w:r>
          </w:p>
        </w:tc>
      </w:tr>
      <w:tr w14:paraId="1D7642F2">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EF5D6B5">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酒泉市中级人民法院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5E61AED">
            <w:pPr>
              <w:widowControl w:val="0"/>
              <w:jc w:val="center"/>
              <w:rPr>
                <w:rFonts w:hint="eastAsia" w:ascii="宋体" w:hAnsi="宋体" w:eastAsia="宋体" w:cs="宋体"/>
                <w:highlight w:val="none"/>
              </w:rPr>
            </w:pPr>
            <w:r>
              <w:rPr>
                <w:rFonts w:hint="eastAsia" w:ascii="宋体" w:hAnsi="宋体" w:eastAsia="宋体" w:cs="宋体"/>
                <w:highlight w:val="none"/>
              </w:rPr>
              <w:t>100%</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67EABC3">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98.65%</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8E648AE">
            <w:pPr>
              <w:widowControl w:val="0"/>
              <w:jc w:val="center"/>
              <w:rPr>
                <w:rFonts w:hint="eastAsia" w:ascii="宋体" w:hAnsi="宋体" w:eastAsia="宋体" w:cs="宋体"/>
                <w:highlight w:val="none"/>
              </w:rPr>
            </w:pPr>
            <w:r>
              <w:rPr>
                <w:rFonts w:hint="eastAsia" w:ascii="宋体" w:hAnsi="宋体" w:eastAsia="宋体" w:cs="宋体"/>
                <w:highlight w:val="none"/>
              </w:rPr>
              <w:t>93%</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45D05FE">
            <w:pPr>
              <w:widowControl w:val="0"/>
              <w:jc w:val="center"/>
              <w:rPr>
                <w:rFonts w:hint="eastAsia" w:ascii="宋体" w:hAnsi="宋体" w:eastAsia="宋体" w:cs="宋体"/>
                <w:highlight w:val="none"/>
              </w:rPr>
            </w:pPr>
            <w:r>
              <w:rPr>
                <w:rFonts w:hint="eastAsia" w:ascii="宋体" w:hAnsi="宋体" w:eastAsia="宋体" w:cs="宋体"/>
                <w:highlight w:val="none"/>
              </w:rPr>
              <w:t>100%</w:t>
            </w:r>
          </w:p>
        </w:tc>
      </w:tr>
      <w:tr w14:paraId="7A89689B">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22E0908">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兰州市中级人民法院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F44B5C4">
            <w:pPr>
              <w:widowControl w:val="0"/>
              <w:jc w:val="center"/>
              <w:rPr>
                <w:rFonts w:hint="eastAsia" w:ascii="宋体" w:hAnsi="宋体" w:eastAsia="宋体" w:cs="宋体"/>
                <w:highlight w:val="none"/>
              </w:rPr>
            </w:pPr>
            <w:r>
              <w:rPr>
                <w:rFonts w:hint="eastAsia" w:ascii="宋体" w:hAnsi="宋体" w:eastAsia="宋体" w:cs="宋体"/>
                <w:highlight w:val="none"/>
              </w:rPr>
              <w:t>98.44%</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0823651">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83.9%</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50B6DF7">
            <w:pPr>
              <w:widowControl w:val="0"/>
              <w:jc w:val="center"/>
              <w:rPr>
                <w:rFonts w:hint="eastAsia" w:ascii="宋体" w:hAnsi="宋体" w:eastAsia="宋体" w:cs="宋体"/>
                <w:highlight w:val="none"/>
              </w:rPr>
            </w:pPr>
            <w:r>
              <w:rPr>
                <w:rFonts w:hint="eastAsia" w:ascii="宋体" w:hAnsi="宋体" w:eastAsia="宋体" w:cs="宋体"/>
                <w:highlight w:val="none"/>
              </w:rPr>
              <w:t>90.16%</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AAF9AC8">
            <w:pPr>
              <w:widowControl w:val="0"/>
              <w:jc w:val="center"/>
              <w:rPr>
                <w:rFonts w:hint="eastAsia" w:ascii="宋体" w:hAnsi="宋体" w:eastAsia="宋体" w:cs="宋体"/>
                <w:highlight w:val="none"/>
              </w:rPr>
            </w:pPr>
            <w:r>
              <w:rPr>
                <w:rFonts w:hint="eastAsia" w:ascii="宋体" w:hAnsi="宋体" w:eastAsia="宋体" w:cs="宋体"/>
                <w:highlight w:val="none"/>
              </w:rPr>
              <w:t>80%</w:t>
            </w:r>
          </w:p>
        </w:tc>
      </w:tr>
      <w:tr w14:paraId="68D95010">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E3AC3D2">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陇南市中级人民法院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675FB37">
            <w:pPr>
              <w:widowControl w:val="0"/>
              <w:jc w:val="center"/>
              <w:rPr>
                <w:rFonts w:hint="eastAsia" w:ascii="宋体" w:hAnsi="宋体" w:eastAsia="宋体" w:cs="宋体"/>
                <w:highlight w:val="none"/>
              </w:rPr>
            </w:pPr>
            <w:r>
              <w:rPr>
                <w:rFonts w:hint="eastAsia" w:ascii="宋体" w:hAnsi="宋体" w:eastAsia="宋体" w:cs="宋体"/>
                <w:highlight w:val="none"/>
              </w:rPr>
              <w:t>95%</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F7987FF">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90%</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D977C46">
            <w:pPr>
              <w:widowControl w:val="0"/>
              <w:jc w:val="center"/>
              <w:rPr>
                <w:rFonts w:hint="eastAsia" w:ascii="宋体" w:hAnsi="宋体" w:eastAsia="宋体" w:cs="宋体"/>
                <w:highlight w:val="none"/>
              </w:rPr>
            </w:pPr>
            <w:r>
              <w:rPr>
                <w:rFonts w:hint="eastAsia" w:ascii="宋体" w:hAnsi="宋体" w:eastAsia="宋体" w:cs="宋体"/>
                <w:highlight w:val="none"/>
              </w:rPr>
              <w:t>80%</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65C19C65">
            <w:pPr>
              <w:widowControl w:val="0"/>
              <w:jc w:val="center"/>
              <w:rPr>
                <w:rFonts w:hint="eastAsia" w:ascii="宋体" w:hAnsi="宋体" w:eastAsia="宋体" w:cs="宋体"/>
                <w:highlight w:val="none"/>
              </w:rPr>
            </w:pPr>
            <w:r>
              <w:rPr>
                <w:rFonts w:hint="eastAsia" w:ascii="宋体" w:hAnsi="宋体" w:eastAsia="宋体" w:cs="宋体"/>
                <w:highlight w:val="none"/>
              </w:rPr>
              <w:t>90%</w:t>
            </w:r>
          </w:p>
        </w:tc>
      </w:tr>
      <w:tr w14:paraId="0D532973">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BCB1F7">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庆阳市中级人民法院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25CE2E2">
            <w:pPr>
              <w:widowControl w:val="0"/>
              <w:jc w:val="center"/>
              <w:rPr>
                <w:rFonts w:hint="eastAsia" w:ascii="宋体" w:hAnsi="宋体" w:eastAsia="宋体" w:cs="宋体"/>
                <w:highlight w:val="none"/>
              </w:rPr>
            </w:pPr>
            <w:r>
              <w:rPr>
                <w:rFonts w:hint="eastAsia" w:ascii="宋体" w:hAnsi="宋体" w:eastAsia="宋体" w:cs="宋体"/>
                <w:highlight w:val="none"/>
              </w:rPr>
              <w:t>98%</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C1D27C7">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99%</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02077DF8">
            <w:pPr>
              <w:widowControl w:val="0"/>
              <w:jc w:val="center"/>
              <w:rPr>
                <w:rFonts w:hint="eastAsia" w:ascii="宋体" w:hAnsi="宋体" w:eastAsia="宋体" w:cs="宋体"/>
                <w:highlight w:val="none"/>
              </w:rPr>
            </w:pPr>
            <w:r>
              <w:rPr>
                <w:rFonts w:hint="eastAsia" w:ascii="宋体" w:hAnsi="宋体" w:eastAsia="宋体" w:cs="宋体"/>
                <w:highlight w:val="none"/>
              </w:rPr>
              <w:t>96%</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B88A966">
            <w:pPr>
              <w:widowControl w:val="0"/>
              <w:jc w:val="center"/>
              <w:rPr>
                <w:rFonts w:hint="eastAsia" w:ascii="宋体" w:hAnsi="宋体" w:eastAsia="宋体" w:cs="宋体"/>
                <w:highlight w:val="none"/>
              </w:rPr>
            </w:pPr>
            <w:r>
              <w:rPr>
                <w:rFonts w:hint="eastAsia" w:ascii="宋体" w:hAnsi="宋体" w:eastAsia="宋体" w:cs="宋体"/>
                <w:highlight w:val="none"/>
              </w:rPr>
              <w:t>100%</w:t>
            </w:r>
          </w:p>
        </w:tc>
      </w:tr>
      <w:tr w14:paraId="1EA0973D">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D28BBBE">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武威市中级人民法院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955E4C5">
            <w:pPr>
              <w:widowControl w:val="0"/>
              <w:jc w:val="center"/>
              <w:rPr>
                <w:rFonts w:hint="eastAsia" w:ascii="宋体" w:hAnsi="宋体" w:eastAsia="宋体" w:cs="宋体"/>
                <w:highlight w:val="none"/>
              </w:rPr>
            </w:pP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8A46BD6">
            <w:pPr>
              <w:widowControl w:val="0"/>
              <w:jc w:val="center"/>
              <w:rPr>
                <w:rFonts w:hint="eastAsia" w:ascii="宋体" w:hAnsi="宋体" w:eastAsia="宋体" w:cs="宋体"/>
                <w:highlight w:val="none"/>
                <w:lang w:eastAsia="zh-CN"/>
              </w:rPr>
            </w:pP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A829869">
            <w:pPr>
              <w:widowControl w:val="0"/>
              <w:jc w:val="center"/>
              <w:rPr>
                <w:rFonts w:hint="eastAsia" w:ascii="宋体" w:hAnsi="宋体" w:eastAsia="宋体" w:cs="宋体"/>
                <w:highlight w:val="none"/>
              </w:rPr>
            </w:pPr>
            <w:r>
              <w:rPr>
                <w:rFonts w:hint="eastAsia" w:ascii="宋体" w:hAnsi="宋体" w:eastAsia="宋体" w:cs="宋体"/>
                <w:highlight w:val="none"/>
              </w:rPr>
              <w:t>98.74%</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D436774">
            <w:pPr>
              <w:widowControl w:val="0"/>
              <w:jc w:val="center"/>
              <w:rPr>
                <w:rFonts w:hint="eastAsia" w:ascii="宋体" w:hAnsi="宋体" w:eastAsia="宋体" w:cs="宋体"/>
                <w:highlight w:val="none"/>
              </w:rPr>
            </w:pPr>
          </w:p>
        </w:tc>
      </w:tr>
      <w:tr w14:paraId="3828057A">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201D7AF">
            <w:pPr>
              <w:ind w:left="100"/>
              <w:jc w:val="center"/>
              <w:rPr>
                <w:rFonts w:hint="eastAsia" w:ascii="宋体" w:hAnsi="宋体" w:eastAsia="宋体" w:cs="宋体"/>
                <w:highlight w:val="none"/>
                <w:lang w:val="en-US" w:eastAsia="zh-CN"/>
              </w:rPr>
            </w:pPr>
            <w:r>
              <w:rPr>
                <w:rFonts w:hint="eastAsia" w:ascii="宋体" w:hAnsi="宋体" w:eastAsia="宋体" w:cs="宋体"/>
                <w:highlight w:val="none"/>
                <w:lang w:val="en-US" w:eastAsia="zh-CN"/>
              </w:rPr>
              <w:t>张掖市中级人民法院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3FC3B0C5">
            <w:pPr>
              <w:widowControl w:val="0"/>
              <w:jc w:val="center"/>
              <w:rPr>
                <w:rFonts w:hint="eastAsia" w:ascii="宋体" w:hAnsi="宋体" w:eastAsia="宋体" w:cs="宋体"/>
                <w:highlight w:val="none"/>
              </w:rPr>
            </w:pPr>
            <w:r>
              <w:rPr>
                <w:rFonts w:hint="eastAsia" w:ascii="宋体" w:hAnsi="宋体" w:eastAsia="宋体" w:cs="宋体"/>
                <w:highlight w:val="none"/>
              </w:rPr>
              <w:t>96.82%</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6D5B6A8">
            <w:pPr>
              <w:widowControl w:val="0"/>
              <w:jc w:val="center"/>
              <w:rPr>
                <w:rFonts w:hint="eastAsia" w:ascii="宋体" w:hAnsi="宋体" w:eastAsia="宋体" w:cs="宋体"/>
                <w:highlight w:val="none"/>
                <w:lang w:eastAsia="zh-CN"/>
              </w:rPr>
            </w:pPr>
            <w:r>
              <w:rPr>
                <w:rFonts w:hint="eastAsia" w:ascii="宋体" w:hAnsi="宋体" w:eastAsia="宋体" w:cs="宋体"/>
                <w:highlight w:val="none"/>
                <w:lang w:eastAsia="zh-CN"/>
              </w:rPr>
              <w:t>95.51%</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72795EB3">
            <w:pPr>
              <w:widowControl w:val="0"/>
              <w:jc w:val="center"/>
              <w:rPr>
                <w:rFonts w:hint="eastAsia" w:ascii="宋体" w:hAnsi="宋体" w:eastAsia="宋体" w:cs="宋体"/>
                <w:highlight w:val="none"/>
              </w:rPr>
            </w:pPr>
            <w:r>
              <w:rPr>
                <w:rFonts w:hint="eastAsia" w:ascii="宋体" w:hAnsi="宋体" w:eastAsia="宋体" w:cs="宋体"/>
                <w:highlight w:val="none"/>
              </w:rPr>
              <w:t>98.29%</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9CAF845">
            <w:pPr>
              <w:widowControl w:val="0"/>
              <w:jc w:val="center"/>
              <w:rPr>
                <w:rFonts w:hint="eastAsia" w:ascii="宋体" w:hAnsi="宋体" w:eastAsia="宋体" w:cs="宋体"/>
                <w:highlight w:val="none"/>
              </w:rPr>
            </w:pPr>
            <w:r>
              <w:rPr>
                <w:rFonts w:hint="eastAsia" w:ascii="宋体" w:hAnsi="宋体" w:eastAsia="宋体" w:cs="宋体"/>
                <w:highlight w:val="none"/>
              </w:rPr>
              <w:t>95.45%</w:t>
            </w:r>
          </w:p>
        </w:tc>
      </w:tr>
      <w:tr w14:paraId="27B1F294">
        <w:tblPrEx>
          <w:tblCellMar>
            <w:top w:w="0" w:type="dxa"/>
            <w:left w:w="108" w:type="dxa"/>
            <w:bottom w:w="0" w:type="dxa"/>
            <w:right w:w="108" w:type="dxa"/>
          </w:tblCellMar>
        </w:tblPrEx>
        <w:trPr>
          <w:trHeight w:val="397" w:hRule="atLeast"/>
        </w:trPr>
        <w:tc>
          <w:tcPr>
            <w:tcW w:w="179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932C196">
            <w:pPr>
              <w:ind w:left="100" w:leftChars="0"/>
              <w:jc w:val="center"/>
              <w:rPr>
                <w:rFonts w:hint="eastAsia" w:ascii="宋体" w:hAnsi="宋体" w:eastAsia="宋体" w:cs="宋体"/>
                <w:highlight w:val="none"/>
                <w:lang w:val="en-US" w:eastAsia="zh-CN"/>
              </w:rPr>
            </w:pPr>
            <w:r>
              <w:rPr>
                <w:rFonts w:hint="eastAsia" w:ascii="宋体" w:hAnsi="宋体" w:eastAsia="宋体" w:cs="宋体"/>
                <w:highlight w:val="none"/>
                <w:lang w:eastAsia="zh-CN"/>
              </w:rPr>
              <w:t>定西</w:t>
            </w:r>
            <w:r>
              <w:rPr>
                <w:rFonts w:hint="eastAsia" w:ascii="宋体" w:hAnsi="宋体" w:eastAsia="宋体" w:cs="宋体"/>
                <w:highlight w:val="none"/>
              </w:rPr>
              <w:t>市中级人民法院</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45E1FC70">
            <w:pPr>
              <w:widowControl w:val="0"/>
              <w:jc w:val="center"/>
              <w:rPr>
                <w:rFonts w:hint="eastAsia" w:ascii="宋体" w:hAnsi="宋体" w:eastAsia="宋体" w:cs="宋体"/>
                <w:highlight w:val="none"/>
              </w:rPr>
            </w:pPr>
            <w:r>
              <w:rPr>
                <w:rFonts w:hint="eastAsia" w:ascii="宋体" w:hAnsi="宋体" w:eastAsia="宋体" w:cs="宋体"/>
              </w:rPr>
              <w:t>96.08%</w:t>
            </w:r>
          </w:p>
        </w:tc>
        <w:tc>
          <w:tcPr>
            <w:tcW w:w="78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2EC8A1C3">
            <w:pPr>
              <w:widowControl w:val="0"/>
              <w:jc w:val="center"/>
              <w:rPr>
                <w:rFonts w:hint="eastAsia" w:ascii="宋体" w:hAnsi="宋体" w:eastAsia="宋体" w:cs="宋体"/>
                <w:highlight w:val="none"/>
                <w:lang w:eastAsia="zh-CN"/>
              </w:rPr>
            </w:pPr>
            <w:r>
              <w:rPr>
                <w:rFonts w:hint="eastAsia" w:ascii="宋体" w:hAnsi="宋体" w:eastAsia="宋体" w:cs="宋体"/>
                <w:lang w:eastAsia="zh-CN"/>
              </w:rPr>
              <w:t>96.55%</w:t>
            </w:r>
          </w:p>
        </w:tc>
        <w:tc>
          <w:tcPr>
            <w:tcW w:w="842"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591BDDBD">
            <w:pPr>
              <w:widowControl w:val="0"/>
              <w:jc w:val="center"/>
              <w:rPr>
                <w:rFonts w:hint="eastAsia" w:ascii="宋体" w:hAnsi="宋体" w:eastAsia="宋体" w:cs="宋体"/>
                <w:highlight w:val="none"/>
              </w:rPr>
            </w:pPr>
            <w:r>
              <w:rPr>
                <w:rFonts w:hint="eastAsia" w:ascii="宋体" w:hAnsi="宋体" w:eastAsia="宋体" w:cs="宋体"/>
              </w:rPr>
              <w:t>96.88%</w:t>
            </w:r>
          </w:p>
        </w:tc>
        <w:tc>
          <w:tcPr>
            <w:tcW w:w="801"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bottom"/>
          </w:tcPr>
          <w:p w14:paraId="19A6E93C">
            <w:pPr>
              <w:widowControl w:val="0"/>
              <w:jc w:val="center"/>
              <w:rPr>
                <w:rFonts w:hint="eastAsia" w:ascii="宋体" w:hAnsi="宋体" w:eastAsia="宋体" w:cs="宋体"/>
                <w:highlight w:val="none"/>
              </w:rPr>
            </w:pPr>
          </w:p>
        </w:tc>
      </w:tr>
    </w:tbl>
    <w:p w14:paraId="060341F3">
      <w:pPr>
        <w:pStyle w:val="26"/>
        <w:overflowPunct w:val="0"/>
        <w:spacing w:line="560" w:lineRule="exact"/>
        <w:ind w:firstLine="64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sz w:val="32"/>
          <w:szCs w:val="32"/>
          <w:lang w:eastAsia="zh-CN" w:bidi="ar"/>
        </w:rPr>
        <w:t>全省法院办理案件坚持以事实为根据、以党章党规党纪和宪法法律法规为</w:t>
      </w:r>
      <w:r>
        <w:rPr>
          <w:rFonts w:hint="eastAsia" w:ascii="仿宋_GB2312" w:hAnsi="仿宋_GB2312" w:eastAsia="仿宋_GB2312" w:cs="仿宋_GB2312"/>
          <w:sz w:val="32"/>
          <w:szCs w:val="32"/>
          <w:lang w:val="en-US" w:eastAsia="zh-CN" w:bidi="ar"/>
        </w:rPr>
        <w:t>准则</w:t>
      </w:r>
      <w:r>
        <w:rPr>
          <w:rFonts w:hint="eastAsia" w:ascii="仿宋_GB2312" w:hAnsi="仿宋_GB2312" w:eastAsia="仿宋_GB2312" w:cs="仿宋_GB2312"/>
          <w:sz w:val="32"/>
          <w:szCs w:val="32"/>
          <w:lang w:eastAsia="zh-CN" w:bidi="ar"/>
        </w:rPr>
        <w:t>，坚持实体、程序、涉案款物全面审核，牢固树立程序意识、证据意识、把关意识，坚决守住事实证据、定性处理和手续程序三大关口，有效保障了案件办理质量。</w:t>
      </w:r>
    </w:p>
    <w:p w14:paraId="6C8A5EA3">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保障法院数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：指标分值3分，评价得分3分。</w:t>
      </w:r>
      <w:r>
        <w:rPr>
          <w:rFonts w:hint="eastAsia" w:ascii="仿宋_GB2312" w:hAnsi="仿宋_GB2312" w:eastAsia="仿宋_GB2312" w:cs="仿宋_GB2312"/>
          <w:sz w:val="32"/>
          <w:szCs w:val="32"/>
          <w:highlight w:val="none"/>
          <w:lang w:eastAsia="zh-CN"/>
        </w:rPr>
        <w:t>年度指标值=11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家，实际保障</w:t>
      </w:r>
      <w:r>
        <w:rPr>
          <w:rFonts w:hint="eastAsia" w:ascii="仿宋_GB2312" w:hAnsi="仿宋_GB2312" w:eastAsia="仿宋_GB2312" w:cs="仿宋_GB2312"/>
          <w:sz w:val="32"/>
          <w:szCs w:val="32"/>
          <w:highlight w:val="none"/>
          <w:lang w:val="en-US" w:eastAsia="zh-CN"/>
        </w:rPr>
        <w:t>全省中、基层</w:t>
      </w:r>
      <w:r>
        <w:rPr>
          <w:rFonts w:hint="eastAsia" w:ascii="仿宋_GB2312" w:hAnsi="仿宋_GB2312" w:eastAsia="仿宋_GB2312" w:cs="仿宋_GB2312"/>
          <w:sz w:val="32"/>
          <w:szCs w:val="32"/>
          <w:highlight w:val="none"/>
          <w:lang w:eastAsia="zh-CN"/>
        </w:rPr>
        <w:t>法院数11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eastAsia="zh-CN"/>
        </w:rPr>
        <w:t>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14:paraId="21047904">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14:paraId="5D495B62">
      <w:pPr>
        <w:overflowPunct w:val="0"/>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43" w:name="_Toc7509"/>
      <w:bookmarkStart w:id="144" w:name="_Toc27458"/>
      <w:r>
        <w:rPr>
          <w:rFonts w:hint="eastAsia" w:ascii="仿宋_GB2312" w:hAnsi="仿宋_GB2312" w:eastAsia="仿宋_GB2312" w:cs="仿宋_GB2312"/>
          <w:color w:val="000000" w:themeColor="text1"/>
          <w:sz w:val="32"/>
          <w:szCs w:val="32"/>
          <w:highlight w:val="none"/>
          <w14:textFill>
            <w14:solidFill>
              <w14:schemeClr w14:val="tx1"/>
            </w14:solidFill>
          </w14:textFill>
        </w:rPr>
        <w:t>一审服判息诉率：指标分值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2.67</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90%，实际</w:t>
      </w:r>
      <w:r>
        <w:rPr>
          <w:rFonts w:hint="eastAsia" w:ascii="仿宋_GB2312" w:hAnsi="仿宋_GB2312" w:eastAsia="仿宋_GB2312" w:cs="仿宋_GB2312"/>
          <w:sz w:val="32"/>
          <w:szCs w:val="32"/>
          <w:highlight w:val="none"/>
          <w:lang w:val="en-US" w:eastAsia="zh-CN"/>
        </w:rPr>
        <w:t>全省法院</w:t>
      </w:r>
      <w:r>
        <w:rPr>
          <w:rFonts w:hint="eastAsia" w:ascii="仿宋_GB2312" w:hAnsi="仿宋_GB2312" w:eastAsia="仿宋_GB2312" w:cs="仿宋_GB2312"/>
          <w:sz w:val="32"/>
          <w:szCs w:val="32"/>
          <w:highlight w:val="none"/>
          <w:lang w:eastAsia="zh-CN"/>
        </w:rPr>
        <w:t>一审服判息诉率87.79%。</w:t>
      </w:r>
    </w:p>
    <w:p w14:paraId="399733E2">
      <w:pPr>
        <w:autoSpaceDE w:val="0"/>
        <w:autoSpaceDN w:val="0"/>
        <w:spacing w:line="560" w:lineRule="exact"/>
        <w:ind w:firstLine="640" w:firstLineChars="200"/>
        <w:jc w:val="both"/>
        <w:rPr>
          <w:rFonts w:ascii="仿宋_GB2312" w:hAnsi="仿宋_GB2312" w:eastAsia="仿宋_GB2312" w:cs="仿宋_GB2312"/>
          <w:kern w:val="2"/>
          <w:sz w:val="32"/>
          <w:szCs w:val="24"/>
          <w:lang w:eastAsia="zh-CN"/>
        </w:rPr>
      </w:pPr>
      <w:r>
        <w:rPr>
          <w:rFonts w:hint="eastAsia" w:ascii="仿宋_GB2312" w:hAnsi="仿宋_GB2312" w:eastAsia="仿宋_GB2312" w:cs="仿宋_GB2312"/>
          <w:kern w:val="2"/>
          <w:sz w:val="32"/>
          <w:szCs w:val="24"/>
          <w:lang w:eastAsia="zh-CN"/>
        </w:rPr>
        <w:t>以下为统计</w:t>
      </w:r>
      <w:r>
        <w:rPr>
          <w:rFonts w:hint="eastAsia" w:ascii="仿宋_GB2312" w:hAnsi="仿宋_GB2312" w:eastAsia="仿宋_GB2312" w:cs="仿宋_GB2312"/>
          <w:kern w:val="2"/>
          <w:sz w:val="32"/>
          <w:szCs w:val="24"/>
          <w:lang w:val="en-US" w:eastAsia="zh-CN"/>
        </w:rPr>
        <w:t>全省各地区质量指标“</w:t>
      </w:r>
      <w:r>
        <w:rPr>
          <w:rFonts w:hint="eastAsia" w:ascii="仿宋_GB2312" w:hAnsi="仿宋_GB2312" w:eastAsia="仿宋_GB2312" w:cs="仿宋_GB2312"/>
          <w:color w:val="000000" w:themeColor="text1"/>
          <w:sz w:val="32"/>
          <w:szCs w:val="32"/>
          <w:highlight w:val="none"/>
          <w14:textFill>
            <w14:solidFill>
              <w14:schemeClr w14:val="tx1"/>
            </w14:solidFill>
          </w14:textFill>
        </w:rPr>
        <w:t>一审服判息诉率</w:t>
      </w:r>
      <w:r>
        <w:rPr>
          <w:rFonts w:hint="eastAsia" w:ascii="仿宋_GB2312" w:hAnsi="仿宋_GB2312" w:eastAsia="仿宋_GB2312" w:cs="仿宋_GB2312"/>
          <w:kern w:val="2"/>
          <w:sz w:val="32"/>
          <w:szCs w:val="24"/>
          <w:lang w:val="en-US" w:eastAsia="zh-CN"/>
        </w:rPr>
        <w:t>”实际完成值</w:t>
      </w:r>
      <w:r>
        <w:rPr>
          <w:rFonts w:hint="eastAsia" w:ascii="仿宋_GB2312" w:hAnsi="仿宋_GB2312" w:eastAsia="仿宋_GB2312" w:cs="仿宋_GB2312"/>
          <w:kern w:val="2"/>
          <w:sz w:val="32"/>
          <w:szCs w:val="24"/>
          <w:lang w:eastAsia="zh-CN"/>
        </w:rPr>
        <w:t>：</w:t>
      </w:r>
    </w:p>
    <w:tbl>
      <w:tblPr>
        <w:tblStyle w:val="19"/>
        <w:tblW w:w="4913" w:type="pct"/>
        <w:tblInd w:w="0" w:type="dxa"/>
        <w:tblLayout w:type="autofit"/>
        <w:tblCellMar>
          <w:top w:w="0" w:type="dxa"/>
          <w:left w:w="108" w:type="dxa"/>
          <w:bottom w:w="0" w:type="dxa"/>
          <w:right w:w="108" w:type="dxa"/>
        </w:tblCellMar>
      </w:tblPr>
      <w:tblGrid>
        <w:gridCol w:w="2083"/>
        <w:gridCol w:w="2083"/>
        <w:gridCol w:w="2084"/>
        <w:gridCol w:w="2082"/>
      </w:tblGrid>
      <w:tr w14:paraId="64C9D595">
        <w:tblPrEx>
          <w:tblCellMar>
            <w:top w:w="0" w:type="dxa"/>
            <w:left w:w="108" w:type="dxa"/>
            <w:bottom w:w="0" w:type="dxa"/>
            <w:right w:w="108" w:type="dxa"/>
          </w:tblCellMar>
        </w:tblPrEx>
        <w:trPr>
          <w:trHeight w:val="454" w:hRule="exact"/>
          <w:tblHeader/>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886E724">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E28C616">
            <w:pPr>
              <w:jc w:val="center"/>
              <w:rPr>
                <w:rFonts w:ascii="宋体" w:hAnsi="宋体" w:eastAsia="宋体" w:cs="宋体"/>
                <w:b/>
                <w:color w:val="000000"/>
                <w:lang w:eastAsia="zh-CN"/>
              </w:rPr>
            </w:pPr>
            <w:r>
              <w:rPr>
                <w:rFonts w:hint="eastAsia" w:ascii="宋体" w:hAnsi="宋体" w:eastAsia="宋体" w:cs="宋体"/>
                <w:b/>
                <w:color w:val="000000"/>
                <w:lang w:eastAsia="zh-CN"/>
              </w:rPr>
              <w:t>一审服判息诉率</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0F15A92">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7FC3463">
            <w:pPr>
              <w:jc w:val="center"/>
              <w:rPr>
                <w:rFonts w:ascii="宋体" w:hAnsi="宋体" w:eastAsia="宋体" w:cs="宋体"/>
                <w:b/>
                <w:color w:val="000000"/>
                <w:lang w:eastAsia="zh-CN"/>
              </w:rPr>
            </w:pPr>
            <w:r>
              <w:rPr>
                <w:rFonts w:hint="eastAsia" w:ascii="宋体" w:hAnsi="宋体" w:eastAsia="宋体" w:cs="宋体"/>
                <w:b/>
                <w:color w:val="000000"/>
                <w:lang w:eastAsia="zh-CN"/>
              </w:rPr>
              <w:t>一审服判息诉率</w:t>
            </w:r>
          </w:p>
        </w:tc>
      </w:tr>
      <w:tr w14:paraId="21ECE227">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C96BA37">
            <w:pPr>
              <w:jc w:val="center"/>
              <w:rPr>
                <w:rFonts w:ascii="宋体" w:hAnsi="宋体" w:eastAsia="宋体" w:cs="宋体"/>
                <w:bCs/>
              </w:rPr>
            </w:pPr>
            <w:r>
              <w:rPr>
                <w:rFonts w:hint="eastAsia" w:ascii="宋体" w:hAnsi="宋体" w:eastAsia="宋体" w:cs="宋体"/>
                <w:bCs/>
                <w:lang w:eastAsia="zh-CN"/>
              </w:rPr>
              <w:t>白银</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DC09028">
            <w:pPr>
              <w:jc w:val="center"/>
              <w:rPr>
                <w:rFonts w:ascii="宋体" w:hAnsi="宋体" w:eastAsia="宋体" w:cs="宋体"/>
                <w:bCs/>
              </w:rPr>
            </w:pPr>
            <w:r>
              <w:rPr>
                <w:rFonts w:hint="eastAsia" w:ascii="宋体" w:hAnsi="宋体" w:eastAsia="宋体" w:cs="宋体"/>
                <w:bCs/>
                <w:lang w:val="en-US" w:eastAsia="zh-CN"/>
              </w:rPr>
              <w:t>89.69</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4DFA22B">
            <w:pPr>
              <w:jc w:val="center"/>
              <w:rPr>
                <w:rFonts w:ascii="宋体" w:hAnsi="宋体" w:eastAsia="宋体" w:cs="宋体"/>
                <w:bCs/>
                <w:lang w:eastAsia="zh-CN"/>
              </w:rPr>
            </w:pPr>
            <w:r>
              <w:rPr>
                <w:rFonts w:hint="eastAsia" w:ascii="宋体" w:hAnsi="宋体" w:eastAsia="宋体" w:cs="宋体"/>
                <w:bCs/>
                <w:lang w:eastAsia="zh-CN"/>
              </w:rPr>
              <w:t>嘉峪关</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8EFBE99">
            <w:pPr>
              <w:jc w:val="center"/>
              <w:rPr>
                <w:rFonts w:ascii="宋体" w:hAnsi="宋体" w:eastAsia="宋体" w:cs="宋体"/>
                <w:bCs/>
                <w:lang w:eastAsia="zh-CN"/>
              </w:rPr>
            </w:pPr>
            <w:r>
              <w:rPr>
                <w:rFonts w:hint="eastAsia" w:ascii="宋体" w:hAnsi="宋体" w:eastAsia="宋体" w:cs="宋体"/>
                <w:bCs/>
                <w:lang w:val="en-US" w:eastAsia="zh-CN"/>
              </w:rPr>
              <w:t>84.85</w:t>
            </w:r>
            <w:r>
              <w:rPr>
                <w:rFonts w:hint="eastAsia" w:ascii="宋体" w:hAnsi="宋体" w:eastAsia="宋体" w:cs="宋体"/>
                <w:bCs/>
                <w:lang w:eastAsia="zh-CN"/>
              </w:rPr>
              <w:t>%</w:t>
            </w:r>
          </w:p>
        </w:tc>
      </w:tr>
      <w:tr w14:paraId="6FFC20AE">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EA4E743">
            <w:pPr>
              <w:jc w:val="center"/>
              <w:rPr>
                <w:rFonts w:ascii="宋体" w:hAnsi="宋体" w:eastAsia="宋体" w:cs="宋体"/>
                <w:bCs/>
                <w:lang w:eastAsia="zh-CN"/>
              </w:rPr>
            </w:pPr>
            <w:r>
              <w:rPr>
                <w:rFonts w:hint="eastAsia" w:ascii="宋体" w:hAnsi="宋体" w:eastAsia="宋体" w:cs="宋体"/>
                <w:bCs/>
                <w:lang w:eastAsia="zh-CN"/>
              </w:rPr>
              <w:t>天水</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2331865">
            <w:pPr>
              <w:jc w:val="center"/>
              <w:rPr>
                <w:rFonts w:ascii="宋体" w:hAnsi="宋体" w:eastAsia="宋体" w:cs="宋体"/>
                <w:bCs/>
              </w:rPr>
            </w:pPr>
            <w:r>
              <w:rPr>
                <w:rFonts w:hint="eastAsia" w:ascii="宋体" w:hAnsi="宋体" w:eastAsia="宋体" w:cs="宋体"/>
                <w:bCs/>
                <w:lang w:val="en-US" w:eastAsia="zh-CN"/>
              </w:rPr>
              <w:t>90.75</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0CCA263">
            <w:pPr>
              <w:jc w:val="center"/>
              <w:rPr>
                <w:rFonts w:ascii="宋体" w:hAnsi="宋体" w:eastAsia="宋体" w:cs="宋体"/>
                <w:bCs/>
                <w:lang w:eastAsia="zh-CN"/>
              </w:rPr>
            </w:pPr>
            <w:r>
              <w:rPr>
                <w:rFonts w:hint="eastAsia" w:ascii="宋体" w:hAnsi="宋体" w:eastAsia="宋体" w:cs="宋体"/>
                <w:bCs/>
                <w:lang w:eastAsia="zh-CN"/>
              </w:rPr>
              <w:t>武威</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0E0205B">
            <w:pPr>
              <w:jc w:val="center"/>
              <w:rPr>
                <w:rFonts w:ascii="宋体" w:hAnsi="宋体" w:eastAsia="宋体" w:cs="宋体"/>
                <w:bCs/>
                <w:lang w:eastAsia="zh-CN"/>
              </w:rPr>
            </w:pPr>
            <w:r>
              <w:rPr>
                <w:rFonts w:hint="eastAsia" w:ascii="宋体" w:hAnsi="宋体" w:eastAsia="宋体" w:cs="宋体"/>
                <w:bCs/>
                <w:lang w:val="en-US" w:eastAsia="zh-CN"/>
              </w:rPr>
              <w:t>85.48</w:t>
            </w:r>
            <w:r>
              <w:rPr>
                <w:rFonts w:hint="eastAsia" w:ascii="宋体" w:hAnsi="宋体" w:eastAsia="宋体" w:cs="宋体"/>
                <w:bCs/>
                <w:lang w:eastAsia="zh-CN"/>
              </w:rPr>
              <w:t>%</w:t>
            </w:r>
          </w:p>
        </w:tc>
      </w:tr>
      <w:tr w14:paraId="3A256C16">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446CA6C">
            <w:pPr>
              <w:jc w:val="center"/>
              <w:rPr>
                <w:rFonts w:ascii="宋体" w:hAnsi="宋体" w:eastAsia="宋体" w:cs="宋体"/>
                <w:bCs/>
              </w:rPr>
            </w:pPr>
            <w:r>
              <w:rPr>
                <w:rFonts w:hint="eastAsia" w:ascii="宋体" w:hAnsi="宋体" w:eastAsia="宋体" w:cs="宋体"/>
                <w:bCs/>
                <w:lang w:eastAsia="zh-CN"/>
              </w:rPr>
              <w:t>庆阳</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715B6A7">
            <w:pPr>
              <w:jc w:val="center"/>
              <w:rPr>
                <w:rFonts w:ascii="宋体" w:hAnsi="宋体" w:eastAsia="宋体" w:cs="宋体"/>
                <w:bCs/>
              </w:rPr>
            </w:pPr>
            <w:r>
              <w:rPr>
                <w:rFonts w:hint="eastAsia" w:ascii="宋体" w:hAnsi="宋体" w:eastAsia="宋体" w:cs="宋体"/>
                <w:bCs/>
                <w:lang w:val="en-US" w:eastAsia="zh-CN"/>
              </w:rPr>
              <w:t>87.67</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E66DB1A">
            <w:pPr>
              <w:jc w:val="center"/>
              <w:rPr>
                <w:rFonts w:ascii="宋体" w:hAnsi="宋体" w:eastAsia="宋体" w:cs="宋体"/>
                <w:bCs/>
                <w:lang w:eastAsia="zh-CN"/>
              </w:rPr>
            </w:pPr>
            <w:r>
              <w:rPr>
                <w:rFonts w:hint="eastAsia" w:ascii="宋体" w:hAnsi="宋体" w:eastAsia="宋体" w:cs="宋体"/>
                <w:bCs/>
                <w:lang w:eastAsia="zh-CN"/>
              </w:rPr>
              <w:t>陇南</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1E82948">
            <w:pPr>
              <w:jc w:val="center"/>
              <w:rPr>
                <w:rFonts w:ascii="宋体" w:hAnsi="宋体" w:eastAsia="宋体" w:cs="宋体"/>
                <w:bCs/>
                <w:lang w:eastAsia="zh-CN"/>
              </w:rPr>
            </w:pPr>
            <w:r>
              <w:rPr>
                <w:rFonts w:hint="eastAsia" w:ascii="宋体" w:hAnsi="宋体" w:eastAsia="宋体" w:cs="宋体"/>
                <w:bCs/>
                <w:lang w:val="en-US" w:eastAsia="zh-CN"/>
              </w:rPr>
              <w:t>90.07</w:t>
            </w:r>
            <w:r>
              <w:rPr>
                <w:rFonts w:hint="eastAsia" w:ascii="宋体" w:hAnsi="宋体" w:eastAsia="宋体" w:cs="宋体"/>
                <w:bCs/>
                <w:lang w:eastAsia="zh-CN"/>
              </w:rPr>
              <w:t>%</w:t>
            </w:r>
          </w:p>
        </w:tc>
      </w:tr>
      <w:tr w14:paraId="70A94C5B">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66CD0E7">
            <w:pPr>
              <w:jc w:val="center"/>
              <w:rPr>
                <w:rFonts w:ascii="宋体" w:hAnsi="宋体" w:eastAsia="宋体" w:cs="宋体"/>
                <w:bCs/>
              </w:rPr>
            </w:pPr>
            <w:r>
              <w:rPr>
                <w:rFonts w:hint="eastAsia" w:ascii="宋体" w:hAnsi="宋体" w:eastAsia="宋体" w:cs="宋体"/>
                <w:bCs/>
                <w:lang w:eastAsia="zh-CN"/>
              </w:rPr>
              <w:t>金昌</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FC93C5B">
            <w:pPr>
              <w:jc w:val="center"/>
              <w:rPr>
                <w:rFonts w:ascii="宋体" w:hAnsi="宋体" w:eastAsia="宋体" w:cs="宋体"/>
                <w:bCs/>
              </w:rPr>
            </w:pPr>
            <w:r>
              <w:rPr>
                <w:rFonts w:hint="eastAsia" w:ascii="宋体" w:hAnsi="宋体" w:eastAsia="宋体" w:cs="宋体"/>
                <w:bCs/>
                <w:lang w:val="en-US" w:eastAsia="zh-CN"/>
              </w:rPr>
              <w:t>87.52</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F8DA2C0">
            <w:pPr>
              <w:jc w:val="center"/>
              <w:rPr>
                <w:rFonts w:ascii="宋体" w:hAnsi="宋体" w:eastAsia="宋体" w:cs="宋体"/>
                <w:bCs/>
                <w:lang w:eastAsia="zh-CN"/>
              </w:rPr>
            </w:pPr>
            <w:r>
              <w:rPr>
                <w:rFonts w:hint="eastAsia" w:ascii="宋体" w:hAnsi="宋体" w:eastAsia="宋体" w:cs="宋体"/>
                <w:bCs/>
                <w:lang w:eastAsia="zh-CN"/>
              </w:rPr>
              <w:t>矿区</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00D1F8B">
            <w:pPr>
              <w:jc w:val="center"/>
              <w:rPr>
                <w:rFonts w:ascii="宋体" w:hAnsi="宋体" w:eastAsia="宋体" w:cs="宋体"/>
                <w:bCs/>
                <w:highlight w:val="none"/>
                <w:lang w:eastAsia="zh-CN"/>
              </w:rPr>
            </w:pPr>
            <w:r>
              <w:rPr>
                <w:rFonts w:hint="eastAsia" w:ascii="宋体" w:hAnsi="宋体" w:eastAsia="宋体" w:cs="宋体"/>
                <w:bCs/>
                <w:highlight w:val="none"/>
                <w:lang w:val="en-US" w:eastAsia="zh-CN"/>
              </w:rPr>
              <w:t>78.00</w:t>
            </w:r>
            <w:r>
              <w:rPr>
                <w:rFonts w:hint="eastAsia" w:ascii="宋体" w:hAnsi="宋体" w:eastAsia="宋体" w:cs="宋体"/>
                <w:bCs/>
                <w:highlight w:val="none"/>
                <w:lang w:eastAsia="zh-CN"/>
              </w:rPr>
              <w:t>%</w:t>
            </w:r>
          </w:p>
        </w:tc>
      </w:tr>
      <w:tr w14:paraId="7B27F755">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45DC195">
            <w:pPr>
              <w:jc w:val="center"/>
              <w:rPr>
                <w:rFonts w:ascii="宋体" w:hAnsi="宋体" w:eastAsia="宋体" w:cs="宋体"/>
                <w:bCs/>
              </w:rPr>
            </w:pPr>
            <w:r>
              <w:rPr>
                <w:rFonts w:hint="eastAsia" w:ascii="宋体" w:hAnsi="宋体" w:eastAsia="宋体" w:cs="宋体"/>
                <w:bCs/>
                <w:lang w:eastAsia="zh-CN"/>
              </w:rPr>
              <w:t>酒泉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6F40843">
            <w:pPr>
              <w:jc w:val="center"/>
              <w:rPr>
                <w:rFonts w:ascii="宋体" w:hAnsi="宋体" w:eastAsia="宋体" w:cs="宋体"/>
                <w:bCs/>
                <w:lang w:eastAsia="zh-CN"/>
              </w:rPr>
            </w:pPr>
            <w:r>
              <w:rPr>
                <w:rFonts w:hint="eastAsia" w:ascii="宋体" w:hAnsi="宋体" w:eastAsia="宋体" w:cs="宋体"/>
                <w:bCs/>
                <w:lang w:val="en-US" w:eastAsia="zh-CN"/>
              </w:rPr>
              <w:t>87.30</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F29A321">
            <w:pPr>
              <w:jc w:val="center"/>
              <w:rPr>
                <w:rFonts w:ascii="宋体" w:hAnsi="宋体" w:eastAsia="宋体" w:cs="宋体"/>
                <w:bCs/>
                <w:lang w:eastAsia="zh-CN"/>
              </w:rPr>
            </w:pPr>
            <w:r>
              <w:rPr>
                <w:rFonts w:hint="eastAsia" w:ascii="宋体" w:hAnsi="宋体" w:eastAsia="宋体" w:cs="宋体"/>
                <w:bCs/>
                <w:lang w:eastAsia="zh-CN"/>
              </w:rPr>
              <w:t>临夏</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4DD8B78">
            <w:pPr>
              <w:jc w:val="center"/>
              <w:rPr>
                <w:rFonts w:ascii="宋体" w:hAnsi="宋体" w:eastAsia="宋体" w:cs="宋体"/>
                <w:bCs/>
                <w:lang w:eastAsia="zh-CN"/>
              </w:rPr>
            </w:pPr>
            <w:r>
              <w:rPr>
                <w:rFonts w:hint="eastAsia" w:ascii="宋体" w:hAnsi="宋体" w:eastAsia="宋体" w:cs="宋体"/>
                <w:bCs/>
                <w:lang w:val="en-US" w:eastAsia="zh-CN"/>
              </w:rPr>
              <w:t>88.70</w:t>
            </w:r>
            <w:r>
              <w:rPr>
                <w:rFonts w:hint="eastAsia" w:ascii="宋体" w:hAnsi="宋体" w:eastAsia="宋体" w:cs="宋体"/>
                <w:bCs/>
                <w:lang w:eastAsia="zh-CN"/>
              </w:rPr>
              <w:t>%</w:t>
            </w:r>
          </w:p>
        </w:tc>
      </w:tr>
      <w:tr w14:paraId="233584AA">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B71CC4A">
            <w:pPr>
              <w:jc w:val="center"/>
              <w:rPr>
                <w:rFonts w:ascii="宋体" w:hAnsi="宋体" w:eastAsia="宋体" w:cs="宋体"/>
                <w:bCs/>
              </w:rPr>
            </w:pPr>
            <w:r>
              <w:rPr>
                <w:rFonts w:hint="eastAsia" w:ascii="宋体" w:hAnsi="宋体" w:eastAsia="宋体" w:cs="宋体"/>
                <w:bCs/>
                <w:lang w:eastAsia="zh-CN"/>
              </w:rPr>
              <w:t>张掖</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F803186">
            <w:pPr>
              <w:jc w:val="center"/>
              <w:rPr>
                <w:rFonts w:ascii="宋体" w:hAnsi="宋体" w:eastAsia="宋体" w:cs="宋体"/>
                <w:bCs/>
                <w:lang w:eastAsia="zh-CN"/>
              </w:rPr>
            </w:pPr>
            <w:r>
              <w:rPr>
                <w:rFonts w:hint="eastAsia" w:ascii="宋体" w:hAnsi="宋体" w:eastAsia="宋体" w:cs="宋体"/>
                <w:bCs/>
                <w:lang w:val="en-US" w:eastAsia="zh-CN"/>
              </w:rPr>
              <w:t>90.22</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B32B2D9">
            <w:pPr>
              <w:jc w:val="center"/>
              <w:rPr>
                <w:rFonts w:ascii="宋体" w:hAnsi="宋体" w:eastAsia="宋体" w:cs="宋体"/>
                <w:bCs/>
                <w:lang w:eastAsia="zh-CN"/>
              </w:rPr>
            </w:pPr>
            <w:r>
              <w:rPr>
                <w:rFonts w:hint="eastAsia" w:ascii="宋体" w:hAnsi="宋体" w:eastAsia="宋体" w:cs="宋体"/>
                <w:bCs/>
                <w:lang w:eastAsia="zh-CN"/>
              </w:rPr>
              <w:t>兰铁</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00CCA73">
            <w:pPr>
              <w:jc w:val="center"/>
              <w:rPr>
                <w:rFonts w:ascii="宋体" w:hAnsi="宋体" w:eastAsia="宋体" w:cs="宋体"/>
                <w:bCs/>
                <w:highlight w:val="none"/>
                <w:lang w:eastAsia="zh-CN"/>
              </w:rPr>
            </w:pPr>
            <w:r>
              <w:rPr>
                <w:rFonts w:hint="eastAsia" w:ascii="宋体" w:hAnsi="宋体" w:eastAsia="宋体" w:cs="宋体"/>
                <w:bCs/>
                <w:highlight w:val="none"/>
                <w:lang w:val="en-US" w:eastAsia="zh-CN"/>
              </w:rPr>
              <w:t>80.67</w:t>
            </w:r>
            <w:r>
              <w:rPr>
                <w:rFonts w:hint="eastAsia" w:ascii="宋体" w:hAnsi="宋体" w:eastAsia="宋体" w:cs="宋体"/>
                <w:bCs/>
                <w:highlight w:val="none"/>
                <w:lang w:eastAsia="zh-CN"/>
              </w:rPr>
              <w:t>%</w:t>
            </w:r>
          </w:p>
        </w:tc>
      </w:tr>
      <w:tr w14:paraId="29319B7F">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60A0D00">
            <w:pPr>
              <w:jc w:val="center"/>
              <w:rPr>
                <w:rFonts w:ascii="宋体" w:hAnsi="宋体" w:eastAsia="宋体" w:cs="宋体"/>
                <w:bCs/>
              </w:rPr>
            </w:pPr>
            <w:r>
              <w:rPr>
                <w:rFonts w:hint="eastAsia" w:ascii="宋体" w:hAnsi="宋体" w:eastAsia="宋体" w:cs="宋体"/>
                <w:bCs/>
                <w:lang w:eastAsia="zh-CN"/>
              </w:rPr>
              <w:t>定西</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AB0CC4F">
            <w:pPr>
              <w:jc w:val="center"/>
              <w:rPr>
                <w:rFonts w:ascii="宋体" w:hAnsi="宋体" w:eastAsia="宋体" w:cs="宋体"/>
                <w:bCs/>
              </w:rPr>
            </w:pPr>
            <w:r>
              <w:rPr>
                <w:rFonts w:hint="eastAsia" w:ascii="宋体" w:hAnsi="宋体" w:eastAsia="宋体" w:cs="宋体"/>
                <w:bCs/>
                <w:lang w:val="en-US" w:eastAsia="zh-CN"/>
              </w:rPr>
              <w:t>90.84</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5D46C19">
            <w:pPr>
              <w:jc w:val="center"/>
              <w:rPr>
                <w:rFonts w:ascii="宋体" w:hAnsi="宋体" w:eastAsia="宋体" w:cs="宋体"/>
                <w:bCs/>
                <w:lang w:eastAsia="zh-CN"/>
              </w:rPr>
            </w:pPr>
            <w:r>
              <w:rPr>
                <w:rFonts w:hint="eastAsia" w:ascii="宋体" w:hAnsi="宋体" w:eastAsia="宋体" w:cs="宋体"/>
                <w:bCs/>
                <w:lang w:eastAsia="zh-CN"/>
              </w:rPr>
              <w:t>林区</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799F10C">
            <w:pPr>
              <w:jc w:val="center"/>
              <w:rPr>
                <w:rFonts w:ascii="宋体" w:hAnsi="宋体" w:eastAsia="宋体" w:cs="宋体"/>
                <w:bCs/>
                <w:lang w:eastAsia="zh-CN"/>
              </w:rPr>
            </w:pPr>
            <w:r>
              <w:rPr>
                <w:rFonts w:hint="eastAsia" w:ascii="宋体" w:hAnsi="宋体" w:eastAsia="宋体" w:cs="宋体"/>
                <w:bCs/>
                <w:lang w:val="en-US" w:eastAsia="zh-CN"/>
              </w:rPr>
              <w:t>90.90</w:t>
            </w:r>
            <w:r>
              <w:rPr>
                <w:rFonts w:hint="eastAsia" w:ascii="宋体" w:hAnsi="宋体" w:eastAsia="宋体" w:cs="宋体"/>
                <w:bCs/>
                <w:lang w:eastAsia="zh-CN"/>
              </w:rPr>
              <w:t>%</w:t>
            </w:r>
          </w:p>
        </w:tc>
      </w:tr>
      <w:tr w14:paraId="193D13A9">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9D1D466">
            <w:pPr>
              <w:jc w:val="center"/>
              <w:rPr>
                <w:rFonts w:ascii="宋体" w:hAnsi="宋体" w:eastAsia="宋体" w:cs="宋体"/>
                <w:bCs/>
                <w:lang w:eastAsia="zh-CN"/>
              </w:rPr>
            </w:pPr>
            <w:r>
              <w:rPr>
                <w:rFonts w:hint="eastAsia" w:ascii="宋体" w:hAnsi="宋体" w:eastAsia="宋体" w:cs="宋体"/>
                <w:bCs/>
                <w:lang w:eastAsia="zh-CN"/>
              </w:rPr>
              <w:t>平凉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A2DE67D">
            <w:pPr>
              <w:jc w:val="center"/>
              <w:rPr>
                <w:rFonts w:ascii="宋体" w:hAnsi="宋体" w:eastAsia="宋体" w:cs="宋体"/>
                <w:bCs/>
              </w:rPr>
            </w:pPr>
            <w:r>
              <w:rPr>
                <w:rFonts w:hint="eastAsia" w:ascii="宋体" w:hAnsi="宋体" w:eastAsia="宋体" w:cs="宋体"/>
                <w:bCs/>
                <w:lang w:val="en-US" w:eastAsia="zh-CN"/>
              </w:rPr>
              <w:t>89.27</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555C61A">
            <w:pPr>
              <w:jc w:val="center"/>
              <w:rPr>
                <w:rFonts w:ascii="宋体" w:hAnsi="宋体" w:eastAsia="宋体" w:cs="宋体"/>
                <w:bCs/>
                <w:lang w:eastAsia="zh-CN"/>
              </w:rPr>
            </w:pPr>
            <w:r>
              <w:rPr>
                <w:rFonts w:hint="eastAsia" w:ascii="宋体" w:hAnsi="宋体" w:eastAsia="宋体" w:cs="宋体"/>
                <w:bCs/>
                <w:lang w:eastAsia="zh-CN"/>
              </w:rPr>
              <w:t>兰州</w:t>
            </w: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3E9011">
            <w:pPr>
              <w:jc w:val="center"/>
              <w:rPr>
                <w:rFonts w:ascii="宋体" w:hAnsi="宋体" w:eastAsia="宋体" w:cs="宋体"/>
                <w:bCs/>
                <w:lang w:eastAsia="zh-CN"/>
              </w:rPr>
            </w:pPr>
            <w:r>
              <w:rPr>
                <w:rFonts w:hint="eastAsia" w:ascii="宋体" w:hAnsi="宋体" w:eastAsia="宋体" w:cs="宋体"/>
                <w:bCs/>
                <w:lang w:val="en-US" w:eastAsia="zh-CN"/>
              </w:rPr>
              <w:t>84.93</w:t>
            </w:r>
            <w:r>
              <w:rPr>
                <w:rFonts w:hint="eastAsia" w:ascii="宋体" w:hAnsi="宋体" w:eastAsia="宋体" w:cs="宋体"/>
                <w:bCs/>
                <w:lang w:eastAsia="zh-CN"/>
              </w:rPr>
              <w:t>%</w:t>
            </w:r>
          </w:p>
        </w:tc>
      </w:tr>
      <w:tr w14:paraId="6BB1492A">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0E8E125">
            <w:pPr>
              <w:jc w:val="center"/>
              <w:rPr>
                <w:rFonts w:ascii="宋体" w:hAnsi="宋体" w:eastAsia="宋体" w:cs="宋体"/>
                <w:lang w:eastAsia="zh-CN"/>
              </w:rPr>
            </w:pPr>
            <w:r>
              <w:rPr>
                <w:rFonts w:hint="eastAsia" w:ascii="宋体" w:hAnsi="宋体" w:eastAsia="宋体" w:cs="宋体"/>
                <w:bCs/>
                <w:lang w:eastAsia="zh-CN"/>
              </w:rPr>
              <w:t>甘南</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76C3DA5">
            <w:pPr>
              <w:jc w:val="center"/>
              <w:rPr>
                <w:rFonts w:ascii="宋体" w:hAnsi="宋体" w:eastAsia="宋体" w:cs="宋体"/>
                <w:bCs/>
                <w:lang w:eastAsia="zh-CN"/>
              </w:rPr>
            </w:pPr>
            <w:r>
              <w:rPr>
                <w:rFonts w:hint="eastAsia" w:ascii="宋体" w:hAnsi="宋体" w:eastAsia="宋体" w:cs="宋体"/>
                <w:bCs/>
                <w:lang w:val="en-US" w:eastAsia="zh-CN"/>
              </w:rPr>
              <w:t>88.98</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E3DEB74">
            <w:pPr>
              <w:jc w:val="center"/>
              <w:rPr>
                <w:rFonts w:ascii="宋体" w:hAnsi="宋体" w:eastAsia="宋体" w:cs="宋体"/>
                <w:bCs/>
                <w:lang w:eastAsia="zh-CN"/>
              </w:rPr>
            </w:pPr>
          </w:p>
        </w:tc>
        <w:tc>
          <w:tcPr>
            <w:tcW w:w="1249"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2DF32B8">
            <w:pPr>
              <w:jc w:val="center"/>
              <w:rPr>
                <w:rFonts w:ascii="宋体" w:hAnsi="宋体" w:eastAsia="宋体" w:cs="宋体"/>
                <w:bCs/>
                <w:lang w:eastAsia="zh-CN"/>
              </w:rPr>
            </w:pPr>
          </w:p>
        </w:tc>
      </w:tr>
    </w:tbl>
    <w:p w14:paraId="4BAA3C08">
      <w:pPr>
        <w:autoSpaceDE w:val="0"/>
        <w:autoSpaceDN w:val="0"/>
        <w:spacing w:line="560" w:lineRule="exact"/>
        <w:ind w:firstLine="640" w:firstLineChars="200"/>
        <w:jc w:val="both"/>
        <w:rPr>
          <w:rFonts w:hint="eastAsia" w:ascii="仿宋_GB2312" w:hAnsi="仿宋_GB2312" w:eastAsia="仿宋_GB2312" w:cs="仿宋_GB2312"/>
          <w:kern w:val="2"/>
          <w:sz w:val="32"/>
          <w:szCs w:val="24"/>
          <w:lang w:val="en-US" w:eastAsia="zh-CN"/>
        </w:rPr>
      </w:pPr>
      <w:r>
        <w:rPr>
          <w:rFonts w:hint="eastAsia" w:ascii="仿宋_GB2312" w:hAnsi="仿宋_GB2312" w:eastAsia="仿宋_GB2312" w:cs="仿宋_GB2312"/>
          <w:kern w:val="2"/>
          <w:sz w:val="32"/>
          <w:szCs w:val="24"/>
          <w:lang w:val="en-US" w:eastAsia="zh-CN"/>
        </w:rPr>
        <w:t>矿区及兰铁辖区法院一审服判息诉率低于“82.73%-88.37%”的合理区间，未完成年度目标，扣0.33分。</w:t>
      </w:r>
    </w:p>
    <w:p w14:paraId="5E92BC17">
      <w:pPr>
        <w:autoSpaceDE w:val="0"/>
        <w:autoSpaceDN w:val="0"/>
        <w:spacing w:line="560" w:lineRule="exact"/>
        <w:ind w:firstLine="640" w:firstLineChars="200"/>
        <w:jc w:val="both"/>
        <w:rPr>
          <w:rFonts w:ascii="Times New Roman" w:hAnsi="Times New Roman" w:eastAsia="仿宋_GB2312" w:cs="Times New Roman"/>
          <w:kern w:val="2"/>
          <w:sz w:val="32"/>
          <w:szCs w:val="24"/>
          <w:lang w:eastAsia="zh-CN"/>
        </w:rPr>
      </w:pPr>
      <w:r>
        <w:rPr>
          <w:rFonts w:hint="eastAsia" w:ascii="Times New Roman" w:hAnsi="Times New Roman" w:eastAsia="仿宋_GB2312" w:cs="Times New Roman"/>
          <w:kern w:val="2"/>
          <w:sz w:val="32"/>
          <w:szCs w:val="24"/>
          <w:lang w:eastAsia="zh-CN"/>
        </w:rPr>
        <w:t>以下为全省各地区质量指标“法定审限内结案率”实际完成值：</w:t>
      </w:r>
    </w:p>
    <w:tbl>
      <w:tblPr>
        <w:tblStyle w:val="19"/>
        <w:tblW w:w="4998" w:type="pct"/>
        <w:tblInd w:w="0" w:type="dxa"/>
        <w:tblLayout w:type="autofit"/>
        <w:tblCellMar>
          <w:top w:w="0" w:type="dxa"/>
          <w:left w:w="108" w:type="dxa"/>
          <w:bottom w:w="0" w:type="dxa"/>
          <w:right w:w="108" w:type="dxa"/>
        </w:tblCellMar>
      </w:tblPr>
      <w:tblGrid>
        <w:gridCol w:w="2119"/>
        <w:gridCol w:w="2119"/>
        <w:gridCol w:w="2119"/>
        <w:gridCol w:w="2120"/>
      </w:tblGrid>
      <w:tr w14:paraId="36561E57">
        <w:tblPrEx>
          <w:tblCellMar>
            <w:top w:w="0" w:type="dxa"/>
            <w:left w:w="108" w:type="dxa"/>
            <w:bottom w:w="0" w:type="dxa"/>
            <w:right w:w="108" w:type="dxa"/>
          </w:tblCellMar>
        </w:tblPrEx>
        <w:trPr>
          <w:trHeight w:val="454" w:hRule="exact"/>
          <w:tblHeader/>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B51C2E2">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563F5E5">
            <w:pPr>
              <w:jc w:val="center"/>
              <w:rPr>
                <w:rFonts w:ascii="宋体" w:hAnsi="宋体" w:eastAsia="宋体" w:cs="宋体"/>
                <w:b/>
                <w:color w:val="000000"/>
                <w:lang w:eastAsia="zh-CN"/>
              </w:rPr>
            </w:pPr>
            <w:r>
              <w:rPr>
                <w:rFonts w:hint="eastAsia" w:ascii="宋体" w:hAnsi="宋体" w:eastAsia="宋体" w:cs="宋体"/>
                <w:b/>
                <w:color w:val="000000"/>
                <w:lang w:eastAsia="zh-CN"/>
              </w:rPr>
              <w:t>法定审限内结案率</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6B6B64F">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A037997">
            <w:pPr>
              <w:jc w:val="center"/>
              <w:rPr>
                <w:rFonts w:ascii="宋体" w:hAnsi="宋体" w:eastAsia="宋体" w:cs="宋体"/>
                <w:b/>
                <w:color w:val="000000"/>
                <w:lang w:eastAsia="zh-CN"/>
              </w:rPr>
            </w:pPr>
            <w:r>
              <w:rPr>
                <w:rFonts w:hint="eastAsia" w:ascii="宋体" w:hAnsi="宋体" w:eastAsia="宋体" w:cs="宋体"/>
                <w:b/>
                <w:color w:val="000000"/>
                <w:lang w:eastAsia="zh-CN"/>
              </w:rPr>
              <w:t>法定审限内结案率</w:t>
            </w:r>
          </w:p>
        </w:tc>
      </w:tr>
      <w:tr w14:paraId="49583323">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0F783ED">
            <w:pPr>
              <w:jc w:val="center"/>
              <w:rPr>
                <w:rFonts w:ascii="宋体" w:hAnsi="宋体" w:eastAsia="宋体" w:cs="宋体"/>
                <w:bCs/>
              </w:rPr>
            </w:pPr>
            <w:r>
              <w:rPr>
                <w:rFonts w:hint="eastAsia" w:ascii="宋体" w:hAnsi="宋体" w:eastAsia="宋体" w:cs="宋体"/>
                <w:bCs/>
                <w:lang w:eastAsia="zh-CN"/>
              </w:rPr>
              <w:t>白银</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75825C3">
            <w:pPr>
              <w:jc w:val="center"/>
              <w:rPr>
                <w:rFonts w:ascii="宋体" w:hAnsi="宋体" w:eastAsia="宋体" w:cs="宋体"/>
                <w:bCs/>
              </w:rPr>
            </w:pPr>
            <w:r>
              <w:rPr>
                <w:rFonts w:hint="eastAsia" w:ascii="宋体" w:hAnsi="宋体" w:eastAsia="宋体" w:cs="宋体"/>
                <w:bCs/>
                <w:lang w:eastAsia="zh-CN"/>
              </w:rPr>
              <w:t>95.29</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0AB9F42">
            <w:pPr>
              <w:jc w:val="center"/>
              <w:rPr>
                <w:rFonts w:ascii="宋体" w:hAnsi="宋体" w:eastAsia="宋体" w:cs="宋体"/>
                <w:bCs/>
                <w:lang w:eastAsia="zh-CN"/>
              </w:rPr>
            </w:pPr>
            <w:r>
              <w:rPr>
                <w:rFonts w:hint="eastAsia" w:ascii="宋体" w:hAnsi="宋体" w:eastAsia="宋体" w:cs="宋体"/>
                <w:bCs/>
                <w:lang w:eastAsia="zh-CN"/>
              </w:rPr>
              <w:t>嘉峪关</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82FCD98">
            <w:pPr>
              <w:jc w:val="center"/>
              <w:rPr>
                <w:rFonts w:ascii="宋体" w:hAnsi="宋体" w:eastAsia="宋体" w:cs="宋体"/>
                <w:bCs/>
                <w:lang w:eastAsia="zh-CN"/>
              </w:rPr>
            </w:pPr>
            <w:r>
              <w:rPr>
                <w:rFonts w:hint="eastAsia" w:ascii="宋体" w:hAnsi="宋体" w:eastAsia="宋体" w:cs="宋体"/>
                <w:bCs/>
                <w:lang w:eastAsia="zh-CN"/>
              </w:rPr>
              <w:t>86.81%</w:t>
            </w:r>
          </w:p>
        </w:tc>
      </w:tr>
      <w:tr w14:paraId="32010EE2">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5CF6643">
            <w:pPr>
              <w:jc w:val="center"/>
              <w:rPr>
                <w:rFonts w:ascii="宋体" w:hAnsi="宋体" w:eastAsia="宋体" w:cs="宋体"/>
                <w:bCs/>
                <w:lang w:eastAsia="zh-CN"/>
              </w:rPr>
            </w:pPr>
            <w:r>
              <w:rPr>
                <w:rFonts w:hint="eastAsia" w:ascii="宋体" w:hAnsi="宋体" w:eastAsia="宋体" w:cs="宋体"/>
                <w:bCs/>
                <w:lang w:eastAsia="zh-CN"/>
              </w:rPr>
              <w:t>天水</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637A5D">
            <w:pPr>
              <w:jc w:val="center"/>
              <w:rPr>
                <w:rFonts w:ascii="宋体" w:hAnsi="宋体" w:eastAsia="宋体" w:cs="宋体"/>
                <w:bCs/>
              </w:rPr>
            </w:pPr>
            <w:r>
              <w:rPr>
                <w:rFonts w:hint="eastAsia" w:ascii="宋体" w:hAnsi="宋体" w:eastAsia="宋体" w:cs="宋体"/>
                <w:bCs/>
                <w:lang w:eastAsia="zh-CN"/>
              </w:rPr>
              <w:t>95.90</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E0768AC">
            <w:pPr>
              <w:jc w:val="center"/>
              <w:rPr>
                <w:rFonts w:ascii="宋体" w:hAnsi="宋体" w:eastAsia="宋体" w:cs="宋体"/>
                <w:bCs/>
                <w:lang w:eastAsia="zh-CN"/>
              </w:rPr>
            </w:pPr>
            <w:r>
              <w:rPr>
                <w:rFonts w:hint="eastAsia" w:ascii="宋体" w:hAnsi="宋体" w:eastAsia="宋体" w:cs="宋体"/>
                <w:bCs/>
                <w:lang w:eastAsia="zh-CN"/>
              </w:rPr>
              <w:t>武威</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B4A3C6C">
            <w:pPr>
              <w:jc w:val="center"/>
              <w:rPr>
                <w:rFonts w:ascii="宋体" w:hAnsi="宋体" w:eastAsia="宋体" w:cs="宋体"/>
                <w:bCs/>
                <w:lang w:eastAsia="zh-CN"/>
              </w:rPr>
            </w:pPr>
            <w:r>
              <w:rPr>
                <w:rFonts w:hint="eastAsia" w:ascii="宋体" w:hAnsi="宋体" w:eastAsia="宋体" w:cs="宋体"/>
                <w:bCs/>
                <w:lang w:eastAsia="zh-CN"/>
              </w:rPr>
              <w:t>94.38%</w:t>
            </w:r>
          </w:p>
        </w:tc>
      </w:tr>
      <w:tr w14:paraId="6DBB60A7">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CF0426">
            <w:pPr>
              <w:jc w:val="center"/>
              <w:rPr>
                <w:rFonts w:ascii="宋体" w:hAnsi="宋体" w:eastAsia="宋体" w:cs="宋体"/>
                <w:bCs/>
              </w:rPr>
            </w:pPr>
            <w:r>
              <w:rPr>
                <w:rFonts w:hint="eastAsia" w:ascii="宋体" w:hAnsi="宋体" w:eastAsia="宋体" w:cs="宋体"/>
                <w:bCs/>
                <w:lang w:eastAsia="zh-CN"/>
              </w:rPr>
              <w:t>庆阳</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7D3D793">
            <w:pPr>
              <w:jc w:val="center"/>
              <w:rPr>
                <w:rFonts w:ascii="宋体" w:hAnsi="宋体" w:eastAsia="宋体" w:cs="宋体"/>
                <w:bCs/>
              </w:rPr>
            </w:pPr>
            <w:r>
              <w:rPr>
                <w:rFonts w:hint="eastAsia" w:ascii="宋体" w:hAnsi="宋体" w:eastAsia="宋体" w:cs="宋体"/>
                <w:bCs/>
                <w:lang w:eastAsia="zh-CN"/>
              </w:rPr>
              <w:t>95.93</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1AF3D19">
            <w:pPr>
              <w:jc w:val="center"/>
              <w:rPr>
                <w:rFonts w:ascii="宋体" w:hAnsi="宋体" w:eastAsia="宋体" w:cs="宋体"/>
                <w:bCs/>
                <w:lang w:eastAsia="zh-CN"/>
              </w:rPr>
            </w:pPr>
            <w:r>
              <w:rPr>
                <w:rFonts w:hint="eastAsia" w:ascii="宋体" w:hAnsi="宋体" w:eastAsia="宋体" w:cs="宋体"/>
                <w:bCs/>
                <w:lang w:eastAsia="zh-CN"/>
              </w:rPr>
              <w:t>陇南</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C202969">
            <w:pPr>
              <w:jc w:val="center"/>
              <w:rPr>
                <w:rFonts w:ascii="宋体" w:hAnsi="宋体" w:eastAsia="宋体" w:cs="宋体"/>
                <w:bCs/>
                <w:lang w:eastAsia="zh-CN"/>
              </w:rPr>
            </w:pPr>
            <w:r>
              <w:rPr>
                <w:rFonts w:hint="eastAsia" w:ascii="宋体" w:hAnsi="宋体" w:eastAsia="宋体" w:cs="宋体"/>
                <w:bCs/>
                <w:lang w:eastAsia="zh-CN"/>
              </w:rPr>
              <w:t>87.29%</w:t>
            </w:r>
          </w:p>
        </w:tc>
      </w:tr>
      <w:tr w14:paraId="2695A7D8">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E2BCC7B">
            <w:pPr>
              <w:jc w:val="center"/>
              <w:rPr>
                <w:rFonts w:ascii="宋体" w:hAnsi="宋体" w:eastAsia="宋体" w:cs="宋体"/>
                <w:bCs/>
              </w:rPr>
            </w:pPr>
            <w:r>
              <w:rPr>
                <w:rFonts w:hint="eastAsia" w:ascii="宋体" w:hAnsi="宋体" w:eastAsia="宋体" w:cs="宋体"/>
                <w:bCs/>
                <w:lang w:eastAsia="zh-CN"/>
              </w:rPr>
              <w:t>金昌</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647F73A">
            <w:pPr>
              <w:jc w:val="center"/>
              <w:rPr>
                <w:rFonts w:ascii="宋体" w:hAnsi="宋体" w:eastAsia="宋体" w:cs="宋体"/>
                <w:bCs/>
              </w:rPr>
            </w:pPr>
            <w:r>
              <w:rPr>
                <w:rFonts w:hint="eastAsia" w:ascii="宋体" w:hAnsi="宋体" w:eastAsia="宋体" w:cs="宋体"/>
                <w:bCs/>
                <w:lang w:eastAsia="zh-CN"/>
              </w:rPr>
              <w:t>95.18</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4AFDAC4">
            <w:pPr>
              <w:jc w:val="center"/>
              <w:rPr>
                <w:rFonts w:ascii="宋体" w:hAnsi="宋体" w:eastAsia="宋体" w:cs="宋体"/>
                <w:bCs/>
                <w:lang w:eastAsia="zh-CN"/>
              </w:rPr>
            </w:pPr>
            <w:r>
              <w:rPr>
                <w:rFonts w:hint="eastAsia" w:ascii="宋体" w:hAnsi="宋体" w:eastAsia="宋体" w:cs="宋体"/>
                <w:bCs/>
                <w:lang w:eastAsia="zh-CN"/>
              </w:rPr>
              <w:t>矿区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5CE77D3">
            <w:pPr>
              <w:jc w:val="center"/>
              <w:rPr>
                <w:rFonts w:ascii="宋体" w:hAnsi="宋体" w:eastAsia="宋体" w:cs="宋体"/>
                <w:bCs/>
                <w:lang w:eastAsia="zh-CN"/>
              </w:rPr>
            </w:pPr>
            <w:r>
              <w:rPr>
                <w:rFonts w:hint="eastAsia" w:ascii="宋体" w:hAnsi="宋体" w:eastAsia="宋体" w:cs="宋体"/>
                <w:bCs/>
                <w:lang w:eastAsia="zh-CN"/>
              </w:rPr>
              <w:t>86.13%</w:t>
            </w:r>
          </w:p>
        </w:tc>
      </w:tr>
      <w:tr w14:paraId="756E5154">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1B5DD1B">
            <w:pPr>
              <w:jc w:val="center"/>
              <w:rPr>
                <w:rFonts w:ascii="宋体" w:hAnsi="宋体" w:eastAsia="宋体" w:cs="宋体"/>
                <w:bCs/>
              </w:rPr>
            </w:pPr>
            <w:r>
              <w:rPr>
                <w:rFonts w:hint="eastAsia" w:ascii="宋体" w:hAnsi="宋体" w:eastAsia="宋体" w:cs="宋体"/>
                <w:bCs/>
                <w:lang w:eastAsia="zh-CN"/>
              </w:rPr>
              <w:t>酒泉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AFAB26D">
            <w:pPr>
              <w:jc w:val="center"/>
              <w:rPr>
                <w:rFonts w:ascii="宋体" w:hAnsi="宋体" w:eastAsia="宋体" w:cs="宋体"/>
                <w:bCs/>
                <w:lang w:eastAsia="zh-CN"/>
              </w:rPr>
            </w:pPr>
            <w:r>
              <w:rPr>
                <w:rFonts w:hint="eastAsia" w:ascii="宋体" w:hAnsi="宋体" w:eastAsia="宋体" w:cs="宋体"/>
                <w:bCs/>
                <w:lang w:eastAsia="zh-CN"/>
              </w:rPr>
              <w:t>94.68%</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5C82445">
            <w:pPr>
              <w:jc w:val="center"/>
              <w:rPr>
                <w:rFonts w:ascii="宋体" w:hAnsi="宋体" w:eastAsia="宋体" w:cs="宋体"/>
                <w:bCs/>
                <w:lang w:eastAsia="zh-CN"/>
              </w:rPr>
            </w:pPr>
            <w:r>
              <w:rPr>
                <w:rFonts w:hint="eastAsia" w:ascii="宋体" w:hAnsi="宋体" w:eastAsia="宋体" w:cs="宋体"/>
                <w:bCs/>
                <w:lang w:eastAsia="zh-CN"/>
              </w:rPr>
              <w:t>临夏</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6A70DC8">
            <w:pPr>
              <w:jc w:val="center"/>
              <w:rPr>
                <w:rFonts w:ascii="宋体" w:hAnsi="宋体" w:eastAsia="宋体" w:cs="宋体"/>
                <w:bCs/>
                <w:lang w:eastAsia="zh-CN"/>
              </w:rPr>
            </w:pPr>
            <w:r>
              <w:rPr>
                <w:rFonts w:hint="eastAsia" w:ascii="宋体" w:hAnsi="宋体" w:eastAsia="宋体" w:cs="宋体"/>
                <w:bCs/>
                <w:lang w:eastAsia="zh-CN"/>
              </w:rPr>
              <w:t>86.55%</w:t>
            </w:r>
          </w:p>
        </w:tc>
      </w:tr>
      <w:tr w14:paraId="48173573">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A0C3F60">
            <w:pPr>
              <w:jc w:val="center"/>
              <w:rPr>
                <w:rFonts w:ascii="宋体" w:hAnsi="宋体" w:eastAsia="宋体" w:cs="宋体"/>
                <w:bCs/>
              </w:rPr>
            </w:pPr>
            <w:r>
              <w:rPr>
                <w:rFonts w:hint="eastAsia" w:ascii="宋体" w:hAnsi="宋体" w:eastAsia="宋体" w:cs="宋体"/>
                <w:bCs/>
                <w:lang w:eastAsia="zh-CN"/>
              </w:rPr>
              <w:t>张掖</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BDB5D6D">
            <w:pPr>
              <w:jc w:val="center"/>
              <w:rPr>
                <w:rFonts w:ascii="宋体" w:hAnsi="宋体" w:eastAsia="宋体" w:cs="宋体"/>
                <w:bCs/>
                <w:lang w:eastAsia="zh-CN"/>
              </w:rPr>
            </w:pPr>
            <w:r>
              <w:rPr>
                <w:rFonts w:hint="eastAsia" w:ascii="宋体" w:hAnsi="宋体" w:eastAsia="宋体" w:cs="宋体"/>
                <w:bCs/>
                <w:lang w:eastAsia="zh-CN"/>
              </w:rPr>
              <w:t>94.45%</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D19ABF7">
            <w:pPr>
              <w:jc w:val="center"/>
              <w:rPr>
                <w:rFonts w:ascii="宋体" w:hAnsi="宋体" w:eastAsia="宋体" w:cs="宋体"/>
                <w:bCs/>
                <w:lang w:eastAsia="zh-CN"/>
              </w:rPr>
            </w:pPr>
            <w:r>
              <w:rPr>
                <w:rFonts w:hint="eastAsia" w:ascii="宋体" w:hAnsi="宋体" w:eastAsia="宋体" w:cs="宋体"/>
                <w:bCs/>
                <w:lang w:eastAsia="zh-CN"/>
              </w:rPr>
              <w:t>兰铁</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FACAEB7">
            <w:pPr>
              <w:jc w:val="center"/>
              <w:rPr>
                <w:rFonts w:ascii="宋体" w:hAnsi="宋体" w:eastAsia="宋体" w:cs="宋体"/>
                <w:bCs/>
                <w:lang w:eastAsia="zh-CN"/>
              </w:rPr>
            </w:pPr>
            <w:r>
              <w:rPr>
                <w:rFonts w:hint="eastAsia" w:ascii="宋体" w:hAnsi="宋体" w:eastAsia="宋体" w:cs="宋体"/>
                <w:bCs/>
                <w:lang w:eastAsia="zh-CN"/>
              </w:rPr>
              <w:t>94.28%</w:t>
            </w:r>
          </w:p>
        </w:tc>
      </w:tr>
      <w:tr w14:paraId="1C39F882">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E9E23B1">
            <w:pPr>
              <w:jc w:val="center"/>
              <w:rPr>
                <w:rFonts w:ascii="宋体" w:hAnsi="宋体" w:eastAsia="宋体" w:cs="宋体"/>
                <w:bCs/>
              </w:rPr>
            </w:pPr>
            <w:r>
              <w:rPr>
                <w:rFonts w:hint="eastAsia" w:ascii="宋体" w:hAnsi="宋体" w:eastAsia="宋体" w:cs="宋体"/>
                <w:bCs/>
                <w:lang w:eastAsia="zh-CN"/>
              </w:rPr>
              <w:t>定西</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F851173">
            <w:pPr>
              <w:jc w:val="center"/>
              <w:rPr>
                <w:rFonts w:ascii="宋体" w:hAnsi="宋体" w:eastAsia="宋体" w:cs="宋体"/>
                <w:bCs/>
              </w:rPr>
            </w:pPr>
            <w:r>
              <w:rPr>
                <w:rFonts w:hint="eastAsia" w:ascii="宋体" w:hAnsi="宋体" w:eastAsia="宋体" w:cs="宋体"/>
                <w:bCs/>
                <w:lang w:eastAsia="zh-CN"/>
              </w:rPr>
              <w:t>95.40</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2834E5">
            <w:pPr>
              <w:jc w:val="center"/>
              <w:rPr>
                <w:rFonts w:ascii="宋体" w:hAnsi="宋体" w:eastAsia="宋体" w:cs="宋体"/>
                <w:bCs/>
                <w:lang w:eastAsia="zh-CN"/>
              </w:rPr>
            </w:pPr>
            <w:r>
              <w:rPr>
                <w:rFonts w:hint="eastAsia" w:ascii="宋体" w:hAnsi="宋体" w:eastAsia="宋体" w:cs="宋体"/>
                <w:bCs/>
                <w:lang w:eastAsia="zh-CN"/>
              </w:rPr>
              <w:t>林区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D7620DD">
            <w:pPr>
              <w:jc w:val="center"/>
              <w:rPr>
                <w:rFonts w:ascii="宋体" w:hAnsi="宋体" w:eastAsia="宋体" w:cs="宋体"/>
                <w:bCs/>
                <w:lang w:eastAsia="zh-CN"/>
              </w:rPr>
            </w:pPr>
            <w:r>
              <w:rPr>
                <w:rFonts w:hint="eastAsia" w:ascii="宋体" w:hAnsi="宋体" w:eastAsia="宋体" w:cs="宋体"/>
                <w:bCs/>
                <w:lang w:eastAsia="zh-CN"/>
              </w:rPr>
              <w:t>94.93%</w:t>
            </w:r>
          </w:p>
        </w:tc>
      </w:tr>
      <w:tr w14:paraId="0C9DEA48">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967EBFA">
            <w:pPr>
              <w:jc w:val="center"/>
              <w:rPr>
                <w:rFonts w:ascii="宋体" w:hAnsi="宋体" w:eastAsia="宋体" w:cs="宋体"/>
                <w:bCs/>
                <w:lang w:eastAsia="zh-CN"/>
              </w:rPr>
            </w:pPr>
            <w:r>
              <w:rPr>
                <w:rFonts w:hint="eastAsia" w:ascii="宋体" w:hAnsi="宋体" w:eastAsia="宋体" w:cs="宋体"/>
                <w:bCs/>
                <w:lang w:eastAsia="zh-CN"/>
              </w:rPr>
              <w:t>平凉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E255437">
            <w:pPr>
              <w:jc w:val="center"/>
              <w:rPr>
                <w:rFonts w:ascii="宋体" w:hAnsi="宋体" w:eastAsia="宋体" w:cs="宋体"/>
                <w:bCs/>
              </w:rPr>
            </w:pPr>
            <w:r>
              <w:rPr>
                <w:rFonts w:hint="eastAsia" w:ascii="宋体" w:hAnsi="宋体" w:eastAsia="宋体" w:cs="宋体"/>
                <w:bCs/>
                <w:lang w:eastAsia="zh-CN"/>
              </w:rPr>
              <w:t>94.43</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B5A6C0C">
            <w:pPr>
              <w:jc w:val="center"/>
              <w:rPr>
                <w:rFonts w:ascii="宋体" w:hAnsi="宋体" w:eastAsia="宋体" w:cs="宋体"/>
                <w:bCs/>
                <w:lang w:eastAsia="zh-CN"/>
              </w:rPr>
            </w:pPr>
            <w:r>
              <w:rPr>
                <w:rFonts w:hint="eastAsia" w:ascii="宋体" w:hAnsi="宋体" w:eastAsia="宋体" w:cs="宋体"/>
                <w:bCs/>
                <w:lang w:eastAsia="zh-CN"/>
              </w:rPr>
              <w:t>兰州</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CFADE55">
            <w:pPr>
              <w:jc w:val="center"/>
              <w:rPr>
                <w:rFonts w:ascii="宋体" w:hAnsi="宋体" w:eastAsia="宋体" w:cs="宋体"/>
                <w:bCs/>
                <w:lang w:eastAsia="zh-CN"/>
              </w:rPr>
            </w:pPr>
            <w:r>
              <w:rPr>
                <w:rFonts w:hint="eastAsia" w:ascii="宋体" w:hAnsi="宋体" w:eastAsia="宋体" w:cs="宋体"/>
                <w:bCs/>
                <w:lang w:eastAsia="zh-CN"/>
              </w:rPr>
              <w:t>62.18%</w:t>
            </w:r>
          </w:p>
        </w:tc>
      </w:tr>
      <w:tr w14:paraId="7A1A3C1E">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393FE68">
            <w:pPr>
              <w:jc w:val="center"/>
              <w:rPr>
                <w:rFonts w:ascii="宋体" w:hAnsi="宋体" w:eastAsia="宋体" w:cs="宋体"/>
                <w:lang w:eastAsia="zh-CN"/>
              </w:rPr>
            </w:pPr>
            <w:r>
              <w:rPr>
                <w:rFonts w:hint="eastAsia" w:ascii="宋体" w:hAnsi="宋体" w:eastAsia="宋体" w:cs="宋体"/>
                <w:bCs/>
                <w:lang w:eastAsia="zh-CN"/>
              </w:rPr>
              <w:t>甘南</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702F27C">
            <w:pPr>
              <w:jc w:val="center"/>
              <w:rPr>
                <w:rFonts w:ascii="宋体" w:hAnsi="宋体" w:eastAsia="宋体" w:cs="宋体"/>
                <w:bCs/>
                <w:lang w:eastAsia="zh-CN"/>
              </w:rPr>
            </w:pPr>
            <w:r>
              <w:rPr>
                <w:rFonts w:hint="eastAsia" w:ascii="宋体" w:hAnsi="宋体" w:eastAsia="宋体" w:cs="宋体"/>
                <w:bCs/>
                <w:lang w:eastAsia="zh-CN"/>
              </w:rPr>
              <w:t>94.28%</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BFA9AD4">
            <w:pPr>
              <w:jc w:val="center"/>
              <w:rPr>
                <w:rFonts w:ascii="宋体" w:hAnsi="宋体" w:eastAsia="宋体" w:cs="宋体"/>
                <w:bCs/>
                <w:lang w:eastAsia="zh-CN"/>
              </w:rPr>
            </w:pP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817AB3E">
            <w:pPr>
              <w:jc w:val="center"/>
              <w:rPr>
                <w:rFonts w:ascii="宋体" w:hAnsi="宋体" w:eastAsia="宋体" w:cs="宋体"/>
                <w:bCs/>
                <w:lang w:eastAsia="zh-CN"/>
              </w:rPr>
            </w:pPr>
          </w:p>
        </w:tc>
      </w:tr>
    </w:tbl>
    <w:p w14:paraId="1492BB21">
      <w:pPr>
        <w:overflowPunct w:val="0"/>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由上可见，各法院不断完善审判管理机制，强化对审判权的监督，提升审判体系和审判能力现代化水平，以案件评查为切入点，重点对发回重审案件、改判案件、信访案件进行逐案评查，分析原因汲取教训，不断提高办案水平，不断促进审判质效的提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大部分辖区法院法定审限内结案率在90%以上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一审服判息诉率在85%以上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对执行案件进行全面评查，坚持依法纠错，审结再审案件，再审审查率普遍较低，通过发挥审判职能，不断提高办案水平和办案质效，切实彰显了司法公平正义，维护了人民群众合法权益。</w:t>
      </w:r>
    </w:p>
    <w:p w14:paraId="17B31A54">
      <w:pPr>
        <w:overflowPunct w:val="0"/>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信息化运维服务完成率：指标分值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eastAsia="zh-CN"/>
        </w:rPr>
        <w:t>2020年第一次院党组会研究通过了</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eastAsia="zh-CN"/>
        </w:rPr>
        <w:t>大运维中心建设方案，要求</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eastAsia="zh-CN"/>
        </w:rPr>
        <w:t>大运维中心引入运维监理，通过第三方监管，确保运维服务合同内容和各项运维工作要求得到有效履行。委托</w:t>
      </w:r>
      <w:r>
        <w:rPr>
          <w:rFonts w:hint="eastAsia" w:ascii="仿宋_GB2312" w:hAnsi="仿宋_GB2312" w:eastAsia="仿宋_GB2312" w:cs="仿宋_GB2312"/>
          <w:sz w:val="32"/>
          <w:szCs w:val="32"/>
          <w:highlight w:val="none"/>
          <w:lang w:val="en-US" w:eastAsia="zh-CN"/>
        </w:rPr>
        <w:t>第三方</w:t>
      </w:r>
      <w:r>
        <w:rPr>
          <w:rFonts w:hint="eastAsia" w:ascii="仿宋_GB2312" w:hAnsi="仿宋_GB2312" w:eastAsia="仿宋_GB2312" w:cs="仿宋_GB2312"/>
          <w:sz w:val="32"/>
          <w:szCs w:val="32"/>
          <w:highlight w:val="none"/>
          <w:lang w:eastAsia="zh-CN"/>
        </w:rPr>
        <w:t>公司承担全省法院信息化系统运维外包监理服务，对运维服务实施过程和质效进行全程监理评估，信息化系统运维</w:t>
      </w:r>
      <w:r>
        <w:rPr>
          <w:rFonts w:hint="eastAsia" w:ascii="仿宋_GB2312" w:hAnsi="仿宋_GB2312" w:eastAsia="仿宋_GB2312" w:cs="仿宋_GB2312"/>
          <w:sz w:val="32"/>
          <w:szCs w:val="32"/>
          <w:highlight w:val="none"/>
          <w:lang w:val="en-US" w:eastAsia="zh-CN"/>
        </w:rPr>
        <w:t>服务完成率</w:t>
      </w:r>
      <w:r>
        <w:rPr>
          <w:rFonts w:hint="eastAsia" w:ascii="仿宋_GB2312" w:hAnsi="仿宋_GB2312" w:eastAsia="仿宋_GB2312" w:cs="仿宋_GB2312"/>
          <w:sz w:val="32"/>
          <w:szCs w:val="32"/>
          <w:highlight w:val="none"/>
          <w:lang w:eastAsia="zh-CN"/>
        </w:rPr>
        <w:t>达到100%。</w:t>
      </w:r>
    </w:p>
    <w:p w14:paraId="594CA889">
      <w:pPr>
        <w:overflowPunct w:val="0"/>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维修维护项目完成率：指标分值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全省各中、基层法院</w:t>
      </w:r>
      <w:r>
        <w:rPr>
          <w:rFonts w:hint="eastAsia" w:ascii="仿宋_GB2312" w:hAnsi="仿宋_GB2312" w:eastAsia="仿宋_GB2312" w:cs="仿宋_GB2312"/>
          <w:sz w:val="32"/>
          <w:szCs w:val="32"/>
          <w:highlight w:val="none"/>
        </w:rPr>
        <w:t>针对审判庭灯光昏暗、回声较大、信号传输不稳定、视频画面模糊等问题，积极汇报争取，进行了维修改造，进一步提升了审判庭的科技化水平，保证了庭审效果，较好地发挥了庭审直播宣传法律、教育群众的作用。</w:t>
      </w:r>
      <w:r>
        <w:rPr>
          <w:rFonts w:hint="eastAsia" w:ascii="仿宋_GB2312" w:hAnsi="仿宋_GB2312" w:eastAsia="仿宋_GB2312" w:cs="仿宋_GB2312"/>
          <w:sz w:val="32"/>
          <w:szCs w:val="32"/>
          <w:highlight w:val="none"/>
          <w:lang w:val="en-US" w:eastAsia="zh-CN"/>
        </w:rPr>
        <w:t>全省法院</w:t>
      </w:r>
      <w:r>
        <w:rPr>
          <w:rFonts w:hint="eastAsia" w:ascii="仿宋_GB2312" w:hAnsi="仿宋_GB2312" w:eastAsia="仿宋_GB2312" w:cs="仿宋_GB2312"/>
          <w:sz w:val="32"/>
          <w:szCs w:val="32"/>
          <w:highlight w:val="none"/>
        </w:rPr>
        <w:t>以改善办公环境，提高工作效率，树立良好形象为出发点，本着“整体推进、重点实施，功能配套”的原则，切实改善干警工作条件，通过完善基础设施的措施，有效调动了全院干警干事</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的积极性和主动性。</w:t>
      </w:r>
    </w:p>
    <w:bookmarkEnd w:id="143"/>
    <w:bookmarkEnd w:id="144"/>
    <w:p w14:paraId="48FBF47F">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14:paraId="62128216">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办案经费支付及时率：指标分值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分。年度指标值=100%，实际办案经费支付及时率100%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甘肃省高级人民法院</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加强沟通对接，及时掌握市县法院的运转情况、基础数据、资金需求、重点工作等方面情况，认真听取法院系统的诉求和建议，反复协调沟通，努力保障法院系统开展业务的经费需要，推动法院办案水平和群众公共安全感指数显著提升。</w:t>
      </w:r>
    </w:p>
    <w:p w14:paraId="7A280574">
      <w:pPr>
        <w:pStyle w:val="26"/>
        <w:overflowPunct w:val="0"/>
        <w:spacing w:line="560" w:lineRule="exact"/>
        <w:ind w:firstLine="640"/>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信息化运维工作及时性：</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指标分</w:t>
      </w:r>
      <w:r>
        <w:rPr>
          <w:rFonts w:hint="eastAsia" w:ascii="仿宋_GB2312" w:hAnsi="仿宋_GB2312" w:eastAsia="仿宋_GB2312" w:cs="仿宋_GB2312"/>
          <w:color w:val="000000" w:themeColor="text1"/>
          <w:sz w:val="32"/>
          <w:szCs w:val="32"/>
          <w:highlight w:val="none"/>
          <w14:textFill>
            <w14:solidFill>
              <w14:schemeClr w14:val="tx1"/>
            </w14:solidFill>
          </w14:textFill>
        </w:rPr>
        <w:t>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分。为建设现代化法院，实现案件审判工作及其他各项管理全过程的科学化、规范化、协同化，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各中、基层法院</w:t>
      </w:r>
      <w:r>
        <w:rPr>
          <w:rFonts w:hint="eastAsia" w:ascii="仿宋_GB2312" w:hAnsi="仿宋_GB2312" w:eastAsia="仿宋_GB2312" w:cs="仿宋_GB2312"/>
          <w:color w:val="000000" w:themeColor="text1"/>
          <w:sz w:val="32"/>
          <w:szCs w:val="32"/>
          <w:highlight w:val="none"/>
          <w14:textFill>
            <w14:solidFill>
              <w14:schemeClr w14:val="tx1"/>
            </w14:solidFill>
          </w14:textFill>
        </w:rPr>
        <w:t>及时开展了信息化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建设及运维工作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，及时对法院各类办公办案业务应用系统、远程提讯和远程接访等系统开展检查维护和技术支持，积极调动技术人员力量，切实将故障隐患排查清零，保障法院各项工作正常进行。</w:t>
      </w:r>
    </w:p>
    <w:p w14:paraId="199EB187">
      <w:pPr>
        <w:pStyle w:val="26"/>
        <w:overflowPunct w:val="0"/>
        <w:spacing w:line="560" w:lineRule="exact"/>
        <w:ind w:firstLine="640"/>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维修修护及时性：</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highlight w:val="none"/>
          <w:lang w:val="en-US" w:eastAsia="zh-CN"/>
        </w:rPr>
        <w:t>全省法院</w:t>
      </w:r>
      <w:r>
        <w:rPr>
          <w:rFonts w:hint="eastAsia" w:ascii="仿宋_GB2312" w:hAnsi="仿宋_GB2312" w:eastAsia="仿宋_GB2312" w:cs="仿宋_GB2312"/>
          <w:sz w:val="32"/>
          <w:szCs w:val="32"/>
          <w:highlight w:val="none"/>
          <w:lang w:eastAsia="zh-CN"/>
        </w:rPr>
        <w:t>把握后勤保障工作现代化的正确方向，时刻牢记服务司法审判工作这一核心任务，以事无巨细、严谨细致的工作作风在日常后勤管理和各类</w:t>
      </w:r>
      <w:r>
        <w:rPr>
          <w:rFonts w:hint="eastAsia" w:ascii="仿宋_GB2312" w:hAnsi="仿宋_GB2312" w:eastAsia="仿宋_GB2312" w:cs="仿宋_GB2312"/>
          <w:sz w:val="32"/>
          <w:szCs w:val="32"/>
          <w:highlight w:val="none"/>
          <w:lang w:val="en-US" w:eastAsia="zh-CN"/>
        </w:rPr>
        <w:t>设施设备维修维护工作</w:t>
      </w:r>
      <w:r>
        <w:rPr>
          <w:rFonts w:hint="eastAsia" w:ascii="仿宋_GB2312" w:hAnsi="仿宋_GB2312" w:eastAsia="仿宋_GB2312" w:cs="仿宋_GB2312"/>
          <w:sz w:val="32"/>
          <w:szCs w:val="32"/>
          <w:highlight w:val="none"/>
          <w:lang w:eastAsia="zh-CN"/>
        </w:rPr>
        <w:t>上均能做到及时应对和妥善处理，服务效能进一步提升。</w:t>
      </w:r>
    </w:p>
    <w:p w14:paraId="18777DDD">
      <w:pPr>
        <w:pStyle w:val="9"/>
        <w:overflowPunct w:val="0"/>
        <w:spacing w:line="560" w:lineRule="exact"/>
        <w:ind w:firstLine="643" w:firstLineChars="200"/>
        <w:outlineLvl w:val="1"/>
        <w:rPr>
          <w:rFonts w:ascii="楷体" w:hAnsi="楷体" w:eastAsia="楷体" w:cs="楷体"/>
          <w:b/>
          <w:bCs/>
          <w:highlight w:val="none"/>
        </w:rPr>
      </w:pPr>
      <w:bookmarkStart w:id="145" w:name="_Toc19675"/>
      <w:bookmarkStart w:id="146" w:name="_Toc4582"/>
      <w:bookmarkStart w:id="147" w:name="_Toc15292"/>
      <w:r>
        <w:rPr>
          <w:rFonts w:hint="eastAsia" w:ascii="楷体" w:hAnsi="楷体" w:eastAsia="楷体" w:cs="楷体"/>
          <w:b/>
          <w:bCs/>
          <w:highlight w:val="none"/>
        </w:rPr>
        <w:t>（</w:t>
      </w:r>
      <w:r>
        <w:rPr>
          <w:rFonts w:hint="eastAsia" w:ascii="楷体" w:hAnsi="楷体" w:eastAsia="楷体" w:cs="楷体"/>
          <w:b/>
          <w:bCs/>
          <w:highlight w:val="none"/>
          <w:lang w:val="en-US" w:eastAsia="zh-CN"/>
        </w:rPr>
        <w:t>五</w:t>
      </w:r>
      <w:r>
        <w:rPr>
          <w:rFonts w:hint="eastAsia" w:ascii="楷体" w:hAnsi="楷体" w:eastAsia="楷体" w:cs="楷体"/>
          <w:b/>
          <w:bCs/>
          <w:highlight w:val="none"/>
        </w:rPr>
        <w:t>）项目效益情况</w:t>
      </w:r>
      <w:bookmarkEnd w:id="145"/>
      <w:bookmarkEnd w:id="146"/>
      <w:bookmarkEnd w:id="147"/>
    </w:p>
    <w:p w14:paraId="3853DDEC">
      <w:pPr>
        <w:pStyle w:val="9"/>
        <w:tabs>
          <w:tab w:val="left" w:pos="0"/>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项目效益指标包括</w:t>
      </w:r>
      <w:r>
        <w:rPr>
          <w:rFonts w:hint="eastAsia" w:ascii="仿宋_GB2312" w:hAnsi="仿宋_GB2312" w:cs="仿宋_GB2312"/>
          <w:highlight w:val="none"/>
          <w:lang w:val="en-US" w:eastAsia="zh-CN"/>
        </w:rPr>
        <w:t>经济效益指标、</w:t>
      </w:r>
      <w:r>
        <w:rPr>
          <w:rFonts w:hint="eastAsia" w:ascii="仿宋_GB2312" w:hAnsi="仿宋_GB2312" w:cs="仿宋_GB2312"/>
          <w:highlight w:val="none"/>
        </w:rPr>
        <w:t>社会效益指标、</w:t>
      </w:r>
      <w:r>
        <w:rPr>
          <w:rFonts w:hint="eastAsia" w:ascii="仿宋_GB2312" w:hAnsi="仿宋_GB2312" w:cs="仿宋_GB2312"/>
          <w:highlight w:val="none"/>
          <w:lang w:val="en-US" w:eastAsia="zh-CN"/>
        </w:rPr>
        <w:t>生态效益指标、</w:t>
      </w:r>
      <w:r>
        <w:rPr>
          <w:rFonts w:hint="eastAsia" w:ascii="仿宋_GB2312" w:hAnsi="仿宋_GB2312" w:cs="仿宋_GB2312"/>
          <w:highlight w:val="none"/>
        </w:rPr>
        <w:t>服务对象满意度</w:t>
      </w:r>
      <w:r>
        <w:rPr>
          <w:rFonts w:hint="eastAsia" w:ascii="仿宋_GB2312" w:hAnsi="仿宋_GB2312" w:cs="仿宋_GB2312"/>
          <w:highlight w:val="none"/>
          <w:lang w:val="en-US" w:eastAsia="zh-CN"/>
        </w:rPr>
        <w:t>四</w:t>
      </w:r>
      <w:r>
        <w:rPr>
          <w:rFonts w:hint="eastAsia" w:ascii="仿宋_GB2312" w:hAnsi="仿宋_GB2312" w:cs="仿宋_GB2312"/>
          <w:highlight w:val="none"/>
        </w:rPr>
        <w:t>个二级指标，下设</w:t>
      </w:r>
      <w:r>
        <w:rPr>
          <w:rFonts w:hint="eastAsia" w:ascii="仿宋_GB2312" w:hAnsi="仿宋_GB2312" w:cs="仿宋_GB2312"/>
          <w:highlight w:val="none"/>
          <w:lang w:val="en-US" w:eastAsia="zh-CN"/>
        </w:rPr>
        <w:t>六</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30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29</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96.67</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1961"/>
        <w:gridCol w:w="868"/>
        <w:gridCol w:w="1236"/>
        <w:gridCol w:w="1255"/>
        <w:gridCol w:w="742"/>
        <w:gridCol w:w="987"/>
      </w:tblGrid>
      <w:tr w14:paraId="7455D1F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421" w:type="dxa"/>
            <w:tcBorders>
              <w:tl2br w:val="nil"/>
              <w:tr2bl w:val="nil"/>
            </w:tcBorders>
            <w:shd w:val="clear" w:color="auto" w:fill="BDD6EE" w:themeFill="accent1" w:themeFillTint="66"/>
            <w:vAlign w:val="center"/>
          </w:tcPr>
          <w:p w14:paraId="5BDAB11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1961" w:type="dxa"/>
            <w:tcBorders>
              <w:tl2br w:val="nil"/>
              <w:tr2bl w:val="nil"/>
            </w:tcBorders>
            <w:shd w:val="clear" w:color="auto" w:fill="BDD6EE" w:themeFill="accent1" w:themeFillTint="66"/>
            <w:vAlign w:val="center"/>
          </w:tcPr>
          <w:p w14:paraId="2E172A5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68" w:type="dxa"/>
            <w:tcBorders>
              <w:tl2br w:val="nil"/>
              <w:tr2bl w:val="nil"/>
            </w:tcBorders>
            <w:shd w:val="clear" w:color="auto" w:fill="BDD6EE" w:themeFill="accent1" w:themeFillTint="66"/>
            <w:vAlign w:val="center"/>
          </w:tcPr>
          <w:p w14:paraId="72F58F3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36" w:type="dxa"/>
            <w:tcBorders>
              <w:tl2br w:val="nil"/>
              <w:tr2bl w:val="nil"/>
            </w:tcBorders>
            <w:shd w:val="clear" w:color="auto" w:fill="BDD6EE" w:themeFill="accent1" w:themeFillTint="66"/>
            <w:vAlign w:val="center"/>
          </w:tcPr>
          <w:p w14:paraId="6FC19AF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55" w:type="dxa"/>
            <w:tcBorders>
              <w:tl2br w:val="nil"/>
              <w:tr2bl w:val="nil"/>
            </w:tcBorders>
            <w:shd w:val="clear" w:color="auto" w:fill="BDD6EE" w:themeFill="accent1" w:themeFillTint="66"/>
            <w:vAlign w:val="center"/>
          </w:tcPr>
          <w:p w14:paraId="7C37624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742" w:type="dxa"/>
            <w:tcBorders>
              <w:tl2br w:val="nil"/>
              <w:tr2bl w:val="nil"/>
            </w:tcBorders>
            <w:shd w:val="clear" w:color="auto" w:fill="BDD6EE" w:themeFill="accent1" w:themeFillTint="66"/>
            <w:vAlign w:val="center"/>
          </w:tcPr>
          <w:p w14:paraId="61F9EFD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987" w:type="dxa"/>
            <w:tcBorders>
              <w:tl2br w:val="nil"/>
              <w:tr2bl w:val="nil"/>
            </w:tcBorders>
            <w:shd w:val="clear" w:color="auto" w:fill="BDD6EE" w:themeFill="accent1" w:themeFillTint="66"/>
            <w:vAlign w:val="center"/>
          </w:tcPr>
          <w:p w14:paraId="2FDBF54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2320265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065099E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1961" w:type="dxa"/>
            <w:tcBorders>
              <w:tl2br w:val="nil"/>
              <w:tr2bl w:val="nil"/>
            </w:tcBorders>
            <w:shd w:val="clear" w:color="auto" w:fill="auto"/>
            <w:vAlign w:val="center"/>
          </w:tcPr>
          <w:p w14:paraId="634620A4">
            <w:pPr>
              <w:keepNext w:val="0"/>
              <w:keepLines w:val="0"/>
              <w:widowControl/>
              <w:suppressLineNumbers w:val="0"/>
              <w:jc w:val="lef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挽回经济损失效果</w:t>
            </w:r>
          </w:p>
        </w:tc>
        <w:tc>
          <w:tcPr>
            <w:tcW w:w="868" w:type="dxa"/>
            <w:tcBorders>
              <w:tl2br w:val="nil"/>
              <w:tr2bl w:val="nil"/>
            </w:tcBorders>
            <w:shd w:val="clear" w:color="auto" w:fill="auto"/>
            <w:vAlign w:val="center"/>
          </w:tcPr>
          <w:p w14:paraId="0D17458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7592917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显著</w:t>
            </w:r>
          </w:p>
        </w:tc>
        <w:tc>
          <w:tcPr>
            <w:tcW w:w="1255" w:type="dxa"/>
            <w:tcBorders>
              <w:tl2br w:val="nil"/>
              <w:tr2bl w:val="nil"/>
            </w:tcBorders>
            <w:shd w:val="clear" w:color="auto" w:fill="auto"/>
            <w:vAlign w:val="center"/>
          </w:tcPr>
          <w:p w14:paraId="64A1BF3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highlight w:val="none"/>
                <w:u w:val="none"/>
                <w:lang w:val="en-US" w:eastAsia="zh-CN" w:bidi="ar"/>
              </w:rPr>
              <w:t>显著</w:t>
            </w:r>
          </w:p>
        </w:tc>
        <w:tc>
          <w:tcPr>
            <w:tcW w:w="742" w:type="dxa"/>
            <w:tcBorders>
              <w:tl2br w:val="nil"/>
              <w:tr2bl w:val="nil"/>
            </w:tcBorders>
            <w:shd w:val="clear" w:color="auto" w:fill="auto"/>
            <w:vAlign w:val="center"/>
          </w:tcPr>
          <w:p w14:paraId="463AF00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4</w:t>
            </w:r>
          </w:p>
        </w:tc>
        <w:tc>
          <w:tcPr>
            <w:tcW w:w="987" w:type="dxa"/>
            <w:tcBorders>
              <w:tl2br w:val="nil"/>
              <w:tr2bl w:val="nil"/>
            </w:tcBorders>
            <w:shd w:val="clear" w:color="auto" w:fill="auto"/>
            <w:vAlign w:val="center"/>
          </w:tcPr>
          <w:p w14:paraId="75E633F7">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8</w:t>
            </w:r>
            <w:r>
              <w:rPr>
                <w:rFonts w:hint="eastAsia" w:ascii="宋体" w:hAnsi="宋体" w:eastAsia="宋体" w:cs="宋体"/>
                <w:color w:val="auto"/>
                <w:kern w:val="0"/>
                <w:sz w:val="20"/>
                <w:szCs w:val="20"/>
                <w:highlight w:val="none"/>
                <w:lang w:bidi="ar"/>
              </w:rPr>
              <w:t>0.00%</w:t>
            </w:r>
          </w:p>
        </w:tc>
      </w:tr>
      <w:tr w14:paraId="62503CE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restart"/>
            <w:tcBorders>
              <w:tl2br w:val="nil"/>
              <w:tr2bl w:val="nil"/>
            </w:tcBorders>
            <w:vAlign w:val="center"/>
          </w:tcPr>
          <w:p w14:paraId="3162672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1961" w:type="dxa"/>
            <w:tcBorders>
              <w:tl2br w:val="nil"/>
              <w:tr2bl w:val="nil"/>
            </w:tcBorders>
            <w:shd w:val="clear" w:color="auto" w:fill="auto"/>
            <w:vAlign w:val="center"/>
          </w:tcPr>
          <w:p w14:paraId="2369528B">
            <w:pPr>
              <w:keepNext w:val="0"/>
              <w:keepLines w:val="0"/>
              <w:widowControl/>
              <w:suppressLineNumbers w:val="0"/>
              <w:jc w:val="lef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维护社会稳定</w:t>
            </w:r>
          </w:p>
        </w:tc>
        <w:tc>
          <w:tcPr>
            <w:tcW w:w="868" w:type="dxa"/>
            <w:tcBorders>
              <w:tl2br w:val="nil"/>
              <w:tr2bl w:val="nil"/>
            </w:tcBorders>
            <w:shd w:val="clear" w:color="auto" w:fill="auto"/>
            <w:vAlign w:val="center"/>
          </w:tcPr>
          <w:p w14:paraId="31E5AD5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4E1DD0D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良好</w:t>
            </w:r>
          </w:p>
        </w:tc>
        <w:tc>
          <w:tcPr>
            <w:tcW w:w="1255" w:type="dxa"/>
            <w:tcBorders>
              <w:tl2br w:val="nil"/>
              <w:tr2bl w:val="nil"/>
            </w:tcBorders>
            <w:shd w:val="clear" w:color="auto" w:fill="auto"/>
            <w:vAlign w:val="center"/>
          </w:tcPr>
          <w:p w14:paraId="7C961C4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良好</w:t>
            </w:r>
          </w:p>
        </w:tc>
        <w:tc>
          <w:tcPr>
            <w:tcW w:w="742" w:type="dxa"/>
            <w:tcBorders>
              <w:tl2br w:val="nil"/>
              <w:tr2bl w:val="nil"/>
            </w:tcBorders>
            <w:shd w:val="clear" w:color="auto" w:fill="auto"/>
            <w:vAlign w:val="center"/>
          </w:tcPr>
          <w:p w14:paraId="61E4508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987" w:type="dxa"/>
            <w:tcBorders>
              <w:tl2br w:val="nil"/>
              <w:tr2bl w:val="nil"/>
            </w:tcBorders>
            <w:shd w:val="clear" w:color="auto" w:fill="auto"/>
            <w:vAlign w:val="center"/>
          </w:tcPr>
          <w:p w14:paraId="0FB91C28">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100</w:t>
            </w:r>
            <w:r>
              <w:rPr>
                <w:rFonts w:hint="eastAsia" w:ascii="宋体" w:hAnsi="宋体" w:eastAsia="宋体" w:cs="宋体"/>
                <w:color w:val="auto"/>
                <w:kern w:val="0"/>
                <w:sz w:val="20"/>
                <w:szCs w:val="20"/>
                <w:highlight w:val="none"/>
                <w:lang w:bidi="ar"/>
              </w:rPr>
              <w:t>.00%</w:t>
            </w:r>
          </w:p>
        </w:tc>
      </w:tr>
      <w:tr w14:paraId="75F9FA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continue"/>
            <w:tcBorders>
              <w:tl2br w:val="nil"/>
              <w:tr2bl w:val="nil"/>
            </w:tcBorders>
            <w:vAlign w:val="center"/>
          </w:tcPr>
          <w:p w14:paraId="479F5203">
            <w:pPr>
              <w:jc w:val="center"/>
              <w:rPr>
                <w:rFonts w:hint="eastAsia" w:ascii="宋体" w:hAnsi="宋体" w:eastAsia="宋体" w:cs="宋体"/>
                <w:color w:val="auto"/>
                <w:sz w:val="20"/>
                <w:szCs w:val="20"/>
                <w:highlight w:val="none"/>
              </w:rPr>
            </w:pPr>
          </w:p>
        </w:tc>
        <w:tc>
          <w:tcPr>
            <w:tcW w:w="1961" w:type="dxa"/>
            <w:tcBorders>
              <w:tl2br w:val="nil"/>
              <w:tr2bl w:val="nil"/>
            </w:tcBorders>
            <w:shd w:val="clear" w:color="auto" w:fill="auto"/>
            <w:vAlign w:val="center"/>
          </w:tcPr>
          <w:p w14:paraId="292AC238">
            <w:pPr>
              <w:keepNext w:val="0"/>
              <w:keepLines w:val="0"/>
              <w:widowControl/>
              <w:suppressLineNumbers w:val="0"/>
              <w:jc w:val="lef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有效保障审判服务</w:t>
            </w:r>
          </w:p>
        </w:tc>
        <w:tc>
          <w:tcPr>
            <w:tcW w:w="868" w:type="dxa"/>
            <w:tcBorders>
              <w:tl2br w:val="nil"/>
              <w:tr2bl w:val="nil"/>
            </w:tcBorders>
            <w:shd w:val="clear" w:color="auto" w:fill="auto"/>
            <w:vAlign w:val="center"/>
          </w:tcPr>
          <w:p w14:paraId="7D0C892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751DB753">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1255" w:type="dxa"/>
            <w:tcBorders>
              <w:tl2br w:val="nil"/>
              <w:tr2bl w:val="nil"/>
            </w:tcBorders>
            <w:shd w:val="clear" w:color="auto" w:fill="auto"/>
            <w:vAlign w:val="center"/>
          </w:tcPr>
          <w:p w14:paraId="47E9F7E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742" w:type="dxa"/>
            <w:tcBorders>
              <w:tl2br w:val="nil"/>
              <w:tr2bl w:val="nil"/>
            </w:tcBorders>
            <w:shd w:val="clear" w:color="auto" w:fill="auto"/>
            <w:vAlign w:val="center"/>
          </w:tcPr>
          <w:p w14:paraId="5CFD779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987" w:type="dxa"/>
            <w:tcBorders>
              <w:tl2br w:val="nil"/>
              <w:tr2bl w:val="nil"/>
            </w:tcBorders>
            <w:shd w:val="clear" w:color="auto" w:fill="auto"/>
            <w:vAlign w:val="center"/>
          </w:tcPr>
          <w:p w14:paraId="5FFB0187">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06BFB0F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56256CA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1961" w:type="dxa"/>
            <w:tcBorders>
              <w:tl2br w:val="nil"/>
              <w:tr2bl w:val="nil"/>
            </w:tcBorders>
            <w:shd w:val="clear" w:color="auto" w:fill="auto"/>
            <w:vAlign w:val="center"/>
          </w:tcPr>
          <w:p w14:paraId="60662242">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打击生态犯罪，维护生态秩序</w:t>
            </w:r>
          </w:p>
        </w:tc>
        <w:tc>
          <w:tcPr>
            <w:tcW w:w="868" w:type="dxa"/>
            <w:tcBorders>
              <w:tl2br w:val="nil"/>
              <w:tr2bl w:val="nil"/>
            </w:tcBorders>
            <w:shd w:val="clear" w:color="auto" w:fill="auto"/>
            <w:vAlign w:val="center"/>
          </w:tcPr>
          <w:p w14:paraId="64D3F18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643DC0F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有效维护</w:t>
            </w:r>
          </w:p>
        </w:tc>
        <w:tc>
          <w:tcPr>
            <w:tcW w:w="1255" w:type="dxa"/>
            <w:tcBorders>
              <w:tl2br w:val="nil"/>
              <w:tr2bl w:val="nil"/>
            </w:tcBorders>
            <w:shd w:val="clear" w:color="auto" w:fill="auto"/>
            <w:vAlign w:val="center"/>
          </w:tcPr>
          <w:p w14:paraId="34A6EB7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有效维护</w:t>
            </w:r>
          </w:p>
        </w:tc>
        <w:tc>
          <w:tcPr>
            <w:tcW w:w="742" w:type="dxa"/>
            <w:tcBorders>
              <w:tl2br w:val="nil"/>
              <w:tr2bl w:val="nil"/>
            </w:tcBorders>
            <w:shd w:val="clear" w:color="auto" w:fill="auto"/>
            <w:vAlign w:val="center"/>
          </w:tcPr>
          <w:p w14:paraId="2FB3439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987" w:type="dxa"/>
            <w:tcBorders>
              <w:tl2br w:val="nil"/>
              <w:tr2bl w:val="nil"/>
            </w:tcBorders>
            <w:shd w:val="clear" w:color="auto" w:fill="auto"/>
            <w:vAlign w:val="center"/>
          </w:tcPr>
          <w:p w14:paraId="55D13525">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w:t>
            </w:r>
            <w:r>
              <w:rPr>
                <w:rFonts w:hint="eastAsia" w:ascii="宋体" w:hAnsi="宋体" w:eastAsia="宋体" w:cs="宋体"/>
                <w:color w:val="auto"/>
                <w:kern w:val="0"/>
                <w:sz w:val="20"/>
                <w:szCs w:val="20"/>
                <w:highlight w:val="none"/>
                <w:lang w:bidi="ar"/>
              </w:rPr>
              <w:t>0.00%</w:t>
            </w:r>
          </w:p>
        </w:tc>
      </w:tr>
      <w:tr w14:paraId="6041D2D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restart"/>
            <w:tcBorders>
              <w:tl2br w:val="nil"/>
              <w:tr2bl w:val="nil"/>
            </w:tcBorders>
            <w:vAlign w:val="center"/>
          </w:tcPr>
          <w:p w14:paraId="189409E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服务对象满意度指标</w:t>
            </w:r>
          </w:p>
        </w:tc>
        <w:tc>
          <w:tcPr>
            <w:tcW w:w="1961" w:type="dxa"/>
            <w:tcBorders>
              <w:tl2br w:val="nil"/>
              <w:tr2bl w:val="nil"/>
            </w:tcBorders>
            <w:shd w:val="clear" w:color="auto" w:fill="auto"/>
            <w:vAlign w:val="center"/>
          </w:tcPr>
          <w:p w14:paraId="264BE4DD">
            <w:pPr>
              <w:keepNext w:val="0"/>
              <w:keepLines w:val="0"/>
              <w:widowControl/>
              <w:suppressLineNumbers w:val="0"/>
              <w:jc w:val="lef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当事人满意程度</w:t>
            </w:r>
          </w:p>
        </w:tc>
        <w:tc>
          <w:tcPr>
            <w:tcW w:w="868" w:type="dxa"/>
            <w:tcBorders>
              <w:tl2br w:val="nil"/>
              <w:tr2bl w:val="nil"/>
            </w:tcBorders>
            <w:shd w:val="clear" w:color="auto" w:fill="auto"/>
            <w:vAlign w:val="center"/>
          </w:tcPr>
          <w:p w14:paraId="25054F4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050C60C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&gt;=90%</w:t>
            </w:r>
          </w:p>
        </w:tc>
        <w:tc>
          <w:tcPr>
            <w:tcW w:w="1255" w:type="dxa"/>
            <w:tcBorders>
              <w:tl2br w:val="nil"/>
              <w:tr2bl w:val="nil"/>
            </w:tcBorders>
            <w:shd w:val="clear" w:color="auto" w:fill="auto"/>
            <w:vAlign w:val="center"/>
          </w:tcPr>
          <w:p w14:paraId="22C301E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95%</w:t>
            </w:r>
          </w:p>
        </w:tc>
        <w:tc>
          <w:tcPr>
            <w:tcW w:w="742" w:type="dxa"/>
            <w:tcBorders>
              <w:tl2br w:val="nil"/>
              <w:tr2bl w:val="nil"/>
            </w:tcBorders>
            <w:shd w:val="clear" w:color="auto" w:fill="auto"/>
            <w:vAlign w:val="center"/>
          </w:tcPr>
          <w:p w14:paraId="65261FD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987" w:type="dxa"/>
            <w:tcBorders>
              <w:tl2br w:val="nil"/>
              <w:tr2bl w:val="nil"/>
            </w:tcBorders>
            <w:shd w:val="clear" w:color="auto" w:fill="auto"/>
            <w:vAlign w:val="center"/>
          </w:tcPr>
          <w:p w14:paraId="542E9E6B">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764B75C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continue"/>
            <w:tcBorders>
              <w:tl2br w:val="nil"/>
              <w:tr2bl w:val="nil"/>
            </w:tcBorders>
            <w:vAlign w:val="center"/>
          </w:tcPr>
          <w:p w14:paraId="4D0D6A18">
            <w:pPr>
              <w:jc w:val="center"/>
              <w:rPr>
                <w:rFonts w:hint="eastAsia" w:ascii="宋体" w:hAnsi="宋体" w:eastAsia="宋体" w:cs="宋体"/>
                <w:color w:val="auto"/>
                <w:sz w:val="20"/>
                <w:szCs w:val="20"/>
                <w:highlight w:val="none"/>
              </w:rPr>
            </w:pPr>
          </w:p>
        </w:tc>
        <w:tc>
          <w:tcPr>
            <w:tcW w:w="1961" w:type="dxa"/>
            <w:tcBorders>
              <w:tl2br w:val="nil"/>
              <w:tr2bl w:val="nil"/>
            </w:tcBorders>
            <w:shd w:val="clear" w:color="auto" w:fill="auto"/>
            <w:vAlign w:val="center"/>
          </w:tcPr>
          <w:p w14:paraId="1CC1A3E0">
            <w:pPr>
              <w:keepNext w:val="0"/>
              <w:keepLines w:val="0"/>
              <w:widowControl/>
              <w:suppressLineNumbers w:val="0"/>
              <w:jc w:val="lef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干警满意程度</w:t>
            </w:r>
          </w:p>
        </w:tc>
        <w:tc>
          <w:tcPr>
            <w:tcW w:w="868" w:type="dxa"/>
            <w:tcBorders>
              <w:tl2br w:val="nil"/>
              <w:tr2bl w:val="nil"/>
            </w:tcBorders>
            <w:shd w:val="clear" w:color="auto" w:fill="auto"/>
            <w:vAlign w:val="center"/>
          </w:tcPr>
          <w:p w14:paraId="5849364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36" w:type="dxa"/>
            <w:tcBorders>
              <w:tl2br w:val="nil"/>
              <w:tr2bl w:val="nil"/>
            </w:tcBorders>
            <w:shd w:val="clear" w:color="auto" w:fill="auto"/>
            <w:vAlign w:val="center"/>
          </w:tcPr>
          <w:p w14:paraId="0D2C049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&gt;=90%</w:t>
            </w:r>
          </w:p>
        </w:tc>
        <w:tc>
          <w:tcPr>
            <w:tcW w:w="1255" w:type="dxa"/>
            <w:tcBorders>
              <w:tl2br w:val="nil"/>
              <w:tr2bl w:val="nil"/>
            </w:tcBorders>
            <w:shd w:val="clear" w:color="auto" w:fill="auto"/>
            <w:vAlign w:val="center"/>
          </w:tcPr>
          <w:p w14:paraId="323C371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98%</w:t>
            </w:r>
          </w:p>
        </w:tc>
        <w:tc>
          <w:tcPr>
            <w:tcW w:w="742" w:type="dxa"/>
            <w:tcBorders>
              <w:tl2br w:val="nil"/>
              <w:tr2bl w:val="nil"/>
            </w:tcBorders>
            <w:shd w:val="clear" w:color="auto" w:fill="auto"/>
            <w:vAlign w:val="center"/>
          </w:tcPr>
          <w:p w14:paraId="0AE5D25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987" w:type="dxa"/>
            <w:tcBorders>
              <w:tl2br w:val="nil"/>
              <w:tr2bl w:val="nil"/>
            </w:tcBorders>
            <w:shd w:val="clear" w:color="auto" w:fill="auto"/>
            <w:vAlign w:val="center"/>
          </w:tcPr>
          <w:p w14:paraId="173B444B">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4F5D387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82" w:type="dxa"/>
            <w:gridSpan w:val="2"/>
            <w:tcBorders>
              <w:tl2br w:val="nil"/>
              <w:tr2bl w:val="nil"/>
            </w:tcBorders>
            <w:shd w:val="clear" w:color="auto" w:fill="BDD6EE" w:themeFill="accent1" w:themeFillTint="66"/>
            <w:vAlign w:val="center"/>
          </w:tcPr>
          <w:p w14:paraId="6FC3CC0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68" w:type="dxa"/>
            <w:tcBorders>
              <w:tl2br w:val="nil"/>
              <w:tr2bl w:val="nil"/>
            </w:tcBorders>
            <w:shd w:val="clear" w:color="auto" w:fill="BDD6EE" w:themeFill="accent1" w:themeFillTint="66"/>
            <w:vAlign w:val="center"/>
          </w:tcPr>
          <w:p w14:paraId="5C262B2A">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236" w:type="dxa"/>
            <w:tcBorders>
              <w:tl2br w:val="nil"/>
              <w:tr2bl w:val="nil"/>
            </w:tcBorders>
            <w:shd w:val="clear" w:color="auto" w:fill="BDD6EE" w:themeFill="accent1" w:themeFillTint="66"/>
            <w:vAlign w:val="center"/>
          </w:tcPr>
          <w:p w14:paraId="2FCAAE1E">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1255" w:type="dxa"/>
            <w:tcBorders>
              <w:tl2br w:val="nil"/>
              <w:tr2bl w:val="nil"/>
            </w:tcBorders>
            <w:shd w:val="clear" w:color="auto" w:fill="BDD6EE" w:themeFill="accent1" w:themeFillTint="66"/>
            <w:vAlign w:val="center"/>
          </w:tcPr>
          <w:p w14:paraId="03BA1D94">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742" w:type="dxa"/>
            <w:tcBorders>
              <w:tl2br w:val="nil"/>
              <w:tr2bl w:val="nil"/>
            </w:tcBorders>
            <w:shd w:val="clear" w:color="auto" w:fill="BDD6EE" w:themeFill="accent1" w:themeFillTint="66"/>
            <w:vAlign w:val="center"/>
          </w:tcPr>
          <w:p w14:paraId="794A83C4">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29</w:t>
            </w:r>
          </w:p>
        </w:tc>
        <w:tc>
          <w:tcPr>
            <w:tcW w:w="987" w:type="dxa"/>
            <w:tcBorders>
              <w:tl2br w:val="nil"/>
              <w:tr2bl w:val="nil"/>
            </w:tcBorders>
            <w:shd w:val="clear" w:color="auto" w:fill="BDD6EE" w:themeFill="accent1" w:themeFillTint="66"/>
            <w:vAlign w:val="center"/>
          </w:tcPr>
          <w:p w14:paraId="72B68A1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val="en-US" w:eastAsia="zh-CN" w:bidi="ar"/>
              </w:rPr>
              <w:t>96.67</w:t>
            </w:r>
            <w:r>
              <w:rPr>
                <w:rFonts w:hint="eastAsia" w:ascii="宋体" w:hAnsi="宋体" w:eastAsia="宋体" w:cs="宋体"/>
                <w:b/>
                <w:bCs/>
                <w:color w:val="auto"/>
                <w:kern w:val="0"/>
                <w:sz w:val="20"/>
                <w:szCs w:val="20"/>
                <w:highlight w:val="none"/>
                <w:lang w:bidi="ar"/>
              </w:rPr>
              <w:t>%</w:t>
            </w:r>
          </w:p>
        </w:tc>
      </w:tr>
    </w:tbl>
    <w:p w14:paraId="6E05300D">
      <w:pPr>
        <w:pStyle w:val="9"/>
        <w:tabs>
          <w:tab w:val="left" w:pos="0"/>
        </w:tabs>
        <w:overflowPunct w:val="0"/>
        <w:spacing w:line="560" w:lineRule="exact"/>
        <w:ind w:firstLine="643" w:firstLineChars="200"/>
        <w:outlineLvl w:val="2"/>
        <w:rPr>
          <w:rFonts w:hint="default" w:ascii="仿宋_GB2312" w:hAnsi="仿宋_GB2312" w:eastAsia="仿宋_GB2312" w:cs="仿宋_GB2312"/>
          <w:b/>
          <w:bCs/>
          <w:highlight w:val="none"/>
          <w:lang w:val="en-US" w:eastAsia="zh-CN"/>
        </w:rPr>
      </w:pPr>
      <w:r>
        <w:rPr>
          <w:rFonts w:hint="eastAsia" w:ascii="仿宋_GB2312" w:hAnsi="仿宋_GB2312" w:cs="仿宋_GB2312"/>
          <w:b/>
          <w:bCs/>
          <w:highlight w:val="none"/>
        </w:rPr>
        <w:t>1.</w:t>
      </w:r>
      <w:r>
        <w:rPr>
          <w:rFonts w:hint="eastAsia" w:ascii="仿宋_GB2312" w:hAnsi="仿宋_GB2312" w:cs="仿宋_GB2312"/>
          <w:b/>
          <w:bCs/>
          <w:highlight w:val="none"/>
          <w:lang w:val="en-US" w:eastAsia="zh-CN"/>
        </w:rPr>
        <w:t>经济效益指标</w:t>
      </w:r>
    </w:p>
    <w:p w14:paraId="2FFD62F8">
      <w:pPr>
        <w:pStyle w:val="9"/>
        <w:tabs>
          <w:tab w:val="left" w:pos="0"/>
        </w:tabs>
        <w:overflowPunct w:val="0"/>
        <w:spacing w:line="560" w:lineRule="exact"/>
        <w:ind w:firstLine="640" w:firstLineChars="200"/>
        <w:outlineLvl w:val="2"/>
        <w:rPr>
          <w:rFonts w:hint="default" w:ascii="仿宋_GB2312" w:hAnsi="仿宋_GB2312" w:eastAsia="仿宋_GB2312" w:cs="仿宋_GB2312"/>
          <w:b w:val="0"/>
          <w:bCs w:val="0"/>
          <w:highlight w:val="none"/>
          <w:lang w:val="en-US" w:eastAsia="zh-CN"/>
        </w:rPr>
      </w:pPr>
      <w:r>
        <w:rPr>
          <w:rFonts w:hint="eastAsia" w:ascii="仿宋_GB2312" w:hAnsi="仿宋_GB2312" w:cs="仿宋_GB2312"/>
          <w:b w:val="0"/>
          <w:bCs w:val="0"/>
          <w:highlight w:val="none"/>
          <w:lang w:val="en-US" w:eastAsia="zh-CN"/>
        </w:rPr>
        <w:t>挽回经济损失效果：</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4</w:t>
      </w:r>
      <w:r>
        <w:rPr>
          <w:rFonts w:hint="eastAsia" w:ascii="仿宋_GB2312" w:hAnsi="仿宋_GB2312" w:cs="仿宋_GB2312"/>
          <w:b w:val="0"/>
          <w:bCs w:val="0"/>
          <w:highlight w:val="none"/>
        </w:rPr>
        <w:t>分。</w:t>
      </w:r>
      <w:r>
        <w:rPr>
          <w:rFonts w:hint="eastAsia" w:ascii="仿宋_GB2312" w:hAnsi="仿宋_GB2312" w:cs="仿宋_GB2312"/>
          <w:b w:val="0"/>
          <w:bCs w:val="0"/>
          <w:highlight w:val="none"/>
          <w:lang w:val="en-US" w:eastAsia="zh-CN"/>
        </w:rPr>
        <w:t>全省法院执行工作紧盯“3+1”核心指标提升，努力营造诚实守信营商环境，充分利用网络查控系统，线上线下相结合，稳步提升申请执行案件到位率，为走好实现公平正义目标“最后一公里”注入坚实执行力量，挽回经济损失效果明显。</w:t>
      </w:r>
    </w:p>
    <w:p w14:paraId="2739AAC8">
      <w:pPr>
        <w:autoSpaceDE w:val="0"/>
        <w:autoSpaceDN w:val="0"/>
        <w:spacing w:line="560" w:lineRule="exact"/>
        <w:ind w:firstLine="640" w:firstLineChars="200"/>
        <w:jc w:val="both"/>
        <w:rPr>
          <w:rFonts w:ascii="Times New Roman" w:hAnsi="Times New Roman" w:eastAsia="仿宋_GB2312" w:cs="Times New Roman"/>
          <w:kern w:val="2"/>
          <w:sz w:val="32"/>
          <w:szCs w:val="24"/>
          <w:lang w:eastAsia="zh-CN"/>
        </w:rPr>
      </w:pPr>
      <w:r>
        <w:rPr>
          <w:rFonts w:hint="eastAsia" w:ascii="Times New Roman" w:hAnsi="Times New Roman" w:eastAsia="仿宋_GB2312" w:cs="Times New Roman"/>
          <w:kern w:val="2"/>
          <w:sz w:val="32"/>
          <w:szCs w:val="24"/>
          <w:lang w:eastAsia="zh-CN"/>
        </w:rPr>
        <w:t>以下为全省各地区“</w:t>
      </w:r>
      <w:r>
        <w:rPr>
          <w:rFonts w:hint="eastAsia" w:ascii="Times New Roman" w:hAnsi="Times New Roman" w:eastAsia="仿宋_GB2312" w:cs="Times New Roman"/>
          <w:kern w:val="2"/>
          <w:sz w:val="32"/>
          <w:szCs w:val="24"/>
          <w:lang w:val="en-US" w:eastAsia="zh-CN"/>
        </w:rPr>
        <w:t>执行标的到位率</w:t>
      </w:r>
      <w:r>
        <w:rPr>
          <w:rFonts w:hint="eastAsia" w:ascii="Times New Roman" w:hAnsi="Times New Roman" w:eastAsia="仿宋_GB2312" w:cs="Times New Roman"/>
          <w:kern w:val="2"/>
          <w:sz w:val="32"/>
          <w:szCs w:val="24"/>
          <w:lang w:eastAsia="zh-CN"/>
        </w:rPr>
        <w:t>”实际完成值：</w:t>
      </w:r>
    </w:p>
    <w:tbl>
      <w:tblPr>
        <w:tblStyle w:val="19"/>
        <w:tblW w:w="4998" w:type="pct"/>
        <w:tblInd w:w="0" w:type="dxa"/>
        <w:tblLayout w:type="autofit"/>
        <w:tblCellMar>
          <w:top w:w="0" w:type="dxa"/>
          <w:left w:w="108" w:type="dxa"/>
          <w:bottom w:w="0" w:type="dxa"/>
          <w:right w:w="108" w:type="dxa"/>
        </w:tblCellMar>
      </w:tblPr>
      <w:tblGrid>
        <w:gridCol w:w="2119"/>
        <w:gridCol w:w="2119"/>
        <w:gridCol w:w="2119"/>
        <w:gridCol w:w="2120"/>
      </w:tblGrid>
      <w:tr w14:paraId="3C9D35AD">
        <w:tblPrEx>
          <w:tblCellMar>
            <w:top w:w="0" w:type="dxa"/>
            <w:left w:w="108" w:type="dxa"/>
            <w:bottom w:w="0" w:type="dxa"/>
            <w:right w:w="108" w:type="dxa"/>
          </w:tblCellMar>
        </w:tblPrEx>
        <w:trPr>
          <w:trHeight w:val="454" w:hRule="exact"/>
          <w:tblHeader/>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AA890E">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D8F06CB">
            <w:pPr>
              <w:jc w:val="center"/>
              <w:rPr>
                <w:rFonts w:ascii="宋体" w:hAnsi="宋体" w:eastAsia="宋体" w:cs="宋体"/>
                <w:b/>
                <w:color w:val="000000"/>
                <w:lang w:eastAsia="zh-CN"/>
              </w:rPr>
            </w:pPr>
            <w:r>
              <w:rPr>
                <w:rFonts w:hint="eastAsia" w:ascii="宋体" w:hAnsi="宋体" w:eastAsia="宋体" w:cs="宋体"/>
                <w:b/>
                <w:color w:val="000000"/>
                <w:lang w:eastAsia="zh-CN"/>
              </w:rPr>
              <w:t>法定审限内结案率</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A770A85">
            <w:pPr>
              <w:jc w:val="center"/>
              <w:rPr>
                <w:rFonts w:ascii="宋体" w:hAnsi="宋体" w:eastAsia="宋体" w:cs="宋体"/>
                <w:b/>
                <w:color w:val="000000"/>
                <w:lang w:eastAsia="zh-CN"/>
              </w:rPr>
            </w:pPr>
            <w:r>
              <w:rPr>
                <w:rFonts w:hint="eastAsia" w:ascii="宋体" w:hAnsi="宋体" w:eastAsia="宋体" w:cs="宋体"/>
                <w:b/>
                <w:color w:val="000000"/>
                <w:lang w:eastAsia="zh-CN"/>
              </w:rPr>
              <w:t>辖区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8CF8AB">
            <w:pPr>
              <w:jc w:val="center"/>
              <w:rPr>
                <w:rFonts w:ascii="宋体" w:hAnsi="宋体" w:eastAsia="宋体" w:cs="宋体"/>
                <w:b/>
                <w:color w:val="000000"/>
                <w:lang w:eastAsia="zh-CN"/>
              </w:rPr>
            </w:pPr>
            <w:r>
              <w:rPr>
                <w:rFonts w:hint="eastAsia" w:ascii="宋体" w:hAnsi="宋体" w:eastAsia="宋体" w:cs="宋体"/>
                <w:b/>
                <w:color w:val="000000"/>
                <w:lang w:eastAsia="zh-CN"/>
              </w:rPr>
              <w:t>法定审限内结案率</w:t>
            </w:r>
          </w:p>
        </w:tc>
      </w:tr>
      <w:tr w14:paraId="08985D69">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E577FE9">
            <w:pPr>
              <w:jc w:val="center"/>
              <w:rPr>
                <w:rFonts w:ascii="宋体" w:hAnsi="宋体" w:eastAsia="宋体" w:cs="宋体"/>
                <w:bCs/>
              </w:rPr>
            </w:pPr>
            <w:r>
              <w:rPr>
                <w:rFonts w:hint="eastAsia" w:ascii="宋体" w:hAnsi="宋体" w:eastAsia="宋体" w:cs="宋体"/>
                <w:bCs/>
                <w:lang w:eastAsia="zh-CN"/>
              </w:rPr>
              <w:t>白银</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4C5F041">
            <w:pPr>
              <w:jc w:val="center"/>
              <w:rPr>
                <w:rFonts w:ascii="宋体" w:hAnsi="宋体" w:eastAsia="宋体" w:cs="宋体"/>
                <w:bCs/>
              </w:rPr>
            </w:pPr>
            <w:r>
              <w:rPr>
                <w:rFonts w:hint="eastAsia" w:ascii="宋体" w:hAnsi="宋体" w:eastAsia="宋体" w:cs="宋体"/>
                <w:bCs/>
                <w:lang w:val="en-US" w:eastAsia="zh-CN"/>
              </w:rPr>
              <w:t>45.29</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07E0A42">
            <w:pPr>
              <w:jc w:val="center"/>
              <w:rPr>
                <w:rFonts w:ascii="宋体" w:hAnsi="宋体" w:eastAsia="宋体" w:cs="宋体"/>
                <w:bCs/>
                <w:lang w:eastAsia="zh-CN"/>
              </w:rPr>
            </w:pPr>
            <w:r>
              <w:rPr>
                <w:rFonts w:hint="eastAsia" w:ascii="宋体" w:hAnsi="宋体" w:eastAsia="宋体" w:cs="宋体"/>
                <w:bCs/>
                <w:lang w:eastAsia="zh-CN"/>
              </w:rPr>
              <w:t>嘉峪关</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ABEFE8C">
            <w:pPr>
              <w:jc w:val="center"/>
              <w:rPr>
                <w:rFonts w:ascii="宋体" w:hAnsi="宋体" w:eastAsia="宋体" w:cs="宋体"/>
                <w:bCs/>
                <w:lang w:eastAsia="zh-CN"/>
              </w:rPr>
            </w:pPr>
            <w:r>
              <w:rPr>
                <w:rFonts w:hint="eastAsia" w:ascii="宋体" w:hAnsi="宋体" w:eastAsia="宋体" w:cs="宋体"/>
                <w:bCs/>
                <w:lang w:val="en-US" w:eastAsia="zh-CN"/>
              </w:rPr>
              <w:t>44.51</w:t>
            </w:r>
            <w:r>
              <w:rPr>
                <w:rFonts w:hint="eastAsia" w:ascii="宋体" w:hAnsi="宋体" w:eastAsia="宋体" w:cs="宋体"/>
                <w:bCs/>
                <w:lang w:eastAsia="zh-CN"/>
              </w:rPr>
              <w:t>%</w:t>
            </w:r>
          </w:p>
        </w:tc>
      </w:tr>
      <w:tr w14:paraId="2F1AAA1E">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4AD0C1">
            <w:pPr>
              <w:jc w:val="center"/>
              <w:rPr>
                <w:rFonts w:ascii="宋体" w:hAnsi="宋体" w:eastAsia="宋体" w:cs="宋体"/>
                <w:bCs/>
                <w:lang w:eastAsia="zh-CN"/>
              </w:rPr>
            </w:pPr>
            <w:r>
              <w:rPr>
                <w:rFonts w:hint="eastAsia" w:ascii="宋体" w:hAnsi="宋体" w:eastAsia="宋体" w:cs="宋体"/>
                <w:bCs/>
                <w:lang w:eastAsia="zh-CN"/>
              </w:rPr>
              <w:t>天水</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8B5B88A">
            <w:pPr>
              <w:jc w:val="center"/>
              <w:rPr>
                <w:rFonts w:ascii="宋体" w:hAnsi="宋体" w:eastAsia="宋体" w:cs="宋体"/>
                <w:bCs/>
              </w:rPr>
            </w:pPr>
            <w:r>
              <w:rPr>
                <w:rFonts w:hint="eastAsia" w:ascii="宋体" w:hAnsi="宋体" w:eastAsia="宋体" w:cs="宋体"/>
                <w:bCs/>
                <w:lang w:val="en-US" w:eastAsia="zh-CN"/>
              </w:rPr>
              <w:t>39.33</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ACE9532">
            <w:pPr>
              <w:jc w:val="center"/>
              <w:rPr>
                <w:rFonts w:ascii="宋体" w:hAnsi="宋体" w:eastAsia="宋体" w:cs="宋体"/>
                <w:bCs/>
                <w:lang w:eastAsia="zh-CN"/>
              </w:rPr>
            </w:pPr>
            <w:r>
              <w:rPr>
                <w:rFonts w:hint="eastAsia" w:ascii="宋体" w:hAnsi="宋体" w:eastAsia="宋体" w:cs="宋体"/>
                <w:bCs/>
                <w:lang w:eastAsia="zh-CN"/>
              </w:rPr>
              <w:t>武威</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41A1B83">
            <w:pPr>
              <w:jc w:val="center"/>
              <w:rPr>
                <w:rFonts w:ascii="宋体" w:hAnsi="宋体" w:eastAsia="宋体" w:cs="宋体"/>
                <w:bCs/>
                <w:lang w:eastAsia="zh-CN"/>
              </w:rPr>
            </w:pPr>
            <w:r>
              <w:rPr>
                <w:rFonts w:hint="eastAsia" w:ascii="宋体" w:hAnsi="宋体" w:eastAsia="宋体" w:cs="宋体"/>
                <w:bCs/>
                <w:lang w:val="en-US" w:eastAsia="zh-CN"/>
              </w:rPr>
              <w:t>33.91</w:t>
            </w:r>
            <w:r>
              <w:rPr>
                <w:rFonts w:hint="eastAsia" w:ascii="宋体" w:hAnsi="宋体" w:eastAsia="宋体" w:cs="宋体"/>
                <w:bCs/>
                <w:lang w:eastAsia="zh-CN"/>
              </w:rPr>
              <w:t>%</w:t>
            </w:r>
          </w:p>
        </w:tc>
      </w:tr>
      <w:tr w14:paraId="20B0D29D">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22747DE">
            <w:pPr>
              <w:jc w:val="center"/>
              <w:rPr>
                <w:rFonts w:ascii="宋体" w:hAnsi="宋体" w:eastAsia="宋体" w:cs="宋体"/>
                <w:bCs/>
              </w:rPr>
            </w:pPr>
            <w:r>
              <w:rPr>
                <w:rFonts w:hint="eastAsia" w:ascii="宋体" w:hAnsi="宋体" w:eastAsia="宋体" w:cs="宋体"/>
                <w:bCs/>
                <w:lang w:eastAsia="zh-CN"/>
              </w:rPr>
              <w:t>庆阳</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54081E3">
            <w:pPr>
              <w:jc w:val="center"/>
              <w:rPr>
                <w:rFonts w:ascii="宋体" w:hAnsi="宋体" w:eastAsia="宋体" w:cs="宋体"/>
                <w:bCs/>
              </w:rPr>
            </w:pPr>
            <w:r>
              <w:rPr>
                <w:rFonts w:hint="eastAsia" w:ascii="宋体" w:hAnsi="宋体" w:eastAsia="宋体" w:cs="宋体"/>
                <w:bCs/>
                <w:lang w:val="en-US" w:eastAsia="zh-CN"/>
              </w:rPr>
              <w:t>39.83</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EFD6ED5">
            <w:pPr>
              <w:jc w:val="center"/>
              <w:rPr>
                <w:rFonts w:ascii="宋体" w:hAnsi="宋体" w:eastAsia="宋体" w:cs="宋体"/>
                <w:bCs/>
                <w:lang w:eastAsia="zh-CN"/>
              </w:rPr>
            </w:pPr>
            <w:r>
              <w:rPr>
                <w:rFonts w:hint="eastAsia" w:ascii="宋体" w:hAnsi="宋体" w:eastAsia="宋体" w:cs="宋体"/>
                <w:bCs/>
                <w:lang w:eastAsia="zh-CN"/>
              </w:rPr>
              <w:t>陇南</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306F1A7">
            <w:pPr>
              <w:jc w:val="center"/>
              <w:rPr>
                <w:rFonts w:ascii="宋体" w:hAnsi="宋体" w:eastAsia="宋体" w:cs="宋体"/>
                <w:bCs/>
                <w:lang w:eastAsia="zh-CN"/>
              </w:rPr>
            </w:pPr>
            <w:r>
              <w:rPr>
                <w:rFonts w:hint="eastAsia" w:ascii="宋体" w:hAnsi="宋体" w:eastAsia="宋体" w:cs="宋体"/>
                <w:bCs/>
                <w:lang w:val="en-US" w:eastAsia="zh-CN"/>
              </w:rPr>
              <w:t>49.38</w:t>
            </w:r>
            <w:r>
              <w:rPr>
                <w:rFonts w:hint="eastAsia" w:ascii="宋体" w:hAnsi="宋体" w:eastAsia="宋体" w:cs="宋体"/>
                <w:bCs/>
                <w:lang w:eastAsia="zh-CN"/>
              </w:rPr>
              <w:t>%</w:t>
            </w:r>
          </w:p>
        </w:tc>
      </w:tr>
      <w:tr w14:paraId="3C87AA81">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FBC4529">
            <w:pPr>
              <w:jc w:val="center"/>
              <w:rPr>
                <w:rFonts w:ascii="宋体" w:hAnsi="宋体" w:eastAsia="宋体" w:cs="宋体"/>
                <w:bCs/>
              </w:rPr>
            </w:pPr>
            <w:r>
              <w:rPr>
                <w:rFonts w:hint="eastAsia" w:ascii="宋体" w:hAnsi="宋体" w:eastAsia="宋体" w:cs="宋体"/>
                <w:bCs/>
                <w:lang w:eastAsia="zh-CN"/>
              </w:rPr>
              <w:t>金昌</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3850257">
            <w:pPr>
              <w:jc w:val="center"/>
              <w:rPr>
                <w:rFonts w:ascii="宋体" w:hAnsi="宋体" w:eastAsia="宋体" w:cs="宋体"/>
                <w:bCs/>
              </w:rPr>
            </w:pPr>
            <w:r>
              <w:rPr>
                <w:rFonts w:hint="eastAsia" w:ascii="宋体" w:hAnsi="宋体" w:eastAsia="宋体" w:cs="宋体"/>
                <w:bCs/>
                <w:lang w:val="en-US" w:eastAsia="zh-CN"/>
              </w:rPr>
              <w:t>57.53</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191F9B7">
            <w:pPr>
              <w:jc w:val="center"/>
              <w:rPr>
                <w:rFonts w:ascii="宋体" w:hAnsi="宋体" w:eastAsia="宋体" w:cs="宋体"/>
                <w:bCs/>
                <w:lang w:eastAsia="zh-CN"/>
              </w:rPr>
            </w:pPr>
            <w:r>
              <w:rPr>
                <w:rFonts w:hint="eastAsia" w:ascii="宋体" w:hAnsi="宋体" w:eastAsia="宋体" w:cs="宋体"/>
                <w:bCs/>
                <w:lang w:eastAsia="zh-CN"/>
              </w:rPr>
              <w:t>矿区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E0697D4">
            <w:pPr>
              <w:jc w:val="center"/>
              <w:rPr>
                <w:rFonts w:ascii="宋体" w:hAnsi="宋体" w:eastAsia="宋体" w:cs="宋体"/>
                <w:bCs/>
                <w:lang w:eastAsia="zh-CN"/>
              </w:rPr>
            </w:pPr>
            <w:r>
              <w:rPr>
                <w:rFonts w:hint="eastAsia" w:ascii="宋体" w:hAnsi="宋体" w:eastAsia="宋体" w:cs="宋体"/>
                <w:bCs/>
                <w:lang w:val="en-US" w:eastAsia="zh-CN"/>
              </w:rPr>
              <w:t>28.48</w:t>
            </w:r>
            <w:r>
              <w:rPr>
                <w:rFonts w:hint="eastAsia" w:ascii="宋体" w:hAnsi="宋体" w:eastAsia="宋体" w:cs="宋体"/>
                <w:bCs/>
                <w:lang w:eastAsia="zh-CN"/>
              </w:rPr>
              <w:t>%</w:t>
            </w:r>
          </w:p>
        </w:tc>
      </w:tr>
      <w:tr w14:paraId="5756571B">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0F9D735">
            <w:pPr>
              <w:jc w:val="center"/>
              <w:rPr>
                <w:rFonts w:ascii="宋体" w:hAnsi="宋体" w:eastAsia="宋体" w:cs="宋体"/>
                <w:bCs/>
              </w:rPr>
            </w:pPr>
            <w:r>
              <w:rPr>
                <w:rFonts w:hint="eastAsia" w:ascii="宋体" w:hAnsi="宋体" w:eastAsia="宋体" w:cs="宋体"/>
                <w:bCs/>
                <w:lang w:eastAsia="zh-CN"/>
              </w:rPr>
              <w:t>酒泉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61CECF1">
            <w:pPr>
              <w:jc w:val="center"/>
              <w:rPr>
                <w:rFonts w:ascii="宋体" w:hAnsi="宋体" w:eastAsia="宋体" w:cs="宋体"/>
                <w:bCs/>
                <w:lang w:eastAsia="zh-CN"/>
              </w:rPr>
            </w:pPr>
            <w:r>
              <w:rPr>
                <w:rFonts w:hint="eastAsia" w:ascii="宋体" w:hAnsi="宋体" w:eastAsia="宋体" w:cs="宋体"/>
                <w:bCs/>
                <w:lang w:val="en-US" w:eastAsia="zh-CN"/>
              </w:rPr>
              <w:t>50.03</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E3CA65E">
            <w:pPr>
              <w:jc w:val="center"/>
              <w:rPr>
                <w:rFonts w:ascii="宋体" w:hAnsi="宋体" w:eastAsia="宋体" w:cs="宋体"/>
                <w:bCs/>
                <w:lang w:eastAsia="zh-CN"/>
              </w:rPr>
            </w:pPr>
            <w:r>
              <w:rPr>
                <w:rFonts w:hint="eastAsia" w:ascii="宋体" w:hAnsi="宋体" w:eastAsia="宋体" w:cs="宋体"/>
                <w:bCs/>
                <w:lang w:eastAsia="zh-CN"/>
              </w:rPr>
              <w:t>临夏</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951D7D4">
            <w:pPr>
              <w:jc w:val="center"/>
              <w:rPr>
                <w:rFonts w:ascii="宋体" w:hAnsi="宋体" w:eastAsia="宋体" w:cs="宋体"/>
                <w:bCs/>
                <w:lang w:eastAsia="zh-CN"/>
              </w:rPr>
            </w:pPr>
            <w:r>
              <w:rPr>
                <w:rFonts w:hint="eastAsia" w:ascii="宋体" w:hAnsi="宋体" w:eastAsia="宋体" w:cs="宋体"/>
                <w:bCs/>
                <w:lang w:val="en-US" w:eastAsia="zh-CN"/>
              </w:rPr>
              <w:t>49.10</w:t>
            </w:r>
            <w:r>
              <w:rPr>
                <w:rFonts w:hint="eastAsia" w:ascii="宋体" w:hAnsi="宋体" w:eastAsia="宋体" w:cs="宋体"/>
                <w:bCs/>
                <w:lang w:eastAsia="zh-CN"/>
              </w:rPr>
              <w:t>%</w:t>
            </w:r>
          </w:p>
        </w:tc>
      </w:tr>
      <w:tr w14:paraId="0869B9B6">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34DD196">
            <w:pPr>
              <w:jc w:val="center"/>
              <w:rPr>
                <w:rFonts w:ascii="宋体" w:hAnsi="宋体" w:eastAsia="宋体" w:cs="宋体"/>
                <w:bCs/>
              </w:rPr>
            </w:pPr>
            <w:r>
              <w:rPr>
                <w:rFonts w:hint="eastAsia" w:ascii="宋体" w:hAnsi="宋体" w:eastAsia="宋体" w:cs="宋体"/>
                <w:bCs/>
                <w:lang w:eastAsia="zh-CN"/>
              </w:rPr>
              <w:t>张掖</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0C2AE69">
            <w:pPr>
              <w:jc w:val="center"/>
              <w:rPr>
                <w:rFonts w:ascii="宋体" w:hAnsi="宋体" w:eastAsia="宋体" w:cs="宋体"/>
                <w:bCs/>
                <w:lang w:eastAsia="zh-CN"/>
              </w:rPr>
            </w:pPr>
            <w:r>
              <w:rPr>
                <w:rFonts w:hint="eastAsia" w:ascii="宋体" w:hAnsi="宋体" w:eastAsia="宋体" w:cs="宋体"/>
                <w:bCs/>
                <w:lang w:val="en-US" w:eastAsia="zh-CN"/>
              </w:rPr>
              <w:t>43.44</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079D79F">
            <w:pPr>
              <w:jc w:val="center"/>
              <w:rPr>
                <w:rFonts w:ascii="宋体" w:hAnsi="宋体" w:eastAsia="宋体" w:cs="宋体"/>
                <w:bCs/>
                <w:lang w:eastAsia="zh-CN"/>
              </w:rPr>
            </w:pPr>
            <w:r>
              <w:rPr>
                <w:rFonts w:hint="eastAsia" w:ascii="宋体" w:hAnsi="宋体" w:eastAsia="宋体" w:cs="宋体"/>
                <w:bCs/>
                <w:lang w:eastAsia="zh-CN"/>
              </w:rPr>
              <w:t>兰铁</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4D73933">
            <w:pPr>
              <w:jc w:val="center"/>
              <w:rPr>
                <w:rFonts w:ascii="宋体" w:hAnsi="宋体" w:eastAsia="宋体" w:cs="宋体"/>
                <w:bCs/>
                <w:lang w:eastAsia="zh-CN"/>
              </w:rPr>
            </w:pPr>
            <w:r>
              <w:rPr>
                <w:rFonts w:hint="eastAsia" w:ascii="宋体" w:hAnsi="宋体" w:eastAsia="宋体" w:cs="宋体"/>
                <w:bCs/>
                <w:lang w:val="en-US" w:eastAsia="zh-CN"/>
              </w:rPr>
              <w:t>28.01</w:t>
            </w:r>
            <w:r>
              <w:rPr>
                <w:rFonts w:hint="eastAsia" w:ascii="宋体" w:hAnsi="宋体" w:eastAsia="宋体" w:cs="宋体"/>
                <w:bCs/>
                <w:lang w:eastAsia="zh-CN"/>
              </w:rPr>
              <w:t>%</w:t>
            </w:r>
          </w:p>
        </w:tc>
      </w:tr>
      <w:tr w14:paraId="23B23192">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71D8268">
            <w:pPr>
              <w:jc w:val="center"/>
              <w:rPr>
                <w:rFonts w:ascii="宋体" w:hAnsi="宋体" w:eastAsia="宋体" w:cs="宋体"/>
                <w:bCs/>
              </w:rPr>
            </w:pPr>
            <w:r>
              <w:rPr>
                <w:rFonts w:hint="eastAsia" w:ascii="宋体" w:hAnsi="宋体" w:eastAsia="宋体" w:cs="宋体"/>
                <w:bCs/>
                <w:lang w:eastAsia="zh-CN"/>
              </w:rPr>
              <w:t>定西</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DE5211E">
            <w:pPr>
              <w:jc w:val="center"/>
              <w:rPr>
                <w:rFonts w:ascii="宋体" w:hAnsi="宋体" w:eastAsia="宋体" w:cs="宋体"/>
                <w:bCs/>
              </w:rPr>
            </w:pPr>
            <w:r>
              <w:rPr>
                <w:rFonts w:hint="eastAsia" w:ascii="宋体" w:hAnsi="宋体" w:eastAsia="宋体" w:cs="宋体"/>
                <w:bCs/>
                <w:lang w:val="en-US" w:eastAsia="zh-CN"/>
              </w:rPr>
              <w:t>56.45</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DF8243C">
            <w:pPr>
              <w:jc w:val="center"/>
              <w:rPr>
                <w:rFonts w:ascii="宋体" w:hAnsi="宋体" w:eastAsia="宋体" w:cs="宋体"/>
                <w:bCs/>
                <w:lang w:eastAsia="zh-CN"/>
              </w:rPr>
            </w:pPr>
            <w:r>
              <w:rPr>
                <w:rFonts w:hint="eastAsia" w:ascii="宋体" w:hAnsi="宋体" w:eastAsia="宋体" w:cs="宋体"/>
                <w:bCs/>
                <w:lang w:eastAsia="zh-CN"/>
              </w:rPr>
              <w:t>林区</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7E0AF5B">
            <w:pPr>
              <w:jc w:val="center"/>
              <w:rPr>
                <w:rFonts w:ascii="宋体" w:hAnsi="宋体" w:eastAsia="宋体" w:cs="宋体"/>
                <w:bCs/>
                <w:lang w:eastAsia="zh-CN"/>
              </w:rPr>
            </w:pPr>
            <w:r>
              <w:rPr>
                <w:rFonts w:hint="eastAsia" w:ascii="宋体" w:hAnsi="宋体" w:eastAsia="宋体" w:cs="宋体"/>
                <w:bCs/>
                <w:lang w:val="en-US" w:eastAsia="zh-CN"/>
              </w:rPr>
              <w:t>31.66</w:t>
            </w:r>
            <w:r>
              <w:rPr>
                <w:rFonts w:hint="eastAsia" w:ascii="宋体" w:hAnsi="宋体" w:eastAsia="宋体" w:cs="宋体"/>
                <w:bCs/>
                <w:lang w:eastAsia="zh-CN"/>
              </w:rPr>
              <w:t>%</w:t>
            </w:r>
          </w:p>
        </w:tc>
      </w:tr>
      <w:tr w14:paraId="4C183C20">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73BB616">
            <w:pPr>
              <w:jc w:val="center"/>
              <w:rPr>
                <w:rFonts w:ascii="宋体" w:hAnsi="宋体" w:eastAsia="宋体" w:cs="宋体"/>
                <w:bCs/>
                <w:lang w:eastAsia="zh-CN"/>
              </w:rPr>
            </w:pPr>
            <w:r>
              <w:rPr>
                <w:rFonts w:hint="eastAsia" w:ascii="宋体" w:hAnsi="宋体" w:eastAsia="宋体" w:cs="宋体"/>
                <w:bCs/>
                <w:lang w:eastAsia="zh-CN"/>
              </w:rPr>
              <w:t>平凉</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CC3FF02">
            <w:pPr>
              <w:jc w:val="center"/>
              <w:rPr>
                <w:rFonts w:ascii="宋体" w:hAnsi="宋体" w:eastAsia="宋体" w:cs="宋体"/>
                <w:bCs/>
              </w:rPr>
            </w:pPr>
            <w:r>
              <w:rPr>
                <w:rFonts w:hint="eastAsia" w:ascii="宋体" w:hAnsi="宋体" w:eastAsia="宋体" w:cs="宋体"/>
                <w:bCs/>
                <w:lang w:val="en-US" w:eastAsia="zh-CN"/>
              </w:rPr>
              <w:t>44.46</w:t>
            </w:r>
            <w:r>
              <w:rPr>
                <w:rFonts w:hint="eastAsia" w:ascii="宋体" w:hAnsi="宋体" w:eastAsia="宋体" w:cs="宋体"/>
                <w:bCs/>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C77E13">
            <w:pPr>
              <w:jc w:val="center"/>
              <w:rPr>
                <w:rFonts w:ascii="宋体" w:hAnsi="宋体" w:eastAsia="宋体" w:cs="宋体"/>
                <w:bCs/>
                <w:lang w:eastAsia="zh-CN"/>
              </w:rPr>
            </w:pPr>
            <w:r>
              <w:rPr>
                <w:rFonts w:hint="eastAsia" w:ascii="宋体" w:hAnsi="宋体" w:eastAsia="宋体" w:cs="宋体"/>
                <w:bCs/>
                <w:lang w:eastAsia="zh-CN"/>
              </w:rPr>
              <w:t>兰州</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BB15F32">
            <w:pPr>
              <w:jc w:val="center"/>
              <w:rPr>
                <w:rFonts w:ascii="宋体" w:hAnsi="宋体" w:eastAsia="宋体" w:cs="宋体"/>
                <w:bCs/>
                <w:lang w:eastAsia="zh-CN"/>
              </w:rPr>
            </w:pPr>
            <w:r>
              <w:rPr>
                <w:rFonts w:hint="eastAsia" w:ascii="宋体" w:hAnsi="宋体" w:eastAsia="宋体" w:cs="宋体"/>
                <w:bCs/>
                <w:lang w:val="en-US" w:eastAsia="zh-CN"/>
              </w:rPr>
              <w:t>29.01</w:t>
            </w:r>
            <w:r>
              <w:rPr>
                <w:rFonts w:hint="eastAsia" w:ascii="宋体" w:hAnsi="宋体" w:eastAsia="宋体" w:cs="宋体"/>
                <w:bCs/>
                <w:lang w:eastAsia="zh-CN"/>
              </w:rPr>
              <w:t>%</w:t>
            </w:r>
          </w:p>
        </w:tc>
      </w:tr>
      <w:tr w14:paraId="1C4C070E">
        <w:tblPrEx>
          <w:tblCellMar>
            <w:top w:w="0" w:type="dxa"/>
            <w:left w:w="108" w:type="dxa"/>
            <w:bottom w:w="0" w:type="dxa"/>
            <w:right w:w="108" w:type="dxa"/>
          </w:tblCellMar>
        </w:tblPrEx>
        <w:trPr>
          <w:trHeight w:val="454" w:hRule="exact"/>
        </w:trPr>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387EA34">
            <w:pPr>
              <w:jc w:val="center"/>
              <w:rPr>
                <w:rFonts w:ascii="宋体" w:hAnsi="宋体" w:eastAsia="宋体" w:cs="宋体"/>
                <w:lang w:eastAsia="zh-CN"/>
              </w:rPr>
            </w:pPr>
            <w:r>
              <w:rPr>
                <w:rFonts w:hint="eastAsia" w:ascii="宋体" w:hAnsi="宋体" w:eastAsia="宋体" w:cs="宋体"/>
                <w:bCs/>
                <w:lang w:eastAsia="zh-CN"/>
              </w:rPr>
              <w:t>甘南</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78460FF">
            <w:pPr>
              <w:jc w:val="center"/>
              <w:rPr>
                <w:rFonts w:ascii="宋体" w:hAnsi="宋体" w:eastAsia="宋体" w:cs="宋体"/>
                <w:bCs/>
                <w:lang w:eastAsia="zh-CN"/>
              </w:rPr>
            </w:pPr>
            <w:r>
              <w:rPr>
                <w:rFonts w:hint="eastAsia" w:ascii="宋体" w:hAnsi="宋体" w:eastAsia="宋体" w:cs="宋体"/>
                <w:bCs/>
                <w:lang w:val="en-US" w:eastAsia="zh-CN"/>
              </w:rPr>
              <w:t>46.17</w:t>
            </w:r>
            <w:r>
              <w:rPr>
                <w:rFonts w:hint="eastAsia" w:ascii="宋体" w:hAnsi="宋体" w:eastAsia="宋体" w:cs="宋体"/>
                <w:bCs/>
                <w:lang w:eastAsia="zh-CN"/>
              </w:rPr>
              <w:t>%</w:t>
            </w: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4E0F158">
            <w:pPr>
              <w:jc w:val="center"/>
              <w:rPr>
                <w:rFonts w:ascii="宋体" w:hAnsi="宋体" w:eastAsia="宋体" w:cs="宋体"/>
                <w:bCs/>
                <w:lang w:eastAsia="zh-CN"/>
              </w:rPr>
            </w:pPr>
          </w:p>
        </w:tc>
        <w:tc>
          <w:tcPr>
            <w:tcW w:w="1250" w:type="pc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E9CCDF1">
            <w:pPr>
              <w:jc w:val="center"/>
              <w:rPr>
                <w:rFonts w:ascii="宋体" w:hAnsi="宋体" w:eastAsia="宋体" w:cs="宋体"/>
                <w:bCs/>
                <w:lang w:eastAsia="zh-CN"/>
              </w:rPr>
            </w:pPr>
          </w:p>
        </w:tc>
      </w:tr>
    </w:tbl>
    <w:p w14:paraId="4F659EB1">
      <w:pPr>
        <w:pStyle w:val="9"/>
        <w:tabs>
          <w:tab w:val="left" w:pos="0"/>
        </w:tabs>
        <w:overflowPunct w:val="0"/>
        <w:spacing w:line="560" w:lineRule="exact"/>
        <w:ind w:firstLine="640" w:firstLineChars="200"/>
        <w:outlineLvl w:val="2"/>
        <w:rPr>
          <w:rFonts w:hint="default" w:ascii="仿宋_GB2312" w:hAnsi="仿宋_GB2312" w:cs="仿宋_GB2312"/>
          <w:b w:val="0"/>
          <w:bCs w:val="0"/>
          <w:highlight w:val="none"/>
          <w:lang w:val="en-US" w:eastAsia="zh-CN"/>
        </w:rPr>
      </w:pPr>
      <w:r>
        <w:rPr>
          <w:rFonts w:hint="eastAsia" w:ascii="仿宋_GB2312" w:hAnsi="仿宋_GB2312" w:cs="仿宋_GB2312"/>
          <w:b w:val="0"/>
          <w:bCs w:val="0"/>
          <w:highlight w:val="none"/>
          <w:lang w:val="en-US" w:eastAsia="zh-CN"/>
        </w:rPr>
        <w:t>武威、矿区、兰铁、林区及兰州辖区法院执行标的到位率低于“35.61%-50.52%”的合理区间，未完成年度目标，扣1分。</w:t>
      </w:r>
    </w:p>
    <w:p w14:paraId="2CD53EAF">
      <w:pPr>
        <w:pStyle w:val="9"/>
        <w:tabs>
          <w:tab w:val="left" w:pos="0"/>
        </w:tabs>
        <w:overflowPunct w:val="0"/>
        <w:spacing w:line="560" w:lineRule="exact"/>
        <w:ind w:firstLine="643" w:firstLineChars="200"/>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2.社会效益指标</w:t>
      </w:r>
    </w:p>
    <w:p w14:paraId="07D02849">
      <w:pPr>
        <w:pStyle w:val="9"/>
        <w:tabs>
          <w:tab w:val="left" w:pos="0"/>
        </w:tabs>
        <w:overflowPunct w:val="0"/>
        <w:spacing w:line="560" w:lineRule="exact"/>
        <w:ind w:firstLine="640" w:firstLineChars="200"/>
        <w:outlineLvl w:val="2"/>
        <w:rPr>
          <w:rFonts w:hint="default" w:ascii="仿宋_GB2312" w:hAnsi="仿宋_GB2312" w:cs="仿宋_GB2312"/>
          <w:b w:val="0"/>
          <w:bCs w:val="0"/>
          <w:highlight w:val="none"/>
          <w:lang w:val="en-US" w:eastAsia="zh-CN"/>
        </w:rPr>
      </w:pPr>
      <w:r>
        <w:rPr>
          <w:rFonts w:hint="eastAsia" w:ascii="仿宋_GB2312" w:hAnsi="仿宋_GB2312" w:cs="仿宋_GB2312"/>
          <w:b w:val="0"/>
          <w:bCs w:val="0"/>
          <w:highlight w:val="none"/>
          <w:lang w:val="en-US" w:eastAsia="zh-CN"/>
        </w:rPr>
        <w:t>维护社会稳定：</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w:t>
      </w:r>
      <w:r>
        <w:rPr>
          <w:rFonts w:hint="eastAsia" w:ascii="仿宋_GB2312" w:hAnsi="仿宋_GB2312" w:cs="仿宋_GB2312"/>
          <w:b w:val="0"/>
          <w:bCs w:val="0"/>
          <w:highlight w:val="none"/>
          <w:lang w:val="en-US" w:eastAsia="zh-CN"/>
        </w:rPr>
        <w:t>全省法院</w:t>
      </w:r>
      <w:r>
        <w:rPr>
          <w:rFonts w:hint="eastAsia" w:ascii="仿宋_GB2312" w:hAnsi="仿宋_GB2312" w:eastAsia="仿宋_GB2312" w:cs="仿宋_GB2312"/>
          <w:sz w:val="32"/>
          <w:szCs w:val="32"/>
          <w:highlight w:val="none"/>
          <w:lang w:eastAsia="zh-CN"/>
        </w:rPr>
        <w:t>充分发挥审判职能作用，全面加强各项审判执行工作，有效维护社会稳定</w:t>
      </w:r>
      <w:r>
        <w:rPr>
          <w:rFonts w:hint="eastAsia" w:ascii="仿宋_GB2312" w:hAnsi="仿宋_GB2312" w:cs="仿宋_GB2312"/>
          <w:b w:val="0"/>
          <w:bCs w:val="0"/>
          <w:highlight w:val="none"/>
          <w:lang w:val="en-US" w:eastAsia="zh-CN"/>
        </w:rPr>
        <w:t>。一是严惩刑事犯罪，维护社会稳定。贯彻宽严相济刑事政策，审结刑事案件2.94万件。审结涉黑恶案件41件567人,追缴“黑财”2,877.00万元。全链条打击电信网络诈骗及帮信等关联犯罪，审结案件2476件。审结贪污贿赂等职务犯罪案件364件。坚持教育、感化、挽救方针，审结未成年人犯罪案件423件。二是妥善化解民商事纠纷，强化民生保障。坚持调判结合，审结民事纠纷案件36.03万件，审结婚姻家庭、继承纠纷案件6.09万件，审结涉房地产纠纷案件10695件。为农民工追回“血汗钱”2,491.21万元，为困难当事人发放救助金2,874.74万元，减、缓、免诉讼费2,533.6万元。注重发挥司法裁判对市场规则评价、规范、引导作用，审结商事纠纷案件6759件。三是深化府院联动，助推依法行政。坚持支持与监督并重，审结行政案件8587件，执结被执行人为党政机关的涉企案件225件。坚持“双赢多赢共赢”，会同省政府出台《关于建立健全府院联动机制的意见》，充分发挥政府化解行政争议的主导作用，促进行政争议源头治理、实质性化解。</w:t>
      </w:r>
    </w:p>
    <w:p w14:paraId="31FA67CC">
      <w:pPr>
        <w:pStyle w:val="9"/>
        <w:tabs>
          <w:tab w:val="left" w:pos="0"/>
        </w:tabs>
        <w:overflowPunct w:val="0"/>
        <w:spacing w:line="560" w:lineRule="exact"/>
        <w:ind w:firstLine="640" w:firstLineChars="200"/>
        <w:outlineLvl w:val="2"/>
        <w:rPr>
          <w:rFonts w:hint="eastAsia" w:ascii="仿宋_GB2312" w:hAnsi="仿宋_GB2312" w:cs="仿宋_GB2312"/>
          <w:b w:val="0"/>
          <w:bCs w:val="0"/>
          <w:highlight w:val="none"/>
          <w:lang w:val="en-US" w:eastAsia="zh-CN"/>
        </w:rPr>
      </w:pPr>
      <w:r>
        <w:rPr>
          <w:rFonts w:hint="eastAsia" w:ascii="仿宋_GB2312" w:hAnsi="仿宋_GB2312" w:cs="仿宋_GB2312"/>
          <w:b w:val="0"/>
          <w:bCs w:val="0"/>
          <w:highlight w:val="none"/>
          <w:lang w:val="en-US" w:eastAsia="zh-CN"/>
        </w:rPr>
        <w:t>有效保障审判服务：</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一是以“积案清理”为抓手提升审判质效。在全国率先部署开展“半年清积”攻坚集中行动，采取蹲点督导、发函督办、会议调度、逐案会诊等措施，综合施治、重拳清积。审（执）结旧存案件7.1万件，一年以上案件清积进度达到97.14%，三年以上长期未结和久押不决案件清理进度位居全国法院前列。二是以“陇原风暴”执行行动为抓手破解执行难题。围绕涉企、涉民生等12个方面，部署开展“陇原风暴”执行行动，开展“直击执行现场”直播11场次，在线围观超2670万人次。全省法院执结案件25.98万件，执行到位662.13亿元，发放案款139.71亿元。三是以“院长接访月”活动为抓手化解涉诉信访案件。在全省法院部署开展“院长接访月”活动，利用“一把手”的担当、权威与智慧推动化解信访难案、积案，共接访案件2647件，实质性化解2045件，并逐一回访问效，促进“事”“心”双解。制定《信访工作指南》，健全工作机制、做到“有信必复”，重信重访率从去年年初的42%下降至年底的7.8%，“案访比”正向排名全国第5。</w:t>
      </w:r>
    </w:p>
    <w:p w14:paraId="7F7A218A">
      <w:pPr>
        <w:pStyle w:val="9"/>
        <w:tabs>
          <w:tab w:val="left" w:pos="0"/>
        </w:tabs>
        <w:overflowPunct w:val="0"/>
        <w:spacing w:line="560" w:lineRule="exact"/>
        <w:ind w:firstLine="643" w:firstLineChars="200"/>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3.生态效益指标</w:t>
      </w:r>
    </w:p>
    <w:p w14:paraId="0EF785B6">
      <w:pPr>
        <w:pStyle w:val="9"/>
        <w:tabs>
          <w:tab w:val="left" w:pos="0"/>
        </w:tabs>
        <w:overflowPunct w:val="0"/>
        <w:spacing w:line="560" w:lineRule="exact"/>
        <w:ind w:firstLine="640" w:firstLineChars="200"/>
        <w:outlineLvl w:val="2"/>
        <w:rPr>
          <w:rFonts w:hint="default" w:ascii="仿宋_GB2312" w:hAnsi="仿宋_GB2312" w:eastAsia="仿宋_GB2312" w:cs="仿宋_GB2312"/>
          <w:b w:val="0"/>
          <w:bCs w:val="0"/>
          <w:highlight w:val="none"/>
          <w:lang w:val="en-US" w:eastAsia="zh-CN"/>
        </w:rPr>
      </w:pPr>
      <w:r>
        <w:rPr>
          <w:rFonts w:hint="eastAsia" w:ascii="仿宋_GB2312" w:hAnsi="仿宋_GB2312" w:cs="仿宋_GB2312"/>
          <w:b w:val="0"/>
          <w:bCs w:val="0"/>
          <w:highlight w:val="none"/>
          <w:lang w:val="en-US" w:eastAsia="zh-CN"/>
        </w:rPr>
        <w:t>打击生态犯罪，维护生态秩序：</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5</w:t>
      </w:r>
      <w:r>
        <w:rPr>
          <w:rFonts w:hint="eastAsia" w:ascii="仿宋_GB2312" w:hAnsi="仿宋_GB2312" w:cs="仿宋_GB2312"/>
          <w:b w:val="0"/>
          <w:bCs w:val="0"/>
          <w:highlight w:val="none"/>
        </w:rPr>
        <w:t>分。</w:t>
      </w:r>
      <w:r>
        <w:rPr>
          <w:rFonts w:hint="eastAsia" w:ascii="仿宋_GB2312" w:hAnsi="仿宋_GB2312" w:cs="仿宋_GB2312"/>
          <w:b w:val="0"/>
          <w:bCs w:val="0"/>
          <w:highlight w:val="none"/>
          <w:lang w:val="en-US" w:eastAsia="zh-CN"/>
        </w:rPr>
        <w:t>全省法院依法惩治环境资源刑事犯罪，织密生态环境司法保护网。全面贯彻新发展理念，深入践行“两山”理念，加强林区生态保护，充分发挥法护生态的“稳定器”“压舱石”作用，在服务生态文明建设上创新成效，有效加强了生态环境保护。</w:t>
      </w:r>
      <w:r>
        <w:rPr>
          <w:rFonts w:hint="eastAsia" w:ascii="仿宋_GB2312" w:hAnsi="仿宋_GB2312" w:cs="仿宋_GB2312"/>
          <w:b w:val="0"/>
          <w:bCs w:val="0"/>
          <w:highlight w:val="none"/>
        </w:rPr>
        <w:t>以打造环资特色审判体系为抓手服务美丽甘肃建设。坚决落实省委《关于进一步加强生态文明建设的决定》，将林区法院打造为全省环境资源案件专门管辖法院，审结案件6818件，4起案件入选最高法院典型案例，“弃风弃光”案被评为2023年度中国十大环境法治事件。召开祁连山国家公园司法协作联席会议暨法治论坛，推动甘青两省法院和林草系统共同建立跨地域、跨部门、多领域保护治理联动机制。</w:t>
      </w:r>
    </w:p>
    <w:p w14:paraId="40C1264C">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lang w:val="en-US" w:eastAsia="zh-CN"/>
        </w:rPr>
        <w:t>3</w:t>
      </w:r>
      <w:r>
        <w:rPr>
          <w:rFonts w:hint="eastAsia" w:ascii="仿宋_GB2312" w:hAnsi="仿宋_GB2312" w:cs="仿宋_GB2312"/>
          <w:b/>
          <w:bCs/>
          <w:highlight w:val="none"/>
        </w:rPr>
        <w:t>.满意度情况</w:t>
      </w:r>
    </w:p>
    <w:p w14:paraId="3CE67077">
      <w:pPr>
        <w:overflowPunct w:val="0"/>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48" w:name="_Toc65235686"/>
      <w:bookmarkStart w:id="149" w:name="_Toc2918"/>
      <w:bookmarkStart w:id="150" w:name="_Toc5674"/>
      <w:bookmarkStart w:id="151" w:name="_Toc23326"/>
      <w:bookmarkStart w:id="152" w:name="_Toc64731198"/>
      <w:bookmarkStart w:id="153" w:name="_Toc4285"/>
      <w:bookmarkStart w:id="154" w:name="_Toc63435075"/>
      <w:r>
        <w:rPr>
          <w:rFonts w:hint="eastAsia" w:ascii="仿宋_GB2312" w:hAnsi="仿宋_GB2312" w:eastAsia="仿宋_GB2312" w:cs="仿宋_GB2312"/>
          <w:color w:val="000000" w:themeColor="text1"/>
          <w:sz w:val="32"/>
          <w:szCs w:val="32"/>
          <w:highlight w:val="none"/>
          <w14:textFill>
            <w14:solidFill>
              <w14:schemeClr w14:val="tx1"/>
            </w14:solidFill>
          </w14:textFill>
        </w:rPr>
        <w:t>项目服务对象满意度指标主要为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当事人及干警</w:t>
      </w:r>
      <w:r>
        <w:rPr>
          <w:rFonts w:hint="eastAsia" w:ascii="仿宋_GB2312" w:hAnsi="仿宋_GB2312" w:eastAsia="仿宋_GB2312" w:cs="仿宋_GB2312"/>
          <w:color w:val="000000" w:themeColor="text1"/>
          <w:sz w:val="32"/>
          <w:szCs w:val="32"/>
          <w:highlight w:val="none"/>
          <w14:textFill>
            <w14:solidFill>
              <w14:schemeClr w14:val="tx1"/>
            </w14:solidFill>
          </w14:textFill>
        </w:rPr>
        <w:t>满意度，指标分值10分，评价得分10分，得分率100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48"/>
      <w:bookmarkEnd w:id="149"/>
      <w:bookmarkEnd w:id="150"/>
      <w:bookmarkEnd w:id="151"/>
      <w:bookmarkEnd w:id="152"/>
      <w:bookmarkEnd w:id="153"/>
      <w:bookmarkEnd w:id="154"/>
    </w:p>
    <w:p w14:paraId="53D8045D">
      <w:pPr>
        <w:pStyle w:val="9"/>
        <w:tabs>
          <w:tab w:val="left" w:pos="510"/>
          <w:tab w:val="left" w:pos="675"/>
        </w:tabs>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在日常工作开展中，建立了必要的工作反馈机制，能就工作开展情况与各方进行有效</w:t>
      </w:r>
      <w:r>
        <w:rPr>
          <w:rFonts w:hint="eastAsia" w:ascii="仿宋_GB2312" w:hAnsi="仿宋_GB2312" w:cs="仿宋_GB2312"/>
          <w:highlight w:val="none"/>
          <w:lang w:eastAsia="zh-CN"/>
        </w:rPr>
        <w:t>的</w:t>
      </w:r>
      <w:r>
        <w:rPr>
          <w:rFonts w:hint="eastAsia" w:ascii="仿宋_GB2312" w:hAnsi="仿宋_GB2312" w:cs="仿宋_GB2312"/>
          <w:highlight w:val="none"/>
        </w:rPr>
        <w:t>沟通，服务体系不断规范</w:t>
      </w:r>
      <w:r>
        <w:rPr>
          <w:rFonts w:hint="eastAsia" w:ascii="仿宋_GB2312" w:hAnsi="仿宋_GB2312" w:cs="仿宋_GB2312"/>
          <w:highlight w:val="none"/>
          <w:lang w:eastAsia="zh-CN"/>
        </w:rPr>
        <w:t>。</w:t>
      </w:r>
      <w:r>
        <w:rPr>
          <w:rFonts w:hint="eastAsia" w:ascii="仿宋_GB2312" w:hAnsi="仿宋_GB2312" w:cs="仿宋_GB2312"/>
          <w:highlight w:val="none"/>
        </w:rPr>
        <w:t>秉持“以人为本”的理念，以改善办公环境，提高工作效率，树立良好形象为出发点，本着“整体推进、重点实施，功能配套”的原则，切实改善干警工作条件，</w:t>
      </w:r>
      <w:r>
        <w:rPr>
          <w:rFonts w:hint="eastAsia" w:ascii="仿宋_GB2312" w:hAnsi="仿宋_GB2312" w:cs="仿宋_GB2312"/>
          <w:highlight w:val="none"/>
          <w:lang w:val="en-US" w:eastAsia="zh-CN"/>
        </w:rPr>
        <w:t>法院干警满意度达到98.21%。</w:t>
      </w:r>
    </w:p>
    <w:p w14:paraId="01FEAC78">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评价组针对服务对象“</w:t>
      </w:r>
      <w:r>
        <w:rPr>
          <w:rFonts w:hint="eastAsia" w:ascii="仿宋_GB2312" w:hAnsi="仿宋_GB2312" w:cs="仿宋_GB2312"/>
          <w:color w:val="000000" w:themeColor="text1"/>
          <w:highlight w:val="none"/>
          <w:lang w:val="en-US" w:eastAsia="zh-CN"/>
          <w14:textFill>
            <w14:solidFill>
              <w14:schemeClr w14:val="tx1"/>
            </w14:solidFill>
          </w14:textFill>
        </w:rPr>
        <w:t>当事人</w:t>
      </w:r>
      <w:r>
        <w:rPr>
          <w:rFonts w:hint="eastAsia" w:ascii="仿宋_GB2312" w:hAnsi="仿宋_GB2312" w:cs="仿宋_GB2312"/>
          <w:highlight w:val="none"/>
        </w:rPr>
        <w:t>”</w:t>
      </w:r>
      <w:r>
        <w:rPr>
          <w:rFonts w:hint="eastAsia" w:ascii="仿宋_GB2312" w:hAnsi="仿宋_GB2312" w:cs="仿宋_GB2312"/>
          <w:highlight w:val="none"/>
          <w:lang w:val="en-US" w:eastAsia="zh-CN"/>
        </w:rPr>
        <w:t>满意度</w:t>
      </w:r>
      <w:r>
        <w:rPr>
          <w:rFonts w:hint="eastAsia" w:ascii="仿宋_GB2312" w:hAnsi="仿宋_GB2312" w:cs="仿宋_GB2312"/>
          <w:highlight w:val="none"/>
        </w:rPr>
        <w:t>制作调查问卷，考核</w:t>
      </w:r>
      <w:r>
        <w:rPr>
          <w:rFonts w:hint="eastAsia" w:ascii="仿宋_GB2312" w:hAnsi="仿宋_GB2312" w:cs="仿宋_GB2312"/>
          <w:highlight w:val="none"/>
          <w:lang w:val="en-US" w:eastAsia="zh-CN"/>
        </w:rPr>
        <w:t>全省法院</w:t>
      </w:r>
      <w:r>
        <w:rPr>
          <w:rFonts w:hint="eastAsia" w:ascii="仿宋_GB2312" w:hAnsi="仿宋_GB2312" w:cs="仿宋_GB2312"/>
          <w:highlight w:val="none"/>
        </w:rPr>
        <w:t>业务费项目的工作成果，以评价项目产出的效益。回收调查问卷</w:t>
      </w:r>
      <w:r>
        <w:rPr>
          <w:rFonts w:hint="eastAsia" w:ascii="仿宋_GB2312" w:hAnsi="仿宋_GB2312" w:cs="仿宋_GB2312"/>
          <w:highlight w:val="none"/>
          <w:lang w:val="en-US" w:eastAsia="zh-CN"/>
        </w:rPr>
        <w:t>86</w:t>
      </w:r>
      <w:r>
        <w:rPr>
          <w:rFonts w:hint="eastAsia" w:ascii="仿宋_GB2312" w:hAnsi="仿宋_GB2312" w:cs="仿宋_GB2312"/>
          <w:highlight w:val="none"/>
        </w:rPr>
        <w:t>份</w:t>
      </w:r>
      <w:r>
        <w:rPr>
          <w:rFonts w:hint="eastAsia" w:ascii="仿宋_GB2312" w:hAnsi="仿宋_GB2312" w:cs="仿宋_GB2312"/>
          <w:highlight w:val="none"/>
          <w:lang w:eastAsia="zh-CN"/>
        </w:rPr>
        <w:t>，</w:t>
      </w:r>
      <w:r>
        <w:rPr>
          <w:rFonts w:hint="eastAsia" w:ascii="仿宋_GB2312" w:hAnsi="仿宋_GB2312" w:cs="仿宋_GB2312"/>
          <w:highlight w:val="none"/>
        </w:rPr>
        <w:t>经调查，发现</w:t>
      </w:r>
      <w:r>
        <w:rPr>
          <w:rFonts w:hint="eastAsia" w:ascii="仿宋_GB2312" w:hAnsi="仿宋_GB2312" w:cs="仿宋_GB2312"/>
          <w:highlight w:val="none"/>
          <w:lang w:val="en-US" w:eastAsia="zh-CN"/>
        </w:rPr>
        <w:t>当事人</w:t>
      </w:r>
      <w:r>
        <w:rPr>
          <w:rFonts w:hint="eastAsia" w:ascii="仿宋_GB2312" w:hAnsi="仿宋_GB2312" w:cs="仿宋_GB2312"/>
          <w:highlight w:val="none"/>
        </w:rPr>
        <w:t>对</w:t>
      </w:r>
      <w:r>
        <w:rPr>
          <w:rFonts w:hint="eastAsia" w:ascii="仿宋_GB2312" w:hAnsi="仿宋_GB2312" w:cs="仿宋_GB2312"/>
          <w:highlight w:val="none"/>
          <w:lang w:val="en-US" w:eastAsia="zh-CN"/>
        </w:rPr>
        <w:t>法院办案质效比较满意，</w:t>
      </w:r>
      <w:r>
        <w:rPr>
          <w:rFonts w:hint="eastAsia" w:ascii="仿宋_GB2312" w:hAnsi="仿宋_GB2312" w:cs="仿宋_GB2312"/>
          <w:highlight w:val="none"/>
        </w:rPr>
        <w:t>当事人满意度为9</w:t>
      </w:r>
      <w:r>
        <w:rPr>
          <w:rFonts w:hint="eastAsia" w:ascii="仿宋_GB2312" w:hAnsi="仿宋_GB2312" w:cs="仿宋_GB2312"/>
          <w:highlight w:val="none"/>
          <w:lang w:val="en-US" w:eastAsia="zh-CN"/>
        </w:rPr>
        <w:t>5.69</w:t>
      </w:r>
      <w:r>
        <w:rPr>
          <w:rFonts w:hint="eastAsia" w:ascii="仿宋_GB2312" w:hAnsi="仿宋_GB2312" w:cs="仿宋_GB2312"/>
          <w:highlight w:val="none"/>
        </w:rPr>
        <w:t>%。</w:t>
      </w:r>
    </w:p>
    <w:p w14:paraId="737D7931">
      <w:pPr>
        <w:pStyle w:val="9"/>
        <w:overflowPunct w:val="0"/>
        <w:spacing w:line="560" w:lineRule="exact"/>
        <w:ind w:firstLine="640" w:firstLineChars="200"/>
        <w:outlineLvl w:val="0"/>
        <w:rPr>
          <w:rFonts w:ascii="黑体" w:hAnsi="黑体" w:eastAsia="黑体" w:cs="仿宋"/>
          <w:highlight w:val="none"/>
        </w:rPr>
      </w:pPr>
      <w:bookmarkStart w:id="155" w:name="_Toc27911"/>
      <w:bookmarkStart w:id="156" w:name="_Toc14909"/>
      <w:bookmarkStart w:id="157" w:name="_Toc21820"/>
      <w:r>
        <w:rPr>
          <w:rFonts w:hint="eastAsia" w:ascii="黑体" w:hAnsi="黑体" w:eastAsia="黑体" w:cs="仿宋"/>
          <w:highlight w:val="none"/>
        </w:rPr>
        <w:t>六、项目主要经验及做法</w:t>
      </w:r>
      <w:bookmarkEnd w:id="155"/>
      <w:bookmarkEnd w:id="156"/>
      <w:bookmarkEnd w:id="157"/>
    </w:p>
    <w:p w14:paraId="54000AC7">
      <w:pPr>
        <w:overflowPunct w:val="0"/>
        <w:spacing w:line="560" w:lineRule="exact"/>
        <w:ind w:firstLine="643" w:firstLineChars="200"/>
        <w:outlineLvl w:val="1"/>
        <w:rPr>
          <w:rStyle w:val="31"/>
          <w:rFonts w:hint="eastAsia" w:ascii="楷体" w:hAnsi="楷体" w:eastAsia="楷体" w:cs="楷体"/>
          <w:szCs w:val="32"/>
          <w:highlight w:val="none"/>
          <w:lang w:val="en-US" w:eastAsia="zh-CN"/>
        </w:rPr>
      </w:pPr>
      <w:bookmarkStart w:id="158" w:name="_Toc23817"/>
      <w:r>
        <w:rPr>
          <w:rStyle w:val="31"/>
          <w:rFonts w:hint="eastAsia" w:ascii="楷体" w:hAnsi="楷体" w:eastAsia="楷体" w:cs="楷体"/>
          <w:szCs w:val="32"/>
          <w:highlight w:val="none"/>
          <w:lang w:val="en-US" w:eastAsia="zh-CN"/>
        </w:rPr>
        <w:t>（一）全面落实新时代刑事司法理念，坚持治罪与治理并重</w:t>
      </w:r>
      <w:bookmarkEnd w:id="158"/>
    </w:p>
    <w:p w14:paraId="4E82983D">
      <w:pPr>
        <w:pStyle w:val="9"/>
        <w:tabs>
          <w:tab w:val="left" w:pos="510"/>
          <w:tab w:val="left" w:pos="675"/>
        </w:tabs>
        <w:overflowPunct w:val="0"/>
        <w:spacing w:line="560" w:lineRule="exact"/>
        <w:ind w:firstLine="640" w:firstLineChars="200"/>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全省法院坚持以习近平新时代中国特色社会主义思想为指导，全面、深入贯彻落实习近平法治思想，认真执行中央、省委和最高法院的部署要求，紧紧围绕“努力让人民群众在每一个司法案件中感受到公平正义”目标，充分发挥刑事审判职能作用，依法审理各类刑事案件，为维护社会大局稳定、促进社会公平正义提供了有力的刑事司法保障，特别是在开展扫黑除恶专项斗争和稳妥审理重大职务犯罪、涉金融领域犯罪等重大案件中，彰显了人民法院的政治担当、历史担当和责任担当。深化刑事审判理念、制度和实践创新，加强审判管理和条线指导，总结成绩经验，坚持问题导向，分析形势任务，明确工作要求，持续推动全省法院刑事审判工作重点突破、全面提升、跨越发展。</w:t>
      </w:r>
    </w:p>
    <w:p w14:paraId="76F3EDBA">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159" w:name="_Toc22248"/>
      <w:r>
        <w:rPr>
          <w:rStyle w:val="31"/>
          <w:rFonts w:hint="eastAsia" w:ascii="楷体" w:hAnsi="楷体" w:eastAsia="楷体" w:cs="楷体"/>
          <w:szCs w:val="32"/>
          <w:highlight w:val="none"/>
          <w:lang w:val="en-US" w:eastAsia="zh-CN"/>
        </w:rPr>
        <w:t>（二）全省民商事审判工作牢固树立新时代司法理念，确保办案效果</w:t>
      </w:r>
      <w:bookmarkEnd w:id="159"/>
    </w:p>
    <w:p w14:paraId="1FA061C7">
      <w:pPr>
        <w:pStyle w:val="9"/>
        <w:tabs>
          <w:tab w:val="left" w:pos="510"/>
          <w:tab w:val="left" w:pos="675"/>
        </w:tabs>
        <w:overflowPunct w:val="0"/>
        <w:spacing w:line="560" w:lineRule="exact"/>
        <w:ind w:firstLine="640" w:firstLineChars="200"/>
        <w:rPr>
          <w:rFonts w:hint="eastAsia" w:ascii="仿宋_GB2312" w:hAnsi="仿宋_GB2312" w:eastAsia="仿宋_GB2312" w:cs="仿宋_GB2312"/>
          <w:b w:val="0"/>
          <w:bCs w:val="0"/>
          <w:highlight w:val="none"/>
          <w:lang w:eastAsia="zh-CN"/>
        </w:rPr>
      </w:pPr>
      <w:r>
        <w:rPr>
          <w:rFonts w:hint="eastAsia" w:ascii="仿宋_GB2312" w:hAnsi="仿宋_GB2312" w:eastAsia="仿宋_GB2312" w:cs="仿宋_GB2312"/>
          <w:b w:val="0"/>
          <w:bCs w:val="0"/>
          <w:highlight w:val="none"/>
          <w:lang w:eastAsia="zh-CN"/>
        </w:rPr>
        <w:t>紧紧围绕“公正与效率”工作主题，坚持讲政治顾大局、促公正提效率、重自律强队伍，</w:t>
      </w:r>
      <w:r>
        <w:rPr>
          <w:rFonts w:hint="eastAsia" w:ascii="仿宋_GB2312" w:hAnsi="仿宋_GB2312" w:cs="仿宋_GB2312"/>
          <w:b w:val="0"/>
          <w:bCs w:val="0"/>
          <w:highlight w:val="none"/>
          <w:lang w:val="en-US" w:eastAsia="zh-CN"/>
        </w:rPr>
        <w:t>一</w:t>
      </w:r>
      <w:r>
        <w:rPr>
          <w:rFonts w:hint="eastAsia" w:ascii="仿宋_GB2312" w:hAnsi="仿宋_GB2312" w:eastAsia="仿宋_GB2312" w:cs="仿宋_GB2312"/>
          <w:b w:val="0"/>
          <w:bCs w:val="0"/>
          <w:highlight w:val="none"/>
          <w:lang w:eastAsia="zh-CN"/>
        </w:rPr>
        <w:t>贯之抓好“七院建设”“四强要求”“三大目标”总体工作思路深化落实，秉持“如我在诉”的为民情怀，做实为大局服务，做深为人民司法，以理念谋新促思路创新，以机制出新推效能创优，以体系更新引领质效创先，以管理革新推动一体创治，系统推进民商事审判工作向现代化迈进，为中国式现代化甘肃实践贡献法院力量。</w:t>
      </w:r>
    </w:p>
    <w:p w14:paraId="3A4D8417">
      <w:pPr>
        <w:overflowPunct w:val="0"/>
        <w:spacing w:line="560" w:lineRule="exact"/>
        <w:ind w:firstLine="643" w:firstLineChars="200"/>
        <w:outlineLvl w:val="1"/>
        <w:rPr>
          <w:rStyle w:val="31"/>
          <w:rFonts w:hint="eastAsia" w:ascii="楷体" w:hAnsi="楷体" w:eastAsia="楷体" w:cs="楷体"/>
          <w:szCs w:val="32"/>
          <w:highlight w:val="none"/>
          <w:lang w:eastAsia="zh-CN"/>
        </w:rPr>
      </w:pPr>
      <w:bookmarkStart w:id="160" w:name="_Toc19174"/>
      <w:bookmarkStart w:id="161" w:name="_Toc25717"/>
      <w:bookmarkStart w:id="162" w:name="_Toc15152"/>
      <w:r>
        <w:rPr>
          <w:rStyle w:val="31"/>
          <w:rFonts w:hint="eastAsia" w:ascii="楷体" w:hAnsi="楷体" w:eastAsia="楷体" w:cs="楷体"/>
          <w:szCs w:val="32"/>
          <w:highlight w:val="none"/>
          <w:lang w:eastAsia="zh-CN"/>
        </w:rPr>
        <w:t>（</w:t>
      </w:r>
      <w:r>
        <w:rPr>
          <w:rStyle w:val="31"/>
          <w:rFonts w:hint="eastAsia" w:ascii="楷体" w:hAnsi="楷体" w:eastAsia="楷体" w:cs="楷体"/>
          <w:szCs w:val="32"/>
          <w:highlight w:val="none"/>
          <w:lang w:val="en-US" w:eastAsia="zh-CN"/>
        </w:rPr>
        <w:t>三</w:t>
      </w:r>
      <w:r>
        <w:rPr>
          <w:rStyle w:val="31"/>
          <w:rFonts w:hint="eastAsia" w:ascii="楷体" w:hAnsi="楷体" w:eastAsia="楷体" w:cs="楷体"/>
          <w:szCs w:val="32"/>
          <w:highlight w:val="none"/>
          <w:lang w:eastAsia="zh-CN"/>
        </w:rPr>
        <w:t>）将执行指标争先进位、赶超发展放在核心位置，紧盯指标谋细抓实</w:t>
      </w:r>
      <w:bookmarkEnd w:id="160"/>
    </w:p>
    <w:p w14:paraId="3E23E249">
      <w:pPr>
        <w:pStyle w:val="9"/>
        <w:overflowPunct w:val="0"/>
        <w:spacing w:line="560" w:lineRule="exact"/>
        <w:ind w:firstLine="640" w:firstLineChars="200"/>
        <w:outlineLvl w:val="0"/>
        <w:rPr>
          <w:rFonts w:hint="eastAsia" w:ascii="黑体" w:hAnsi="黑体" w:eastAsia="黑体" w:cs="仿宋"/>
          <w:highlight w:val="none"/>
        </w:rPr>
      </w:pPr>
      <w:bookmarkStart w:id="163" w:name="_Toc18888"/>
      <w:r>
        <w:rPr>
          <w:rFonts w:hint="eastAsia" w:ascii="仿宋_GB2312" w:hAnsi="仿宋_GB2312" w:eastAsia="仿宋_GB2312" w:cs="仿宋_GB2312"/>
          <w:b w:val="0"/>
          <w:bCs w:val="0"/>
          <w:highlight w:val="none"/>
        </w:rPr>
        <w:t>切实更新执行工作理念</w:t>
      </w:r>
      <w:r>
        <w:rPr>
          <w:rFonts w:hint="eastAsia" w:ascii="仿宋_GB2312" w:hAnsi="仿宋_GB2312" w:cs="仿宋_GB2312"/>
          <w:b w:val="0"/>
          <w:bCs w:val="0"/>
          <w:highlight w:val="none"/>
          <w:lang w:eastAsia="zh-CN"/>
        </w:rPr>
        <w:t>，</w:t>
      </w:r>
      <w:r>
        <w:rPr>
          <w:rFonts w:hint="eastAsia" w:ascii="仿宋_GB2312" w:hAnsi="仿宋_GB2312" w:eastAsia="仿宋_GB2312" w:cs="仿宋_GB2312"/>
          <w:b w:val="0"/>
          <w:bCs w:val="0"/>
          <w:highlight w:val="none"/>
        </w:rPr>
        <w:t>扎实推动执行攻坚</w:t>
      </w:r>
      <w:r>
        <w:rPr>
          <w:rFonts w:hint="eastAsia" w:ascii="仿宋_GB2312" w:hAnsi="仿宋_GB2312" w:cs="仿宋_GB2312"/>
          <w:b w:val="0"/>
          <w:bCs w:val="0"/>
          <w:highlight w:val="none"/>
          <w:lang w:eastAsia="zh-CN"/>
        </w:rPr>
        <w:t>，</w:t>
      </w:r>
      <w:r>
        <w:rPr>
          <w:rFonts w:hint="eastAsia" w:ascii="仿宋_GB2312" w:hAnsi="仿宋_GB2312" w:eastAsia="仿宋_GB2312" w:cs="仿宋_GB2312"/>
          <w:b w:val="0"/>
          <w:bCs w:val="0"/>
          <w:highlight w:val="none"/>
        </w:rPr>
        <w:t>妥善处理重大风险案件，为经济社会稳定发展提供强有力</w:t>
      </w:r>
      <w:r>
        <w:rPr>
          <w:rFonts w:hint="eastAsia" w:ascii="仿宋_GB2312" w:hAnsi="仿宋_GB2312" w:cs="仿宋_GB2312"/>
          <w:b w:val="0"/>
          <w:bCs w:val="0"/>
          <w:highlight w:val="none"/>
          <w:lang w:val="en-US" w:eastAsia="zh-CN"/>
        </w:rPr>
        <w:t>的</w:t>
      </w:r>
      <w:r>
        <w:rPr>
          <w:rFonts w:hint="eastAsia" w:ascii="仿宋_GB2312" w:hAnsi="仿宋_GB2312" w:eastAsia="仿宋_GB2312" w:cs="仿宋_GB2312"/>
          <w:b w:val="0"/>
          <w:bCs w:val="0"/>
          <w:highlight w:val="none"/>
        </w:rPr>
        <w:t>司法保障。持续开展专项行动，坚决压实服务经济社会大局的政治责任。持之以恒做好涉民生案件的执行，真正用“真金白银”兑现老百姓的胜诉权益。</w:t>
      </w:r>
      <w:r>
        <w:rPr>
          <w:rFonts w:hint="eastAsia" w:ascii="仿宋_GB2312" w:hAnsi="仿宋_GB2312" w:cs="仿宋_GB2312"/>
          <w:b w:val="0"/>
          <w:bCs w:val="0"/>
          <w:highlight w:val="none"/>
          <w:lang w:val="en-US" w:eastAsia="zh-CN"/>
        </w:rPr>
        <w:t>持续</w:t>
      </w:r>
      <w:r>
        <w:rPr>
          <w:rFonts w:hint="eastAsia" w:ascii="仿宋_GB2312" w:hAnsi="仿宋_GB2312" w:eastAsia="仿宋_GB2312" w:cs="仿宋_GB2312"/>
          <w:b w:val="0"/>
          <w:bCs w:val="0"/>
          <w:highlight w:val="none"/>
        </w:rPr>
        <w:t>做好涉民生小标的执行案件司法救助专项活动，更加关注弱势群体合法权益，兜牢民生底线。深化府院联动机制应用，充分发挥执行查控机制、执行威慑机制作用，加大拒执犯罪打击力度。深化宣传联动机制应用，做深做实“陇原风暴”执行行动宣传工作，发挥新闻舆论作为执行攻坚利器作用，形成理解支持执行、鼓励自动履行、震慑抗拒执行的浓厚社会氛围。</w:t>
      </w:r>
      <w:bookmarkEnd w:id="163"/>
    </w:p>
    <w:p w14:paraId="7808F994">
      <w:pPr>
        <w:pStyle w:val="9"/>
        <w:overflowPunct w:val="0"/>
        <w:spacing w:line="560" w:lineRule="exact"/>
        <w:ind w:firstLine="640" w:firstLineChars="200"/>
        <w:outlineLvl w:val="0"/>
        <w:rPr>
          <w:rFonts w:ascii="黑体" w:hAnsi="黑体" w:eastAsia="黑体" w:cs="仿宋"/>
          <w:highlight w:val="none"/>
        </w:rPr>
      </w:pPr>
      <w:bookmarkStart w:id="164" w:name="_Toc32127"/>
      <w:r>
        <w:rPr>
          <w:rFonts w:hint="eastAsia" w:ascii="黑体" w:hAnsi="黑体" w:eastAsia="黑体" w:cs="仿宋"/>
          <w:highlight w:val="none"/>
        </w:rPr>
        <w:t>七、存在的问题及原因分析</w:t>
      </w:r>
      <w:bookmarkEnd w:id="161"/>
      <w:bookmarkEnd w:id="162"/>
      <w:bookmarkEnd w:id="164"/>
    </w:p>
    <w:p w14:paraId="500FCB8F">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165" w:name="_Toc22417"/>
      <w:bookmarkStart w:id="166" w:name="_Toc27415"/>
      <w:bookmarkStart w:id="167" w:name="_Toc10454"/>
      <w:bookmarkStart w:id="168" w:name="_Toc31893"/>
      <w:bookmarkStart w:id="169" w:name="_Toc18641"/>
      <w:bookmarkStart w:id="170" w:name="_Toc2874"/>
      <w:bookmarkStart w:id="171" w:name="_Toc7160"/>
      <w:bookmarkStart w:id="172" w:name="_Toc31283"/>
      <w:bookmarkStart w:id="173" w:name="_Toc20084"/>
      <w:bookmarkStart w:id="174" w:name="_Toc14622"/>
      <w:bookmarkStart w:id="175" w:name="_Toc19507"/>
      <w:bookmarkStart w:id="176" w:name="_Toc29421"/>
      <w:r>
        <w:rPr>
          <w:rStyle w:val="31"/>
          <w:rFonts w:hint="eastAsia" w:ascii="楷体" w:hAnsi="楷体" w:eastAsia="楷体" w:cs="楷体"/>
          <w:szCs w:val="32"/>
          <w:highlight w:val="none"/>
        </w:rPr>
        <w:t>（一）</w:t>
      </w:r>
      <w:bookmarkEnd w:id="165"/>
      <w:bookmarkEnd w:id="166"/>
      <w:bookmarkEnd w:id="167"/>
      <w:bookmarkEnd w:id="168"/>
      <w:bookmarkEnd w:id="169"/>
      <w:bookmarkEnd w:id="170"/>
      <w:bookmarkEnd w:id="171"/>
      <w:bookmarkStart w:id="177" w:name="_Toc17195"/>
      <w:bookmarkStart w:id="178" w:name="_Toc15618"/>
      <w:bookmarkStart w:id="179" w:name="_Toc12328"/>
      <w:r>
        <w:rPr>
          <w:rStyle w:val="31"/>
          <w:rFonts w:hint="eastAsia" w:ascii="楷体" w:hAnsi="楷体" w:eastAsia="楷体" w:cs="楷体"/>
          <w:szCs w:val="32"/>
          <w:highlight w:val="none"/>
          <w:lang w:val="en-US" w:eastAsia="zh-CN"/>
        </w:rPr>
        <w:t>项目绩效管理有待规范</w:t>
      </w:r>
      <w:bookmarkEnd w:id="172"/>
      <w:bookmarkEnd w:id="173"/>
    </w:p>
    <w:p w14:paraId="0C887AE3">
      <w:pPr>
        <w:overflowPunct w:val="0"/>
        <w:spacing w:line="560" w:lineRule="exact"/>
        <w:ind w:firstLine="640" w:firstLineChars="200"/>
        <w:outlineLvl w:val="1"/>
        <w:rPr>
          <w:rFonts w:hint="eastAsia" w:ascii="仿宋_GB2312" w:hAnsi="仿宋_GB2312" w:eastAsia="仿宋_GB2312" w:cs="仿宋_GB2312"/>
          <w:sz w:val="32"/>
          <w:szCs w:val="32"/>
          <w:highlight w:val="none"/>
        </w:rPr>
      </w:pPr>
      <w:bookmarkStart w:id="180" w:name="_Toc31354"/>
      <w:bookmarkStart w:id="181" w:name="_Toc24510"/>
      <w:r>
        <w:rPr>
          <w:rFonts w:hint="eastAsia" w:ascii="仿宋_GB2312" w:hAnsi="仿宋_GB2312" w:eastAsia="仿宋_GB2312" w:cs="仿宋_GB2312"/>
          <w:sz w:val="32"/>
          <w:szCs w:val="32"/>
          <w:highlight w:val="none"/>
        </w:rPr>
        <w:t>1.评价组经核查《</w:t>
      </w:r>
      <w:r>
        <w:rPr>
          <w:rFonts w:hint="eastAsia" w:ascii="仿宋_GB2312" w:hAnsi="仿宋_GB2312" w:eastAsia="仿宋_GB2312" w:cs="仿宋_GB2312"/>
          <w:sz w:val="32"/>
          <w:szCs w:val="32"/>
          <w:highlight w:val="none"/>
          <w:lang w:eastAsia="zh-CN"/>
        </w:rPr>
        <w:t>全省法院业务费</w:t>
      </w:r>
      <w:r>
        <w:rPr>
          <w:rFonts w:hint="eastAsia" w:ascii="仿宋_GB2312" w:hAnsi="仿宋_GB2312" w:eastAsia="仿宋_GB2312" w:cs="仿宋_GB2312"/>
          <w:sz w:val="32"/>
          <w:szCs w:val="32"/>
          <w:highlight w:val="none"/>
        </w:rPr>
        <w:t>项目支出绩效目标申报表》，</w:t>
      </w:r>
      <w:bookmarkEnd w:id="180"/>
      <w:r>
        <w:rPr>
          <w:rFonts w:hint="eastAsia" w:ascii="仿宋_GB2312" w:hAnsi="仿宋_GB2312" w:eastAsia="仿宋_GB2312" w:cs="仿宋_GB2312"/>
          <w:sz w:val="32"/>
          <w:szCs w:val="32"/>
          <w:highlight w:val="none"/>
        </w:rPr>
        <w:t>存在个别中、基层法院指标编制不规范的情况，如合作市人民法院“数量指标-立案查处案件数（件）”，年度目标值“立案查处案件数有质效”，数量指标目标值编制不符合细化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量化要求；迭部县人民法院未编制成本指标；康乐县人民法院“数量指标－信息化运维服务完成率，质量指标-物业管理合格率、信息化运维服务验收合格率、维修维护项目验收合格率，时效指标-办案经费支付及时率”以上指标年度指标值均为“1”，年度目标值设置不规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年中监控及年底自评工作中无法准确衡量指标完成情况</w:t>
      </w:r>
      <w:r>
        <w:rPr>
          <w:rFonts w:hint="eastAsia" w:ascii="仿宋_GB2312" w:hAnsi="仿宋_GB2312" w:eastAsia="仿宋_GB2312" w:cs="仿宋_GB2312"/>
          <w:sz w:val="32"/>
          <w:szCs w:val="32"/>
          <w:highlight w:val="none"/>
        </w:rPr>
        <w:t>；肃北县人民法院“数量指标-维修维护项目数、物业管理面积、采购装备数量”，年度目标值分别为“项、㎡、台（套）”，指标目标值设置未做到清晰、可衡量。</w:t>
      </w:r>
      <w:bookmarkEnd w:id="181"/>
    </w:p>
    <w:p w14:paraId="26659913">
      <w:pPr>
        <w:overflowPunct w:val="0"/>
        <w:spacing w:line="560" w:lineRule="exact"/>
        <w:ind w:firstLine="640" w:firstLineChars="200"/>
        <w:outlineLvl w:val="1"/>
        <w:rPr>
          <w:rFonts w:hint="eastAsia" w:ascii="仿宋_GB2312" w:hAnsi="仿宋_GB2312" w:eastAsia="仿宋_GB2312" w:cs="仿宋_GB2312"/>
          <w:sz w:val="32"/>
          <w:szCs w:val="32"/>
          <w:highlight w:val="none"/>
        </w:rPr>
      </w:pPr>
      <w:bookmarkStart w:id="182" w:name="_Toc5332"/>
      <w:bookmarkStart w:id="183" w:name="_Toc1554"/>
      <w:r>
        <w:rPr>
          <w:rFonts w:hint="eastAsia" w:ascii="仿宋_GB2312" w:hAnsi="仿宋_GB2312" w:eastAsia="仿宋_GB2312" w:cs="仿宋_GB2312"/>
          <w:sz w:val="32"/>
          <w:szCs w:val="32"/>
          <w:highlight w:val="none"/>
        </w:rPr>
        <w:t>2.</w:t>
      </w:r>
      <w:bookmarkEnd w:id="182"/>
      <w:r>
        <w:rPr>
          <w:rFonts w:hint="eastAsia" w:ascii="仿宋_GB2312" w:hAnsi="仿宋_GB2312" w:eastAsia="仿宋_GB2312" w:cs="仿宋_GB2312"/>
          <w:sz w:val="32"/>
          <w:szCs w:val="32"/>
          <w:highlight w:val="none"/>
          <w:lang w:val="en-US" w:eastAsia="zh-CN"/>
        </w:rPr>
        <w:t>存在</w:t>
      </w:r>
      <w:r>
        <w:rPr>
          <w:rFonts w:hint="eastAsia" w:ascii="仿宋_GB2312" w:hAnsi="仿宋_GB2312" w:eastAsia="仿宋_GB2312" w:cs="仿宋_GB2312"/>
          <w:sz w:val="32"/>
          <w:szCs w:val="32"/>
          <w:highlight w:val="none"/>
        </w:rPr>
        <w:t>个别法院绩效自评内容不完整，未充分评估项目各种效益实际情况及项目管理存在的问题。如天祝藏族自治县人民法院，“数量指标-采购装备数量”，年度目标值20台，实际全年采购15台，未完成年度目标，未分析偏差原因及下一步改进措施；临泽县人民法院未填写年度总体目标实际完成情况；张掖市中级人民法院“质量指标-一审服判息诉率”，年度目标值&gt;=90%，实际完成57.01%，未分析偏差原因及下一步改进措施。</w:t>
      </w:r>
      <w:bookmarkEnd w:id="183"/>
    </w:p>
    <w:p w14:paraId="5C623BBE">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184" w:name="_Toc31150"/>
      <w:bookmarkStart w:id="185" w:name="_Toc2868"/>
      <w:bookmarkStart w:id="186" w:name="_Toc18234"/>
      <w:bookmarkStart w:id="187" w:name="_Toc4207"/>
      <w:r>
        <w:rPr>
          <w:rStyle w:val="31"/>
          <w:rFonts w:hint="eastAsia" w:ascii="楷体" w:hAnsi="楷体" w:eastAsia="楷体" w:cs="楷体"/>
          <w:szCs w:val="32"/>
          <w:highlight w:val="none"/>
          <w:lang w:val="en-US" w:eastAsia="zh-CN"/>
        </w:rPr>
        <w:t>（二）</w:t>
      </w:r>
      <w:bookmarkEnd w:id="184"/>
      <w:bookmarkEnd w:id="185"/>
      <w:bookmarkEnd w:id="186"/>
      <w:r>
        <w:rPr>
          <w:rStyle w:val="31"/>
          <w:rFonts w:hint="eastAsia" w:ascii="楷体" w:hAnsi="楷体" w:eastAsia="楷体" w:cs="楷体"/>
          <w:szCs w:val="32"/>
          <w:highlight w:val="none"/>
          <w:lang w:val="en-US" w:eastAsia="zh-CN"/>
        </w:rPr>
        <w:t>项目资金预算执行有待提高</w:t>
      </w:r>
      <w:bookmarkEnd w:id="187"/>
    </w:p>
    <w:p w14:paraId="78C9B23A">
      <w:pPr>
        <w:overflowPunct w:val="0"/>
        <w:spacing w:line="560" w:lineRule="exact"/>
        <w:ind w:firstLine="640" w:firstLineChars="200"/>
        <w:outlineLvl w:val="1"/>
        <w:rPr>
          <w:rStyle w:val="31"/>
          <w:rFonts w:hint="default" w:ascii="楷体" w:hAnsi="楷体" w:eastAsia="仿宋_GB2312" w:cs="楷体"/>
          <w:szCs w:val="32"/>
          <w:highlight w:val="none"/>
          <w:lang w:val="en-US" w:eastAsia="zh-CN"/>
        </w:rPr>
      </w:pPr>
      <w:bookmarkStart w:id="188" w:name="_Toc5500"/>
      <w:bookmarkStart w:id="189" w:name="_Toc11984"/>
      <w:r>
        <w:rPr>
          <w:rFonts w:hint="eastAsia" w:ascii="仿宋_GB2312" w:hAnsi="仿宋_GB2312" w:eastAsia="仿宋_GB2312" w:cs="仿宋_GB2312"/>
          <w:sz w:val="32"/>
          <w:szCs w:val="32"/>
          <w:highlight w:val="none"/>
          <w:lang w:val="en-US" w:eastAsia="zh-CN"/>
        </w:rPr>
        <w:t>1.专项资金存在结余。全省法院业务费项目全年预算数27,195.47万元，其中上年结转资金2,185.47万元，当年财政拨款25,010.00万元，全年支出数26,052.10万元，预算执行率95.80%，年末结转结余资金1,143.37万元。</w:t>
      </w:r>
      <w:bookmarkEnd w:id="188"/>
    </w:p>
    <w:bookmarkEnd w:id="174"/>
    <w:bookmarkEnd w:id="175"/>
    <w:bookmarkEnd w:id="176"/>
    <w:bookmarkEnd w:id="177"/>
    <w:bookmarkEnd w:id="178"/>
    <w:bookmarkEnd w:id="179"/>
    <w:bookmarkEnd w:id="189"/>
    <w:p w14:paraId="6B2A1F58">
      <w:pPr>
        <w:pStyle w:val="26"/>
        <w:overflowPunct w:val="0"/>
        <w:spacing w:line="560" w:lineRule="exact"/>
        <w:ind w:firstLine="640"/>
        <w:rPr>
          <w:rFonts w:hint="eastAsia" w:ascii="仿宋_GB2312" w:hAnsi="仿宋_GB2312" w:eastAsia="仿宋_GB2312" w:cs="仿宋_GB2312"/>
          <w:sz w:val="32"/>
          <w:szCs w:val="32"/>
          <w:highlight w:val="none"/>
          <w:lang w:val="en-US" w:eastAsia="zh-CN"/>
        </w:rPr>
      </w:pPr>
      <w:bookmarkStart w:id="190" w:name="_Toc15149"/>
      <w:bookmarkStart w:id="191" w:name="_Toc20992"/>
      <w:r>
        <w:rPr>
          <w:rFonts w:hint="eastAsia" w:ascii="仿宋_GB2312" w:hAnsi="仿宋_GB2312" w:eastAsia="仿宋_GB2312" w:cs="仿宋_GB2312"/>
          <w:sz w:val="32"/>
          <w:szCs w:val="32"/>
          <w:highlight w:val="none"/>
          <w:lang w:val="en-US" w:eastAsia="zh-CN"/>
        </w:rPr>
        <w:t>2.存在以下中、基层法院上年存量资金较大，本年度持续下达预算资金，导致年底预算执行率较低，资金持续滚存结余的情况。明细如下：</w:t>
      </w:r>
    </w:p>
    <w:tbl>
      <w:tblPr>
        <w:tblStyle w:val="2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3"/>
        <w:gridCol w:w="2507"/>
        <w:gridCol w:w="1189"/>
        <w:gridCol w:w="1209"/>
        <w:gridCol w:w="1077"/>
        <w:gridCol w:w="1025"/>
        <w:gridCol w:w="1191"/>
      </w:tblGrid>
      <w:tr w14:paraId="40FC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78" w:type="pct"/>
            <w:vAlign w:val="center"/>
          </w:tcPr>
          <w:p w14:paraId="28F88F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1"/>
                <w:szCs w:val="21"/>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1443" w:type="pct"/>
            <w:vAlign w:val="center"/>
          </w:tcPr>
          <w:p w14:paraId="4B7CC7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sz w:val="21"/>
                <w:szCs w:val="21"/>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预算单位</w:t>
            </w:r>
          </w:p>
        </w:tc>
        <w:tc>
          <w:tcPr>
            <w:tcW w:w="684" w:type="pct"/>
            <w:vAlign w:val="center"/>
          </w:tcPr>
          <w:p w14:paraId="702E024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sz w:val="21"/>
                <w:szCs w:val="21"/>
                <w:highlight w:val="none"/>
                <w:vertAlign w:val="baseline"/>
                <w:lang w:val="en-US" w:eastAsia="zh-CN"/>
              </w:rPr>
            </w:pPr>
            <w:r>
              <w:rPr>
                <w:rFonts w:hint="eastAsia" w:ascii="宋体" w:hAnsi="宋体" w:eastAsia="宋体" w:cs="宋体"/>
                <w:b/>
                <w:bCs/>
                <w:i w:val="0"/>
                <w:iCs w:val="0"/>
                <w:color w:val="000000"/>
                <w:kern w:val="0"/>
                <w:sz w:val="20"/>
                <w:szCs w:val="20"/>
                <w:highlight w:val="none"/>
                <w:u w:val="none"/>
                <w:lang w:val="en-US" w:eastAsia="zh-CN" w:bidi="ar"/>
              </w:rPr>
              <w:t>上年结转资金</w:t>
            </w:r>
          </w:p>
        </w:tc>
        <w:tc>
          <w:tcPr>
            <w:tcW w:w="696" w:type="pct"/>
            <w:vAlign w:val="center"/>
          </w:tcPr>
          <w:p w14:paraId="18D679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本年下达资金</w:t>
            </w:r>
          </w:p>
        </w:tc>
        <w:tc>
          <w:tcPr>
            <w:tcW w:w="620" w:type="pct"/>
            <w:vAlign w:val="center"/>
          </w:tcPr>
          <w:p w14:paraId="43163F5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实际支出</w:t>
            </w:r>
          </w:p>
        </w:tc>
        <w:tc>
          <w:tcPr>
            <w:tcW w:w="590" w:type="pct"/>
            <w:vAlign w:val="center"/>
          </w:tcPr>
          <w:p w14:paraId="222C35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年末结余</w:t>
            </w:r>
          </w:p>
        </w:tc>
        <w:tc>
          <w:tcPr>
            <w:tcW w:w="685" w:type="pct"/>
            <w:vAlign w:val="center"/>
          </w:tcPr>
          <w:p w14:paraId="06C5BC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bCs/>
                <w:i w:val="0"/>
                <w:iCs w:val="0"/>
                <w:color w:val="000000"/>
                <w:kern w:val="0"/>
                <w:sz w:val="20"/>
                <w:szCs w:val="20"/>
                <w:highlight w:val="none"/>
                <w:u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预算执行率</w:t>
            </w:r>
          </w:p>
        </w:tc>
      </w:tr>
      <w:tr w14:paraId="2D9B9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5876CDA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1443" w:type="pct"/>
            <w:vAlign w:val="center"/>
          </w:tcPr>
          <w:p w14:paraId="4F232672">
            <w:pPr>
              <w:keepNext w:val="0"/>
              <w:keepLines w:val="0"/>
              <w:widowControl/>
              <w:suppressLineNumbers w:val="0"/>
              <w:jc w:val="lef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甘肃矿区人民法院</w:t>
            </w:r>
          </w:p>
        </w:tc>
        <w:tc>
          <w:tcPr>
            <w:tcW w:w="684" w:type="pct"/>
            <w:vAlign w:val="center"/>
          </w:tcPr>
          <w:p w14:paraId="3022DF91">
            <w:pPr>
              <w:keepNext w:val="0"/>
              <w:keepLines w:val="0"/>
              <w:widowControl/>
              <w:suppressLineNumbers w:val="0"/>
              <w:jc w:val="righ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59.55 </w:t>
            </w:r>
          </w:p>
        </w:tc>
        <w:tc>
          <w:tcPr>
            <w:tcW w:w="696" w:type="pct"/>
            <w:vAlign w:val="center"/>
          </w:tcPr>
          <w:p w14:paraId="6D20EF8E">
            <w:pPr>
              <w:keepNext w:val="0"/>
              <w:keepLines w:val="0"/>
              <w:widowControl/>
              <w:suppressLineNumbers w:val="0"/>
              <w:jc w:val="righ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257.00 </w:t>
            </w:r>
          </w:p>
        </w:tc>
        <w:tc>
          <w:tcPr>
            <w:tcW w:w="620" w:type="pct"/>
            <w:vAlign w:val="center"/>
          </w:tcPr>
          <w:p w14:paraId="5097B929">
            <w:pPr>
              <w:keepNext w:val="0"/>
              <w:keepLines w:val="0"/>
              <w:widowControl/>
              <w:suppressLineNumbers w:val="0"/>
              <w:jc w:val="righ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166.55 </w:t>
            </w:r>
          </w:p>
        </w:tc>
        <w:tc>
          <w:tcPr>
            <w:tcW w:w="590" w:type="pct"/>
            <w:vAlign w:val="center"/>
          </w:tcPr>
          <w:p w14:paraId="6D8ED986">
            <w:pPr>
              <w:keepNext w:val="0"/>
              <w:keepLines w:val="0"/>
              <w:widowControl/>
              <w:suppressLineNumbers w:val="0"/>
              <w:jc w:val="righ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150.00 </w:t>
            </w:r>
          </w:p>
        </w:tc>
        <w:tc>
          <w:tcPr>
            <w:tcW w:w="685" w:type="pct"/>
            <w:vAlign w:val="center"/>
          </w:tcPr>
          <w:p w14:paraId="70572005">
            <w:pPr>
              <w:keepNext w:val="0"/>
              <w:keepLines w:val="0"/>
              <w:widowControl/>
              <w:suppressLineNumbers w:val="0"/>
              <w:jc w:val="center"/>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52.61%</w:t>
            </w:r>
          </w:p>
        </w:tc>
      </w:tr>
      <w:tr w14:paraId="133D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3FE40E6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1443" w:type="pct"/>
            <w:vAlign w:val="center"/>
          </w:tcPr>
          <w:p w14:paraId="30A04713">
            <w:pPr>
              <w:keepNext w:val="0"/>
              <w:keepLines w:val="0"/>
              <w:widowControl/>
              <w:suppressLineNumbers w:val="0"/>
              <w:jc w:val="lef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甘肃省林区中级法院</w:t>
            </w:r>
          </w:p>
        </w:tc>
        <w:tc>
          <w:tcPr>
            <w:tcW w:w="684" w:type="pct"/>
            <w:vAlign w:val="center"/>
          </w:tcPr>
          <w:p w14:paraId="3F1E28FA">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52.70 </w:t>
            </w:r>
          </w:p>
        </w:tc>
        <w:tc>
          <w:tcPr>
            <w:tcW w:w="696" w:type="pct"/>
            <w:vAlign w:val="center"/>
          </w:tcPr>
          <w:p w14:paraId="37531DD4">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188.00 </w:t>
            </w:r>
          </w:p>
        </w:tc>
        <w:tc>
          <w:tcPr>
            <w:tcW w:w="620" w:type="pct"/>
            <w:vAlign w:val="center"/>
          </w:tcPr>
          <w:p w14:paraId="7A7528BC">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189.16 </w:t>
            </w:r>
          </w:p>
        </w:tc>
        <w:tc>
          <w:tcPr>
            <w:tcW w:w="590" w:type="pct"/>
            <w:vAlign w:val="center"/>
          </w:tcPr>
          <w:p w14:paraId="089D1C7C">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51.54 </w:t>
            </w:r>
          </w:p>
        </w:tc>
        <w:tc>
          <w:tcPr>
            <w:tcW w:w="685" w:type="pct"/>
            <w:vAlign w:val="center"/>
          </w:tcPr>
          <w:p w14:paraId="2844F523">
            <w:pPr>
              <w:keepNext w:val="0"/>
              <w:keepLines w:val="0"/>
              <w:widowControl/>
              <w:suppressLineNumbers w:val="0"/>
              <w:jc w:val="center"/>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78.59%</w:t>
            </w:r>
          </w:p>
        </w:tc>
      </w:tr>
      <w:tr w14:paraId="5034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447FB9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3</w:t>
            </w:r>
          </w:p>
        </w:tc>
        <w:tc>
          <w:tcPr>
            <w:tcW w:w="1443" w:type="pct"/>
            <w:vAlign w:val="center"/>
          </w:tcPr>
          <w:p w14:paraId="3CC77D5C">
            <w:pPr>
              <w:keepNext w:val="0"/>
              <w:keepLines w:val="0"/>
              <w:widowControl/>
              <w:suppressLineNumbers w:val="0"/>
              <w:jc w:val="lef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祁连山林区法院</w:t>
            </w:r>
          </w:p>
        </w:tc>
        <w:tc>
          <w:tcPr>
            <w:tcW w:w="684" w:type="pct"/>
            <w:vAlign w:val="center"/>
          </w:tcPr>
          <w:p w14:paraId="4C8C3850">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79.83 </w:t>
            </w:r>
          </w:p>
        </w:tc>
        <w:tc>
          <w:tcPr>
            <w:tcW w:w="696" w:type="pct"/>
            <w:vAlign w:val="center"/>
          </w:tcPr>
          <w:p w14:paraId="1879F888">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155.00 </w:t>
            </w:r>
          </w:p>
        </w:tc>
        <w:tc>
          <w:tcPr>
            <w:tcW w:w="620" w:type="pct"/>
            <w:vAlign w:val="center"/>
          </w:tcPr>
          <w:p w14:paraId="0F4A04C5">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162.35 </w:t>
            </w:r>
          </w:p>
        </w:tc>
        <w:tc>
          <w:tcPr>
            <w:tcW w:w="590" w:type="pct"/>
            <w:vAlign w:val="center"/>
          </w:tcPr>
          <w:p w14:paraId="19F8DDD1">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72.48 </w:t>
            </w:r>
          </w:p>
        </w:tc>
        <w:tc>
          <w:tcPr>
            <w:tcW w:w="685" w:type="pct"/>
            <w:vAlign w:val="center"/>
          </w:tcPr>
          <w:p w14:paraId="236794B6">
            <w:pPr>
              <w:keepNext w:val="0"/>
              <w:keepLines w:val="0"/>
              <w:widowControl/>
              <w:suppressLineNumbers w:val="0"/>
              <w:jc w:val="center"/>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69.14%</w:t>
            </w:r>
          </w:p>
        </w:tc>
      </w:tr>
      <w:tr w14:paraId="2D53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77F9DBD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4</w:t>
            </w:r>
          </w:p>
        </w:tc>
        <w:tc>
          <w:tcPr>
            <w:tcW w:w="1443" w:type="pct"/>
            <w:vAlign w:val="center"/>
          </w:tcPr>
          <w:p w14:paraId="0AB374D1">
            <w:pPr>
              <w:keepNext w:val="0"/>
              <w:keepLines w:val="0"/>
              <w:widowControl/>
              <w:suppressLineNumbers w:val="0"/>
              <w:jc w:val="lef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甘肃省兰州市中级人民法院</w:t>
            </w:r>
          </w:p>
        </w:tc>
        <w:tc>
          <w:tcPr>
            <w:tcW w:w="684" w:type="pct"/>
            <w:vAlign w:val="center"/>
          </w:tcPr>
          <w:p w14:paraId="45979B8A">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243.88 </w:t>
            </w:r>
          </w:p>
        </w:tc>
        <w:tc>
          <w:tcPr>
            <w:tcW w:w="696" w:type="pct"/>
            <w:vAlign w:val="center"/>
          </w:tcPr>
          <w:p w14:paraId="0C0B1C6E">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945.00 </w:t>
            </w:r>
          </w:p>
        </w:tc>
        <w:tc>
          <w:tcPr>
            <w:tcW w:w="620" w:type="pct"/>
            <w:vAlign w:val="center"/>
          </w:tcPr>
          <w:p w14:paraId="1100EAC4">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928.77 </w:t>
            </w:r>
          </w:p>
        </w:tc>
        <w:tc>
          <w:tcPr>
            <w:tcW w:w="590" w:type="pct"/>
            <w:vAlign w:val="center"/>
          </w:tcPr>
          <w:p w14:paraId="43B390FB">
            <w:pPr>
              <w:keepNext w:val="0"/>
              <w:keepLines w:val="0"/>
              <w:widowControl/>
              <w:suppressLineNumbers w:val="0"/>
              <w:jc w:val="righ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 xml:space="preserve"> 260.11 </w:t>
            </w:r>
          </w:p>
        </w:tc>
        <w:tc>
          <w:tcPr>
            <w:tcW w:w="685" w:type="pct"/>
            <w:vAlign w:val="center"/>
          </w:tcPr>
          <w:p w14:paraId="602ACBB1">
            <w:pPr>
              <w:keepNext w:val="0"/>
              <w:keepLines w:val="0"/>
              <w:widowControl/>
              <w:suppressLineNumbers w:val="0"/>
              <w:jc w:val="center"/>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0"/>
                <w:szCs w:val="20"/>
                <w:highlight w:val="none"/>
                <w:u w:val="none"/>
                <w:lang w:val="en-US" w:eastAsia="zh-CN" w:bidi="ar"/>
              </w:rPr>
              <w:t>78.12%</w:t>
            </w:r>
          </w:p>
        </w:tc>
      </w:tr>
      <w:tr w14:paraId="4D6B2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363F91A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443" w:type="pct"/>
            <w:vAlign w:val="center"/>
          </w:tcPr>
          <w:p w14:paraId="6EE50EB7">
            <w:pPr>
              <w:keepNext w:val="0"/>
              <w:keepLines w:val="0"/>
              <w:widowControl/>
              <w:suppressLineNumbers w:val="0"/>
              <w:jc w:val="lef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临夏州中级人民法院</w:t>
            </w:r>
          </w:p>
        </w:tc>
        <w:tc>
          <w:tcPr>
            <w:tcW w:w="684" w:type="pct"/>
            <w:vAlign w:val="center"/>
          </w:tcPr>
          <w:p w14:paraId="0D6A9651">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27.32 </w:t>
            </w:r>
          </w:p>
        </w:tc>
        <w:tc>
          <w:tcPr>
            <w:tcW w:w="696" w:type="pct"/>
            <w:vAlign w:val="center"/>
          </w:tcPr>
          <w:p w14:paraId="62B2C4B8">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245.00 </w:t>
            </w:r>
          </w:p>
        </w:tc>
        <w:tc>
          <w:tcPr>
            <w:tcW w:w="620" w:type="pct"/>
            <w:vAlign w:val="center"/>
          </w:tcPr>
          <w:p w14:paraId="75A19D1D">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154.36 </w:t>
            </w:r>
          </w:p>
        </w:tc>
        <w:tc>
          <w:tcPr>
            <w:tcW w:w="590" w:type="pct"/>
            <w:vAlign w:val="center"/>
          </w:tcPr>
          <w:p w14:paraId="3B33A8B9">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117.96 </w:t>
            </w:r>
          </w:p>
        </w:tc>
        <w:tc>
          <w:tcPr>
            <w:tcW w:w="685" w:type="pct"/>
            <w:vAlign w:val="center"/>
          </w:tcPr>
          <w:p w14:paraId="4D694F1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56.68%</w:t>
            </w:r>
          </w:p>
        </w:tc>
      </w:tr>
      <w:tr w14:paraId="0BB72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3686E76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w:t>
            </w:r>
          </w:p>
        </w:tc>
        <w:tc>
          <w:tcPr>
            <w:tcW w:w="1443" w:type="pct"/>
            <w:vAlign w:val="center"/>
          </w:tcPr>
          <w:p w14:paraId="7E9F74DC">
            <w:pPr>
              <w:keepNext w:val="0"/>
              <w:keepLines w:val="0"/>
              <w:widowControl/>
              <w:suppressLineNumbers w:val="0"/>
              <w:jc w:val="left"/>
              <w:textAlignment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广河县人民法院</w:t>
            </w:r>
          </w:p>
        </w:tc>
        <w:tc>
          <w:tcPr>
            <w:tcW w:w="684" w:type="pct"/>
            <w:vAlign w:val="center"/>
          </w:tcPr>
          <w:p w14:paraId="1F0BBD48">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40.57 </w:t>
            </w:r>
          </w:p>
        </w:tc>
        <w:tc>
          <w:tcPr>
            <w:tcW w:w="696" w:type="pct"/>
            <w:vAlign w:val="center"/>
          </w:tcPr>
          <w:p w14:paraId="150AEF82">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120.00 </w:t>
            </w:r>
          </w:p>
        </w:tc>
        <w:tc>
          <w:tcPr>
            <w:tcW w:w="620" w:type="pct"/>
            <w:vAlign w:val="center"/>
          </w:tcPr>
          <w:p w14:paraId="60E87BF0">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123.23 </w:t>
            </w:r>
          </w:p>
        </w:tc>
        <w:tc>
          <w:tcPr>
            <w:tcW w:w="590" w:type="pct"/>
            <w:vAlign w:val="center"/>
          </w:tcPr>
          <w:p w14:paraId="4491BB05">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37.34 </w:t>
            </w:r>
          </w:p>
        </w:tc>
        <w:tc>
          <w:tcPr>
            <w:tcW w:w="685" w:type="pct"/>
            <w:vAlign w:val="center"/>
          </w:tcPr>
          <w:p w14:paraId="64029F10">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76.75%</w:t>
            </w:r>
          </w:p>
        </w:tc>
      </w:tr>
      <w:tr w14:paraId="78EB6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8" w:type="pct"/>
            <w:vAlign w:val="center"/>
          </w:tcPr>
          <w:p w14:paraId="759FB1D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7</w:t>
            </w:r>
          </w:p>
        </w:tc>
        <w:tc>
          <w:tcPr>
            <w:tcW w:w="1443" w:type="pct"/>
            <w:vAlign w:val="center"/>
          </w:tcPr>
          <w:p w14:paraId="414DA9F0">
            <w:pPr>
              <w:keepNext w:val="0"/>
              <w:keepLines w:val="0"/>
              <w:widowControl/>
              <w:suppressLineNumbers w:val="0"/>
              <w:jc w:val="left"/>
              <w:textAlignment w:val="center"/>
              <w:rPr>
                <w:rFonts w:hint="default" w:ascii="宋体" w:hAnsi="宋体" w:eastAsia="宋体" w:cs="宋体"/>
                <w:sz w:val="21"/>
                <w:szCs w:val="21"/>
                <w:highlight w:val="none"/>
                <w:vertAlign w:val="baseline"/>
                <w:lang w:val="en-US" w:eastAsia="zh-CN"/>
              </w:rPr>
            </w:pPr>
            <w:r>
              <w:rPr>
                <w:rFonts w:hint="eastAsia" w:ascii="宋体" w:hAnsi="宋体" w:eastAsia="宋体" w:cs="宋体"/>
                <w:i w:val="0"/>
                <w:iCs w:val="0"/>
                <w:color w:val="000000"/>
                <w:kern w:val="0"/>
                <w:sz w:val="21"/>
                <w:szCs w:val="21"/>
                <w:highlight w:val="none"/>
                <w:u w:val="none"/>
                <w:lang w:val="en-US" w:eastAsia="zh-CN" w:bidi="ar"/>
              </w:rPr>
              <w:t>卓尼县人民法院</w:t>
            </w:r>
          </w:p>
        </w:tc>
        <w:tc>
          <w:tcPr>
            <w:tcW w:w="684" w:type="pct"/>
            <w:vAlign w:val="center"/>
          </w:tcPr>
          <w:p w14:paraId="2E794CCD">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40.81 </w:t>
            </w:r>
          </w:p>
        </w:tc>
        <w:tc>
          <w:tcPr>
            <w:tcW w:w="696" w:type="pct"/>
            <w:vAlign w:val="center"/>
          </w:tcPr>
          <w:p w14:paraId="260EFB3F">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130.00 </w:t>
            </w:r>
          </w:p>
        </w:tc>
        <w:tc>
          <w:tcPr>
            <w:tcW w:w="620" w:type="pct"/>
            <w:vAlign w:val="center"/>
          </w:tcPr>
          <w:p w14:paraId="434F0DA3">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118.82 </w:t>
            </w:r>
          </w:p>
        </w:tc>
        <w:tc>
          <w:tcPr>
            <w:tcW w:w="590" w:type="pct"/>
            <w:vAlign w:val="center"/>
          </w:tcPr>
          <w:p w14:paraId="1DEC6DB0">
            <w:pPr>
              <w:keepNext w:val="0"/>
              <w:keepLines w:val="0"/>
              <w:widowControl/>
              <w:suppressLineNumbers w:val="0"/>
              <w:jc w:val="righ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 xml:space="preserve"> 51.99 </w:t>
            </w:r>
          </w:p>
        </w:tc>
        <w:tc>
          <w:tcPr>
            <w:tcW w:w="685" w:type="pct"/>
            <w:vAlign w:val="center"/>
          </w:tcPr>
          <w:p w14:paraId="6F3A08CA">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69.56%</w:t>
            </w:r>
          </w:p>
        </w:tc>
      </w:tr>
    </w:tbl>
    <w:p w14:paraId="4FE4FADA">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19" w:name="_GoBack"/>
      <w:bookmarkStart w:id="192" w:name="_Toc1369"/>
      <w:r>
        <w:rPr>
          <w:rStyle w:val="31"/>
          <w:rFonts w:hint="eastAsia" w:ascii="楷体" w:hAnsi="楷体" w:eastAsia="楷体" w:cs="楷体"/>
          <w:szCs w:val="32"/>
          <w:highlight w:val="none"/>
          <w:lang w:val="en-US" w:eastAsia="zh-CN"/>
        </w:rPr>
        <w:t>（三）个别指标未达到年度目标</w:t>
      </w:r>
      <w:bookmarkEnd w:id="192"/>
    </w:p>
    <w:p w14:paraId="7399693A">
      <w:pPr>
        <w:pStyle w:val="9"/>
        <w:overflowPunct w:val="0"/>
        <w:spacing w:line="560" w:lineRule="exact"/>
        <w:ind w:firstLine="640" w:firstLineChars="200"/>
        <w:outlineLvl w:val="0"/>
        <w:rPr>
          <w:rFonts w:hint="eastAsia" w:ascii="仿宋_GB2312" w:hAnsi="仿宋_GB2312" w:cs="仿宋_GB2312"/>
          <w:kern w:val="2"/>
          <w:sz w:val="32"/>
          <w:szCs w:val="32"/>
          <w:highlight w:val="none"/>
          <w:lang w:val="en-US" w:eastAsia="zh-CN" w:bidi="ar-SA"/>
        </w:rPr>
      </w:pPr>
      <w:bookmarkStart w:id="193" w:name="_Toc13926"/>
      <w:r>
        <w:rPr>
          <w:rFonts w:hint="eastAsia" w:ascii="仿宋_GB2312" w:hAnsi="仿宋_GB2312" w:eastAsia="仿宋_GB2312" w:cs="仿宋_GB2312"/>
          <w:kern w:val="2"/>
          <w:sz w:val="32"/>
          <w:szCs w:val="32"/>
          <w:highlight w:val="none"/>
          <w:lang w:val="en-US" w:eastAsia="zh-CN" w:bidi="ar-SA"/>
        </w:rPr>
        <w:t>1.一审服判息诉率</w:t>
      </w:r>
      <w:r>
        <w:rPr>
          <w:rFonts w:hint="eastAsia" w:ascii="仿宋_GB2312" w:hAnsi="仿宋_GB2312" w:cs="仿宋_GB2312"/>
          <w:kern w:val="2"/>
          <w:sz w:val="32"/>
          <w:szCs w:val="32"/>
          <w:highlight w:val="none"/>
          <w:lang w:val="en-US" w:eastAsia="zh-CN" w:bidi="ar-SA"/>
        </w:rPr>
        <w:t>，年度目标值≥90%，实际全省法院2023年度</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87.79%，未达到年度目标，全省各辖区法院中矿区法院</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78%，兰铁辖区法院</w:t>
      </w:r>
      <w:r>
        <w:rPr>
          <w:rFonts w:hint="eastAsia" w:ascii="仿宋_GB2312" w:hAnsi="仿宋_GB2312" w:eastAsia="仿宋_GB2312" w:cs="仿宋_GB2312"/>
          <w:kern w:val="2"/>
          <w:sz w:val="32"/>
          <w:szCs w:val="32"/>
          <w:highlight w:val="none"/>
          <w:lang w:val="en-US" w:eastAsia="zh-CN" w:bidi="ar-SA"/>
        </w:rPr>
        <w:t>一审服判息诉率</w:t>
      </w:r>
      <w:r>
        <w:rPr>
          <w:rFonts w:hint="eastAsia" w:ascii="仿宋_GB2312" w:hAnsi="仿宋_GB2312" w:cs="仿宋_GB2312"/>
          <w:kern w:val="2"/>
          <w:sz w:val="32"/>
          <w:szCs w:val="32"/>
          <w:highlight w:val="none"/>
          <w:lang w:val="en-US" w:eastAsia="zh-CN" w:bidi="ar-SA"/>
        </w:rPr>
        <w:t>80.67%，低于“82.73%-88.37%”的合理区间。</w:t>
      </w:r>
      <w:bookmarkEnd w:id="193"/>
    </w:p>
    <w:p w14:paraId="189D29D8">
      <w:pPr>
        <w:pStyle w:val="9"/>
        <w:overflowPunct w:val="0"/>
        <w:spacing w:line="560" w:lineRule="exact"/>
        <w:ind w:firstLine="640" w:firstLineChars="200"/>
        <w:outlineLvl w:val="0"/>
        <w:rPr>
          <w:rFonts w:hint="default" w:ascii="仿宋_GB2312" w:hAnsi="仿宋_GB2312" w:cs="仿宋_GB2312"/>
          <w:kern w:val="2"/>
          <w:sz w:val="32"/>
          <w:szCs w:val="32"/>
          <w:highlight w:val="none"/>
          <w:lang w:val="en-US" w:eastAsia="zh-CN" w:bidi="ar-SA"/>
        </w:rPr>
      </w:pPr>
      <w:bookmarkStart w:id="194" w:name="_Toc26690"/>
      <w:r>
        <w:rPr>
          <w:rFonts w:hint="eastAsia" w:ascii="仿宋_GB2312" w:hAnsi="仿宋_GB2312" w:cs="仿宋_GB2312"/>
          <w:kern w:val="2"/>
          <w:sz w:val="32"/>
          <w:szCs w:val="32"/>
          <w:highlight w:val="none"/>
          <w:lang w:val="en-US" w:eastAsia="zh-CN" w:bidi="ar-SA"/>
        </w:rPr>
        <w:t>2.执行标的到位率，</w:t>
      </w:r>
      <w:r>
        <w:rPr>
          <w:rFonts w:hint="eastAsia" w:ascii="仿宋_GB2312" w:hAnsi="仿宋_GB2312" w:cs="仿宋_GB2312"/>
          <w:b w:val="0"/>
          <w:bCs w:val="0"/>
          <w:highlight w:val="none"/>
          <w:lang w:val="en-US" w:eastAsia="zh-CN"/>
        </w:rPr>
        <w:t>武威辖区法院</w:t>
      </w:r>
      <w:r>
        <w:rPr>
          <w:rFonts w:hint="eastAsia" w:ascii="仿宋_GB2312" w:hAnsi="仿宋_GB2312" w:cs="仿宋_GB2312"/>
          <w:kern w:val="2"/>
          <w:sz w:val="32"/>
          <w:szCs w:val="32"/>
          <w:highlight w:val="none"/>
          <w:lang w:val="en-US" w:eastAsia="zh-CN" w:bidi="ar-SA"/>
        </w:rPr>
        <w:t>执行标的到位率33.91%</w:t>
      </w:r>
      <w:r>
        <w:rPr>
          <w:rFonts w:hint="eastAsia" w:ascii="仿宋_GB2312" w:hAnsi="仿宋_GB2312" w:cs="仿宋_GB2312"/>
          <w:b w:val="0"/>
          <w:bCs w:val="0"/>
          <w:highlight w:val="none"/>
          <w:lang w:val="en-US" w:eastAsia="zh-CN"/>
        </w:rPr>
        <w:t>、矿区法院</w:t>
      </w:r>
      <w:r>
        <w:rPr>
          <w:rFonts w:hint="eastAsia" w:ascii="仿宋_GB2312" w:hAnsi="仿宋_GB2312" w:cs="仿宋_GB2312"/>
          <w:kern w:val="2"/>
          <w:sz w:val="32"/>
          <w:szCs w:val="32"/>
          <w:highlight w:val="none"/>
          <w:lang w:val="en-US" w:eastAsia="zh-CN" w:bidi="ar-SA"/>
        </w:rPr>
        <w:t>执行标的到位率28.48%</w:t>
      </w:r>
      <w:r>
        <w:rPr>
          <w:rFonts w:hint="eastAsia" w:ascii="仿宋_GB2312" w:hAnsi="仿宋_GB2312" w:cs="仿宋_GB2312"/>
          <w:b w:val="0"/>
          <w:bCs w:val="0"/>
          <w:highlight w:val="none"/>
          <w:lang w:val="en-US" w:eastAsia="zh-CN"/>
        </w:rPr>
        <w:t>、兰铁辖区法院</w:t>
      </w:r>
      <w:r>
        <w:rPr>
          <w:rFonts w:hint="eastAsia" w:ascii="仿宋_GB2312" w:hAnsi="仿宋_GB2312" w:cs="仿宋_GB2312"/>
          <w:kern w:val="2"/>
          <w:sz w:val="32"/>
          <w:szCs w:val="32"/>
          <w:highlight w:val="none"/>
          <w:lang w:val="en-US" w:eastAsia="zh-CN" w:bidi="ar-SA"/>
        </w:rPr>
        <w:t>执行标的到位率28.01%</w:t>
      </w:r>
      <w:r>
        <w:rPr>
          <w:rFonts w:hint="eastAsia" w:ascii="仿宋_GB2312" w:hAnsi="仿宋_GB2312" w:cs="仿宋_GB2312"/>
          <w:b w:val="0"/>
          <w:bCs w:val="0"/>
          <w:highlight w:val="none"/>
          <w:lang w:val="en-US" w:eastAsia="zh-CN"/>
        </w:rPr>
        <w:t>、林区辖区法院</w:t>
      </w:r>
      <w:r>
        <w:rPr>
          <w:rFonts w:hint="eastAsia" w:ascii="仿宋_GB2312" w:hAnsi="仿宋_GB2312" w:cs="仿宋_GB2312"/>
          <w:kern w:val="2"/>
          <w:sz w:val="32"/>
          <w:szCs w:val="32"/>
          <w:highlight w:val="none"/>
          <w:lang w:val="en-US" w:eastAsia="zh-CN" w:bidi="ar-SA"/>
        </w:rPr>
        <w:t>执行标的到位率31.66%，</w:t>
      </w:r>
      <w:r>
        <w:rPr>
          <w:rFonts w:hint="eastAsia" w:ascii="仿宋_GB2312" w:hAnsi="仿宋_GB2312" w:cs="仿宋_GB2312"/>
          <w:b w:val="0"/>
          <w:bCs w:val="0"/>
          <w:highlight w:val="none"/>
          <w:lang w:val="en-US" w:eastAsia="zh-CN"/>
        </w:rPr>
        <w:t>兰州辖区法院执行标的到位率29.01%，低于“35.61%-50.52%”的合理区间。</w:t>
      </w:r>
      <w:bookmarkEnd w:id="194"/>
    </w:p>
    <w:p w14:paraId="0C8A5445">
      <w:pPr>
        <w:pStyle w:val="9"/>
        <w:overflowPunct w:val="0"/>
        <w:spacing w:line="560" w:lineRule="exact"/>
        <w:ind w:firstLine="640" w:firstLineChars="200"/>
        <w:outlineLvl w:val="0"/>
        <w:rPr>
          <w:rFonts w:ascii="黑体" w:hAnsi="黑体" w:eastAsia="黑体" w:cs="仿宋"/>
          <w:highlight w:val="none"/>
        </w:rPr>
      </w:pPr>
      <w:bookmarkStart w:id="195" w:name="_Toc28378"/>
      <w:r>
        <w:rPr>
          <w:rFonts w:hint="eastAsia" w:ascii="黑体" w:hAnsi="黑体" w:eastAsia="黑体" w:cs="仿宋"/>
          <w:highlight w:val="none"/>
        </w:rPr>
        <w:t>八、有关建议</w:t>
      </w:r>
      <w:bookmarkEnd w:id="190"/>
      <w:bookmarkEnd w:id="191"/>
      <w:bookmarkEnd w:id="195"/>
    </w:p>
    <w:p w14:paraId="32035850">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196" w:name="_Toc5096"/>
      <w:bookmarkStart w:id="197" w:name="_Toc14595"/>
      <w:bookmarkStart w:id="198" w:name="_Toc10947"/>
      <w:bookmarkStart w:id="199" w:name="_Toc16358"/>
      <w:bookmarkStart w:id="200" w:name="_Toc12976"/>
      <w:bookmarkStart w:id="201" w:name="_Toc21313"/>
      <w:bookmarkStart w:id="202" w:name="_Toc21811"/>
      <w:bookmarkStart w:id="203" w:name="_Toc26519"/>
      <w:bookmarkStart w:id="204" w:name="_Toc1274"/>
      <w:r>
        <w:rPr>
          <w:rStyle w:val="31"/>
          <w:rFonts w:hint="eastAsia" w:ascii="楷体" w:hAnsi="楷体" w:eastAsia="楷体" w:cs="楷体"/>
          <w:szCs w:val="32"/>
          <w:highlight w:val="none"/>
        </w:rPr>
        <w:t>（一）</w:t>
      </w:r>
      <w:bookmarkEnd w:id="196"/>
      <w:bookmarkEnd w:id="197"/>
      <w:bookmarkEnd w:id="198"/>
      <w:bookmarkEnd w:id="199"/>
      <w:bookmarkEnd w:id="200"/>
      <w:bookmarkEnd w:id="201"/>
      <w:bookmarkEnd w:id="202"/>
      <w:r>
        <w:rPr>
          <w:rStyle w:val="31"/>
          <w:rFonts w:hint="eastAsia" w:ascii="楷体" w:hAnsi="楷体" w:eastAsia="楷体" w:cs="楷体"/>
          <w:szCs w:val="32"/>
          <w:highlight w:val="none"/>
        </w:rPr>
        <w:t>加强绩效管理，提高</w:t>
      </w:r>
      <w:r>
        <w:rPr>
          <w:rStyle w:val="31"/>
          <w:rFonts w:hint="eastAsia" w:ascii="楷体" w:hAnsi="楷体" w:eastAsia="楷体" w:cs="楷体"/>
          <w:szCs w:val="32"/>
          <w:highlight w:val="none"/>
          <w:lang w:val="en-US" w:eastAsia="zh-CN"/>
        </w:rPr>
        <w:t>资金使用效益</w:t>
      </w:r>
      <w:bookmarkEnd w:id="203"/>
      <w:bookmarkEnd w:id="204"/>
    </w:p>
    <w:p w14:paraId="22129248">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lang w:val="en-US" w:eastAsia="zh-CN"/>
        </w:rPr>
        <w:t>一是</w:t>
      </w:r>
      <w:r>
        <w:rPr>
          <w:rFonts w:hint="eastAsia" w:ascii="仿宋_GB2312" w:hAnsi="仿宋_GB2312" w:cs="仿宋_GB2312"/>
          <w:highlight w:val="none"/>
        </w:rPr>
        <w:t>建议</w:t>
      </w:r>
      <w:r>
        <w:rPr>
          <w:rFonts w:hint="eastAsia" w:ascii="仿宋_GB2312" w:hAnsi="仿宋_GB2312" w:cs="仿宋_GB2312"/>
          <w:highlight w:val="none"/>
          <w:lang w:val="en-US" w:eastAsia="zh-CN"/>
        </w:rPr>
        <w:t>全省各中、基层法院</w:t>
      </w:r>
      <w:r>
        <w:rPr>
          <w:rFonts w:hint="eastAsia" w:ascii="仿宋_GB2312" w:hAnsi="仿宋_GB2312" w:cs="仿宋_GB2312"/>
          <w:highlight w:val="none"/>
        </w:rPr>
        <w:t>进行项目申报时，按照</w:t>
      </w:r>
      <w:r>
        <w:rPr>
          <w:rFonts w:hint="eastAsia" w:ascii="仿宋_GB2312" w:hAnsi="仿宋_GB2312" w:eastAsia="仿宋_GB2312" w:cs="仿宋_GB2312"/>
          <w:sz w:val="32"/>
          <w:szCs w:val="32"/>
          <w:highlight w:val="none"/>
        </w:rPr>
        <w:t>《甘肃省省级预算绩效目标管理办法》</w:t>
      </w:r>
      <w:r>
        <w:rPr>
          <w:rFonts w:hint="eastAsia" w:ascii="仿宋_GB2312" w:hAnsi="仿宋_GB2312" w:cs="仿宋_GB2312"/>
          <w:highlight w:val="none"/>
        </w:rPr>
        <w:t>的要求，根据本年度项目计划内容和上年度工作量填报绩效目标申报表，绩效目标设定绩效指标时，绩效目标应与计划期内的任务数或计划数相对应，与预算确定的投资额或资金量相匹配；绩效目标应具有可行性，对完成任务目标具有约束力，不宜过高或过低，以更好地反映和考核项目绩效目标与项目实施的相符情况，提高预算管理水平。</w:t>
      </w:r>
      <w:r>
        <w:rPr>
          <w:rFonts w:hint="eastAsia" w:ascii="仿宋_GB2312" w:hAnsi="仿宋_GB2312" w:cs="仿宋_GB2312"/>
          <w:highlight w:val="none"/>
          <w:lang w:val="en-US" w:eastAsia="zh-CN"/>
        </w:rPr>
        <w:t>二是</w:t>
      </w:r>
      <w:r>
        <w:rPr>
          <w:rFonts w:hint="eastAsia" w:ascii="仿宋_GB2312" w:hAnsi="仿宋_GB2312" w:eastAsia="仿宋_GB2312" w:cs="仿宋_GB2312"/>
          <w:kern w:val="2"/>
          <w:sz w:val="32"/>
          <w:szCs w:val="32"/>
          <w:highlight w:val="none"/>
          <w:lang w:val="en-US" w:eastAsia="zh-CN" w:bidi="ar-SA"/>
        </w:rPr>
        <w:t>组织开展预算绩效管理相关业务知识和技能培训，帮助</w:t>
      </w:r>
      <w:r>
        <w:rPr>
          <w:rFonts w:hint="eastAsia" w:ascii="仿宋_GB2312" w:hAnsi="仿宋_GB2312" w:cs="仿宋_GB2312"/>
          <w:kern w:val="2"/>
          <w:sz w:val="32"/>
          <w:szCs w:val="32"/>
          <w:highlight w:val="none"/>
          <w:lang w:val="en-US" w:eastAsia="zh-CN" w:bidi="ar-SA"/>
        </w:rPr>
        <w:t>甘肃省高级人民法院及全省各种、基层法院</w:t>
      </w:r>
      <w:r>
        <w:rPr>
          <w:rFonts w:hint="eastAsia" w:ascii="仿宋_GB2312" w:hAnsi="仿宋_GB2312" w:eastAsia="仿宋_GB2312" w:cs="仿宋_GB2312"/>
          <w:kern w:val="2"/>
          <w:sz w:val="32"/>
          <w:szCs w:val="32"/>
          <w:highlight w:val="none"/>
          <w:lang w:val="en-US" w:eastAsia="zh-CN" w:bidi="ar-SA"/>
        </w:rPr>
        <w:t>相关的业务人员掌握编制绩效目标的原理和方法，从而提高绩效目标编制的水平和质量。</w:t>
      </w:r>
      <w:r>
        <w:rPr>
          <w:rFonts w:hint="eastAsia" w:ascii="仿宋_GB2312" w:hAnsi="仿宋_GB2312" w:cs="仿宋_GB2312"/>
          <w:highlight w:val="none"/>
          <w:lang w:val="en-US" w:eastAsia="zh-CN"/>
        </w:rPr>
        <w:t>三是</w:t>
      </w:r>
      <w:r>
        <w:rPr>
          <w:rFonts w:hint="eastAsia" w:ascii="仿宋_GB2312" w:hAnsi="仿宋_GB2312" w:cs="仿宋_GB2312"/>
          <w:highlight w:val="none"/>
        </w:rPr>
        <w:t>加强部门自评工作，根据实际情况对项目自评表进行填写，并完善项目自评报告，自评报告应包含项目实施情况、项目预算执行情况，项目存在问题及建议等，真实、准确地反映项目实际产出、效益及存在的问题。</w:t>
      </w:r>
    </w:p>
    <w:p w14:paraId="54F0031F">
      <w:pPr>
        <w:pStyle w:val="9"/>
        <w:tabs>
          <w:tab w:val="left" w:pos="510"/>
          <w:tab w:val="left" w:pos="675"/>
        </w:tabs>
        <w:overflowPunct w:val="0"/>
        <w:spacing w:line="560" w:lineRule="exact"/>
        <w:ind w:firstLine="643" w:firstLineChars="200"/>
        <w:outlineLvl w:val="1"/>
        <w:rPr>
          <w:rFonts w:ascii="楷体" w:hAnsi="楷体" w:eastAsia="楷体" w:cs="楷体"/>
          <w:b/>
          <w:bCs/>
          <w:highlight w:val="none"/>
        </w:rPr>
      </w:pPr>
      <w:bookmarkStart w:id="205" w:name="_Toc7726"/>
      <w:bookmarkStart w:id="206" w:name="_Toc16960"/>
      <w:bookmarkStart w:id="207" w:name="_Toc9088"/>
      <w:bookmarkStart w:id="208" w:name="_Toc13389"/>
      <w:bookmarkStart w:id="209" w:name="_Toc2447"/>
      <w:bookmarkStart w:id="210" w:name="_Toc26807"/>
      <w:bookmarkStart w:id="211" w:name="_Toc19966"/>
      <w:bookmarkStart w:id="212" w:name="_Toc2427"/>
      <w:bookmarkStart w:id="213" w:name="_Toc22207"/>
      <w:r>
        <w:rPr>
          <w:rStyle w:val="31"/>
          <w:rFonts w:hint="eastAsia" w:ascii="楷体" w:hAnsi="楷体" w:eastAsia="楷体" w:cs="楷体"/>
          <w:szCs w:val="32"/>
          <w:highlight w:val="none"/>
        </w:rPr>
        <w:t>（二）</w:t>
      </w:r>
      <w:bookmarkEnd w:id="205"/>
      <w:bookmarkEnd w:id="206"/>
      <w:bookmarkEnd w:id="207"/>
      <w:bookmarkEnd w:id="208"/>
      <w:r>
        <w:rPr>
          <w:rStyle w:val="39"/>
          <w:rFonts w:hint="eastAsia" w:ascii="楷体" w:hAnsi="楷体" w:eastAsia="楷体" w:cs="楷体"/>
          <w:szCs w:val="32"/>
          <w:highlight w:val="none"/>
        </w:rPr>
        <w:t>优化项目经费安排结构，提高财政资金使用效率</w:t>
      </w:r>
      <w:bookmarkEnd w:id="209"/>
    </w:p>
    <w:p w14:paraId="606D61EB">
      <w:pPr>
        <w:pStyle w:val="14"/>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建议全省法院细化、明确项目的计划安排，对项目的预算以及产出、效果、效益等方面进行综合考量。二是结合往年项目执行和结余情况展开分析研究，提高预算编制的科学性和合理性，优化项目经费安排结构，提高财政资金使用效率。三是严格执行预算。落实预算执行分析，在预算的执行阶段，严格控制每笔支出，并定期监控预算资金使用情况，针对突发性支出做好准备工作，及时了解预算执行差异，合理调整、纠正预算执行偏差，切实提高部门预算收支管理水平。</w:t>
      </w:r>
    </w:p>
    <w:p w14:paraId="3E60A54F">
      <w:pPr>
        <w:pStyle w:val="14"/>
        <w:spacing w:line="560" w:lineRule="exact"/>
        <w:ind w:firstLine="643" w:firstLineChars="200"/>
        <w:jc w:val="both"/>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（三）加强审判管理，提升办案质效</w:t>
      </w:r>
    </w:p>
    <w:p w14:paraId="6BE1C451">
      <w:pPr>
        <w:pStyle w:val="14"/>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是把提升刑事案件一审服判息诉率作为维护社会稳定、促进社会和谐的重要举措，将服判息诉工作贯穿到刑事案件办理的全过程。要扎实做好刑事审判风险防控工作，妥善审理重大、敏感案件，认真落实重大事项请示报告制度，不断优化工作流程，提升办案质效。强化部门联动，深化法检良性互动，合力解决认罪认罚制度实施、判处实刑未执行等难题，确保案件各环节顺畅高效。坚持和发展新时代“枫桥经验”，细化刑事轻伤害案件调解工作，将人民调解引入刑事和解工作全流程，进一步探索多元化解社会矛盾、促进诉源治理。</w:t>
      </w:r>
    </w:p>
    <w:p w14:paraId="65B171B9">
      <w:pPr>
        <w:pStyle w:val="14"/>
        <w:spacing w:line="56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是强化执限管理，实施限时执行，提高有执行能力案件的实体结案率。坚持完善执行联动机制，强化对被执行人银行存款、汽车、房产、工商的“四查”，赢得执行主动。加大对终结本次执行程序案件的清理执行力度，对规避执行的“老赖”，敢于“亮剑”，坚决依法采取限高、罚款、拘留等强制执行措施，以维护司法权威，确保案件得到实体执结。</w:t>
      </w:r>
    </w:p>
    <w:bookmarkEnd w:id="210"/>
    <w:bookmarkEnd w:id="211"/>
    <w:bookmarkEnd w:id="212"/>
    <w:bookmarkEnd w:id="213"/>
    <w:p w14:paraId="13AF7083">
      <w:pPr>
        <w:pStyle w:val="9"/>
        <w:overflowPunct w:val="0"/>
        <w:spacing w:line="560" w:lineRule="exact"/>
        <w:ind w:firstLine="640" w:firstLineChars="200"/>
        <w:outlineLvl w:val="0"/>
        <w:rPr>
          <w:rFonts w:ascii="黑体" w:hAnsi="黑体" w:eastAsia="黑体" w:cs="仿宋"/>
          <w:highlight w:val="none"/>
        </w:rPr>
      </w:pPr>
      <w:bookmarkStart w:id="214" w:name="_Toc14765"/>
      <w:bookmarkStart w:id="215" w:name="_Toc8653"/>
      <w:bookmarkStart w:id="216" w:name="_Toc6371"/>
      <w:r>
        <w:rPr>
          <w:rFonts w:hint="eastAsia" w:ascii="黑体" w:hAnsi="黑体" w:eastAsia="黑体" w:cs="仿宋"/>
          <w:highlight w:val="none"/>
        </w:rPr>
        <w:t>九、需要说明的问题</w:t>
      </w:r>
      <w:bookmarkEnd w:id="214"/>
      <w:bookmarkEnd w:id="215"/>
      <w:bookmarkEnd w:id="216"/>
    </w:p>
    <w:p w14:paraId="6C79C401">
      <w:pPr>
        <w:pStyle w:val="9"/>
        <w:overflowPunct w:val="0"/>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无。</w:t>
      </w:r>
      <w:bookmarkStart w:id="217" w:name="_Toc28005"/>
    </w:p>
    <w:bookmarkEnd w:id="219"/>
    <w:p w14:paraId="58F8EFA6">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cs="仿宋_GB2312"/>
          <w:highlight w:val="none"/>
        </w:rPr>
      </w:pPr>
    </w:p>
    <w:p w14:paraId="03807262">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cs="仿宋_GB2312"/>
          <w:highlight w:val="none"/>
        </w:rPr>
      </w:pPr>
    </w:p>
    <w:p w14:paraId="48A1B161">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ascii="仿宋_GB2312" w:hAnsi="仿宋_GB2312" w:cs="仿宋_GB2312"/>
          <w:highlight w:val="none"/>
        </w:rPr>
      </w:pPr>
      <w:r>
        <w:rPr>
          <w:rFonts w:hint="eastAsia" w:ascii="仿宋_GB2312" w:hAnsi="仿宋_GB2312" w:cs="仿宋_GB2312"/>
          <w:highlight w:val="none"/>
        </w:rPr>
        <w:t>附件：</w:t>
      </w:r>
    </w:p>
    <w:p w14:paraId="6414F603">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bookmarkEnd w:id="217"/>
      <w:r>
        <w:rPr>
          <w:rFonts w:hint="eastAsia" w:ascii="仿宋_GB2312" w:hAnsi="仿宋_GB2312" w:cs="仿宋_GB2312"/>
          <w:highlight w:val="none"/>
          <w:lang w:eastAsia="zh-CN"/>
        </w:rPr>
        <w:t>全省法院业务费</w:t>
      </w:r>
      <w:r>
        <w:rPr>
          <w:rFonts w:hint="eastAsia" w:ascii="仿宋_GB2312" w:hAnsi="仿宋_GB2312" w:cs="仿宋_GB2312"/>
          <w:highlight w:val="none"/>
        </w:rPr>
        <w:t>项目支出绩效评价评分表</w:t>
      </w:r>
    </w:p>
    <w:p w14:paraId="6DBB4C78">
      <w:pPr>
        <w:pStyle w:val="9"/>
        <w:overflowPunct w:val="0"/>
        <w:spacing w:line="560" w:lineRule="exact"/>
        <w:ind w:firstLine="640" w:firstLineChars="200"/>
        <w:rPr>
          <w:rFonts w:ascii="仿宋_GB2312" w:hAnsi="仿宋_GB2312" w:cs="仿宋_GB2312"/>
          <w:highlight w:val="none"/>
        </w:rPr>
      </w:pPr>
      <w:bookmarkStart w:id="218" w:name="_Toc15958"/>
      <w:r>
        <w:rPr>
          <w:rFonts w:hint="eastAsia" w:ascii="仿宋_GB2312" w:hAnsi="仿宋_GB2312" w:cs="仿宋_GB2312"/>
          <w:highlight w:val="none"/>
        </w:rPr>
        <w:t>2.</w:t>
      </w:r>
      <w:r>
        <w:rPr>
          <w:rFonts w:hint="eastAsia" w:ascii="仿宋_GB2312" w:hAnsi="仿宋_GB2312" w:cs="仿宋_GB2312"/>
          <w:highlight w:val="none"/>
          <w:lang w:eastAsia="zh-CN"/>
        </w:rPr>
        <w:t>全省法院业务费</w:t>
      </w:r>
      <w:r>
        <w:rPr>
          <w:rFonts w:hint="eastAsia" w:ascii="仿宋_GB2312" w:hAnsi="仿宋_GB2312" w:cs="仿宋_GB2312"/>
          <w:highlight w:val="none"/>
        </w:rPr>
        <w:t>项目问题清单</w:t>
      </w:r>
    </w:p>
    <w:bookmarkEnd w:id="218"/>
    <w:p w14:paraId="55C3EBF0">
      <w:pPr>
        <w:pStyle w:val="15"/>
        <w:overflowPunct w:val="0"/>
        <w:rPr>
          <w:rFonts w:ascii="仿宋" w:hAnsi="仿宋" w:eastAsia="仿宋" w:cs="仿宋"/>
          <w:sz w:val="32"/>
          <w:szCs w:val="32"/>
          <w:highlight w:val="none"/>
        </w:rPr>
      </w:pPr>
    </w:p>
    <w:p w14:paraId="5E766CAD">
      <w:pPr>
        <w:pStyle w:val="15"/>
        <w:overflowPunct w:val="0"/>
        <w:rPr>
          <w:rFonts w:ascii="仿宋_GB2312" w:hAnsi="仿宋_GB2312" w:eastAsia="仿宋_GB2312" w:cs="仿宋_GB2312"/>
          <w:sz w:val="32"/>
          <w:szCs w:val="32"/>
          <w:highlight w:val="none"/>
        </w:rPr>
      </w:pPr>
    </w:p>
    <w:p w14:paraId="4615469B">
      <w:pPr>
        <w:pStyle w:val="15"/>
        <w:overflowPunct w:val="0"/>
        <w:rPr>
          <w:rFonts w:ascii="仿宋_GB2312" w:hAnsi="仿宋_GB2312" w:eastAsia="仿宋_GB2312" w:cs="仿宋_GB2312"/>
          <w:sz w:val="32"/>
          <w:szCs w:val="32"/>
          <w:highlight w:val="none"/>
        </w:rPr>
      </w:pPr>
    </w:p>
    <w:p w14:paraId="421206B8">
      <w:pPr>
        <w:pStyle w:val="15"/>
        <w:overflowPunct w:val="0"/>
        <w:rPr>
          <w:rFonts w:ascii="仿宋_GB2312" w:hAnsi="仿宋_GB2312" w:eastAsia="仿宋_GB2312" w:cs="仿宋_GB2312"/>
          <w:sz w:val="32"/>
          <w:szCs w:val="32"/>
          <w:highlight w:val="none"/>
        </w:rPr>
      </w:pPr>
    </w:p>
    <w:p w14:paraId="2FA9DA12">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甘肃卓诚财务咨询有限公司</w:t>
      </w:r>
    </w:p>
    <w:p w14:paraId="02355CE2">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1BAB36BE">
      <w:pPr>
        <w:pStyle w:val="15"/>
        <w:overflowPunct w:val="0"/>
        <w:ind w:firstLine="5120" w:firstLineChars="16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31日</w:t>
      </w:r>
    </w:p>
    <w:sectPr>
      <w:pgSz w:w="11906" w:h="16838"/>
      <w:pgMar w:top="1440" w:right="1803" w:bottom="1383" w:left="1633" w:header="851" w:footer="992" w:gutter="0"/>
      <w:pgBorders>
        <w:top w:val="none" w:sz="0" w:space="0"/>
        <w:left w:val="none" w:sz="0" w:space="0"/>
        <w:bottom w:val="none" w:sz="0" w:space="0"/>
        <w:right w:val="none" w:sz="0" w:space="0"/>
      </w:pgBorders>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ACE47E-2470-41CF-9BD2-C18B091D21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63B8C69-7A2A-4380-BE6F-D11C8F993DA1}"/>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7C7AE75D-46F2-4E46-9BED-9E378CC81863}"/>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58327C48-AB08-4A43-8D19-120AE82793A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FF050">
    <w:pPr>
      <w:pStyle w:val="14"/>
    </w:pPr>
    <w:r>
      <w:rPr>
        <w:rFonts w:hint="eastAsia" w:ascii="黑体" w:hAnsi="黑体" w:eastAsia="黑体" w:cs="黑体"/>
      </w:rPr>
      <w:t>地址：甘肃省兰州市城关区南滨河东路5148号名城广场1栋1单元20层2016室       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3FA6C">
    <w:pPr>
      <w:pStyle w:val="14"/>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066D37F7">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0907D">
    <w:pPr>
      <w:pStyle w:val="14"/>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70D5E29F">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12183">
    <w:pPr>
      <w:pStyle w:val="14"/>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2675856F">
    <w:pPr>
      <w:pStyle w:val="14"/>
    </w:pPr>
    <w:r>
      <mc:AlternateContent>
        <mc:Choice Requires="wps">
          <w:drawing>
            <wp:anchor distT="0" distB="0" distL="114300" distR="114300" simplePos="0" relativeHeight="251659264"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79AC0F">
                          <w:pPr>
                            <w:pStyle w:val="1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59264;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CvY9gwLAIAAFU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0GuW&#10;ha3eWR6ho3jero4BAra6RlE6JXqt0G1tZfrJiO38576Nevob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e1ZgdcAAAAKAQAADwAAAAAAAAABACAAAAAiAAAAZHJzL2Rvd25yZXYueG1sUEsBAhQA&#10;FAAAAAgAh07iQK9j2DAsAgAAVQQAAA4AAAAAAAAAAQAgAAAAJgEAAGRycy9lMm9Eb2MueG1sUEsF&#10;BgAAAAAGAAYAWQEAAMQFAAAAAA==&#10;">
              <v:fill on="f" focussize="0,0"/>
              <v:stroke on="f" weight="0.5pt"/>
              <v:imagedata o:title=""/>
              <o:lock v:ext="edit" aspectratio="f"/>
              <v:textbox inset="0mm,0mm,0mm,0mm" style="mso-fit-shape-to-text:t;">
                <w:txbxContent>
                  <w:p w14:paraId="4679AC0F">
                    <w:pPr>
                      <w:pStyle w:val="1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DE043">
    <w:pPr>
      <w:pStyle w:val="14"/>
      <w:pBdr>
        <w:top w:val="single" w:color="auto" w:sz="4" w:space="1"/>
        <w:left w:val="none" w:color="auto" w:sz="0" w:space="4"/>
        <w:bottom w:val="none" w:color="auto" w:sz="0" w:space="1"/>
        <w:right w:val="none" w:color="auto" w:sz="0" w:space="4"/>
      </w:pBdr>
      <w:spacing w:line="360" w:lineRule="auto"/>
      <w:jc w:val="both"/>
    </w:pPr>
    <w: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21133C">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0288;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GUTBNYAAAAKAQAADwAAAAAAAAABACAAAAAiAAAAZHJzL2Rvd25yZXYueG1sUEsBAhQAFAAA&#10;AAgAh07iQCbVWnMqAgAAVQQAAA4AAAAAAAAAAQAgAAAAJQEAAGRycy9lMm9Eb2MueG1sUEsFBgAA&#10;AAAGAAYAWQEAAMEFAAAAAA==&#10;">
              <v:fill on="f" focussize="0,0"/>
              <v:stroke on="f" weight="0.5pt"/>
              <v:imagedata o:title=""/>
              <o:lock v:ext="edit" aspectratio="f"/>
              <v:textbox inset="0mm,0mm,0mm,0mm" style="mso-fit-shape-to-text:t;">
                <w:txbxContent>
                  <w:p w14:paraId="5921133C">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rPr>
      <w:t>地址：甘肃省兰州市城关区南滨河东路5148号名城广场1栋1单元20层2016室       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4BB19">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F362B">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03835">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p w14:paraId="219C088C">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062640">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3" name="图片 3"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lYmY1MTgwOGU5Yjc1ZjhiNGE5NWFhODQxN2YyNjIifQ=="/>
  </w:docVars>
  <w:rsids>
    <w:rsidRoot w:val="0F9473FE"/>
    <w:rsid w:val="0000216A"/>
    <w:rsid w:val="00024278"/>
    <w:rsid w:val="00037090"/>
    <w:rsid w:val="00046BCA"/>
    <w:rsid w:val="000518F6"/>
    <w:rsid w:val="00051C05"/>
    <w:rsid w:val="00064326"/>
    <w:rsid w:val="000643BA"/>
    <w:rsid w:val="00065073"/>
    <w:rsid w:val="000753A4"/>
    <w:rsid w:val="000A4E2C"/>
    <w:rsid w:val="000C1B1E"/>
    <w:rsid w:val="000F2060"/>
    <w:rsid w:val="000F34E0"/>
    <w:rsid w:val="00100C77"/>
    <w:rsid w:val="001104A4"/>
    <w:rsid w:val="001105B7"/>
    <w:rsid w:val="00112EEC"/>
    <w:rsid w:val="001318C8"/>
    <w:rsid w:val="00137C9D"/>
    <w:rsid w:val="00140940"/>
    <w:rsid w:val="00141CF0"/>
    <w:rsid w:val="0014363A"/>
    <w:rsid w:val="001531B6"/>
    <w:rsid w:val="0015398F"/>
    <w:rsid w:val="00170334"/>
    <w:rsid w:val="00172CD5"/>
    <w:rsid w:val="00172DFF"/>
    <w:rsid w:val="00194BF7"/>
    <w:rsid w:val="001B6342"/>
    <w:rsid w:val="001D19B7"/>
    <w:rsid w:val="00203DC9"/>
    <w:rsid w:val="0020515B"/>
    <w:rsid w:val="00232042"/>
    <w:rsid w:val="002324DF"/>
    <w:rsid w:val="00246D16"/>
    <w:rsid w:val="002555FD"/>
    <w:rsid w:val="00256EBC"/>
    <w:rsid w:val="00264411"/>
    <w:rsid w:val="00267454"/>
    <w:rsid w:val="0028698A"/>
    <w:rsid w:val="00290093"/>
    <w:rsid w:val="002967A9"/>
    <w:rsid w:val="00296D38"/>
    <w:rsid w:val="002A7299"/>
    <w:rsid w:val="002C6AED"/>
    <w:rsid w:val="002D1330"/>
    <w:rsid w:val="002D789A"/>
    <w:rsid w:val="002D79DD"/>
    <w:rsid w:val="002E3891"/>
    <w:rsid w:val="002E6422"/>
    <w:rsid w:val="002F33E7"/>
    <w:rsid w:val="00307F85"/>
    <w:rsid w:val="0031439E"/>
    <w:rsid w:val="00351E08"/>
    <w:rsid w:val="00353E30"/>
    <w:rsid w:val="00355885"/>
    <w:rsid w:val="00355CF4"/>
    <w:rsid w:val="003610F3"/>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95970"/>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1249"/>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8446E"/>
    <w:rsid w:val="007900CD"/>
    <w:rsid w:val="0079033E"/>
    <w:rsid w:val="007A100D"/>
    <w:rsid w:val="007C2CDD"/>
    <w:rsid w:val="007C7458"/>
    <w:rsid w:val="007D441F"/>
    <w:rsid w:val="007E3DA4"/>
    <w:rsid w:val="0080585C"/>
    <w:rsid w:val="00822FBE"/>
    <w:rsid w:val="00831664"/>
    <w:rsid w:val="00832BAA"/>
    <w:rsid w:val="00833033"/>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3D21"/>
    <w:rsid w:val="008E68A7"/>
    <w:rsid w:val="008F2B1F"/>
    <w:rsid w:val="008F3CDC"/>
    <w:rsid w:val="0092595D"/>
    <w:rsid w:val="00951D57"/>
    <w:rsid w:val="009522FA"/>
    <w:rsid w:val="00952A97"/>
    <w:rsid w:val="009532AE"/>
    <w:rsid w:val="009556AA"/>
    <w:rsid w:val="00962C53"/>
    <w:rsid w:val="00984208"/>
    <w:rsid w:val="009A5F10"/>
    <w:rsid w:val="009C488C"/>
    <w:rsid w:val="009C7579"/>
    <w:rsid w:val="00A0647F"/>
    <w:rsid w:val="00A0735D"/>
    <w:rsid w:val="00A130AA"/>
    <w:rsid w:val="00A17548"/>
    <w:rsid w:val="00A4749D"/>
    <w:rsid w:val="00A50ACF"/>
    <w:rsid w:val="00A65C51"/>
    <w:rsid w:val="00A779D6"/>
    <w:rsid w:val="00A94859"/>
    <w:rsid w:val="00A95371"/>
    <w:rsid w:val="00A96209"/>
    <w:rsid w:val="00AA7F7A"/>
    <w:rsid w:val="00AE6EF7"/>
    <w:rsid w:val="00AF3AD7"/>
    <w:rsid w:val="00B0713C"/>
    <w:rsid w:val="00B07904"/>
    <w:rsid w:val="00B07C4B"/>
    <w:rsid w:val="00B14C20"/>
    <w:rsid w:val="00B2231F"/>
    <w:rsid w:val="00B31FF4"/>
    <w:rsid w:val="00B32DFF"/>
    <w:rsid w:val="00B548B6"/>
    <w:rsid w:val="00B570AE"/>
    <w:rsid w:val="00B61F9A"/>
    <w:rsid w:val="00B77331"/>
    <w:rsid w:val="00B9317B"/>
    <w:rsid w:val="00B95E7C"/>
    <w:rsid w:val="00BC1290"/>
    <w:rsid w:val="00BD3CCA"/>
    <w:rsid w:val="00BD632C"/>
    <w:rsid w:val="00C010A7"/>
    <w:rsid w:val="00C255E1"/>
    <w:rsid w:val="00C34C1C"/>
    <w:rsid w:val="00C4547F"/>
    <w:rsid w:val="00C549D0"/>
    <w:rsid w:val="00C63032"/>
    <w:rsid w:val="00C84D69"/>
    <w:rsid w:val="00CA5249"/>
    <w:rsid w:val="00CB64D6"/>
    <w:rsid w:val="00CD504A"/>
    <w:rsid w:val="00CE12D1"/>
    <w:rsid w:val="00D05F31"/>
    <w:rsid w:val="00D37060"/>
    <w:rsid w:val="00D40F23"/>
    <w:rsid w:val="00D42B30"/>
    <w:rsid w:val="00D71E50"/>
    <w:rsid w:val="00D71E6D"/>
    <w:rsid w:val="00D7279D"/>
    <w:rsid w:val="00D76F46"/>
    <w:rsid w:val="00D97669"/>
    <w:rsid w:val="00DC76C2"/>
    <w:rsid w:val="00DD0BB7"/>
    <w:rsid w:val="00DD753B"/>
    <w:rsid w:val="00DE6582"/>
    <w:rsid w:val="00E070C6"/>
    <w:rsid w:val="00E11E05"/>
    <w:rsid w:val="00E35CB0"/>
    <w:rsid w:val="00E64E11"/>
    <w:rsid w:val="00E67E6B"/>
    <w:rsid w:val="00E7278C"/>
    <w:rsid w:val="00EB0813"/>
    <w:rsid w:val="00EB3E1E"/>
    <w:rsid w:val="00ED264E"/>
    <w:rsid w:val="00ED2CC9"/>
    <w:rsid w:val="00ED629E"/>
    <w:rsid w:val="00EE1878"/>
    <w:rsid w:val="00EE1E54"/>
    <w:rsid w:val="00EE2984"/>
    <w:rsid w:val="00F1037C"/>
    <w:rsid w:val="00F12EF7"/>
    <w:rsid w:val="00F613D1"/>
    <w:rsid w:val="00F62C47"/>
    <w:rsid w:val="00F7424A"/>
    <w:rsid w:val="00F772C2"/>
    <w:rsid w:val="00F80F07"/>
    <w:rsid w:val="00F835CD"/>
    <w:rsid w:val="00F97680"/>
    <w:rsid w:val="00FA6867"/>
    <w:rsid w:val="00FD1277"/>
    <w:rsid w:val="00FD6444"/>
    <w:rsid w:val="024141DC"/>
    <w:rsid w:val="031318D1"/>
    <w:rsid w:val="03B94246"/>
    <w:rsid w:val="03C2759E"/>
    <w:rsid w:val="03E97283"/>
    <w:rsid w:val="045645C0"/>
    <w:rsid w:val="058A237B"/>
    <w:rsid w:val="06CD5526"/>
    <w:rsid w:val="07140A9A"/>
    <w:rsid w:val="07FE1FF0"/>
    <w:rsid w:val="083329D8"/>
    <w:rsid w:val="08557237"/>
    <w:rsid w:val="087072CA"/>
    <w:rsid w:val="08AB0275"/>
    <w:rsid w:val="08C33641"/>
    <w:rsid w:val="08F22909"/>
    <w:rsid w:val="08F75C9D"/>
    <w:rsid w:val="096A282C"/>
    <w:rsid w:val="09B434E5"/>
    <w:rsid w:val="09C47502"/>
    <w:rsid w:val="09F53119"/>
    <w:rsid w:val="0AE76F27"/>
    <w:rsid w:val="0BD460C1"/>
    <w:rsid w:val="0BF17FA9"/>
    <w:rsid w:val="0C434FF4"/>
    <w:rsid w:val="0C890F59"/>
    <w:rsid w:val="0D9A262A"/>
    <w:rsid w:val="0E170E01"/>
    <w:rsid w:val="0F9473FE"/>
    <w:rsid w:val="0FF03D3B"/>
    <w:rsid w:val="10D92909"/>
    <w:rsid w:val="11205904"/>
    <w:rsid w:val="1133610C"/>
    <w:rsid w:val="116B653C"/>
    <w:rsid w:val="120073C8"/>
    <w:rsid w:val="125C110E"/>
    <w:rsid w:val="125D10BB"/>
    <w:rsid w:val="12694F68"/>
    <w:rsid w:val="12700720"/>
    <w:rsid w:val="12C51DA8"/>
    <w:rsid w:val="13071A5B"/>
    <w:rsid w:val="130F5021"/>
    <w:rsid w:val="13282DDB"/>
    <w:rsid w:val="132C6ADB"/>
    <w:rsid w:val="1373570C"/>
    <w:rsid w:val="139D5005"/>
    <w:rsid w:val="142D5185"/>
    <w:rsid w:val="1430449D"/>
    <w:rsid w:val="14DF373A"/>
    <w:rsid w:val="15887E45"/>
    <w:rsid w:val="1608508A"/>
    <w:rsid w:val="16A05998"/>
    <w:rsid w:val="16D572E4"/>
    <w:rsid w:val="17401E27"/>
    <w:rsid w:val="178E68E1"/>
    <w:rsid w:val="17B111EE"/>
    <w:rsid w:val="17D44FBD"/>
    <w:rsid w:val="17D86A90"/>
    <w:rsid w:val="187769F1"/>
    <w:rsid w:val="19654911"/>
    <w:rsid w:val="19871A5C"/>
    <w:rsid w:val="1A9E3225"/>
    <w:rsid w:val="1BAA299A"/>
    <w:rsid w:val="1C7E157C"/>
    <w:rsid w:val="1CA81C4F"/>
    <w:rsid w:val="1E9159EE"/>
    <w:rsid w:val="1EA571D7"/>
    <w:rsid w:val="1EA96F39"/>
    <w:rsid w:val="1F037124"/>
    <w:rsid w:val="1F673C24"/>
    <w:rsid w:val="20232D1B"/>
    <w:rsid w:val="20D203BB"/>
    <w:rsid w:val="21C76D7B"/>
    <w:rsid w:val="226D6F9C"/>
    <w:rsid w:val="22B834CC"/>
    <w:rsid w:val="22BA6C58"/>
    <w:rsid w:val="22F977E7"/>
    <w:rsid w:val="23D30D7C"/>
    <w:rsid w:val="24B3368D"/>
    <w:rsid w:val="24FF4DBF"/>
    <w:rsid w:val="256D300D"/>
    <w:rsid w:val="258C32D8"/>
    <w:rsid w:val="25D9654E"/>
    <w:rsid w:val="26C47DB8"/>
    <w:rsid w:val="272A77D0"/>
    <w:rsid w:val="277C2B6C"/>
    <w:rsid w:val="27EC7E96"/>
    <w:rsid w:val="28184F18"/>
    <w:rsid w:val="28BA659C"/>
    <w:rsid w:val="2A615C8B"/>
    <w:rsid w:val="2B277B63"/>
    <w:rsid w:val="2B322BF8"/>
    <w:rsid w:val="2B9B5117"/>
    <w:rsid w:val="2C4D184B"/>
    <w:rsid w:val="2CB02D9F"/>
    <w:rsid w:val="2CE52E0A"/>
    <w:rsid w:val="2D637948"/>
    <w:rsid w:val="2D684AB0"/>
    <w:rsid w:val="2DC51834"/>
    <w:rsid w:val="2DDA637C"/>
    <w:rsid w:val="2E3A29A3"/>
    <w:rsid w:val="2EC7583D"/>
    <w:rsid w:val="2F0A59C4"/>
    <w:rsid w:val="30F027A5"/>
    <w:rsid w:val="32076F12"/>
    <w:rsid w:val="321E6765"/>
    <w:rsid w:val="32545E6A"/>
    <w:rsid w:val="32B1544F"/>
    <w:rsid w:val="32F075DE"/>
    <w:rsid w:val="336851BD"/>
    <w:rsid w:val="339B25AB"/>
    <w:rsid w:val="33CF0D98"/>
    <w:rsid w:val="348C146E"/>
    <w:rsid w:val="34F27CC6"/>
    <w:rsid w:val="35A95619"/>
    <w:rsid w:val="35F95F98"/>
    <w:rsid w:val="37820855"/>
    <w:rsid w:val="378C532A"/>
    <w:rsid w:val="386C2EE8"/>
    <w:rsid w:val="38830D8A"/>
    <w:rsid w:val="38C45C47"/>
    <w:rsid w:val="3A0379ED"/>
    <w:rsid w:val="3A375EC4"/>
    <w:rsid w:val="3A49589C"/>
    <w:rsid w:val="3A5C534F"/>
    <w:rsid w:val="3A6B1ECF"/>
    <w:rsid w:val="3A906225"/>
    <w:rsid w:val="3BF42446"/>
    <w:rsid w:val="3C06542B"/>
    <w:rsid w:val="3C232A14"/>
    <w:rsid w:val="3C243C4B"/>
    <w:rsid w:val="3C6E1044"/>
    <w:rsid w:val="3CB054DF"/>
    <w:rsid w:val="3CD23946"/>
    <w:rsid w:val="3D261A25"/>
    <w:rsid w:val="3E1D2536"/>
    <w:rsid w:val="3ED45096"/>
    <w:rsid w:val="40692574"/>
    <w:rsid w:val="40B11F25"/>
    <w:rsid w:val="40B8336F"/>
    <w:rsid w:val="41011831"/>
    <w:rsid w:val="42C321E3"/>
    <w:rsid w:val="435B2AD7"/>
    <w:rsid w:val="43E65A72"/>
    <w:rsid w:val="440C7F8D"/>
    <w:rsid w:val="4428109E"/>
    <w:rsid w:val="445F69EB"/>
    <w:rsid w:val="44CF424F"/>
    <w:rsid w:val="44FE7ACA"/>
    <w:rsid w:val="454F4568"/>
    <w:rsid w:val="4550785F"/>
    <w:rsid w:val="45706814"/>
    <w:rsid w:val="45AB4E37"/>
    <w:rsid w:val="45B707FB"/>
    <w:rsid w:val="45BE1574"/>
    <w:rsid w:val="46004CC6"/>
    <w:rsid w:val="463A607F"/>
    <w:rsid w:val="46B721AC"/>
    <w:rsid w:val="46CB1893"/>
    <w:rsid w:val="46E23F0F"/>
    <w:rsid w:val="46F63507"/>
    <w:rsid w:val="46F96E62"/>
    <w:rsid w:val="47207120"/>
    <w:rsid w:val="477B2FAE"/>
    <w:rsid w:val="483B5A4C"/>
    <w:rsid w:val="490002A0"/>
    <w:rsid w:val="494122E2"/>
    <w:rsid w:val="49F22E5E"/>
    <w:rsid w:val="4A133393"/>
    <w:rsid w:val="4A7A052A"/>
    <w:rsid w:val="4AB06881"/>
    <w:rsid w:val="4AB32D0C"/>
    <w:rsid w:val="4AE96514"/>
    <w:rsid w:val="4B231CEA"/>
    <w:rsid w:val="4B286C8B"/>
    <w:rsid w:val="4BA64472"/>
    <w:rsid w:val="4C417FB1"/>
    <w:rsid w:val="4CEC18C2"/>
    <w:rsid w:val="4DB115E5"/>
    <w:rsid w:val="4FCE631F"/>
    <w:rsid w:val="4FD5108C"/>
    <w:rsid w:val="4FDA4D75"/>
    <w:rsid w:val="510C31D4"/>
    <w:rsid w:val="512824DF"/>
    <w:rsid w:val="520B327F"/>
    <w:rsid w:val="52450A6B"/>
    <w:rsid w:val="530A5A72"/>
    <w:rsid w:val="531A233B"/>
    <w:rsid w:val="539C1B4C"/>
    <w:rsid w:val="540C51E5"/>
    <w:rsid w:val="54602A07"/>
    <w:rsid w:val="549728DF"/>
    <w:rsid w:val="54AA7074"/>
    <w:rsid w:val="54AF69C2"/>
    <w:rsid w:val="54E52762"/>
    <w:rsid w:val="54EA5CFF"/>
    <w:rsid w:val="55444E7D"/>
    <w:rsid w:val="55743D0D"/>
    <w:rsid w:val="55D622FA"/>
    <w:rsid w:val="55EB5D70"/>
    <w:rsid w:val="56314DDD"/>
    <w:rsid w:val="56841443"/>
    <w:rsid w:val="56AF292A"/>
    <w:rsid w:val="56BE6D1E"/>
    <w:rsid w:val="57114DA6"/>
    <w:rsid w:val="574330DD"/>
    <w:rsid w:val="578E547B"/>
    <w:rsid w:val="57BA3C8B"/>
    <w:rsid w:val="587A4EC7"/>
    <w:rsid w:val="5A1C2DE0"/>
    <w:rsid w:val="5A605BC3"/>
    <w:rsid w:val="5B2801B6"/>
    <w:rsid w:val="5B337230"/>
    <w:rsid w:val="5B6A103A"/>
    <w:rsid w:val="5B7250DA"/>
    <w:rsid w:val="5B7B6F90"/>
    <w:rsid w:val="5BAA6B65"/>
    <w:rsid w:val="5BC92176"/>
    <w:rsid w:val="5C0C22DA"/>
    <w:rsid w:val="5CCF29EE"/>
    <w:rsid w:val="5D4D151D"/>
    <w:rsid w:val="5D5C1A81"/>
    <w:rsid w:val="5E1B6FE7"/>
    <w:rsid w:val="5E215BF2"/>
    <w:rsid w:val="5E681402"/>
    <w:rsid w:val="5EF872DF"/>
    <w:rsid w:val="60A72DA9"/>
    <w:rsid w:val="61887833"/>
    <w:rsid w:val="61B32201"/>
    <w:rsid w:val="62894AA4"/>
    <w:rsid w:val="62D957B2"/>
    <w:rsid w:val="63005858"/>
    <w:rsid w:val="640115C4"/>
    <w:rsid w:val="65527A8B"/>
    <w:rsid w:val="6604433E"/>
    <w:rsid w:val="66A15EC8"/>
    <w:rsid w:val="66A851F0"/>
    <w:rsid w:val="66F75934"/>
    <w:rsid w:val="67746BAD"/>
    <w:rsid w:val="68807C45"/>
    <w:rsid w:val="692341DF"/>
    <w:rsid w:val="69A41DA4"/>
    <w:rsid w:val="69FA2D97"/>
    <w:rsid w:val="6A10235D"/>
    <w:rsid w:val="6A3C4E7F"/>
    <w:rsid w:val="6AF80C0A"/>
    <w:rsid w:val="6B9D61A3"/>
    <w:rsid w:val="6BAA0FA6"/>
    <w:rsid w:val="6D2D3E5E"/>
    <w:rsid w:val="6E2C310F"/>
    <w:rsid w:val="6E433D4C"/>
    <w:rsid w:val="6ED83431"/>
    <w:rsid w:val="6FC00ECA"/>
    <w:rsid w:val="6FCA5E2A"/>
    <w:rsid w:val="6FDA2167"/>
    <w:rsid w:val="70593D8C"/>
    <w:rsid w:val="705D2CAC"/>
    <w:rsid w:val="70D40212"/>
    <w:rsid w:val="71796A7B"/>
    <w:rsid w:val="71C34851"/>
    <w:rsid w:val="71EC2296"/>
    <w:rsid w:val="722D639D"/>
    <w:rsid w:val="723B19A6"/>
    <w:rsid w:val="72DB17DE"/>
    <w:rsid w:val="738B2CF1"/>
    <w:rsid w:val="73B73DD2"/>
    <w:rsid w:val="73EF3D7E"/>
    <w:rsid w:val="73FB02E9"/>
    <w:rsid w:val="74E76ED0"/>
    <w:rsid w:val="7517271E"/>
    <w:rsid w:val="751E4025"/>
    <w:rsid w:val="760D4365"/>
    <w:rsid w:val="76651342"/>
    <w:rsid w:val="7705705D"/>
    <w:rsid w:val="770957CF"/>
    <w:rsid w:val="79050385"/>
    <w:rsid w:val="79976D4D"/>
    <w:rsid w:val="79AB0441"/>
    <w:rsid w:val="7AD419FF"/>
    <w:rsid w:val="7B5F3D7C"/>
    <w:rsid w:val="7BE944F5"/>
    <w:rsid w:val="7C220811"/>
    <w:rsid w:val="7C367028"/>
    <w:rsid w:val="7D0421BC"/>
    <w:rsid w:val="7D367A2D"/>
    <w:rsid w:val="7D635D0C"/>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9"/>
    <w:unhideWhenUsed/>
    <w:qFormat/>
    <w:uiPriority w:val="0"/>
    <w:pPr>
      <w:keepNext/>
      <w:keepLines/>
      <w:spacing w:line="360" w:lineRule="auto"/>
      <w:ind w:firstLine="200" w:firstLineChars="200"/>
      <w:outlineLvl w:val="1"/>
    </w:pPr>
    <w:rPr>
      <w:rFonts w:ascii="Arial" w:hAnsi="Arial" w:eastAsia="仿宋"/>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index 6"/>
    <w:basedOn w:val="1"/>
    <w:next w:val="1"/>
    <w:semiHidden/>
    <w:qFormat/>
    <w:uiPriority w:val="0"/>
    <w:pPr>
      <w:ind w:firstLine="640"/>
    </w:pPr>
    <w:rPr>
      <w:rFonts w:cs="仿宋_GB2312"/>
      <w:color w:val="0000FF"/>
      <w:sz w:val="32"/>
      <w:szCs w:val="32"/>
    </w:rPr>
  </w:style>
  <w:style w:type="paragraph" w:styleId="7">
    <w:name w:val="Normal Indent"/>
    <w:basedOn w:val="1"/>
    <w:next w:val="1"/>
    <w:qFormat/>
    <w:uiPriority w:val="0"/>
    <w:pPr>
      <w:ind w:firstLine="420" w:firstLineChars="200"/>
    </w:pPr>
  </w:style>
  <w:style w:type="paragraph" w:styleId="8">
    <w:name w:val="annotation text"/>
    <w:basedOn w:val="1"/>
    <w:link w:val="34"/>
    <w:qFormat/>
    <w:uiPriority w:val="0"/>
    <w:pPr>
      <w:jc w:val="left"/>
    </w:pPr>
  </w:style>
  <w:style w:type="paragraph" w:styleId="9">
    <w:name w:val="Body Text"/>
    <w:basedOn w:val="1"/>
    <w:qFormat/>
    <w:uiPriority w:val="1"/>
    <w:rPr>
      <w:rFonts w:eastAsia="仿宋_GB2312"/>
      <w:sz w:val="32"/>
      <w:szCs w:val="32"/>
    </w:rPr>
  </w:style>
  <w:style w:type="paragraph" w:styleId="10">
    <w:name w:val="toc 3"/>
    <w:basedOn w:val="1"/>
    <w:next w:val="1"/>
    <w:qFormat/>
    <w:uiPriority w:val="0"/>
    <w:pPr>
      <w:ind w:left="840" w:leftChars="400"/>
    </w:pPr>
  </w:style>
  <w:style w:type="paragraph" w:styleId="11">
    <w:name w:val="Body Text Indent 2"/>
    <w:basedOn w:val="1"/>
    <w:next w:val="12"/>
    <w:qFormat/>
    <w:uiPriority w:val="0"/>
    <w:pPr>
      <w:spacing w:after="120" w:line="480" w:lineRule="auto"/>
      <w:ind w:left="420" w:leftChars="200"/>
    </w:pPr>
    <w:rPr>
      <w:rFonts w:ascii="Calibri" w:hAnsi="Calibri" w:eastAsia="宋体"/>
    </w:rPr>
  </w:style>
  <w:style w:type="paragraph" w:styleId="12">
    <w:name w:val="toc 9"/>
    <w:basedOn w:val="1"/>
    <w:next w:val="1"/>
    <w:qFormat/>
    <w:uiPriority w:val="0"/>
    <w:pPr>
      <w:wordWrap w:val="0"/>
      <w:ind w:left="2975"/>
      <w:jc w:val="both"/>
    </w:pPr>
    <w:rPr>
      <w:rFonts w:ascii="Calibri" w:hAnsi="Calibri" w:eastAsia="宋体" w:cs="Times New Roman"/>
      <w:sz w:val="21"/>
      <w:szCs w:val="22"/>
      <w:lang w:val="en-US" w:eastAsia="zh-CN" w:bidi="ar-SA"/>
    </w:rPr>
  </w:style>
  <w:style w:type="paragraph" w:styleId="13">
    <w:name w:val="Balloon Text"/>
    <w:basedOn w:val="1"/>
    <w:link w:val="36"/>
    <w:semiHidden/>
    <w:unhideWhenUsed/>
    <w:qFormat/>
    <w:uiPriority w:val="0"/>
    <w:rPr>
      <w:sz w:val="18"/>
      <w:szCs w:val="18"/>
    </w:rPr>
  </w:style>
  <w:style w:type="paragraph" w:styleId="14">
    <w:name w:val="footer"/>
    <w:basedOn w:val="1"/>
    <w:link w:val="32"/>
    <w:qFormat/>
    <w:uiPriority w:val="99"/>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annotation subject"/>
    <w:basedOn w:val="8"/>
    <w:next w:val="8"/>
    <w:link w:val="35"/>
    <w:semiHidden/>
    <w:unhideWhenUsed/>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annotation reference"/>
    <w:basedOn w:val="21"/>
    <w:qFormat/>
    <w:uiPriority w:val="0"/>
    <w:rPr>
      <w:sz w:val="21"/>
      <w:szCs w:val="21"/>
    </w:rPr>
  </w:style>
  <w:style w:type="paragraph" w:customStyle="1" w:styleId="24">
    <w:name w:val="正文文本缩进 21"/>
    <w:basedOn w:val="1"/>
    <w:next w:val="15"/>
    <w:qFormat/>
    <w:uiPriority w:val="0"/>
    <w:pPr>
      <w:spacing w:line="480" w:lineRule="auto"/>
      <w:ind w:left="420" w:leftChars="200"/>
    </w:pPr>
  </w:style>
  <w:style w:type="paragraph" w:customStyle="1" w:styleId="25">
    <w:name w:val="样式  + 首行缩进:  2 字符"/>
    <w:basedOn w:val="1"/>
    <w:qFormat/>
    <w:uiPriority w:val="0"/>
    <w:pPr>
      <w:adjustRightInd w:val="0"/>
      <w:snapToGrid w:val="0"/>
      <w:ind w:firstLine="480"/>
    </w:pPr>
    <w:rPr>
      <w:kern w:val="0"/>
      <w:sz w:val="24"/>
    </w:rPr>
  </w:style>
  <w:style w:type="paragraph" w:styleId="26">
    <w:name w:val="List Paragraph"/>
    <w:basedOn w:val="1"/>
    <w:qFormat/>
    <w:uiPriority w:val="99"/>
    <w:pPr>
      <w:ind w:firstLine="420" w:firstLineChars="200"/>
    </w:p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30">
    <w:name w:val="标题 1 字符"/>
    <w:basedOn w:val="21"/>
    <w:link w:val="3"/>
    <w:qFormat/>
    <w:uiPriority w:val="0"/>
    <w:rPr>
      <w:rFonts w:asciiTheme="minorHAnsi" w:hAnsiTheme="minorHAnsi" w:eastAsiaTheme="minorEastAsia" w:cstheme="minorBidi"/>
      <w:b/>
      <w:bCs/>
      <w:kern w:val="44"/>
      <w:sz w:val="44"/>
      <w:szCs w:val="44"/>
    </w:rPr>
  </w:style>
  <w:style w:type="character" w:customStyle="1" w:styleId="31">
    <w:name w:val="标题 2 字符"/>
    <w:link w:val="4"/>
    <w:qFormat/>
    <w:uiPriority w:val="0"/>
    <w:rPr>
      <w:rFonts w:ascii="Arial" w:hAnsi="Arial" w:eastAsia="仿宋"/>
      <w:b/>
      <w:sz w:val="32"/>
    </w:rPr>
  </w:style>
  <w:style w:type="character" w:customStyle="1" w:styleId="32">
    <w:name w:val="页脚 字符"/>
    <w:basedOn w:val="21"/>
    <w:link w:val="14"/>
    <w:qFormat/>
    <w:uiPriority w:val="99"/>
    <w:rPr>
      <w:rFonts w:asciiTheme="minorHAnsi" w:hAnsiTheme="minorHAnsi" w:eastAsiaTheme="minorEastAsia" w:cstheme="minorBidi"/>
      <w:kern w:val="2"/>
      <w:sz w:val="18"/>
      <w:szCs w:val="22"/>
    </w:rPr>
  </w:style>
  <w:style w:type="character" w:customStyle="1" w:styleId="33">
    <w:name w:val="font11"/>
    <w:basedOn w:val="21"/>
    <w:qFormat/>
    <w:uiPriority w:val="0"/>
    <w:rPr>
      <w:rFonts w:hint="eastAsia" w:ascii="宋体" w:hAnsi="宋体" w:eastAsia="宋体" w:cs="宋体"/>
      <w:color w:val="000000"/>
      <w:sz w:val="20"/>
      <w:szCs w:val="20"/>
      <w:u w:val="none"/>
    </w:rPr>
  </w:style>
  <w:style w:type="character" w:customStyle="1" w:styleId="34">
    <w:name w:val="批注文字 字符"/>
    <w:basedOn w:val="21"/>
    <w:link w:val="8"/>
    <w:qFormat/>
    <w:uiPriority w:val="0"/>
    <w:rPr>
      <w:rFonts w:asciiTheme="minorHAnsi" w:hAnsiTheme="minorHAnsi" w:eastAsiaTheme="minorEastAsia" w:cstheme="minorBidi"/>
      <w:kern w:val="2"/>
      <w:sz w:val="21"/>
      <w:szCs w:val="22"/>
    </w:rPr>
  </w:style>
  <w:style w:type="character" w:customStyle="1" w:styleId="35">
    <w:name w:val="批注主题 字符"/>
    <w:basedOn w:val="34"/>
    <w:link w:val="18"/>
    <w:semiHidden/>
    <w:qFormat/>
    <w:uiPriority w:val="0"/>
    <w:rPr>
      <w:rFonts w:asciiTheme="minorHAnsi" w:hAnsiTheme="minorHAnsi" w:eastAsiaTheme="minorEastAsia" w:cstheme="minorBidi"/>
      <w:b/>
      <w:bCs/>
      <w:kern w:val="2"/>
      <w:sz w:val="21"/>
      <w:szCs w:val="22"/>
    </w:rPr>
  </w:style>
  <w:style w:type="character" w:customStyle="1" w:styleId="36">
    <w:name w:val="批注框文本 字符"/>
    <w:basedOn w:val="21"/>
    <w:link w:val="13"/>
    <w:semiHidden/>
    <w:qFormat/>
    <w:uiPriority w:val="0"/>
    <w:rPr>
      <w:rFonts w:asciiTheme="minorHAnsi" w:hAnsiTheme="minorHAnsi" w:eastAsiaTheme="minorEastAsia" w:cstheme="minorBidi"/>
      <w:kern w:val="2"/>
      <w:sz w:val="18"/>
      <w:szCs w:val="18"/>
    </w:rPr>
  </w:style>
  <w:style w:type="character" w:customStyle="1" w:styleId="37">
    <w:name w:val="font41"/>
    <w:basedOn w:val="21"/>
    <w:qFormat/>
    <w:uiPriority w:val="0"/>
    <w:rPr>
      <w:rFonts w:hint="default" w:ascii="Arial" w:hAnsi="Arial" w:cs="Arial"/>
      <w:color w:val="000000"/>
      <w:sz w:val="20"/>
      <w:szCs w:val="20"/>
      <w:u w:val="none"/>
    </w:rPr>
  </w:style>
  <w:style w:type="character" w:customStyle="1" w:styleId="38">
    <w:name w:val="font21"/>
    <w:basedOn w:val="21"/>
    <w:qFormat/>
    <w:uiPriority w:val="0"/>
    <w:rPr>
      <w:rFonts w:hint="eastAsia" w:ascii="宋体" w:hAnsi="宋体" w:eastAsia="宋体" w:cs="宋体"/>
      <w:color w:val="000000"/>
      <w:sz w:val="20"/>
      <w:szCs w:val="20"/>
      <w:u w:val="none"/>
    </w:rPr>
  </w:style>
  <w:style w:type="character" w:customStyle="1" w:styleId="39">
    <w:name w:val="标题 2 Char"/>
    <w:link w:val="4"/>
    <w:qFormat/>
    <w:uiPriority w:val="0"/>
    <w:rPr>
      <w:rFonts w:ascii="Arial" w:hAnsi="Arial" w:eastAsia="仿宋"/>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t>       全省法院业务费项目绩效评价指标得分情况</a:t>
            </a:r>
            <a:endParaRPr lang="zh-CN"/>
          </a:p>
        </c:rich>
      </c:tx>
      <c:layout>
        <c:manualLayout>
          <c:xMode val="edge"/>
          <c:yMode val="edge"/>
          <c:x val="0.147975363209581"/>
          <c:y val="0.0181273031706581"/>
        </c:manualLayout>
      </c:layout>
      <c:overlay val="0"/>
      <c:spPr>
        <a:noFill/>
        <a:ln>
          <a:noFill/>
        </a:ln>
        <a:effectLst/>
      </c:spPr>
    </c:title>
    <c:autoTitleDeleted val="0"/>
    <c:plotArea>
      <c:layout>
        <c:manualLayout>
          <c:layoutTarget val="inner"/>
          <c:xMode val="edge"/>
          <c:yMode val="edge"/>
          <c:x val="0.125233904767623"/>
          <c:y val="0.124365532381998"/>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Sheet1!$B$2:$B$6</c:f>
              <c:numCache>
                <c:formatCode>General</c:formatCode>
                <c:ptCount val="5"/>
                <c:pt idx="0">
                  <c:v>15</c:v>
                </c:pt>
                <c:pt idx="1">
                  <c:v>15</c:v>
                </c:pt>
                <c:pt idx="2">
                  <c:v>10</c:v>
                </c:pt>
                <c:pt idx="3">
                  <c:v>30</c:v>
                </c:pt>
                <c:pt idx="4">
                  <c:v>30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Sheet1!$C$2:$C$6</c:f>
              <c:numCache>
                <c:formatCode>General</c:formatCode>
                <c:ptCount val="5"/>
                <c:pt idx="0">
                  <c:v>13.34</c:v>
                </c:pt>
                <c:pt idx="1">
                  <c:v>13.62</c:v>
                </c:pt>
                <c:pt idx="2">
                  <c:v>10</c:v>
                </c:pt>
                <c:pt idx="3">
                  <c:v>29.67</c:v>
                </c:pt>
                <c:pt idx="4">
                  <c:v>29</c:v>
                </c:pt>
              </c:numCache>
            </c:numRef>
          </c:val>
        </c:ser>
        <c:ser>
          <c:idx val="2"/>
          <c:order val="2"/>
          <c:tx>
            <c:strRef>
              <c:f>Sheet1!$D$1</c:f>
              <c:strCache>
                <c:ptCount val="1"/>
                <c:pt idx="0">
                  <c:v>得分率</c:v>
                </c:pt>
              </c:strCache>
            </c:strRef>
          </c:tx>
          <c:spPr>
            <a:solidFill>
              <a:schemeClr val="accent3"/>
            </a:solidFill>
            <a:ln>
              <a:noFill/>
            </a:ln>
            <a:effectLst/>
          </c:spPr>
          <c:invertIfNegative val="0"/>
          <c:dLbls>
            <c:dLbl>
              <c:idx val="0"/>
              <c:layout>
                <c:manualLayout>
                  <c:x val="0.017531556802244"/>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544179523141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0378681626928"/>
                  <c:y val="0.0049350222075999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2791023842917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Sheet1!$D$2:$D$6</c:f>
              <c:numCache>
                <c:formatCode>0.00%</c:formatCode>
                <c:ptCount val="5"/>
                <c:pt idx="0">
                  <c:v>0.889333333333333</c:v>
                </c:pt>
                <c:pt idx="1">
                  <c:v>0.908</c:v>
                </c:pt>
                <c:pt idx="2">
                  <c:v>1</c:v>
                </c:pt>
                <c:pt idx="3">
                  <c:v>0.989</c:v>
                </c:pt>
                <c:pt idx="4">
                  <c:v>0.966666666666667</c:v>
                </c:pt>
              </c:numCache>
            </c:numRef>
          </c:val>
        </c:ser>
        <c:dLbls>
          <c:showLegendKey val="0"/>
          <c:showVal val="1"/>
          <c:showCatName val="0"/>
          <c:showSerName val="0"/>
          <c:showPercent val="0"/>
          <c:showBubbleSize val="0"/>
        </c:dLbls>
        <c:gapWidth val="219"/>
        <c:overlap val="-27"/>
        <c:axId val="-1549276064"/>
        <c:axId val="-1549272256"/>
      </c:barChart>
      <c:catAx>
        <c:axId val="-15492760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2256"/>
        <c:crosses val="autoZero"/>
        <c:auto val="1"/>
        <c:lblAlgn val="ctr"/>
        <c:lblOffset val="100"/>
        <c:noMultiLvlLbl val="0"/>
      </c:catAx>
      <c:valAx>
        <c:axId val="-1549272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FDBD11-1D92-48EC-A2E2-01E0962C9A4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50</Pages>
  <Words>22079</Words>
  <Characters>27158</Characters>
  <Lines>168</Lines>
  <Paragraphs>47</Paragraphs>
  <TotalTime>2</TotalTime>
  <ScaleCrop>false</ScaleCrop>
  <LinksUpToDate>false</LinksUpToDate>
  <CharactersWithSpaces>27486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2023-08-31T02:58:00Z</dcterms:created>
  <dc:creator>1129</dc:creator>
  <cp:lastModifiedBy>燕子 13893107503</cp:lastModifiedBy>
  <cp:lastPrinted>2024-07-09T08:19:00Z</cp:lastPrinted>
  <dcterms:modified xsi:type="dcterms:W3CDTF">2024-08-12T07:31:40Z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FD313B6FA91A46D398B5BA5E424F525F_13</vt:lpwstr>
  </property>
</Properties>
</file>