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Extensions/webExtension1.xml" ContentType="application/vnd.wps-officedocument.webExtension+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AD6DC">
      <w:pPr>
        <w:pStyle w:val="9"/>
        <w:overflowPunct w:val="0"/>
        <w:spacing w:line="680" w:lineRule="exact"/>
        <w:rPr>
          <w:rFonts w:hint="eastAsia" w:ascii="仿宋_GB2312"/>
        </w:rPr>
      </w:pPr>
    </w:p>
    <w:p w14:paraId="376FA1C6">
      <w:pPr>
        <w:overflowPunct w:val="0"/>
        <w:spacing w:line="680" w:lineRule="exact"/>
        <w:ind w:left="6" w:right="4"/>
        <w:jc w:val="center"/>
        <w:rPr>
          <w:rFonts w:ascii="宋体" w:hAnsi="宋体" w:eastAsia="宋体" w:cs="Times New Roman"/>
          <w:b/>
          <w:sz w:val="44"/>
          <w:szCs w:val="44"/>
        </w:rPr>
      </w:pPr>
    </w:p>
    <w:p w14:paraId="5A9DC0FA">
      <w:pPr>
        <w:overflowPunct w:val="0"/>
        <w:spacing w:line="680" w:lineRule="exact"/>
        <w:ind w:left="6" w:right="4"/>
        <w:jc w:val="center"/>
        <w:rPr>
          <w:rFonts w:ascii="宋体" w:hAnsi="宋体" w:eastAsia="宋体" w:cs="Times New Roman"/>
          <w:b/>
          <w:sz w:val="44"/>
          <w:szCs w:val="44"/>
        </w:rPr>
      </w:pPr>
    </w:p>
    <w:p w14:paraId="0C705C07">
      <w:pPr>
        <w:overflowPunct w:val="0"/>
        <w:spacing w:line="680" w:lineRule="exact"/>
        <w:ind w:left="6" w:right="4"/>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sz w:val="44"/>
          <w:szCs w:val="44"/>
        </w:rPr>
        <w:t>2023年度</w:t>
      </w:r>
      <w:r>
        <w:rPr>
          <w:rFonts w:hint="eastAsia" w:ascii="方正小标宋简体" w:hAnsi="方正小标宋简体" w:eastAsia="方正小标宋简体" w:cs="方正小标宋简体"/>
          <w:sz w:val="44"/>
          <w:szCs w:val="44"/>
          <w:lang w:val="en-US" w:eastAsia="zh-CN"/>
        </w:rPr>
        <w:t>甘肃省高级人民法院</w:t>
      </w:r>
      <w:r>
        <w:rPr>
          <w:rFonts w:hint="eastAsia" w:ascii="方正小标宋简体" w:hAnsi="方正小标宋简体" w:eastAsia="方正小标宋简体" w:cs="方正小标宋简体"/>
          <w:sz w:val="44"/>
          <w:szCs w:val="44"/>
        </w:rPr>
        <w:t>重点项目</w:t>
      </w:r>
    </w:p>
    <w:p w14:paraId="6EE0F54A">
      <w:pPr>
        <w:overflowPunct w:val="0"/>
        <w:spacing w:line="680" w:lineRule="exact"/>
        <w:ind w:left="6" w:right="4"/>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办案业务费</w:t>
      </w:r>
      <w:r>
        <w:rPr>
          <w:rFonts w:hint="eastAsia" w:ascii="方正小标宋简体" w:hAnsi="方正小标宋简体" w:eastAsia="方正小标宋简体" w:cs="方正小标宋简体"/>
          <w:sz w:val="44"/>
          <w:szCs w:val="44"/>
          <w:lang w:val="en-US" w:eastAsia="zh-CN"/>
        </w:rPr>
        <w:t>项目</w:t>
      </w:r>
      <w:r>
        <w:rPr>
          <w:rFonts w:hint="eastAsia" w:ascii="方正小标宋简体" w:hAnsi="方正小标宋简体" w:eastAsia="方正小标宋简体" w:cs="方正小标宋简体"/>
          <w:sz w:val="44"/>
          <w:szCs w:val="44"/>
        </w:rPr>
        <w:t>绩效评价报告</w:t>
      </w:r>
    </w:p>
    <w:p w14:paraId="637D2220">
      <w:pPr>
        <w:pStyle w:val="9"/>
        <w:overflowPunct w:val="0"/>
        <w:spacing w:line="680" w:lineRule="exact"/>
        <w:rPr>
          <w:sz w:val="56"/>
        </w:rPr>
      </w:pPr>
    </w:p>
    <w:p w14:paraId="2EF028DE">
      <w:pPr>
        <w:pStyle w:val="10"/>
      </w:pPr>
    </w:p>
    <w:p w14:paraId="6C88ED1B">
      <w:pPr>
        <w:pStyle w:val="9"/>
        <w:overflowPunct w:val="0"/>
        <w:spacing w:line="680" w:lineRule="exact"/>
        <w:rPr>
          <w:sz w:val="56"/>
        </w:rPr>
      </w:pPr>
    </w:p>
    <w:p w14:paraId="7D787723">
      <w:pPr>
        <w:pStyle w:val="10"/>
        <w:rPr>
          <w:sz w:val="56"/>
        </w:rPr>
      </w:pPr>
    </w:p>
    <w:p w14:paraId="20684BF6">
      <w:pPr>
        <w:spacing w:line="578" w:lineRule="exact"/>
        <w:ind w:firstLine="300" w:firstLineChars="100"/>
        <w:rPr>
          <w:rFonts w:ascii="仿宋_GB2312" w:hAnsi="仿宋" w:eastAsia="仿宋_GB2312" w:cs="仿宋"/>
          <w:sz w:val="30"/>
          <w:szCs w:val="32"/>
          <w:u w:val="single"/>
        </w:rPr>
      </w:pPr>
      <w:r>
        <w:rPr>
          <w:rFonts w:hint="eastAsia" w:ascii="仿宋_GB2312" w:hAnsi="仿宋" w:eastAsia="仿宋_GB2312" w:cs="仿宋"/>
          <w:sz w:val="30"/>
          <w:szCs w:val="32"/>
        </w:rPr>
        <w:t>评价类型：</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实施过程评价</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完成结果评价</w:t>
      </w:r>
    </w:p>
    <w:p w14:paraId="487AADFC">
      <w:pPr>
        <w:spacing w:line="578" w:lineRule="exact"/>
        <w:ind w:left="1800" w:right="456" w:rightChars="217" w:hanging="1800" w:hangingChars="600"/>
        <w:jc w:val="left"/>
        <w:rPr>
          <w:rFonts w:hint="eastAsia" w:ascii="仿宋_GB2312" w:hAnsi="仿宋" w:eastAsia="仿宋_GB2312" w:cs="仿宋"/>
          <w:sz w:val="30"/>
          <w:szCs w:val="32"/>
          <w:u w:val="single"/>
        </w:rPr>
      </w:pPr>
      <w:r>
        <w:rPr>
          <w:rFonts w:hint="eastAsia" w:ascii="仿宋_GB2312" w:hAnsi="仿宋" w:eastAsia="仿宋_GB2312" w:cs="仿宋"/>
          <w:sz w:val="30"/>
          <w:szCs w:val="32"/>
        </w:rPr>
        <w:t xml:space="preserve">  项目名称：</w:t>
      </w:r>
      <w:r>
        <w:rPr>
          <w:rFonts w:hint="eastAsia" w:ascii="仿宋_GB2312" w:hAnsi="仿宋" w:eastAsia="仿宋_GB2312" w:cs="仿宋"/>
          <w:sz w:val="30"/>
          <w:szCs w:val="32"/>
          <w:u w:val="single"/>
        </w:rPr>
        <w:t xml:space="preserve"> 2023年度</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重点项目</w:t>
      </w:r>
    </w:p>
    <w:p w14:paraId="087086EB">
      <w:pPr>
        <w:spacing w:line="578" w:lineRule="exact"/>
        <w:ind w:left="1791" w:leftChars="710" w:right="456" w:rightChars="217" w:hanging="300" w:hangingChars="100"/>
        <w:jc w:val="left"/>
        <w:rPr>
          <w:rFonts w:hint="default" w:ascii="仿宋_GB2312" w:hAnsi="仿宋" w:eastAsia="仿宋_GB2312" w:cs="仿宋"/>
          <w:sz w:val="30"/>
          <w:szCs w:val="32"/>
          <w:lang w:val="en-US" w:eastAsia="zh-CN"/>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w:t>
      </w:r>
      <w:r>
        <w:rPr>
          <w:rFonts w:hint="eastAsia" w:ascii="仿宋_GB2312" w:hAnsi="仿宋" w:eastAsia="仿宋_GB2312" w:cs="仿宋"/>
          <w:sz w:val="30"/>
          <w:szCs w:val="32"/>
          <w:u w:val="single"/>
          <w:lang w:eastAsia="zh-CN"/>
        </w:rPr>
        <w:t>办案业务费</w:t>
      </w:r>
      <w:r>
        <w:rPr>
          <w:rFonts w:hint="eastAsia" w:ascii="仿宋_GB2312" w:hAnsi="仿宋" w:eastAsia="仿宋_GB2312" w:cs="仿宋"/>
          <w:b w:val="0"/>
          <w:bCs w:val="0"/>
          <w:color w:val="auto"/>
          <w:sz w:val="30"/>
          <w:szCs w:val="32"/>
          <w:u w:val="single"/>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val="en-US" w:eastAsia="zh-CN"/>
        </w:rPr>
        <w:t xml:space="preserve">     </w:t>
      </w:r>
    </w:p>
    <w:p w14:paraId="64AE45B7">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lang w:val="en-US" w:eastAsia="zh-CN"/>
        </w:rPr>
        <w:t>主管部门</w:t>
      </w:r>
      <w:r>
        <w:rPr>
          <w:rFonts w:hint="eastAsia" w:ascii="仿宋_GB2312" w:hAnsi="仿宋" w:eastAsia="仿宋_GB2312" w:cs="仿宋"/>
          <w:sz w:val="30"/>
          <w:szCs w:val="32"/>
        </w:rPr>
        <w:t>：</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 xml:space="preserve"> </w:t>
      </w:r>
    </w:p>
    <w:p w14:paraId="1C695CDC">
      <w:pPr>
        <w:spacing w:line="578" w:lineRule="exact"/>
        <w:ind w:left="1800" w:right="456" w:rightChars="217" w:hanging="1800" w:hangingChars="600"/>
        <w:jc w:val="left"/>
        <w:rPr>
          <w:rFonts w:ascii="仿宋_GB2312" w:hAnsi="仿宋" w:eastAsia="仿宋_GB2312" w:cs="仿宋"/>
          <w:sz w:val="30"/>
          <w:szCs w:val="32"/>
          <w:u w:val="single"/>
        </w:rPr>
      </w:pPr>
      <w:r>
        <w:rPr>
          <w:rFonts w:hint="eastAsia" w:ascii="仿宋_GB2312" w:hAnsi="仿宋" w:eastAsia="仿宋_GB2312" w:cs="仿宋"/>
          <w:sz w:val="30"/>
          <w:szCs w:val="32"/>
        </w:rPr>
        <w:t xml:space="preserve">  评价时间： </w:t>
      </w:r>
      <w:r>
        <w:rPr>
          <w:rFonts w:hint="eastAsia" w:ascii="仿宋_GB2312" w:hAnsi="仿宋" w:eastAsia="仿宋_GB2312" w:cs="仿宋"/>
          <w:sz w:val="30"/>
          <w:szCs w:val="32"/>
          <w:u w:val="single"/>
        </w:rPr>
        <w:t>2023年01月01日至 2023年12月31日</w:t>
      </w:r>
    </w:p>
    <w:p w14:paraId="549D1A6B">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组织方式：</w:t>
      </w:r>
      <w:r>
        <w:rPr>
          <w:rFonts w:hint="eastAsia" w:ascii="仿宋_GB2312" w:hAnsi="仿宋" w:eastAsia="仿宋_GB2312" w:cs="仿宋"/>
          <w:sz w:val="30"/>
          <w:szCs w:val="32"/>
          <w:u w:val="single"/>
        </w:rPr>
        <w:t>□财政部门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主管部门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项目单位</w:t>
      </w:r>
      <w:r>
        <w:rPr>
          <w:rFonts w:hint="eastAsia" w:ascii="仿宋_GB2312" w:hAnsi="仿宋" w:eastAsia="仿宋_GB2312" w:cs="仿宋"/>
          <w:sz w:val="30"/>
          <w:szCs w:val="32"/>
        </w:rPr>
        <w:t xml:space="preserve"> </w:t>
      </w:r>
    </w:p>
    <w:p w14:paraId="61FB4AD4">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评价机构：</w:t>
      </w:r>
      <w:r>
        <w:rPr>
          <w:rFonts w:hint="eastAsia" w:ascii="仿宋_GB2312" w:hAnsi="仿宋" w:eastAsia="仿宋_GB2312" w:cs="仿宋"/>
          <w:sz w:val="30"/>
          <w:szCs w:val="32"/>
          <w:u w:val="single"/>
        </w:rPr>
        <w:t>☑中介机构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□专家组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□项目单位评价组</w:t>
      </w:r>
    </w:p>
    <w:p w14:paraId="00A13878">
      <w:pPr>
        <w:spacing w:line="578" w:lineRule="exact"/>
        <w:rPr>
          <w:rFonts w:ascii="仿宋_GB2312" w:hAnsi="仿宋" w:eastAsia="仿宋_GB2312" w:cs="仿宋"/>
          <w:sz w:val="30"/>
          <w:szCs w:val="32"/>
        </w:rPr>
      </w:pPr>
    </w:p>
    <w:p w14:paraId="76D127A0">
      <w:pPr>
        <w:spacing w:line="578" w:lineRule="exact"/>
        <w:ind w:left="4800" w:hanging="4800" w:hangingChars="1600"/>
        <w:rPr>
          <w:rFonts w:hint="eastAsia" w:ascii="仿宋_GB2312" w:hAnsi="仿宋" w:eastAsia="仿宋_GB2312" w:cs="仿宋"/>
          <w:sz w:val="30"/>
          <w:szCs w:val="32"/>
        </w:rPr>
      </w:pPr>
      <w:r>
        <w:rPr>
          <w:rFonts w:hint="eastAsia" w:ascii="仿宋_GB2312" w:hAnsi="仿宋" w:eastAsia="仿宋_GB2312" w:cs="仿宋"/>
          <w:sz w:val="30"/>
          <w:szCs w:val="32"/>
        </w:rPr>
        <w:t xml:space="preserve">           </w:t>
      </w:r>
    </w:p>
    <w:p w14:paraId="6D639606">
      <w:pPr>
        <w:spacing w:line="578" w:lineRule="exact"/>
        <w:ind w:left="4800" w:hanging="4800" w:hangingChars="1600"/>
        <w:rPr>
          <w:rFonts w:ascii="仿宋_GB2312" w:hAnsi="仿宋" w:eastAsia="仿宋_GB2312" w:cs="仿宋"/>
          <w:sz w:val="30"/>
          <w:szCs w:val="32"/>
        </w:rPr>
      </w:pPr>
      <w:r>
        <w:rPr>
          <w:rFonts w:hint="eastAsia" w:ascii="仿宋_GB2312" w:hAnsi="仿宋" w:eastAsia="仿宋_GB2312" w:cs="仿宋"/>
          <w:sz w:val="30"/>
          <w:szCs w:val="32"/>
        </w:rPr>
        <w:t xml:space="preserve">  </w:t>
      </w:r>
    </w:p>
    <w:p w14:paraId="6F92F9F4">
      <w:pPr>
        <w:spacing w:line="578" w:lineRule="exact"/>
        <w:ind w:right="456" w:rightChars="217" w:firstLine="300" w:firstLineChars="100"/>
        <w:jc w:val="center"/>
        <w:rPr>
          <w:rFonts w:ascii="宋体" w:hAnsi="宋体" w:eastAsia="宋体" w:cs="宋体"/>
          <w:sz w:val="30"/>
          <w:szCs w:val="32"/>
        </w:rPr>
      </w:pPr>
      <w:r>
        <w:rPr>
          <w:rFonts w:hint="eastAsia" w:ascii="宋体" w:hAnsi="宋体" w:eastAsia="宋体" w:cs="宋体"/>
          <w:sz w:val="30"/>
          <w:szCs w:val="32"/>
        </w:rPr>
        <w:t>评价单位：甘肃卓诚财务咨询有限公司</w:t>
      </w:r>
    </w:p>
    <w:p w14:paraId="26F1FAEA">
      <w:pPr>
        <w:spacing w:line="578" w:lineRule="exact"/>
        <w:ind w:right="456" w:rightChars="217" w:firstLine="1500" w:firstLineChars="500"/>
        <w:jc w:val="both"/>
        <w:rPr>
          <w:rFonts w:hint="default" w:ascii="宋体" w:hAnsi="宋体" w:eastAsia="宋体" w:cs="宋体"/>
          <w:sz w:val="30"/>
          <w:szCs w:val="32"/>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eastAsia="宋体" w:cs="宋体"/>
          <w:sz w:val="30"/>
          <w:szCs w:val="32"/>
        </w:rPr>
        <w:t>编制日期：202</w:t>
      </w:r>
      <w:r>
        <w:rPr>
          <w:rFonts w:hint="eastAsia" w:ascii="宋体" w:hAnsi="宋体" w:eastAsia="宋体" w:cs="宋体"/>
          <w:sz w:val="30"/>
          <w:szCs w:val="32"/>
          <w:lang w:val="en-US" w:eastAsia="zh-CN"/>
        </w:rPr>
        <w:t>4</w:t>
      </w:r>
      <w:r>
        <w:rPr>
          <w:rFonts w:hint="eastAsia" w:ascii="宋体" w:hAnsi="宋体" w:eastAsia="宋体" w:cs="宋体"/>
          <w:sz w:val="30"/>
          <w:szCs w:val="32"/>
        </w:rPr>
        <w:t>年</w:t>
      </w:r>
      <w:r>
        <w:rPr>
          <w:rFonts w:hint="eastAsia" w:ascii="宋体" w:hAnsi="宋体" w:eastAsia="宋体" w:cs="宋体"/>
          <w:sz w:val="30"/>
          <w:szCs w:val="32"/>
          <w:lang w:val="en-US" w:eastAsia="zh-CN"/>
        </w:rPr>
        <w:t>7</w:t>
      </w:r>
      <w:r>
        <w:rPr>
          <w:rFonts w:hint="eastAsia" w:ascii="宋体" w:hAnsi="宋体" w:eastAsia="宋体" w:cs="宋体"/>
          <w:sz w:val="30"/>
          <w:szCs w:val="32"/>
        </w:rPr>
        <w:t>月</w:t>
      </w:r>
      <w:r>
        <w:rPr>
          <w:rFonts w:hint="eastAsia" w:ascii="宋体" w:hAnsi="宋体" w:eastAsia="宋体" w:cs="宋体"/>
          <w:sz w:val="30"/>
          <w:szCs w:val="32"/>
          <w:lang w:val="en-US" w:eastAsia="zh-CN"/>
        </w:rPr>
        <w:t>31日</w:t>
      </w:r>
    </w:p>
    <w:sdt>
      <w:sdtPr>
        <w:rPr>
          <w:rFonts w:hint="eastAsia" w:ascii="宋体" w:hAnsi="宋体" w:eastAsia="宋体" w:cs="宋体"/>
          <w:color w:val="FF0000"/>
          <w:sz w:val="40"/>
          <w:szCs w:val="40"/>
        </w:rPr>
        <w:id w:val="147453237"/>
        <w15:color w:val="DBDBDB"/>
        <w:docPartObj>
          <w:docPartGallery w:val="Table of Contents"/>
          <w:docPartUnique/>
        </w:docPartObj>
      </w:sdtPr>
      <w:sdtEndPr>
        <w:rPr>
          <w:rFonts w:hint="eastAsia" w:ascii="宋体" w:hAnsi="宋体" w:eastAsia="宋体" w:cs="宋体"/>
          <w:b/>
          <w:bCs/>
          <w:color w:val="FF0000"/>
          <w:sz w:val="32"/>
          <w:szCs w:val="44"/>
          <w:highlight w:val="yellow"/>
        </w:rPr>
      </w:sdtEndPr>
      <w:sdtContent>
        <w:p w14:paraId="5B51DE27">
          <w:pPr>
            <w:jc w:val="center"/>
            <w:rPr>
              <w:rFonts w:ascii="宋体" w:hAnsi="宋体" w:eastAsia="宋体" w:cs="宋体"/>
              <w:b/>
              <w:bCs/>
              <w:sz w:val="36"/>
              <w:szCs w:val="36"/>
            </w:rPr>
          </w:pPr>
          <w:r>
            <w:rPr>
              <w:rFonts w:hint="eastAsia" w:ascii="宋体" w:hAnsi="宋体" w:eastAsia="宋体" w:cs="宋体"/>
              <w:b/>
              <w:bCs/>
              <w:sz w:val="36"/>
              <w:szCs w:val="36"/>
            </w:rPr>
            <w:t>目  录</w:t>
          </w:r>
        </w:p>
        <w:p w14:paraId="56E85CE8">
          <w:pPr>
            <w:pStyle w:val="16"/>
            <w:tabs>
              <w:tab w:val="right" w:leader="dot" w:pos="8306"/>
            </w:tabs>
            <w:rPr>
              <w:rFonts w:hint="eastAsia" w:ascii="宋体" w:hAnsi="宋体" w:eastAsia="宋体" w:cs="宋体"/>
              <w:b/>
              <w:bCs/>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TOC \o "1-2" \h \u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_Toc419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rPr>
            <w:t>摘   要</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_Toc419 \h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1</w:t>
          </w:r>
          <w:r>
            <w:rPr>
              <w:rFonts w:hint="eastAsia" w:ascii="宋体" w:hAnsi="宋体" w:eastAsia="宋体" w:cs="宋体"/>
              <w:b/>
              <w:bCs/>
              <w:sz w:val="28"/>
              <w:szCs w:val="28"/>
            </w:rPr>
            <w:fldChar w:fldCharType="end"/>
          </w:r>
          <w:r>
            <w:rPr>
              <w:rFonts w:hint="eastAsia" w:ascii="宋体" w:hAnsi="宋体" w:eastAsia="宋体" w:cs="宋体"/>
              <w:b/>
              <w:bCs/>
              <w:sz w:val="28"/>
              <w:szCs w:val="28"/>
              <w:highlight w:val="yellow"/>
            </w:rPr>
            <w:fldChar w:fldCharType="end"/>
          </w:r>
        </w:p>
        <w:p w14:paraId="70F73C66">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_Toc22257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sz w:val="28"/>
              <w:szCs w:val="28"/>
              <w:highlight w:val="none"/>
              <w:lang w:val="en-US" w:eastAsia="zh-CN"/>
            </w:rPr>
            <w:t>一、</w:t>
          </w:r>
          <w:r>
            <w:rPr>
              <w:rFonts w:hint="eastAsia" w:ascii="宋体" w:hAnsi="宋体" w:eastAsia="宋体" w:cs="宋体"/>
              <w:bCs w:val="0"/>
              <w:sz w:val="28"/>
              <w:szCs w:val="28"/>
              <w:highlight w:val="none"/>
            </w:rPr>
            <w:t>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_Toc22257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A16C07F">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_Toc26888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（一）项目立项背景及实施目的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_Toc26888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36B10F0">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_Toc23921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（二）项目预算安排和支出情况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_Toc23921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B70EC95">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_Toc7704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项目实施情况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_Toc7704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CAF6D38">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_Toc26793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sz w:val="28"/>
              <w:szCs w:val="28"/>
              <w:highlight w:val="none"/>
              <w:lang w:val="en-US" w:eastAsia="zh-CN"/>
            </w:rPr>
            <w:t>二</w:t>
          </w:r>
          <w:r>
            <w:rPr>
              <w:rFonts w:hint="eastAsia" w:ascii="宋体" w:hAnsi="宋体" w:eastAsia="宋体" w:cs="宋体"/>
              <w:bCs w:val="0"/>
              <w:sz w:val="28"/>
              <w:szCs w:val="28"/>
              <w:highlight w:val="none"/>
            </w:rPr>
            <w:t>、评价结论和绩效分析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_Toc26793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099CDA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_Toc28890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（一）综合评价结论</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_Toc28890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5524646">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_Toc14416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_Toc14416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02F32AC">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_Toc15041 </w:instrText>
          </w:r>
          <w:r>
            <w:rPr>
              <w:rFonts w:hint="eastAsia" w:ascii="宋体" w:hAnsi="宋体" w:eastAsia="宋体" w:cs="宋体"/>
              <w:bCs/>
              <w:sz w:val="28"/>
              <w:szCs w:val="28"/>
              <w:highlight w:val="yellow"/>
            </w:rPr>
            <w:fldChar w:fldCharType="separate"/>
          </w:r>
          <w:r>
            <w:rPr>
              <w:rFonts w:hint="eastAsia" w:ascii="宋体" w:hAnsi="宋体" w:eastAsia="宋体" w:cs="宋体"/>
              <w:bCs/>
              <w:kern w:val="44"/>
              <w:sz w:val="28"/>
              <w:szCs w:val="28"/>
              <w:highlight w:val="none"/>
              <w:lang w:val="en-US" w:eastAsia="zh-CN" w:bidi="ar-SA"/>
            </w:rPr>
            <w:t>三、</w:t>
          </w:r>
          <w:r>
            <w:rPr>
              <w:rFonts w:hint="eastAsia" w:ascii="宋体" w:hAnsi="宋体" w:eastAsia="宋体" w:cs="宋体"/>
              <w:bCs/>
              <w:sz w:val="28"/>
              <w:szCs w:val="28"/>
              <w:highlight w:val="none"/>
            </w:rPr>
            <w:t>存在问题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_Toc15041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4CB0CD9">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_Toc2165 </w:instrText>
          </w:r>
          <w:r>
            <w:rPr>
              <w:rFonts w:hint="eastAsia" w:ascii="宋体" w:hAnsi="宋体" w:eastAsia="宋体" w:cs="宋体"/>
              <w:bCs/>
              <w:sz w:val="28"/>
              <w:szCs w:val="28"/>
              <w:highlight w:val="yellow"/>
            </w:rPr>
            <w:fldChar w:fldCharType="separate"/>
          </w:r>
          <w:r>
            <w:rPr>
              <w:rFonts w:hint="eastAsia" w:ascii="宋体" w:hAnsi="宋体" w:eastAsia="宋体" w:cs="宋体"/>
              <w:bCs/>
              <w:kern w:val="44"/>
              <w:sz w:val="28"/>
              <w:szCs w:val="28"/>
              <w:highlight w:val="none"/>
              <w:lang w:val="en-US" w:eastAsia="zh-CN" w:bidi="ar-SA"/>
            </w:rPr>
            <w:t>四、</w:t>
          </w:r>
          <w:r>
            <w:rPr>
              <w:rFonts w:hint="eastAsia" w:ascii="宋体" w:hAnsi="宋体" w:eastAsia="宋体" w:cs="宋体"/>
              <w:bCs/>
              <w:sz w:val="28"/>
              <w:szCs w:val="28"/>
              <w:highlight w:val="none"/>
            </w:rPr>
            <w:t>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_Toc2165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898EC16">
          <w:pPr>
            <w:pStyle w:val="16"/>
            <w:tabs>
              <w:tab w:val="right" w:leader="dot" w:pos="8306"/>
            </w:tabs>
            <w:rPr>
              <w:rFonts w:hint="eastAsia" w:ascii="宋体" w:hAnsi="宋体" w:eastAsia="宋体" w:cs="宋体"/>
              <w:b/>
              <w:bCs/>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_Toc30926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rPr>
            <w:t>2023年度</w:t>
          </w:r>
          <w:r>
            <w:rPr>
              <w:rFonts w:hint="eastAsia" w:ascii="宋体" w:hAnsi="宋体" w:eastAsia="宋体" w:cs="宋体"/>
              <w:b/>
              <w:bCs/>
              <w:sz w:val="28"/>
              <w:szCs w:val="28"/>
              <w:highlight w:val="none"/>
              <w:lang w:val="en-US" w:eastAsia="zh-CN"/>
            </w:rPr>
            <w:t>甘肃省高级人民法院</w:t>
          </w:r>
          <w:r>
            <w:rPr>
              <w:rFonts w:hint="eastAsia" w:ascii="宋体" w:hAnsi="宋体" w:eastAsia="宋体" w:cs="宋体"/>
              <w:b/>
              <w:bCs/>
              <w:sz w:val="28"/>
              <w:szCs w:val="28"/>
              <w:highlight w:val="none"/>
            </w:rPr>
            <w:t>重点项目</w:t>
          </w:r>
          <w:r>
            <w:rPr>
              <w:rFonts w:hint="eastAsia" w:ascii="宋体" w:hAnsi="宋体" w:eastAsia="宋体" w:cs="宋体"/>
              <w:b/>
              <w:bCs/>
              <w:sz w:val="28"/>
              <w:szCs w:val="28"/>
              <w:highlight w:val="yellow"/>
            </w:rPr>
            <w:fldChar w:fldCharType="end"/>
          </w:r>
          <w:r>
            <w:rPr>
              <w:rFonts w:hint="eastAsia" w:ascii="宋体" w:hAnsi="宋体" w:eastAsia="宋体" w:cs="宋体"/>
              <w:b/>
              <w:bCs/>
              <w:sz w:val="28"/>
              <w:szCs w:val="28"/>
              <w:highlight w:val="none"/>
              <w:lang w:eastAsia="zh-CN"/>
            </w:rPr>
            <w:t>办案业务费</w:t>
          </w:r>
          <w:r>
            <w:rPr>
              <w:rFonts w:hint="eastAsia" w:ascii="宋体" w:hAnsi="宋体" w:eastAsia="宋体" w:cs="宋体"/>
              <w:b/>
              <w:bCs/>
              <w:sz w:val="28"/>
              <w:szCs w:val="28"/>
              <w:highlight w:val="none"/>
            </w:rPr>
            <w:t>绩效评价报告</w:t>
          </w: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_Toc28988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_Toc28988 \h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5</w:t>
          </w:r>
          <w:r>
            <w:rPr>
              <w:rFonts w:hint="eastAsia" w:ascii="宋体" w:hAnsi="宋体" w:eastAsia="宋体" w:cs="宋体"/>
              <w:b/>
              <w:bCs/>
              <w:sz w:val="28"/>
              <w:szCs w:val="28"/>
            </w:rPr>
            <w:fldChar w:fldCharType="end"/>
          </w:r>
          <w:r>
            <w:rPr>
              <w:rFonts w:hint="eastAsia" w:ascii="宋体" w:hAnsi="宋体" w:eastAsia="宋体" w:cs="宋体"/>
              <w:b/>
              <w:bCs/>
              <w:sz w:val="28"/>
              <w:szCs w:val="28"/>
              <w:highlight w:val="yellow"/>
            </w:rPr>
            <w:fldChar w:fldCharType="end"/>
          </w:r>
        </w:p>
        <w:p w14:paraId="2529C556">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_Toc7106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sz w:val="28"/>
              <w:szCs w:val="28"/>
              <w:highlight w:val="none"/>
            </w:rPr>
            <w:t>一、项目基本情况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_Toc7106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297D55B">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_Toc15731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_Toc15731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254DA1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_Toc7818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（二）项目预算安排及使用情况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_Toc7818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756B295">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_Toc27379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（三）项目计划内容及实施情况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_Toc27379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33D84B0">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_Toc12313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（四）项目组织管理</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_Toc12313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900D7CA">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_Toc13619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sz w:val="28"/>
              <w:szCs w:val="28"/>
              <w:highlight w:val="none"/>
            </w:rPr>
            <w:t>二、项目绩效目标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_Toc13619 \h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8394FC7">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_Toc27953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（一）总体目标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_Toc27953 \h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3CEA9B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_Toc24710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（二）年度目标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_Toc24710 \h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0F71E28">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_Toc8455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三、评价基本情况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_Toc8455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4CD3AA7">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_Toc2745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（一）评价目的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_Toc2745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09156A0">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_Toc7160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（二）评价对象与范围</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_Toc7160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328DD24">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_Toc19814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（三）评价依据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_Toc19814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684420B">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_Toc22790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（四）评价原则、评价方法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_Toc22790 \h </w:instrText>
          </w:r>
          <w:r>
            <w:rPr>
              <w:rFonts w:hint="eastAsia" w:ascii="宋体" w:hAnsi="宋体" w:eastAsia="宋体" w:cs="宋体"/>
              <w:sz w:val="28"/>
              <w:szCs w:val="28"/>
            </w:rPr>
            <w:fldChar w:fldCharType="separate"/>
          </w:r>
          <w:r>
            <w:rPr>
              <w:rFonts w:hint="eastAsia"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AE616F6">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_Toc6288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（五）绩效评价指标体系</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_Toc6288 \h </w:instrText>
          </w:r>
          <w:r>
            <w:rPr>
              <w:rFonts w:hint="eastAsia" w:ascii="宋体" w:hAnsi="宋体" w:eastAsia="宋体" w:cs="宋体"/>
              <w:sz w:val="28"/>
              <w:szCs w:val="28"/>
            </w:rPr>
            <w:fldChar w:fldCharType="separate"/>
          </w:r>
          <w:r>
            <w:rPr>
              <w:rFonts w:hint="eastAsia" w:ascii="宋体" w:hAnsi="宋体" w:eastAsia="宋体" w:cs="宋体"/>
              <w:sz w:val="28"/>
              <w:szCs w:val="28"/>
            </w:rPr>
            <w:t>15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2DA0929">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_Toc240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六</w:t>
          </w:r>
          <w:r>
            <w:rPr>
              <w:rFonts w:hint="eastAsia" w:ascii="宋体" w:hAnsi="宋体" w:eastAsia="宋体" w:cs="宋体"/>
              <w:bCs/>
              <w:sz w:val="28"/>
              <w:szCs w:val="28"/>
              <w:highlight w:val="none"/>
            </w:rPr>
            <w:t>）绩效评价工作过程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_Toc240 \h </w:instrText>
          </w:r>
          <w:r>
            <w:rPr>
              <w:rFonts w:hint="eastAsia" w:ascii="宋体" w:hAnsi="宋体" w:eastAsia="宋体" w:cs="宋体"/>
              <w:sz w:val="28"/>
              <w:szCs w:val="28"/>
            </w:rPr>
            <w:fldChar w:fldCharType="separate"/>
          </w:r>
          <w:r>
            <w:rPr>
              <w:rFonts w:hint="eastAsia" w:ascii="宋体" w:hAnsi="宋体" w:eastAsia="宋体" w:cs="宋体"/>
              <w:sz w:val="28"/>
              <w:szCs w:val="28"/>
            </w:rPr>
            <w:t>17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73BA1E9">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_Toc14694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四、评价结论及分析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_Toc14694 \h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222406F">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_Toc28981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五、绩效评价指标分析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_Toc28981 \h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263EEE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_Toc17506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（一）项目决策情况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_Toc17506 \h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97C2D32">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_Toc16508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（二）项目过程情况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_Toc16508 \h </w:instrText>
          </w:r>
          <w:r>
            <w:rPr>
              <w:rFonts w:hint="eastAsia" w:ascii="宋体" w:hAnsi="宋体" w:eastAsia="宋体" w:cs="宋体"/>
              <w:sz w:val="28"/>
              <w:szCs w:val="28"/>
            </w:rPr>
            <w:fldChar w:fldCharType="separate"/>
          </w:r>
          <w:r>
            <w:rPr>
              <w:rFonts w:hint="eastAsia" w:ascii="宋体" w:hAnsi="宋体" w:eastAsia="宋体" w:cs="宋体"/>
              <w:sz w:val="28"/>
              <w:szCs w:val="28"/>
            </w:rPr>
            <w:t>25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4B7798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_Toc31485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rPr>
            <w:t>项目</w:t>
          </w:r>
          <w:r>
            <w:rPr>
              <w:rFonts w:hint="eastAsia" w:ascii="宋体" w:hAnsi="宋体" w:eastAsia="宋体" w:cs="宋体"/>
              <w:bCs/>
              <w:sz w:val="28"/>
              <w:szCs w:val="28"/>
              <w:highlight w:val="none"/>
              <w:lang w:val="en-US" w:eastAsia="zh-CN"/>
            </w:rPr>
            <w:t>成本</w:t>
          </w:r>
          <w:r>
            <w:rPr>
              <w:rFonts w:hint="eastAsia" w:ascii="宋体" w:hAnsi="宋体" w:eastAsia="宋体" w:cs="宋体"/>
              <w:bCs/>
              <w:sz w:val="28"/>
              <w:szCs w:val="28"/>
              <w:highlight w:val="none"/>
            </w:rPr>
            <w:t>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_Toc31485 \h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A6305A6">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_Toc20475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四</w:t>
          </w:r>
          <w:r>
            <w:rPr>
              <w:rFonts w:hint="eastAsia" w:ascii="宋体" w:hAnsi="宋体" w:eastAsia="宋体" w:cs="宋体"/>
              <w:bCs/>
              <w:sz w:val="28"/>
              <w:szCs w:val="28"/>
              <w:highlight w:val="none"/>
              <w:lang w:eastAsia="zh-CN"/>
            </w:rPr>
            <w:t>）项目产出情况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_Toc20475 \h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E3CF210">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_Toc26629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五</w:t>
          </w:r>
          <w:r>
            <w:rPr>
              <w:rFonts w:hint="eastAsia" w:ascii="宋体" w:hAnsi="宋体" w:eastAsia="宋体" w:cs="宋体"/>
              <w:bCs/>
              <w:sz w:val="28"/>
              <w:szCs w:val="28"/>
              <w:highlight w:val="none"/>
            </w:rPr>
            <w:t>）项目效益情况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_Toc26629 \h </w:instrText>
          </w:r>
          <w:r>
            <w:rPr>
              <w:rFonts w:hint="eastAsia" w:ascii="宋体" w:hAnsi="宋体" w:eastAsia="宋体" w:cs="宋体"/>
              <w:sz w:val="28"/>
              <w:szCs w:val="28"/>
            </w:rPr>
            <w:fldChar w:fldCharType="separate"/>
          </w:r>
          <w:r>
            <w:rPr>
              <w:rFonts w:hint="eastAsia" w:ascii="宋体" w:hAnsi="宋体" w:eastAsia="宋体" w:cs="宋体"/>
              <w:sz w:val="28"/>
              <w:szCs w:val="28"/>
            </w:rPr>
            <w:t>34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084BA89">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_Toc19554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六、项目主要经验及做法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_Toc19554 \h </w:instrText>
          </w:r>
          <w:r>
            <w:rPr>
              <w:rFonts w:hint="eastAsia" w:ascii="宋体" w:hAnsi="宋体" w:eastAsia="宋体" w:cs="宋体"/>
              <w:sz w:val="28"/>
              <w:szCs w:val="28"/>
            </w:rPr>
            <w:fldChar w:fldCharType="separate"/>
          </w:r>
          <w:r>
            <w:rPr>
              <w:rFonts w:hint="eastAsia" w:ascii="宋体" w:hAnsi="宋体" w:eastAsia="宋体" w:cs="宋体"/>
              <w:sz w:val="28"/>
              <w:szCs w:val="28"/>
            </w:rPr>
            <w:t>35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754F443">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_Toc26510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七、存在的问题及原因分析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_Toc26510 \h </w:instrText>
          </w:r>
          <w:r>
            <w:rPr>
              <w:rFonts w:hint="eastAsia" w:ascii="宋体" w:hAnsi="宋体" w:eastAsia="宋体" w:cs="宋体"/>
              <w:sz w:val="28"/>
              <w:szCs w:val="28"/>
            </w:rPr>
            <w:fldChar w:fldCharType="separate"/>
          </w:r>
          <w:r>
            <w:rPr>
              <w:rFonts w:hint="eastAsia" w:ascii="宋体" w:hAnsi="宋体" w:eastAsia="宋体" w:cs="宋体"/>
              <w:sz w:val="28"/>
              <w:szCs w:val="28"/>
            </w:rPr>
            <w:t>36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F0C86D2">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_Toc31225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八、有关建议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_Toc31225 \h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D063BD9">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_Toc30828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九、需要说明的问题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_Toc30828 \h </w:instrText>
          </w:r>
          <w:r>
            <w:rPr>
              <w:rFonts w:hint="eastAsia" w:ascii="宋体" w:hAnsi="宋体" w:eastAsia="宋体" w:cs="宋体"/>
              <w:sz w:val="28"/>
              <w:szCs w:val="28"/>
            </w:rPr>
            <w:fldChar w:fldCharType="separate"/>
          </w:r>
          <w:r>
            <w:rPr>
              <w:rFonts w:hint="eastAsia" w:ascii="宋体" w:hAnsi="宋体" w:eastAsia="宋体" w:cs="宋体"/>
              <w:sz w:val="28"/>
              <w:szCs w:val="28"/>
            </w:rPr>
            <w:t>38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1868FCD">
          <w:pPr>
            <w:pStyle w:val="9"/>
            <w:overflowPunct w:val="0"/>
            <w:spacing w:line="560" w:lineRule="exact"/>
            <w:rPr>
              <w:rFonts w:ascii="宋体" w:hAnsi="宋体" w:eastAsia="宋体"/>
              <w:b/>
              <w:bCs/>
              <w:szCs w:val="44"/>
              <w:highlight w:val="yellow"/>
            </w:rPr>
            <w:sectPr>
              <w:headerReference r:id="rId6" w:type="first"/>
              <w:footerReference r:id="rId8" w:type="first"/>
              <w:headerReference r:id="rId5"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r>
            <w:rPr>
              <w:rFonts w:hint="eastAsia" w:ascii="宋体" w:hAnsi="宋体" w:eastAsia="宋体" w:cs="宋体"/>
              <w:bCs/>
              <w:sz w:val="28"/>
              <w:szCs w:val="28"/>
              <w:highlight w:val="yellow"/>
            </w:rPr>
            <w:fldChar w:fldCharType="end"/>
          </w:r>
          <w:bookmarkStart w:id="172" w:name="_GoBack"/>
          <w:bookmarkEnd w:id="172"/>
        </w:p>
      </w:sdtContent>
    </w:sdt>
    <w:p w14:paraId="2276F18C">
      <w:pPr>
        <w:pStyle w:val="9"/>
        <w:overflowPunct w:val="0"/>
        <w:spacing w:line="560" w:lineRule="exact"/>
        <w:jc w:val="center"/>
        <w:outlineLvl w:val="0"/>
        <w:rPr>
          <w:rFonts w:ascii="方正小标宋简体" w:hAnsi="宋体" w:eastAsia="方正小标宋简体"/>
          <w:sz w:val="44"/>
          <w:szCs w:val="44"/>
          <w:highlight w:val="none"/>
        </w:rPr>
      </w:pPr>
      <w:bookmarkStart w:id="0" w:name="_Toc419"/>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0"/>
    </w:p>
    <w:p w14:paraId="63913CBC">
      <w:pPr>
        <w:overflowPunct w:val="0"/>
        <w:spacing w:line="560" w:lineRule="exact"/>
        <w:ind w:firstLine="420" w:firstLineChars="200"/>
        <w:jc w:val="center"/>
        <w:rPr>
          <w:highlight w:val="yellow"/>
        </w:rPr>
      </w:pPr>
    </w:p>
    <w:p w14:paraId="61F73440">
      <w:pPr>
        <w:keepNext w:val="0"/>
        <w:keepLines w:val="0"/>
        <w:pageBreakBefore w:val="0"/>
        <w:widowControl w:val="0"/>
        <w:numPr>
          <w:ilvl w:val="0"/>
          <w:numId w:val="0"/>
        </w:numPr>
        <w:tabs>
          <w:tab w:val="left" w:pos="849"/>
        </w:tabs>
        <w:kinsoku/>
        <w:wordWrap/>
        <w:overflowPunct/>
        <w:topLinePunct w:val="0"/>
        <w:autoSpaceDE/>
        <w:autoSpaceDN/>
        <w:bidi w:val="0"/>
        <w:adjustRightInd/>
        <w:snapToGrid/>
        <w:spacing w:line="556" w:lineRule="exact"/>
        <w:ind w:firstLine="640" w:firstLineChars="200"/>
        <w:textAlignment w:val="auto"/>
        <w:outlineLvl w:val="0"/>
        <w:rPr>
          <w:rFonts w:ascii="黑体" w:hAnsi="黑体" w:eastAsia="黑体" w:cs="黑体"/>
          <w:b w:val="0"/>
          <w:bCs w:val="0"/>
          <w:color w:val="auto"/>
          <w:sz w:val="32"/>
          <w:szCs w:val="32"/>
          <w:highlight w:val="none"/>
        </w:rPr>
      </w:pPr>
      <w:bookmarkStart w:id="1" w:name="_Toc3638"/>
      <w:bookmarkStart w:id="2" w:name="_Toc13873"/>
      <w:bookmarkStart w:id="3" w:name="_Toc22257"/>
      <w:r>
        <w:rPr>
          <w:rFonts w:hint="eastAsia" w:ascii="黑体" w:hAnsi="黑体" w:eastAsia="黑体" w:cs="黑体"/>
          <w:b w:val="0"/>
          <w:bCs w:val="0"/>
          <w:color w:val="auto"/>
          <w:sz w:val="32"/>
          <w:szCs w:val="32"/>
          <w:highlight w:val="none"/>
          <w:lang w:val="en-US" w:eastAsia="zh-CN"/>
        </w:rPr>
        <w:t>一、</w:t>
      </w:r>
      <w:r>
        <w:rPr>
          <w:rFonts w:hint="eastAsia" w:ascii="黑体" w:hAnsi="黑体" w:eastAsia="黑体" w:cs="黑体"/>
          <w:b w:val="0"/>
          <w:bCs w:val="0"/>
          <w:color w:val="auto"/>
          <w:sz w:val="32"/>
          <w:szCs w:val="32"/>
          <w:highlight w:val="none"/>
        </w:rPr>
        <w:t>项目基本情况</w:t>
      </w:r>
      <w:bookmarkEnd w:id="1"/>
      <w:bookmarkEnd w:id="2"/>
      <w:bookmarkEnd w:id="3"/>
    </w:p>
    <w:p w14:paraId="5690C9D7">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4" w:name="_Toc30374"/>
      <w:bookmarkStart w:id="5" w:name="_Toc4031"/>
      <w:bookmarkStart w:id="6" w:name="_Toc26888"/>
      <w:r>
        <w:rPr>
          <w:rFonts w:hint="eastAsia" w:ascii="楷体" w:hAnsi="楷体" w:eastAsia="楷体" w:cs="楷体"/>
          <w:b/>
          <w:bCs/>
          <w:color w:val="auto"/>
          <w:highlight w:val="none"/>
        </w:rPr>
        <w:t>（一）项目立项背景及实施目的</w:t>
      </w:r>
      <w:bookmarkEnd w:id="4"/>
      <w:bookmarkEnd w:id="5"/>
      <w:bookmarkEnd w:id="6"/>
    </w:p>
    <w:p w14:paraId="471FDA61">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outlineLvl w:val="9"/>
        <w:rPr>
          <w:rFonts w:hint="eastAsia" w:ascii="仿宋_GB2312" w:hAnsi="仿宋_GB2312" w:cs="仿宋_GB2312"/>
          <w:highlight w:val="none"/>
          <w:lang w:val="en-US" w:eastAsia="zh-CN"/>
        </w:rPr>
      </w:pPr>
      <w:bookmarkStart w:id="7" w:name="_Toc15128"/>
      <w:bookmarkStart w:id="8" w:name="_Toc24239"/>
      <w:r>
        <w:rPr>
          <w:rFonts w:hint="eastAsia" w:ascii="仿宋_GB2312" w:hAnsi="仿宋_GB2312" w:cs="仿宋_GB2312"/>
          <w:highlight w:val="none"/>
          <w:lang w:val="en-US" w:eastAsia="zh-CN"/>
        </w:rPr>
        <w:t>近年来，全省法院每年办案数量呈现逐年上升趋势，为保障法院各项业务的顺利进行，体现依法治国的重要性及必要性，依据《关于法院业务费开支范围的规定》《中央政法委员会关于深化司法体制和工作机制改革若干问题的意见》（中发〔2008〕19号）文件精神，为确保全省法院加强司法保障，审判工作良好运转，提高办案能力和效率，进一步加强社会主义法制建设，特设立此项目。</w:t>
      </w:r>
    </w:p>
    <w:p w14:paraId="0B34F603">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9" w:name="_Toc23921"/>
      <w:r>
        <w:rPr>
          <w:rFonts w:hint="eastAsia" w:ascii="楷体" w:hAnsi="楷体" w:eastAsia="楷体" w:cs="楷体"/>
          <w:b/>
          <w:bCs/>
          <w:color w:val="auto"/>
          <w:highlight w:val="none"/>
        </w:rPr>
        <w:t>（二）项目预算安排和支出情况</w:t>
      </w:r>
      <w:bookmarkEnd w:id="7"/>
      <w:bookmarkEnd w:id="8"/>
      <w:bookmarkEnd w:id="9"/>
    </w:p>
    <w:p w14:paraId="4168C271">
      <w:pPr>
        <w:widowControl w:val="0"/>
        <w:spacing w:line="560"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2023年甘肃省高级人民法院办案业务费</w:t>
      </w:r>
      <w:r>
        <w:rPr>
          <w:rFonts w:hint="eastAsia" w:ascii="仿宋_GB2312" w:hAnsi="仿宋_GB2312" w:eastAsia="仿宋_GB2312" w:cs="仿宋_GB2312"/>
          <w:sz w:val="32"/>
          <w:szCs w:val="32"/>
          <w:lang w:eastAsia="zh-CN"/>
        </w:rPr>
        <w:t>项目全年预算</w:t>
      </w:r>
      <w:r>
        <w:rPr>
          <w:rFonts w:hint="eastAsia" w:ascii="仿宋_GB2312" w:hAnsi="仿宋_GB2312" w:eastAsia="仿宋_GB2312" w:cs="仿宋_GB2312"/>
          <w:sz w:val="32"/>
          <w:szCs w:val="32"/>
          <w:lang w:val="en-US" w:eastAsia="zh-CN"/>
        </w:rPr>
        <w:t>数</w:t>
      </w:r>
      <w:r>
        <w:rPr>
          <w:rFonts w:hint="eastAsia" w:ascii="仿宋_GB2312" w:hAnsi="仿宋_GB2312" w:eastAsia="仿宋_GB2312" w:cs="仿宋_GB2312"/>
          <w:sz w:val="32"/>
          <w:szCs w:val="32"/>
          <w:lang w:eastAsia="zh-CN"/>
        </w:rPr>
        <w:t>4,510.73万元，</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lang w:eastAsia="zh-CN"/>
        </w:rPr>
        <w:t>上年结转资金1,260.73万元，当年财政拨款3,250.00万元，分配给</w:t>
      </w:r>
      <w:r>
        <w:rPr>
          <w:rFonts w:hint="eastAsia" w:ascii="仿宋_GB2312" w:hAnsi="仿宋_GB2312" w:eastAsia="仿宋_GB2312" w:cs="仿宋_GB2312"/>
          <w:sz w:val="32"/>
          <w:szCs w:val="32"/>
          <w:lang w:val="en-US" w:eastAsia="zh-CN"/>
        </w:rPr>
        <w:t>甘肃省高级人民法院及9个直属法院</w:t>
      </w:r>
      <w:r>
        <w:rPr>
          <w:rFonts w:hint="eastAsia" w:ascii="仿宋_GB2312" w:hAnsi="仿宋_GB2312" w:eastAsia="仿宋_GB2312" w:cs="仿宋_GB2312"/>
          <w:sz w:val="32"/>
          <w:szCs w:val="32"/>
          <w:lang w:eastAsia="zh-CN"/>
        </w:rPr>
        <w:t>。</w:t>
      </w:r>
    </w:p>
    <w:p w14:paraId="17C1B82B">
      <w:pPr>
        <w:pStyle w:val="9"/>
        <w:overflowPunct w:val="0"/>
        <w:spacing w:line="560" w:lineRule="exact"/>
        <w:ind w:firstLine="640" w:firstLineChars="200"/>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cs="仿宋_GB2312"/>
          <w:sz w:val="32"/>
          <w:szCs w:val="32"/>
          <w:lang w:val="en-US" w:eastAsia="zh-CN"/>
        </w:rPr>
        <w:t>截至</w:t>
      </w:r>
      <w:r>
        <w:rPr>
          <w:rFonts w:hint="eastAsia" w:ascii="仿宋_GB2312" w:hAnsi="仿宋_GB2312" w:eastAsia="仿宋_GB2312" w:cs="仿宋_GB2312"/>
          <w:sz w:val="32"/>
          <w:szCs w:val="32"/>
          <w:lang w:val="en-US" w:eastAsia="zh-CN"/>
        </w:rPr>
        <w:t>2023年</w:t>
      </w:r>
      <w:r>
        <w:rPr>
          <w:rFonts w:hint="eastAsia" w:ascii="仿宋_GB2312" w:hAnsi="仿宋_GB2312" w:cs="仿宋_GB2312"/>
          <w:sz w:val="32"/>
          <w:szCs w:val="32"/>
          <w:lang w:val="en-US" w:eastAsia="zh-CN"/>
        </w:rPr>
        <w:t>12月31日，</w:t>
      </w:r>
      <w:r>
        <w:rPr>
          <w:rFonts w:hint="eastAsia" w:ascii="仿宋_GB2312" w:hAnsi="仿宋_GB2312" w:eastAsia="仿宋_GB2312" w:cs="仿宋_GB2312"/>
          <w:sz w:val="32"/>
          <w:szCs w:val="32"/>
          <w:lang w:val="en-US" w:eastAsia="zh-CN"/>
        </w:rPr>
        <w:t>办案业务费</w:t>
      </w:r>
      <w:r>
        <w:rPr>
          <w:rFonts w:hint="eastAsia" w:ascii="仿宋_GB2312" w:hAnsi="仿宋_GB2312" w:eastAsia="仿宋_GB2312" w:cs="仿宋_GB2312"/>
          <w:sz w:val="32"/>
          <w:szCs w:val="32"/>
          <w:lang w:eastAsia="zh-CN"/>
        </w:rPr>
        <w:t>项目全年支出</w:t>
      </w:r>
      <w:r>
        <w:rPr>
          <w:rFonts w:hint="eastAsia" w:ascii="仿宋_GB2312" w:hAnsi="仿宋_GB2312" w:cs="仿宋_GB2312"/>
          <w:sz w:val="32"/>
          <w:szCs w:val="32"/>
          <w:lang w:val="en-US" w:eastAsia="zh-CN"/>
        </w:rPr>
        <w:t>数</w:t>
      </w:r>
      <w:r>
        <w:rPr>
          <w:rFonts w:hint="eastAsia" w:ascii="仿宋_GB2312" w:hAnsi="仿宋_GB2312" w:eastAsia="仿宋_GB2312" w:cs="仿宋_GB2312"/>
          <w:sz w:val="32"/>
          <w:szCs w:val="32"/>
          <w:lang w:eastAsia="zh-CN"/>
        </w:rPr>
        <w:t>4,166.71万元</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预算执行率92.37%</w:t>
      </w:r>
      <w:r>
        <w:rPr>
          <w:rFonts w:hint="eastAsia" w:ascii="仿宋_GB2312" w:hAnsi="仿宋_GB2312" w:cs="仿宋_GB2312"/>
          <w:b w:val="0"/>
          <w:bCs w:val="0"/>
          <w:color w:val="000000" w:themeColor="text1"/>
          <w:highlight w:val="none"/>
          <w:lang w:val="en-US" w:eastAsia="zh-CN"/>
          <w14:textFill>
            <w14:solidFill>
              <w14:schemeClr w14:val="tx1"/>
            </w14:solidFill>
          </w14:textFill>
        </w:rPr>
        <w:t>。</w:t>
      </w:r>
    </w:p>
    <w:p w14:paraId="72FC0F26">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hint="eastAsia" w:ascii="楷体" w:hAnsi="楷体" w:eastAsia="楷体" w:cs="楷体"/>
          <w:b/>
          <w:bCs/>
          <w:color w:val="auto"/>
          <w:highlight w:val="none"/>
          <w:lang w:val="en-US" w:eastAsia="zh-CN"/>
        </w:rPr>
      </w:pPr>
      <w:bookmarkStart w:id="10" w:name="_Toc7704"/>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三</w:t>
      </w:r>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项目实施情况</w:t>
      </w:r>
      <w:bookmarkEnd w:id="10"/>
    </w:p>
    <w:p w14:paraId="063DDE3D">
      <w:pPr>
        <w:pStyle w:val="10"/>
        <w:numPr>
          <w:ilvl w:val="0"/>
          <w:numId w:val="0"/>
        </w:numPr>
        <w:spacing w:line="560" w:lineRule="exact"/>
        <w:ind w:firstLine="640" w:firstLineChars="200"/>
        <w:jc w:val="both"/>
        <w:rPr>
          <w:rFonts w:hint="default" w:ascii="仿宋_GB2312" w:hAnsi="仿宋_GB2312" w:eastAsia="仿宋_GB2312" w:cs="仿宋_GB2312"/>
          <w:sz w:val="32"/>
          <w:szCs w:val="32"/>
          <w:highlight w:val="none"/>
          <w:lang w:val="en-US" w:eastAsia="zh-CN"/>
        </w:rPr>
      </w:pPr>
      <w:bookmarkStart w:id="11" w:name="_Toc26463"/>
      <w:bookmarkStart w:id="12" w:name="_Toc29824"/>
      <w:r>
        <w:rPr>
          <w:rFonts w:hint="eastAsia" w:ascii="仿宋_GB2312" w:hAnsi="仿宋_GB2312" w:eastAsia="仿宋_GB2312" w:cs="仿宋_GB2312"/>
          <w:sz w:val="32"/>
          <w:szCs w:val="32"/>
          <w:highlight w:val="none"/>
          <w:lang w:val="en-US" w:eastAsia="zh-CN"/>
        </w:rPr>
        <w:t>通过项目的实施，一是确保本年度受理案件和执行工作顺利完成，各类案件结案率达85%以上，忠实履行宪法和法律赋予的职责，充分发挥审判机关的职能作用，促进司法便民服务水平的提升，保障司法规范化和司法廉洁，为促进案件审判及法院各项事业运转提供有力保障；二是确保</w:t>
      </w:r>
      <w:r>
        <w:rPr>
          <w:rFonts w:hint="default" w:ascii="仿宋_GB2312" w:hAnsi="仿宋_GB2312" w:eastAsia="仿宋_GB2312" w:cs="仿宋_GB2312"/>
          <w:sz w:val="32"/>
          <w:szCs w:val="32"/>
          <w:highlight w:val="none"/>
          <w:lang w:val="en-US" w:eastAsia="zh-CN"/>
        </w:rPr>
        <w:t>2023年度我院基本按照年初采购计划购置设备，积极保障基础设施建设和执法办公办案条件的改善，为干警提供更加便利的工作环境，促进了办案能力和效率的提升。</w:t>
      </w:r>
      <w:r>
        <w:rPr>
          <w:rFonts w:hint="eastAsia" w:ascii="仿宋_GB2312" w:hAnsi="仿宋_GB2312" w:eastAsia="仿宋_GB2312" w:cs="仿宋_GB2312"/>
          <w:sz w:val="32"/>
          <w:szCs w:val="32"/>
          <w:lang w:val="en-US" w:eastAsia="zh-CN"/>
        </w:rPr>
        <w:t>甘肃省高级人民法院及9个直属法院</w:t>
      </w:r>
      <w:r>
        <w:rPr>
          <w:rFonts w:hint="default" w:ascii="仿宋_GB2312" w:hAnsi="仿宋_GB2312" w:eastAsia="仿宋_GB2312" w:cs="仿宋_GB2312"/>
          <w:sz w:val="32"/>
          <w:szCs w:val="32"/>
          <w:highlight w:val="none"/>
          <w:lang w:val="en-US" w:eastAsia="zh-CN"/>
        </w:rPr>
        <w:t>本年度案件审判工作和执行工作顺利完成，法定审限内结案率达</w:t>
      </w:r>
      <w:r>
        <w:rPr>
          <w:rFonts w:hint="eastAsia" w:ascii="仿宋_GB2312" w:hAnsi="仿宋_GB2312" w:eastAsia="仿宋_GB2312" w:cs="仿宋_GB2312"/>
          <w:sz w:val="32"/>
          <w:szCs w:val="32"/>
          <w:highlight w:val="none"/>
          <w:lang w:val="en-US" w:eastAsia="zh-CN"/>
        </w:rPr>
        <w:t>98</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40</w:t>
      </w:r>
      <w:r>
        <w:rPr>
          <w:rFonts w:hint="default" w:ascii="仿宋_GB2312" w:hAnsi="仿宋_GB2312" w:eastAsia="仿宋_GB2312" w:cs="仿宋_GB2312"/>
          <w:sz w:val="32"/>
          <w:szCs w:val="32"/>
          <w:highlight w:val="none"/>
          <w:lang w:val="en-US" w:eastAsia="zh-CN"/>
        </w:rPr>
        <w:t>%。</w:t>
      </w:r>
    </w:p>
    <w:p w14:paraId="557033B2">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outlineLvl w:val="0"/>
        <w:rPr>
          <w:rFonts w:ascii="仿宋" w:hAnsi="仿宋" w:eastAsia="仿宋" w:cs="仿宋"/>
          <w:b w:val="0"/>
          <w:bCs w:val="0"/>
          <w:color w:val="auto"/>
          <w:highlight w:val="none"/>
        </w:rPr>
      </w:pPr>
      <w:bookmarkStart w:id="13" w:name="_Toc26793"/>
      <w:r>
        <w:rPr>
          <w:rFonts w:hint="eastAsia" w:ascii="黑体" w:hAnsi="黑体" w:eastAsia="黑体" w:cs="黑体"/>
          <w:b w:val="0"/>
          <w:bCs w:val="0"/>
          <w:color w:val="auto"/>
          <w:highlight w:val="none"/>
          <w:lang w:val="en-US" w:eastAsia="zh-CN"/>
        </w:rPr>
        <w:t>二</w:t>
      </w:r>
      <w:r>
        <w:rPr>
          <w:rFonts w:hint="eastAsia" w:ascii="黑体" w:hAnsi="黑体" w:eastAsia="黑体" w:cs="黑体"/>
          <w:b w:val="0"/>
          <w:bCs w:val="0"/>
          <w:color w:val="auto"/>
          <w:highlight w:val="none"/>
        </w:rPr>
        <w:t>、评价结论和绩效分析</w:t>
      </w:r>
      <w:bookmarkEnd w:id="11"/>
      <w:bookmarkEnd w:id="12"/>
      <w:bookmarkEnd w:id="13"/>
    </w:p>
    <w:p w14:paraId="45BC7AB5">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14" w:name="_Toc11898"/>
      <w:bookmarkStart w:id="15" w:name="_Toc3082"/>
      <w:bookmarkStart w:id="16" w:name="_Toc28890"/>
      <w:r>
        <w:rPr>
          <w:rFonts w:hint="eastAsia" w:ascii="楷体" w:hAnsi="楷体" w:eastAsia="楷体" w:cs="楷体"/>
          <w:b/>
          <w:bCs/>
          <w:color w:val="auto"/>
          <w:highlight w:val="none"/>
        </w:rPr>
        <w:t>（一）综合评价结论</w:t>
      </w:r>
      <w:bookmarkEnd w:id="14"/>
      <w:bookmarkEnd w:id="15"/>
      <w:bookmarkEnd w:id="16"/>
    </w:p>
    <w:p w14:paraId="07F9F11A">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评价小组根据项目实际</w:t>
      </w:r>
      <w:r>
        <w:rPr>
          <w:rFonts w:hint="eastAsia" w:ascii="仿宋_GB2312" w:hAnsi="仿宋_GB2312" w:eastAsia="仿宋_GB2312" w:cs="仿宋_GB2312"/>
          <w:color w:val="auto"/>
          <w:sz w:val="32"/>
          <w:szCs w:val="32"/>
          <w:highlight w:val="none"/>
          <w:lang w:val="en-US" w:eastAsia="zh-CN"/>
        </w:rPr>
        <w:t>情况</w:t>
      </w:r>
      <w:r>
        <w:rPr>
          <w:rFonts w:hint="eastAsia" w:ascii="仿宋_GB2312" w:hAnsi="仿宋_GB2312" w:eastAsia="仿宋_GB2312" w:cs="仿宋_GB2312"/>
          <w:color w:val="auto"/>
          <w:sz w:val="32"/>
          <w:szCs w:val="32"/>
          <w:highlight w:val="none"/>
        </w:rPr>
        <w:t>，运用事先设置的评价指标体系及评分标准，对本次绩效评价指标体系进行适当调整，并经过数据采集、问卷调查及访谈、专家论证等</w:t>
      </w:r>
      <w:r>
        <w:rPr>
          <w:rFonts w:hint="eastAsia" w:ascii="仿宋_GB2312" w:hAnsi="仿宋_GB2312" w:eastAsia="仿宋_GB2312" w:cs="仿宋_GB2312"/>
          <w:color w:val="auto"/>
          <w:sz w:val="32"/>
          <w:szCs w:val="32"/>
          <w:highlight w:val="none"/>
          <w:lang w:val="en-US" w:eastAsia="zh-CN"/>
        </w:rPr>
        <w:t>评价方法</w:t>
      </w:r>
      <w:r>
        <w:rPr>
          <w:rFonts w:hint="eastAsia" w:ascii="仿宋_GB2312" w:hAnsi="仿宋_GB2312" w:eastAsia="仿宋_GB2312" w:cs="仿宋_GB2312"/>
          <w:color w:val="auto"/>
          <w:sz w:val="32"/>
          <w:szCs w:val="32"/>
          <w:highlight w:val="none"/>
        </w:rPr>
        <w:t>，客观公正地评价，评定2023年度</w:t>
      </w:r>
      <w:r>
        <w:rPr>
          <w:rFonts w:hint="eastAsia" w:ascii="仿宋_GB2312" w:hAnsi="仿宋_GB2312" w:eastAsia="仿宋_GB2312" w:cs="仿宋_GB2312"/>
          <w:color w:val="auto"/>
          <w:sz w:val="32"/>
          <w:szCs w:val="32"/>
          <w:highlight w:val="none"/>
          <w:lang w:eastAsia="zh-CN"/>
        </w:rPr>
        <w:t>办案业务费</w:t>
      </w:r>
      <w:r>
        <w:rPr>
          <w:rFonts w:hint="eastAsia" w:ascii="仿宋_GB2312" w:hAnsi="仿宋_GB2312" w:eastAsia="仿宋_GB2312" w:cs="仿宋_GB2312"/>
          <w:color w:val="auto"/>
          <w:sz w:val="32"/>
          <w:szCs w:val="32"/>
          <w:highlight w:val="none"/>
        </w:rPr>
        <w:t>项目综合评价得分为</w:t>
      </w:r>
      <w:r>
        <w:rPr>
          <w:rFonts w:hint="eastAsia" w:ascii="仿宋_GB2312" w:hAnsi="仿宋_GB2312" w:eastAsia="仿宋_GB2312" w:cs="仿宋_GB2312"/>
          <w:color w:val="auto"/>
          <w:sz w:val="32"/>
          <w:szCs w:val="32"/>
          <w:highlight w:val="none"/>
          <w:lang w:val="en-US" w:eastAsia="zh-CN"/>
        </w:rPr>
        <w:t>95.41</w:t>
      </w:r>
      <w:r>
        <w:rPr>
          <w:rFonts w:hint="eastAsia" w:ascii="仿宋_GB2312" w:hAnsi="仿宋_GB2312" w:eastAsia="仿宋_GB2312" w:cs="仿宋_GB2312"/>
          <w:color w:val="auto"/>
          <w:sz w:val="32"/>
          <w:szCs w:val="32"/>
          <w:highlight w:val="none"/>
        </w:rPr>
        <w:t>分，评价等级为“</w:t>
      </w:r>
      <w:r>
        <w:rPr>
          <w:rFonts w:hint="eastAsia" w:ascii="仿宋_GB2312" w:hAnsi="仿宋_GB2312" w:eastAsia="仿宋_GB2312" w:cs="仿宋_GB2312"/>
          <w:color w:val="auto"/>
          <w:sz w:val="32"/>
          <w:szCs w:val="32"/>
          <w:highlight w:val="none"/>
          <w:lang w:val="en-US" w:eastAsia="zh-CN"/>
        </w:rPr>
        <w:t>优</w:t>
      </w:r>
      <w:r>
        <w:rPr>
          <w:rFonts w:hint="eastAsia" w:ascii="仿宋_GB2312" w:hAnsi="仿宋_GB2312" w:eastAsia="仿宋_GB2312" w:cs="仿宋_GB2312"/>
          <w:color w:val="auto"/>
          <w:sz w:val="32"/>
          <w:szCs w:val="32"/>
          <w:highlight w:val="none"/>
        </w:rPr>
        <w:t>”。</w:t>
      </w:r>
    </w:p>
    <w:p w14:paraId="1F21BA32">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17" w:name="_Toc24181"/>
      <w:bookmarkStart w:id="18" w:name="_Toc14316"/>
      <w:bookmarkStart w:id="19" w:name="_Toc14416"/>
      <w:r>
        <w:rPr>
          <w:rFonts w:hint="eastAsia" w:ascii="楷体" w:hAnsi="楷体" w:eastAsia="楷体" w:cs="楷体"/>
          <w:b/>
          <w:bCs/>
          <w:color w:val="auto"/>
          <w:highlight w:val="none"/>
        </w:rPr>
        <w:t>（二）绩效分析</w:t>
      </w:r>
      <w:bookmarkEnd w:id="17"/>
      <w:bookmarkEnd w:id="18"/>
      <w:bookmarkEnd w:id="19"/>
    </w:p>
    <w:p w14:paraId="390E9B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eastAsia="zh-CN"/>
        </w:rPr>
        <w:t>办案业务费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通过项目实施，有效保障了甘肃省高级人民法院机关及9个下属法院的业务正常运转</w:t>
      </w:r>
      <w:r>
        <w:rPr>
          <w:rFonts w:hint="eastAsia" w:ascii="仿宋_GB2312" w:hAnsi="仿宋_GB2312" w:eastAsia="仿宋_GB2312" w:cs="仿宋_GB2312"/>
          <w:sz w:val="32"/>
          <w:szCs w:val="32"/>
          <w:highlight w:val="none"/>
        </w:rPr>
        <w:t>。但该项目也</w:t>
      </w:r>
      <w:r>
        <w:rPr>
          <w:rFonts w:hint="eastAsia" w:ascii="仿宋_GB2312" w:hAnsi="仿宋_GB2312" w:eastAsia="仿宋_GB2312" w:cs="仿宋_GB2312"/>
          <w:sz w:val="32"/>
          <w:szCs w:val="32"/>
          <w:highlight w:val="none"/>
          <w:lang w:val="en-US" w:eastAsia="zh-CN"/>
        </w:rPr>
        <w:t>存在项目资金预算执行有待提高、制度执行有效性有待进一步提升、项目绩效管理有待规范等</w:t>
      </w:r>
      <w:r>
        <w:rPr>
          <w:rFonts w:hint="eastAsia" w:ascii="仿宋_GB2312" w:hAnsi="仿宋_GB2312" w:eastAsia="仿宋_GB2312" w:cs="仿宋_GB2312"/>
          <w:sz w:val="32"/>
          <w:szCs w:val="32"/>
          <w:highlight w:val="none"/>
        </w:rPr>
        <w:t>问题。</w:t>
      </w:r>
    </w:p>
    <w:p w14:paraId="24EC95A6">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56" w:lineRule="exact"/>
        <w:ind w:firstLine="640" w:firstLineChars="200"/>
        <w:textAlignment w:val="auto"/>
        <w:rPr>
          <w:rFonts w:ascii="黑体" w:hAnsi="黑体" w:eastAsia="黑体" w:cs="黑体"/>
          <w:b w:val="0"/>
          <w:bCs/>
          <w:color w:val="auto"/>
          <w:sz w:val="32"/>
          <w:szCs w:val="32"/>
          <w:highlight w:val="none"/>
        </w:rPr>
      </w:pPr>
      <w:bookmarkStart w:id="20" w:name="_Toc16038"/>
      <w:bookmarkStart w:id="21" w:name="_Toc26660"/>
      <w:bookmarkStart w:id="22" w:name="_Toc15041"/>
      <w:r>
        <w:rPr>
          <w:rFonts w:hint="eastAsia" w:ascii="黑体" w:hAnsi="黑体" w:eastAsia="黑体" w:cs="黑体"/>
          <w:b w:val="0"/>
          <w:bCs/>
          <w:color w:val="auto"/>
          <w:kern w:val="44"/>
          <w:sz w:val="32"/>
          <w:szCs w:val="32"/>
          <w:highlight w:val="none"/>
          <w:lang w:val="en-US" w:eastAsia="zh-CN" w:bidi="ar-SA"/>
        </w:rPr>
        <w:t>三、</w:t>
      </w:r>
      <w:r>
        <w:rPr>
          <w:rFonts w:hint="eastAsia" w:ascii="黑体" w:hAnsi="黑体" w:eastAsia="黑体" w:cs="黑体"/>
          <w:b w:val="0"/>
          <w:bCs/>
          <w:color w:val="auto"/>
          <w:sz w:val="32"/>
          <w:szCs w:val="32"/>
          <w:highlight w:val="none"/>
        </w:rPr>
        <w:t>存在问题</w:t>
      </w:r>
      <w:bookmarkEnd w:id="20"/>
      <w:bookmarkEnd w:id="21"/>
      <w:bookmarkEnd w:id="22"/>
    </w:p>
    <w:p w14:paraId="518D8DD2">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3" w:name="_Toc32291"/>
      <w:bookmarkStart w:id="24" w:name="_Toc3487"/>
      <w:bookmarkStart w:id="25" w:name="_Toc16290"/>
      <w:bookmarkStart w:id="26" w:name="_Toc16824"/>
      <w:bookmarkStart w:id="27" w:name="_Toc4321"/>
      <w:r>
        <w:rPr>
          <w:rStyle w:val="31"/>
          <w:rFonts w:hint="eastAsia" w:ascii="楷体" w:hAnsi="楷体" w:eastAsia="楷体" w:cs="楷体"/>
          <w:szCs w:val="32"/>
          <w:highlight w:val="none"/>
          <w:lang w:val="en-US" w:eastAsia="zh-CN"/>
        </w:rPr>
        <w:t>（一）项目资金预算执行有待提高</w:t>
      </w:r>
      <w:bookmarkEnd w:id="23"/>
    </w:p>
    <w:p w14:paraId="3B58A0DE">
      <w:pPr>
        <w:widowControl w:val="0"/>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专项资金存在结余。办案业务费项目</w:t>
      </w:r>
      <w:r>
        <w:rPr>
          <w:rFonts w:hint="eastAsia" w:ascii="仿宋_GB2312" w:hAnsi="仿宋_GB2312" w:eastAsia="仿宋_GB2312" w:cs="仿宋_GB2312"/>
          <w:sz w:val="32"/>
          <w:szCs w:val="32"/>
          <w:highlight w:val="none"/>
          <w:lang w:eastAsia="zh-CN"/>
        </w:rPr>
        <w:t>全年预算</w:t>
      </w:r>
      <w:r>
        <w:rPr>
          <w:rFonts w:hint="eastAsia" w:ascii="仿宋_GB2312" w:hAnsi="仿宋_GB2312" w:eastAsia="仿宋_GB2312" w:cs="仿宋_GB2312"/>
          <w:sz w:val="32"/>
          <w:szCs w:val="32"/>
          <w:highlight w:val="none"/>
          <w:lang w:val="en-US" w:eastAsia="zh-CN"/>
        </w:rPr>
        <w:t>数</w:t>
      </w:r>
      <w:r>
        <w:rPr>
          <w:rFonts w:hint="eastAsia" w:ascii="仿宋_GB2312" w:hAnsi="仿宋_GB2312" w:eastAsia="仿宋_GB2312" w:cs="仿宋_GB2312"/>
          <w:sz w:val="32"/>
          <w:szCs w:val="32"/>
          <w:highlight w:val="none"/>
          <w:lang w:eastAsia="zh-CN"/>
        </w:rPr>
        <w:t>4,510.73万元，上年结转资金1,260.73万元，</w:t>
      </w:r>
      <w:r>
        <w:rPr>
          <w:rFonts w:hint="eastAsia" w:ascii="仿宋_GB2312" w:hAnsi="仿宋_GB2312" w:eastAsia="仿宋_GB2312" w:cs="仿宋_GB2312"/>
          <w:sz w:val="32"/>
          <w:szCs w:val="32"/>
          <w:highlight w:val="none"/>
          <w:lang w:val="en-US" w:eastAsia="zh-CN"/>
        </w:rPr>
        <w:t>年末结转结余资金344.02万元。</w:t>
      </w:r>
    </w:p>
    <w:p w14:paraId="043797B4">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8" w:name="_Toc5197"/>
      <w:r>
        <w:rPr>
          <w:rStyle w:val="31"/>
          <w:rFonts w:hint="eastAsia" w:ascii="楷体" w:hAnsi="楷体" w:eastAsia="楷体" w:cs="楷体"/>
          <w:szCs w:val="32"/>
          <w:highlight w:val="none"/>
          <w:lang w:val="en-US" w:eastAsia="zh-CN"/>
        </w:rPr>
        <w:t>（二）</w:t>
      </w:r>
      <w:r>
        <w:rPr>
          <w:rStyle w:val="31"/>
          <w:rFonts w:hint="eastAsia" w:ascii="楷体" w:hAnsi="楷体" w:eastAsia="楷体" w:cs="楷体"/>
          <w:szCs w:val="32"/>
          <w:highlight w:val="none"/>
        </w:rPr>
        <w:t>制度执行有效性</w:t>
      </w:r>
      <w:r>
        <w:rPr>
          <w:rStyle w:val="31"/>
          <w:rFonts w:hint="eastAsia" w:ascii="楷体" w:hAnsi="楷体" w:eastAsia="楷体" w:cs="楷体"/>
          <w:szCs w:val="32"/>
          <w:highlight w:val="none"/>
          <w:lang w:val="en-US" w:eastAsia="zh-CN"/>
        </w:rPr>
        <w:t>有待进一步提升</w:t>
      </w:r>
      <w:bookmarkEnd w:id="28"/>
    </w:p>
    <w:p w14:paraId="549DC657">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经查验</w:t>
      </w:r>
      <w:r>
        <w:rPr>
          <w:rFonts w:hint="eastAsia" w:ascii="仿宋_GB2312" w:hAnsi="仿宋_GB2312" w:eastAsia="仿宋_GB2312" w:cs="仿宋_GB2312"/>
          <w:sz w:val="32"/>
          <w:szCs w:val="32"/>
          <w:highlight w:val="none"/>
          <w:lang w:val="en-US" w:eastAsia="zh-CN"/>
        </w:rPr>
        <w:t>甘肃省高级人民法院办案业务费项目</w:t>
      </w:r>
      <w:r>
        <w:rPr>
          <w:rFonts w:hint="eastAsia" w:ascii="仿宋_GB2312" w:hAnsi="仿宋_GB2312" w:eastAsia="仿宋_GB2312" w:cs="仿宋_GB2312"/>
          <w:kern w:val="2"/>
          <w:sz w:val="32"/>
          <w:szCs w:val="32"/>
          <w:highlight w:val="none"/>
          <w:lang w:val="en-US" w:eastAsia="zh-CN" w:bidi="ar-SA"/>
        </w:rPr>
        <w:t>相关合同协议、会计凭证等资料，履约验收程序有待进一步规范。</w:t>
      </w:r>
    </w:p>
    <w:p w14:paraId="10B80885">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9" w:name="_Toc12176"/>
      <w:r>
        <w:rPr>
          <w:rStyle w:val="31"/>
          <w:rFonts w:hint="eastAsia" w:ascii="楷体" w:hAnsi="楷体" w:eastAsia="楷体" w:cs="楷体"/>
          <w:szCs w:val="32"/>
          <w:highlight w:val="none"/>
        </w:rPr>
        <w:t>（</w:t>
      </w:r>
      <w:r>
        <w:rPr>
          <w:rStyle w:val="31"/>
          <w:rFonts w:hint="eastAsia" w:ascii="楷体" w:hAnsi="楷体" w:eastAsia="楷体" w:cs="楷体"/>
          <w:szCs w:val="32"/>
          <w:highlight w:val="none"/>
          <w:lang w:val="en-US" w:eastAsia="zh-CN"/>
        </w:rPr>
        <w:t>三</w:t>
      </w:r>
      <w:r>
        <w:rPr>
          <w:rStyle w:val="31"/>
          <w:rFonts w:hint="eastAsia" w:ascii="楷体" w:hAnsi="楷体" w:eastAsia="楷体" w:cs="楷体"/>
          <w:szCs w:val="32"/>
          <w:highlight w:val="none"/>
        </w:rPr>
        <w:t>）</w:t>
      </w:r>
      <w:r>
        <w:rPr>
          <w:rStyle w:val="31"/>
          <w:rFonts w:hint="eastAsia" w:ascii="楷体" w:hAnsi="楷体" w:eastAsia="楷体" w:cs="楷体"/>
          <w:szCs w:val="32"/>
          <w:highlight w:val="none"/>
          <w:lang w:val="en-US" w:eastAsia="zh-CN"/>
        </w:rPr>
        <w:t>项目绩效管理有待规范</w:t>
      </w:r>
      <w:bookmarkEnd w:id="24"/>
      <w:bookmarkEnd w:id="29"/>
    </w:p>
    <w:p w14:paraId="5BA8BF28">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经评价组核查甘肃省高级人民法院机关及9家直属法院填报的《办案业务费项目支出绩效自评表》发现，个别法院的绩效自评质量有待提升。</w:t>
      </w:r>
    </w:p>
    <w:bookmarkEnd w:id="25"/>
    <w:bookmarkEnd w:id="26"/>
    <w:bookmarkEnd w:id="27"/>
    <w:p w14:paraId="3B03951A">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56" w:lineRule="exact"/>
        <w:ind w:firstLine="640" w:firstLineChars="200"/>
        <w:textAlignment w:val="auto"/>
        <w:rPr>
          <w:rFonts w:hint="eastAsia" w:ascii="黑体" w:hAnsi="黑体" w:eastAsia="黑体" w:cs="黑体"/>
          <w:b w:val="0"/>
          <w:bCs/>
          <w:color w:val="auto"/>
          <w:sz w:val="32"/>
          <w:szCs w:val="32"/>
          <w:highlight w:val="none"/>
        </w:rPr>
      </w:pPr>
      <w:bookmarkStart w:id="30" w:name="_Toc7706"/>
      <w:bookmarkStart w:id="31" w:name="_Toc2165"/>
      <w:r>
        <w:rPr>
          <w:rFonts w:hint="eastAsia" w:ascii="黑体" w:hAnsi="黑体" w:eastAsia="黑体" w:cs="黑体"/>
          <w:b w:val="0"/>
          <w:bCs/>
          <w:color w:val="auto"/>
          <w:kern w:val="44"/>
          <w:sz w:val="32"/>
          <w:szCs w:val="32"/>
          <w:highlight w:val="none"/>
          <w:lang w:val="en-US" w:eastAsia="zh-CN" w:bidi="ar-SA"/>
        </w:rPr>
        <w:t>四、</w:t>
      </w:r>
      <w:r>
        <w:rPr>
          <w:rFonts w:hint="eastAsia" w:ascii="黑体" w:hAnsi="黑体" w:eastAsia="黑体" w:cs="黑体"/>
          <w:b w:val="0"/>
          <w:bCs/>
          <w:color w:val="auto"/>
          <w:sz w:val="32"/>
          <w:szCs w:val="32"/>
          <w:highlight w:val="none"/>
        </w:rPr>
        <w:t>有关建议</w:t>
      </w:r>
      <w:bookmarkEnd w:id="30"/>
      <w:bookmarkEnd w:id="31"/>
    </w:p>
    <w:p w14:paraId="1FC268DE">
      <w:pPr>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Style w:val="31"/>
          <w:rFonts w:hint="eastAsia" w:ascii="仿宋_GB2312" w:hAnsi="仿宋_GB2312" w:eastAsia="仿宋_GB2312" w:cs="仿宋_GB2312"/>
          <w:b/>
          <w:bCs w:val="0"/>
          <w:szCs w:val="32"/>
          <w:highlight w:val="none"/>
        </w:rPr>
      </w:pPr>
      <w:bookmarkStart w:id="32" w:name="_Toc23903"/>
      <w:bookmarkStart w:id="33" w:name="_Toc29160"/>
      <w:r>
        <w:rPr>
          <w:rStyle w:val="31"/>
          <w:rFonts w:hint="eastAsia" w:ascii="仿宋_GB2312" w:hAnsi="仿宋_GB2312" w:eastAsia="仿宋_GB2312" w:cs="仿宋_GB2312"/>
          <w:b/>
          <w:bCs w:val="0"/>
          <w:szCs w:val="32"/>
          <w:highlight w:val="none"/>
        </w:rPr>
        <w:t>（一）</w:t>
      </w:r>
      <w:bookmarkEnd w:id="32"/>
      <w:r>
        <w:rPr>
          <w:rStyle w:val="39"/>
          <w:rFonts w:hint="eastAsia" w:ascii="楷体" w:hAnsi="楷体" w:eastAsia="楷体" w:cs="楷体"/>
          <w:szCs w:val="32"/>
          <w:highlight w:val="none"/>
        </w:rPr>
        <w:t>优化项目经费安排结构，提高财政资金使用效率</w:t>
      </w:r>
      <w:bookmarkEnd w:id="33"/>
    </w:p>
    <w:p w14:paraId="62CAD0A6">
      <w:pPr>
        <w:pStyle w:val="10"/>
        <w:spacing w:line="560" w:lineRule="exact"/>
        <w:ind w:firstLine="640" w:firstLineChars="200"/>
        <w:jc w:val="both"/>
        <w:rPr>
          <w:rFonts w:hint="eastAsia" w:ascii="仿宋_GB2312" w:hAnsi="仿宋_GB2312" w:eastAsia="仿宋_GB2312" w:cs="仿宋_GB2312"/>
          <w:sz w:val="32"/>
          <w:szCs w:val="32"/>
          <w:highlight w:val="none"/>
          <w:lang w:val="en-US" w:eastAsia="zh-CN"/>
        </w:rPr>
      </w:pPr>
      <w:bookmarkStart w:id="34" w:name="_Toc32753"/>
      <w:r>
        <w:rPr>
          <w:rFonts w:hint="eastAsia" w:ascii="仿宋_GB2312" w:hAnsi="仿宋_GB2312" w:eastAsia="仿宋_GB2312" w:cs="仿宋_GB2312"/>
          <w:sz w:val="32"/>
          <w:szCs w:val="32"/>
          <w:highlight w:val="none"/>
          <w:lang w:val="en-US" w:eastAsia="zh-CN"/>
        </w:rPr>
        <w:t>一是结合往年项目执行和结余情况展开分析研究，提高预算编制的科学性和合理性，优化项目经费安排结构，提高财政资金使用效率。二是严格执行预算。落实预算执行分析，在预算的执行阶段，严格控制每笔支出，并定期监控预算资金使用情况，切实提高部门预算收支管理水平。</w:t>
      </w:r>
    </w:p>
    <w:p w14:paraId="3FBC13BD">
      <w:pPr>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Style w:val="31"/>
          <w:rFonts w:hint="eastAsia" w:ascii="仿宋_GB2312" w:hAnsi="仿宋_GB2312" w:eastAsia="仿宋_GB2312" w:cs="仿宋_GB2312"/>
          <w:b/>
          <w:bCs w:val="0"/>
          <w:szCs w:val="32"/>
          <w:highlight w:val="none"/>
        </w:rPr>
      </w:pPr>
      <w:bookmarkStart w:id="35" w:name="_Toc15513"/>
      <w:r>
        <w:rPr>
          <w:rStyle w:val="31"/>
          <w:rFonts w:hint="eastAsia" w:ascii="仿宋_GB2312" w:hAnsi="仿宋_GB2312" w:eastAsia="仿宋_GB2312" w:cs="仿宋_GB2312"/>
          <w:b/>
          <w:bCs w:val="0"/>
          <w:szCs w:val="32"/>
          <w:highlight w:val="none"/>
        </w:rPr>
        <w:t>（</w:t>
      </w:r>
      <w:r>
        <w:rPr>
          <w:rStyle w:val="31"/>
          <w:rFonts w:hint="eastAsia" w:ascii="仿宋_GB2312" w:hAnsi="仿宋_GB2312" w:eastAsia="仿宋_GB2312" w:cs="仿宋_GB2312"/>
          <w:b/>
          <w:bCs w:val="0"/>
          <w:szCs w:val="32"/>
          <w:highlight w:val="none"/>
          <w:lang w:val="en-US" w:eastAsia="zh-CN"/>
        </w:rPr>
        <w:t>二</w:t>
      </w:r>
      <w:r>
        <w:rPr>
          <w:rStyle w:val="31"/>
          <w:rFonts w:hint="eastAsia" w:ascii="仿宋_GB2312" w:hAnsi="仿宋_GB2312" w:eastAsia="仿宋_GB2312" w:cs="仿宋_GB2312"/>
          <w:b/>
          <w:bCs w:val="0"/>
          <w:szCs w:val="32"/>
          <w:highlight w:val="none"/>
        </w:rPr>
        <w:t>）</w:t>
      </w:r>
      <w:r>
        <w:rPr>
          <w:rStyle w:val="31"/>
          <w:rFonts w:hint="eastAsia" w:ascii="楷体" w:hAnsi="楷体" w:eastAsia="楷体" w:cs="楷体"/>
          <w:szCs w:val="32"/>
          <w:highlight w:val="none"/>
          <w:lang w:val="en-US" w:eastAsia="zh-CN"/>
        </w:rPr>
        <w:t>加强履约验收环节的控制</w:t>
      </w:r>
      <w:bookmarkEnd w:id="35"/>
    </w:p>
    <w:p w14:paraId="48C7BF82">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完善履约验收流程，对</w:t>
      </w:r>
      <w:r>
        <w:rPr>
          <w:rFonts w:hint="eastAsia" w:ascii="仿宋_GB2312" w:hAnsi="仿宋_GB2312" w:eastAsia="仿宋_GB2312" w:cs="仿宋_GB2312"/>
          <w:highlight w:val="none"/>
          <w:lang w:val="en-US" w:eastAsia="zh-CN"/>
        </w:rPr>
        <w:t>是否符合合同约定</w:t>
      </w:r>
      <w:r>
        <w:rPr>
          <w:rFonts w:hint="eastAsia" w:ascii="仿宋_GB2312" w:hAnsi="仿宋_GB2312" w:cs="仿宋_GB2312"/>
          <w:highlight w:val="none"/>
          <w:lang w:val="en-US" w:eastAsia="zh-CN"/>
        </w:rPr>
        <w:t>等进行验收</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并留存纸质验收单，在</w:t>
      </w:r>
      <w:r>
        <w:rPr>
          <w:rFonts w:hint="eastAsia" w:ascii="仿宋_GB2312" w:hAnsi="仿宋_GB2312" w:eastAsia="仿宋_GB2312" w:cs="仿宋_GB2312"/>
          <w:highlight w:val="none"/>
          <w:lang w:val="en-US" w:eastAsia="zh-CN"/>
        </w:rPr>
        <w:t>日常工作中，不断规范履约验收程序，健全运行机制，确保政府采购效果落到实处。</w:t>
      </w:r>
    </w:p>
    <w:p w14:paraId="4D860AB3">
      <w:pPr>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Style w:val="31"/>
          <w:rFonts w:hint="eastAsia" w:ascii="仿宋_GB2312" w:hAnsi="仿宋_GB2312" w:eastAsia="仿宋_GB2312" w:cs="仿宋_GB2312"/>
          <w:b/>
          <w:bCs w:val="0"/>
          <w:szCs w:val="32"/>
          <w:highlight w:val="none"/>
        </w:rPr>
      </w:pPr>
      <w:bookmarkStart w:id="36" w:name="_Toc23834"/>
      <w:r>
        <w:rPr>
          <w:rStyle w:val="31"/>
          <w:rFonts w:hint="eastAsia" w:ascii="仿宋_GB2312" w:hAnsi="仿宋_GB2312" w:eastAsia="仿宋_GB2312" w:cs="仿宋_GB2312"/>
          <w:b/>
          <w:bCs w:val="0"/>
          <w:szCs w:val="32"/>
          <w:highlight w:val="none"/>
        </w:rPr>
        <w:t>（</w:t>
      </w:r>
      <w:r>
        <w:rPr>
          <w:rStyle w:val="31"/>
          <w:rFonts w:hint="eastAsia" w:ascii="仿宋_GB2312" w:hAnsi="仿宋_GB2312" w:eastAsia="仿宋_GB2312" w:cs="仿宋_GB2312"/>
          <w:b/>
          <w:bCs w:val="0"/>
          <w:szCs w:val="32"/>
          <w:highlight w:val="none"/>
          <w:lang w:val="en-US" w:eastAsia="zh-CN"/>
        </w:rPr>
        <w:t>三</w:t>
      </w:r>
      <w:r>
        <w:rPr>
          <w:rStyle w:val="31"/>
          <w:rFonts w:hint="eastAsia" w:ascii="仿宋_GB2312" w:hAnsi="仿宋_GB2312" w:eastAsia="仿宋_GB2312" w:cs="仿宋_GB2312"/>
          <w:b/>
          <w:bCs w:val="0"/>
          <w:szCs w:val="32"/>
          <w:highlight w:val="none"/>
        </w:rPr>
        <w:t>）</w:t>
      </w:r>
      <w:bookmarkEnd w:id="34"/>
      <w:r>
        <w:rPr>
          <w:rStyle w:val="31"/>
          <w:rFonts w:hint="eastAsia" w:ascii="楷体" w:hAnsi="楷体" w:eastAsia="楷体" w:cs="楷体"/>
          <w:szCs w:val="32"/>
          <w:highlight w:val="none"/>
        </w:rPr>
        <w:t>加强绩效管理，提高</w:t>
      </w:r>
      <w:r>
        <w:rPr>
          <w:rStyle w:val="31"/>
          <w:rFonts w:hint="eastAsia" w:ascii="楷体" w:hAnsi="楷体" w:eastAsia="楷体" w:cs="楷体"/>
          <w:szCs w:val="32"/>
          <w:highlight w:val="none"/>
          <w:lang w:val="en-US" w:eastAsia="zh-CN"/>
        </w:rPr>
        <w:t>资金使用效益</w:t>
      </w:r>
      <w:bookmarkEnd w:id="36"/>
    </w:p>
    <w:p w14:paraId="5029CBA8">
      <w:pPr>
        <w:pStyle w:val="10"/>
        <w:spacing w:line="560" w:lineRule="exact"/>
        <w:ind w:firstLine="640" w:firstLineChars="200"/>
        <w:jc w:val="both"/>
        <w:rPr>
          <w:rFonts w:hint="eastAsia" w:ascii="仿宋_GB2312" w:hAnsi="仿宋_GB2312" w:eastAsia="仿宋_GB2312" w:cs="仿宋_GB2312"/>
          <w:sz w:val="32"/>
          <w:szCs w:val="32"/>
          <w:highlight w:val="none"/>
          <w:lang w:val="en-US" w:eastAsia="zh-CN"/>
        </w:rPr>
      </w:pPr>
      <w:bookmarkStart w:id="37" w:name="_Toc1784"/>
      <w:bookmarkStart w:id="38" w:name="_Toc2283"/>
      <w:r>
        <w:rPr>
          <w:rFonts w:hint="eastAsia" w:ascii="仿宋_GB2312" w:hAnsi="仿宋_GB2312" w:eastAsia="仿宋_GB2312" w:cs="仿宋_GB2312"/>
          <w:sz w:val="32"/>
          <w:szCs w:val="32"/>
          <w:highlight w:val="none"/>
          <w:lang w:val="en-US" w:eastAsia="zh-CN"/>
        </w:rPr>
        <w:t>一是建议</w:t>
      </w:r>
      <w:r>
        <w:rPr>
          <w:rFonts w:hint="eastAsia" w:ascii="仿宋_GB2312" w:hAnsi="仿宋_GB2312" w:eastAsia="仿宋_GB2312" w:cs="仿宋_GB2312"/>
          <w:sz w:val="32"/>
          <w:szCs w:val="32"/>
          <w:lang w:val="en-US" w:eastAsia="zh-CN"/>
        </w:rPr>
        <w:t>甘肃省高级人民法院机关及9个直属法院</w:t>
      </w:r>
      <w:r>
        <w:rPr>
          <w:rFonts w:hint="eastAsia" w:ascii="仿宋_GB2312" w:hAnsi="仿宋_GB2312" w:eastAsia="仿宋_GB2312" w:cs="仿宋_GB2312"/>
          <w:sz w:val="32"/>
          <w:szCs w:val="32"/>
          <w:highlight w:val="none"/>
          <w:lang w:val="en-US" w:eastAsia="zh-CN"/>
        </w:rPr>
        <w:t>进行项目申报时，按照《甘肃省省级预算绩效目标管理办法》的要求，根据本年度项目计划内容和上年度工作量填报绩效目标申报表，以更好地反映和考核项目绩效目标与项目实施的相符情况，提高预算管理水平。二是组织开展预算绩效管理相关业务知识和技能培训，从而提高绩效目标编制的水平和质量。三是加强部门自评工作，根据实际情况对项目自评表进行填写，并完善项目自评报告，真实、准确地反映项目实际产出、效益及存在的问题。</w:t>
      </w:r>
    </w:p>
    <w:p w14:paraId="2B8DBF93">
      <w:pPr>
        <w:pStyle w:val="10"/>
        <w:spacing w:line="560" w:lineRule="exact"/>
        <w:ind w:firstLine="640" w:firstLineChars="200"/>
        <w:jc w:val="both"/>
        <w:rPr>
          <w:rFonts w:hint="eastAsia" w:ascii="仿宋_GB2312" w:hAnsi="仿宋_GB2312" w:eastAsia="仿宋_GB2312" w:cs="仿宋_GB2312"/>
          <w:sz w:val="32"/>
          <w:szCs w:val="32"/>
          <w:highlight w:val="none"/>
          <w:lang w:val="en-US" w:eastAsia="zh-CN"/>
        </w:rPr>
        <w:sectPr>
          <w:headerReference r:id="rId9" w:type="first"/>
          <w:footerReference r:id="rId11" w:type="first"/>
          <w:footerReference r:id="rId10" w:type="default"/>
          <w:pgSz w:w="11906" w:h="16838"/>
          <w:pgMar w:top="1440" w:right="1803" w:bottom="1440" w:left="1633" w:header="851" w:footer="992" w:gutter="0"/>
          <w:pgBorders>
            <w:top w:val="none" w:sz="0" w:space="0"/>
            <w:left w:val="none" w:sz="0" w:space="0"/>
            <w:bottom w:val="none" w:sz="0" w:space="0"/>
            <w:right w:val="none" w:sz="0" w:space="0"/>
          </w:pgBorders>
          <w:pgNumType w:start="1"/>
          <w:cols w:space="0" w:num="1"/>
          <w:titlePg/>
          <w:docGrid w:type="lines" w:linePitch="312" w:charSpace="0"/>
        </w:sectPr>
      </w:pPr>
    </w:p>
    <w:p w14:paraId="2B6B9D14">
      <w:pPr>
        <w:overflowPunct w:val="0"/>
        <w:spacing w:line="560" w:lineRule="exact"/>
        <w:jc w:val="center"/>
        <w:outlineLvl w:val="0"/>
        <w:rPr>
          <w:rFonts w:hint="eastAsia" w:ascii="方正小标宋简体" w:hAnsi="宋体" w:eastAsia="方正小标宋简体"/>
          <w:sz w:val="44"/>
          <w:szCs w:val="44"/>
          <w:highlight w:val="none"/>
        </w:rPr>
      </w:pPr>
      <w:bookmarkStart w:id="39" w:name="_Toc2289"/>
      <w:bookmarkStart w:id="40" w:name="_Toc30926"/>
      <w:r>
        <w:rPr>
          <w:rFonts w:hint="eastAsia" w:ascii="方正小标宋简体" w:hAnsi="宋体" w:eastAsia="方正小标宋简体"/>
          <w:sz w:val="44"/>
          <w:szCs w:val="44"/>
          <w:highlight w:val="none"/>
        </w:rPr>
        <w:t>2023年度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bookmarkEnd w:id="39"/>
      <w:bookmarkEnd w:id="40"/>
    </w:p>
    <w:p w14:paraId="5EA542CF">
      <w:pPr>
        <w:overflowPunct w:val="0"/>
        <w:spacing w:line="560" w:lineRule="exact"/>
        <w:jc w:val="center"/>
        <w:outlineLvl w:val="0"/>
        <w:rPr>
          <w:rFonts w:ascii="方正小标宋简体" w:hAnsi="宋体" w:eastAsia="方正小标宋简体"/>
          <w:sz w:val="44"/>
          <w:szCs w:val="44"/>
          <w:highlight w:val="none"/>
        </w:rPr>
      </w:pPr>
      <w:bookmarkStart w:id="41" w:name="_Toc7337"/>
      <w:bookmarkStart w:id="42" w:name="_Toc28988"/>
      <w:r>
        <w:rPr>
          <w:rFonts w:hint="eastAsia" w:ascii="方正小标宋简体" w:hAnsi="宋体" w:eastAsia="方正小标宋简体"/>
          <w:sz w:val="44"/>
          <w:szCs w:val="44"/>
          <w:highlight w:val="none"/>
        </w:rPr>
        <w:t>—</w:t>
      </w:r>
      <w:bookmarkStart w:id="43" w:name="_Toc13609"/>
      <w:r>
        <w:rPr>
          <w:rFonts w:hint="eastAsia" w:ascii="方正小标宋简体" w:hAnsi="宋体" w:eastAsia="方正小标宋简体"/>
          <w:sz w:val="44"/>
          <w:szCs w:val="44"/>
          <w:highlight w:val="none"/>
          <w:lang w:eastAsia="zh-CN"/>
        </w:rPr>
        <w:t>办案业务费</w:t>
      </w:r>
      <w:r>
        <w:rPr>
          <w:rFonts w:hint="eastAsia" w:ascii="方正小标宋简体" w:hAnsi="宋体" w:eastAsia="方正小标宋简体"/>
          <w:sz w:val="44"/>
          <w:szCs w:val="44"/>
          <w:highlight w:val="none"/>
        </w:rPr>
        <w:t>绩效评价报告</w:t>
      </w:r>
      <w:bookmarkEnd w:id="41"/>
      <w:bookmarkEnd w:id="42"/>
      <w:bookmarkEnd w:id="43"/>
    </w:p>
    <w:p w14:paraId="440F2431">
      <w:pPr>
        <w:pStyle w:val="9"/>
        <w:keepNext w:val="0"/>
        <w:keepLines w:val="0"/>
        <w:pageBreakBefore w:val="0"/>
        <w:widowControl w:val="0"/>
        <w:kinsoku/>
        <w:wordWrap/>
        <w:overflowPunct w:val="0"/>
        <w:topLinePunct w:val="0"/>
        <w:autoSpaceDE/>
        <w:autoSpaceDN/>
        <w:bidi w:val="0"/>
        <w:adjustRightInd/>
        <w:snapToGrid/>
        <w:spacing w:before="156" w:beforeLines="50" w:after="156" w:afterLines="50" w:line="560" w:lineRule="exact"/>
        <w:ind w:firstLine="560" w:firstLineChars="200"/>
        <w:jc w:val="right"/>
        <w:textAlignment w:val="auto"/>
        <w:outlineLvl w:val="9"/>
        <w:rPr>
          <w:rFonts w:ascii="黑体" w:eastAsia="黑体"/>
          <w:sz w:val="28"/>
          <w:szCs w:val="28"/>
          <w:highlight w:val="none"/>
        </w:rPr>
      </w:pPr>
      <w:bookmarkStart w:id="44" w:name="_Toc11834"/>
      <w:bookmarkStart w:id="45" w:name="_Toc13825"/>
      <w:bookmarkStart w:id="46" w:name="_Toc26720"/>
      <w:bookmarkStart w:id="47" w:name="_Toc9789"/>
      <w:bookmarkStart w:id="48" w:name="_Toc20544"/>
      <w:bookmarkStart w:id="49" w:name="_Toc28166"/>
      <w:r>
        <w:rPr>
          <w:rFonts w:hint="eastAsia" w:ascii="楷体" w:hAnsi="楷体" w:eastAsia="楷体" w:cs="楷体"/>
          <w:sz w:val="28"/>
          <w:szCs w:val="28"/>
          <w:highlight w:val="none"/>
        </w:rPr>
        <w:t>甘卓诚咨字【202</w:t>
      </w:r>
      <w:r>
        <w:rPr>
          <w:rFonts w:hint="eastAsia" w:ascii="楷体" w:hAnsi="楷体" w:eastAsia="楷体" w:cs="楷体"/>
          <w:sz w:val="28"/>
          <w:szCs w:val="28"/>
          <w:highlight w:val="none"/>
          <w:lang w:val="en-US" w:eastAsia="zh-CN"/>
        </w:rPr>
        <w:t>4</w:t>
      </w:r>
      <w:r>
        <w:rPr>
          <w:rFonts w:hint="eastAsia" w:ascii="楷体" w:hAnsi="楷体" w:eastAsia="楷体" w:cs="楷体"/>
          <w:sz w:val="28"/>
          <w:szCs w:val="28"/>
          <w:highlight w:val="none"/>
        </w:rPr>
        <w:t>】第</w:t>
      </w:r>
      <w:r>
        <w:rPr>
          <w:rFonts w:hint="eastAsia" w:ascii="楷体" w:hAnsi="楷体" w:eastAsia="楷体" w:cs="楷体"/>
          <w:sz w:val="28"/>
          <w:szCs w:val="28"/>
          <w:highlight w:val="none"/>
          <w:lang w:val="en-US" w:eastAsia="zh-CN"/>
        </w:rPr>
        <w:t>195</w:t>
      </w:r>
      <w:r>
        <w:rPr>
          <w:rFonts w:hint="eastAsia" w:ascii="楷体" w:hAnsi="楷体" w:eastAsia="楷体" w:cs="楷体"/>
          <w:sz w:val="28"/>
          <w:szCs w:val="28"/>
          <w:highlight w:val="none"/>
        </w:rPr>
        <w:t>号</w:t>
      </w:r>
      <w:bookmarkEnd w:id="44"/>
      <w:bookmarkEnd w:id="45"/>
      <w:bookmarkEnd w:id="46"/>
      <w:bookmarkEnd w:id="47"/>
      <w:bookmarkEnd w:id="48"/>
    </w:p>
    <w:p w14:paraId="0F0C7528">
      <w:pPr>
        <w:pStyle w:val="9"/>
        <w:overflowPunct w:val="0"/>
        <w:spacing w:line="560" w:lineRule="exact"/>
        <w:ind w:firstLine="640" w:firstLineChars="200"/>
        <w:outlineLvl w:val="0"/>
        <w:rPr>
          <w:rFonts w:ascii="黑体" w:eastAsia="黑体"/>
          <w:b w:val="0"/>
          <w:bCs w:val="0"/>
          <w:highlight w:val="none"/>
        </w:rPr>
      </w:pPr>
      <w:bookmarkStart w:id="50" w:name="_Toc7106"/>
      <w:r>
        <w:rPr>
          <w:rFonts w:hint="eastAsia" w:ascii="黑体" w:eastAsia="黑体"/>
          <w:b w:val="0"/>
          <w:bCs w:val="0"/>
          <w:highlight w:val="none"/>
        </w:rPr>
        <w:t>一、项目基本情况</w:t>
      </w:r>
      <w:bookmarkEnd w:id="37"/>
      <w:bookmarkEnd w:id="38"/>
      <w:bookmarkEnd w:id="49"/>
      <w:bookmarkEnd w:id="50"/>
    </w:p>
    <w:p w14:paraId="666409CB">
      <w:pPr>
        <w:pStyle w:val="9"/>
        <w:overflowPunct w:val="0"/>
        <w:spacing w:line="560" w:lineRule="exact"/>
        <w:ind w:firstLine="643" w:firstLineChars="200"/>
        <w:outlineLvl w:val="1"/>
        <w:rPr>
          <w:rFonts w:ascii="楷体" w:hAnsi="楷体" w:eastAsia="楷体" w:cs="楷体"/>
          <w:b/>
          <w:bCs/>
          <w:highlight w:val="none"/>
        </w:rPr>
      </w:pPr>
      <w:bookmarkStart w:id="51" w:name="_Toc11404"/>
      <w:bookmarkStart w:id="52" w:name="_Toc21843"/>
      <w:bookmarkStart w:id="53" w:name="_Toc15731"/>
      <w:r>
        <w:rPr>
          <w:rFonts w:hint="eastAsia" w:ascii="楷体" w:hAnsi="楷体" w:eastAsia="楷体" w:cs="楷体"/>
          <w:b/>
          <w:bCs/>
          <w:highlight w:val="none"/>
        </w:rPr>
        <w:t>（一）项目立项背景</w:t>
      </w:r>
      <w:bookmarkEnd w:id="51"/>
      <w:bookmarkEnd w:id="52"/>
      <w:bookmarkEnd w:id="53"/>
    </w:p>
    <w:p w14:paraId="35E444AE">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lang w:val="en-US" w:eastAsia="zh-CN"/>
        </w:rPr>
      </w:pPr>
      <w:bookmarkStart w:id="54" w:name="_Toc27159"/>
      <w:bookmarkStart w:id="55" w:name="_Toc10699"/>
      <w:r>
        <w:rPr>
          <w:rFonts w:hint="eastAsia" w:ascii="仿宋_GB2312" w:hAnsi="仿宋_GB2312" w:cs="仿宋_GB2312"/>
          <w:highlight w:val="none"/>
          <w:lang w:val="en-US" w:eastAsia="zh-CN"/>
        </w:rPr>
        <w:t>近年来，全省法院每年办案数量呈现逐年上升趋势，为保障法院各项业务的顺利进行，体现依法治国的重要性及必要性，甘肃省高级人民法院依据《关于法院业务费开支范围的规定》《中央政法委员会关于深化司法体制和工作机制改革若干问题的意见》（中发〔2008〕19号）文件精神，加强政法队伍建设、加强政法经费保障，建立起新型的更加完善的法院经费保障机制，办案经费作为法院办案主要职能的支出资金，确保了法院依法履行职责，保障了法院完成全年各类案件的审判、执行工作。</w:t>
      </w:r>
    </w:p>
    <w:p w14:paraId="5241F4CE">
      <w:pPr>
        <w:pStyle w:val="9"/>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办案业务费是法院支出中最重要的年度经常性项目，主要用于法院案件调查、取证、调解、审判、合议、裁判、再审、终审、执行等办案相关的业务费用。为确保全省法院加强司法保障，审判工作良好运转，提高办案能力和效率，进一步加强社会主义法制建设，特设立此项目。</w:t>
      </w:r>
    </w:p>
    <w:p w14:paraId="32CA61DB">
      <w:pPr>
        <w:pStyle w:val="9"/>
        <w:overflowPunct w:val="0"/>
        <w:spacing w:line="560" w:lineRule="exact"/>
        <w:ind w:firstLine="643" w:firstLineChars="200"/>
        <w:outlineLvl w:val="1"/>
        <w:rPr>
          <w:rFonts w:ascii="楷体" w:hAnsi="楷体" w:eastAsia="楷体" w:cs="楷体"/>
          <w:b/>
          <w:bCs/>
          <w:highlight w:val="none"/>
        </w:rPr>
      </w:pPr>
      <w:bookmarkStart w:id="56" w:name="_Toc7818"/>
      <w:r>
        <w:rPr>
          <w:rFonts w:hint="eastAsia" w:ascii="楷体" w:hAnsi="楷体" w:eastAsia="楷体" w:cs="楷体"/>
          <w:b/>
          <w:bCs/>
          <w:highlight w:val="none"/>
        </w:rPr>
        <w:t>（二）项目预算安排及使用情况</w:t>
      </w:r>
      <w:bookmarkEnd w:id="54"/>
      <w:bookmarkEnd w:id="55"/>
      <w:bookmarkEnd w:id="56"/>
    </w:p>
    <w:p w14:paraId="1A0B2E66">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1.预算安排情况</w:t>
      </w:r>
    </w:p>
    <w:p w14:paraId="574FB1F5">
      <w:pPr>
        <w:widowControl w:val="0"/>
        <w:spacing w:line="560"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2023年甘肃省高级人民法院办案业务费</w:t>
      </w:r>
      <w:r>
        <w:rPr>
          <w:rFonts w:hint="eastAsia" w:ascii="仿宋_GB2312" w:hAnsi="仿宋_GB2312" w:eastAsia="仿宋_GB2312" w:cs="仿宋_GB2312"/>
          <w:sz w:val="32"/>
          <w:szCs w:val="32"/>
          <w:lang w:eastAsia="zh-CN"/>
        </w:rPr>
        <w:t>项目全年预算</w:t>
      </w:r>
      <w:r>
        <w:rPr>
          <w:rFonts w:hint="eastAsia" w:ascii="仿宋_GB2312" w:hAnsi="仿宋_GB2312" w:eastAsia="仿宋_GB2312" w:cs="仿宋_GB2312"/>
          <w:sz w:val="32"/>
          <w:szCs w:val="32"/>
          <w:lang w:val="en-US" w:eastAsia="zh-CN"/>
        </w:rPr>
        <w:t>数</w:t>
      </w:r>
      <w:r>
        <w:rPr>
          <w:rFonts w:hint="eastAsia" w:ascii="仿宋_GB2312" w:hAnsi="仿宋_GB2312" w:eastAsia="仿宋_GB2312" w:cs="仿宋_GB2312"/>
          <w:sz w:val="32"/>
          <w:szCs w:val="32"/>
          <w:lang w:eastAsia="zh-CN"/>
        </w:rPr>
        <w:t>4,510.73万元，</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lang w:eastAsia="zh-CN"/>
        </w:rPr>
        <w:t>上年结转资金1,260.73万元，当年财政拨款3,250.00万元。</w:t>
      </w:r>
    </w:p>
    <w:p w14:paraId="71F44072">
      <w:pPr>
        <w:pStyle w:val="9"/>
        <w:overflowPunct w:val="0"/>
        <w:spacing w:line="560" w:lineRule="exact"/>
        <w:ind w:firstLine="643" w:firstLineChars="200"/>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w:t>
      </w:r>
      <w:r>
        <w:rPr>
          <w:rFonts w:hint="eastAsia" w:ascii="仿宋_GB2312" w:hAnsi="仿宋_GB2312" w:cs="仿宋_GB2312"/>
          <w:b/>
          <w:bCs/>
          <w:color w:val="000000" w:themeColor="text1"/>
          <w:highlight w:val="none"/>
          <w:lang w:val="en-US" w:eastAsia="zh-CN"/>
          <w14:textFill>
            <w14:solidFill>
              <w14:schemeClr w14:val="tx1"/>
            </w14:solidFill>
          </w14:textFill>
        </w:rPr>
        <w:t>资金下达情况</w:t>
      </w:r>
    </w:p>
    <w:p w14:paraId="037751BC">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2"/>
        <w:rPr>
          <w:rFonts w:hint="default"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cs="仿宋_GB2312"/>
          <w:b w:val="0"/>
          <w:bCs w:val="0"/>
          <w:color w:val="000000" w:themeColor="text1"/>
          <w:highlight w:val="none"/>
          <w:lang w:val="en-US" w:eastAsia="zh-CN"/>
          <w14:textFill>
            <w14:solidFill>
              <w14:schemeClr w14:val="tx1"/>
            </w14:solidFill>
          </w14:textFill>
        </w:rPr>
        <w:t>截至2023年12月31日，办案业务费</w:t>
      </w:r>
      <w:r>
        <w:rPr>
          <w:rFonts w:hint="eastAsia" w:ascii="仿宋_GB2312" w:hAnsi="仿宋_GB2312" w:eastAsia="仿宋_GB2312" w:cs="仿宋_GB2312"/>
          <w:sz w:val="32"/>
          <w:szCs w:val="32"/>
          <w:lang w:eastAsia="zh-CN"/>
        </w:rPr>
        <w:t>当年财政拨款3,250.00万元</w:t>
      </w: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年初随部门预算同步下达至</w:t>
      </w:r>
      <w:r>
        <w:rPr>
          <w:rFonts w:hint="eastAsia" w:ascii="仿宋_GB2312" w:hAnsi="仿宋_GB2312" w:eastAsia="仿宋_GB2312" w:cs="仿宋_GB2312"/>
          <w:sz w:val="32"/>
          <w:szCs w:val="32"/>
          <w:lang w:val="en-US" w:eastAsia="zh-CN"/>
        </w:rPr>
        <w:t>甘肃省高级人民法院</w:t>
      </w:r>
      <w:r>
        <w:rPr>
          <w:rFonts w:hint="eastAsia" w:ascii="仿宋_GB2312" w:hAnsi="仿宋_GB2312" w:cs="仿宋_GB2312"/>
          <w:sz w:val="32"/>
          <w:szCs w:val="32"/>
          <w:lang w:val="en-US" w:eastAsia="zh-CN"/>
        </w:rPr>
        <w:t>机关</w:t>
      </w:r>
      <w:r>
        <w:rPr>
          <w:rFonts w:hint="eastAsia" w:ascii="仿宋_GB2312" w:hAnsi="仿宋_GB2312" w:eastAsia="仿宋_GB2312" w:cs="仿宋_GB2312"/>
          <w:sz w:val="32"/>
          <w:szCs w:val="32"/>
          <w:lang w:val="en-US" w:eastAsia="zh-CN"/>
        </w:rPr>
        <w:t>及9个直属法院</w:t>
      </w:r>
      <w:r>
        <w:rPr>
          <w:rFonts w:hint="eastAsia" w:ascii="仿宋_GB2312" w:hAnsi="仿宋_GB2312" w:cs="仿宋_GB2312"/>
          <w:sz w:val="32"/>
          <w:szCs w:val="32"/>
          <w:lang w:val="en-US" w:eastAsia="zh-CN"/>
        </w:rPr>
        <w:t>。</w:t>
      </w:r>
    </w:p>
    <w:p w14:paraId="20487F33">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cs="仿宋_GB2312"/>
          <w:b/>
          <w:bCs/>
          <w:color w:val="000000" w:themeColor="text1"/>
          <w:highlight w:val="none"/>
          <w14:textFill>
            <w14:solidFill>
              <w14:schemeClr w14:val="tx1"/>
            </w14:solidFill>
          </w14:textFill>
        </w:rPr>
        <w:t>资金使用情况</w:t>
      </w:r>
    </w:p>
    <w:p w14:paraId="2B995142">
      <w:pPr>
        <w:pStyle w:val="9"/>
        <w:overflowPunct w:val="0"/>
        <w:spacing w:line="560" w:lineRule="exact"/>
        <w:ind w:firstLine="640" w:firstLineChars="200"/>
        <w:rPr>
          <w:rFonts w:hint="eastAsia" w:ascii="仿宋_GB2312" w:hAnsi="仿宋_GB2312" w:cs="仿宋_GB2312"/>
          <w:highlight w:val="none"/>
          <w:lang w:val="en-US" w:eastAsia="zh-CN"/>
        </w:rPr>
      </w:pPr>
      <w:r>
        <w:rPr>
          <w:rFonts w:hint="eastAsia" w:ascii="仿宋_GB2312" w:hAnsi="仿宋_GB2312" w:cs="仿宋_GB2312"/>
          <w:highlight w:val="none"/>
          <w:lang w:eastAsia="zh-CN"/>
        </w:rPr>
        <w:t>截至2023年</w:t>
      </w:r>
      <w:r>
        <w:rPr>
          <w:rFonts w:hint="eastAsia" w:ascii="仿宋_GB2312" w:hAnsi="仿宋_GB2312" w:cs="仿宋_GB2312"/>
          <w:highlight w:val="none"/>
        </w:rPr>
        <w:t>12月31日，</w:t>
      </w:r>
      <w:r>
        <w:rPr>
          <w:rFonts w:hint="eastAsia" w:ascii="仿宋_GB2312" w:hAnsi="仿宋_GB2312" w:cs="仿宋_GB2312"/>
          <w:highlight w:val="none"/>
          <w:lang w:val="en-US" w:eastAsia="zh-CN"/>
        </w:rPr>
        <w:t>办案业务费</w:t>
      </w:r>
      <w:r>
        <w:rPr>
          <w:rFonts w:hint="eastAsia" w:ascii="仿宋_GB2312" w:hAnsi="仿宋_GB2312" w:cs="仿宋_GB2312"/>
          <w:highlight w:val="none"/>
        </w:rPr>
        <w:t>项目实际支出</w:t>
      </w:r>
      <w:r>
        <w:rPr>
          <w:rFonts w:hint="eastAsia" w:ascii="仿宋_GB2312" w:hAnsi="仿宋_GB2312" w:cs="仿宋_GB2312"/>
          <w:highlight w:val="none"/>
          <w:lang w:val="en-US" w:eastAsia="zh-CN"/>
        </w:rPr>
        <w:t>4,166.71</w:t>
      </w:r>
      <w:r>
        <w:rPr>
          <w:rFonts w:hint="eastAsia" w:ascii="仿宋_GB2312" w:hAnsi="仿宋_GB2312" w:cs="仿宋_GB2312"/>
          <w:highlight w:val="none"/>
        </w:rPr>
        <w:t>万元，预算执行率</w:t>
      </w:r>
      <w:r>
        <w:rPr>
          <w:rFonts w:hint="eastAsia" w:ascii="仿宋_GB2312" w:hAnsi="仿宋_GB2312" w:cs="仿宋_GB2312"/>
          <w:highlight w:val="none"/>
          <w:lang w:val="en-US" w:eastAsia="zh-CN"/>
        </w:rPr>
        <w:t>92.37</w:t>
      </w:r>
      <w:r>
        <w:rPr>
          <w:rFonts w:hint="eastAsia" w:ascii="仿宋_GB2312" w:hAnsi="仿宋_GB2312" w:cs="仿宋_GB2312"/>
          <w:highlight w:val="none"/>
        </w:rPr>
        <w:t>%</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结余资金344.02万元，资金使用明细如下：</w:t>
      </w:r>
    </w:p>
    <w:tbl>
      <w:tblPr>
        <w:tblStyle w:val="20"/>
        <w:tblW w:w="52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071"/>
        <w:gridCol w:w="1350"/>
        <w:gridCol w:w="1142"/>
        <w:gridCol w:w="1254"/>
        <w:gridCol w:w="1405"/>
        <w:gridCol w:w="1382"/>
      </w:tblGrid>
      <w:tr w14:paraId="6F7F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86" w:type="pct"/>
            <w:vMerge w:val="restart"/>
            <w:vAlign w:val="center"/>
          </w:tcPr>
          <w:p w14:paraId="0D69BE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yellow"/>
                <w:vertAlign w:val="baseline"/>
                <w:lang w:val="en-US" w:eastAsia="zh-CN"/>
              </w:rPr>
            </w:pPr>
            <w:bookmarkStart w:id="57" w:name="_Toc32586"/>
            <w:bookmarkStart w:id="58" w:name="_Toc15106"/>
            <w:r>
              <w:rPr>
                <w:rFonts w:hint="eastAsia" w:ascii="宋体" w:hAnsi="宋体" w:eastAsia="宋体" w:cs="宋体"/>
                <w:b/>
                <w:bCs/>
                <w:i w:val="0"/>
                <w:iCs w:val="0"/>
                <w:color w:val="auto"/>
                <w:kern w:val="0"/>
                <w:sz w:val="20"/>
                <w:szCs w:val="20"/>
                <w:u w:val="none"/>
                <w:lang w:val="en-US" w:eastAsia="zh-CN" w:bidi="ar"/>
              </w:rPr>
              <w:t>序号</w:t>
            </w:r>
          </w:p>
        </w:tc>
        <w:tc>
          <w:tcPr>
            <w:tcW w:w="1134" w:type="pct"/>
            <w:vMerge w:val="restart"/>
            <w:vAlign w:val="center"/>
          </w:tcPr>
          <w:p w14:paraId="337239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yellow"/>
                <w:vertAlign w:val="baseline"/>
                <w:lang w:val="en-US" w:eastAsia="zh-CN"/>
              </w:rPr>
            </w:pPr>
            <w:r>
              <w:rPr>
                <w:rFonts w:hint="eastAsia" w:ascii="宋体" w:hAnsi="宋体" w:eastAsia="宋体" w:cs="宋体"/>
                <w:b/>
                <w:bCs/>
                <w:i w:val="0"/>
                <w:iCs w:val="0"/>
                <w:color w:val="auto"/>
                <w:kern w:val="0"/>
                <w:sz w:val="20"/>
                <w:szCs w:val="20"/>
                <w:u w:val="none"/>
                <w:lang w:val="en-US" w:eastAsia="zh-CN" w:bidi="ar"/>
              </w:rPr>
              <w:t>实施单位</w:t>
            </w:r>
          </w:p>
        </w:tc>
        <w:tc>
          <w:tcPr>
            <w:tcW w:w="2052" w:type="pct"/>
            <w:gridSpan w:val="3"/>
            <w:vAlign w:val="center"/>
          </w:tcPr>
          <w:p w14:paraId="30D622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全年预算数（万元）</w:t>
            </w:r>
          </w:p>
        </w:tc>
        <w:tc>
          <w:tcPr>
            <w:tcW w:w="769" w:type="pct"/>
            <w:vMerge w:val="restart"/>
            <w:vAlign w:val="center"/>
          </w:tcPr>
          <w:p w14:paraId="2773FC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全年执行数</w:t>
            </w:r>
          </w:p>
          <w:p w14:paraId="150C5D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（万元）</w:t>
            </w:r>
          </w:p>
        </w:tc>
        <w:tc>
          <w:tcPr>
            <w:tcW w:w="757" w:type="pct"/>
            <w:vMerge w:val="restart"/>
            <w:vAlign w:val="center"/>
          </w:tcPr>
          <w:p w14:paraId="77B5612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预算执行率</w:t>
            </w:r>
          </w:p>
        </w:tc>
      </w:tr>
      <w:tr w14:paraId="010A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Merge w:val="continue"/>
            <w:vAlign w:val="center"/>
          </w:tcPr>
          <w:p w14:paraId="33D58F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0"/>
                <w:szCs w:val="20"/>
                <w:u w:val="none"/>
                <w:lang w:val="en-US" w:eastAsia="zh-CN" w:bidi="ar"/>
              </w:rPr>
            </w:pPr>
          </w:p>
        </w:tc>
        <w:tc>
          <w:tcPr>
            <w:tcW w:w="1134" w:type="pct"/>
            <w:vMerge w:val="continue"/>
            <w:vAlign w:val="center"/>
          </w:tcPr>
          <w:p w14:paraId="5D3134A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0"/>
                <w:szCs w:val="20"/>
                <w:u w:val="none"/>
                <w:lang w:val="en-US" w:eastAsia="zh-CN" w:bidi="ar"/>
              </w:rPr>
            </w:pPr>
          </w:p>
        </w:tc>
        <w:tc>
          <w:tcPr>
            <w:tcW w:w="739" w:type="pct"/>
            <w:vAlign w:val="center"/>
          </w:tcPr>
          <w:p w14:paraId="4F63BF4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结转结余资金</w:t>
            </w:r>
          </w:p>
        </w:tc>
        <w:tc>
          <w:tcPr>
            <w:tcW w:w="625" w:type="pct"/>
            <w:vAlign w:val="center"/>
          </w:tcPr>
          <w:p w14:paraId="798686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当年财政拨款资金</w:t>
            </w:r>
          </w:p>
        </w:tc>
        <w:tc>
          <w:tcPr>
            <w:tcW w:w="686" w:type="pct"/>
            <w:vAlign w:val="center"/>
          </w:tcPr>
          <w:p w14:paraId="36B6B58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none"/>
                <w:vertAlign w:val="baseline"/>
                <w:lang w:val="en-US" w:eastAsia="zh-CN"/>
              </w:rPr>
            </w:pPr>
            <w:r>
              <w:rPr>
                <w:rFonts w:hint="eastAsia" w:ascii="宋体" w:hAnsi="宋体" w:eastAsia="宋体" w:cs="宋体"/>
                <w:b/>
                <w:bCs/>
                <w:color w:val="auto"/>
                <w:sz w:val="20"/>
                <w:szCs w:val="20"/>
                <w:highlight w:val="none"/>
                <w:vertAlign w:val="baseline"/>
                <w:lang w:val="en-US" w:eastAsia="zh-CN"/>
              </w:rPr>
              <w:t>合计金额</w:t>
            </w:r>
          </w:p>
        </w:tc>
        <w:tc>
          <w:tcPr>
            <w:tcW w:w="769" w:type="pct"/>
            <w:vMerge w:val="continue"/>
            <w:vAlign w:val="center"/>
          </w:tcPr>
          <w:p w14:paraId="24A1C15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color w:val="auto"/>
                <w:sz w:val="20"/>
                <w:szCs w:val="20"/>
                <w:highlight w:val="none"/>
                <w:vertAlign w:val="baseline"/>
                <w:lang w:val="en-US" w:eastAsia="zh-CN"/>
              </w:rPr>
            </w:pPr>
          </w:p>
        </w:tc>
        <w:tc>
          <w:tcPr>
            <w:tcW w:w="757" w:type="pct"/>
            <w:vMerge w:val="continue"/>
            <w:vAlign w:val="center"/>
          </w:tcPr>
          <w:p w14:paraId="1AB13E7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0"/>
                <w:szCs w:val="20"/>
                <w:highlight w:val="none"/>
                <w:u w:val="none"/>
                <w:lang w:val="en-US" w:eastAsia="zh-CN" w:bidi="ar"/>
              </w:rPr>
            </w:pPr>
          </w:p>
        </w:tc>
      </w:tr>
      <w:tr w14:paraId="58519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6AE5559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auto"/>
                <w:kern w:val="0"/>
                <w:sz w:val="20"/>
                <w:szCs w:val="20"/>
                <w:u w:val="none"/>
                <w:lang w:val="en-US" w:eastAsia="zh-CN" w:bidi="ar"/>
              </w:rPr>
              <w:t>1</w:t>
            </w:r>
          </w:p>
        </w:tc>
        <w:tc>
          <w:tcPr>
            <w:tcW w:w="1134" w:type="pct"/>
            <w:vAlign w:val="center"/>
          </w:tcPr>
          <w:p w14:paraId="19F22F9D">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甘肃省高级人民法院机关</w:t>
            </w:r>
          </w:p>
        </w:tc>
        <w:tc>
          <w:tcPr>
            <w:tcW w:w="739" w:type="pct"/>
            <w:vAlign w:val="center"/>
          </w:tcPr>
          <w:p w14:paraId="402F064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1,217.70 </w:t>
            </w:r>
          </w:p>
        </w:tc>
        <w:tc>
          <w:tcPr>
            <w:tcW w:w="625" w:type="pct"/>
            <w:vAlign w:val="center"/>
          </w:tcPr>
          <w:p w14:paraId="58F662E4">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2,340.00 </w:t>
            </w:r>
          </w:p>
        </w:tc>
        <w:tc>
          <w:tcPr>
            <w:tcW w:w="686" w:type="pct"/>
            <w:vAlign w:val="center"/>
          </w:tcPr>
          <w:p w14:paraId="1FD5814B">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3,557.70</w:t>
            </w:r>
          </w:p>
        </w:tc>
        <w:tc>
          <w:tcPr>
            <w:tcW w:w="769" w:type="pct"/>
            <w:vAlign w:val="center"/>
          </w:tcPr>
          <w:p w14:paraId="7208CC0B">
            <w:pPr>
              <w:keepNext w:val="0"/>
              <w:keepLines w:val="0"/>
              <w:widowControl/>
              <w:suppressLineNumbers w:val="0"/>
              <w:jc w:val="right"/>
              <w:textAlignment w:val="center"/>
              <w:rPr>
                <w:rFonts w:hint="eastAsia" w:ascii="宋体" w:hAnsi="宋体" w:eastAsia="宋体" w:cs="宋体"/>
                <w:color w:val="auto"/>
                <w:sz w:val="20"/>
                <w:szCs w:val="20"/>
                <w:highlight w:val="none"/>
                <w:vertAlign w:val="baseline"/>
                <w:lang w:val="en-US" w:eastAsia="zh-CN"/>
              </w:rPr>
            </w:pPr>
            <w:r>
              <w:rPr>
                <w:rFonts w:hint="eastAsia" w:ascii="宋体" w:hAnsi="宋体" w:eastAsia="宋体" w:cs="宋体"/>
                <w:i w:val="0"/>
                <w:iCs w:val="0"/>
                <w:color w:val="auto"/>
                <w:kern w:val="0"/>
                <w:sz w:val="20"/>
                <w:szCs w:val="20"/>
                <w:highlight w:val="none"/>
                <w:u w:val="none"/>
                <w:lang w:val="en-US" w:eastAsia="zh-CN" w:bidi="ar"/>
              </w:rPr>
              <w:t xml:space="preserve">3,277.69 </w:t>
            </w:r>
          </w:p>
        </w:tc>
        <w:tc>
          <w:tcPr>
            <w:tcW w:w="757" w:type="pct"/>
            <w:vAlign w:val="center"/>
          </w:tcPr>
          <w:p w14:paraId="6192E323">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92.13%</w:t>
            </w:r>
          </w:p>
        </w:tc>
      </w:tr>
      <w:tr w14:paraId="451EB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1C607F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w:t>
            </w:r>
          </w:p>
        </w:tc>
        <w:tc>
          <w:tcPr>
            <w:tcW w:w="1134" w:type="pct"/>
            <w:vAlign w:val="center"/>
          </w:tcPr>
          <w:p w14:paraId="39BB3971">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甘肃省林区中级人民法院</w:t>
            </w:r>
          </w:p>
        </w:tc>
        <w:tc>
          <w:tcPr>
            <w:tcW w:w="739" w:type="pct"/>
            <w:vAlign w:val="center"/>
          </w:tcPr>
          <w:p w14:paraId="003A033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23.87 </w:t>
            </w:r>
          </w:p>
        </w:tc>
        <w:tc>
          <w:tcPr>
            <w:tcW w:w="625" w:type="pct"/>
            <w:vAlign w:val="center"/>
          </w:tcPr>
          <w:p w14:paraId="7C78D373">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110.00 </w:t>
            </w:r>
          </w:p>
        </w:tc>
        <w:tc>
          <w:tcPr>
            <w:tcW w:w="686" w:type="pct"/>
            <w:vAlign w:val="center"/>
          </w:tcPr>
          <w:p w14:paraId="33754242">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133.87</w:t>
            </w:r>
          </w:p>
        </w:tc>
        <w:tc>
          <w:tcPr>
            <w:tcW w:w="769" w:type="pct"/>
            <w:vAlign w:val="center"/>
          </w:tcPr>
          <w:p w14:paraId="61311FE5">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93.27 </w:t>
            </w:r>
          </w:p>
        </w:tc>
        <w:tc>
          <w:tcPr>
            <w:tcW w:w="757" w:type="pct"/>
            <w:vAlign w:val="center"/>
          </w:tcPr>
          <w:p w14:paraId="5C31832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69.67%</w:t>
            </w:r>
          </w:p>
        </w:tc>
      </w:tr>
      <w:tr w14:paraId="22926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498AC5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1134" w:type="pct"/>
            <w:vAlign w:val="center"/>
          </w:tcPr>
          <w:p w14:paraId="2C916F45">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祁连山林区法院</w:t>
            </w:r>
          </w:p>
        </w:tc>
        <w:tc>
          <w:tcPr>
            <w:tcW w:w="739" w:type="pct"/>
            <w:vAlign w:val="center"/>
          </w:tcPr>
          <w:p w14:paraId="7F598435">
            <w:pPr>
              <w:jc w:val="right"/>
              <w:rPr>
                <w:rFonts w:hint="eastAsia" w:ascii="宋体" w:hAnsi="宋体" w:eastAsia="宋体" w:cs="宋体"/>
                <w:i w:val="0"/>
                <w:iCs w:val="0"/>
                <w:color w:val="000000"/>
                <w:kern w:val="0"/>
                <w:sz w:val="20"/>
                <w:szCs w:val="20"/>
                <w:u w:val="none"/>
                <w:lang w:val="en-US" w:eastAsia="zh-CN" w:bidi="ar"/>
              </w:rPr>
            </w:pPr>
          </w:p>
        </w:tc>
        <w:tc>
          <w:tcPr>
            <w:tcW w:w="625" w:type="pct"/>
            <w:vAlign w:val="center"/>
          </w:tcPr>
          <w:p w14:paraId="75E8D9FD">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80.00 </w:t>
            </w:r>
          </w:p>
        </w:tc>
        <w:tc>
          <w:tcPr>
            <w:tcW w:w="686" w:type="pct"/>
            <w:vAlign w:val="center"/>
          </w:tcPr>
          <w:p w14:paraId="623957D2">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80.00</w:t>
            </w:r>
          </w:p>
        </w:tc>
        <w:tc>
          <w:tcPr>
            <w:tcW w:w="769" w:type="pct"/>
            <w:vAlign w:val="center"/>
          </w:tcPr>
          <w:p w14:paraId="1194F186">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73.72 </w:t>
            </w:r>
          </w:p>
        </w:tc>
        <w:tc>
          <w:tcPr>
            <w:tcW w:w="757" w:type="pct"/>
            <w:vAlign w:val="center"/>
          </w:tcPr>
          <w:p w14:paraId="595C7C38">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92.15%</w:t>
            </w:r>
          </w:p>
        </w:tc>
      </w:tr>
      <w:tr w14:paraId="69C82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61838E1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4</w:t>
            </w:r>
          </w:p>
        </w:tc>
        <w:tc>
          <w:tcPr>
            <w:tcW w:w="1134" w:type="pct"/>
            <w:vAlign w:val="center"/>
          </w:tcPr>
          <w:p w14:paraId="7D07F074">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小陇山林区法院</w:t>
            </w:r>
          </w:p>
        </w:tc>
        <w:tc>
          <w:tcPr>
            <w:tcW w:w="739" w:type="pct"/>
            <w:vAlign w:val="center"/>
          </w:tcPr>
          <w:p w14:paraId="5C3F65C8">
            <w:pPr>
              <w:jc w:val="right"/>
              <w:rPr>
                <w:rFonts w:hint="eastAsia" w:ascii="宋体" w:hAnsi="宋体" w:eastAsia="宋体" w:cs="宋体"/>
                <w:i w:val="0"/>
                <w:iCs w:val="0"/>
                <w:color w:val="000000"/>
                <w:kern w:val="0"/>
                <w:sz w:val="20"/>
                <w:szCs w:val="20"/>
                <w:u w:val="none"/>
                <w:lang w:val="en-US" w:eastAsia="zh-CN" w:bidi="ar"/>
              </w:rPr>
            </w:pPr>
          </w:p>
        </w:tc>
        <w:tc>
          <w:tcPr>
            <w:tcW w:w="625" w:type="pct"/>
            <w:vAlign w:val="center"/>
          </w:tcPr>
          <w:p w14:paraId="46E18D7D">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80.00 </w:t>
            </w:r>
          </w:p>
        </w:tc>
        <w:tc>
          <w:tcPr>
            <w:tcW w:w="686" w:type="pct"/>
            <w:vAlign w:val="center"/>
          </w:tcPr>
          <w:p w14:paraId="6527197B">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80.00</w:t>
            </w:r>
          </w:p>
        </w:tc>
        <w:tc>
          <w:tcPr>
            <w:tcW w:w="769" w:type="pct"/>
            <w:vAlign w:val="center"/>
          </w:tcPr>
          <w:p w14:paraId="5B6C4505">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80.00 </w:t>
            </w:r>
          </w:p>
        </w:tc>
        <w:tc>
          <w:tcPr>
            <w:tcW w:w="757" w:type="pct"/>
            <w:vAlign w:val="center"/>
          </w:tcPr>
          <w:p w14:paraId="07F7CF0C">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F9A1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166CFC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134" w:type="pct"/>
            <w:vAlign w:val="center"/>
          </w:tcPr>
          <w:p w14:paraId="4742AE50">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白龙江林区法院</w:t>
            </w:r>
          </w:p>
        </w:tc>
        <w:tc>
          <w:tcPr>
            <w:tcW w:w="739" w:type="pct"/>
            <w:vAlign w:val="center"/>
          </w:tcPr>
          <w:p w14:paraId="7C58932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8.52 </w:t>
            </w:r>
          </w:p>
        </w:tc>
        <w:tc>
          <w:tcPr>
            <w:tcW w:w="625" w:type="pct"/>
            <w:vAlign w:val="center"/>
          </w:tcPr>
          <w:p w14:paraId="630F541C">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80.00 </w:t>
            </w:r>
          </w:p>
        </w:tc>
        <w:tc>
          <w:tcPr>
            <w:tcW w:w="686" w:type="pct"/>
            <w:vAlign w:val="center"/>
          </w:tcPr>
          <w:p w14:paraId="566F9E35">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88.52</w:t>
            </w:r>
          </w:p>
        </w:tc>
        <w:tc>
          <w:tcPr>
            <w:tcW w:w="769" w:type="pct"/>
            <w:vAlign w:val="center"/>
          </w:tcPr>
          <w:p w14:paraId="6DE506CC">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79.95 </w:t>
            </w:r>
          </w:p>
        </w:tc>
        <w:tc>
          <w:tcPr>
            <w:tcW w:w="757" w:type="pct"/>
            <w:vAlign w:val="center"/>
          </w:tcPr>
          <w:p w14:paraId="2953A44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90.32%</w:t>
            </w:r>
          </w:p>
        </w:tc>
      </w:tr>
      <w:tr w14:paraId="72C4C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08C998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6</w:t>
            </w:r>
          </w:p>
        </w:tc>
        <w:tc>
          <w:tcPr>
            <w:tcW w:w="1134" w:type="pct"/>
            <w:vAlign w:val="center"/>
          </w:tcPr>
          <w:p w14:paraId="01C963A5">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洮河林区法院</w:t>
            </w:r>
          </w:p>
        </w:tc>
        <w:tc>
          <w:tcPr>
            <w:tcW w:w="739" w:type="pct"/>
            <w:vAlign w:val="center"/>
          </w:tcPr>
          <w:p w14:paraId="2DFC0AB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5.94 </w:t>
            </w:r>
          </w:p>
        </w:tc>
        <w:tc>
          <w:tcPr>
            <w:tcW w:w="625" w:type="pct"/>
            <w:vAlign w:val="center"/>
          </w:tcPr>
          <w:p w14:paraId="3F35D3F3">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80.00 </w:t>
            </w:r>
          </w:p>
        </w:tc>
        <w:tc>
          <w:tcPr>
            <w:tcW w:w="686" w:type="pct"/>
            <w:vAlign w:val="center"/>
          </w:tcPr>
          <w:p w14:paraId="04BF7EC4">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85.94</w:t>
            </w:r>
          </w:p>
        </w:tc>
        <w:tc>
          <w:tcPr>
            <w:tcW w:w="769" w:type="pct"/>
            <w:vAlign w:val="center"/>
          </w:tcPr>
          <w:p w14:paraId="2BB1DDEF">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85.94 </w:t>
            </w:r>
          </w:p>
        </w:tc>
        <w:tc>
          <w:tcPr>
            <w:tcW w:w="757" w:type="pct"/>
            <w:vAlign w:val="center"/>
          </w:tcPr>
          <w:p w14:paraId="4C9879E4">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8E61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6ECAFC6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7</w:t>
            </w:r>
          </w:p>
        </w:tc>
        <w:tc>
          <w:tcPr>
            <w:tcW w:w="1134" w:type="pct"/>
            <w:vAlign w:val="center"/>
          </w:tcPr>
          <w:p w14:paraId="0A83DECC">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甘肃矿区人民法院</w:t>
            </w:r>
          </w:p>
        </w:tc>
        <w:tc>
          <w:tcPr>
            <w:tcW w:w="739" w:type="pct"/>
            <w:vAlign w:val="center"/>
          </w:tcPr>
          <w:p w14:paraId="385F5234">
            <w:pPr>
              <w:jc w:val="right"/>
              <w:rPr>
                <w:rFonts w:hint="eastAsia" w:ascii="宋体" w:hAnsi="宋体" w:eastAsia="宋体" w:cs="宋体"/>
                <w:i w:val="0"/>
                <w:iCs w:val="0"/>
                <w:color w:val="000000"/>
                <w:kern w:val="0"/>
                <w:sz w:val="20"/>
                <w:szCs w:val="20"/>
                <w:u w:val="none"/>
                <w:lang w:val="en-US" w:eastAsia="zh-CN" w:bidi="ar"/>
              </w:rPr>
            </w:pPr>
          </w:p>
        </w:tc>
        <w:tc>
          <w:tcPr>
            <w:tcW w:w="625" w:type="pct"/>
            <w:vAlign w:val="center"/>
          </w:tcPr>
          <w:p w14:paraId="04BE0192">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100.00 </w:t>
            </w:r>
          </w:p>
        </w:tc>
        <w:tc>
          <w:tcPr>
            <w:tcW w:w="686" w:type="pct"/>
            <w:vAlign w:val="center"/>
          </w:tcPr>
          <w:p w14:paraId="5100C22A">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100.00</w:t>
            </w:r>
          </w:p>
        </w:tc>
        <w:tc>
          <w:tcPr>
            <w:tcW w:w="769" w:type="pct"/>
            <w:vAlign w:val="center"/>
          </w:tcPr>
          <w:p w14:paraId="1A96051C">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91.44 </w:t>
            </w:r>
          </w:p>
        </w:tc>
        <w:tc>
          <w:tcPr>
            <w:tcW w:w="757" w:type="pct"/>
            <w:vAlign w:val="center"/>
          </w:tcPr>
          <w:p w14:paraId="3E76E56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91.44%</w:t>
            </w:r>
          </w:p>
        </w:tc>
      </w:tr>
      <w:tr w14:paraId="2949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680C9C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8</w:t>
            </w:r>
          </w:p>
        </w:tc>
        <w:tc>
          <w:tcPr>
            <w:tcW w:w="1134" w:type="pct"/>
            <w:vAlign w:val="center"/>
          </w:tcPr>
          <w:p w14:paraId="2C893B9E">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兰州铁路运输中级人民法院</w:t>
            </w:r>
          </w:p>
        </w:tc>
        <w:tc>
          <w:tcPr>
            <w:tcW w:w="739" w:type="pct"/>
            <w:vAlign w:val="center"/>
          </w:tcPr>
          <w:p w14:paraId="2E85F6F5">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4.67 </w:t>
            </w:r>
          </w:p>
        </w:tc>
        <w:tc>
          <w:tcPr>
            <w:tcW w:w="625" w:type="pct"/>
            <w:vAlign w:val="center"/>
          </w:tcPr>
          <w:p w14:paraId="225491E8">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190.00 </w:t>
            </w:r>
          </w:p>
        </w:tc>
        <w:tc>
          <w:tcPr>
            <w:tcW w:w="686" w:type="pct"/>
            <w:vAlign w:val="center"/>
          </w:tcPr>
          <w:p w14:paraId="2116BEF6">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194.67</w:t>
            </w:r>
          </w:p>
        </w:tc>
        <w:tc>
          <w:tcPr>
            <w:tcW w:w="769" w:type="pct"/>
            <w:vAlign w:val="center"/>
          </w:tcPr>
          <w:p w14:paraId="3111A33A">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194.67 </w:t>
            </w:r>
          </w:p>
        </w:tc>
        <w:tc>
          <w:tcPr>
            <w:tcW w:w="757" w:type="pct"/>
            <w:vAlign w:val="center"/>
          </w:tcPr>
          <w:p w14:paraId="2682A113">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E02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323E43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w:t>
            </w:r>
          </w:p>
        </w:tc>
        <w:tc>
          <w:tcPr>
            <w:tcW w:w="1134" w:type="pct"/>
            <w:vAlign w:val="center"/>
          </w:tcPr>
          <w:p w14:paraId="539B2D75">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兰州铁路运输法院</w:t>
            </w:r>
          </w:p>
        </w:tc>
        <w:tc>
          <w:tcPr>
            <w:tcW w:w="739" w:type="pct"/>
            <w:vAlign w:val="center"/>
          </w:tcPr>
          <w:p w14:paraId="70D72952">
            <w:pPr>
              <w:jc w:val="right"/>
              <w:rPr>
                <w:rFonts w:hint="eastAsia" w:ascii="宋体" w:hAnsi="宋体" w:eastAsia="宋体" w:cs="宋体"/>
                <w:i w:val="0"/>
                <w:iCs w:val="0"/>
                <w:color w:val="000000"/>
                <w:kern w:val="0"/>
                <w:sz w:val="20"/>
                <w:szCs w:val="20"/>
                <w:u w:val="none"/>
                <w:lang w:val="en-US" w:eastAsia="zh-CN" w:bidi="ar"/>
              </w:rPr>
            </w:pPr>
          </w:p>
        </w:tc>
        <w:tc>
          <w:tcPr>
            <w:tcW w:w="625" w:type="pct"/>
            <w:vAlign w:val="center"/>
          </w:tcPr>
          <w:p w14:paraId="42C451FA">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100.00 </w:t>
            </w:r>
          </w:p>
        </w:tc>
        <w:tc>
          <w:tcPr>
            <w:tcW w:w="686" w:type="pct"/>
            <w:vAlign w:val="center"/>
          </w:tcPr>
          <w:p w14:paraId="1A142116">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100.00</w:t>
            </w:r>
          </w:p>
        </w:tc>
        <w:tc>
          <w:tcPr>
            <w:tcW w:w="769" w:type="pct"/>
            <w:vAlign w:val="center"/>
          </w:tcPr>
          <w:p w14:paraId="4F810BA0">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100.00 </w:t>
            </w:r>
          </w:p>
        </w:tc>
        <w:tc>
          <w:tcPr>
            <w:tcW w:w="757" w:type="pct"/>
            <w:vAlign w:val="center"/>
          </w:tcPr>
          <w:p w14:paraId="709829B1">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430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6" w:type="pct"/>
            <w:vAlign w:val="center"/>
          </w:tcPr>
          <w:p w14:paraId="20D0D50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w:t>
            </w:r>
          </w:p>
        </w:tc>
        <w:tc>
          <w:tcPr>
            <w:tcW w:w="1134" w:type="pct"/>
            <w:vAlign w:val="center"/>
          </w:tcPr>
          <w:p w14:paraId="2A541103">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武威铁路运输法院</w:t>
            </w:r>
          </w:p>
        </w:tc>
        <w:tc>
          <w:tcPr>
            <w:tcW w:w="739" w:type="pct"/>
            <w:vAlign w:val="center"/>
          </w:tcPr>
          <w:p w14:paraId="33E0C2DA">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0.03 </w:t>
            </w:r>
          </w:p>
        </w:tc>
        <w:tc>
          <w:tcPr>
            <w:tcW w:w="625" w:type="pct"/>
            <w:vAlign w:val="center"/>
          </w:tcPr>
          <w:p w14:paraId="5F60C7F3">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 90.00 </w:t>
            </w:r>
          </w:p>
        </w:tc>
        <w:tc>
          <w:tcPr>
            <w:tcW w:w="686" w:type="pct"/>
            <w:vAlign w:val="center"/>
          </w:tcPr>
          <w:p w14:paraId="51C54EEF">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90.03</w:t>
            </w:r>
          </w:p>
        </w:tc>
        <w:tc>
          <w:tcPr>
            <w:tcW w:w="769" w:type="pct"/>
            <w:vAlign w:val="center"/>
          </w:tcPr>
          <w:p w14:paraId="5C952591">
            <w:pPr>
              <w:keepNext w:val="0"/>
              <w:keepLines w:val="0"/>
              <w:widowControl/>
              <w:suppressLineNumbers w:val="0"/>
              <w:jc w:val="righ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90.03 </w:t>
            </w:r>
          </w:p>
        </w:tc>
        <w:tc>
          <w:tcPr>
            <w:tcW w:w="757" w:type="pct"/>
            <w:vAlign w:val="center"/>
          </w:tcPr>
          <w:p w14:paraId="035245BF">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1D8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1" w:type="pct"/>
            <w:gridSpan w:val="2"/>
            <w:vAlign w:val="center"/>
          </w:tcPr>
          <w:p w14:paraId="0EB21C8E">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b/>
                <w:bCs/>
                <w:color w:val="auto"/>
                <w:sz w:val="20"/>
                <w:szCs w:val="20"/>
                <w:highlight w:val="yellow"/>
                <w:vertAlign w:val="baseline"/>
                <w:lang w:val="en-US" w:eastAsia="zh-CN"/>
              </w:rPr>
            </w:pPr>
            <w:r>
              <w:rPr>
                <w:rFonts w:hint="eastAsia" w:ascii="宋体" w:hAnsi="宋体" w:eastAsia="宋体" w:cs="宋体"/>
                <w:b/>
                <w:bCs/>
                <w:color w:val="auto"/>
                <w:sz w:val="20"/>
                <w:szCs w:val="20"/>
                <w:highlight w:val="none"/>
                <w:vertAlign w:val="baseline"/>
                <w:lang w:val="en-US" w:eastAsia="zh-CN"/>
              </w:rPr>
              <w:t>合计</w:t>
            </w:r>
          </w:p>
        </w:tc>
        <w:tc>
          <w:tcPr>
            <w:tcW w:w="739" w:type="pct"/>
            <w:vAlign w:val="center"/>
          </w:tcPr>
          <w:p w14:paraId="309F0E42">
            <w:pPr>
              <w:keepNext w:val="0"/>
              <w:keepLines w:val="0"/>
              <w:widowControl/>
              <w:suppressLineNumbers w:val="0"/>
              <w:jc w:val="center"/>
              <w:textAlignment w:val="center"/>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1,260.73</w:t>
            </w:r>
          </w:p>
        </w:tc>
        <w:tc>
          <w:tcPr>
            <w:tcW w:w="625" w:type="pct"/>
            <w:vAlign w:val="center"/>
          </w:tcPr>
          <w:p w14:paraId="4746771F">
            <w:pPr>
              <w:keepNext w:val="0"/>
              <w:keepLines w:val="0"/>
              <w:widowControl/>
              <w:suppressLineNumbers w:val="0"/>
              <w:jc w:val="right"/>
              <w:textAlignment w:val="center"/>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3,250.00</w:t>
            </w:r>
          </w:p>
        </w:tc>
        <w:tc>
          <w:tcPr>
            <w:tcW w:w="686" w:type="pct"/>
            <w:vAlign w:val="center"/>
          </w:tcPr>
          <w:p w14:paraId="38B0241C">
            <w:pPr>
              <w:keepNext w:val="0"/>
              <w:keepLines w:val="0"/>
              <w:widowControl/>
              <w:suppressLineNumbers w:val="0"/>
              <w:jc w:val="center"/>
              <w:textAlignment w:val="center"/>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 xml:space="preserve"> 4,510.73 </w:t>
            </w:r>
          </w:p>
        </w:tc>
        <w:tc>
          <w:tcPr>
            <w:tcW w:w="769" w:type="pct"/>
            <w:vAlign w:val="center"/>
          </w:tcPr>
          <w:p w14:paraId="43029C65">
            <w:pPr>
              <w:keepNext w:val="0"/>
              <w:keepLines w:val="0"/>
              <w:widowControl/>
              <w:suppressLineNumbers w:val="0"/>
              <w:jc w:val="right"/>
              <w:textAlignment w:val="center"/>
              <w:rPr>
                <w:rFonts w:hint="eastAsia" w:ascii="宋体" w:hAnsi="宋体" w:eastAsia="宋体" w:cs="宋体"/>
                <w:b/>
                <w:bCs/>
                <w:i w:val="0"/>
                <w:iCs w:val="0"/>
                <w:color w:val="auto"/>
                <w:kern w:val="2"/>
                <w:sz w:val="20"/>
                <w:szCs w:val="20"/>
                <w:u w:val="none"/>
                <w:lang w:val="en-US" w:eastAsia="zh-CN" w:bidi="ar-SA"/>
              </w:rPr>
            </w:pPr>
            <w:r>
              <w:rPr>
                <w:rFonts w:hint="eastAsia" w:ascii="宋体" w:hAnsi="宋体" w:eastAsia="宋体" w:cs="宋体"/>
                <w:b/>
                <w:bCs/>
                <w:i w:val="0"/>
                <w:iCs w:val="0"/>
                <w:color w:val="auto"/>
                <w:kern w:val="0"/>
                <w:sz w:val="20"/>
                <w:szCs w:val="20"/>
                <w:u w:val="none"/>
                <w:lang w:val="en-US" w:eastAsia="zh-CN" w:bidi="ar"/>
              </w:rPr>
              <w:t xml:space="preserve">4,166.71 </w:t>
            </w:r>
          </w:p>
        </w:tc>
        <w:tc>
          <w:tcPr>
            <w:tcW w:w="757" w:type="pct"/>
            <w:vAlign w:val="center"/>
          </w:tcPr>
          <w:p w14:paraId="7268FC37">
            <w:pPr>
              <w:keepNext w:val="0"/>
              <w:keepLines w:val="0"/>
              <w:widowControl/>
              <w:suppressLineNumbers w:val="0"/>
              <w:jc w:val="right"/>
              <w:textAlignment w:val="center"/>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92.37</w:t>
            </w:r>
            <w:r>
              <w:rPr>
                <w:rFonts w:hint="eastAsia" w:ascii="宋体" w:hAnsi="宋体" w:eastAsia="宋体" w:cs="宋体"/>
                <w:i w:val="0"/>
                <w:iCs w:val="0"/>
                <w:color w:val="000000"/>
                <w:kern w:val="0"/>
                <w:sz w:val="20"/>
                <w:szCs w:val="20"/>
                <w:u w:val="none"/>
                <w:lang w:val="en-US" w:eastAsia="zh-CN" w:bidi="ar"/>
              </w:rPr>
              <w:t>%</w:t>
            </w:r>
          </w:p>
        </w:tc>
      </w:tr>
    </w:tbl>
    <w:p w14:paraId="40C3604B">
      <w:pPr>
        <w:pStyle w:val="9"/>
        <w:overflowPunct w:val="0"/>
        <w:spacing w:line="560" w:lineRule="exact"/>
        <w:ind w:firstLine="643" w:firstLineChars="200"/>
        <w:outlineLvl w:val="1"/>
        <w:rPr>
          <w:rFonts w:ascii="楷体" w:hAnsi="楷体" w:eastAsia="楷体" w:cs="楷体"/>
          <w:b/>
          <w:bCs/>
          <w:highlight w:val="none"/>
        </w:rPr>
      </w:pPr>
      <w:bookmarkStart w:id="59" w:name="_Toc27379"/>
      <w:r>
        <w:rPr>
          <w:rFonts w:hint="eastAsia" w:ascii="楷体" w:hAnsi="楷体" w:eastAsia="楷体" w:cs="楷体"/>
          <w:b/>
          <w:bCs/>
          <w:highlight w:val="none"/>
        </w:rPr>
        <w:t>（三）项目计划内容及实施情况</w:t>
      </w:r>
      <w:bookmarkEnd w:id="57"/>
      <w:bookmarkEnd w:id="58"/>
      <w:bookmarkEnd w:id="59"/>
    </w:p>
    <w:p w14:paraId="2BA782FC">
      <w:pPr>
        <w:pStyle w:val="9"/>
        <w:overflowPunct w:val="0"/>
        <w:spacing w:line="560" w:lineRule="exact"/>
        <w:ind w:firstLine="643" w:firstLineChars="200"/>
        <w:outlineLvl w:val="2"/>
        <w:rPr>
          <w:rFonts w:hint="eastAsia" w:ascii="仿宋_GB2312" w:hAnsi="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1.项目实施范围</w:t>
      </w:r>
    </w:p>
    <w:p w14:paraId="0FA8E760">
      <w:pPr>
        <w:pStyle w:val="9"/>
        <w:overflowPunct w:val="0"/>
        <w:spacing w:line="560" w:lineRule="exact"/>
        <w:ind w:firstLine="640" w:firstLineChars="200"/>
        <w:outlineLvl w:val="2"/>
        <w:rPr>
          <w:rFonts w:hint="eastAsia" w:ascii="仿宋_GB2312" w:hAnsi="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202</w:t>
      </w:r>
      <w:r>
        <w:rPr>
          <w:rFonts w:hint="eastAsia" w:ascii="仿宋_GB2312" w:hAnsi="仿宋_GB2312" w:cs="仿宋_GB2312"/>
          <w:kern w:val="2"/>
          <w:sz w:val="32"/>
          <w:szCs w:val="32"/>
          <w:highlight w:val="none"/>
          <w:lang w:val="en-US" w:eastAsia="zh-CN" w:bidi="ar-SA"/>
        </w:rPr>
        <w:t>3</w:t>
      </w:r>
      <w:r>
        <w:rPr>
          <w:rFonts w:hint="default" w:ascii="仿宋_GB2312" w:hAnsi="仿宋_GB2312" w:eastAsia="仿宋_GB2312" w:cs="仿宋_GB2312"/>
          <w:kern w:val="2"/>
          <w:sz w:val="32"/>
          <w:szCs w:val="32"/>
          <w:highlight w:val="none"/>
          <w:lang w:val="en-US" w:eastAsia="zh-CN" w:bidi="ar-SA"/>
        </w:rPr>
        <w:t>年度办案业务费项目为甘肃省高级人民法院经常性专项业务费。该项目申报时的计划实施起止日期为202</w:t>
      </w:r>
      <w:r>
        <w:rPr>
          <w:rFonts w:hint="eastAsia" w:ascii="仿宋_GB2312" w:hAnsi="仿宋_GB2312" w:cs="仿宋_GB2312"/>
          <w:kern w:val="2"/>
          <w:sz w:val="32"/>
          <w:szCs w:val="32"/>
          <w:highlight w:val="none"/>
          <w:lang w:val="en-US" w:eastAsia="zh-CN" w:bidi="ar-SA"/>
        </w:rPr>
        <w:t>3</w:t>
      </w:r>
      <w:r>
        <w:rPr>
          <w:rFonts w:hint="default" w:ascii="仿宋_GB2312" w:hAnsi="仿宋_GB2312" w:eastAsia="仿宋_GB2312" w:cs="仿宋_GB2312"/>
          <w:kern w:val="2"/>
          <w:sz w:val="32"/>
          <w:szCs w:val="32"/>
          <w:highlight w:val="none"/>
          <w:lang w:val="en-US" w:eastAsia="zh-CN" w:bidi="ar-SA"/>
        </w:rPr>
        <w:t>年1月至202</w:t>
      </w:r>
      <w:r>
        <w:rPr>
          <w:rFonts w:hint="eastAsia" w:ascii="仿宋_GB2312" w:hAnsi="仿宋_GB2312" w:cs="仿宋_GB2312"/>
          <w:kern w:val="2"/>
          <w:sz w:val="32"/>
          <w:szCs w:val="32"/>
          <w:highlight w:val="none"/>
          <w:lang w:val="en-US" w:eastAsia="zh-CN" w:bidi="ar-SA"/>
        </w:rPr>
        <w:t>3</w:t>
      </w:r>
      <w:r>
        <w:rPr>
          <w:rFonts w:hint="default" w:ascii="仿宋_GB2312" w:hAnsi="仿宋_GB2312" w:eastAsia="仿宋_GB2312" w:cs="仿宋_GB2312"/>
          <w:kern w:val="2"/>
          <w:sz w:val="32"/>
          <w:szCs w:val="32"/>
          <w:highlight w:val="none"/>
          <w:lang w:val="en-US" w:eastAsia="zh-CN" w:bidi="ar-SA"/>
        </w:rPr>
        <w:t>年12月。根据《最高人民法院 财政部关于法院业务费开支范围的规定的通知》（法司发〔1985〕23号）的要求，人民法院业务经费开支范围见下表</w:t>
      </w:r>
      <w:r>
        <w:rPr>
          <w:rFonts w:hint="eastAsia" w:ascii="仿宋_GB2312" w:hAnsi="仿宋_GB2312" w:cs="仿宋_GB2312"/>
          <w:kern w:val="2"/>
          <w:sz w:val="32"/>
          <w:szCs w:val="32"/>
          <w:highlight w:val="none"/>
          <w:lang w:val="en-US" w:eastAsia="zh-CN" w:bidi="ar-SA"/>
        </w:rPr>
        <w:t>：</w:t>
      </w:r>
    </w:p>
    <w:tbl>
      <w:tblPr>
        <w:tblStyle w:val="20"/>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9"/>
        <w:gridCol w:w="7078"/>
      </w:tblGrid>
      <w:tr w14:paraId="483A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trPr>
        <w:tc>
          <w:tcPr>
            <w:tcW w:w="1919" w:type="dxa"/>
            <w:vAlign w:val="center"/>
          </w:tcPr>
          <w:p w14:paraId="3AEDA380">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开支范围类别</w:t>
            </w:r>
          </w:p>
        </w:tc>
        <w:tc>
          <w:tcPr>
            <w:tcW w:w="7078" w:type="dxa"/>
            <w:vAlign w:val="center"/>
          </w:tcPr>
          <w:p w14:paraId="15E81D1A">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具体开支范围</w:t>
            </w:r>
          </w:p>
        </w:tc>
      </w:tr>
      <w:tr w14:paraId="60186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9" w:type="dxa"/>
            <w:vAlign w:val="center"/>
          </w:tcPr>
          <w:p w14:paraId="326F258A">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办案费</w:t>
            </w:r>
          </w:p>
        </w:tc>
        <w:tc>
          <w:tcPr>
            <w:tcW w:w="7078" w:type="dxa"/>
            <w:vAlign w:val="center"/>
          </w:tcPr>
          <w:p w14:paraId="4294B864">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人民法院在办理各类案件中发生的直接费用。 </w:t>
            </w:r>
          </w:p>
          <w:p w14:paraId="33E8C947">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1、办案差旅费。人民法院在办理各类案件中开支的差旅费。 </w:t>
            </w:r>
          </w:p>
          <w:p w14:paraId="442EA5B9">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2、法律文书费。法律文书、公告、布告等印制费及发布费用。 </w:t>
            </w:r>
          </w:p>
          <w:p w14:paraId="532D3681">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3、司法勘验、鉴定费。 </w:t>
            </w:r>
          </w:p>
          <w:p w14:paraId="2D6C350E">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4、租赁费。审判、执行场地及设备的租赁费。 </w:t>
            </w:r>
          </w:p>
          <w:p w14:paraId="12CC6D5E">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5、押解执行费。包括以枪决方式和以注射方式执行死刑所需要的各类费用。 </w:t>
            </w:r>
          </w:p>
          <w:p w14:paraId="22B9B619">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6、办案补助费。用于办理大要案、集中办案及其他相关部门配合人民法院办理案件所需的费用。 </w:t>
            </w:r>
          </w:p>
          <w:p w14:paraId="71C62AE3">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7、案件咨询费。在案件审理和执行过程中，就具体案件需要聘请专家等专业人员以及查阅档案等发生的费用。 </w:t>
            </w:r>
          </w:p>
        </w:tc>
      </w:tr>
      <w:tr w14:paraId="7EF44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19" w:type="dxa"/>
            <w:vAlign w:val="center"/>
          </w:tcPr>
          <w:p w14:paraId="4AA2ECB1">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邮电通讯费</w:t>
            </w:r>
          </w:p>
        </w:tc>
        <w:tc>
          <w:tcPr>
            <w:tcW w:w="7078" w:type="dxa"/>
            <w:vAlign w:val="center"/>
          </w:tcPr>
          <w:p w14:paraId="7DED0C3D">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审判执行业务中发生的电话费、电报费、传真费、网络通讯费、专网租金等，以及信函、包裹等邮寄费用。 </w:t>
            </w:r>
          </w:p>
        </w:tc>
      </w:tr>
      <w:tr w14:paraId="165EC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919" w:type="dxa"/>
            <w:vAlign w:val="center"/>
          </w:tcPr>
          <w:p w14:paraId="227A297A">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业务交通费</w:t>
            </w:r>
          </w:p>
        </w:tc>
        <w:tc>
          <w:tcPr>
            <w:tcW w:w="7078" w:type="dxa"/>
            <w:vAlign w:val="center"/>
          </w:tcPr>
          <w:p w14:paraId="2F11201B">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审判执行业务中所发生的交通工具燃料费、维修费、保险费、租赁费、路桥费、停车费等。</w:t>
            </w:r>
          </w:p>
        </w:tc>
      </w:tr>
      <w:tr w14:paraId="7A48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919" w:type="dxa"/>
            <w:vAlign w:val="center"/>
          </w:tcPr>
          <w:p w14:paraId="3DD217B5">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业务会议费</w:t>
            </w:r>
          </w:p>
        </w:tc>
        <w:tc>
          <w:tcPr>
            <w:tcW w:w="7078" w:type="dxa"/>
            <w:vAlign w:val="center"/>
          </w:tcPr>
          <w:p w14:paraId="5F7BF51B">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各种与审判执行业务相关的会议所开支的费用。</w:t>
            </w:r>
          </w:p>
        </w:tc>
      </w:tr>
      <w:tr w14:paraId="716EE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9" w:type="dxa"/>
            <w:vAlign w:val="center"/>
          </w:tcPr>
          <w:p w14:paraId="65B14D61">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服装费</w:t>
            </w:r>
          </w:p>
        </w:tc>
        <w:tc>
          <w:tcPr>
            <w:tcW w:w="7078" w:type="dxa"/>
            <w:vAlign w:val="center"/>
          </w:tcPr>
          <w:p w14:paraId="43CD010E">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1、审判服、警察服制作费。包括法官、司法警察及辅助办案人员的服装制作费。 </w:t>
            </w:r>
          </w:p>
          <w:p w14:paraId="01056D04">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2、服装制作、运输、保管、发放过程中产生的费用。 </w:t>
            </w:r>
          </w:p>
          <w:p w14:paraId="7A3AF03E">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3、服装研制、设计、试制样服等产生的费用。 </w:t>
            </w:r>
          </w:p>
        </w:tc>
      </w:tr>
      <w:tr w14:paraId="606B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19" w:type="dxa"/>
            <w:vAlign w:val="center"/>
          </w:tcPr>
          <w:p w14:paraId="175F1FFC">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专项调研费</w:t>
            </w:r>
          </w:p>
        </w:tc>
        <w:tc>
          <w:tcPr>
            <w:tcW w:w="7078" w:type="dxa"/>
            <w:vAlign w:val="center"/>
          </w:tcPr>
          <w:p w14:paraId="0E51AB84">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与审判执行工作相关的专项调研经费。</w:t>
            </w:r>
          </w:p>
        </w:tc>
      </w:tr>
      <w:tr w14:paraId="079C9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9" w:type="dxa"/>
            <w:vAlign w:val="center"/>
          </w:tcPr>
          <w:p w14:paraId="2D629446">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业务交流费</w:t>
            </w:r>
          </w:p>
        </w:tc>
        <w:tc>
          <w:tcPr>
            <w:tcW w:w="7078" w:type="dxa"/>
            <w:vAlign w:val="center"/>
          </w:tcPr>
          <w:p w14:paraId="75662A4A">
            <w:pPr>
              <w:pStyle w:val="9"/>
              <w:keepNext w:val="0"/>
              <w:keepLines w:val="0"/>
              <w:pageBreakBefore w:val="0"/>
              <w:widowControl w:val="0"/>
              <w:numPr>
                <w:ilvl w:val="0"/>
                <w:numId w:val="1"/>
              </w:numPr>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各法院之间审判执行工作协调、交流费用。 </w:t>
            </w:r>
          </w:p>
          <w:p w14:paraId="4748472D">
            <w:pPr>
              <w:pStyle w:val="9"/>
              <w:keepNext w:val="0"/>
              <w:keepLines w:val="0"/>
              <w:pageBreakBefore w:val="0"/>
              <w:widowControl w:val="0"/>
              <w:numPr>
                <w:ilvl w:val="0"/>
                <w:numId w:val="0"/>
              </w:numPr>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2、与人大、政协、其他行政执法机关以及政法机关之间汇报、协调等费用。 </w:t>
            </w:r>
          </w:p>
          <w:p w14:paraId="6E17B211">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3、上下级法院因办案工作需要借调、下派人员所需的住宿、交通、伙食补助等费用。</w:t>
            </w:r>
          </w:p>
        </w:tc>
      </w:tr>
      <w:tr w14:paraId="0E9FF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9" w:type="dxa"/>
            <w:vAlign w:val="center"/>
          </w:tcPr>
          <w:p w14:paraId="2D1DDEFA">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业务设备消耗费</w:t>
            </w:r>
          </w:p>
        </w:tc>
        <w:tc>
          <w:tcPr>
            <w:tcW w:w="7078" w:type="dxa"/>
            <w:vAlign w:val="center"/>
          </w:tcPr>
          <w:p w14:paraId="04250BB5">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1、办案专用设备运行、维护及耗材费。 </w:t>
            </w:r>
          </w:p>
          <w:p w14:paraId="67D311F5">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2、审判、执行管理等软件系统所需的维护费。 </w:t>
            </w:r>
          </w:p>
          <w:p w14:paraId="36E053BF">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3、网络维护费。 </w:t>
            </w:r>
          </w:p>
          <w:p w14:paraId="686EDCCE">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4、信息化外包服务费。 </w:t>
            </w:r>
          </w:p>
        </w:tc>
      </w:tr>
      <w:tr w14:paraId="1342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1919" w:type="dxa"/>
            <w:vAlign w:val="center"/>
          </w:tcPr>
          <w:p w14:paraId="73E883EA">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业务设施管理费</w:t>
            </w:r>
          </w:p>
        </w:tc>
        <w:tc>
          <w:tcPr>
            <w:tcW w:w="7078" w:type="dxa"/>
            <w:vAlign w:val="center"/>
          </w:tcPr>
          <w:p w14:paraId="0EB1B962">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1、审判法庭和人民法庭房屋维修费。 </w:t>
            </w:r>
          </w:p>
          <w:p w14:paraId="75BE9559">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2、审判法庭和人民法庭运行费用，包括供暖费、物业管理费、水电费等。 </w:t>
            </w:r>
          </w:p>
          <w:p w14:paraId="5416E40B">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3、刑场管理维护费用。 </w:t>
            </w:r>
          </w:p>
        </w:tc>
      </w:tr>
      <w:tr w14:paraId="07811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919" w:type="dxa"/>
            <w:vAlign w:val="center"/>
          </w:tcPr>
          <w:p w14:paraId="31D741A4">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业务档案管理费</w:t>
            </w:r>
          </w:p>
        </w:tc>
        <w:tc>
          <w:tcPr>
            <w:tcW w:w="7078" w:type="dxa"/>
            <w:vAlign w:val="center"/>
          </w:tcPr>
          <w:p w14:paraId="0899DC88">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审判执行过程中形成的案卷档案管理费用。 </w:t>
            </w:r>
          </w:p>
        </w:tc>
      </w:tr>
      <w:tr w14:paraId="7D45C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9" w:type="dxa"/>
            <w:vAlign w:val="center"/>
          </w:tcPr>
          <w:p w14:paraId="33928C5E">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信访补助费</w:t>
            </w:r>
          </w:p>
        </w:tc>
        <w:tc>
          <w:tcPr>
            <w:tcW w:w="7078" w:type="dxa"/>
            <w:vAlign w:val="center"/>
          </w:tcPr>
          <w:p w14:paraId="51327121">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1、申诉来访人员因生活困难确需补助的食宿费、医药费、交通费。 </w:t>
            </w:r>
          </w:p>
          <w:p w14:paraId="3058DD85">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2、接访人员赴外地接访所需费用。 </w:t>
            </w:r>
          </w:p>
          <w:p w14:paraId="5ECEF439">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3、接访站所需费用。</w:t>
            </w:r>
          </w:p>
        </w:tc>
      </w:tr>
      <w:tr w14:paraId="1149A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3" w:hRule="atLeast"/>
        </w:trPr>
        <w:tc>
          <w:tcPr>
            <w:tcW w:w="1919" w:type="dxa"/>
            <w:vAlign w:val="center"/>
          </w:tcPr>
          <w:p w14:paraId="76888267">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司法救助费</w:t>
            </w:r>
          </w:p>
        </w:tc>
        <w:tc>
          <w:tcPr>
            <w:tcW w:w="7078" w:type="dxa"/>
            <w:vAlign w:val="center"/>
          </w:tcPr>
          <w:p w14:paraId="3D2B4C19">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1、因加害人确无偿付能力、被执行人确无财产可供执行，而支付给无经济来源、生活极度困难且有必要提供救助的各类受害人和申请执行人的救急、救济金及生活补助。 </w:t>
            </w:r>
          </w:p>
          <w:p w14:paraId="237F91D2">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2、生活严重困难急需救助的涉诉群众的补助及救济金。 </w:t>
            </w:r>
          </w:p>
          <w:p w14:paraId="2F5A1361">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3、冤、假、错案件当事人或家属因遭受重大损失造成生活严重困难的生活补助。 </w:t>
            </w:r>
          </w:p>
          <w:p w14:paraId="3BE2A58A">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4、因涉诉当事人无经济来源、生活极度困难等，人民法院认为需要救助的其他情形的救济金及生活补助。 </w:t>
            </w:r>
          </w:p>
        </w:tc>
      </w:tr>
      <w:tr w14:paraId="17BC8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trPr>
        <w:tc>
          <w:tcPr>
            <w:tcW w:w="1919" w:type="dxa"/>
            <w:vAlign w:val="center"/>
          </w:tcPr>
          <w:p w14:paraId="3814D4B4">
            <w:pPr>
              <w:pStyle w:val="9"/>
              <w:keepNext w:val="0"/>
              <w:keepLines w:val="0"/>
              <w:pageBreakBefore w:val="0"/>
              <w:widowControl w:val="0"/>
              <w:kinsoku/>
              <w:wordWrap/>
              <w:overflowPunct w:val="0"/>
              <w:topLinePunct w:val="0"/>
              <w:autoSpaceDE/>
              <w:autoSpaceDN/>
              <w:bidi w:val="0"/>
              <w:adjustRightInd/>
              <w:snapToGrid/>
              <w:spacing w:line="240" w:lineRule="auto"/>
              <w:jc w:val="center"/>
              <w:textAlignment w:val="auto"/>
              <w:outlineLvl w:val="2"/>
              <w:rPr>
                <w:rFonts w:hint="eastAsia" w:ascii="宋体" w:hAnsi="宋体" w:eastAsia="宋体" w:cs="宋体"/>
                <w:b/>
                <w:bCs/>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其他费用</w:t>
            </w:r>
          </w:p>
        </w:tc>
        <w:tc>
          <w:tcPr>
            <w:tcW w:w="7078" w:type="dxa"/>
            <w:vAlign w:val="center"/>
          </w:tcPr>
          <w:p w14:paraId="225688D2">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1、奖励款。根据有关规定，奖励法院先进集体、优秀法官、立功人员所需的费用，以及对人民陪审员的表彰、奖励费。</w:t>
            </w:r>
          </w:p>
          <w:p w14:paraId="6703199F">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2、保险费。指法官、司法警察、辅助办案人员的人身意外伤害保险等费用。 </w:t>
            </w:r>
          </w:p>
          <w:p w14:paraId="1A846F9D">
            <w:pPr>
              <w:pStyle w:val="9"/>
              <w:keepNext w:val="0"/>
              <w:keepLines w:val="0"/>
              <w:pageBreakBefore w:val="0"/>
              <w:widowControl w:val="0"/>
              <w:kinsoku/>
              <w:wordWrap/>
              <w:overflowPunct w:val="0"/>
              <w:topLinePunct w:val="0"/>
              <w:autoSpaceDE/>
              <w:autoSpaceDN/>
              <w:bidi w:val="0"/>
              <w:adjustRightInd/>
              <w:snapToGrid/>
              <w:spacing w:line="240" w:lineRule="auto"/>
              <w:jc w:val="both"/>
              <w:textAlignment w:val="auto"/>
              <w:outlineLvl w:val="2"/>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 xml:space="preserve">3、其他费用。上述开支项目未包括、并经财政部门同意开支的其他办案业务经费。 </w:t>
            </w:r>
          </w:p>
        </w:tc>
      </w:tr>
    </w:tbl>
    <w:p w14:paraId="48299CA1">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2</w:t>
      </w:r>
      <w:r>
        <w:rPr>
          <w:rFonts w:hint="eastAsia" w:ascii="仿宋_GB2312" w:hAnsi="仿宋_GB2312" w:cs="仿宋_GB2312"/>
          <w:b/>
          <w:bCs/>
          <w:color w:val="000000" w:themeColor="text1"/>
          <w:highlight w:val="none"/>
          <w14:textFill>
            <w14:solidFill>
              <w14:schemeClr w14:val="tx1"/>
            </w14:solidFill>
          </w14:textFill>
        </w:rPr>
        <w:t>.项目计划内容</w:t>
      </w:r>
    </w:p>
    <w:p w14:paraId="1EF9D783">
      <w:pPr>
        <w:pStyle w:val="9"/>
        <w:overflowPunct w:val="0"/>
        <w:spacing w:line="560" w:lineRule="exact"/>
        <w:ind w:firstLine="640" w:firstLineChars="200"/>
        <w:outlineLvl w:val="2"/>
        <w:rPr>
          <w:rFonts w:hint="eastAsia" w:ascii="仿宋_GB2312" w:hAnsi="仿宋_GB2312" w:cs="仿宋_GB2312"/>
          <w:highlight w:val="none"/>
        </w:rPr>
      </w:pPr>
      <w:r>
        <w:rPr>
          <w:rFonts w:hint="eastAsia" w:ascii="仿宋_GB2312" w:hAnsi="仿宋_GB2312" w:eastAsia="仿宋_GB2312" w:cs="仿宋_GB2312"/>
          <w:sz w:val="32"/>
          <w:szCs w:val="32"/>
          <w:highlight w:val="none"/>
          <w:lang w:val="en-US" w:eastAsia="zh-CN"/>
        </w:rPr>
        <w:t>确保本年度受理案件和执行工作顺利完成，各类案件结案率达85%以上，忠实履行宪法和法律赋予的职责，充分发挥审判机关的职能作用，促进司法便民服务水平的提升，保障司法规范化和司法廉洁，为促进案件审判及法院各项事业运转提供有力保障。</w:t>
      </w:r>
    </w:p>
    <w:p w14:paraId="71FB9C9A">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cs="仿宋_GB2312"/>
          <w:b/>
          <w:bCs/>
          <w:color w:val="000000" w:themeColor="text1"/>
          <w:highlight w:val="none"/>
          <w14:textFill>
            <w14:solidFill>
              <w14:schemeClr w14:val="tx1"/>
            </w14:solidFill>
          </w14:textFill>
        </w:rPr>
        <w:t>.项目实施情况</w:t>
      </w:r>
    </w:p>
    <w:p w14:paraId="46D4AB2A">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2023年度</w:t>
      </w:r>
      <w:r>
        <w:rPr>
          <w:rFonts w:hint="eastAsia" w:ascii="仿宋_GB2312" w:hAnsi="仿宋_GB2312" w:cs="仿宋_GB2312"/>
          <w:sz w:val="32"/>
          <w:szCs w:val="32"/>
          <w:highlight w:val="none"/>
          <w:lang w:val="en-US" w:eastAsia="zh-CN"/>
        </w:rPr>
        <w:t>甘肃省高级人民法院机关及9个直属法院</w:t>
      </w:r>
      <w:r>
        <w:rPr>
          <w:rFonts w:hint="default" w:ascii="仿宋_GB2312" w:hAnsi="仿宋_GB2312" w:eastAsia="仿宋_GB2312" w:cs="仿宋_GB2312"/>
          <w:sz w:val="32"/>
          <w:szCs w:val="32"/>
          <w:highlight w:val="none"/>
          <w:lang w:val="en-US" w:eastAsia="zh-CN"/>
        </w:rPr>
        <w:t>基本按照年初采购计划购置设备，积极保障基础设施建设和执法办公办案条件的改善，为干警提供更加便利的工作环境，促进了办案能力和效率的提升。</w:t>
      </w:r>
      <w:r>
        <w:rPr>
          <w:rFonts w:hint="eastAsia" w:ascii="仿宋_GB2312" w:hAnsi="仿宋_GB2312" w:cs="仿宋_GB2312"/>
          <w:sz w:val="32"/>
          <w:szCs w:val="32"/>
          <w:highlight w:val="none"/>
          <w:lang w:val="en-US" w:eastAsia="zh-CN"/>
        </w:rPr>
        <w:t>甘肃省高级人民法院机关及9个直属法院</w:t>
      </w:r>
      <w:r>
        <w:rPr>
          <w:rFonts w:hint="default" w:ascii="仿宋_GB2312" w:hAnsi="仿宋_GB2312" w:eastAsia="仿宋_GB2312" w:cs="仿宋_GB2312"/>
          <w:sz w:val="32"/>
          <w:szCs w:val="32"/>
          <w:highlight w:val="none"/>
          <w:lang w:val="en-US" w:eastAsia="zh-CN"/>
        </w:rPr>
        <w:t>本年度案件审判工作和执行工作顺利完成，法定审限内结案率达9</w:t>
      </w:r>
      <w:r>
        <w:rPr>
          <w:rFonts w:hint="eastAsia" w:ascii="仿宋_GB2312" w:hAnsi="仿宋_GB2312" w:cs="仿宋_GB2312"/>
          <w:sz w:val="32"/>
          <w:szCs w:val="32"/>
          <w:highlight w:val="none"/>
          <w:lang w:val="en-US" w:eastAsia="zh-CN"/>
        </w:rPr>
        <w:t>8</w:t>
      </w:r>
      <w:r>
        <w:rPr>
          <w:rFonts w:hint="default" w:ascii="仿宋_GB2312" w:hAnsi="仿宋_GB2312" w:eastAsia="仿宋_GB2312" w:cs="仿宋_GB2312"/>
          <w:sz w:val="32"/>
          <w:szCs w:val="32"/>
          <w:highlight w:val="none"/>
          <w:lang w:val="en-US" w:eastAsia="zh-CN"/>
        </w:rPr>
        <w:t>.</w:t>
      </w:r>
      <w:r>
        <w:rPr>
          <w:rFonts w:hint="eastAsia" w:ascii="仿宋_GB2312" w:hAnsi="仿宋_GB2312" w:cs="仿宋_GB2312"/>
          <w:sz w:val="32"/>
          <w:szCs w:val="32"/>
          <w:highlight w:val="none"/>
          <w:lang w:val="en-US" w:eastAsia="zh-CN"/>
        </w:rPr>
        <w:t>40</w:t>
      </w:r>
      <w:r>
        <w:rPr>
          <w:rFonts w:hint="default" w:ascii="仿宋_GB2312" w:hAnsi="仿宋_GB2312" w:eastAsia="仿宋_GB2312" w:cs="仿宋_GB2312"/>
          <w:sz w:val="32"/>
          <w:szCs w:val="32"/>
          <w:highlight w:val="none"/>
          <w:lang w:val="en-US" w:eastAsia="zh-CN"/>
        </w:rPr>
        <w:t>%。</w:t>
      </w:r>
      <w:bookmarkStart w:id="60" w:name="_Toc4490"/>
      <w:bookmarkStart w:id="61" w:name="_Toc25356"/>
    </w:p>
    <w:p w14:paraId="67CE798F">
      <w:pPr>
        <w:pStyle w:val="9"/>
        <w:overflowPunct w:val="0"/>
        <w:spacing w:line="560" w:lineRule="exact"/>
        <w:ind w:firstLine="643" w:firstLineChars="200"/>
        <w:outlineLvl w:val="1"/>
        <w:rPr>
          <w:rFonts w:ascii="楷体" w:hAnsi="楷体" w:eastAsia="楷体" w:cs="楷体"/>
          <w:b/>
          <w:bCs/>
          <w:highlight w:val="none"/>
        </w:rPr>
      </w:pPr>
      <w:bookmarkStart w:id="62" w:name="_Toc12313"/>
      <w:r>
        <w:rPr>
          <w:rFonts w:hint="eastAsia" w:ascii="楷体" w:hAnsi="楷体" w:eastAsia="楷体" w:cs="楷体"/>
          <w:b/>
          <w:bCs/>
          <w:highlight w:val="none"/>
        </w:rPr>
        <w:t>（四）项目组织管理</w:t>
      </w:r>
      <w:bookmarkEnd w:id="60"/>
      <w:bookmarkEnd w:id="61"/>
      <w:bookmarkEnd w:id="62"/>
    </w:p>
    <w:p w14:paraId="1CDC3562">
      <w:pPr>
        <w:pStyle w:val="9"/>
        <w:overflowPunct w:val="0"/>
        <w:spacing w:line="560" w:lineRule="exact"/>
        <w:ind w:firstLine="643" w:firstLineChars="200"/>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1.项目组织流程</w:t>
      </w:r>
    </w:p>
    <w:p w14:paraId="767D4495">
      <w:pPr>
        <w:pStyle w:val="10"/>
        <w:keepNext w:val="0"/>
        <w:keepLines w:val="0"/>
        <w:pageBreakBefore w:val="0"/>
        <w:widowControl w:val="0"/>
        <w:numPr>
          <w:ilvl w:val="0"/>
          <w:numId w:val="0"/>
        </w:numPr>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预算资金拨付单位：甘肃省财政厅是本项目预算资金的拨付单位，负责项目预算的审核批复，保证办案业务费项目资金及时、足额拨付到位。</w:t>
      </w:r>
    </w:p>
    <w:p w14:paraId="6E2B5B33">
      <w:pPr>
        <w:pStyle w:val="10"/>
        <w:keepNext w:val="0"/>
        <w:keepLines w:val="0"/>
        <w:pageBreakBefore w:val="0"/>
        <w:widowControl w:val="0"/>
        <w:numPr>
          <w:ilvl w:val="0"/>
          <w:numId w:val="0"/>
        </w:numPr>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项目主管部门：甘肃省高级人民法院是本项目的主管部门，负责开展监督管理和绩效考评等工作，并对资金分配和使用的全过程进行监督、检查、评估、考核及奖惩，保证资金有效使用等。</w:t>
      </w:r>
    </w:p>
    <w:p w14:paraId="55C803F9">
      <w:pPr>
        <w:pStyle w:val="10"/>
        <w:keepNext w:val="0"/>
        <w:keepLines w:val="0"/>
        <w:pageBreakBefore w:val="0"/>
        <w:widowControl w:val="0"/>
        <w:numPr>
          <w:ilvl w:val="0"/>
          <w:numId w:val="0"/>
        </w:numPr>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预算执行单位：甘肃省高级人民法院机关、甘肃省林区中级人民法院、祁连山林区法院、小陇山林区法院、白龙江林区法院、洮河林区法院、甘肃矿区人民法院、兰州铁路运输中级人民法院、兰州铁路运输法院、武威铁路运输法院，以上10家法院是本项目的预算执行单位，负责本项目的经费申报、预算执行及管理、组织实施办案业务以及相应的项目经费支出等工作。 </w:t>
      </w:r>
    </w:p>
    <w:p w14:paraId="75F397B4">
      <w:pPr>
        <w:pStyle w:val="9"/>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rPr>
          <w:rFonts w:hint="default" w:ascii="仿宋_GB2312" w:hAnsi="仿宋_GB2312" w:eastAsia="仿宋_GB2312" w:cs="仿宋_GB2312"/>
          <w:b/>
          <w:bCs/>
          <w:sz w:val="32"/>
          <w:szCs w:val="32"/>
          <w:highlight w:val="none"/>
          <w:lang w:val="en-US"/>
        </w:rPr>
      </w:pPr>
      <w:r>
        <w:rPr>
          <w:rFonts w:hint="eastAsia" w:ascii="仿宋_GB2312" w:hAnsi="仿宋_GB2312" w:cs="仿宋_GB2312"/>
          <w:b/>
          <w:bCs/>
          <w:sz w:val="32"/>
          <w:szCs w:val="32"/>
          <w:highlight w:val="none"/>
          <w:lang w:val="en-US" w:eastAsia="zh-CN"/>
        </w:rPr>
        <w:t>2.项目实施流程</w:t>
      </w:r>
    </w:p>
    <w:p w14:paraId="438DE14D">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lang w:eastAsia="zh-CN"/>
        </w:rPr>
        <w:t>办案业务费项目的实施大体分为制定年度工作计划、项目执行和资金支付三个阶段。</w:t>
      </w:r>
    </w:p>
    <w:p w14:paraId="1D7DD4D4">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lang w:eastAsia="zh-CN"/>
        </w:rPr>
        <w:t>①制定年度工作计划。预算执行单位分别制定年度工作计划，编制项目预算和绩效目标。在编制下一年度项目预算之前，各法院首先应当制定下一年度的办案业务费相关工作及相应的资金使用计划，在初步明确下一年度工作计划和资金使用计划的基础上，依据工作计划和资金使用计划、上级有关年度预算编制要求以及往年项目预算和经费支出情况合理测算和编制项目经费预算和绩效目标，上报甘肃省高级人民法院，经审核通过后报</w:t>
      </w:r>
      <w:r>
        <w:rPr>
          <w:rFonts w:hint="eastAsia" w:ascii="仿宋_GB2312" w:hAnsi="仿宋_GB2312" w:cs="仿宋_GB2312"/>
          <w:sz w:val="32"/>
          <w:szCs w:val="32"/>
          <w:highlight w:val="none"/>
          <w:lang w:val="en-US" w:eastAsia="zh-CN"/>
        </w:rPr>
        <w:t>甘肃</w:t>
      </w:r>
      <w:r>
        <w:rPr>
          <w:rFonts w:hint="eastAsia" w:ascii="仿宋_GB2312" w:hAnsi="仿宋_GB2312" w:cs="仿宋_GB2312"/>
          <w:sz w:val="32"/>
          <w:szCs w:val="32"/>
          <w:highlight w:val="none"/>
          <w:lang w:eastAsia="zh-CN"/>
        </w:rPr>
        <w:t>省财政厅审批，</w:t>
      </w:r>
      <w:r>
        <w:rPr>
          <w:rFonts w:hint="eastAsia" w:ascii="仿宋_GB2312" w:hAnsi="仿宋_GB2312" w:cs="仿宋_GB2312"/>
          <w:sz w:val="32"/>
          <w:szCs w:val="32"/>
          <w:highlight w:val="none"/>
          <w:lang w:val="en-US" w:eastAsia="zh-CN"/>
        </w:rPr>
        <w:t>甘肃</w:t>
      </w:r>
      <w:r>
        <w:rPr>
          <w:rFonts w:hint="eastAsia" w:ascii="仿宋_GB2312" w:hAnsi="仿宋_GB2312" w:cs="仿宋_GB2312"/>
          <w:sz w:val="32"/>
          <w:szCs w:val="32"/>
          <w:highlight w:val="none"/>
          <w:lang w:eastAsia="zh-CN"/>
        </w:rPr>
        <w:t>省财政厅按规定程序批复下达项目预算。</w:t>
      </w:r>
    </w:p>
    <w:p w14:paraId="22D38DF1">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lang w:eastAsia="zh-CN"/>
        </w:rPr>
        <w:t>②项目执行。项目预算和绩效目标批复下达以后，甘肃省高级人民法院院机关及9家直属法院按照工作计划、项目预算以及绩效目标组织开展办案业务费相关业务工作，完成年初制定的执法办案业务工作计划。</w:t>
      </w:r>
    </w:p>
    <w:p w14:paraId="70BCCD9B">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lang w:eastAsia="zh-CN"/>
        </w:rPr>
        <w:t>③资金支付。在组织正常开展办案业务费实施工作的基础上，严格按照项目预算、内部管理制度流程以及项目进度要求完成项目经费支付以及相应的会计核算工作。</w:t>
      </w:r>
    </w:p>
    <w:p w14:paraId="7BCEB9E3">
      <w:pPr>
        <w:pStyle w:val="9"/>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资金管理流程</w:t>
      </w:r>
    </w:p>
    <w:p w14:paraId="7D35267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bookmarkStart w:id="63" w:name="_Toc29508"/>
      <w:bookmarkStart w:id="64" w:name="_Toc319"/>
      <w:r>
        <w:rPr>
          <w:rFonts w:hint="eastAsia" w:ascii="仿宋_GB2312" w:hAnsi="仿宋_GB2312" w:eastAsia="仿宋_GB2312" w:cs="仿宋_GB2312"/>
          <w:sz w:val="32"/>
          <w:szCs w:val="32"/>
          <w:highlight w:val="none"/>
        </w:rPr>
        <w:t>甘肃省高级人民法院将指标下达到一体化平台，各预算单位制定资金计划并上报给甘肃省高级人民法院，甘肃省高级人民法院对各预算单位上报的资金计划进行审核并汇总上报至甘肃省财政厅，甘肃省财政厅下达批复至甘肃省高级人民法院，甘肃省高级人民法院再下达至各预算单位，预算单位通过一体化支付平台使用预算资金。</w:t>
      </w:r>
    </w:p>
    <w:p w14:paraId="44BD0A2A">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outlineLvl w:val="0"/>
        <w:rPr>
          <w:rFonts w:ascii="黑体" w:eastAsia="黑体"/>
          <w:b w:val="0"/>
          <w:bCs w:val="0"/>
          <w:highlight w:val="none"/>
        </w:rPr>
      </w:pPr>
      <w:bookmarkStart w:id="65" w:name="_Toc13619"/>
      <w:r>
        <w:rPr>
          <w:rFonts w:hint="eastAsia" w:ascii="黑体" w:eastAsia="黑体"/>
          <w:b w:val="0"/>
          <w:bCs w:val="0"/>
          <w:highlight w:val="none"/>
        </w:rPr>
        <w:t>二、项目绩效目标</w:t>
      </w:r>
      <w:bookmarkEnd w:id="63"/>
      <w:bookmarkEnd w:id="64"/>
      <w:bookmarkEnd w:id="65"/>
    </w:p>
    <w:p w14:paraId="491A413D">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outlineLvl w:val="1"/>
        <w:rPr>
          <w:rFonts w:ascii="楷体" w:hAnsi="楷体" w:eastAsia="楷体" w:cs="楷体"/>
          <w:b/>
          <w:bCs/>
          <w:highlight w:val="none"/>
        </w:rPr>
      </w:pPr>
      <w:bookmarkStart w:id="66" w:name="_Toc28577"/>
      <w:bookmarkStart w:id="67" w:name="_Toc21140"/>
      <w:bookmarkStart w:id="68" w:name="_Toc27953"/>
      <w:r>
        <w:rPr>
          <w:rFonts w:hint="eastAsia" w:ascii="楷体" w:hAnsi="楷体" w:eastAsia="楷体" w:cs="楷体"/>
          <w:b/>
          <w:bCs/>
          <w:highlight w:val="none"/>
        </w:rPr>
        <w:t>（一）总体目标</w:t>
      </w:r>
      <w:bookmarkEnd w:id="66"/>
      <w:bookmarkEnd w:id="67"/>
      <w:bookmarkEnd w:id="68"/>
    </w:p>
    <w:p w14:paraId="5E3C0E0C">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kern w:val="2"/>
          <w:sz w:val="32"/>
          <w:szCs w:val="32"/>
          <w:highlight w:val="none"/>
          <w:lang w:val="en-US" w:eastAsia="zh-CN" w:bidi="ar-SA"/>
        </w:rPr>
      </w:pPr>
      <w:bookmarkStart w:id="69" w:name="_Toc32085"/>
      <w:bookmarkStart w:id="70" w:name="_Toc26047"/>
      <w:r>
        <w:rPr>
          <w:rFonts w:hint="eastAsia" w:ascii="仿宋_GB2312" w:hAnsi="仿宋_GB2312" w:eastAsia="仿宋_GB2312" w:cs="仿宋_GB2312"/>
          <w:kern w:val="2"/>
          <w:sz w:val="32"/>
          <w:szCs w:val="32"/>
          <w:highlight w:val="none"/>
          <w:lang w:val="en-US" w:eastAsia="zh-CN" w:bidi="ar-SA"/>
        </w:rPr>
        <w:t>加强政法队伍建设、加强政法经费保障，建立起新型的更加完善的法院经费保障机制，确保</w:t>
      </w:r>
      <w:r>
        <w:rPr>
          <w:rFonts w:hint="eastAsia" w:ascii="仿宋_GB2312" w:hAnsi="仿宋_GB2312" w:cs="仿宋_GB2312"/>
          <w:kern w:val="2"/>
          <w:sz w:val="32"/>
          <w:szCs w:val="32"/>
          <w:highlight w:val="none"/>
          <w:lang w:val="en-US" w:eastAsia="zh-CN" w:bidi="ar-SA"/>
        </w:rPr>
        <w:t>甘肃省高级人民法院</w:t>
      </w:r>
      <w:r>
        <w:rPr>
          <w:rFonts w:hint="eastAsia" w:ascii="仿宋_GB2312" w:hAnsi="仿宋_GB2312" w:eastAsia="仿宋_GB2312" w:cs="仿宋_GB2312"/>
          <w:kern w:val="2"/>
          <w:sz w:val="32"/>
          <w:szCs w:val="32"/>
          <w:highlight w:val="none"/>
          <w:lang w:val="en-US" w:eastAsia="zh-CN" w:bidi="ar-SA"/>
        </w:rPr>
        <w:t>加强司法保障，审判工作良好运转，确保法院依法履行职责，保障法院完成全年各类案件的审判、执行工作</w:t>
      </w:r>
      <w:r>
        <w:rPr>
          <w:rFonts w:hint="eastAsia" w:ascii="仿宋_GB2312" w:hAnsi="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提高办案能力和效率，进一步加强社会主义法制建设。</w:t>
      </w:r>
    </w:p>
    <w:p w14:paraId="39DAFE00">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outlineLvl w:val="1"/>
        <w:rPr>
          <w:rFonts w:ascii="楷体" w:hAnsi="楷体" w:eastAsia="楷体" w:cs="楷体"/>
          <w:b/>
          <w:bCs/>
          <w:highlight w:val="none"/>
        </w:rPr>
      </w:pPr>
      <w:bookmarkStart w:id="71" w:name="_Toc24710"/>
      <w:r>
        <w:rPr>
          <w:rFonts w:hint="eastAsia" w:ascii="楷体" w:hAnsi="楷体" w:eastAsia="楷体" w:cs="楷体"/>
          <w:b/>
          <w:bCs/>
          <w:highlight w:val="none"/>
        </w:rPr>
        <w:t>（二）年度目标</w:t>
      </w:r>
      <w:bookmarkEnd w:id="69"/>
      <w:bookmarkEnd w:id="70"/>
      <w:bookmarkEnd w:id="71"/>
    </w:p>
    <w:p w14:paraId="4BC15A4F">
      <w:pPr>
        <w:pStyle w:val="10"/>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highlight w:val="none"/>
        </w:rPr>
      </w:pPr>
      <w:bookmarkStart w:id="72" w:name="_Toc7330"/>
      <w:bookmarkStart w:id="73" w:name="_Toc11613"/>
      <w:r>
        <w:rPr>
          <w:rFonts w:hint="eastAsia" w:ascii="仿宋_GB2312" w:hAnsi="仿宋_GB2312" w:eastAsia="仿宋_GB2312" w:cs="仿宋_GB2312"/>
          <w:kern w:val="2"/>
          <w:sz w:val="32"/>
          <w:szCs w:val="32"/>
          <w:highlight w:val="none"/>
          <w:lang w:val="en-US" w:eastAsia="zh-CN" w:bidi="ar-SA"/>
        </w:rPr>
        <w:t>确保本年度受理案件和执行工作顺利完成，各类案件结案率达85%以上，忠实履行宪法和法律赋予的职责，充分发挥审判机关的职能作用，促进司法便民服务水平的提升，保障司法规范化和司法廉洁，为促进案件审判及法院各项事业运转提供有力保障。</w:t>
      </w:r>
      <w:r>
        <w:rPr>
          <w:rFonts w:hint="eastAsia" w:ascii="仿宋_GB2312" w:hAnsi="仿宋_GB2312" w:eastAsia="仿宋_GB2312" w:cs="仿宋_GB2312"/>
          <w:sz w:val="32"/>
          <w:szCs w:val="32"/>
          <w:highlight w:val="none"/>
        </w:rPr>
        <w:t>具体指标详见下表：</w:t>
      </w:r>
      <w:bookmarkEnd w:id="72"/>
      <w:bookmarkEnd w:id="73"/>
    </w:p>
    <w:tbl>
      <w:tblPr>
        <w:tblStyle w:val="19"/>
        <w:tblpPr w:leftFromText="180" w:rightFromText="180" w:vertAnchor="text" w:horzAnchor="page" w:tblpX="1736" w:tblpY="28"/>
        <w:tblOverlap w:val="never"/>
        <w:tblW w:w="4895" w:type="pct"/>
        <w:tblInd w:w="0" w:type="dxa"/>
        <w:tblLayout w:type="autofit"/>
        <w:tblCellMar>
          <w:top w:w="0" w:type="dxa"/>
          <w:left w:w="108" w:type="dxa"/>
          <w:bottom w:w="0" w:type="dxa"/>
          <w:right w:w="108" w:type="dxa"/>
        </w:tblCellMar>
      </w:tblPr>
      <w:tblGrid>
        <w:gridCol w:w="1627"/>
        <w:gridCol w:w="1778"/>
        <w:gridCol w:w="3241"/>
        <w:gridCol w:w="1858"/>
      </w:tblGrid>
      <w:tr w14:paraId="188915A5">
        <w:tblPrEx>
          <w:tblCellMar>
            <w:top w:w="0" w:type="dxa"/>
            <w:left w:w="108" w:type="dxa"/>
            <w:bottom w:w="0" w:type="dxa"/>
            <w:right w:w="108" w:type="dxa"/>
          </w:tblCellMar>
        </w:tblPrEx>
        <w:trPr>
          <w:trHeight w:val="567" w:hRule="atLeast"/>
        </w:trPr>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0F537">
            <w:pPr>
              <w:widowControl/>
              <w:jc w:val="center"/>
              <w:textAlignment w:val="center"/>
              <w:rPr>
                <w:rFonts w:hint="eastAsia" w:ascii="宋体" w:hAnsi="宋体" w:eastAsia="宋体" w:cs="宋体"/>
                <w:kern w:val="0"/>
                <w:sz w:val="20"/>
                <w:szCs w:val="20"/>
                <w:highlight w:val="none"/>
                <w:lang w:bidi="ar"/>
              </w:rPr>
            </w:pPr>
            <w:bookmarkStart w:id="74" w:name="_Toc11016"/>
            <w:bookmarkStart w:id="75" w:name="_Toc24688"/>
            <w:r>
              <w:rPr>
                <w:rFonts w:hint="eastAsia" w:ascii="宋体" w:hAnsi="宋体" w:eastAsia="宋体" w:cs="宋体"/>
                <w:kern w:val="0"/>
                <w:sz w:val="20"/>
                <w:szCs w:val="20"/>
                <w:highlight w:val="none"/>
                <w:lang w:bidi="ar"/>
              </w:rPr>
              <w:t>一级指标</w:t>
            </w: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0915C">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二级指标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DB2333">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三级指标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2EF71">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目标值</w:t>
            </w:r>
          </w:p>
        </w:tc>
      </w:tr>
      <w:tr w14:paraId="22FBA7E7">
        <w:tblPrEx>
          <w:tblCellMar>
            <w:top w:w="0" w:type="dxa"/>
            <w:left w:w="108" w:type="dxa"/>
            <w:bottom w:w="0" w:type="dxa"/>
            <w:right w:w="108" w:type="dxa"/>
          </w:tblCellMar>
        </w:tblPrEx>
        <w:trPr>
          <w:trHeight w:val="567" w:hRule="atLeast"/>
        </w:trPr>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098BA">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成本指标</w:t>
            </w: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0E1D5">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经济成本</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87EBE">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成本控制情况</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A27A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预算内</w:t>
            </w:r>
          </w:p>
        </w:tc>
      </w:tr>
      <w:tr w14:paraId="08D65643">
        <w:tblPrEx>
          <w:tblCellMar>
            <w:top w:w="0" w:type="dxa"/>
            <w:left w:w="108" w:type="dxa"/>
            <w:bottom w:w="0" w:type="dxa"/>
            <w:right w:w="108" w:type="dxa"/>
          </w:tblCellMar>
        </w:tblPrEx>
        <w:trPr>
          <w:trHeight w:val="567" w:hRule="atLeast"/>
        </w:trPr>
        <w:tc>
          <w:tcPr>
            <w:tcW w:w="956" w:type="pct"/>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178E5685">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产出目标</w:t>
            </w:r>
          </w:p>
        </w:tc>
        <w:tc>
          <w:tcPr>
            <w:tcW w:w="1045" w:type="pct"/>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182DE444">
            <w:pPr>
              <w:spacing w:line="320" w:lineRule="exact"/>
              <w:jc w:val="center"/>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数量指标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B558D">
            <w:pPr>
              <w:keepNext w:val="0"/>
              <w:keepLines w:val="0"/>
              <w:widowControl/>
              <w:suppressLineNumbers w:val="0"/>
              <w:jc w:val="center"/>
              <w:textAlignment w:val="center"/>
              <w:rPr>
                <w:rFonts w:hint="eastAsia" w:ascii="宋体" w:hAnsi="宋体" w:eastAsia="宋体" w:cs="宋体"/>
                <w:sz w:val="20"/>
                <w:szCs w:val="20"/>
                <w:highlight w:val="none"/>
              </w:rPr>
            </w:pPr>
            <w:r>
              <w:rPr>
                <w:rFonts w:hint="eastAsia" w:ascii="宋体" w:hAnsi="宋体" w:eastAsia="宋体" w:cs="宋体"/>
                <w:i w:val="0"/>
                <w:iCs w:val="0"/>
                <w:color w:val="000000"/>
                <w:kern w:val="0"/>
                <w:sz w:val="22"/>
                <w:szCs w:val="22"/>
                <w:u w:val="none"/>
                <w:lang w:val="en-US" w:eastAsia="zh-CN" w:bidi="ar"/>
              </w:rPr>
              <w:t>办案办公设备采购数量</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AA6A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≥400台（套）</w:t>
            </w:r>
          </w:p>
        </w:tc>
      </w:tr>
      <w:tr w14:paraId="530B323F">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2DF9C9F">
            <w:pPr>
              <w:tabs>
                <w:tab w:val="left" w:pos="104"/>
              </w:tabs>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722C7F">
            <w:pPr>
              <w:tabs>
                <w:tab w:val="left" w:pos="104"/>
              </w:tabs>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81E0A">
            <w:pPr>
              <w:keepNext w:val="0"/>
              <w:keepLines w:val="0"/>
              <w:widowControl/>
              <w:suppressLineNumbers w:val="0"/>
              <w:jc w:val="center"/>
              <w:textAlignment w:val="center"/>
              <w:rPr>
                <w:rFonts w:hint="eastAsia" w:ascii="宋体" w:hAnsi="宋体" w:eastAsia="宋体" w:cs="宋体"/>
                <w:sz w:val="20"/>
                <w:szCs w:val="20"/>
                <w:highlight w:val="none"/>
              </w:rPr>
            </w:pPr>
            <w:r>
              <w:rPr>
                <w:rFonts w:hint="eastAsia" w:ascii="宋体" w:hAnsi="宋体" w:eastAsia="宋体" w:cs="宋体"/>
                <w:i w:val="0"/>
                <w:iCs w:val="0"/>
                <w:color w:val="000000"/>
                <w:kern w:val="0"/>
                <w:sz w:val="22"/>
                <w:szCs w:val="22"/>
                <w:u w:val="none"/>
                <w:lang w:val="en-US" w:eastAsia="zh-CN" w:bidi="ar"/>
              </w:rPr>
              <w:t>民商事案件结案率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842AC">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r>
      <w:tr w14:paraId="578AF559">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7147A3">
            <w:pPr>
              <w:tabs>
                <w:tab w:val="left" w:pos="104"/>
              </w:tabs>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BA3CBC">
            <w:pPr>
              <w:tabs>
                <w:tab w:val="left" w:pos="104"/>
              </w:tabs>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1A24E">
            <w:pPr>
              <w:keepNext w:val="0"/>
              <w:keepLines w:val="0"/>
              <w:widowControl/>
              <w:suppressLineNumbers w:val="0"/>
              <w:jc w:val="center"/>
              <w:textAlignment w:val="center"/>
              <w:rPr>
                <w:rFonts w:hint="eastAsia" w:ascii="宋体" w:hAnsi="宋体" w:eastAsia="宋体" w:cs="宋体"/>
                <w:sz w:val="20"/>
                <w:szCs w:val="20"/>
                <w:highlight w:val="none"/>
              </w:rPr>
            </w:pPr>
            <w:r>
              <w:rPr>
                <w:rFonts w:hint="eastAsia" w:ascii="宋体" w:hAnsi="宋体" w:eastAsia="宋体" w:cs="宋体"/>
                <w:i w:val="0"/>
                <w:iCs w:val="0"/>
                <w:color w:val="000000"/>
                <w:kern w:val="0"/>
                <w:sz w:val="22"/>
                <w:szCs w:val="22"/>
                <w:u w:val="none"/>
                <w:lang w:val="en-US" w:eastAsia="zh-CN" w:bidi="ar"/>
              </w:rPr>
              <w:t>刑事案件结案率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A960D">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r>
      <w:tr w14:paraId="289AA142">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FAAF84">
            <w:pPr>
              <w:tabs>
                <w:tab w:val="left" w:pos="104"/>
              </w:tabs>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A7CFF1">
            <w:pPr>
              <w:tabs>
                <w:tab w:val="left" w:pos="104"/>
              </w:tabs>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E2927">
            <w:pPr>
              <w:keepNext w:val="0"/>
              <w:keepLines w:val="0"/>
              <w:widowControl/>
              <w:suppressLineNumbers w:val="0"/>
              <w:jc w:val="center"/>
              <w:textAlignment w:val="center"/>
              <w:rPr>
                <w:rFonts w:hint="eastAsia" w:ascii="宋体" w:hAnsi="宋体" w:eastAsia="宋体" w:cs="宋体"/>
                <w:sz w:val="20"/>
                <w:szCs w:val="20"/>
                <w:highlight w:val="none"/>
              </w:rPr>
            </w:pPr>
            <w:r>
              <w:rPr>
                <w:rFonts w:hint="eastAsia" w:ascii="宋体" w:hAnsi="宋体" w:eastAsia="宋体" w:cs="宋体"/>
                <w:i w:val="0"/>
                <w:iCs w:val="0"/>
                <w:color w:val="000000"/>
                <w:kern w:val="0"/>
                <w:sz w:val="22"/>
                <w:szCs w:val="22"/>
                <w:u w:val="none"/>
                <w:lang w:val="en-US" w:eastAsia="zh-CN" w:bidi="ar"/>
              </w:rPr>
              <w:t>行政案件结案率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F72E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r>
      <w:tr w14:paraId="50D64F44">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693B3D">
            <w:pPr>
              <w:tabs>
                <w:tab w:val="left" w:pos="104"/>
              </w:tabs>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F991F0">
            <w:pPr>
              <w:tabs>
                <w:tab w:val="left" w:pos="104"/>
              </w:tabs>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79FCF">
            <w:pPr>
              <w:keepNext w:val="0"/>
              <w:keepLines w:val="0"/>
              <w:widowControl/>
              <w:suppressLineNumbers w:val="0"/>
              <w:jc w:val="center"/>
              <w:textAlignment w:val="center"/>
              <w:rPr>
                <w:rFonts w:hint="eastAsia" w:ascii="宋体" w:hAnsi="宋体" w:eastAsia="宋体" w:cs="宋体"/>
                <w:sz w:val="20"/>
                <w:szCs w:val="20"/>
                <w:highlight w:val="none"/>
              </w:rPr>
            </w:pPr>
            <w:r>
              <w:rPr>
                <w:rFonts w:hint="eastAsia" w:ascii="宋体" w:hAnsi="宋体" w:eastAsia="宋体" w:cs="宋体"/>
                <w:i w:val="0"/>
                <w:iCs w:val="0"/>
                <w:color w:val="000000"/>
                <w:kern w:val="0"/>
                <w:sz w:val="22"/>
                <w:szCs w:val="22"/>
                <w:u w:val="none"/>
                <w:lang w:val="en-US" w:eastAsia="zh-CN" w:bidi="ar"/>
              </w:rPr>
              <w:t>执行案件结案率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2CE6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≥85%</w:t>
            </w:r>
          </w:p>
        </w:tc>
      </w:tr>
      <w:tr w14:paraId="137BA73B">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91ECFA">
            <w:pPr>
              <w:spacing w:line="320" w:lineRule="exact"/>
              <w:jc w:val="center"/>
              <w:rPr>
                <w:rFonts w:hint="eastAsia" w:ascii="宋体" w:hAnsi="宋体" w:eastAsia="宋体" w:cs="宋体"/>
                <w:sz w:val="20"/>
                <w:szCs w:val="20"/>
                <w:highlight w:val="none"/>
              </w:rPr>
            </w:pP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1F7678">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质量目标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9DD53">
            <w:pPr>
              <w:keepNext w:val="0"/>
              <w:keepLines w:val="0"/>
              <w:widowControl/>
              <w:suppressLineNumbers w:val="0"/>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采购验收合格率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1AB57">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r>
      <w:tr w14:paraId="3A1236DE">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0C6A5C">
            <w:pPr>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F3385A">
            <w:pPr>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52B5D">
            <w:pPr>
              <w:keepNext w:val="0"/>
              <w:keepLines w:val="0"/>
              <w:widowControl/>
              <w:suppressLineNumbers w:val="0"/>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一审服判息诉率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B6558">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r>
      <w:tr w14:paraId="2672D43F">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120F425">
            <w:pPr>
              <w:spacing w:line="320" w:lineRule="exact"/>
              <w:jc w:val="center"/>
              <w:rPr>
                <w:rFonts w:hint="eastAsia" w:ascii="宋体" w:hAnsi="宋体" w:eastAsia="宋体" w:cs="宋体"/>
                <w:sz w:val="20"/>
                <w:szCs w:val="20"/>
                <w:highlight w:val="none"/>
              </w:rPr>
            </w:pP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2A45A88">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时效目标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E71E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采购工作开展及时性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7E41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及时</w:t>
            </w:r>
          </w:p>
        </w:tc>
      </w:tr>
      <w:tr w14:paraId="46CD3162">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3356A0">
            <w:pPr>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CC5FE9">
            <w:pPr>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79BB0">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法定审限内结案率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58BD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r>
      <w:tr w14:paraId="0749DA8A">
        <w:tblPrEx>
          <w:tblCellMar>
            <w:top w:w="0" w:type="dxa"/>
            <w:left w:w="108" w:type="dxa"/>
            <w:bottom w:w="0" w:type="dxa"/>
            <w:right w:w="108" w:type="dxa"/>
          </w:tblCellMar>
        </w:tblPrEx>
        <w:trPr>
          <w:trHeight w:val="567" w:hRule="atLeast"/>
        </w:trPr>
        <w:tc>
          <w:tcPr>
            <w:tcW w:w="956"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21900EE">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效果目标</w:t>
            </w: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22C9DAA">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社会效益</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8A962">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保障社会公平正义有效性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B5541">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有效</w:t>
            </w:r>
          </w:p>
        </w:tc>
      </w:tr>
      <w:tr w14:paraId="635269DB">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5208DF3">
            <w:pPr>
              <w:spacing w:line="320" w:lineRule="exact"/>
              <w:jc w:val="center"/>
              <w:rPr>
                <w:rFonts w:hint="eastAsia" w:ascii="宋体" w:hAnsi="宋体" w:eastAsia="宋体" w:cs="宋体"/>
                <w:sz w:val="20"/>
                <w:szCs w:val="20"/>
                <w:highlight w:val="none"/>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62859B">
            <w:pPr>
              <w:spacing w:line="320" w:lineRule="exact"/>
              <w:jc w:val="center"/>
              <w:rPr>
                <w:rFonts w:hint="eastAsia" w:ascii="宋体" w:hAnsi="宋体" w:eastAsia="宋体" w:cs="宋体"/>
                <w:sz w:val="20"/>
                <w:szCs w:val="20"/>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76D73">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民事案件调解撤诉率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7C2E6">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≥50%</w:t>
            </w:r>
          </w:p>
        </w:tc>
      </w:tr>
      <w:tr w14:paraId="5F65B5ED">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C491865">
            <w:pPr>
              <w:spacing w:line="320" w:lineRule="exact"/>
              <w:jc w:val="center"/>
              <w:rPr>
                <w:rFonts w:hint="eastAsia" w:ascii="宋体" w:hAnsi="宋体" w:eastAsia="宋体" w:cs="宋体"/>
                <w:sz w:val="20"/>
                <w:szCs w:val="20"/>
                <w:highlight w:val="none"/>
              </w:rPr>
            </w:pPr>
          </w:p>
        </w:tc>
        <w:tc>
          <w:tcPr>
            <w:tcW w:w="1045" w:type="pct"/>
            <w:tcBorders>
              <w:top w:val="single" w:color="auto" w:sz="4" w:space="0"/>
              <w:left w:val="single" w:color="000000" w:sz="4" w:space="0"/>
              <w:bottom w:val="single" w:color="000000" w:sz="4" w:space="0"/>
              <w:right w:val="single" w:color="000000" w:sz="4" w:space="0"/>
            </w:tcBorders>
            <w:shd w:val="clear" w:color="auto" w:fill="auto"/>
            <w:vAlign w:val="center"/>
          </w:tcPr>
          <w:p w14:paraId="460FEEB2">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满意度</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E75F0">
            <w:pPr>
              <w:spacing w:line="320" w:lineRule="exact"/>
              <w:jc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sz w:val="20"/>
                <w:szCs w:val="20"/>
                <w:highlight w:val="none"/>
              </w:rPr>
              <w:t>案件当事人满意度</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DFCC2">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r>
    </w:tbl>
    <w:p w14:paraId="28240390">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outlineLvl w:val="0"/>
        <w:rPr>
          <w:rFonts w:ascii="黑体" w:eastAsia="黑体"/>
          <w:highlight w:val="none"/>
        </w:rPr>
      </w:pPr>
      <w:bookmarkStart w:id="76" w:name="_Toc8455"/>
      <w:r>
        <w:rPr>
          <w:rFonts w:hint="eastAsia" w:ascii="黑体" w:eastAsia="黑体"/>
          <w:highlight w:val="none"/>
        </w:rPr>
        <w:t>三、评价基本情况</w:t>
      </w:r>
      <w:bookmarkEnd w:id="74"/>
      <w:bookmarkEnd w:id="75"/>
      <w:bookmarkEnd w:id="76"/>
    </w:p>
    <w:p w14:paraId="4F743D49">
      <w:pPr>
        <w:pStyle w:val="9"/>
        <w:keepNext w:val="0"/>
        <w:keepLines w:val="0"/>
        <w:pageBreakBefore w:val="0"/>
        <w:widowControl w:val="0"/>
        <w:kinsoku/>
        <w:wordWrap/>
        <w:overflowPunct w:val="0"/>
        <w:topLinePunct w:val="0"/>
        <w:autoSpaceDE/>
        <w:autoSpaceDN/>
        <w:bidi w:val="0"/>
        <w:adjustRightInd/>
        <w:snapToGrid/>
        <w:spacing w:line="600" w:lineRule="exact"/>
        <w:ind w:firstLine="643" w:firstLineChars="200"/>
        <w:textAlignment w:val="auto"/>
        <w:outlineLvl w:val="1"/>
        <w:rPr>
          <w:rFonts w:ascii="楷体" w:hAnsi="楷体" w:eastAsia="楷体" w:cs="楷体"/>
          <w:b/>
          <w:bCs/>
          <w:highlight w:val="none"/>
        </w:rPr>
      </w:pPr>
      <w:bookmarkStart w:id="77" w:name="_Toc5301"/>
      <w:bookmarkStart w:id="78" w:name="_Toc2745"/>
      <w:r>
        <w:rPr>
          <w:rFonts w:hint="eastAsia" w:ascii="楷体" w:hAnsi="楷体" w:eastAsia="楷体" w:cs="楷体"/>
          <w:b/>
          <w:bCs/>
          <w:highlight w:val="none"/>
        </w:rPr>
        <w:t>（一）评价目的</w:t>
      </w:r>
      <w:bookmarkEnd w:id="77"/>
      <w:bookmarkEnd w:id="78"/>
    </w:p>
    <w:p w14:paraId="5C0EE0A2">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本次绩效评价工作通过运用规范的绩效评价指标体系和科学的绩效评价方法，引入第三方开展绩效评价，客观公正地核查</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重点绩效评价项目目标的完成情况。第三方通过对项目资料的审阅、现场核查、问卷调查等方式，了解该项目从决策到实施全过程，查验项目资金支出及项目实施的合规性，考评资金分配的合理性、资金支出效率、效益和综合效果，及时总结项目管理经验，分析存在的问题及原因，提出切实可行的改进措施，规范项目和资金管理行为，从而进一步规范财政资金支出管理，加强财政资金全方位监督，杜绝违纪违规行为发生。评价结果将作为下一年资金分配的重要参考依据，同时协助</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重新梳理项目绩效目标，切实提高财政资金使用效益。</w:t>
      </w:r>
    </w:p>
    <w:p w14:paraId="634BA8EE">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本次绩效评价的侧重点和切入点：</w:t>
      </w:r>
    </w:p>
    <w:p w14:paraId="7554E52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1.重点关注项目资金使用管理以及保障项目预期绩效目标实现的相关措施；</w:t>
      </w:r>
    </w:p>
    <w:p w14:paraId="02A24BE7">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2.重点关注采购流程规范性、资金使用合规性、项目合同管理的有效性以及通过项目的实施为</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带来的产出与效益。</w:t>
      </w:r>
    </w:p>
    <w:p w14:paraId="5F81DD7F">
      <w:pPr>
        <w:pStyle w:val="9"/>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79" w:name="_Toc2071"/>
      <w:bookmarkStart w:id="80" w:name="_Toc7160"/>
      <w:r>
        <w:rPr>
          <w:rFonts w:hint="eastAsia" w:ascii="楷体" w:hAnsi="楷体" w:eastAsia="楷体" w:cs="楷体"/>
          <w:b/>
          <w:bCs/>
          <w:highlight w:val="none"/>
        </w:rPr>
        <w:t>（二）评价对象与范围</w:t>
      </w:r>
      <w:bookmarkEnd w:id="79"/>
      <w:bookmarkEnd w:id="80"/>
    </w:p>
    <w:p w14:paraId="4520BE08">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本次评价对象为</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2023年绩效评价重点项目“</w:t>
      </w:r>
      <w:r>
        <w:rPr>
          <w:rFonts w:hint="eastAsia" w:ascii="仿宋_GB2312" w:hAnsi="仿宋_GB2312" w:cs="仿宋_GB2312"/>
          <w:highlight w:val="none"/>
          <w:lang w:eastAsia="zh-CN"/>
        </w:rPr>
        <w:t>办案业务费</w:t>
      </w:r>
      <w:r>
        <w:rPr>
          <w:rFonts w:hint="eastAsia" w:ascii="仿宋_GB2312" w:hAnsi="仿宋_GB2312" w:cs="仿宋_GB2312"/>
          <w:highlight w:val="none"/>
        </w:rPr>
        <w:t>”。</w:t>
      </w:r>
    </w:p>
    <w:p w14:paraId="750A381D">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评价范围为“</w:t>
      </w:r>
      <w:r>
        <w:rPr>
          <w:rFonts w:hint="eastAsia" w:ascii="仿宋_GB2312" w:hAnsi="仿宋_GB2312" w:cs="仿宋_GB2312"/>
          <w:highlight w:val="none"/>
          <w:lang w:eastAsia="zh-CN"/>
        </w:rPr>
        <w:t>办案业务费</w:t>
      </w:r>
      <w:r>
        <w:rPr>
          <w:rFonts w:hint="eastAsia" w:ascii="仿宋_GB2312" w:hAnsi="仿宋_GB2312" w:cs="仿宋_GB2312"/>
          <w:highlight w:val="none"/>
        </w:rPr>
        <w:t>”项目</w:t>
      </w:r>
      <w:r>
        <w:rPr>
          <w:rFonts w:hint="eastAsia" w:ascii="仿宋_GB2312" w:hAnsi="仿宋_GB2312" w:cs="仿宋_GB2312"/>
          <w:highlight w:val="none"/>
          <w:lang w:val="en-US" w:eastAsia="zh-CN"/>
        </w:rPr>
        <w:t>全年预算</w:t>
      </w:r>
      <w:r>
        <w:rPr>
          <w:rFonts w:hint="eastAsia" w:ascii="仿宋_GB2312" w:hAnsi="仿宋_GB2312" w:cs="仿宋_GB2312"/>
          <w:highlight w:val="none"/>
        </w:rPr>
        <w:t>资金</w:t>
      </w:r>
      <w:r>
        <w:rPr>
          <w:rFonts w:hint="eastAsia" w:ascii="仿宋_GB2312" w:hAnsi="仿宋_GB2312" w:cs="仿宋_GB2312"/>
          <w:highlight w:val="none"/>
          <w:lang w:val="en-US" w:eastAsia="zh-CN"/>
        </w:rPr>
        <w:t>4,510.73</w:t>
      </w:r>
      <w:r>
        <w:rPr>
          <w:rFonts w:hint="eastAsia" w:ascii="仿宋_GB2312" w:hAnsi="仿宋_GB2312" w:cs="仿宋_GB2312"/>
          <w:highlight w:val="none"/>
        </w:rPr>
        <w:t>万元的资金使用和项目实施效益情况，评价基准日为2023年12月31日。</w:t>
      </w:r>
    </w:p>
    <w:p w14:paraId="75E88D3E">
      <w:pPr>
        <w:pStyle w:val="9"/>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81" w:name="_Toc17041"/>
      <w:bookmarkStart w:id="82" w:name="_Toc19814"/>
      <w:r>
        <w:rPr>
          <w:rFonts w:hint="eastAsia" w:ascii="楷体" w:hAnsi="楷体" w:eastAsia="楷体" w:cs="楷体"/>
          <w:b/>
          <w:bCs/>
          <w:highlight w:val="none"/>
        </w:rPr>
        <w:t>（三）评价依据</w:t>
      </w:r>
      <w:bookmarkEnd w:id="81"/>
      <w:bookmarkEnd w:id="82"/>
    </w:p>
    <w:p w14:paraId="77B7F5A1">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bookmarkStart w:id="83" w:name="_Toc17840"/>
      <w:r>
        <w:rPr>
          <w:rFonts w:hint="eastAsia" w:ascii="仿宋_GB2312" w:hAnsi="仿宋_GB2312" w:cs="仿宋_GB2312"/>
          <w:highlight w:val="none"/>
        </w:rPr>
        <w:t>1.《中华人民共和国预算法》；</w:t>
      </w:r>
    </w:p>
    <w:p w14:paraId="0A9C8FC3">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2.《中华人民共和国预算法实施条例》；</w:t>
      </w:r>
    </w:p>
    <w:p w14:paraId="64E1F878">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3.《中共中央 国务院关于全面实施预算绩效管理的意见》（中发〔2018〕34号）；</w:t>
      </w:r>
    </w:p>
    <w:p w14:paraId="177E7BFD">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4.《财政部关于印发〈项目支出绩效评价管理办法〉的通知》（财预〔2021〕10号）；</w:t>
      </w:r>
    </w:p>
    <w:p w14:paraId="3C902C8B">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5.《财政部关于委托第三方机构参与预算绩效管理的指导意见》（财预〔2021〕6号）；</w:t>
      </w:r>
    </w:p>
    <w:p w14:paraId="71E5A68D">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6.《财政部关于印发第三方机构预算绩效评价业务监督管理暂行办法的通知》（财监〔2021〕4号）；</w:t>
      </w:r>
    </w:p>
    <w:p w14:paraId="46558955">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7.《中共甘肃省委 甘肃省人民政府关于全面实施预算绩效管理的实施意见》（甘发〔2018〕32号）；</w:t>
      </w:r>
    </w:p>
    <w:p w14:paraId="7048F519">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8.《甘肃省财政厅关于印发甘肃省省级预算绩效管理办法等6个办法和规程的通知》（甘财绩〔2020〕5号）；</w:t>
      </w:r>
    </w:p>
    <w:p w14:paraId="59991FA7">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9.《甘肃省省级项目支出绩效部门评价和财政评价工作规程》（甘财绩〔2021〕5号）；</w:t>
      </w:r>
    </w:p>
    <w:p w14:paraId="4310E98A">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0</w:t>
      </w:r>
      <w:r>
        <w:rPr>
          <w:rFonts w:hint="eastAsia" w:ascii="仿宋_GB2312" w:hAnsi="仿宋_GB2312" w:cs="仿宋_GB2312"/>
          <w:highlight w:val="none"/>
        </w:rPr>
        <w:t>.</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职责相关规定；</w:t>
      </w:r>
    </w:p>
    <w:p w14:paraId="02AD549B">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1</w:t>
      </w:r>
      <w:r>
        <w:rPr>
          <w:rFonts w:hint="eastAsia" w:ascii="仿宋_GB2312" w:hAnsi="仿宋_GB2312" w:cs="仿宋_GB2312"/>
          <w:highlight w:val="none"/>
        </w:rPr>
        <w:t>.被评价单位提供的立项背景、实施方案、预算批复相关文件、绩效目标、自评价相关资料、财政资金拨付凭证、</w:t>
      </w:r>
      <w:r>
        <w:rPr>
          <w:rFonts w:hint="eastAsia" w:ascii="仿宋_GB2312" w:hAnsi="仿宋_GB2312" w:cs="仿宋_GB2312"/>
          <w:highlight w:val="none"/>
          <w:lang w:val="en-US" w:eastAsia="zh-CN"/>
        </w:rPr>
        <w:t>项目</w:t>
      </w:r>
      <w:r>
        <w:rPr>
          <w:rFonts w:hint="eastAsia" w:ascii="仿宋_GB2312" w:hAnsi="仿宋_GB2312" w:cs="仿宋_GB2312"/>
          <w:highlight w:val="none"/>
        </w:rPr>
        <w:t>全过程资料和项目实施效果等资料；</w:t>
      </w:r>
    </w:p>
    <w:p w14:paraId="49FA6C3D">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2</w:t>
      </w:r>
      <w:r>
        <w:rPr>
          <w:rFonts w:hint="eastAsia" w:ascii="仿宋_GB2312" w:hAnsi="仿宋_GB2312" w:cs="仿宋_GB2312"/>
          <w:highlight w:val="none"/>
        </w:rPr>
        <w:t>.评价组收集、调研、访谈、问卷调查获取的其他相关资料。</w:t>
      </w:r>
    </w:p>
    <w:p w14:paraId="1B054D48">
      <w:pPr>
        <w:pStyle w:val="9"/>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84" w:name="_Toc22790"/>
      <w:r>
        <w:rPr>
          <w:rFonts w:hint="eastAsia" w:ascii="楷体" w:hAnsi="楷体" w:eastAsia="楷体" w:cs="楷体"/>
          <w:b/>
          <w:bCs/>
          <w:highlight w:val="none"/>
        </w:rPr>
        <w:t>（四）评价原则、评价方法</w:t>
      </w:r>
      <w:bookmarkEnd w:id="83"/>
      <w:bookmarkEnd w:id="84"/>
    </w:p>
    <w:p w14:paraId="38D482F1">
      <w:pPr>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eastAsia="仿宋_GB2312" w:cs="仿宋_GB2312"/>
          <w:b/>
          <w:sz w:val="32"/>
          <w:szCs w:val="32"/>
          <w:highlight w:val="none"/>
        </w:rPr>
      </w:pPr>
      <w:bookmarkStart w:id="85" w:name="_Toc15543"/>
      <w:bookmarkStart w:id="86" w:name="_Toc3229"/>
      <w:bookmarkStart w:id="87" w:name="_Toc32314"/>
      <w:bookmarkStart w:id="88" w:name="_Toc17493"/>
      <w:bookmarkStart w:id="89" w:name="_Toc7306"/>
      <w:bookmarkStart w:id="90" w:name="_Toc5841"/>
      <w:bookmarkStart w:id="91" w:name="_Toc32216"/>
      <w:bookmarkStart w:id="92" w:name="_Toc28403"/>
      <w:bookmarkStart w:id="93" w:name="_Toc25746"/>
      <w:bookmarkStart w:id="94" w:name="_Toc2871"/>
      <w:bookmarkStart w:id="95" w:name="_Toc10269"/>
      <w:r>
        <w:rPr>
          <w:rStyle w:val="31"/>
          <w:rFonts w:hint="eastAsia" w:ascii="仿宋_GB2312" w:hAnsi="仿宋_GB2312" w:eastAsia="仿宋_GB2312" w:cs="仿宋_GB2312"/>
          <w:szCs w:val="32"/>
          <w:highlight w:val="none"/>
        </w:rPr>
        <w:t>1.评价原则</w:t>
      </w:r>
      <w:bookmarkEnd w:id="85"/>
      <w:bookmarkEnd w:id="86"/>
      <w:bookmarkEnd w:id="87"/>
      <w:bookmarkEnd w:id="88"/>
      <w:bookmarkEnd w:id="89"/>
      <w:bookmarkEnd w:id="90"/>
      <w:bookmarkEnd w:id="91"/>
      <w:bookmarkEnd w:id="92"/>
      <w:bookmarkEnd w:id="93"/>
      <w:bookmarkEnd w:id="94"/>
      <w:bookmarkEnd w:id="95"/>
    </w:p>
    <w:p w14:paraId="7730F36A">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14:paraId="4AB560CD">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w:t>
      </w:r>
      <w:r>
        <w:rPr>
          <w:rFonts w:hint="eastAsia" w:ascii="仿宋_GB2312" w:hAnsi="仿宋_GB2312" w:eastAsia="仿宋_GB2312" w:cs="仿宋_GB2312"/>
          <w:sz w:val="32"/>
          <w:szCs w:val="32"/>
          <w:highlight w:val="none"/>
          <w:lang w:val="en-US" w:eastAsia="zh-CN"/>
        </w:rPr>
        <w:t>完成</w:t>
      </w:r>
      <w:r>
        <w:rPr>
          <w:rFonts w:hint="eastAsia" w:ascii="仿宋_GB2312" w:hAnsi="仿宋_GB2312" w:eastAsia="仿宋_GB2312" w:cs="仿宋_GB2312"/>
          <w:sz w:val="32"/>
          <w:szCs w:val="32"/>
          <w:highlight w:val="none"/>
        </w:rPr>
        <w:t>情况以及预算支出和绩效之间的对应关系。以绩效为核心导向，将事前绩效评估、绩效目标管理、绩效运行监控、绩效评价、评价结果反馈及应用深度融入预算管理的全过程，实现财政资金使用效益最大化。</w:t>
      </w:r>
    </w:p>
    <w:p w14:paraId="193D0DFB">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w:t>
      </w:r>
    </w:p>
    <w:p w14:paraId="0091C4DF">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14:paraId="7F6785F5">
      <w:pPr>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2"/>
        <w:rPr>
          <w:rStyle w:val="31"/>
          <w:rFonts w:ascii="仿宋_GB2312" w:hAnsi="仿宋_GB2312" w:eastAsia="仿宋_GB2312" w:cs="仿宋_GB2312"/>
          <w:szCs w:val="32"/>
          <w:highlight w:val="none"/>
        </w:rPr>
      </w:pPr>
      <w:bookmarkStart w:id="96" w:name="_Toc15034"/>
      <w:bookmarkStart w:id="97" w:name="_Toc7156"/>
      <w:bookmarkStart w:id="98" w:name="_Toc24950"/>
      <w:bookmarkStart w:id="99" w:name="_Toc15552"/>
      <w:bookmarkStart w:id="100" w:name="_Toc11918"/>
      <w:bookmarkStart w:id="101" w:name="_Toc1742"/>
      <w:bookmarkStart w:id="102" w:name="_Toc1839"/>
      <w:bookmarkStart w:id="103" w:name="_Toc15129"/>
      <w:bookmarkStart w:id="104" w:name="_Toc12173"/>
      <w:bookmarkStart w:id="105" w:name="_Toc12262"/>
      <w:r>
        <w:rPr>
          <w:rStyle w:val="31"/>
          <w:rFonts w:hint="eastAsia" w:ascii="仿宋_GB2312" w:hAnsi="仿宋_GB2312" w:eastAsia="仿宋_GB2312" w:cs="仿宋_GB2312"/>
          <w:szCs w:val="32"/>
          <w:highlight w:val="none"/>
        </w:rPr>
        <w:t>2.评价方法</w:t>
      </w:r>
      <w:bookmarkEnd w:id="96"/>
    </w:p>
    <w:bookmarkEnd w:id="97"/>
    <w:bookmarkEnd w:id="98"/>
    <w:bookmarkEnd w:id="99"/>
    <w:bookmarkEnd w:id="100"/>
    <w:bookmarkEnd w:id="101"/>
    <w:bookmarkEnd w:id="102"/>
    <w:bookmarkEnd w:id="103"/>
    <w:bookmarkEnd w:id="104"/>
    <w:bookmarkEnd w:id="105"/>
    <w:p w14:paraId="704ACC3B">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对项目预算执行情况的经济性、效率性、效益性进行客观公正</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分析评价，确保评价结论公正客观，评价意见有效可用。</w:t>
      </w:r>
    </w:p>
    <w:p w14:paraId="1B70BE95">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p>
    <w:p w14:paraId="3EB66D8A">
      <w:pPr>
        <w:pStyle w:val="12"/>
        <w:keepNext w:val="0"/>
        <w:keepLines w:val="0"/>
        <w:pageBreakBefore w:val="0"/>
        <w:kinsoku/>
        <w:wordWrap/>
        <w:overflowPunct w:val="0"/>
        <w:topLinePunct w:val="0"/>
        <w:autoSpaceDE/>
        <w:autoSpaceDN/>
        <w:bidi w:val="0"/>
        <w:adjustRightInd/>
        <w:snapToGrid/>
        <w:spacing w:after="0" w:line="560" w:lineRule="exact"/>
        <w:ind w:left="0" w:leftChars="0"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（2）因素分析法。将影响投入和产出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各项因素罗列出来进行分析，通过不同因素的权重评比，进行综合评分，最终确定项目的效率性和效益性。</w:t>
      </w:r>
    </w:p>
    <w:p w14:paraId="2ED907DB">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法。是指通过专家评估、公众问卷对财政支出效果进行评判，评价绩效目标实现程度。</w:t>
      </w:r>
    </w:p>
    <w:p w14:paraId="3DC27E7F">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（4）成本效益分析法。是将投入与产出、效益进行关联性分析的方法。</w:t>
      </w:r>
    </w:p>
    <w:p w14:paraId="576B9790">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（5）访谈法。评价小组现场访谈相关专业人员，根据被询问者的答复收集客观的、不带偏见的事实材料。</w:t>
      </w:r>
    </w:p>
    <w:p w14:paraId="25B2AD4C">
      <w:pPr>
        <w:pStyle w:val="9"/>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06" w:name="_Toc4958"/>
      <w:bookmarkStart w:id="107" w:name="_Toc6288"/>
      <w:r>
        <w:rPr>
          <w:rFonts w:hint="eastAsia" w:ascii="楷体" w:hAnsi="楷体" w:eastAsia="楷体" w:cs="楷体"/>
          <w:b/>
          <w:bCs/>
          <w:highlight w:val="none"/>
        </w:rPr>
        <w:t>（五）绩效评价指标体系</w:t>
      </w:r>
      <w:bookmarkEnd w:id="106"/>
      <w:bookmarkEnd w:id="107"/>
    </w:p>
    <w:p w14:paraId="4653EA92">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1.指标体系设计的总体思路</w:t>
      </w:r>
    </w:p>
    <w:p w14:paraId="75C6C99E">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kern w:val="0"/>
          <w:highlight w:val="none"/>
          <w:lang w:bidi="ar"/>
        </w:rPr>
      </w:pPr>
      <w:r>
        <w:rPr>
          <w:rFonts w:hint="eastAsia" w:ascii="仿宋_GB2312" w:hAnsi="仿宋_GB2312" w:cs="仿宋_GB2312"/>
          <w:kern w:val="0"/>
          <w:highlight w:val="none"/>
          <w:lang w:bidi="ar"/>
        </w:rPr>
        <w:t>根据</w:t>
      </w:r>
      <w:r>
        <w:rPr>
          <w:rFonts w:hint="eastAsia" w:ascii="仿宋_GB2312" w:hAnsi="仿宋_GB2312" w:cs="仿宋_GB2312"/>
          <w:highlight w:val="none"/>
        </w:rPr>
        <w:t>《甘肃省省级项目支出绩效部门评价和财政评价工作规程》</w:t>
      </w:r>
      <w:r>
        <w:rPr>
          <w:rFonts w:hint="eastAsia" w:ascii="仿宋_GB2312" w:hAnsi="仿宋_GB2312" w:cs="仿宋_GB2312"/>
          <w:kern w:val="0"/>
          <w:highlight w:val="none"/>
          <w:lang w:bidi="ar"/>
        </w:rPr>
        <w:t>要求，从“</w:t>
      </w:r>
      <w:r>
        <w:rPr>
          <w:rFonts w:hint="eastAsia" w:ascii="仿宋_GB2312" w:hAnsi="仿宋_GB2312" w:cs="仿宋_GB2312"/>
          <w:kern w:val="0"/>
          <w:highlight w:val="none"/>
          <w:lang w:eastAsia="zh-CN" w:bidi="ar"/>
        </w:rPr>
        <w:t>办案业务费</w:t>
      </w:r>
      <w:r>
        <w:rPr>
          <w:rFonts w:hint="eastAsia" w:ascii="仿宋_GB2312" w:hAnsi="仿宋_GB2312" w:cs="仿宋_GB2312"/>
          <w:kern w:val="0"/>
          <w:highlight w:val="none"/>
          <w:lang w:bidi="ar"/>
        </w:rPr>
        <w:t>”项目预算、立项、批复、实施、资金申请、拨付以及使用是否遵守规定、是否真实、是否及时，以结果为导向，根据指标类型设定定性与定量标准，决策、过程、</w:t>
      </w:r>
      <w:r>
        <w:rPr>
          <w:rFonts w:hint="eastAsia" w:ascii="仿宋_GB2312" w:hAnsi="仿宋_GB2312" w:cs="仿宋_GB2312"/>
          <w:kern w:val="0"/>
          <w:highlight w:val="none"/>
          <w:lang w:val="en-US" w:eastAsia="zh-CN" w:bidi="ar"/>
        </w:rPr>
        <w:t>成本、</w:t>
      </w:r>
      <w:r>
        <w:rPr>
          <w:rFonts w:hint="eastAsia" w:ascii="仿宋_GB2312" w:hAnsi="仿宋_GB2312" w:cs="仿宋_GB2312"/>
          <w:kern w:val="0"/>
          <w:highlight w:val="none"/>
          <w:lang w:bidi="ar"/>
        </w:rPr>
        <w:t>产出、效益分配比例为</w:t>
      </w:r>
      <w:r>
        <w:rPr>
          <w:rFonts w:hint="eastAsia" w:ascii="仿宋_GB2312" w:hAnsi="仿宋_GB2312" w:cs="仿宋_GB2312"/>
          <w:kern w:val="0"/>
          <w:highlight w:val="none"/>
          <w:lang w:val="en-US" w:eastAsia="zh-CN" w:bidi="ar"/>
        </w:rPr>
        <w:t>15</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15</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10</w:t>
      </w:r>
      <w:r>
        <w:rPr>
          <w:rFonts w:hint="eastAsia" w:ascii="仿宋_GB2312" w:hAnsi="仿宋_GB2312" w:cs="仿宋_GB2312"/>
          <w:kern w:val="0"/>
          <w:highlight w:val="none"/>
          <w:lang w:eastAsia="zh-CN" w:bidi="ar"/>
        </w:rPr>
        <w:t>：</w:t>
      </w:r>
      <w:r>
        <w:rPr>
          <w:rFonts w:hint="eastAsia" w:ascii="仿宋_GB2312" w:hAnsi="仿宋_GB2312" w:cs="仿宋_GB2312"/>
          <w:kern w:val="0"/>
          <w:highlight w:val="none"/>
          <w:lang w:val="en-US" w:eastAsia="zh-CN" w:bidi="ar"/>
        </w:rPr>
        <w:t>30</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30</w:t>
      </w:r>
      <w:r>
        <w:rPr>
          <w:rFonts w:hint="eastAsia" w:ascii="仿宋_GB2312" w:hAnsi="仿宋_GB2312" w:cs="仿宋_GB2312"/>
          <w:kern w:val="0"/>
          <w:highlight w:val="none"/>
          <w:lang w:bidi="ar"/>
        </w:rPr>
        <w:t>。本次评价侧重项目产出与效益方面，产出和效益指标权重</w:t>
      </w:r>
      <w:r>
        <w:rPr>
          <w:rFonts w:hint="eastAsia" w:ascii="仿宋_GB2312" w:hAnsi="仿宋_GB2312" w:cs="仿宋_GB2312"/>
          <w:kern w:val="0"/>
          <w:highlight w:val="none"/>
          <w:lang w:val="en-US" w:eastAsia="zh-CN" w:bidi="ar"/>
        </w:rPr>
        <w:t>占比</w:t>
      </w:r>
      <w:r>
        <w:rPr>
          <w:rFonts w:hint="eastAsia" w:ascii="仿宋_GB2312" w:hAnsi="仿宋_GB2312" w:cs="仿宋_GB2312"/>
          <w:kern w:val="0"/>
          <w:highlight w:val="none"/>
          <w:lang w:bidi="ar"/>
        </w:rPr>
        <w:t>6</w:t>
      </w:r>
      <w:r>
        <w:rPr>
          <w:rFonts w:hint="eastAsia" w:ascii="仿宋_GB2312" w:hAnsi="仿宋_GB2312" w:cs="仿宋_GB2312"/>
          <w:kern w:val="0"/>
          <w:highlight w:val="none"/>
          <w:lang w:val="en-US" w:eastAsia="zh-CN" w:bidi="ar"/>
        </w:rPr>
        <w:t>0</w:t>
      </w:r>
      <w:r>
        <w:rPr>
          <w:rFonts w:hint="eastAsia" w:ascii="仿宋_GB2312" w:hAnsi="仿宋_GB2312" w:cs="仿宋_GB2312"/>
          <w:kern w:val="0"/>
          <w:highlight w:val="none"/>
          <w:lang w:bidi="ar"/>
        </w:rPr>
        <w:t>%。</w:t>
      </w:r>
    </w:p>
    <w:p w14:paraId="2FF288C6">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2.绩效评价指标体系</w:t>
      </w:r>
    </w:p>
    <w:p w14:paraId="04DF7EF6">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项目评价指标划分为三级，综合评价一级指标包括项目决策指标、过程指标、</w:t>
      </w:r>
      <w:r>
        <w:rPr>
          <w:rFonts w:hint="eastAsia" w:ascii="仿宋_GB2312" w:hAnsi="仿宋_GB2312" w:cs="仿宋_GB2312"/>
          <w:szCs w:val="28"/>
          <w:highlight w:val="none"/>
          <w:lang w:val="en-US" w:eastAsia="zh-CN"/>
        </w:rPr>
        <w:t>成本指标、</w:t>
      </w:r>
      <w:r>
        <w:rPr>
          <w:rFonts w:hint="eastAsia" w:ascii="仿宋_GB2312" w:hAnsi="仿宋_GB2312" w:cs="仿宋_GB2312"/>
          <w:szCs w:val="28"/>
          <w:highlight w:val="none"/>
        </w:rPr>
        <w:t>产出指标、效益指标。二、三级评价指标根据项目实际情况制定了可量化、可操作的细化绩效目标，指标分值根据项目指标重要程度、项目实施阶段等因素综合确定（项目评价指标体系详见附表1）。</w:t>
      </w:r>
    </w:p>
    <w:p w14:paraId="3E8B545C">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（1）项目决策指标为一级指标，权重</w:t>
      </w:r>
      <w:r>
        <w:rPr>
          <w:rFonts w:hint="eastAsia" w:ascii="仿宋_GB2312" w:hAnsi="仿宋_GB2312" w:cs="仿宋_GB2312"/>
          <w:szCs w:val="28"/>
          <w:highlight w:val="none"/>
          <w:lang w:val="en-US" w:eastAsia="zh-CN"/>
        </w:rPr>
        <w:t>15</w:t>
      </w:r>
      <w:r>
        <w:rPr>
          <w:rFonts w:hint="eastAsia" w:ascii="仿宋_GB2312" w:hAnsi="仿宋_GB2312" w:cs="仿宋_GB2312"/>
          <w:szCs w:val="28"/>
          <w:highlight w:val="none"/>
        </w:rPr>
        <w:t>分。重点关注项目立项的政策依据是否充分，是否符合国家相关法律法规、部门规章、发展规划及职能；立项流程是否合规，项目申请设立过程是否符合相关要求；项目是否设定绩效目标，设定的绩效目标依据是否充分、符合客观实际，是否能做到细化、量化和可衡量；项目预算编制是否经过科学论证，预算额度与年度目标是否相适应；资金安排依据是否充分，安排额度是否与项目相适应。</w:t>
      </w:r>
    </w:p>
    <w:p w14:paraId="6615485C">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（2）项目过程指标为一级指标，权重</w:t>
      </w:r>
      <w:r>
        <w:rPr>
          <w:rFonts w:hint="eastAsia" w:ascii="仿宋_GB2312" w:hAnsi="仿宋_GB2312" w:cs="仿宋_GB2312"/>
          <w:szCs w:val="28"/>
          <w:highlight w:val="none"/>
          <w:lang w:val="en-US" w:eastAsia="zh-CN"/>
        </w:rPr>
        <w:t>15</w:t>
      </w:r>
      <w:r>
        <w:rPr>
          <w:rFonts w:hint="eastAsia" w:ascii="仿宋_GB2312" w:hAnsi="仿宋_GB2312" w:cs="仿宋_GB2312"/>
          <w:szCs w:val="28"/>
          <w:highlight w:val="none"/>
        </w:rPr>
        <w:t>分。重点关注专项资金是否及时到位，保障项目执行；项目资金是否按照预算执行；资金使用范围和方向是否符合专项资金管理规定；</w:t>
      </w:r>
      <w:r>
        <w:rPr>
          <w:rFonts w:hint="eastAsia" w:ascii="仿宋_GB2312" w:hAnsi="仿宋_GB2312" w:cs="仿宋_GB2312"/>
          <w:szCs w:val="28"/>
          <w:highlight w:val="none"/>
          <w:lang w:val="en-US" w:eastAsia="zh-CN"/>
        </w:rPr>
        <w:t>甘肃省高级人民法院</w:t>
      </w:r>
      <w:r>
        <w:rPr>
          <w:rFonts w:hint="eastAsia" w:ascii="仿宋_GB2312" w:hAnsi="仿宋_GB2312" w:cs="仿宋_GB2312"/>
          <w:szCs w:val="28"/>
          <w:highlight w:val="none"/>
        </w:rPr>
        <w:t>专项资金和业务管理制度是否健全，是否符合相关法律法规并得到有效执行；项目是否按照规定实施；是否遵守相关法律法规和相关管理规定，按时向社会公告项目实施情况。</w:t>
      </w:r>
    </w:p>
    <w:p w14:paraId="15A24BA3">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3</w:t>
      </w: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成本</w:t>
      </w:r>
      <w:r>
        <w:rPr>
          <w:rFonts w:hint="eastAsia" w:ascii="仿宋_GB2312" w:hAnsi="仿宋_GB2312" w:cs="仿宋_GB2312"/>
          <w:szCs w:val="28"/>
          <w:highlight w:val="none"/>
        </w:rPr>
        <w:t>指标为一级指标，权重</w:t>
      </w:r>
      <w:r>
        <w:rPr>
          <w:rFonts w:hint="eastAsia" w:ascii="仿宋_GB2312" w:hAnsi="仿宋_GB2312" w:cs="仿宋_GB2312"/>
          <w:szCs w:val="28"/>
          <w:highlight w:val="none"/>
          <w:lang w:val="en-US" w:eastAsia="zh-CN"/>
        </w:rPr>
        <w:t>10</w:t>
      </w:r>
      <w:r>
        <w:rPr>
          <w:rFonts w:hint="eastAsia" w:ascii="仿宋_GB2312" w:hAnsi="仿宋_GB2312" w:cs="仿宋_GB2312"/>
          <w:szCs w:val="28"/>
          <w:highlight w:val="none"/>
        </w:rPr>
        <w:t>分。重点关注成本控制情况</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项目实际支出是否超出预算，用以反映和考核项目的成本节约程度。</w:t>
      </w:r>
    </w:p>
    <w:p w14:paraId="5C49B42E">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rPr>
        <w:t>）项目产出指标为一级指标，权重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分。从数量、质量、时效</w:t>
      </w:r>
      <w:r>
        <w:rPr>
          <w:rFonts w:hint="eastAsia" w:ascii="仿宋_GB2312" w:hAnsi="仿宋_GB2312" w:cs="仿宋_GB2312"/>
          <w:szCs w:val="28"/>
          <w:highlight w:val="none"/>
          <w:lang w:val="en-US" w:eastAsia="zh-CN"/>
        </w:rPr>
        <w:t>三</w:t>
      </w:r>
      <w:r>
        <w:rPr>
          <w:rFonts w:hint="eastAsia" w:ascii="仿宋_GB2312" w:hAnsi="仿宋_GB2312" w:cs="仿宋_GB2312"/>
          <w:szCs w:val="28"/>
          <w:highlight w:val="none"/>
        </w:rPr>
        <w:t>个方面分析项目的产出情况，重点关注项目实施的实际产出数与计划产出数的比率。</w:t>
      </w:r>
    </w:p>
    <w:p w14:paraId="151B0644">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rPr>
        <w:t>）项目效益指标为一级指标，权重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分。从社会效益、满意度指标</w:t>
      </w:r>
      <w:r>
        <w:rPr>
          <w:rFonts w:hint="eastAsia" w:ascii="仿宋_GB2312" w:hAnsi="仿宋_GB2312" w:cs="仿宋_GB2312"/>
          <w:szCs w:val="28"/>
          <w:highlight w:val="none"/>
          <w:lang w:val="en-US" w:eastAsia="zh-CN"/>
        </w:rPr>
        <w:t>两</w:t>
      </w:r>
      <w:r>
        <w:rPr>
          <w:rFonts w:hint="eastAsia" w:ascii="仿宋_GB2312" w:hAnsi="仿宋_GB2312" w:cs="仿宋_GB2312"/>
          <w:szCs w:val="28"/>
          <w:highlight w:val="none"/>
        </w:rPr>
        <w:t>个方面分析项目实施产生的效益，重点</w:t>
      </w:r>
      <w:r>
        <w:rPr>
          <w:rFonts w:hint="eastAsia" w:ascii="仿宋_GB2312" w:hAnsi="仿宋_GB2312" w:cs="仿宋_GB2312"/>
          <w:szCs w:val="28"/>
          <w:highlight w:val="none"/>
          <w:lang w:val="en-US" w:eastAsia="zh-CN"/>
        </w:rPr>
        <w:t>关注</w:t>
      </w:r>
      <w:r>
        <w:rPr>
          <w:rFonts w:hint="eastAsia" w:ascii="仿宋_GB2312" w:hAnsi="仿宋_GB2312" w:cs="仿宋_GB2312"/>
          <w:szCs w:val="28"/>
          <w:highlight w:val="none"/>
        </w:rPr>
        <w:t>项目的实施产生</w:t>
      </w:r>
      <w:r>
        <w:rPr>
          <w:rFonts w:hint="eastAsia" w:ascii="仿宋_GB2312" w:hAnsi="仿宋_GB2312" w:cs="仿宋_GB2312"/>
          <w:szCs w:val="28"/>
          <w:highlight w:val="none"/>
          <w:lang w:val="en-US" w:eastAsia="zh-CN"/>
        </w:rPr>
        <w:t>效益是否达到预期</w:t>
      </w:r>
      <w:r>
        <w:rPr>
          <w:rFonts w:hint="eastAsia" w:ascii="仿宋_GB2312" w:hAnsi="仿宋_GB2312" w:cs="仿宋_GB2312"/>
          <w:szCs w:val="28"/>
          <w:highlight w:val="none"/>
        </w:rPr>
        <w:t>。</w:t>
      </w:r>
    </w:p>
    <w:p w14:paraId="57361682">
      <w:pPr>
        <w:pStyle w:val="9"/>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 xml:space="preserve">3.评价标准 </w:t>
      </w:r>
    </w:p>
    <w:p w14:paraId="3194C30F">
      <w:pPr>
        <w:keepNext w:val="0"/>
        <w:keepLines w:val="0"/>
        <w:pageBreakBefore w:val="0"/>
        <w:widowControl/>
        <w:kinsoku/>
        <w:wordWrap/>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 xml:space="preserve">本次绩效评价结果采取评分与评级相结合的形式。 </w:t>
      </w:r>
    </w:p>
    <w:p w14:paraId="4CD92DCD">
      <w:pPr>
        <w:keepNext w:val="0"/>
        <w:keepLines w:val="0"/>
        <w:pageBreakBefore w:val="0"/>
        <w:widowControl/>
        <w:kinsoku/>
        <w:wordWrap/>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w:t>
      </w:r>
      <w:r>
        <w:rPr>
          <w:rFonts w:ascii="仿宋_GB2312" w:hAnsi="仿宋_GB2312" w:eastAsia="仿宋_GB2312" w:cs="仿宋_GB2312"/>
          <w:sz w:val="32"/>
          <w:szCs w:val="28"/>
          <w:highlight w:val="none"/>
        </w:rPr>
        <w:t>1</w:t>
      </w:r>
      <w:r>
        <w:rPr>
          <w:rFonts w:hint="eastAsia" w:ascii="仿宋_GB2312" w:hAnsi="仿宋_GB2312" w:eastAsia="仿宋_GB2312" w:cs="仿宋_GB2312"/>
          <w:sz w:val="32"/>
          <w:szCs w:val="28"/>
          <w:highlight w:val="none"/>
        </w:rPr>
        <w:t>）评价评分。采用定性与定量评价相结合的方法，对定性评价指标采取分析打分，对定量评价指标采用量化打分，评价综合得分采用百分制，满分为</w:t>
      </w:r>
      <w:r>
        <w:rPr>
          <w:rFonts w:ascii="仿宋_GB2312" w:hAnsi="仿宋_GB2312" w:eastAsia="仿宋_GB2312" w:cs="仿宋_GB2312"/>
          <w:sz w:val="32"/>
          <w:szCs w:val="28"/>
          <w:highlight w:val="none"/>
        </w:rPr>
        <w:t>100</w:t>
      </w:r>
      <w:r>
        <w:rPr>
          <w:rFonts w:hint="eastAsia" w:ascii="仿宋_GB2312" w:hAnsi="仿宋_GB2312" w:eastAsia="仿宋_GB2312" w:cs="仿宋_GB2312"/>
          <w:sz w:val="32"/>
          <w:szCs w:val="28"/>
          <w:highlight w:val="none"/>
        </w:rPr>
        <w:t>分。</w:t>
      </w:r>
    </w:p>
    <w:p w14:paraId="00A37D89">
      <w:pPr>
        <w:keepNext w:val="0"/>
        <w:keepLines w:val="0"/>
        <w:pageBreakBefore w:val="0"/>
        <w:widowControl/>
        <w:kinsoku/>
        <w:wordWrap/>
        <w:topLinePunct w:val="0"/>
        <w:autoSpaceDE/>
        <w:autoSpaceDN/>
        <w:bidi w:val="0"/>
        <w:adjustRightInd/>
        <w:snapToGrid/>
        <w:spacing w:line="560" w:lineRule="exact"/>
        <w:ind w:firstLine="640" w:firstLineChars="200"/>
        <w:textAlignment w:val="auto"/>
        <w:rPr>
          <w:highlight w:val="none"/>
        </w:rPr>
      </w:pPr>
      <w:r>
        <w:rPr>
          <w:rFonts w:hint="eastAsia" w:ascii="仿宋_GB2312" w:hAnsi="仿宋_GB2312" w:eastAsia="仿宋_GB2312" w:cs="仿宋_GB2312"/>
          <w:sz w:val="32"/>
          <w:szCs w:val="28"/>
          <w:highlight w:val="none"/>
        </w:rPr>
        <w:t>（2）评价等级。依据财政部《关于印发〈项目支出绩效评价管理办法〉的通知》（财预</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2020</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10</w:t>
      </w:r>
      <w:r>
        <w:rPr>
          <w:rFonts w:hint="eastAsia" w:ascii="仿宋_GB2312" w:hAnsi="仿宋_GB2312" w:eastAsia="仿宋_GB2312" w:cs="仿宋_GB2312"/>
          <w:sz w:val="32"/>
          <w:szCs w:val="28"/>
          <w:highlight w:val="none"/>
        </w:rPr>
        <w:t>号），绩效评价结果评分分值与评价等级的对应关系如下：</w:t>
      </w:r>
    </w:p>
    <w:p w14:paraId="011C75EC">
      <w:pPr>
        <w:widowControl/>
        <w:jc w:val="center"/>
        <w:rPr>
          <w:highlight w:val="none"/>
        </w:rPr>
      </w:pPr>
      <w:r>
        <w:rPr>
          <w:rFonts w:hint="eastAsia" w:ascii="宋体" w:hAnsi="宋体" w:eastAsia="宋体" w:cs="宋体"/>
          <w:color w:val="000000"/>
          <w:kern w:val="0"/>
          <w:sz w:val="28"/>
          <w:szCs w:val="28"/>
          <w:highlight w:val="none"/>
          <w:lang w:bidi="ar"/>
        </w:rPr>
        <w:t>绩效评价结果评分分值与评价等级表</w:t>
      </w:r>
    </w:p>
    <w:tbl>
      <w:tblPr>
        <w:tblStyle w:val="20"/>
        <w:tblW w:w="4875" w:type="pct"/>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6"/>
        <w:gridCol w:w="1737"/>
        <w:gridCol w:w="1737"/>
        <w:gridCol w:w="1737"/>
        <w:gridCol w:w="1632"/>
      </w:tblGrid>
      <w:tr w14:paraId="7EAF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 w:type="pct"/>
            <w:vAlign w:val="center"/>
          </w:tcPr>
          <w:p w14:paraId="29C7472C">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评价等级</w:t>
            </w:r>
          </w:p>
        </w:tc>
        <w:tc>
          <w:tcPr>
            <w:tcW w:w="1025" w:type="pct"/>
            <w:vAlign w:val="center"/>
          </w:tcPr>
          <w:p w14:paraId="247262CC">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优</w:t>
            </w:r>
          </w:p>
        </w:tc>
        <w:tc>
          <w:tcPr>
            <w:tcW w:w="1025" w:type="pct"/>
            <w:vAlign w:val="center"/>
          </w:tcPr>
          <w:p w14:paraId="34A661CC">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良</w:t>
            </w:r>
          </w:p>
        </w:tc>
        <w:tc>
          <w:tcPr>
            <w:tcW w:w="1025" w:type="pct"/>
            <w:vAlign w:val="center"/>
          </w:tcPr>
          <w:p w14:paraId="155D79B2">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中</w:t>
            </w:r>
          </w:p>
        </w:tc>
        <w:tc>
          <w:tcPr>
            <w:tcW w:w="963" w:type="pct"/>
            <w:vAlign w:val="center"/>
          </w:tcPr>
          <w:p w14:paraId="21CC364C">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差</w:t>
            </w:r>
          </w:p>
        </w:tc>
      </w:tr>
      <w:tr w14:paraId="08730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 w:type="pct"/>
            <w:vAlign w:val="center"/>
          </w:tcPr>
          <w:p w14:paraId="1A567CB8">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评分分值</w:t>
            </w:r>
          </w:p>
        </w:tc>
        <w:tc>
          <w:tcPr>
            <w:tcW w:w="1025" w:type="pct"/>
            <w:vAlign w:val="center"/>
          </w:tcPr>
          <w:p w14:paraId="29E0C041">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w:t>
            </w:r>
          </w:p>
        </w:tc>
        <w:tc>
          <w:tcPr>
            <w:tcW w:w="1025" w:type="pct"/>
            <w:vAlign w:val="center"/>
          </w:tcPr>
          <w:p w14:paraId="44822B7B">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＜90，≥80</w:t>
            </w:r>
          </w:p>
        </w:tc>
        <w:tc>
          <w:tcPr>
            <w:tcW w:w="1025" w:type="pct"/>
            <w:vAlign w:val="center"/>
          </w:tcPr>
          <w:p w14:paraId="7A9CC436">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＜80，≥60</w:t>
            </w:r>
          </w:p>
        </w:tc>
        <w:tc>
          <w:tcPr>
            <w:tcW w:w="963" w:type="pct"/>
            <w:vAlign w:val="center"/>
          </w:tcPr>
          <w:p w14:paraId="212C086E">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＜60</w:t>
            </w:r>
          </w:p>
        </w:tc>
      </w:tr>
    </w:tbl>
    <w:p w14:paraId="641BF15B">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4.数据来源及证据收集方式</w:t>
      </w:r>
    </w:p>
    <w:p w14:paraId="44F9E400">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本次绩效评价的证据收集途径主要有：</w:t>
      </w:r>
    </w:p>
    <w:p w14:paraId="0D4929DC">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（1）由</w:t>
      </w:r>
      <w:r>
        <w:rPr>
          <w:rFonts w:hint="eastAsia" w:ascii="仿宋_GB2312" w:hAnsi="仿宋_GB2312" w:cs="仿宋_GB2312"/>
          <w:szCs w:val="28"/>
          <w:highlight w:val="none"/>
          <w:lang w:val="en-US" w:eastAsia="zh-CN"/>
        </w:rPr>
        <w:t>甘肃省高级人民法院机关及9个直属法院</w:t>
      </w:r>
      <w:r>
        <w:rPr>
          <w:rFonts w:hint="eastAsia" w:ascii="仿宋_GB2312" w:hAnsi="仿宋_GB2312" w:cs="仿宋_GB2312"/>
          <w:highlight w:val="none"/>
        </w:rPr>
        <w:t>根据资料清单</w:t>
      </w:r>
      <w:r>
        <w:rPr>
          <w:rFonts w:hint="eastAsia" w:ascii="仿宋_GB2312" w:hAnsi="仿宋_GB2312" w:cs="仿宋_GB2312"/>
          <w:szCs w:val="28"/>
          <w:highlight w:val="none"/>
        </w:rPr>
        <w:t>提供基础数据资料；</w:t>
      </w:r>
    </w:p>
    <w:p w14:paraId="1FD0FE6C">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（2）通过与</w:t>
      </w:r>
      <w:r>
        <w:rPr>
          <w:rFonts w:hint="eastAsia" w:ascii="仿宋_GB2312" w:hAnsi="仿宋_GB2312" w:cs="仿宋_GB2312"/>
          <w:szCs w:val="28"/>
          <w:highlight w:val="none"/>
          <w:lang w:val="en-US" w:eastAsia="zh-CN"/>
        </w:rPr>
        <w:t>甘肃省高级人民法院机关及9个直属法院</w:t>
      </w:r>
      <w:r>
        <w:rPr>
          <w:rFonts w:hint="eastAsia" w:ascii="仿宋_GB2312" w:hAnsi="仿宋_GB2312" w:cs="仿宋_GB2312"/>
          <w:highlight w:val="none"/>
        </w:rPr>
        <w:t>相关工作人员</w:t>
      </w:r>
      <w:r>
        <w:rPr>
          <w:rFonts w:hint="eastAsia" w:ascii="仿宋_GB2312" w:hAnsi="仿宋_GB2312" w:cs="仿宋_GB2312"/>
          <w:szCs w:val="28"/>
          <w:highlight w:val="none"/>
        </w:rPr>
        <w:t>交流，获取信息，了解项目的成效；</w:t>
      </w:r>
    </w:p>
    <w:p w14:paraId="732AB76F">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（3）对受益对象进行问卷调查，获取满意度数据。</w:t>
      </w:r>
    </w:p>
    <w:p w14:paraId="634C2004">
      <w:pPr>
        <w:pStyle w:val="9"/>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08" w:name="_Toc8104"/>
      <w:bookmarkStart w:id="109" w:name="_Toc240"/>
      <w:r>
        <w:rPr>
          <w:rFonts w:hint="eastAsia" w:ascii="楷体" w:hAnsi="楷体" w:eastAsia="楷体" w:cs="楷体"/>
          <w:b/>
          <w:bCs/>
          <w:highlight w:val="none"/>
        </w:rPr>
        <w:t>（</w:t>
      </w:r>
      <w:r>
        <w:rPr>
          <w:rFonts w:hint="eastAsia" w:ascii="楷体" w:hAnsi="楷体" w:eastAsia="楷体" w:cs="楷体"/>
          <w:b/>
          <w:bCs/>
          <w:highlight w:val="none"/>
          <w:lang w:val="en-US" w:eastAsia="zh-CN"/>
        </w:rPr>
        <w:t>六</w:t>
      </w:r>
      <w:r>
        <w:rPr>
          <w:rFonts w:hint="eastAsia" w:ascii="楷体" w:hAnsi="楷体" w:eastAsia="楷体" w:cs="楷体"/>
          <w:b/>
          <w:bCs/>
          <w:highlight w:val="none"/>
        </w:rPr>
        <w:t>）绩效评价工作过程</w:t>
      </w:r>
      <w:bookmarkEnd w:id="108"/>
      <w:bookmarkEnd w:id="109"/>
    </w:p>
    <w:p w14:paraId="1D4B5582">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bookmarkStart w:id="110" w:name="_Toc3172"/>
      <w:bookmarkStart w:id="111" w:name="_Toc30609"/>
      <w:bookmarkStart w:id="112" w:name="_Toc19094"/>
      <w:bookmarkStart w:id="113" w:name="_Toc31135"/>
      <w:bookmarkStart w:id="114" w:name="_Toc27041"/>
      <w:bookmarkStart w:id="115" w:name="_Toc10150"/>
      <w:bookmarkStart w:id="116" w:name="_Toc1946"/>
      <w:bookmarkStart w:id="117" w:name="_Toc95"/>
      <w:r>
        <w:rPr>
          <w:rFonts w:hint="eastAsia" w:ascii="仿宋_GB2312" w:hAnsi="仿宋_GB2312" w:cs="仿宋_GB2312"/>
          <w:highlight w:val="none"/>
        </w:rPr>
        <w:t>绩效评价工作过程主要包括准备阶段、实施阶段、撰写报告阶段三个阶段。</w:t>
      </w:r>
      <w:bookmarkEnd w:id="110"/>
      <w:bookmarkEnd w:id="111"/>
      <w:bookmarkEnd w:id="112"/>
      <w:bookmarkEnd w:id="113"/>
      <w:bookmarkEnd w:id="114"/>
      <w:bookmarkEnd w:id="115"/>
      <w:bookmarkEnd w:id="116"/>
      <w:bookmarkEnd w:id="117"/>
    </w:p>
    <w:p w14:paraId="21187DA9">
      <w:pPr>
        <w:pStyle w:val="4"/>
        <w:keepNext w:val="0"/>
        <w:keepLines w:val="0"/>
        <w:pageBreakBefore w:val="0"/>
        <w:widowControl w:val="0"/>
        <w:kinsoku/>
        <w:wordWrap/>
        <w:overflowPunct w:val="0"/>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1.准备阶段</w:t>
      </w:r>
    </w:p>
    <w:p w14:paraId="211A0A17">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（1）确定绩效评价组</w:t>
      </w:r>
    </w:p>
    <w:p w14:paraId="1B014D5F">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安排部署本次绩效评价工作</w:t>
      </w:r>
      <w:r>
        <w:rPr>
          <w:rFonts w:hint="eastAsia" w:ascii="仿宋_GB2312" w:hAnsi="仿宋_GB2312" w:cs="仿宋_GB2312"/>
          <w:highlight w:val="none"/>
          <w:lang w:eastAsia="zh-CN"/>
        </w:rPr>
        <w:t>，</w:t>
      </w:r>
      <w:r>
        <w:rPr>
          <w:rFonts w:hint="eastAsia" w:ascii="仿宋_GB2312" w:hAnsi="仿宋_GB2312" w:cs="仿宋_GB2312"/>
          <w:highlight w:val="none"/>
        </w:rPr>
        <w:t>我公司及时确定绩效评价对象和范围、成立评价工作组、开展前期调研、研究制定绩效评价工作方案、组织专家论证，明确了工作范围和职责，组织评价组人员进行业务培训，使各参评人员对绩效评价情况做进一步了解。</w:t>
      </w:r>
      <w:r>
        <w:rPr>
          <w:rFonts w:hint="eastAsia" w:ascii="仿宋_GB2312" w:hAnsi="仿宋_GB2312" w:cs="仿宋_GB2312"/>
          <w:szCs w:val="28"/>
          <w:highlight w:val="none"/>
        </w:rPr>
        <w:t>评价工作组人员名单及职责分工情况见下表：</w:t>
      </w:r>
    </w:p>
    <w:tbl>
      <w:tblPr>
        <w:tblStyle w:val="20"/>
        <w:tblW w:w="4960" w:type="pct"/>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1195"/>
        <w:gridCol w:w="1517"/>
        <w:gridCol w:w="2148"/>
        <w:gridCol w:w="2871"/>
      </w:tblGrid>
      <w:tr w14:paraId="6FE66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blHeader/>
        </w:trPr>
        <w:tc>
          <w:tcPr>
            <w:tcW w:w="514" w:type="pct"/>
            <w:vAlign w:val="center"/>
          </w:tcPr>
          <w:p w14:paraId="6173F5B9">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序号</w:t>
            </w:r>
          </w:p>
        </w:tc>
        <w:tc>
          <w:tcPr>
            <w:tcW w:w="693" w:type="pct"/>
            <w:vAlign w:val="center"/>
          </w:tcPr>
          <w:p w14:paraId="67357419">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姓名</w:t>
            </w:r>
          </w:p>
        </w:tc>
        <w:tc>
          <w:tcPr>
            <w:tcW w:w="880" w:type="pct"/>
            <w:vAlign w:val="center"/>
          </w:tcPr>
          <w:p w14:paraId="7B34B900">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职务</w:t>
            </w:r>
          </w:p>
        </w:tc>
        <w:tc>
          <w:tcPr>
            <w:tcW w:w="1246" w:type="pct"/>
            <w:vAlign w:val="center"/>
          </w:tcPr>
          <w:p w14:paraId="1062E15B">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职称和职业资格</w:t>
            </w:r>
          </w:p>
        </w:tc>
        <w:tc>
          <w:tcPr>
            <w:tcW w:w="1665" w:type="pct"/>
          </w:tcPr>
          <w:p w14:paraId="16A9C3FF">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工作内容</w:t>
            </w:r>
          </w:p>
        </w:tc>
      </w:tr>
      <w:tr w14:paraId="3A202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52FD7216">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1</w:t>
            </w:r>
          </w:p>
        </w:tc>
        <w:tc>
          <w:tcPr>
            <w:tcW w:w="693" w:type="pct"/>
            <w:vAlign w:val="center"/>
          </w:tcPr>
          <w:p w14:paraId="1D4767C3">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郑生伟</w:t>
            </w:r>
          </w:p>
        </w:tc>
        <w:tc>
          <w:tcPr>
            <w:tcW w:w="880" w:type="pct"/>
            <w:vAlign w:val="center"/>
          </w:tcPr>
          <w:p w14:paraId="2703BBE9">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审核人</w:t>
            </w:r>
          </w:p>
        </w:tc>
        <w:tc>
          <w:tcPr>
            <w:tcW w:w="1246" w:type="pct"/>
            <w:vAlign w:val="center"/>
          </w:tcPr>
          <w:p w14:paraId="5D30A6E7">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5" w:type="pct"/>
            <w:vAlign w:val="center"/>
          </w:tcPr>
          <w:p w14:paraId="0856F7B3">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绩效评价指导、复核</w:t>
            </w:r>
          </w:p>
        </w:tc>
      </w:tr>
      <w:tr w14:paraId="33E1B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514" w:type="pct"/>
            <w:vAlign w:val="center"/>
          </w:tcPr>
          <w:p w14:paraId="6DF77E86">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2</w:t>
            </w:r>
          </w:p>
        </w:tc>
        <w:tc>
          <w:tcPr>
            <w:tcW w:w="693" w:type="pct"/>
            <w:vAlign w:val="center"/>
          </w:tcPr>
          <w:p w14:paraId="6B288F3F">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刘燕</w:t>
            </w:r>
          </w:p>
        </w:tc>
        <w:tc>
          <w:tcPr>
            <w:tcW w:w="880" w:type="pct"/>
            <w:vAlign w:val="center"/>
          </w:tcPr>
          <w:p w14:paraId="2EE8F100">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主评人</w:t>
            </w:r>
          </w:p>
        </w:tc>
        <w:tc>
          <w:tcPr>
            <w:tcW w:w="1246" w:type="pct"/>
            <w:vAlign w:val="center"/>
          </w:tcPr>
          <w:p w14:paraId="282CCC89">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5" w:type="pct"/>
            <w:vAlign w:val="center"/>
          </w:tcPr>
          <w:p w14:paraId="23580AF7">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制定评价方案、评价报告撰写、现场及非现场评价</w:t>
            </w:r>
          </w:p>
        </w:tc>
      </w:tr>
      <w:tr w14:paraId="25F9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4EA25C5C">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3</w:t>
            </w:r>
          </w:p>
        </w:tc>
        <w:tc>
          <w:tcPr>
            <w:tcW w:w="693" w:type="pct"/>
            <w:vAlign w:val="center"/>
          </w:tcPr>
          <w:p w14:paraId="4FD6E0E7">
            <w:pPr>
              <w:pStyle w:val="9"/>
              <w:overflowPunct w:val="0"/>
              <w:spacing w:line="360" w:lineRule="auto"/>
              <w:jc w:val="center"/>
              <w:rPr>
                <w:rFonts w:hint="default"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吕晓芳</w:t>
            </w:r>
          </w:p>
        </w:tc>
        <w:tc>
          <w:tcPr>
            <w:tcW w:w="880" w:type="pct"/>
            <w:vAlign w:val="center"/>
          </w:tcPr>
          <w:p w14:paraId="62C86EDD">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1B44B357">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restart"/>
            <w:vAlign w:val="center"/>
          </w:tcPr>
          <w:p w14:paraId="4DA11F2F">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资料收集、审核、整理分析、现场及非现场评价</w:t>
            </w:r>
          </w:p>
        </w:tc>
      </w:tr>
      <w:tr w14:paraId="00981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14" w:type="pct"/>
            <w:vAlign w:val="center"/>
          </w:tcPr>
          <w:p w14:paraId="60787C10">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4</w:t>
            </w:r>
          </w:p>
        </w:tc>
        <w:tc>
          <w:tcPr>
            <w:tcW w:w="693" w:type="pct"/>
            <w:vAlign w:val="center"/>
          </w:tcPr>
          <w:p w14:paraId="1774700B">
            <w:pPr>
              <w:pStyle w:val="9"/>
              <w:overflowPunct w:val="0"/>
              <w:spacing w:line="360" w:lineRule="auto"/>
              <w:jc w:val="center"/>
              <w:rPr>
                <w:rFonts w:hint="default"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向文霞</w:t>
            </w:r>
          </w:p>
        </w:tc>
        <w:tc>
          <w:tcPr>
            <w:tcW w:w="880" w:type="pct"/>
            <w:vAlign w:val="center"/>
          </w:tcPr>
          <w:p w14:paraId="049BD65B">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7A9BD3EC">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continue"/>
          </w:tcPr>
          <w:p w14:paraId="75E5BB40">
            <w:pPr>
              <w:overflowPunct w:val="0"/>
              <w:spacing w:line="360" w:lineRule="auto"/>
              <w:rPr>
                <w:rFonts w:ascii="宋体" w:hAnsi="宋体" w:eastAsia="宋体" w:cs="Times New Roman"/>
                <w:sz w:val="24"/>
                <w:szCs w:val="24"/>
                <w:highlight w:val="none"/>
                <w:shd w:val="clear" w:color="auto" w:fill="FFFFFF"/>
              </w:rPr>
            </w:pPr>
          </w:p>
        </w:tc>
      </w:tr>
      <w:tr w14:paraId="6A661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514" w:type="pct"/>
            <w:vAlign w:val="center"/>
          </w:tcPr>
          <w:p w14:paraId="71BCDEAB">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5</w:t>
            </w:r>
          </w:p>
        </w:tc>
        <w:tc>
          <w:tcPr>
            <w:tcW w:w="693" w:type="pct"/>
            <w:vAlign w:val="center"/>
          </w:tcPr>
          <w:p w14:paraId="2CC358F1">
            <w:pPr>
              <w:pStyle w:val="9"/>
              <w:overflowPunct w:val="0"/>
              <w:spacing w:line="360" w:lineRule="auto"/>
              <w:jc w:val="center"/>
              <w:rPr>
                <w:rFonts w:hint="eastAsia" w:ascii="宋体" w:hAnsi="宋体" w:eastAsia="宋体" w:cs="Times New Roman"/>
                <w:sz w:val="24"/>
                <w:szCs w:val="24"/>
                <w:highlight w:val="none"/>
                <w:shd w:val="clear" w:color="auto" w:fill="FFFFFF"/>
                <w:lang w:eastAsia="zh-CN"/>
              </w:rPr>
            </w:pPr>
            <w:r>
              <w:rPr>
                <w:rFonts w:hint="eastAsia" w:ascii="宋体" w:hAnsi="宋体" w:eastAsia="宋体" w:cs="Times New Roman"/>
                <w:sz w:val="24"/>
                <w:szCs w:val="24"/>
                <w:highlight w:val="none"/>
                <w:shd w:val="clear" w:color="auto" w:fill="FFFFFF"/>
                <w:lang w:val="en-US" w:eastAsia="zh-CN"/>
              </w:rPr>
              <w:t>赵悦江</w:t>
            </w:r>
          </w:p>
        </w:tc>
        <w:tc>
          <w:tcPr>
            <w:tcW w:w="880" w:type="pct"/>
            <w:vAlign w:val="center"/>
          </w:tcPr>
          <w:p w14:paraId="5AA4613C">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7F8183E0">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continue"/>
          </w:tcPr>
          <w:p w14:paraId="331CA712">
            <w:pPr>
              <w:overflowPunct w:val="0"/>
              <w:spacing w:line="360" w:lineRule="auto"/>
              <w:rPr>
                <w:rFonts w:ascii="宋体" w:hAnsi="宋体" w:eastAsia="宋体" w:cs="Times New Roman"/>
                <w:sz w:val="24"/>
                <w:szCs w:val="24"/>
                <w:highlight w:val="none"/>
                <w:shd w:val="clear" w:color="auto" w:fill="FFFFFF"/>
              </w:rPr>
            </w:pPr>
          </w:p>
        </w:tc>
      </w:tr>
      <w:tr w14:paraId="485E2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07D7834E">
            <w:pPr>
              <w:pStyle w:val="9"/>
              <w:overflowPunct w:val="0"/>
              <w:spacing w:line="360" w:lineRule="auto"/>
              <w:jc w:val="center"/>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6</w:t>
            </w:r>
          </w:p>
        </w:tc>
        <w:tc>
          <w:tcPr>
            <w:tcW w:w="693" w:type="pct"/>
            <w:vAlign w:val="center"/>
          </w:tcPr>
          <w:p w14:paraId="5685C923">
            <w:pPr>
              <w:pStyle w:val="9"/>
              <w:overflowPunct w:val="0"/>
              <w:spacing w:line="360" w:lineRule="auto"/>
              <w:jc w:val="center"/>
              <w:rPr>
                <w:rFonts w:hint="eastAsia" w:ascii="宋体" w:hAnsi="宋体" w:eastAsia="宋体" w:cs="Times New Roman"/>
                <w:kern w:val="2"/>
                <w:sz w:val="24"/>
                <w:szCs w:val="24"/>
                <w:highlight w:val="none"/>
                <w:shd w:val="clear" w:color="auto" w:fill="FFFFFF"/>
                <w:lang w:val="en-US" w:eastAsia="zh-CN" w:bidi="ar-SA"/>
              </w:rPr>
            </w:pPr>
            <w:r>
              <w:rPr>
                <w:rFonts w:hint="eastAsia" w:ascii="宋体" w:hAnsi="宋体" w:eastAsia="宋体" w:cs="Times New Roman"/>
                <w:sz w:val="24"/>
                <w:szCs w:val="24"/>
                <w:highlight w:val="none"/>
                <w:shd w:val="clear" w:color="auto" w:fill="FFFFFF"/>
              </w:rPr>
              <w:t>杨世勋</w:t>
            </w:r>
          </w:p>
        </w:tc>
        <w:tc>
          <w:tcPr>
            <w:tcW w:w="880" w:type="pct"/>
            <w:vAlign w:val="center"/>
          </w:tcPr>
          <w:p w14:paraId="638D627B">
            <w:pPr>
              <w:pStyle w:val="9"/>
              <w:overflowPunct w:val="0"/>
              <w:spacing w:line="360" w:lineRule="auto"/>
              <w:jc w:val="center"/>
              <w:rPr>
                <w:rFonts w:hint="eastAsia" w:ascii="宋体" w:hAnsi="宋体" w:eastAsia="宋体" w:cs="Times New Roman"/>
                <w:kern w:val="2"/>
                <w:sz w:val="24"/>
                <w:szCs w:val="24"/>
                <w:highlight w:val="none"/>
                <w:shd w:val="clear" w:color="auto" w:fill="FFFFFF"/>
                <w:lang w:val="en-US" w:eastAsia="zh-CN" w:bidi="ar-SA"/>
              </w:rPr>
            </w:pPr>
            <w:r>
              <w:rPr>
                <w:rFonts w:hint="eastAsia" w:ascii="宋体" w:hAnsi="宋体" w:eastAsia="宋体" w:cs="Times New Roman"/>
                <w:sz w:val="24"/>
                <w:szCs w:val="24"/>
                <w:highlight w:val="none"/>
                <w:shd w:val="clear" w:color="auto" w:fill="FFFFFF"/>
              </w:rPr>
              <w:t>组员</w:t>
            </w:r>
          </w:p>
        </w:tc>
        <w:tc>
          <w:tcPr>
            <w:tcW w:w="1246" w:type="pct"/>
            <w:vAlign w:val="center"/>
          </w:tcPr>
          <w:p w14:paraId="26024F70">
            <w:pPr>
              <w:overflowPunct w:val="0"/>
              <w:spacing w:line="360" w:lineRule="auto"/>
              <w:jc w:val="center"/>
              <w:rPr>
                <w:rFonts w:hint="eastAsia" w:ascii="宋体" w:hAnsi="宋体" w:eastAsia="宋体" w:cs="Times New Roman"/>
                <w:kern w:val="2"/>
                <w:sz w:val="24"/>
                <w:szCs w:val="24"/>
                <w:highlight w:val="none"/>
                <w:shd w:val="clear" w:color="auto" w:fill="FFFFFF"/>
                <w:lang w:val="en-US" w:eastAsia="zh-CN" w:bidi="ar-SA"/>
              </w:rPr>
            </w:pPr>
            <w:r>
              <w:rPr>
                <w:rFonts w:hint="eastAsia" w:ascii="宋体" w:hAnsi="宋体" w:eastAsia="宋体" w:cs="Times New Roman"/>
                <w:sz w:val="24"/>
                <w:szCs w:val="24"/>
                <w:highlight w:val="none"/>
                <w:shd w:val="clear" w:color="auto" w:fill="FFFFFF"/>
              </w:rPr>
              <w:t>助理会计师</w:t>
            </w:r>
          </w:p>
        </w:tc>
        <w:tc>
          <w:tcPr>
            <w:tcW w:w="1665" w:type="pct"/>
            <w:vMerge w:val="continue"/>
          </w:tcPr>
          <w:p w14:paraId="491BCAD4">
            <w:pPr>
              <w:overflowPunct w:val="0"/>
              <w:spacing w:line="360" w:lineRule="auto"/>
              <w:rPr>
                <w:rFonts w:ascii="宋体" w:hAnsi="宋体" w:eastAsia="宋体" w:cs="Times New Roman"/>
                <w:sz w:val="24"/>
                <w:szCs w:val="24"/>
                <w:highlight w:val="none"/>
                <w:shd w:val="clear" w:color="auto" w:fill="FFFFFF"/>
              </w:rPr>
            </w:pPr>
          </w:p>
        </w:tc>
      </w:tr>
    </w:tbl>
    <w:p w14:paraId="1C6AF015">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（2）评价时间安排</w:t>
      </w:r>
    </w:p>
    <w:p w14:paraId="1863B370">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根据</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要求，确定评价时间为202</w:t>
      </w:r>
      <w:r>
        <w:rPr>
          <w:rFonts w:hint="eastAsia" w:ascii="仿宋_GB2312" w:hAnsi="仿宋_GB2312" w:cs="仿宋_GB2312"/>
          <w:highlight w:val="none"/>
          <w:lang w:val="en-US" w:eastAsia="zh-CN"/>
        </w:rPr>
        <w:t>4</w:t>
      </w:r>
      <w:r>
        <w:rPr>
          <w:rFonts w:hint="eastAsia" w:ascii="仿宋_GB2312" w:hAnsi="仿宋_GB2312" w:cs="仿宋_GB2312"/>
          <w:highlight w:val="none"/>
        </w:rPr>
        <w:t>年</w:t>
      </w:r>
      <w:r>
        <w:rPr>
          <w:rFonts w:hint="eastAsia" w:ascii="仿宋_GB2312" w:hAnsi="仿宋_GB2312" w:cs="仿宋_GB2312"/>
          <w:highlight w:val="none"/>
          <w:lang w:val="en-US" w:eastAsia="zh-CN"/>
        </w:rPr>
        <w:t>7</w:t>
      </w:r>
      <w:r>
        <w:rPr>
          <w:rFonts w:hint="eastAsia" w:ascii="仿宋_GB2312" w:hAnsi="仿宋_GB2312" w:cs="仿宋_GB2312"/>
          <w:highlight w:val="none"/>
        </w:rPr>
        <w:t>月</w:t>
      </w:r>
      <w:r>
        <w:rPr>
          <w:rFonts w:hint="eastAsia" w:ascii="仿宋_GB2312" w:hAnsi="仿宋_GB2312" w:cs="仿宋_GB2312"/>
          <w:highlight w:val="none"/>
          <w:lang w:val="en-US" w:eastAsia="zh-CN"/>
        </w:rPr>
        <w:t>1</w:t>
      </w:r>
      <w:r>
        <w:rPr>
          <w:rFonts w:hint="eastAsia" w:ascii="仿宋_GB2312" w:hAnsi="仿宋_GB2312" w:cs="仿宋_GB2312"/>
          <w:highlight w:val="none"/>
        </w:rPr>
        <w:t>日—202</w:t>
      </w:r>
      <w:r>
        <w:rPr>
          <w:rFonts w:hint="eastAsia" w:ascii="仿宋_GB2312" w:hAnsi="仿宋_GB2312" w:cs="仿宋_GB2312"/>
          <w:highlight w:val="none"/>
          <w:lang w:val="en-US" w:eastAsia="zh-CN"/>
        </w:rPr>
        <w:t>4</w:t>
      </w:r>
      <w:r>
        <w:rPr>
          <w:rFonts w:hint="eastAsia" w:ascii="仿宋_GB2312" w:hAnsi="仿宋_GB2312" w:cs="仿宋_GB2312"/>
          <w:highlight w:val="none"/>
        </w:rPr>
        <w:t>年</w:t>
      </w:r>
      <w:r>
        <w:rPr>
          <w:rFonts w:hint="eastAsia" w:ascii="仿宋_GB2312" w:hAnsi="仿宋_GB2312" w:cs="仿宋_GB2312"/>
          <w:highlight w:val="none"/>
          <w:lang w:val="en-US" w:eastAsia="zh-CN"/>
        </w:rPr>
        <w:t>7</w:t>
      </w:r>
      <w:r>
        <w:rPr>
          <w:rFonts w:hint="eastAsia" w:ascii="仿宋_GB2312" w:hAnsi="仿宋_GB2312" w:cs="仿宋_GB2312"/>
          <w:highlight w:val="none"/>
        </w:rPr>
        <w:t>月3</w:t>
      </w:r>
      <w:r>
        <w:rPr>
          <w:rFonts w:hint="eastAsia" w:ascii="仿宋_GB2312" w:hAnsi="仿宋_GB2312" w:cs="仿宋_GB2312"/>
          <w:highlight w:val="none"/>
          <w:lang w:val="en-US" w:eastAsia="zh-CN"/>
        </w:rPr>
        <w:t>1</w:t>
      </w:r>
      <w:r>
        <w:rPr>
          <w:rFonts w:hint="eastAsia" w:ascii="仿宋_GB2312" w:hAnsi="仿宋_GB2312" w:cs="仿宋_GB2312"/>
          <w:highlight w:val="none"/>
        </w:rPr>
        <w:t>日。</w:t>
      </w:r>
    </w:p>
    <w:p w14:paraId="3F98B03A">
      <w:pPr>
        <w:pStyle w:val="4"/>
        <w:keepNext w:val="0"/>
        <w:keepLines w:val="0"/>
        <w:pageBreakBefore w:val="0"/>
        <w:widowControl w:val="0"/>
        <w:kinsoku/>
        <w:wordWrap/>
        <w:overflowPunct w:val="0"/>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2.实施阶段</w:t>
      </w:r>
    </w:p>
    <w:p w14:paraId="3D33553A">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（1）</w:t>
      </w:r>
      <w:r>
        <w:rPr>
          <w:rFonts w:hint="eastAsia" w:ascii="仿宋_GB2312" w:hAnsi="仿宋_GB2312" w:cs="仿宋_GB2312"/>
          <w:highlight w:val="none"/>
          <w:lang w:val="en-US" w:eastAsia="zh-CN"/>
        </w:rPr>
        <w:t>递交资料清单</w:t>
      </w:r>
    </w:p>
    <w:p w14:paraId="4EB4BC06">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绩效评价组在拟开展现场评价的5个工作日前向</w:t>
      </w:r>
      <w:r>
        <w:rPr>
          <w:rFonts w:hint="eastAsia" w:ascii="仿宋_GB2312" w:hAnsi="仿宋_GB2312" w:cs="仿宋_GB2312"/>
          <w:highlight w:val="none"/>
          <w:lang w:val="en-US" w:eastAsia="zh-CN"/>
        </w:rPr>
        <w:t>甘肃省高级人民法院递交</w:t>
      </w:r>
      <w:r>
        <w:rPr>
          <w:rFonts w:hint="eastAsia" w:ascii="仿宋_GB2312" w:hAnsi="仿宋_GB2312" w:cs="仿宋_GB2312"/>
          <w:highlight w:val="none"/>
        </w:rPr>
        <w:t>资料清单，提前准备评价资料。</w:t>
      </w:r>
    </w:p>
    <w:p w14:paraId="0FE4EA47">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（2）进驻评价单位</w:t>
      </w:r>
    </w:p>
    <w:p w14:paraId="46737250">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评价组按</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安排的时间进驻，根据工作方案，202</w:t>
      </w:r>
      <w:r>
        <w:rPr>
          <w:rFonts w:hint="eastAsia" w:ascii="仿宋_GB2312" w:hAnsi="仿宋_GB2312" w:cs="仿宋_GB2312"/>
          <w:highlight w:val="none"/>
          <w:lang w:val="en-US" w:eastAsia="zh-CN"/>
        </w:rPr>
        <w:t>4</w:t>
      </w:r>
      <w:r>
        <w:rPr>
          <w:rFonts w:hint="eastAsia" w:ascii="仿宋_GB2312" w:hAnsi="仿宋_GB2312" w:cs="仿宋_GB2312"/>
          <w:highlight w:val="none"/>
        </w:rPr>
        <w:t>年</w:t>
      </w:r>
      <w:r>
        <w:rPr>
          <w:rFonts w:hint="eastAsia" w:ascii="仿宋_GB2312" w:hAnsi="仿宋_GB2312" w:cs="仿宋_GB2312"/>
          <w:highlight w:val="none"/>
          <w:lang w:val="en-US" w:eastAsia="zh-CN"/>
        </w:rPr>
        <w:t>7</w:t>
      </w:r>
      <w:r>
        <w:rPr>
          <w:rFonts w:hint="eastAsia" w:ascii="仿宋_GB2312" w:hAnsi="仿宋_GB2312" w:cs="仿宋_GB2312"/>
          <w:highlight w:val="none"/>
        </w:rPr>
        <w:t>月</w:t>
      </w:r>
      <w:r>
        <w:rPr>
          <w:rFonts w:hint="eastAsia" w:ascii="仿宋_GB2312" w:hAnsi="仿宋_GB2312" w:cs="仿宋_GB2312"/>
          <w:highlight w:val="none"/>
          <w:lang w:val="en-US" w:eastAsia="zh-CN"/>
        </w:rPr>
        <w:t>10</w:t>
      </w:r>
      <w:r>
        <w:rPr>
          <w:rFonts w:hint="eastAsia" w:ascii="仿宋_GB2312" w:hAnsi="仿宋_GB2312" w:cs="仿宋_GB2312"/>
          <w:highlight w:val="none"/>
        </w:rPr>
        <w:t>日，评价组对相关工作人员采取访谈方式了解项目基本情况以及重点工作任务完成情况。</w:t>
      </w:r>
    </w:p>
    <w:p w14:paraId="20603425">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（3）资料分析及复核</w:t>
      </w:r>
    </w:p>
    <w:p w14:paraId="01E6E0DF">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根据访谈了解情况对</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提供的资料进行核对，核实其真实性。结合资料进行现场查看，核实</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各项重点工作任务的完成情况的真实性和规范性。</w:t>
      </w:r>
    </w:p>
    <w:p w14:paraId="29D4154B">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（4）进行现场评分</w:t>
      </w:r>
    </w:p>
    <w:p w14:paraId="28C0E7D4">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针对评价中发现的问题与</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及时沟通，对各项评价指标进行分析讨论，经反复分析、研究，按设计的评价指标体系进行现场评价打分。</w:t>
      </w:r>
    </w:p>
    <w:p w14:paraId="1C65C8CF">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lang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5</w:t>
      </w:r>
      <w:r>
        <w:rPr>
          <w:rFonts w:hint="eastAsia" w:ascii="仿宋_GB2312" w:hAnsi="仿宋_GB2312" w:cs="仿宋_GB2312"/>
          <w:highlight w:val="none"/>
          <w:lang w:eastAsia="zh-CN"/>
        </w:rPr>
        <w:t>）开展社会调查</w:t>
      </w:r>
    </w:p>
    <w:p w14:paraId="7D1A8442">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lang w:eastAsia="zh-CN"/>
        </w:rPr>
        <w:t>根据绩效评价方案中确定的调查对象、调查内容，随机抽取</w:t>
      </w:r>
      <w:r>
        <w:rPr>
          <w:rFonts w:hint="eastAsia" w:ascii="仿宋_GB2312" w:hAnsi="仿宋_GB2312" w:cs="仿宋_GB2312"/>
          <w:highlight w:val="none"/>
          <w:lang w:val="en-US" w:eastAsia="zh-CN"/>
        </w:rPr>
        <w:t>项目受益对象</w:t>
      </w:r>
      <w:r>
        <w:rPr>
          <w:rFonts w:hint="eastAsia" w:ascii="仿宋_GB2312" w:hAnsi="仿宋_GB2312" w:cs="仿宋_GB2312"/>
          <w:highlight w:val="none"/>
          <w:lang w:eastAsia="zh-CN"/>
        </w:rPr>
        <w:t>进行调查，发放并收回调查问卷，对调查问卷进行统计分析。</w:t>
      </w:r>
    </w:p>
    <w:p w14:paraId="664CAFA8">
      <w:pPr>
        <w:pStyle w:val="4"/>
        <w:keepNext w:val="0"/>
        <w:keepLines w:val="0"/>
        <w:pageBreakBefore w:val="0"/>
        <w:widowControl w:val="0"/>
        <w:kinsoku/>
        <w:wordWrap/>
        <w:overflowPunct w:val="0"/>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3.撰写报告阶段</w:t>
      </w:r>
    </w:p>
    <w:p w14:paraId="0BC5853B">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（1）撰写绩效评价报告</w:t>
      </w:r>
    </w:p>
    <w:p w14:paraId="030B5460">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评价小组根据现场评价收集的资料，运用科学、合理的绩效评价指标、评价标准和评价方法，对项目支出的经济性、效率性和效益性进行客观、公正地评价，</w:t>
      </w:r>
      <w:r>
        <w:rPr>
          <w:rFonts w:hint="eastAsia" w:ascii="仿宋_GB2312" w:hAnsi="仿宋_GB2312" w:cs="仿宋_GB2312"/>
          <w:highlight w:val="none"/>
          <w:lang w:val="en-US" w:eastAsia="zh-CN"/>
        </w:rPr>
        <w:t>及时</w:t>
      </w:r>
      <w:r>
        <w:rPr>
          <w:rFonts w:hint="eastAsia" w:ascii="仿宋_GB2312" w:hAnsi="仿宋_GB2312" w:cs="仿宋_GB2312"/>
          <w:highlight w:val="none"/>
        </w:rPr>
        <w:t>撰写绩效评价报告，并做到依据充分、数据真实、内容完整、客观公正、结论明确、建议可行。</w:t>
      </w:r>
    </w:p>
    <w:p w14:paraId="4B7E4059">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（2）绩效评价报告征求意见</w:t>
      </w:r>
    </w:p>
    <w:p w14:paraId="4C0D7C0D">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绩效评价报告初稿完成后，征求</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的意见，根据反馈的有效意见对评价报告进行修改。</w:t>
      </w:r>
    </w:p>
    <w:p w14:paraId="6C055CFF">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（3）提交绩效评价报告</w:t>
      </w:r>
    </w:p>
    <w:p w14:paraId="6A0525CA">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绩效评价报告及评价数据资料经绩效评价负责人和被评价单位确定，在规定时间内按照规定的格式、要求，提交</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w:t>
      </w:r>
    </w:p>
    <w:p w14:paraId="471AF295">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118" w:name="_Toc6529"/>
      <w:bookmarkStart w:id="119" w:name="_Toc22550"/>
      <w:bookmarkStart w:id="120" w:name="_Toc14694"/>
      <w:r>
        <w:rPr>
          <w:rFonts w:hint="eastAsia" w:ascii="黑体" w:eastAsia="黑体"/>
          <w:highlight w:val="none"/>
        </w:rPr>
        <w:t>四、评价结论及分析</w:t>
      </w:r>
      <w:bookmarkEnd w:id="118"/>
      <w:bookmarkEnd w:id="119"/>
      <w:bookmarkEnd w:id="120"/>
    </w:p>
    <w:p w14:paraId="3E1F72ED">
      <w:pPr>
        <w:pStyle w:val="9"/>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highlight w:val="none"/>
        </w:rPr>
      </w:pPr>
      <w:r>
        <w:rPr>
          <w:rFonts w:hint="eastAsia" w:ascii="仿宋_GB2312" w:hAnsi="仿宋_GB2312" w:cs="仿宋_GB231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cs="仿宋_GB2312"/>
          <w:highlight w:val="none"/>
          <w:lang w:val="en-US" w:eastAsia="zh-CN"/>
        </w:rPr>
        <w:t>评价方式</w:t>
      </w:r>
      <w:r>
        <w:rPr>
          <w:rFonts w:hint="eastAsia" w:ascii="仿宋_GB2312" w:hAnsi="仿宋_GB2312" w:cs="仿宋_GB2312"/>
          <w:highlight w:val="none"/>
        </w:rPr>
        <w:t>，客观公正地评价，评定2023年度</w:t>
      </w:r>
      <w:r>
        <w:rPr>
          <w:rFonts w:hint="eastAsia" w:ascii="仿宋_GB2312" w:hAnsi="仿宋_GB2312" w:cs="仿宋_GB2312"/>
          <w:highlight w:val="none"/>
          <w:lang w:eastAsia="zh-CN"/>
        </w:rPr>
        <w:t>办案业务费</w:t>
      </w:r>
      <w:r>
        <w:rPr>
          <w:rFonts w:hint="eastAsia" w:ascii="仿宋_GB2312" w:hAnsi="仿宋_GB2312" w:cs="仿宋_GB2312"/>
          <w:highlight w:val="none"/>
        </w:rPr>
        <w:t>项目综合评价得分为</w:t>
      </w:r>
      <w:r>
        <w:rPr>
          <w:rFonts w:hint="eastAsia" w:ascii="仿宋_GB2312" w:hAnsi="仿宋_GB2312" w:cs="仿宋_GB2312"/>
          <w:highlight w:val="none"/>
          <w:lang w:val="en-US" w:eastAsia="zh-CN"/>
        </w:rPr>
        <w:t>95.41</w:t>
      </w:r>
      <w:r>
        <w:rPr>
          <w:rFonts w:hint="eastAsia" w:ascii="仿宋_GB2312" w:hAnsi="仿宋_GB2312" w:cs="仿宋_GB2312"/>
          <w:highlight w:val="none"/>
        </w:rPr>
        <w:t>分，评价等级为“</w:t>
      </w:r>
      <w:r>
        <w:rPr>
          <w:rFonts w:hint="eastAsia" w:ascii="仿宋_GB2312" w:hAnsi="仿宋_GB2312" w:cs="仿宋_GB2312"/>
          <w:highlight w:val="none"/>
          <w:lang w:val="en-US" w:eastAsia="zh-CN"/>
        </w:rPr>
        <w:t>优</w:t>
      </w:r>
      <w:r>
        <w:rPr>
          <w:rFonts w:hint="eastAsia" w:ascii="仿宋_GB2312" w:hAnsi="仿宋_GB2312" w:cs="仿宋_GB2312"/>
          <w:highlight w:val="none"/>
        </w:rPr>
        <w:t>”。指标具体得分情况见下表：</w:t>
      </w:r>
    </w:p>
    <w:tbl>
      <w:tblPr>
        <w:tblStyle w:val="19"/>
        <w:tblW w:w="8588" w:type="dxa"/>
        <w:tblInd w:w="96" w:type="dxa"/>
        <w:tblLayout w:type="autofit"/>
        <w:tblCellMar>
          <w:top w:w="0" w:type="dxa"/>
          <w:left w:w="108" w:type="dxa"/>
          <w:bottom w:w="0" w:type="dxa"/>
          <w:right w:w="108" w:type="dxa"/>
        </w:tblCellMar>
      </w:tblPr>
      <w:tblGrid>
        <w:gridCol w:w="1116"/>
        <w:gridCol w:w="1113"/>
        <w:gridCol w:w="2662"/>
        <w:gridCol w:w="1223"/>
        <w:gridCol w:w="1222"/>
        <w:gridCol w:w="1252"/>
      </w:tblGrid>
      <w:tr w14:paraId="07F11C46">
        <w:tblPrEx>
          <w:tblCellMar>
            <w:top w:w="0" w:type="dxa"/>
            <w:left w:w="108" w:type="dxa"/>
            <w:bottom w:w="0" w:type="dxa"/>
            <w:right w:w="108" w:type="dxa"/>
          </w:tblCellMar>
        </w:tblPrEx>
        <w:trPr>
          <w:trHeight w:val="454" w:hRule="atLeast"/>
          <w:tblHeader/>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D09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一级指标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7634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5C4C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B5D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8691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252" w:type="dxa"/>
            <w:tcBorders>
              <w:top w:val="single" w:color="000000" w:sz="4" w:space="0"/>
              <w:left w:val="single" w:color="000000" w:sz="4" w:space="0"/>
              <w:bottom w:val="single" w:color="auto" w:sz="4" w:space="0"/>
              <w:right w:val="single" w:color="000000" w:sz="4" w:space="0"/>
            </w:tcBorders>
            <w:shd w:val="clear" w:color="auto" w:fill="auto"/>
            <w:vAlign w:val="center"/>
          </w:tcPr>
          <w:p w14:paraId="0E9C852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2E31BCE4">
        <w:tblPrEx>
          <w:tblCellMar>
            <w:top w:w="0" w:type="dxa"/>
            <w:left w:w="108" w:type="dxa"/>
            <w:bottom w:w="0" w:type="dxa"/>
            <w:right w:w="108" w:type="dxa"/>
          </w:tblCellMar>
        </w:tblPrEx>
        <w:trPr>
          <w:trHeight w:val="454" w:hRule="atLeast"/>
        </w:trPr>
        <w:tc>
          <w:tcPr>
            <w:tcW w:w="1116" w:type="dxa"/>
            <w:vMerge w:val="restart"/>
            <w:tcBorders>
              <w:top w:val="single" w:color="000000" w:sz="4" w:space="0"/>
              <w:left w:val="single" w:color="000000" w:sz="4" w:space="0"/>
              <w:right w:val="single" w:color="000000" w:sz="4" w:space="0"/>
            </w:tcBorders>
            <w:shd w:val="clear" w:color="auto" w:fill="auto"/>
            <w:vAlign w:val="center"/>
          </w:tcPr>
          <w:p w14:paraId="01AD63E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决策指标</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0A7A0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项目立项</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A891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32909">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30B25D7F">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4C9D014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7C605D6C">
        <w:tblPrEx>
          <w:tblCellMar>
            <w:top w:w="0" w:type="dxa"/>
            <w:left w:w="108" w:type="dxa"/>
            <w:bottom w:w="0" w:type="dxa"/>
            <w:right w:w="108" w:type="dxa"/>
          </w:tblCellMar>
        </w:tblPrEx>
        <w:trPr>
          <w:trHeight w:val="454" w:hRule="atLeast"/>
        </w:trPr>
        <w:tc>
          <w:tcPr>
            <w:tcW w:w="1116" w:type="dxa"/>
            <w:vMerge w:val="continue"/>
            <w:tcBorders>
              <w:left w:val="single" w:color="000000" w:sz="4" w:space="0"/>
              <w:bottom w:val="single" w:color="auto" w:sz="4" w:space="0"/>
              <w:right w:val="single" w:color="000000" w:sz="4" w:space="0"/>
            </w:tcBorders>
            <w:shd w:val="clear" w:color="auto" w:fill="auto"/>
            <w:vAlign w:val="center"/>
          </w:tcPr>
          <w:p w14:paraId="1D672970">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E87801">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F2E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D78B">
            <w:pPr>
              <w:widowControl/>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00B30C68">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1D98DD2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F01B68B">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577460">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000000" w:sz="4" w:space="0"/>
              <w:left w:val="single" w:color="000000" w:sz="4" w:space="0"/>
              <w:right w:val="single" w:color="000000" w:sz="4" w:space="0"/>
            </w:tcBorders>
            <w:shd w:val="clear" w:color="auto" w:fill="auto"/>
            <w:vAlign w:val="center"/>
          </w:tcPr>
          <w:p w14:paraId="303CE55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绩效目标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E0A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EB81">
            <w:pPr>
              <w:widowControl/>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16CD9E9">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B5AD1F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23DFF537">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4B4B1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1113" w:type="dxa"/>
            <w:vMerge w:val="continue"/>
            <w:tcBorders>
              <w:left w:val="single" w:color="000000" w:sz="4" w:space="0"/>
              <w:bottom w:val="single" w:color="000000" w:sz="4" w:space="0"/>
              <w:right w:val="single" w:color="000000" w:sz="4" w:space="0"/>
            </w:tcBorders>
            <w:shd w:val="clear" w:color="auto" w:fill="auto"/>
            <w:vAlign w:val="center"/>
          </w:tcPr>
          <w:p w14:paraId="178AD16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08B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绩效指标明确性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24FE3">
            <w:pPr>
              <w:widowControl/>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35C8C664">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1082A3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0DDBC08F">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FC61092">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F1F8C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 xml:space="preserve">资金投入  </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2763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预算编制科学性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0D623">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3732E0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5BEAA9B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A750935">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0F0AB5">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00157">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0EA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资金分配合理性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505B8">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197679B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D66A00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26402763">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84693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p w14:paraId="1DF95AD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过程指标</w:t>
            </w:r>
          </w:p>
        </w:tc>
        <w:tc>
          <w:tcPr>
            <w:tcW w:w="1113" w:type="dxa"/>
            <w:vMerge w:val="restart"/>
            <w:tcBorders>
              <w:top w:val="single" w:color="000000" w:sz="4" w:space="0"/>
              <w:left w:val="single" w:color="000000" w:sz="4" w:space="0"/>
              <w:right w:val="single" w:color="000000" w:sz="4" w:space="0"/>
            </w:tcBorders>
            <w:shd w:val="clear" w:color="auto" w:fill="auto"/>
            <w:vAlign w:val="center"/>
          </w:tcPr>
          <w:p w14:paraId="69A9ECA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p w14:paraId="42EC3AF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资金管理</w:t>
            </w:r>
          </w:p>
          <w:p w14:paraId="05B3910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3B1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D834C">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70191DA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60B2E30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5494EC8A">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3C6245">
            <w:pPr>
              <w:keepNext w:val="0"/>
              <w:keepLines w:val="0"/>
              <w:widowControl/>
              <w:suppressLineNumbers w:val="0"/>
              <w:jc w:val="both"/>
              <w:textAlignment w:val="center"/>
              <w:rPr>
                <w:rFonts w:hint="eastAsia" w:ascii="宋体" w:hAnsi="宋体" w:eastAsia="宋体" w:cs="宋体"/>
                <w:color w:val="auto"/>
                <w:kern w:val="0"/>
                <w:sz w:val="20"/>
                <w:szCs w:val="20"/>
                <w:highlight w:val="none"/>
                <w:lang w:bidi="ar"/>
              </w:rPr>
            </w:pPr>
          </w:p>
        </w:tc>
        <w:tc>
          <w:tcPr>
            <w:tcW w:w="1113" w:type="dxa"/>
            <w:vMerge w:val="continue"/>
            <w:tcBorders>
              <w:left w:val="single" w:color="000000" w:sz="4" w:space="0"/>
              <w:right w:val="single" w:color="000000" w:sz="4" w:space="0"/>
            </w:tcBorders>
            <w:shd w:val="clear" w:color="auto" w:fill="auto"/>
            <w:vAlign w:val="center"/>
          </w:tcPr>
          <w:p w14:paraId="2208B43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D8F1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预算执行率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712B">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09A4FB58">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2.31</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EDBBB4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77.00%</w:t>
            </w:r>
          </w:p>
        </w:tc>
      </w:tr>
      <w:tr w14:paraId="1D75752E">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B0BF12">
            <w:pPr>
              <w:jc w:val="center"/>
              <w:rPr>
                <w:rFonts w:hint="eastAsia" w:ascii="宋体" w:hAnsi="宋体" w:eastAsia="宋体" w:cs="宋体"/>
                <w:color w:val="auto"/>
                <w:kern w:val="0"/>
                <w:sz w:val="20"/>
                <w:szCs w:val="20"/>
                <w:highlight w:val="none"/>
                <w:lang w:bidi="ar"/>
              </w:rPr>
            </w:pPr>
          </w:p>
        </w:tc>
        <w:tc>
          <w:tcPr>
            <w:tcW w:w="1113" w:type="dxa"/>
            <w:vMerge w:val="continue"/>
            <w:tcBorders>
              <w:left w:val="single" w:color="000000" w:sz="4" w:space="0"/>
              <w:bottom w:val="single" w:color="auto" w:sz="4" w:space="0"/>
              <w:right w:val="single" w:color="000000" w:sz="4" w:space="0"/>
            </w:tcBorders>
            <w:shd w:val="clear" w:color="auto" w:fill="auto"/>
            <w:vAlign w:val="center"/>
          </w:tcPr>
          <w:p w14:paraId="78FE694C">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B1E4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CD9A">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175052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4453B34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38CEB612">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DBB365">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21D1B9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 xml:space="preserve">组织实施      </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8B70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C927">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val="en-US" w:eastAsia="zh-CN" w:bidi="ar"/>
              </w:rPr>
              <w:t>2</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7710398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683F9C7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3A5E982">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1C4B3F">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722880">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8B5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制度执行有效性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B434F">
            <w:pPr>
              <w:widowControl/>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2</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AA58A5E">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1.33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1CA902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66.50%</w:t>
            </w:r>
          </w:p>
        </w:tc>
      </w:tr>
      <w:tr w14:paraId="016B2618">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384E62">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670527">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10032">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绩效管理有效性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37AE">
            <w:pPr>
              <w:widowControl/>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2</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33425F78">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0.67</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D0090E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33.50%</w:t>
            </w:r>
          </w:p>
        </w:tc>
      </w:tr>
      <w:tr w14:paraId="74BF8B47">
        <w:tblPrEx>
          <w:tblCellMar>
            <w:top w:w="0" w:type="dxa"/>
            <w:left w:w="108" w:type="dxa"/>
            <w:bottom w:w="0" w:type="dxa"/>
            <w:right w:w="108" w:type="dxa"/>
          </w:tblCellMar>
        </w:tblPrEx>
        <w:trPr>
          <w:trHeight w:val="454" w:hRule="atLeast"/>
        </w:trPr>
        <w:tc>
          <w:tcPr>
            <w:tcW w:w="1116" w:type="dxa"/>
            <w:tcBorders>
              <w:top w:val="single" w:color="auto" w:sz="4" w:space="0"/>
              <w:left w:val="single" w:color="000000" w:sz="4" w:space="0"/>
              <w:bottom w:val="single" w:color="auto" w:sz="4" w:space="0"/>
              <w:right w:val="single" w:color="000000" w:sz="4" w:space="0"/>
            </w:tcBorders>
            <w:shd w:val="clear" w:color="auto" w:fill="auto"/>
            <w:vAlign w:val="center"/>
          </w:tcPr>
          <w:p w14:paraId="10CB757C">
            <w:pPr>
              <w:jc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成本指标</w:t>
            </w:r>
          </w:p>
        </w:tc>
        <w:tc>
          <w:tcPr>
            <w:tcW w:w="1113" w:type="dxa"/>
            <w:tcBorders>
              <w:top w:val="single" w:color="auto" w:sz="4" w:space="0"/>
              <w:left w:val="single" w:color="000000" w:sz="4" w:space="0"/>
              <w:bottom w:val="single" w:color="auto" w:sz="4" w:space="0"/>
              <w:right w:val="single" w:color="000000" w:sz="4" w:space="0"/>
            </w:tcBorders>
            <w:shd w:val="clear" w:color="auto" w:fill="auto"/>
            <w:vAlign w:val="center"/>
          </w:tcPr>
          <w:p w14:paraId="09FE0BB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A624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成本控制情况</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46C1">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10</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72E73B8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C387A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1EA17EC">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F9D9FA7">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8F4187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0DD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办案办公设备采购数量</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7CFC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333333"/>
                <w:kern w:val="0"/>
                <w:sz w:val="20"/>
                <w:szCs w:val="20"/>
                <w:u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955261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333333"/>
                <w:kern w:val="0"/>
                <w:sz w:val="20"/>
                <w:szCs w:val="20"/>
                <w:u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2741E32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4DFAA2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B96A31">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BD483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45A0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民商事案件结案率</w:t>
            </w:r>
          </w:p>
        </w:tc>
        <w:tc>
          <w:tcPr>
            <w:tcW w:w="1223" w:type="dxa"/>
            <w:tcBorders>
              <w:top w:val="single" w:color="auto" w:sz="4" w:space="0"/>
              <w:left w:val="single" w:color="auto" w:sz="4" w:space="0"/>
              <w:bottom w:val="nil"/>
              <w:right w:val="nil"/>
            </w:tcBorders>
            <w:shd w:val="clear" w:color="auto" w:fill="auto"/>
            <w:vAlign w:val="center"/>
          </w:tcPr>
          <w:p w14:paraId="5B8EE3C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333333"/>
                <w:kern w:val="0"/>
                <w:sz w:val="20"/>
                <w:szCs w:val="20"/>
                <w:u w:val="none"/>
                <w:lang w:val="en-US" w:eastAsia="zh-CN" w:bidi="ar"/>
              </w:rPr>
              <w:t>3</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53324A0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333333"/>
                <w:kern w:val="0"/>
                <w:sz w:val="20"/>
                <w:szCs w:val="20"/>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5BD0B45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40CEF098">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ECD2F69">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584D5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5A5BB5F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刑事案件结案率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09E8085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333333"/>
                <w:kern w:val="0"/>
                <w:sz w:val="20"/>
                <w:szCs w:val="20"/>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40C6C10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333333"/>
                <w:kern w:val="0"/>
                <w:sz w:val="20"/>
                <w:szCs w:val="20"/>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01E9987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7E8580F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B4FCC3">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B5760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49162ED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行政案件结案率</w:t>
            </w:r>
          </w:p>
        </w:tc>
        <w:tc>
          <w:tcPr>
            <w:tcW w:w="1223" w:type="dxa"/>
            <w:tcBorders>
              <w:top w:val="single" w:color="auto" w:sz="4" w:space="0"/>
              <w:left w:val="single" w:color="auto" w:sz="4" w:space="0"/>
              <w:bottom w:val="nil"/>
              <w:right w:val="nil"/>
            </w:tcBorders>
            <w:shd w:val="clear" w:color="auto" w:fill="auto"/>
            <w:vAlign w:val="center"/>
          </w:tcPr>
          <w:p w14:paraId="263432A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333333"/>
                <w:kern w:val="0"/>
                <w:sz w:val="20"/>
                <w:szCs w:val="20"/>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17BA4B57">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333333"/>
                <w:kern w:val="0"/>
                <w:sz w:val="20"/>
                <w:szCs w:val="20"/>
                <w:u w:val="none"/>
                <w:lang w:val="en-US" w:eastAsia="zh-CN" w:bidi="ar"/>
              </w:rPr>
              <w:t>2.1</w:t>
            </w:r>
          </w:p>
        </w:tc>
        <w:tc>
          <w:tcPr>
            <w:tcW w:w="1252" w:type="dxa"/>
            <w:tcBorders>
              <w:top w:val="single" w:color="auto" w:sz="4" w:space="0"/>
              <w:left w:val="nil"/>
              <w:bottom w:val="single" w:color="auto" w:sz="4" w:space="0"/>
              <w:right w:val="single" w:color="auto" w:sz="4" w:space="0"/>
            </w:tcBorders>
            <w:shd w:val="clear" w:color="auto" w:fill="auto"/>
            <w:vAlign w:val="center"/>
          </w:tcPr>
          <w:p w14:paraId="5827DAB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70.00%</w:t>
            </w:r>
          </w:p>
        </w:tc>
      </w:tr>
      <w:tr w14:paraId="11006241">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D2B3637">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1E351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3A65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执行案件结案率</w:t>
            </w:r>
          </w:p>
        </w:tc>
        <w:tc>
          <w:tcPr>
            <w:tcW w:w="1223" w:type="dxa"/>
            <w:tcBorders>
              <w:top w:val="single" w:color="auto" w:sz="4" w:space="0"/>
              <w:left w:val="single" w:color="auto" w:sz="4" w:space="0"/>
              <w:bottom w:val="nil"/>
              <w:right w:val="nil"/>
            </w:tcBorders>
            <w:shd w:val="clear" w:color="auto" w:fill="auto"/>
            <w:vAlign w:val="center"/>
          </w:tcPr>
          <w:p w14:paraId="156C701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4FA6FD1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52436D4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19D1EFD1">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79BE3D">
            <w:pPr>
              <w:jc w:val="center"/>
              <w:rPr>
                <w:rStyle w:val="33"/>
                <w:rFonts w:hint="eastAsia" w:ascii="宋体" w:hAnsi="宋体" w:eastAsia="宋体" w:cs="宋体"/>
                <w:color w:val="auto"/>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F9B469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4C22F3B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采购验收合格率</w:t>
            </w:r>
          </w:p>
        </w:tc>
        <w:tc>
          <w:tcPr>
            <w:tcW w:w="1223" w:type="dxa"/>
            <w:tcBorders>
              <w:top w:val="single" w:color="auto" w:sz="4" w:space="0"/>
              <w:left w:val="single" w:color="auto" w:sz="4" w:space="0"/>
              <w:bottom w:val="nil"/>
              <w:right w:val="nil"/>
            </w:tcBorders>
            <w:shd w:val="clear" w:color="auto" w:fill="auto"/>
            <w:vAlign w:val="center"/>
          </w:tcPr>
          <w:p w14:paraId="14A1C31E">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22" w:type="dxa"/>
            <w:tcBorders>
              <w:top w:val="nil"/>
              <w:left w:val="single" w:color="auto" w:sz="4" w:space="0"/>
              <w:bottom w:val="single" w:color="auto" w:sz="4" w:space="0"/>
              <w:right w:val="single" w:color="auto" w:sz="4" w:space="0"/>
            </w:tcBorders>
            <w:shd w:val="clear" w:color="auto" w:fill="auto"/>
            <w:vAlign w:val="center"/>
          </w:tcPr>
          <w:p w14:paraId="7773308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2.5</w:t>
            </w:r>
          </w:p>
        </w:tc>
        <w:tc>
          <w:tcPr>
            <w:tcW w:w="1252" w:type="dxa"/>
            <w:tcBorders>
              <w:top w:val="single" w:color="auto" w:sz="4" w:space="0"/>
              <w:left w:val="nil"/>
              <w:bottom w:val="single" w:color="auto" w:sz="4" w:space="0"/>
              <w:right w:val="single" w:color="auto" w:sz="4" w:space="0"/>
            </w:tcBorders>
            <w:shd w:val="clear" w:color="auto" w:fill="auto"/>
            <w:vAlign w:val="center"/>
          </w:tcPr>
          <w:p w14:paraId="757AAB6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5F6D711E">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E85C03">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80EAFA">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58277BF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一审服判息诉率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49DCFD8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22" w:type="dxa"/>
            <w:tcBorders>
              <w:top w:val="nil"/>
              <w:left w:val="single" w:color="auto" w:sz="4" w:space="0"/>
              <w:bottom w:val="single" w:color="auto" w:sz="4" w:space="0"/>
              <w:right w:val="single" w:color="auto" w:sz="4" w:space="0"/>
            </w:tcBorders>
            <w:shd w:val="clear" w:color="auto" w:fill="auto"/>
            <w:vAlign w:val="center"/>
          </w:tcPr>
          <w:p w14:paraId="3780AAD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2.5</w:t>
            </w:r>
          </w:p>
        </w:tc>
        <w:tc>
          <w:tcPr>
            <w:tcW w:w="1252" w:type="dxa"/>
            <w:tcBorders>
              <w:top w:val="single" w:color="auto" w:sz="4" w:space="0"/>
              <w:left w:val="nil"/>
              <w:bottom w:val="single" w:color="auto" w:sz="4" w:space="0"/>
              <w:right w:val="single" w:color="auto" w:sz="4" w:space="0"/>
            </w:tcBorders>
            <w:shd w:val="clear" w:color="auto" w:fill="auto"/>
            <w:vAlign w:val="center"/>
          </w:tcPr>
          <w:p w14:paraId="3900B26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4EFD8A98">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64EF9A31">
            <w:pPr>
              <w:jc w:val="center"/>
              <w:rPr>
                <w:rStyle w:val="33"/>
                <w:rFonts w:hint="eastAsia" w:ascii="宋体" w:hAnsi="宋体" w:eastAsia="宋体" w:cs="宋体"/>
                <w:color w:val="auto"/>
                <w:sz w:val="20"/>
                <w:szCs w:val="20"/>
                <w:highlight w:val="none"/>
                <w:lang w:bidi="ar"/>
              </w:rPr>
            </w:pP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11D683AC">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723F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采购工作开展及时性</w:t>
            </w:r>
          </w:p>
        </w:tc>
        <w:tc>
          <w:tcPr>
            <w:tcW w:w="1223" w:type="dxa"/>
            <w:tcBorders>
              <w:top w:val="single" w:color="auto" w:sz="4" w:space="0"/>
              <w:left w:val="single" w:color="auto" w:sz="4" w:space="0"/>
              <w:bottom w:val="nil"/>
              <w:right w:val="nil"/>
            </w:tcBorders>
            <w:shd w:val="clear" w:color="auto" w:fill="auto"/>
            <w:vAlign w:val="center"/>
          </w:tcPr>
          <w:p w14:paraId="49E4CB41">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4F1CF92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4</w:t>
            </w:r>
          </w:p>
        </w:tc>
        <w:tc>
          <w:tcPr>
            <w:tcW w:w="1252" w:type="dxa"/>
            <w:tcBorders>
              <w:top w:val="single" w:color="auto" w:sz="4" w:space="0"/>
              <w:left w:val="nil"/>
              <w:bottom w:val="single" w:color="auto" w:sz="4" w:space="0"/>
              <w:right w:val="single" w:color="auto" w:sz="4" w:space="0"/>
            </w:tcBorders>
            <w:shd w:val="clear" w:color="auto" w:fill="auto"/>
            <w:vAlign w:val="center"/>
          </w:tcPr>
          <w:p w14:paraId="1536D96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80.00%</w:t>
            </w:r>
          </w:p>
        </w:tc>
      </w:tr>
      <w:tr w14:paraId="3A799E13">
        <w:tblPrEx>
          <w:tblCellMar>
            <w:top w:w="0" w:type="dxa"/>
            <w:left w:w="108" w:type="dxa"/>
            <w:bottom w:w="0" w:type="dxa"/>
            <w:right w:w="108" w:type="dxa"/>
          </w:tblCellMar>
        </w:tblPrEx>
        <w:trPr>
          <w:trHeight w:val="454" w:hRule="atLeast"/>
        </w:trPr>
        <w:tc>
          <w:tcPr>
            <w:tcW w:w="1116" w:type="dxa"/>
            <w:vMerge w:val="continue"/>
            <w:tcBorders>
              <w:left w:val="single" w:color="000000" w:sz="4" w:space="0"/>
              <w:bottom w:val="single" w:color="auto" w:sz="4" w:space="0"/>
              <w:right w:val="single" w:color="000000" w:sz="4" w:space="0"/>
            </w:tcBorders>
            <w:shd w:val="clear" w:color="auto" w:fill="auto"/>
            <w:vAlign w:val="center"/>
          </w:tcPr>
          <w:p w14:paraId="17230E80">
            <w:pPr>
              <w:jc w:val="center"/>
              <w:rPr>
                <w:rStyle w:val="33"/>
                <w:rFonts w:hint="eastAsia" w:ascii="宋体" w:hAnsi="宋体" w:eastAsia="宋体" w:cs="宋体"/>
                <w:color w:val="auto"/>
                <w:sz w:val="20"/>
                <w:szCs w:val="20"/>
                <w:highlight w:val="none"/>
                <w:lang w:bidi="ar"/>
              </w:rPr>
            </w:pPr>
          </w:p>
        </w:tc>
        <w:tc>
          <w:tcPr>
            <w:tcW w:w="1113" w:type="dxa"/>
            <w:vMerge w:val="continue"/>
            <w:tcBorders>
              <w:left w:val="single" w:color="000000" w:sz="4" w:space="0"/>
              <w:bottom w:val="single" w:color="auto" w:sz="4" w:space="0"/>
              <w:right w:val="single" w:color="000000" w:sz="4" w:space="0"/>
            </w:tcBorders>
            <w:shd w:val="clear" w:color="auto" w:fill="auto"/>
            <w:vAlign w:val="center"/>
          </w:tcPr>
          <w:p w14:paraId="219D069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602343D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法定审限内结案率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640DAAF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3D24F89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2B51041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077902F0">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right w:val="single" w:color="000000" w:sz="4" w:space="0"/>
            </w:tcBorders>
            <w:shd w:val="clear" w:color="auto" w:fill="auto"/>
            <w:vAlign w:val="center"/>
          </w:tcPr>
          <w:p w14:paraId="49E5156A">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5572021F">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3E357AB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保障社会公平正义有效性</w:t>
            </w:r>
          </w:p>
        </w:tc>
        <w:tc>
          <w:tcPr>
            <w:tcW w:w="1223" w:type="dxa"/>
            <w:tcBorders>
              <w:top w:val="single" w:color="auto" w:sz="4" w:space="0"/>
              <w:left w:val="single" w:color="auto" w:sz="4" w:space="0"/>
              <w:bottom w:val="nil"/>
              <w:right w:val="nil"/>
            </w:tcBorders>
            <w:shd w:val="clear" w:color="auto" w:fill="auto"/>
            <w:vAlign w:val="center"/>
          </w:tcPr>
          <w:p w14:paraId="7C0F209D">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07693D03">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6DAE43C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7595B1CD">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7BAFF9CB">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right w:val="single" w:color="000000" w:sz="4" w:space="0"/>
            </w:tcBorders>
            <w:shd w:val="clear" w:color="auto" w:fill="auto"/>
            <w:vAlign w:val="center"/>
          </w:tcPr>
          <w:p w14:paraId="56B8E521">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4E9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民事案件调解撤诉率</w:t>
            </w:r>
          </w:p>
        </w:tc>
        <w:tc>
          <w:tcPr>
            <w:tcW w:w="1223" w:type="dxa"/>
            <w:tcBorders>
              <w:top w:val="single" w:color="auto" w:sz="4" w:space="0"/>
              <w:left w:val="single" w:color="auto" w:sz="4" w:space="0"/>
              <w:bottom w:val="nil"/>
              <w:right w:val="nil"/>
            </w:tcBorders>
            <w:shd w:val="clear" w:color="auto" w:fill="auto"/>
            <w:vAlign w:val="center"/>
          </w:tcPr>
          <w:p w14:paraId="184334AB">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7CE90AB0">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737785D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725F18B6">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7F1ED3EF">
            <w:pPr>
              <w:jc w:val="center"/>
              <w:rPr>
                <w:rStyle w:val="33"/>
                <w:rFonts w:hint="eastAsia" w:ascii="宋体" w:hAnsi="宋体" w:eastAsia="宋体" w:cs="宋体"/>
                <w:color w:val="auto"/>
                <w:sz w:val="20"/>
                <w:szCs w:val="20"/>
                <w:highlight w:val="none"/>
                <w:lang w:bidi="ar"/>
              </w:rPr>
            </w:pPr>
          </w:p>
        </w:tc>
        <w:tc>
          <w:tcPr>
            <w:tcW w:w="1113" w:type="dxa"/>
            <w:tcBorders>
              <w:top w:val="single" w:color="auto" w:sz="4" w:space="0"/>
              <w:left w:val="single" w:color="000000" w:sz="4" w:space="0"/>
              <w:right w:val="single" w:color="000000" w:sz="4" w:space="0"/>
            </w:tcBorders>
            <w:shd w:val="clear" w:color="auto" w:fill="auto"/>
            <w:vAlign w:val="center"/>
          </w:tcPr>
          <w:p w14:paraId="5A4052C2">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36E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案件当事人满意度</w:t>
            </w:r>
          </w:p>
        </w:tc>
        <w:tc>
          <w:tcPr>
            <w:tcW w:w="1223" w:type="dxa"/>
            <w:tcBorders>
              <w:top w:val="single" w:color="auto" w:sz="4" w:space="0"/>
              <w:left w:val="single" w:color="auto" w:sz="4" w:space="0"/>
              <w:bottom w:val="nil"/>
              <w:right w:val="nil"/>
            </w:tcBorders>
            <w:shd w:val="clear" w:color="auto" w:fill="auto"/>
            <w:vAlign w:val="center"/>
          </w:tcPr>
          <w:p w14:paraId="6CE0A3F3">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2F96FC4F">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2135375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100.00%</w:t>
            </w:r>
          </w:p>
        </w:tc>
      </w:tr>
      <w:tr w14:paraId="36F3D4C5">
        <w:tblPrEx>
          <w:tblCellMar>
            <w:top w:w="0" w:type="dxa"/>
            <w:left w:w="108" w:type="dxa"/>
            <w:bottom w:w="0" w:type="dxa"/>
            <w:right w:w="108" w:type="dxa"/>
          </w:tblCellMar>
        </w:tblPrEx>
        <w:trPr>
          <w:trHeight w:val="454" w:hRule="atLeast"/>
        </w:trPr>
        <w:tc>
          <w:tcPr>
            <w:tcW w:w="4891"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5DCFBCA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1223" w:type="dxa"/>
            <w:tcBorders>
              <w:top w:val="single" w:color="000000" w:sz="4" w:space="0"/>
              <w:left w:val="single" w:color="auto" w:sz="4" w:space="0"/>
              <w:bottom w:val="single" w:color="000000" w:sz="4" w:space="0"/>
              <w:right w:val="single" w:color="000000" w:sz="4" w:space="0"/>
            </w:tcBorders>
            <w:shd w:val="clear" w:color="auto" w:fill="auto"/>
            <w:vAlign w:val="center"/>
          </w:tcPr>
          <w:p w14:paraId="4B60C89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A545">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95.41</w:t>
            </w:r>
          </w:p>
        </w:tc>
        <w:tc>
          <w:tcPr>
            <w:tcW w:w="1252" w:type="dxa"/>
            <w:tcBorders>
              <w:top w:val="single" w:color="auto" w:sz="4" w:space="0"/>
              <w:left w:val="single" w:color="000000" w:sz="4" w:space="0"/>
              <w:bottom w:val="single" w:color="000000" w:sz="4" w:space="0"/>
              <w:right w:val="single" w:color="000000" w:sz="4" w:space="0"/>
            </w:tcBorders>
            <w:shd w:val="clear" w:color="auto" w:fill="auto"/>
            <w:vAlign w:val="center"/>
          </w:tcPr>
          <w:p w14:paraId="74F677BC">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95.41%</w:t>
            </w:r>
          </w:p>
        </w:tc>
      </w:tr>
    </w:tbl>
    <w:p w14:paraId="0F91C5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bookmarkStart w:id="121" w:name="_Toc10740"/>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eastAsia="zh-CN"/>
        </w:rPr>
        <w:t>办案业务费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通过项目实施，有效保障了甘肃省高级人民法院机关及9个直属法院的业务正常运转</w:t>
      </w:r>
      <w:r>
        <w:rPr>
          <w:rFonts w:hint="eastAsia" w:ascii="仿宋_GB2312" w:hAnsi="仿宋_GB2312" w:eastAsia="仿宋_GB2312" w:cs="仿宋_GB2312"/>
          <w:sz w:val="32"/>
          <w:szCs w:val="32"/>
          <w:highlight w:val="none"/>
        </w:rPr>
        <w:t>。但该项目也</w:t>
      </w:r>
      <w:r>
        <w:rPr>
          <w:rFonts w:hint="eastAsia" w:ascii="仿宋_GB2312" w:hAnsi="仿宋_GB2312" w:eastAsia="仿宋_GB2312" w:cs="仿宋_GB2312"/>
          <w:sz w:val="32"/>
          <w:szCs w:val="32"/>
          <w:highlight w:val="none"/>
          <w:lang w:val="en-US" w:eastAsia="zh-CN"/>
        </w:rPr>
        <w:t>存在项目资金预算执行有待提高、制度执行有效性有待进一步提升、项目绩效管理有待规范等</w:t>
      </w:r>
      <w:r>
        <w:rPr>
          <w:rFonts w:hint="eastAsia" w:ascii="仿宋_GB2312" w:hAnsi="仿宋_GB2312" w:eastAsia="仿宋_GB2312" w:cs="仿宋_GB2312"/>
          <w:sz w:val="32"/>
          <w:szCs w:val="32"/>
          <w:highlight w:val="none"/>
        </w:rPr>
        <w:t>问题。</w:t>
      </w:r>
      <w:bookmarkEnd w:id="121"/>
    </w:p>
    <w:p w14:paraId="1DA8EF83">
      <w:pPr>
        <w:pStyle w:val="9"/>
        <w:keepNext w:val="0"/>
        <w:keepLines w:val="0"/>
        <w:pageBreakBefore w:val="0"/>
        <w:widowControl w:val="0"/>
        <w:tabs>
          <w:tab w:val="left" w:pos="3780"/>
        </w:tabs>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122" w:name="_Toc25412"/>
      <w:bookmarkStart w:id="123" w:name="_Toc30293"/>
      <w:bookmarkStart w:id="124" w:name="_Toc28981"/>
      <w:r>
        <w:rPr>
          <w:rFonts w:hint="eastAsia" w:ascii="黑体" w:eastAsia="黑体"/>
          <w:highlight w:val="none"/>
        </w:rPr>
        <w:t>五、绩效评价指标分析</w:t>
      </w:r>
      <w:bookmarkEnd w:id="122"/>
      <w:bookmarkEnd w:id="123"/>
      <w:bookmarkEnd w:id="124"/>
    </w:p>
    <w:p w14:paraId="1809812F">
      <w:pPr>
        <w:keepNext w:val="0"/>
        <w:keepLines w:val="0"/>
        <w:pageBreakBefore w:val="0"/>
        <w:widowControl w:val="0"/>
        <w:tabs>
          <w:tab w:val="left" w:pos="378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办案业务费</w:t>
      </w:r>
      <w:r>
        <w:rPr>
          <w:rFonts w:hint="eastAsia" w:ascii="仿宋_GB2312" w:hAnsi="仿宋_GB2312" w:eastAsia="仿宋_GB2312" w:cs="仿宋_GB2312"/>
          <w:sz w:val="32"/>
          <w:szCs w:val="32"/>
          <w:highlight w:val="none"/>
        </w:rPr>
        <w:t>项目绩效评价分级设计项目决策、过程、产出、</w:t>
      </w:r>
      <w:r>
        <w:rPr>
          <w:rFonts w:hint="eastAsia" w:ascii="仿宋_GB2312" w:hAnsi="仿宋_GB2312" w:eastAsia="仿宋_GB2312" w:cs="仿宋_GB2312"/>
          <w:sz w:val="32"/>
          <w:szCs w:val="32"/>
          <w:highlight w:val="none"/>
          <w:lang w:val="en-US" w:eastAsia="zh-CN"/>
        </w:rPr>
        <w:t>成本、</w:t>
      </w:r>
      <w:r>
        <w:rPr>
          <w:rFonts w:hint="eastAsia" w:ascii="仿宋_GB2312" w:hAnsi="仿宋_GB2312" w:eastAsia="仿宋_GB2312" w:cs="仿宋_GB2312"/>
          <w:sz w:val="32"/>
          <w:szCs w:val="32"/>
          <w:highlight w:val="none"/>
        </w:rPr>
        <w:t>效益</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个一级指标，一级指标具体得分情况见下表：</w:t>
      </w:r>
    </w:p>
    <w:p w14:paraId="2474E161">
      <w:pPr>
        <w:overflowPunct w:val="0"/>
        <w:spacing w:before="156" w:beforeLines="50" w:after="156" w:afterLines="50"/>
        <w:jc w:val="left"/>
        <w:rPr>
          <w:rFonts w:cs="黑体" w:asciiTheme="minorEastAsia" w:hAnsiTheme="minorEastAsia"/>
          <w:sz w:val="28"/>
          <w:szCs w:val="24"/>
          <w:highlight w:val="yellow"/>
        </w:rPr>
      </w:pPr>
      <w:r>
        <w:rPr>
          <w:rFonts w:hint="eastAsia" w:asciiTheme="minorEastAsia" w:hAnsiTheme="minorEastAsia" w:cstheme="minorEastAsia"/>
          <w:kern w:val="0"/>
          <w:sz w:val="28"/>
          <w:szCs w:val="28"/>
          <w:highlight w:val="none"/>
        </w:rPr>
        <w:drawing>
          <wp:inline distT="0" distB="0" distL="114300" distR="114300">
            <wp:extent cx="5678170" cy="3675380"/>
            <wp:effectExtent l="4445" t="5080" r="13335" b="1524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B64B5C">
      <w:pPr>
        <w:pStyle w:val="9"/>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25" w:name="_Toc23689"/>
      <w:bookmarkStart w:id="126" w:name="_Toc30072"/>
      <w:bookmarkStart w:id="127" w:name="_Toc17506"/>
      <w:r>
        <w:rPr>
          <w:rFonts w:hint="eastAsia" w:ascii="楷体" w:hAnsi="楷体" w:eastAsia="楷体" w:cs="楷体"/>
          <w:b/>
          <w:bCs/>
          <w:highlight w:val="none"/>
        </w:rPr>
        <w:t>（一）项目决策情况</w:t>
      </w:r>
      <w:bookmarkEnd w:id="125"/>
      <w:bookmarkEnd w:id="126"/>
      <w:bookmarkEnd w:id="127"/>
    </w:p>
    <w:p w14:paraId="763E55AF">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项目决策指标包括项目立项、绩效目标、资金投入三个二级指标，项目立项指标包括立项依据充分性、立项程序规范性两个三级指标，绩效目标指标包括绩效目标合理性、绩效指标明确性两个三级指标，资</w:t>
      </w:r>
      <w:r>
        <w:rPr>
          <w:rFonts w:hint="eastAsia" w:ascii="仿宋_GB2312" w:hAnsi="仿宋_GB2312" w:eastAsia="仿宋_GB2312" w:cs="仿宋_GB2312"/>
          <w:color w:val="auto"/>
          <w:sz w:val="32"/>
          <w:szCs w:val="32"/>
          <w:highlight w:val="none"/>
        </w:rPr>
        <w:t>金投入指标包括预算编制科学性、资金分配合理性两个三级指标。指标分值</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分，得分率</w:t>
      </w:r>
      <w:r>
        <w:rPr>
          <w:rFonts w:hint="eastAsia" w:ascii="仿宋_GB2312" w:hAnsi="仿宋_GB2312" w:eastAsia="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rPr>
        <w:t>%。</w:t>
      </w:r>
    </w:p>
    <w:tbl>
      <w:tblPr>
        <w:tblStyle w:val="20"/>
        <w:tblW w:w="86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98"/>
        <w:gridCol w:w="835"/>
        <w:gridCol w:w="1186"/>
        <w:gridCol w:w="1181"/>
        <w:gridCol w:w="805"/>
        <w:gridCol w:w="1241"/>
      </w:tblGrid>
      <w:tr w14:paraId="6C7A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40" w:type="dxa"/>
            <w:tcBorders>
              <w:top w:val="single" w:color="auto" w:sz="12" w:space="0"/>
              <w:left w:val="nil"/>
              <w:bottom w:val="dotted" w:color="auto" w:sz="4" w:space="0"/>
              <w:right w:val="dotted" w:color="auto" w:sz="4" w:space="0"/>
            </w:tcBorders>
            <w:shd w:val="clear" w:color="auto" w:fill="BDD6EE" w:themeFill="accent1" w:themeFillTint="66"/>
            <w:vAlign w:val="center"/>
          </w:tcPr>
          <w:p w14:paraId="1EF1BE6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198"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091181E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5"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77D3758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86"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67F2F38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81"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1DC7C5A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805"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7EF89A7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241" w:type="dxa"/>
            <w:tcBorders>
              <w:top w:val="single" w:color="auto" w:sz="12" w:space="0"/>
              <w:left w:val="dotted" w:color="auto" w:sz="4" w:space="0"/>
              <w:bottom w:val="dotted" w:color="auto" w:sz="4" w:space="0"/>
              <w:right w:val="nil"/>
            </w:tcBorders>
            <w:shd w:val="clear" w:color="auto" w:fill="BDD6EE" w:themeFill="accent1" w:themeFillTint="66"/>
            <w:vAlign w:val="center"/>
          </w:tcPr>
          <w:p w14:paraId="382DC0C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285D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0EC2F4DA">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项目立项</w:t>
            </w:r>
          </w:p>
        </w:tc>
        <w:tc>
          <w:tcPr>
            <w:tcW w:w="2198" w:type="dxa"/>
            <w:tcBorders>
              <w:top w:val="dotted" w:color="auto" w:sz="4" w:space="0"/>
              <w:left w:val="dotted" w:color="auto" w:sz="4" w:space="0"/>
              <w:bottom w:val="dotted" w:color="auto" w:sz="4" w:space="0"/>
              <w:right w:val="dotted" w:color="auto" w:sz="4" w:space="0"/>
            </w:tcBorders>
            <w:vAlign w:val="center"/>
          </w:tcPr>
          <w:p w14:paraId="7E860527">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立项依据充分性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3F13F1F6">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29EABA9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充分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6831166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充分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6A31AD67">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401753D2">
            <w:pPr>
              <w:keepNext w:val="0"/>
              <w:keepLines w:val="0"/>
              <w:widowControl/>
              <w:suppressLineNumbers w:val="0"/>
              <w:jc w:val="right"/>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761A6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42F11193">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4EA5977E">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立项程序规范性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6F42B385">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0A4FD02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规范</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40A6F59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规范</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0BCE8450">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638B0395">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14EBA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68474AF2">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w:t>
            </w:r>
          </w:p>
        </w:tc>
        <w:tc>
          <w:tcPr>
            <w:tcW w:w="2198" w:type="dxa"/>
            <w:tcBorders>
              <w:top w:val="dotted" w:color="auto" w:sz="4" w:space="0"/>
              <w:left w:val="dotted" w:color="auto" w:sz="4" w:space="0"/>
              <w:bottom w:val="dotted" w:color="auto" w:sz="4" w:space="0"/>
              <w:right w:val="dotted" w:color="auto" w:sz="4" w:space="0"/>
            </w:tcBorders>
            <w:vAlign w:val="center"/>
          </w:tcPr>
          <w:p w14:paraId="45F3F8EC">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绩效目标合理性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3BB957D0">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63A4B70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59288A50">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4B64C404">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7607DD02">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14E3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752CF448">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5B1629AE">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绩效指标明确性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739A7848">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21C931C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明确</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580DDF3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明确</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7C3ABE21">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55A1811A">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54EF3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3B8DC83A">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资金投入</w:t>
            </w:r>
          </w:p>
        </w:tc>
        <w:tc>
          <w:tcPr>
            <w:tcW w:w="2198" w:type="dxa"/>
            <w:tcBorders>
              <w:top w:val="dotted" w:color="auto" w:sz="4" w:space="0"/>
              <w:left w:val="dotted" w:color="auto" w:sz="4" w:space="0"/>
              <w:bottom w:val="dotted" w:color="auto" w:sz="4" w:space="0"/>
              <w:right w:val="dotted" w:color="auto" w:sz="4" w:space="0"/>
            </w:tcBorders>
            <w:vAlign w:val="center"/>
          </w:tcPr>
          <w:p w14:paraId="35185C0F">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预算编制科学性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013CCC36">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1C32F82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科学</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77D9E9B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科学</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20E69844">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191502B8">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5B98F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0DB3F576">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19B43085">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资金分配合理性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51C32D6A">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5554FAE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04F921C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34296C17">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6FDF9621">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5F541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38" w:type="dxa"/>
            <w:gridSpan w:val="2"/>
            <w:tcBorders>
              <w:top w:val="dotted" w:color="auto" w:sz="4" w:space="0"/>
              <w:left w:val="nil"/>
              <w:bottom w:val="single" w:color="auto" w:sz="12" w:space="0"/>
              <w:right w:val="dotted" w:color="auto" w:sz="4" w:space="0"/>
            </w:tcBorders>
            <w:shd w:val="clear" w:color="auto" w:fill="BDD6EE" w:themeFill="accent1" w:themeFillTint="66"/>
            <w:vAlign w:val="center"/>
          </w:tcPr>
          <w:p w14:paraId="5408299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5"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6C416DC7">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15</w:t>
            </w:r>
          </w:p>
        </w:tc>
        <w:tc>
          <w:tcPr>
            <w:tcW w:w="1186"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5713038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1181"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3451BBE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805"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63D91ACA">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15</w:t>
            </w:r>
          </w:p>
        </w:tc>
        <w:tc>
          <w:tcPr>
            <w:tcW w:w="1241" w:type="dxa"/>
            <w:tcBorders>
              <w:top w:val="dotted" w:color="auto" w:sz="4" w:space="0"/>
              <w:left w:val="dotted" w:color="auto" w:sz="4" w:space="0"/>
              <w:bottom w:val="single" w:color="auto" w:sz="12" w:space="0"/>
              <w:right w:val="nil"/>
            </w:tcBorders>
            <w:shd w:val="clear" w:color="auto" w:fill="BDD6EE" w:themeFill="accent1" w:themeFillTint="66"/>
            <w:vAlign w:val="center"/>
          </w:tcPr>
          <w:p w14:paraId="7A0640C5">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6756463B">
      <w:pPr>
        <w:pStyle w:val="4"/>
        <w:pageBreakBefore w:val="0"/>
        <w:widowControl w:val="0"/>
        <w:kinsoku/>
        <w:wordWrap/>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b w:val="0"/>
          <w:bCs/>
          <w:szCs w:val="32"/>
          <w:highlight w:val="none"/>
        </w:rPr>
      </w:pPr>
      <w:r>
        <w:rPr>
          <w:rFonts w:hint="eastAsia" w:ascii="仿宋_GB2312" w:hAnsi="仿宋_GB2312" w:eastAsia="仿宋_GB2312" w:cs="仿宋_GB2312"/>
          <w:bCs/>
          <w:szCs w:val="32"/>
          <w:highlight w:val="none"/>
        </w:rPr>
        <w:t>1.项目立项</w:t>
      </w:r>
    </w:p>
    <w:p w14:paraId="3FA31E58">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办案业务费</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14:paraId="73621CB7">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0E485639">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办案业务费项目主要用于单位案件审理、设备采购、维修维护等费用的支出，项目设立符合政策文件要求，符合行业发展规划，属于部门履职所需；项目与甘肃省高级人民法院的主要职能相符，属于甘肃省高级人民法院的职责范围；项目属于公共财政支持范围，符合中央、地方事权支出责任划分原则；项目与甘肃省高级人民法院其他相关项目不重复。评价认为，项目立项依据充分</w:t>
      </w:r>
      <w:r>
        <w:rPr>
          <w:rFonts w:hint="eastAsia" w:ascii="仿宋_GB2312" w:hAnsi="仿宋_GB2312" w:eastAsia="仿宋_GB2312" w:cs="仿宋_GB2312"/>
          <w:sz w:val="32"/>
          <w:szCs w:val="32"/>
          <w:highlight w:val="none"/>
        </w:rPr>
        <w:t>，立项符合法规政策。</w:t>
      </w:r>
    </w:p>
    <w:p w14:paraId="1B8A96C4">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0F0E6B57">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根据《中华人民共和国人民法院组织法》《人民法院财务管理暂行办法》（财行〔2001〕276号）、《甘肃省财政厅关于印发&lt;甘肃省政法经费分类保障办法（实行）&gt;的通知》（甘财行〔2009〕60号）等文件，经批准设立办案业务费项目。项目事前已经过必要的集体决策并按照规定的程序申请设立，审批文件、材料符合相关要求。评价认为，项目立项程序规范，预算、审批材料齐全。</w:t>
      </w:r>
    </w:p>
    <w:p w14:paraId="5E98083F">
      <w:pPr>
        <w:pStyle w:val="26"/>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044747A8">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（1）绩效目标合理性</w:t>
      </w:r>
    </w:p>
    <w:p w14:paraId="28430C89">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分。项目根据前期调研和分析收集资料，办案业务费主要用于案件审理、装备购置、设备维修维护及法官培训等业务活动。经查阅分析甘肃省高级人民法院机关及9家</w:t>
      </w:r>
      <w:r>
        <w:rPr>
          <w:rFonts w:hint="eastAsia" w:ascii="仿宋_GB2312" w:hAnsi="仿宋_GB2312" w:eastAsia="仿宋_GB2312" w:cs="仿宋_GB2312"/>
          <w:sz w:val="32"/>
          <w:szCs w:val="32"/>
          <w:highlight w:val="none"/>
          <w:lang w:eastAsia="zh-CN"/>
        </w:rPr>
        <w:t>直属法院</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年度办案业务费绩效目标表》，项目资金使用</w:t>
      </w:r>
      <w:r>
        <w:rPr>
          <w:rFonts w:hint="eastAsia" w:ascii="仿宋_GB2312" w:hAnsi="仿宋_GB2312" w:eastAsia="仿宋_GB2312" w:cs="仿宋_GB2312"/>
          <w:sz w:val="32"/>
          <w:szCs w:val="32"/>
          <w:highlight w:val="none"/>
          <w:lang w:val="en-US" w:eastAsia="zh-CN"/>
        </w:rPr>
        <w:t>各</w:t>
      </w:r>
      <w:r>
        <w:rPr>
          <w:rFonts w:hint="eastAsia" w:ascii="仿宋_GB2312" w:hAnsi="仿宋_GB2312" w:eastAsia="仿宋_GB2312" w:cs="仿宋_GB2312"/>
          <w:sz w:val="32"/>
          <w:szCs w:val="32"/>
          <w:highlight w:val="none"/>
        </w:rPr>
        <w:t>法院均编制了办案业务费的绩效目标，经过梳理10家法院的绩效目标，与实际工作内容有相关性，符合正常的业绩水平，该项目年初绩效目标符合项目计划内容。</w:t>
      </w:r>
    </w:p>
    <w:p w14:paraId="4FE35055">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2B3E8B26">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绩效指标明确性：指标分值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ascii="仿宋_GB2312" w:hAnsi="仿宋_GB2312" w:eastAsia="仿宋_GB2312" w:cs="仿宋_GB2312"/>
          <w:sz w:val="32"/>
          <w:szCs w:val="32"/>
          <w:highlight w:val="none"/>
        </w:rPr>
        <w:t>经核查</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年初制定的</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办案业务费</w:t>
      </w:r>
      <w:r>
        <w:rPr>
          <w:rFonts w:hint="eastAsia" w:ascii="仿宋_GB2312" w:hAnsi="仿宋_GB2312" w:eastAsia="仿宋_GB2312" w:cs="仿宋_GB2312"/>
          <w:sz w:val="32"/>
          <w:szCs w:val="32"/>
          <w:highlight w:val="none"/>
        </w:rPr>
        <w:t>项目支出绩效目标申报表</w:t>
      </w:r>
      <w:r>
        <w:rPr>
          <w:rFonts w:ascii="仿宋_GB2312" w:hAnsi="仿宋_GB2312" w:eastAsia="仿宋_GB2312" w:cs="仿宋_GB2312"/>
          <w:sz w:val="32"/>
          <w:szCs w:val="32"/>
          <w:highlight w:val="none"/>
        </w:rPr>
        <w:t>》，设置的绩效指标能够将项目绩效目标细化分解为具体的绩效指标，指标目标值清晰、可衡量</w:t>
      </w:r>
      <w:r>
        <w:rPr>
          <w:rFonts w:hint="eastAsia" w:ascii="仿宋_GB2312" w:hAnsi="仿宋_GB2312" w:eastAsia="仿宋_GB2312" w:cs="仿宋_GB2312"/>
          <w:sz w:val="32"/>
          <w:szCs w:val="32"/>
          <w:highlight w:val="none"/>
        </w:rPr>
        <w:t>；与项目年度计划相对应；与预算确定的项目投资额或资金量相匹配。</w:t>
      </w:r>
    </w:p>
    <w:p w14:paraId="67EAE317">
      <w:pPr>
        <w:pStyle w:val="26"/>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48206E46">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办案业务费</w:t>
      </w:r>
      <w:r>
        <w:rPr>
          <w:rFonts w:hint="eastAsia" w:ascii="仿宋_GB2312" w:hAnsi="仿宋_GB2312" w:eastAsia="仿宋_GB2312" w:cs="仿宋_GB2312"/>
          <w:sz w:val="32"/>
          <w:szCs w:val="32"/>
          <w:highlight w:val="none"/>
        </w:rPr>
        <w:t>项目资金投入方向符合政策规定，按照年度预算合理分配。</w:t>
      </w:r>
    </w:p>
    <w:p w14:paraId="388D1F44">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14:paraId="2CCE073D">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分。经核查，本项目预算编制严格按照</w:t>
      </w:r>
      <w:r>
        <w:rPr>
          <w:rFonts w:hint="eastAsia" w:ascii="仿宋_GB2312" w:hAnsi="仿宋_GB2312" w:eastAsia="仿宋_GB2312" w:cs="仿宋_GB2312"/>
          <w:sz w:val="32"/>
          <w:szCs w:val="32"/>
          <w:highlight w:val="none"/>
          <w:lang w:val="en-US" w:eastAsia="zh-CN"/>
        </w:rPr>
        <w:t>甘肃</w:t>
      </w:r>
      <w:r>
        <w:rPr>
          <w:rFonts w:hint="eastAsia" w:ascii="仿宋_GB2312" w:hAnsi="仿宋_GB2312" w:eastAsia="仿宋_GB2312" w:cs="仿宋_GB2312"/>
          <w:sz w:val="32"/>
          <w:szCs w:val="32"/>
          <w:highlight w:val="none"/>
        </w:rPr>
        <w:t>省财政厅以及</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相关文件进行，由甘肃省高级人民法院汇总整合各直属法院上报的分项预算申报表，由财务领导、分管领导进行审核，最终上会审核通过</w:t>
      </w:r>
      <w:r>
        <w:rPr>
          <w:rFonts w:hint="eastAsia" w:ascii="仿宋_GB2312" w:hAnsi="仿宋_GB2312" w:eastAsia="仿宋_GB2312" w:cs="仿宋_GB2312"/>
          <w:sz w:val="32"/>
          <w:szCs w:val="32"/>
          <w:highlight w:val="none"/>
          <w:lang w:val="en-US" w:eastAsia="zh-CN"/>
        </w:rPr>
        <w:t>后</w:t>
      </w:r>
      <w:r>
        <w:rPr>
          <w:rFonts w:hint="eastAsia" w:ascii="仿宋_GB2312" w:hAnsi="仿宋_GB2312" w:eastAsia="仿宋_GB2312" w:cs="仿宋_GB2312"/>
          <w:sz w:val="32"/>
          <w:szCs w:val="32"/>
          <w:highlight w:val="none"/>
        </w:rPr>
        <w:t>上报至</w:t>
      </w:r>
      <w:r>
        <w:rPr>
          <w:rFonts w:hint="eastAsia" w:ascii="仿宋_GB2312" w:hAnsi="仿宋_GB2312" w:eastAsia="仿宋_GB2312" w:cs="仿宋_GB2312"/>
          <w:sz w:val="32"/>
          <w:szCs w:val="32"/>
          <w:highlight w:val="none"/>
          <w:lang w:val="en-US" w:eastAsia="zh-CN"/>
        </w:rPr>
        <w:t>甘肃</w:t>
      </w:r>
      <w:r>
        <w:rPr>
          <w:rFonts w:hint="eastAsia" w:ascii="仿宋_GB2312" w:hAnsi="仿宋_GB2312" w:eastAsia="仿宋_GB2312" w:cs="仿宋_GB2312"/>
          <w:sz w:val="32"/>
          <w:szCs w:val="32"/>
          <w:highlight w:val="none"/>
        </w:rPr>
        <w:t>省财政厅。预算编制程序合规、要求严格、论证科学，预算内容与项目内容匹配，确定的项目资金量与工作任务相匹配，预算额度测算依据充分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按照标准编制。</w:t>
      </w:r>
    </w:p>
    <w:p w14:paraId="6C374987">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14:paraId="43E57C48">
      <w:pPr>
        <w:pStyle w:val="26"/>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bookmarkStart w:id="128" w:name="_Toc10475"/>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bookmarkEnd w:id="128"/>
      <w:bookmarkStart w:id="129" w:name="_Toc22593"/>
      <w:bookmarkStart w:id="130" w:name="_Toc5353"/>
      <w:r>
        <w:rPr>
          <w:rFonts w:hint="eastAsia" w:ascii="仿宋_GB2312" w:hAnsi="仿宋_GB2312" w:eastAsia="仿宋_GB2312" w:cs="仿宋_GB2312"/>
          <w:sz w:val="32"/>
          <w:szCs w:val="32"/>
          <w:highlight w:val="none"/>
          <w:lang w:eastAsia="zh-CN"/>
        </w:rPr>
        <w:t>办案业务费</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年初申报预算资金3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250</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万元，主要由甘肃省高级人民法院机关及9家</w:t>
      </w:r>
      <w:r>
        <w:rPr>
          <w:rFonts w:hint="eastAsia" w:ascii="仿宋_GB2312" w:hAnsi="仿宋_GB2312" w:eastAsia="仿宋_GB2312" w:cs="仿宋_GB2312"/>
          <w:sz w:val="32"/>
          <w:szCs w:val="32"/>
          <w:highlight w:val="none"/>
          <w:lang w:eastAsia="zh-CN"/>
        </w:rPr>
        <w:t>直属法院</w:t>
      </w:r>
      <w:r>
        <w:rPr>
          <w:rFonts w:hint="eastAsia" w:ascii="仿宋_GB2312" w:hAnsi="仿宋_GB2312" w:eastAsia="仿宋_GB2312" w:cs="仿宋_GB2312"/>
          <w:sz w:val="32"/>
          <w:szCs w:val="32"/>
          <w:highlight w:val="none"/>
        </w:rPr>
        <w:t>使用，每个单位的资金额度根据各法院上报的分项预算明细、往年资金分配情况以及今年实际需求进行合理分配。项目预算内容与项目内容匹配，预算编制经过科学论证，预算额度测算依据充分，按照标准编制，确定的项目投资额或资金量与工作任务相匹配。评价认为，项目资金分配合理，与项目实际相适应。</w:t>
      </w:r>
      <w:r>
        <w:rPr>
          <w:rFonts w:hint="eastAsia" w:ascii="仿宋_GB2312" w:hAnsi="仿宋_GB2312" w:eastAsia="仿宋_GB2312" w:cs="仿宋_GB2312"/>
          <w:sz w:val="32"/>
          <w:szCs w:val="32"/>
          <w:highlight w:val="none"/>
          <w:lang w:val="en-US" w:eastAsia="zh-CN"/>
        </w:rPr>
        <w:t>资金分配明细如下：</w:t>
      </w:r>
    </w:p>
    <w:p w14:paraId="7069A1DD">
      <w:pPr>
        <w:pStyle w:val="26"/>
        <w:overflowPunct w:val="0"/>
        <w:spacing w:line="560" w:lineRule="exact"/>
        <w:ind w:firstLine="64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办案业务费项目预算资金分配占比情况统计图（单位：万元）</w:t>
      </w:r>
    </w:p>
    <w:p w14:paraId="54D50EC7">
      <w:pPr>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drawing>
          <wp:inline distT="0" distB="0" distL="114300" distR="114300">
            <wp:extent cx="5431155" cy="3256280"/>
            <wp:effectExtent l="9525" t="9525" r="26670" b="10795"/>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8"/>
                    <a:stretch>
                      <a:fillRect/>
                    </a:stretch>
                  </pic:blipFill>
                  <pic:spPr>
                    <a:xfrm>
                      <a:off x="0" y="0"/>
                      <a:ext cx="5431155" cy="3256280"/>
                    </a:xfrm>
                    <a:prstGeom prst="rect">
                      <a:avLst/>
                    </a:prstGeom>
                    <a:ln>
                      <a:solidFill>
                        <a:srgbClr val="FFFFFF">
                          <a:alpha val="0"/>
                        </a:srgbClr>
                      </a:solidFill>
                    </a:ln>
                    <a:extLst>
                      <wpswe:webExtensionRef xmlns:wpswe="http://www.wps.cn/officeDocument/2018/webExtension" r:id="rId17"/>
                    </a:extLst>
                  </pic:spPr>
                </pic:pic>
              </a:graphicData>
            </a:graphic>
          </wp:inline>
        </w:drawing>
      </w:r>
    </w:p>
    <w:p w14:paraId="4C2E78E0">
      <w:pPr>
        <w:pStyle w:val="9"/>
        <w:overflowPunct w:val="0"/>
        <w:spacing w:line="560" w:lineRule="exact"/>
        <w:ind w:firstLine="643" w:firstLineChars="200"/>
        <w:outlineLvl w:val="1"/>
        <w:rPr>
          <w:rFonts w:ascii="楷体" w:hAnsi="楷体" w:eastAsia="楷体" w:cs="楷体"/>
          <w:b/>
          <w:bCs/>
          <w:highlight w:val="none"/>
        </w:rPr>
      </w:pPr>
      <w:bookmarkStart w:id="131" w:name="_Toc16508"/>
      <w:r>
        <w:rPr>
          <w:rFonts w:hint="eastAsia" w:ascii="楷体" w:hAnsi="楷体" w:eastAsia="楷体" w:cs="楷体"/>
          <w:b/>
          <w:bCs/>
          <w:highlight w:val="none"/>
        </w:rPr>
        <w:t>（二）项目过程情况</w:t>
      </w:r>
      <w:bookmarkEnd w:id="129"/>
      <w:bookmarkEnd w:id="130"/>
      <w:bookmarkEnd w:id="131"/>
    </w:p>
    <w:p w14:paraId="3BEAF173">
      <w:pPr>
        <w:pStyle w:val="9"/>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绩效管理规范性三</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15</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12.31</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82.07</w:t>
      </w:r>
      <w:r>
        <w:rPr>
          <w:rFonts w:hint="eastAsia" w:ascii="仿宋_GB2312" w:hAnsi="仿宋_GB2312" w:cs="仿宋_GB2312"/>
          <w:highlight w:val="none"/>
        </w:rPr>
        <w:t>%。</w:t>
      </w:r>
    </w:p>
    <w:tbl>
      <w:tblPr>
        <w:tblStyle w:val="20"/>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201"/>
        <w:gridCol w:w="1836"/>
        <w:gridCol w:w="999"/>
        <w:gridCol w:w="1151"/>
        <w:gridCol w:w="1170"/>
        <w:gridCol w:w="1048"/>
        <w:gridCol w:w="1065"/>
      </w:tblGrid>
      <w:tr w14:paraId="73F3BA5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201" w:type="dxa"/>
            <w:tcBorders>
              <w:tl2br w:val="nil"/>
              <w:tr2bl w:val="nil"/>
            </w:tcBorders>
            <w:shd w:val="clear" w:color="auto" w:fill="BDD6EE" w:themeFill="accent1" w:themeFillTint="66"/>
            <w:vAlign w:val="center"/>
          </w:tcPr>
          <w:p w14:paraId="03219896">
            <w:pPr>
              <w:widowControl/>
              <w:jc w:val="center"/>
              <w:textAlignment w:val="center"/>
              <w:rPr>
                <w:rFonts w:hint="eastAsia" w:ascii="宋体" w:hAnsi="宋体" w:eastAsia="宋体" w:cs="宋体"/>
                <w:b/>
                <w:bCs/>
                <w:color w:val="auto"/>
                <w:kern w:val="0"/>
                <w:sz w:val="20"/>
                <w:szCs w:val="20"/>
                <w:highlight w:val="none"/>
                <w:lang w:bidi="ar"/>
              </w:rPr>
            </w:pPr>
            <w:bookmarkStart w:id="132" w:name="_Hlk167346931"/>
            <w:r>
              <w:rPr>
                <w:rFonts w:hint="eastAsia" w:ascii="宋体" w:hAnsi="宋体" w:eastAsia="宋体" w:cs="宋体"/>
                <w:b/>
                <w:bCs/>
                <w:color w:val="auto"/>
                <w:kern w:val="0"/>
                <w:sz w:val="20"/>
                <w:szCs w:val="20"/>
                <w:highlight w:val="none"/>
                <w:lang w:bidi="ar"/>
              </w:rPr>
              <w:t>二级指标</w:t>
            </w:r>
          </w:p>
        </w:tc>
        <w:tc>
          <w:tcPr>
            <w:tcW w:w="1836" w:type="dxa"/>
            <w:tcBorders>
              <w:tl2br w:val="nil"/>
              <w:tr2bl w:val="nil"/>
            </w:tcBorders>
            <w:shd w:val="clear" w:color="auto" w:fill="BDD6EE" w:themeFill="accent1" w:themeFillTint="66"/>
            <w:vAlign w:val="center"/>
          </w:tcPr>
          <w:p w14:paraId="63D3007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99" w:type="dxa"/>
            <w:tcBorders>
              <w:tl2br w:val="nil"/>
              <w:tr2bl w:val="nil"/>
            </w:tcBorders>
            <w:shd w:val="clear" w:color="auto" w:fill="BDD6EE" w:themeFill="accent1" w:themeFillTint="66"/>
            <w:vAlign w:val="center"/>
          </w:tcPr>
          <w:p w14:paraId="2012A2B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51" w:type="dxa"/>
            <w:tcBorders>
              <w:tl2br w:val="nil"/>
              <w:tr2bl w:val="nil"/>
            </w:tcBorders>
            <w:shd w:val="clear" w:color="auto" w:fill="BDD6EE" w:themeFill="accent1" w:themeFillTint="66"/>
            <w:vAlign w:val="center"/>
          </w:tcPr>
          <w:p w14:paraId="06E5F2A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70" w:type="dxa"/>
            <w:tcBorders>
              <w:tl2br w:val="nil"/>
              <w:tr2bl w:val="nil"/>
            </w:tcBorders>
            <w:shd w:val="clear" w:color="auto" w:fill="BDD6EE" w:themeFill="accent1" w:themeFillTint="66"/>
            <w:vAlign w:val="center"/>
          </w:tcPr>
          <w:p w14:paraId="40196FE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1048" w:type="dxa"/>
            <w:tcBorders>
              <w:tl2br w:val="nil"/>
              <w:tr2bl w:val="nil"/>
            </w:tcBorders>
            <w:shd w:val="clear" w:color="auto" w:fill="BDD6EE" w:themeFill="accent1" w:themeFillTint="66"/>
            <w:vAlign w:val="center"/>
          </w:tcPr>
          <w:p w14:paraId="7E939C6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065" w:type="dxa"/>
            <w:tcBorders>
              <w:tl2br w:val="nil"/>
              <w:tr2bl w:val="nil"/>
            </w:tcBorders>
            <w:shd w:val="clear" w:color="auto" w:fill="BDD6EE" w:themeFill="accent1" w:themeFillTint="66"/>
            <w:vAlign w:val="center"/>
          </w:tcPr>
          <w:p w14:paraId="168A921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4B8F4FA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05FCB9D1">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资金管理</w:t>
            </w:r>
          </w:p>
        </w:tc>
        <w:tc>
          <w:tcPr>
            <w:tcW w:w="1836" w:type="dxa"/>
            <w:tcBorders>
              <w:tl2br w:val="nil"/>
              <w:tr2bl w:val="nil"/>
            </w:tcBorders>
            <w:vAlign w:val="center"/>
          </w:tcPr>
          <w:p w14:paraId="07FFE8BF">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资金到位率</w:t>
            </w:r>
          </w:p>
        </w:tc>
        <w:tc>
          <w:tcPr>
            <w:tcW w:w="999" w:type="dxa"/>
            <w:tcBorders>
              <w:tl2br w:val="nil"/>
              <w:tr2bl w:val="nil"/>
            </w:tcBorders>
            <w:shd w:val="clear" w:color="auto" w:fill="auto"/>
            <w:vAlign w:val="center"/>
          </w:tcPr>
          <w:p w14:paraId="0FCFC9ED">
            <w:pPr>
              <w:keepNext w:val="0"/>
              <w:keepLines w:val="0"/>
              <w:widowControl/>
              <w:suppressLineNumbers w:val="0"/>
              <w:jc w:val="center"/>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16A46B1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tcBorders>
              <w:tl2br w:val="nil"/>
              <w:tr2bl w:val="nil"/>
            </w:tcBorders>
            <w:shd w:val="clear" w:color="auto" w:fill="auto"/>
            <w:vAlign w:val="center"/>
          </w:tcPr>
          <w:p w14:paraId="7B5F9AA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w:t>
            </w:r>
          </w:p>
        </w:tc>
        <w:tc>
          <w:tcPr>
            <w:tcW w:w="1048" w:type="dxa"/>
            <w:tcBorders>
              <w:tl2br w:val="nil"/>
              <w:tr2bl w:val="nil"/>
            </w:tcBorders>
            <w:shd w:val="clear" w:color="auto" w:fill="auto"/>
            <w:vAlign w:val="center"/>
          </w:tcPr>
          <w:p w14:paraId="634194E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065" w:type="dxa"/>
            <w:tcBorders>
              <w:tl2br w:val="nil"/>
              <w:tr2bl w:val="nil"/>
            </w:tcBorders>
            <w:shd w:val="clear" w:color="auto" w:fill="auto"/>
            <w:vAlign w:val="center"/>
          </w:tcPr>
          <w:p w14:paraId="159E47E7">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39A4C19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03D1831B">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61DD9467">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预算执行率</w:t>
            </w:r>
          </w:p>
        </w:tc>
        <w:tc>
          <w:tcPr>
            <w:tcW w:w="999" w:type="dxa"/>
            <w:tcBorders>
              <w:tl2br w:val="nil"/>
              <w:tr2bl w:val="nil"/>
            </w:tcBorders>
            <w:shd w:val="clear" w:color="auto" w:fill="auto"/>
            <w:vAlign w:val="center"/>
          </w:tcPr>
          <w:p w14:paraId="6E37F26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1E709C8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w:t>
            </w:r>
          </w:p>
        </w:tc>
        <w:tc>
          <w:tcPr>
            <w:tcW w:w="1170" w:type="dxa"/>
            <w:tcBorders>
              <w:tl2br w:val="nil"/>
              <w:tr2bl w:val="nil"/>
            </w:tcBorders>
            <w:shd w:val="clear" w:color="auto" w:fill="auto"/>
            <w:vAlign w:val="center"/>
          </w:tcPr>
          <w:p w14:paraId="6151BFD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92.37%</w:t>
            </w:r>
          </w:p>
        </w:tc>
        <w:tc>
          <w:tcPr>
            <w:tcW w:w="1048" w:type="dxa"/>
            <w:tcBorders>
              <w:tl2br w:val="nil"/>
              <w:tr2bl w:val="nil"/>
            </w:tcBorders>
            <w:shd w:val="clear" w:color="auto" w:fill="auto"/>
            <w:vAlign w:val="center"/>
          </w:tcPr>
          <w:p w14:paraId="646FD9D0">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2.31</w:t>
            </w:r>
          </w:p>
        </w:tc>
        <w:tc>
          <w:tcPr>
            <w:tcW w:w="1065" w:type="dxa"/>
            <w:tcBorders>
              <w:tl2br w:val="nil"/>
              <w:tr2bl w:val="nil"/>
            </w:tcBorders>
            <w:shd w:val="clear" w:color="auto" w:fill="auto"/>
            <w:vAlign w:val="center"/>
          </w:tcPr>
          <w:p w14:paraId="25D23C29">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92.37%</w:t>
            </w:r>
          </w:p>
        </w:tc>
      </w:tr>
      <w:tr w14:paraId="1A631B1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22318B77">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1E69AB93">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资金使用合规性</w:t>
            </w:r>
          </w:p>
        </w:tc>
        <w:tc>
          <w:tcPr>
            <w:tcW w:w="999" w:type="dxa"/>
            <w:tcBorders>
              <w:tl2br w:val="nil"/>
              <w:tr2bl w:val="nil"/>
            </w:tcBorders>
            <w:shd w:val="clear" w:color="auto" w:fill="auto"/>
            <w:vAlign w:val="center"/>
          </w:tcPr>
          <w:p w14:paraId="782248D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0A8AF60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合规</w:t>
            </w:r>
          </w:p>
        </w:tc>
        <w:tc>
          <w:tcPr>
            <w:tcW w:w="1170" w:type="dxa"/>
            <w:tcBorders>
              <w:tl2br w:val="nil"/>
              <w:tr2bl w:val="nil"/>
            </w:tcBorders>
            <w:shd w:val="clear" w:color="auto" w:fill="auto"/>
            <w:vAlign w:val="center"/>
          </w:tcPr>
          <w:p w14:paraId="75805385">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合规</w:t>
            </w:r>
          </w:p>
        </w:tc>
        <w:tc>
          <w:tcPr>
            <w:tcW w:w="1048" w:type="dxa"/>
            <w:tcBorders>
              <w:tl2br w:val="nil"/>
              <w:tr2bl w:val="nil"/>
            </w:tcBorders>
            <w:shd w:val="clear" w:color="auto" w:fill="auto"/>
            <w:vAlign w:val="center"/>
          </w:tcPr>
          <w:p w14:paraId="7B8BBDC1">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1065" w:type="dxa"/>
            <w:tcBorders>
              <w:tl2br w:val="nil"/>
              <w:tr2bl w:val="nil"/>
            </w:tcBorders>
            <w:shd w:val="clear" w:color="auto" w:fill="auto"/>
            <w:vAlign w:val="center"/>
          </w:tcPr>
          <w:p w14:paraId="29B44631">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E28630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33EAED4A">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组织实施</w:t>
            </w:r>
          </w:p>
        </w:tc>
        <w:tc>
          <w:tcPr>
            <w:tcW w:w="1836" w:type="dxa"/>
            <w:tcBorders>
              <w:tl2br w:val="nil"/>
              <w:tr2bl w:val="nil"/>
            </w:tcBorders>
            <w:vAlign w:val="center"/>
          </w:tcPr>
          <w:p w14:paraId="48344CC3">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管理制度健全性</w:t>
            </w:r>
          </w:p>
        </w:tc>
        <w:tc>
          <w:tcPr>
            <w:tcW w:w="999" w:type="dxa"/>
            <w:tcBorders>
              <w:tl2br w:val="nil"/>
              <w:tr2bl w:val="nil"/>
            </w:tcBorders>
            <w:shd w:val="clear" w:color="auto" w:fill="auto"/>
            <w:vAlign w:val="center"/>
          </w:tcPr>
          <w:p w14:paraId="3EFC6FA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151" w:type="dxa"/>
            <w:tcBorders>
              <w:tl2br w:val="nil"/>
              <w:tr2bl w:val="nil"/>
            </w:tcBorders>
            <w:shd w:val="clear" w:color="auto" w:fill="auto"/>
            <w:vAlign w:val="center"/>
          </w:tcPr>
          <w:p w14:paraId="6B9F163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健全</w:t>
            </w:r>
          </w:p>
        </w:tc>
        <w:tc>
          <w:tcPr>
            <w:tcW w:w="1170" w:type="dxa"/>
            <w:tcBorders>
              <w:tl2br w:val="nil"/>
              <w:tr2bl w:val="nil"/>
            </w:tcBorders>
            <w:shd w:val="clear" w:color="auto" w:fill="auto"/>
            <w:vAlign w:val="center"/>
          </w:tcPr>
          <w:p w14:paraId="6E5841E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健全</w:t>
            </w:r>
          </w:p>
        </w:tc>
        <w:tc>
          <w:tcPr>
            <w:tcW w:w="1048" w:type="dxa"/>
            <w:tcBorders>
              <w:tl2br w:val="nil"/>
              <w:tr2bl w:val="nil"/>
            </w:tcBorders>
            <w:shd w:val="clear" w:color="auto" w:fill="auto"/>
            <w:vAlign w:val="center"/>
          </w:tcPr>
          <w:p w14:paraId="69EAC28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065" w:type="dxa"/>
            <w:tcBorders>
              <w:tl2br w:val="nil"/>
              <w:tr2bl w:val="nil"/>
            </w:tcBorders>
            <w:shd w:val="clear" w:color="auto" w:fill="auto"/>
            <w:vAlign w:val="center"/>
          </w:tcPr>
          <w:p w14:paraId="0C1A1599">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64BDB1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2C0731CC">
            <w:pPr>
              <w:widowControl/>
              <w:jc w:val="center"/>
              <w:textAlignment w:val="center"/>
              <w:rPr>
                <w:rFonts w:hint="eastAsia" w:ascii="宋体" w:hAnsi="宋体" w:eastAsia="宋体" w:cs="宋体"/>
                <w:color w:val="auto"/>
                <w:kern w:val="0"/>
                <w:sz w:val="20"/>
                <w:szCs w:val="20"/>
                <w:highlight w:val="none"/>
                <w:lang w:bidi="ar"/>
              </w:rPr>
            </w:pPr>
          </w:p>
        </w:tc>
        <w:tc>
          <w:tcPr>
            <w:tcW w:w="1836" w:type="dxa"/>
            <w:tcBorders>
              <w:tl2br w:val="nil"/>
              <w:tr2bl w:val="nil"/>
            </w:tcBorders>
            <w:vAlign w:val="center"/>
          </w:tcPr>
          <w:p w14:paraId="307712A0">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制度执行有效性</w:t>
            </w:r>
          </w:p>
        </w:tc>
        <w:tc>
          <w:tcPr>
            <w:tcW w:w="999" w:type="dxa"/>
            <w:tcBorders>
              <w:tl2br w:val="nil"/>
              <w:tr2bl w:val="nil"/>
            </w:tcBorders>
            <w:shd w:val="clear" w:color="auto" w:fill="auto"/>
            <w:vAlign w:val="center"/>
          </w:tcPr>
          <w:p w14:paraId="76470EDE">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151" w:type="dxa"/>
            <w:tcBorders>
              <w:tl2br w:val="nil"/>
              <w:tr2bl w:val="nil"/>
            </w:tcBorders>
            <w:shd w:val="clear" w:color="auto" w:fill="auto"/>
            <w:vAlign w:val="center"/>
          </w:tcPr>
          <w:p w14:paraId="5C3DE46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有效</w:t>
            </w:r>
          </w:p>
        </w:tc>
        <w:tc>
          <w:tcPr>
            <w:tcW w:w="1170" w:type="dxa"/>
            <w:tcBorders>
              <w:tl2br w:val="nil"/>
              <w:tr2bl w:val="nil"/>
            </w:tcBorders>
            <w:shd w:val="clear" w:color="auto" w:fill="auto"/>
            <w:vAlign w:val="center"/>
          </w:tcPr>
          <w:p w14:paraId="0883276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有待规范</w:t>
            </w:r>
          </w:p>
        </w:tc>
        <w:tc>
          <w:tcPr>
            <w:tcW w:w="1048" w:type="dxa"/>
            <w:tcBorders>
              <w:tl2br w:val="nil"/>
              <w:tr2bl w:val="nil"/>
            </w:tcBorders>
            <w:shd w:val="clear" w:color="auto" w:fill="auto"/>
            <w:vAlign w:val="center"/>
          </w:tcPr>
          <w:p w14:paraId="7F4602AE">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1.33</w:t>
            </w:r>
          </w:p>
        </w:tc>
        <w:tc>
          <w:tcPr>
            <w:tcW w:w="1065" w:type="dxa"/>
            <w:tcBorders>
              <w:tl2br w:val="nil"/>
              <w:tr2bl w:val="nil"/>
            </w:tcBorders>
            <w:shd w:val="clear" w:color="auto" w:fill="auto"/>
            <w:vAlign w:val="center"/>
          </w:tcPr>
          <w:p w14:paraId="3E916052">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66.50%</w:t>
            </w:r>
          </w:p>
        </w:tc>
      </w:tr>
      <w:tr w14:paraId="66468D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1508EE87">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5462DB67">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绩效管理</w:t>
            </w:r>
            <w:r>
              <w:rPr>
                <w:rFonts w:hint="eastAsia" w:ascii="宋体" w:hAnsi="宋体" w:eastAsia="宋体" w:cs="宋体"/>
                <w:color w:val="auto"/>
                <w:kern w:val="0"/>
                <w:sz w:val="20"/>
                <w:szCs w:val="20"/>
                <w:highlight w:val="none"/>
                <w:lang w:val="en-US" w:eastAsia="zh-CN" w:bidi="ar"/>
              </w:rPr>
              <w:t>规范</w:t>
            </w:r>
            <w:r>
              <w:rPr>
                <w:rFonts w:hint="eastAsia" w:ascii="宋体" w:hAnsi="宋体" w:eastAsia="宋体" w:cs="宋体"/>
                <w:color w:val="auto"/>
                <w:kern w:val="0"/>
                <w:sz w:val="20"/>
                <w:szCs w:val="20"/>
                <w:highlight w:val="none"/>
                <w:lang w:bidi="ar"/>
              </w:rPr>
              <w:t>性</w:t>
            </w:r>
          </w:p>
        </w:tc>
        <w:tc>
          <w:tcPr>
            <w:tcW w:w="999" w:type="dxa"/>
            <w:tcBorders>
              <w:tl2br w:val="nil"/>
              <w:tr2bl w:val="nil"/>
            </w:tcBorders>
            <w:shd w:val="clear" w:color="auto" w:fill="auto"/>
            <w:vAlign w:val="center"/>
          </w:tcPr>
          <w:p w14:paraId="0A59033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151" w:type="dxa"/>
            <w:tcBorders>
              <w:tl2br w:val="nil"/>
              <w:tr2bl w:val="nil"/>
            </w:tcBorders>
            <w:shd w:val="clear" w:color="auto" w:fill="auto"/>
            <w:vAlign w:val="center"/>
          </w:tcPr>
          <w:p w14:paraId="2104E22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有效</w:t>
            </w:r>
          </w:p>
        </w:tc>
        <w:tc>
          <w:tcPr>
            <w:tcW w:w="1170" w:type="dxa"/>
            <w:tcBorders>
              <w:tl2br w:val="nil"/>
              <w:tr2bl w:val="nil"/>
            </w:tcBorders>
            <w:shd w:val="clear" w:color="auto" w:fill="auto"/>
            <w:vAlign w:val="center"/>
          </w:tcPr>
          <w:p w14:paraId="07BCB00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有待规范</w:t>
            </w:r>
          </w:p>
        </w:tc>
        <w:tc>
          <w:tcPr>
            <w:tcW w:w="1048" w:type="dxa"/>
            <w:tcBorders>
              <w:tl2br w:val="nil"/>
              <w:tr2bl w:val="nil"/>
            </w:tcBorders>
            <w:shd w:val="clear" w:color="auto" w:fill="auto"/>
            <w:vAlign w:val="center"/>
          </w:tcPr>
          <w:p w14:paraId="0344F870">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0.67</w:t>
            </w:r>
          </w:p>
        </w:tc>
        <w:tc>
          <w:tcPr>
            <w:tcW w:w="1065" w:type="dxa"/>
            <w:tcBorders>
              <w:tl2br w:val="nil"/>
              <w:tr2bl w:val="nil"/>
            </w:tcBorders>
            <w:shd w:val="clear" w:color="auto" w:fill="auto"/>
            <w:vAlign w:val="center"/>
          </w:tcPr>
          <w:p w14:paraId="0EA07DFB">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33.50%</w:t>
            </w:r>
          </w:p>
        </w:tc>
      </w:tr>
      <w:tr w14:paraId="2F211E4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037" w:type="dxa"/>
            <w:gridSpan w:val="2"/>
            <w:tcBorders>
              <w:tl2br w:val="nil"/>
              <w:tr2bl w:val="nil"/>
            </w:tcBorders>
            <w:shd w:val="clear" w:color="auto" w:fill="BDD6EE" w:themeFill="accent1" w:themeFillTint="66"/>
            <w:vAlign w:val="center"/>
          </w:tcPr>
          <w:p w14:paraId="21D707E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999" w:type="dxa"/>
            <w:tcBorders>
              <w:tl2br w:val="nil"/>
              <w:tr2bl w:val="nil"/>
            </w:tcBorders>
            <w:shd w:val="clear" w:color="auto" w:fill="BDD6EE" w:themeFill="accent1" w:themeFillTint="66"/>
            <w:vAlign w:val="center"/>
          </w:tcPr>
          <w:p w14:paraId="51416DE5">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15</w:t>
            </w:r>
          </w:p>
        </w:tc>
        <w:tc>
          <w:tcPr>
            <w:tcW w:w="1151" w:type="dxa"/>
            <w:tcBorders>
              <w:tl2br w:val="nil"/>
              <w:tr2bl w:val="nil"/>
            </w:tcBorders>
            <w:shd w:val="clear" w:color="auto" w:fill="BDD6EE" w:themeFill="accent1" w:themeFillTint="66"/>
            <w:vAlign w:val="center"/>
          </w:tcPr>
          <w:p w14:paraId="25949C3E">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w:t>
            </w:r>
          </w:p>
        </w:tc>
        <w:tc>
          <w:tcPr>
            <w:tcW w:w="1170" w:type="dxa"/>
            <w:tcBorders>
              <w:tl2br w:val="nil"/>
              <w:tr2bl w:val="nil"/>
            </w:tcBorders>
            <w:shd w:val="clear" w:color="auto" w:fill="BDD6EE" w:themeFill="accent1" w:themeFillTint="66"/>
            <w:vAlign w:val="center"/>
          </w:tcPr>
          <w:p w14:paraId="2441C082">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w:t>
            </w:r>
          </w:p>
        </w:tc>
        <w:tc>
          <w:tcPr>
            <w:tcW w:w="1048" w:type="dxa"/>
            <w:tcBorders>
              <w:tl2br w:val="nil"/>
              <w:tr2bl w:val="nil"/>
            </w:tcBorders>
            <w:shd w:val="clear" w:color="auto" w:fill="BDD6EE" w:themeFill="accent1" w:themeFillTint="66"/>
            <w:vAlign w:val="center"/>
          </w:tcPr>
          <w:p w14:paraId="09C639EA">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12.31</w:t>
            </w:r>
          </w:p>
        </w:tc>
        <w:tc>
          <w:tcPr>
            <w:tcW w:w="1065" w:type="dxa"/>
            <w:tcBorders>
              <w:tl2br w:val="nil"/>
              <w:tr2bl w:val="nil"/>
            </w:tcBorders>
            <w:shd w:val="clear" w:color="auto" w:fill="BDD6EE" w:themeFill="accent1" w:themeFillTint="66"/>
            <w:vAlign w:val="center"/>
          </w:tcPr>
          <w:p w14:paraId="45F40321">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82.07%</w:t>
            </w:r>
          </w:p>
        </w:tc>
      </w:tr>
      <w:bookmarkEnd w:id="132"/>
    </w:tbl>
    <w:p w14:paraId="4695862F">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1.资金管理</w:t>
      </w:r>
    </w:p>
    <w:p w14:paraId="503CE1A0">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1592DFCC">
      <w:pPr>
        <w:pStyle w:val="26"/>
        <w:keepNext w:val="0"/>
        <w:keepLines w:val="0"/>
        <w:pageBreakBefore w:val="0"/>
        <w:widowControl w:val="0"/>
        <w:kinsoku/>
        <w:wordWrap/>
        <w:overflowPunct w:val="0"/>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2023年办案业务费预算资金3,250.00万元随2023年度部门预算同步下达至甘肃省高级人民法院机关及9家直属法院，</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val="en-US" w:eastAsia="zh-CN"/>
        </w:rPr>
        <w:t>下达</w:t>
      </w:r>
      <w:r>
        <w:rPr>
          <w:rFonts w:hint="eastAsia" w:ascii="仿宋_GB2312" w:hAnsi="仿宋_GB2312" w:eastAsia="仿宋_GB2312" w:cs="仿宋_GB2312"/>
          <w:sz w:val="32"/>
          <w:szCs w:val="32"/>
          <w:highlight w:val="none"/>
        </w:rPr>
        <w:t>及时</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足额到位，到位率100</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w:t>
      </w:r>
    </w:p>
    <w:p w14:paraId="40AA6718">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6D9E52B5">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2.31</w:t>
      </w:r>
      <w:r>
        <w:rPr>
          <w:rFonts w:hint="eastAsia" w:ascii="仿宋_GB2312" w:hAnsi="仿宋_GB2312" w:eastAsia="仿宋_GB2312" w:cs="仿宋_GB2312"/>
          <w:sz w:val="32"/>
          <w:szCs w:val="32"/>
          <w:highlight w:val="none"/>
        </w:rPr>
        <w:t>分。202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年办案业务费全年预算资金4,510.73万元，</w:t>
      </w:r>
      <w:r>
        <w:rPr>
          <w:rFonts w:hint="eastAsia" w:ascii="仿宋_GB2312" w:hAnsi="仿宋_GB2312" w:eastAsia="仿宋_GB2312" w:cs="仿宋_GB2312"/>
          <w:sz w:val="32"/>
          <w:szCs w:val="32"/>
          <w:highlight w:val="none"/>
          <w:lang w:val="en-US" w:eastAsia="zh-CN"/>
        </w:rPr>
        <w:t>截至2023年12月31日，</w:t>
      </w:r>
      <w:r>
        <w:rPr>
          <w:rFonts w:hint="eastAsia" w:ascii="仿宋_GB2312" w:hAnsi="仿宋_GB2312" w:eastAsia="仿宋_GB2312" w:cs="仿宋_GB2312"/>
          <w:sz w:val="32"/>
          <w:szCs w:val="32"/>
          <w:highlight w:val="none"/>
        </w:rPr>
        <w:t>累计支出4,</w:t>
      </w:r>
      <w:r>
        <w:rPr>
          <w:rFonts w:hint="eastAsia" w:ascii="仿宋_GB2312" w:hAnsi="仿宋_GB2312" w:eastAsia="仿宋_GB2312" w:cs="仿宋_GB2312"/>
          <w:sz w:val="32"/>
          <w:szCs w:val="32"/>
          <w:highlight w:val="none"/>
          <w:lang w:val="en-US" w:eastAsia="zh-CN"/>
        </w:rPr>
        <w:t>166</w:t>
      </w:r>
      <w:r>
        <w:rPr>
          <w:rFonts w:hint="eastAsia" w:ascii="仿宋_GB2312" w:hAnsi="仿宋_GB2312" w:eastAsia="仿宋_GB2312" w:cs="仿宋_GB2312"/>
          <w:sz w:val="32"/>
          <w:szCs w:val="32"/>
          <w:highlight w:val="none"/>
        </w:rPr>
        <w:t>.7</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预算执行率为</w:t>
      </w:r>
      <w:r>
        <w:rPr>
          <w:rFonts w:hint="eastAsia" w:ascii="仿宋_GB2312" w:hAnsi="仿宋_GB2312" w:eastAsia="仿宋_GB2312" w:cs="仿宋_GB2312"/>
          <w:sz w:val="32"/>
          <w:szCs w:val="32"/>
          <w:highlight w:val="none"/>
          <w:lang w:val="en-US" w:eastAsia="zh-CN"/>
        </w:rPr>
        <w:t>92.37</w:t>
      </w:r>
      <w:r>
        <w:rPr>
          <w:rFonts w:hint="eastAsia" w:ascii="仿宋_GB2312" w:hAnsi="仿宋_GB2312" w:eastAsia="仿宋_GB2312" w:cs="仿宋_GB2312"/>
          <w:sz w:val="32"/>
          <w:szCs w:val="32"/>
          <w:highlight w:val="none"/>
        </w:rPr>
        <w:t>%，其中甘肃省林区</w:t>
      </w:r>
      <w:r>
        <w:rPr>
          <w:rFonts w:hint="eastAsia" w:ascii="仿宋_GB2312" w:hAnsi="仿宋_GB2312" w:eastAsia="仿宋_GB2312" w:cs="仿宋_GB2312"/>
          <w:sz w:val="32"/>
          <w:szCs w:val="32"/>
          <w:highlight w:val="none"/>
          <w:lang w:eastAsia="zh-CN"/>
        </w:rPr>
        <w:t>中级人民法院</w:t>
      </w:r>
      <w:r>
        <w:rPr>
          <w:rFonts w:hint="eastAsia" w:ascii="仿宋_GB2312" w:hAnsi="仿宋_GB2312" w:eastAsia="仿宋_GB2312" w:cs="仿宋_GB2312"/>
          <w:sz w:val="32"/>
          <w:szCs w:val="32"/>
          <w:highlight w:val="none"/>
        </w:rPr>
        <w:t>办案业务费</w:t>
      </w:r>
      <w:r>
        <w:rPr>
          <w:rFonts w:hint="eastAsia" w:ascii="仿宋_GB2312" w:hAnsi="仿宋_GB2312" w:eastAsia="仿宋_GB2312" w:cs="仿宋_GB2312"/>
          <w:sz w:val="32"/>
          <w:szCs w:val="32"/>
          <w:highlight w:val="none"/>
          <w:lang w:val="en-US" w:eastAsia="zh-CN"/>
        </w:rPr>
        <w:t>预算</w:t>
      </w:r>
      <w:r>
        <w:rPr>
          <w:rFonts w:hint="eastAsia" w:ascii="仿宋_GB2312" w:hAnsi="仿宋_GB2312" w:eastAsia="仿宋_GB2312" w:cs="仿宋_GB2312"/>
          <w:sz w:val="32"/>
          <w:szCs w:val="32"/>
          <w:highlight w:val="none"/>
        </w:rPr>
        <w:t>执行率为</w:t>
      </w:r>
      <w:r>
        <w:rPr>
          <w:rFonts w:hint="eastAsia" w:ascii="仿宋_GB2312" w:hAnsi="仿宋_GB2312" w:eastAsia="仿宋_GB2312" w:cs="仿宋_GB2312"/>
          <w:sz w:val="32"/>
          <w:szCs w:val="32"/>
          <w:highlight w:val="none"/>
          <w:lang w:val="en-US" w:eastAsia="zh-CN"/>
        </w:rPr>
        <w:t>69</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67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预算执行率较低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未完成年度目标，扣0.69分</w:t>
      </w:r>
      <w:r>
        <w:rPr>
          <w:rFonts w:hint="eastAsia" w:ascii="仿宋_GB2312" w:hAnsi="仿宋_GB2312" w:eastAsia="仿宋_GB2312" w:cs="仿宋_GB2312"/>
          <w:sz w:val="32"/>
          <w:szCs w:val="32"/>
          <w:highlight w:val="none"/>
        </w:rPr>
        <w:t>。</w:t>
      </w:r>
    </w:p>
    <w:p w14:paraId="306D35F6">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①</w:t>
      </w:r>
      <w:r>
        <w:rPr>
          <w:rFonts w:hint="eastAsia" w:ascii="仿宋_GB2312" w:hAnsi="仿宋_GB2312" w:cs="仿宋_GB2312"/>
          <w:b w:val="0"/>
          <w:bCs w:val="0"/>
          <w:color w:val="000000" w:themeColor="text1"/>
          <w:highlight w:val="none"/>
          <w:lang w:val="en-US" w:eastAsia="zh-CN"/>
          <w14:textFill>
            <w14:solidFill>
              <w14:schemeClr w14:val="tx1"/>
            </w14:solidFill>
          </w14:textFill>
        </w:rPr>
        <w:t>甘肃省高级人民法院机关，办案业务费年初预算金额2,340.00万元，上年结转结余资金1,217.70万元，全年支出3,277.69万元，预算执行率92.13%。</w:t>
      </w:r>
    </w:p>
    <w:p w14:paraId="77335BD2">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②</w:t>
      </w:r>
      <w:r>
        <w:rPr>
          <w:rFonts w:hint="eastAsia" w:ascii="仿宋_GB2312" w:hAnsi="仿宋_GB2312" w:cs="仿宋_GB2312"/>
          <w:b w:val="0"/>
          <w:bCs w:val="0"/>
          <w:color w:val="000000" w:themeColor="text1"/>
          <w:highlight w:val="none"/>
          <w:lang w:val="en-US" w:eastAsia="zh-CN"/>
          <w14:textFill>
            <w14:solidFill>
              <w14:schemeClr w14:val="tx1"/>
            </w14:solidFill>
          </w14:textFill>
        </w:rPr>
        <w:t>甘肃省林区中级人民法院，办案业务费年初预算金额110.00万元，上年结转结余资金23.87万元，全年支出93.27万元，预算执行率69.67%。</w:t>
      </w:r>
    </w:p>
    <w:p w14:paraId="6EA841E1">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③</w:t>
      </w:r>
      <w:r>
        <w:rPr>
          <w:rFonts w:hint="eastAsia" w:ascii="仿宋_GB2312" w:hAnsi="仿宋_GB2312" w:cs="仿宋_GB2312"/>
          <w:b w:val="0"/>
          <w:bCs w:val="0"/>
          <w:color w:val="000000" w:themeColor="text1"/>
          <w:highlight w:val="none"/>
          <w:lang w:val="en-US" w:eastAsia="zh-CN"/>
          <w14:textFill>
            <w14:solidFill>
              <w14:schemeClr w14:val="tx1"/>
            </w14:solidFill>
          </w14:textFill>
        </w:rPr>
        <w:t>祁连山林区法院，办案业务费年初预算金额80.00万元，上年无结转结余资金，全年支出73.72万元，预算执行率92.15%。</w:t>
      </w:r>
    </w:p>
    <w:p w14:paraId="2A99ACD1">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④</w:t>
      </w:r>
      <w:r>
        <w:rPr>
          <w:rFonts w:hint="eastAsia" w:ascii="仿宋_GB2312" w:hAnsi="仿宋_GB2312" w:cs="仿宋_GB2312"/>
          <w:b w:val="0"/>
          <w:bCs w:val="0"/>
          <w:color w:val="000000" w:themeColor="text1"/>
          <w:highlight w:val="none"/>
          <w:lang w:val="en-US" w:eastAsia="zh-CN"/>
          <w14:textFill>
            <w14:solidFill>
              <w14:schemeClr w14:val="tx1"/>
            </w14:solidFill>
          </w14:textFill>
        </w:rPr>
        <w:t>小陇山林区法院，办案业务费年初预算金额80.00万元，上年无结转结余资金，全年支出80.00万元，预算执行率100.00%。</w:t>
      </w:r>
    </w:p>
    <w:p w14:paraId="08A495B5">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⑤</w:t>
      </w:r>
      <w:r>
        <w:rPr>
          <w:rFonts w:hint="eastAsia" w:ascii="仿宋_GB2312" w:hAnsi="仿宋_GB2312" w:cs="仿宋_GB2312"/>
          <w:b w:val="0"/>
          <w:bCs w:val="0"/>
          <w:color w:val="000000" w:themeColor="text1"/>
          <w:highlight w:val="none"/>
          <w:lang w:val="en-US" w:eastAsia="zh-CN"/>
          <w14:textFill>
            <w14:solidFill>
              <w14:schemeClr w14:val="tx1"/>
            </w14:solidFill>
          </w14:textFill>
        </w:rPr>
        <w:t>白龙江林区法院，办案业务费年初预算金额80.00万元，上年结转结余资金8.52万元，全年支出79.95万元，预算执行率90.32%。</w:t>
      </w:r>
    </w:p>
    <w:p w14:paraId="696165A9">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⑥</w:t>
      </w:r>
      <w:r>
        <w:rPr>
          <w:rFonts w:hint="eastAsia" w:ascii="仿宋_GB2312" w:hAnsi="仿宋_GB2312" w:cs="仿宋_GB2312"/>
          <w:b w:val="0"/>
          <w:bCs w:val="0"/>
          <w:color w:val="000000" w:themeColor="text1"/>
          <w:highlight w:val="none"/>
          <w:lang w:val="en-US" w:eastAsia="zh-CN"/>
          <w14:textFill>
            <w14:solidFill>
              <w14:schemeClr w14:val="tx1"/>
            </w14:solidFill>
          </w14:textFill>
        </w:rPr>
        <w:t>洮河林区法院，办案业务费年初预算金额80.00万元，上年结转结余资金5.94万元，全年支出85.94万元，预算执行率100.00%。</w:t>
      </w:r>
    </w:p>
    <w:p w14:paraId="61BE4DC2">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⑦</w:t>
      </w:r>
      <w:r>
        <w:rPr>
          <w:rFonts w:hint="eastAsia" w:ascii="仿宋_GB2312" w:hAnsi="仿宋_GB2312" w:cs="仿宋_GB2312"/>
          <w:b w:val="0"/>
          <w:bCs w:val="0"/>
          <w:color w:val="000000" w:themeColor="text1"/>
          <w:highlight w:val="none"/>
          <w:lang w:val="en-US" w:eastAsia="zh-CN"/>
          <w14:textFill>
            <w14:solidFill>
              <w14:schemeClr w14:val="tx1"/>
            </w14:solidFill>
          </w14:textFill>
        </w:rPr>
        <w:t>甘肃矿区人民法院，办案业务费年初预算金额100.00万元，上年无结转结余资金，全年支出91.44万元，预算执行率91.44%。</w:t>
      </w:r>
    </w:p>
    <w:p w14:paraId="67ADC4A2">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⑧</w:t>
      </w:r>
      <w:r>
        <w:rPr>
          <w:rFonts w:hint="eastAsia" w:ascii="仿宋_GB2312" w:hAnsi="仿宋_GB2312" w:cs="仿宋_GB2312"/>
          <w:b w:val="0"/>
          <w:bCs w:val="0"/>
          <w:color w:val="000000" w:themeColor="text1"/>
          <w:highlight w:val="none"/>
          <w:lang w:val="en-US" w:eastAsia="zh-CN"/>
          <w14:textFill>
            <w14:solidFill>
              <w14:schemeClr w14:val="tx1"/>
            </w14:solidFill>
          </w14:textFill>
        </w:rPr>
        <w:t>兰州铁路运输中级人民法院，办案业务费年初预算金额190.00万元，上年结转结余资金4.67万元，全年支出194.67万元，预算执行率100.00%。</w:t>
      </w:r>
    </w:p>
    <w:p w14:paraId="567F5892">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⑨</w:t>
      </w:r>
      <w:r>
        <w:rPr>
          <w:rFonts w:hint="eastAsia" w:ascii="仿宋_GB2312" w:hAnsi="仿宋_GB2312" w:cs="仿宋_GB2312"/>
          <w:b w:val="0"/>
          <w:bCs w:val="0"/>
          <w:color w:val="000000" w:themeColor="text1"/>
          <w:highlight w:val="none"/>
          <w:lang w:val="en-US" w:eastAsia="zh-CN"/>
          <w14:textFill>
            <w14:solidFill>
              <w14:schemeClr w14:val="tx1"/>
            </w14:solidFill>
          </w14:textFill>
        </w:rPr>
        <w:t>兰州铁路运输法院，办案业务费年初预算金额100.00万元，上年无结转结余资金，全年支出100.00万元，预算执行率100.00%。</w:t>
      </w:r>
    </w:p>
    <w:p w14:paraId="062AA333">
      <w:pPr>
        <w:pStyle w:val="9"/>
        <w:keepNext w:val="0"/>
        <w:keepLines w:val="0"/>
        <w:pageBreakBefore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微软雅黑" w:hAnsi="微软雅黑" w:eastAsia="微软雅黑" w:cs="微软雅黑"/>
          <w:b w:val="0"/>
          <w:bCs w:val="0"/>
          <w:color w:val="000000" w:themeColor="text1"/>
          <w:highlight w:val="none"/>
          <w:lang w:val="en-US" w:eastAsia="zh-CN"/>
          <w14:textFill>
            <w14:solidFill>
              <w14:schemeClr w14:val="tx1"/>
            </w14:solidFill>
          </w14:textFill>
        </w:rPr>
        <w:t>⑩</w:t>
      </w:r>
      <w:r>
        <w:rPr>
          <w:rFonts w:hint="eastAsia" w:ascii="仿宋_GB2312" w:hAnsi="仿宋_GB2312" w:cs="仿宋_GB2312"/>
          <w:b w:val="0"/>
          <w:bCs w:val="0"/>
          <w:color w:val="000000" w:themeColor="text1"/>
          <w:highlight w:val="none"/>
          <w:lang w:val="en-US" w:eastAsia="zh-CN"/>
          <w14:textFill>
            <w14:solidFill>
              <w14:schemeClr w14:val="tx1"/>
            </w14:solidFill>
          </w14:textFill>
        </w:rPr>
        <w:t>武威铁路运输法院，办案业务费年初预算金额90.00万元，上年结转结余资金0.03万元，全年支出90.03万元，预算执行率100.00%。</w:t>
      </w:r>
    </w:p>
    <w:p w14:paraId="1274BC2C">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0ED55EFC">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资金使用合规性：指标分值3分，评价得分3分。评价组通过查阅国家及地方财务法规及文件办法，对比分析项目实施单位财务制度办法，经查看财务凭证及附件，比较分析资金落实情况、资金使用情况及财务监控情况，评价认为，甘肃省高级人民法院机关及9家直属法院资金的拨付、</w:t>
      </w:r>
      <w:r>
        <w:rPr>
          <w:rFonts w:hint="eastAsia" w:ascii="仿宋_GB2312" w:hAnsi="仿宋_GB2312" w:eastAsia="仿宋_GB2312" w:cs="仿宋_GB2312"/>
          <w:b w:val="0"/>
          <w:bCs w:val="0"/>
          <w:color w:val="000000"/>
          <w:kern w:val="0"/>
          <w:sz w:val="32"/>
          <w:szCs w:val="32"/>
          <w:lang w:val="en-US" w:eastAsia="zh-CN" w:bidi="ar"/>
        </w:rPr>
        <w:t>报销严格按照制度规定执行，</w:t>
      </w:r>
      <w:r>
        <w:rPr>
          <w:rFonts w:hint="eastAsia" w:ascii="仿宋_GB2312" w:hAnsi="仿宋_GB2312" w:eastAsia="仿宋_GB2312" w:cs="仿宋_GB2312"/>
          <w:sz w:val="32"/>
          <w:szCs w:val="32"/>
          <w:highlight w:val="none"/>
        </w:rPr>
        <w:t>资金支出的审批程序完整，符合项目预算批复或合同规定的用途</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未发现</w:t>
      </w:r>
      <w:r>
        <w:rPr>
          <w:rFonts w:hint="eastAsia" w:ascii="仿宋_GB2312" w:hAnsi="仿宋_GB2312" w:eastAsia="仿宋_GB2312" w:cs="仿宋_GB2312"/>
          <w:sz w:val="32"/>
          <w:szCs w:val="32"/>
          <w:highlight w:val="none"/>
          <w:lang w:val="en-US" w:eastAsia="zh-CN"/>
        </w:rPr>
        <w:t>截留、</w:t>
      </w:r>
      <w:r>
        <w:rPr>
          <w:rFonts w:hint="eastAsia" w:ascii="仿宋_GB2312" w:hAnsi="仿宋_GB2312" w:eastAsia="仿宋_GB2312" w:cs="仿宋_GB2312"/>
          <w:sz w:val="32"/>
          <w:szCs w:val="32"/>
          <w:highlight w:val="none"/>
        </w:rPr>
        <w:t>虚列支出情况</w:t>
      </w:r>
      <w:r>
        <w:rPr>
          <w:rFonts w:hint="eastAsia" w:ascii="仿宋_GB2312" w:hAnsi="仿宋_GB2312" w:eastAsia="仿宋_GB2312" w:cs="仿宋_GB2312"/>
          <w:sz w:val="32"/>
          <w:szCs w:val="32"/>
          <w:highlight w:val="none"/>
          <w:lang w:eastAsia="zh-CN"/>
        </w:rPr>
        <w:t>，按规定实施政府采购和政府购买服务</w:t>
      </w:r>
      <w:r>
        <w:rPr>
          <w:rFonts w:hint="eastAsia" w:ascii="仿宋_GB2312" w:hAnsi="仿宋_GB2312" w:eastAsia="仿宋_GB2312" w:cs="仿宋_GB2312"/>
          <w:sz w:val="32"/>
          <w:szCs w:val="32"/>
          <w:highlight w:val="none"/>
        </w:rPr>
        <w:t>。</w:t>
      </w:r>
    </w:p>
    <w:p w14:paraId="458F6616">
      <w:pPr>
        <w:pStyle w:val="9"/>
        <w:keepNext w:val="0"/>
        <w:keepLines w:val="0"/>
        <w:pageBreakBefore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cs="仿宋_GB2312"/>
          <w:b/>
          <w:bCs/>
          <w:highlight w:val="none"/>
        </w:rPr>
      </w:pPr>
      <w:r>
        <w:rPr>
          <w:rFonts w:hint="eastAsia" w:ascii="仿宋_GB2312" w:hAnsi="仿宋_GB2312" w:cs="仿宋_GB2312"/>
          <w:b/>
          <w:bCs/>
          <w:highlight w:val="none"/>
        </w:rPr>
        <w:t>2.组织实施</w:t>
      </w:r>
    </w:p>
    <w:p w14:paraId="6771CAF1">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1711A6FB">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w:t>
      </w:r>
      <w:r>
        <w:rPr>
          <w:rFonts w:ascii="仿宋_GB2312" w:hAnsi="仿宋_GB2312" w:eastAsia="仿宋_GB2312" w:cs="仿宋_GB2312"/>
          <w:b w:val="0"/>
          <w:bCs w:val="0"/>
          <w:color w:val="000000"/>
          <w:kern w:val="0"/>
          <w:sz w:val="31"/>
          <w:szCs w:val="31"/>
          <w:lang w:val="en-US" w:eastAsia="zh-CN" w:bidi="ar"/>
        </w:rPr>
        <w:t>甘肃省高级人民法院机关及9家</w:t>
      </w:r>
      <w:r>
        <w:rPr>
          <w:rFonts w:hint="eastAsia" w:ascii="仿宋_GB2312" w:hAnsi="仿宋_GB2312" w:eastAsia="仿宋_GB2312" w:cs="仿宋_GB2312"/>
          <w:b w:val="0"/>
          <w:bCs w:val="0"/>
          <w:color w:val="000000"/>
          <w:kern w:val="0"/>
          <w:sz w:val="31"/>
          <w:szCs w:val="31"/>
          <w:lang w:val="en-US" w:eastAsia="zh-CN" w:bidi="ar"/>
        </w:rPr>
        <w:t>直属法院</w:t>
      </w:r>
      <w:r>
        <w:rPr>
          <w:rFonts w:ascii="仿宋_GB2312" w:hAnsi="仿宋_GB2312" w:eastAsia="仿宋_GB2312" w:cs="仿宋_GB2312"/>
          <w:b w:val="0"/>
          <w:bCs w:val="0"/>
          <w:color w:val="000000"/>
          <w:kern w:val="0"/>
          <w:sz w:val="31"/>
          <w:szCs w:val="31"/>
          <w:lang w:val="en-US" w:eastAsia="zh-CN" w:bidi="ar"/>
        </w:rPr>
        <w:t>均制定了各项管理办法，首先甘肃省高级人民法院牵头编印了《甘肃省法院系统财物统管制度汇编》，该汇编的印发对于法院系统内各项工作的实施提供了强有力的政策制度支撑。9家直属法院也根据自身法院特性，制定了多个制度办法，包括《甘肃省林区中级法院制度汇编》《小陇山林区法院财务管理制度》《洮河林区法院财务管理制度》《白龙江林区法院财务管理制度》《祁连山林区法院财务管理制度》《兰州铁路运输法院制度汇编》《武威铁路法院制度汇编》《兰州铁路运输中级法院项目经费管理办法》《兰州铁路运输中级法院财务管理规定》《兰州铁路运输中级法院采购流程管理办法》《兰州铁路运输中级法院固定资产管理规定》《甘肃矿区人民法院财务管理制度》《审判委员会工作规范（试行）》《立案工作规则》等制度。管理制度符合相关文件要求，且内容涵盖了财务、采购、资产管理、案件审理等多项工作，</w:t>
      </w:r>
      <w:r>
        <w:rPr>
          <w:rFonts w:hint="eastAsia" w:ascii="仿宋_GB2312" w:hAnsi="仿宋_GB2312" w:eastAsia="仿宋_GB2312" w:cs="仿宋_GB2312"/>
          <w:sz w:val="32"/>
          <w:szCs w:val="32"/>
          <w:highlight w:val="none"/>
          <w:lang w:val="en-US" w:eastAsia="zh-CN"/>
        </w:rPr>
        <w:t>且管理办法合法、合规。</w:t>
      </w:r>
    </w:p>
    <w:p w14:paraId="79984B16">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14:paraId="46B73B30">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1.33</w:t>
      </w:r>
      <w:r>
        <w:rPr>
          <w:rFonts w:hint="eastAsia" w:ascii="仿宋_GB2312" w:hAnsi="仿宋_GB2312" w:eastAsia="仿宋_GB2312" w:cs="仿宋_GB2312"/>
          <w:sz w:val="32"/>
          <w:szCs w:val="32"/>
          <w:highlight w:val="none"/>
        </w:rPr>
        <w:t>分。项目的执行遵守相关法律法规和相关管理规定，严格按照</w:t>
      </w:r>
      <w:r>
        <w:rPr>
          <w:rFonts w:hint="eastAsia" w:ascii="仿宋_GB2312" w:hAnsi="仿宋_GB2312" w:eastAsia="仿宋_GB2312" w:cs="仿宋_GB2312"/>
          <w:sz w:val="32"/>
          <w:szCs w:val="32"/>
          <w:highlight w:val="none"/>
          <w:lang w:val="en-US" w:eastAsia="zh-CN"/>
        </w:rPr>
        <w:t>项目计划实施</w:t>
      </w:r>
      <w:r>
        <w:rPr>
          <w:rFonts w:hint="eastAsia" w:ascii="仿宋_GB2312" w:hAnsi="仿宋_GB2312" w:eastAsia="仿宋_GB2312" w:cs="仿宋_GB2312"/>
          <w:sz w:val="32"/>
          <w:szCs w:val="32"/>
          <w:highlight w:val="none"/>
        </w:rPr>
        <w:t>，项目资料齐全并及时归档，项目实施过程中，</w:t>
      </w:r>
      <w:r>
        <w:rPr>
          <w:rFonts w:hint="eastAsia" w:ascii="仿宋_GB2312" w:hAnsi="仿宋_GB2312" w:eastAsia="仿宋_GB2312" w:cs="仿宋_GB2312"/>
          <w:sz w:val="32"/>
          <w:szCs w:val="32"/>
          <w:highlight w:val="none"/>
          <w:lang w:val="en-US" w:eastAsia="zh-CN"/>
        </w:rPr>
        <w:t>基本</w:t>
      </w:r>
      <w:r>
        <w:rPr>
          <w:rFonts w:hint="eastAsia" w:ascii="仿宋_GB2312" w:hAnsi="仿宋_GB2312" w:eastAsia="仿宋_GB2312" w:cs="仿宋_GB2312"/>
          <w:sz w:val="32"/>
          <w:szCs w:val="32"/>
          <w:highlight w:val="none"/>
        </w:rPr>
        <w:t>能够严格按照制度管理进行资金申请和下达、使用、监督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资金发放符合相关法律法规的管理规定，符合制度执行有效性规定，项目所需手续符合要求。但评价发现，</w:t>
      </w:r>
      <w:r>
        <w:rPr>
          <w:rFonts w:hint="eastAsia" w:ascii="仿宋_GB2312" w:hAnsi="仿宋_GB2312" w:eastAsia="仿宋_GB2312" w:cs="仿宋_GB2312"/>
          <w:kern w:val="2"/>
          <w:sz w:val="32"/>
          <w:szCs w:val="32"/>
          <w:highlight w:val="none"/>
          <w:lang w:val="en-US" w:eastAsia="zh-CN" w:bidi="ar-SA"/>
        </w:rPr>
        <w:t>经查验</w:t>
      </w:r>
      <w:r>
        <w:rPr>
          <w:rFonts w:hint="eastAsia" w:ascii="仿宋_GB2312" w:hAnsi="仿宋_GB2312" w:eastAsia="仿宋_GB2312" w:cs="仿宋_GB2312"/>
          <w:sz w:val="32"/>
          <w:szCs w:val="32"/>
          <w:highlight w:val="none"/>
          <w:lang w:val="en-US" w:eastAsia="zh-CN"/>
        </w:rPr>
        <w:t>甘肃省高级人民法院办案业务费项目</w:t>
      </w:r>
      <w:r>
        <w:rPr>
          <w:rFonts w:hint="eastAsia" w:ascii="仿宋_GB2312" w:hAnsi="仿宋_GB2312" w:eastAsia="仿宋_GB2312" w:cs="仿宋_GB2312"/>
          <w:kern w:val="2"/>
          <w:sz w:val="32"/>
          <w:szCs w:val="32"/>
          <w:highlight w:val="none"/>
          <w:lang w:val="en-US" w:eastAsia="zh-CN" w:bidi="ar-SA"/>
        </w:rPr>
        <w:t>相关合同协议、会计凭证等资料，存在</w:t>
      </w:r>
      <w:r>
        <w:rPr>
          <w:rFonts w:hint="eastAsia" w:ascii="仿宋_GB2312" w:hAnsi="仿宋_GB2312" w:eastAsia="仿宋_GB2312" w:cs="仿宋_GB2312"/>
          <w:sz w:val="32"/>
          <w:szCs w:val="32"/>
          <w:highlight w:val="none"/>
          <w:lang w:val="en-US" w:eastAsia="zh-CN"/>
        </w:rPr>
        <w:t>验收不规范的情况，如：验收单未填写验收日期，验收单未加盖公章，验收单加盖发票专用章等情况。</w:t>
      </w:r>
      <w:r>
        <w:rPr>
          <w:rFonts w:hint="eastAsia" w:ascii="仿宋_GB2312" w:hAnsi="仿宋_GB2312" w:eastAsia="仿宋_GB2312" w:cs="仿宋_GB2312"/>
          <w:kern w:val="2"/>
          <w:sz w:val="32"/>
          <w:szCs w:val="32"/>
          <w:highlight w:val="none"/>
          <w:lang w:val="en-US" w:eastAsia="zh-CN" w:bidi="ar-SA"/>
        </w:rPr>
        <w:t>履约验收程序有待进一步规范，不符合《甘肃省财政厅、甘肃省高级人民法院、甘肃省人民检察院〈关于甘肃省省以下地方法院检察院政府采购活动有关事项〉的通知》（甘财采〔2018〕12号）相关采购管理规定，扣0.67分。</w:t>
      </w:r>
    </w:p>
    <w:p w14:paraId="73FD823A">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绩效管理规范性</w:t>
      </w:r>
    </w:p>
    <w:p w14:paraId="7A817447">
      <w:pPr>
        <w:pStyle w:val="26"/>
        <w:keepNext w:val="0"/>
        <w:keepLines w:val="0"/>
        <w:pageBreakBefore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绩效管理规范性：指标分值2分，评价得分0.67分。项目2023年度分别于6月、9月开展两次项目预算执行情况绩效监控，绩效监控开展规范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甘肃省高级人民法院机关及9家直属法院2024年初开展了2023年度项目预算执行情况绩效自评，经评价组核查甘肃省高级人民法院机关及9家直属法院填报的《办案业务费项目支出绩效自评表》发现，兰州铁路运输法院办案办公设备采购数量年度指标值1套，绩效自评实际完成值填写为99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白龙江林区法院、武威铁路运输法院、洮河林区法院行政案件结案率实际完成值均为0</w:t>
      </w:r>
      <w:r>
        <w:rPr>
          <w:rFonts w:hint="eastAsia" w:ascii="仿宋_GB2312" w:hAnsi="仿宋_GB2312" w:eastAsia="仿宋_GB2312" w:cs="仿宋_GB2312"/>
          <w:sz w:val="32"/>
          <w:szCs w:val="32"/>
          <w:highlight w:val="none"/>
          <w:lang w:val="en-US" w:eastAsia="zh-CN"/>
        </w:rPr>
        <w:t>；甘肃省林区中级人民法院、兰州铁路运输法院设备采购不及时等情况，以上法院的绩效自评质量有待提升。</w:t>
      </w:r>
    </w:p>
    <w:p w14:paraId="2237B9AB">
      <w:pPr>
        <w:pStyle w:val="9"/>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rPr>
      </w:pPr>
      <w:bookmarkStart w:id="133" w:name="_Toc31485"/>
      <w:bookmarkStart w:id="134" w:name="_Toc20113"/>
      <w:bookmarkStart w:id="135" w:name="_Toc3677"/>
      <w:r>
        <w:rPr>
          <w:rFonts w:hint="eastAsia" w:ascii="楷体" w:hAnsi="楷体" w:eastAsia="楷体" w:cs="楷体"/>
          <w:b/>
          <w:bCs/>
          <w:highlight w:val="none"/>
          <w:lang w:eastAsia="zh-CN"/>
        </w:rPr>
        <w:t>（</w:t>
      </w:r>
      <w:r>
        <w:rPr>
          <w:rFonts w:hint="eastAsia" w:ascii="楷体" w:hAnsi="楷体" w:eastAsia="楷体" w:cs="楷体"/>
          <w:b/>
          <w:bCs/>
          <w:highlight w:val="none"/>
          <w:lang w:val="en-US" w:eastAsia="zh-CN"/>
        </w:rPr>
        <w:t>三</w:t>
      </w:r>
      <w:r>
        <w:rPr>
          <w:rFonts w:hint="eastAsia" w:ascii="楷体" w:hAnsi="楷体" w:eastAsia="楷体" w:cs="楷体"/>
          <w:b/>
          <w:bCs/>
          <w:highlight w:val="none"/>
          <w:lang w:eastAsia="zh-CN"/>
        </w:rPr>
        <w:t>）</w:t>
      </w:r>
      <w:r>
        <w:rPr>
          <w:rFonts w:hint="eastAsia" w:ascii="楷体" w:hAnsi="楷体" w:eastAsia="楷体" w:cs="楷体"/>
          <w:b/>
          <w:bCs/>
          <w:highlight w:val="none"/>
        </w:rPr>
        <w:t>项目</w:t>
      </w:r>
      <w:r>
        <w:rPr>
          <w:rFonts w:hint="eastAsia" w:ascii="楷体" w:hAnsi="楷体" w:eastAsia="楷体" w:cs="楷体"/>
          <w:b/>
          <w:bCs/>
          <w:highlight w:val="none"/>
          <w:lang w:val="en-US" w:eastAsia="zh-CN"/>
        </w:rPr>
        <w:t>成本</w:t>
      </w:r>
      <w:r>
        <w:rPr>
          <w:rFonts w:hint="eastAsia" w:ascii="楷体" w:hAnsi="楷体" w:eastAsia="楷体" w:cs="楷体"/>
          <w:b/>
          <w:bCs/>
          <w:highlight w:val="none"/>
        </w:rPr>
        <w:t>情况</w:t>
      </w:r>
      <w:bookmarkEnd w:id="133"/>
    </w:p>
    <w:p w14:paraId="09E3137C">
      <w:pPr>
        <w:pStyle w:val="9"/>
        <w:keepNext w:val="0"/>
        <w:keepLines w:val="0"/>
        <w:pageBreakBefore w:val="0"/>
        <w:tabs>
          <w:tab w:val="left" w:pos="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项目</w:t>
      </w:r>
      <w:r>
        <w:rPr>
          <w:rFonts w:hint="eastAsia" w:ascii="仿宋_GB2312" w:hAnsi="仿宋_GB2312" w:cs="仿宋_GB2312"/>
          <w:highlight w:val="none"/>
          <w:lang w:val="en-US" w:eastAsia="zh-CN"/>
        </w:rPr>
        <w:t>成本</w:t>
      </w:r>
      <w:r>
        <w:rPr>
          <w:rFonts w:hint="eastAsia" w:ascii="仿宋_GB2312" w:hAnsi="仿宋_GB2312" w:cs="仿宋_GB2312"/>
          <w:highlight w:val="none"/>
        </w:rPr>
        <w:t>指标包括经济成本指标</w:t>
      </w:r>
      <w:r>
        <w:rPr>
          <w:rFonts w:hint="eastAsia" w:ascii="仿宋_GB2312" w:hAnsi="仿宋_GB2312" w:cs="仿宋_GB2312"/>
          <w:highlight w:val="none"/>
          <w:lang w:val="en-US" w:eastAsia="zh-CN"/>
        </w:rPr>
        <w:t>一</w:t>
      </w:r>
      <w:r>
        <w:rPr>
          <w:rFonts w:hint="eastAsia" w:ascii="仿宋_GB2312" w:hAnsi="仿宋_GB2312" w:cs="仿宋_GB2312"/>
          <w:highlight w:val="none"/>
        </w:rPr>
        <w:t>个二级指标。</w:t>
      </w:r>
      <w:r>
        <w:rPr>
          <w:rFonts w:hint="eastAsia" w:ascii="仿宋_GB2312" w:hAnsi="仿宋_GB2312" w:eastAsia="仿宋_GB2312" w:cs="仿宋_GB2312"/>
          <w:kern w:val="2"/>
          <w:sz w:val="32"/>
          <w:szCs w:val="32"/>
          <w:highlight w:val="none"/>
          <w:lang w:val="en-US" w:eastAsia="zh-CN" w:bidi="ar-SA"/>
        </w:rPr>
        <w:t>下设1个三级指标</w:t>
      </w:r>
      <w:r>
        <w:rPr>
          <w:rFonts w:hint="eastAsia" w:ascii="仿宋_GB2312" w:hAnsi="仿宋_GB2312" w:cs="仿宋_GB2312"/>
          <w:highlight w:val="none"/>
        </w:rPr>
        <w:t>。指标分值</w:t>
      </w:r>
      <w:r>
        <w:rPr>
          <w:rFonts w:hint="eastAsia" w:ascii="仿宋_GB2312" w:hAnsi="仿宋_GB2312" w:cs="仿宋_GB2312"/>
          <w:highlight w:val="none"/>
          <w:lang w:val="en-US" w:eastAsia="zh-CN"/>
        </w:rPr>
        <w:t>10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10</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100.00</w:t>
      </w:r>
      <w:r>
        <w:rPr>
          <w:rFonts w:hint="eastAsia" w:ascii="仿宋_GB2312" w:hAnsi="仿宋_GB2312" w:cs="仿宋_GB2312"/>
          <w:highlight w:val="none"/>
        </w:rPr>
        <w:t>%。</w:t>
      </w:r>
    </w:p>
    <w:p w14:paraId="36EFE6C6">
      <w:pPr>
        <w:pStyle w:val="10"/>
        <w:numPr>
          <w:ilvl w:val="0"/>
          <w:numId w:val="0"/>
        </w:numPr>
      </w:pPr>
    </w:p>
    <w:tbl>
      <w:tblPr>
        <w:tblStyle w:val="20"/>
        <w:tblW w:w="864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217"/>
        <w:gridCol w:w="831"/>
        <w:gridCol w:w="1225"/>
        <w:gridCol w:w="1204"/>
        <w:gridCol w:w="946"/>
        <w:gridCol w:w="1110"/>
      </w:tblGrid>
      <w:tr w14:paraId="5A5C403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6BD20A2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17" w:type="dxa"/>
            <w:tcBorders>
              <w:tl2br w:val="nil"/>
              <w:tr2bl w:val="nil"/>
            </w:tcBorders>
            <w:shd w:val="clear" w:color="auto" w:fill="BDD6EE" w:themeFill="accent1" w:themeFillTint="66"/>
            <w:vAlign w:val="center"/>
          </w:tcPr>
          <w:p w14:paraId="7A371C9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1" w:type="dxa"/>
            <w:tcBorders>
              <w:tl2br w:val="nil"/>
              <w:tr2bl w:val="nil"/>
            </w:tcBorders>
            <w:shd w:val="clear" w:color="auto" w:fill="BDD6EE" w:themeFill="accent1" w:themeFillTint="66"/>
            <w:vAlign w:val="center"/>
          </w:tcPr>
          <w:p w14:paraId="54A5471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5" w:type="dxa"/>
            <w:tcBorders>
              <w:tl2br w:val="nil"/>
              <w:tr2bl w:val="nil"/>
            </w:tcBorders>
            <w:shd w:val="clear" w:color="auto" w:fill="BDD6EE" w:themeFill="accent1" w:themeFillTint="66"/>
            <w:vAlign w:val="center"/>
          </w:tcPr>
          <w:p w14:paraId="78AF444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04" w:type="dxa"/>
            <w:tcBorders>
              <w:tl2br w:val="nil"/>
              <w:tr2bl w:val="nil"/>
            </w:tcBorders>
            <w:shd w:val="clear" w:color="auto" w:fill="BDD6EE" w:themeFill="accent1" w:themeFillTint="66"/>
            <w:vAlign w:val="center"/>
          </w:tcPr>
          <w:p w14:paraId="091B065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46" w:type="dxa"/>
            <w:tcBorders>
              <w:tl2br w:val="nil"/>
              <w:tr2bl w:val="nil"/>
            </w:tcBorders>
            <w:shd w:val="clear" w:color="auto" w:fill="BDD6EE" w:themeFill="accent1" w:themeFillTint="66"/>
            <w:vAlign w:val="center"/>
          </w:tcPr>
          <w:p w14:paraId="556A508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10" w:type="dxa"/>
            <w:tcBorders>
              <w:tl2br w:val="nil"/>
              <w:tr2bl w:val="nil"/>
            </w:tcBorders>
            <w:shd w:val="clear" w:color="auto" w:fill="BDD6EE" w:themeFill="accent1" w:themeFillTint="66"/>
            <w:vAlign w:val="center"/>
          </w:tcPr>
          <w:p w14:paraId="09D332E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0D1F90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tcBorders>
              <w:tl2br w:val="nil"/>
              <w:tr2bl w:val="nil"/>
            </w:tcBorders>
            <w:vAlign w:val="center"/>
          </w:tcPr>
          <w:p w14:paraId="23475182">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217" w:type="dxa"/>
            <w:tcBorders>
              <w:tl2br w:val="nil"/>
              <w:tr2bl w:val="nil"/>
            </w:tcBorders>
            <w:shd w:val="clear" w:color="auto" w:fill="auto"/>
            <w:vAlign w:val="center"/>
          </w:tcPr>
          <w:p w14:paraId="051C60EB">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成本控制情况</w:t>
            </w:r>
          </w:p>
        </w:tc>
        <w:tc>
          <w:tcPr>
            <w:tcW w:w="831" w:type="dxa"/>
            <w:tcBorders>
              <w:tl2br w:val="nil"/>
              <w:tr2bl w:val="nil"/>
            </w:tcBorders>
            <w:shd w:val="clear" w:color="auto" w:fill="auto"/>
            <w:vAlign w:val="center"/>
          </w:tcPr>
          <w:p w14:paraId="46FDC097">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auto"/>
                <w:kern w:val="0"/>
                <w:sz w:val="20"/>
                <w:szCs w:val="20"/>
                <w:highlight w:val="none"/>
                <w:u w:val="none"/>
                <w:lang w:val="en-US" w:eastAsia="zh-CN" w:bidi="ar"/>
              </w:rPr>
              <w:t>10</w:t>
            </w:r>
          </w:p>
        </w:tc>
        <w:tc>
          <w:tcPr>
            <w:tcW w:w="1225" w:type="dxa"/>
            <w:tcBorders>
              <w:tl2br w:val="nil"/>
              <w:tr2bl w:val="nil"/>
            </w:tcBorders>
            <w:shd w:val="clear" w:color="auto" w:fill="auto"/>
            <w:vAlign w:val="center"/>
          </w:tcPr>
          <w:p w14:paraId="36EC995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预算内</w:t>
            </w:r>
          </w:p>
        </w:tc>
        <w:tc>
          <w:tcPr>
            <w:tcW w:w="1204" w:type="dxa"/>
            <w:tcBorders>
              <w:tl2br w:val="nil"/>
              <w:tr2bl w:val="nil"/>
            </w:tcBorders>
            <w:shd w:val="clear" w:color="auto" w:fill="auto"/>
            <w:vAlign w:val="center"/>
          </w:tcPr>
          <w:p w14:paraId="3A60B03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预算内</w:t>
            </w:r>
          </w:p>
        </w:tc>
        <w:tc>
          <w:tcPr>
            <w:tcW w:w="946" w:type="dxa"/>
            <w:tcBorders>
              <w:tl2br w:val="nil"/>
              <w:tr2bl w:val="nil"/>
            </w:tcBorders>
            <w:shd w:val="clear" w:color="auto" w:fill="auto"/>
            <w:vAlign w:val="center"/>
          </w:tcPr>
          <w:p w14:paraId="14E04BB4">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auto"/>
                <w:kern w:val="0"/>
                <w:sz w:val="20"/>
                <w:szCs w:val="20"/>
                <w:highlight w:val="none"/>
                <w:u w:val="none"/>
                <w:lang w:val="en-US" w:eastAsia="zh-CN" w:bidi="ar"/>
              </w:rPr>
              <w:t>10</w:t>
            </w:r>
          </w:p>
        </w:tc>
        <w:tc>
          <w:tcPr>
            <w:tcW w:w="1110" w:type="dxa"/>
            <w:tcBorders>
              <w:tl2br w:val="nil"/>
              <w:tr2bl w:val="nil"/>
            </w:tcBorders>
            <w:shd w:val="clear" w:color="auto" w:fill="auto"/>
            <w:vAlign w:val="center"/>
          </w:tcPr>
          <w:p w14:paraId="3F4C257A">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64D17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31" w:type="dxa"/>
            <w:gridSpan w:val="2"/>
            <w:tcBorders>
              <w:tl2br w:val="nil"/>
              <w:tr2bl w:val="nil"/>
            </w:tcBorders>
            <w:shd w:val="clear" w:color="auto" w:fill="BDD6EE" w:themeFill="accent1" w:themeFillTint="66"/>
            <w:vAlign w:val="center"/>
          </w:tcPr>
          <w:p w14:paraId="5335DE3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1" w:type="dxa"/>
            <w:tcBorders>
              <w:tl2br w:val="nil"/>
              <w:tr2bl w:val="nil"/>
            </w:tcBorders>
            <w:shd w:val="clear" w:color="auto" w:fill="BDD6EE" w:themeFill="accent1" w:themeFillTint="66"/>
            <w:vAlign w:val="center"/>
          </w:tcPr>
          <w:p w14:paraId="4FE93922">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10</w:t>
            </w:r>
          </w:p>
        </w:tc>
        <w:tc>
          <w:tcPr>
            <w:tcW w:w="1225" w:type="dxa"/>
            <w:tcBorders>
              <w:tl2br w:val="nil"/>
              <w:tr2bl w:val="nil"/>
            </w:tcBorders>
            <w:shd w:val="clear" w:color="auto" w:fill="BDD6EE" w:themeFill="accent1" w:themeFillTint="66"/>
            <w:vAlign w:val="center"/>
          </w:tcPr>
          <w:p w14:paraId="14B47C0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204" w:type="dxa"/>
            <w:tcBorders>
              <w:tl2br w:val="nil"/>
              <w:tr2bl w:val="nil"/>
            </w:tcBorders>
            <w:shd w:val="clear" w:color="auto" w:fill="BDD6EE" w:themeFill="accent1" w:themeFillTint="66"/>
            <w:vAlign w:val="center"/>
          </w:tcPr>
          <w:p w14:paraId="60337938">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46" w:type="dxa"/>
            <w:tcBorders>
              <w:tl2br w:val="nil"/>
              <w:tr2bl w:val="nil"/>
            </w:tcBorders>
            <w:shd w:val="clear" w:color="auto" w:fill="BDD6EE" w:themeFill="accent1" w:themeFillTint="66"/>
            <w:vAlign w:val="center"/>
          </w:tcPr>
          <w:p w14:paraId="26E80856">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10</w:t>
            </w:r>
          </w:p>
        </w:tc>
        <w:tc>
          <w:tcPr>
            <w:tcW w:w="1110" w:type="dxa"/>
            <w:tcBorders>
              <w:tl2br w:val="nil"/>
              <w:tr2bl w:val="nil"/>
            </w:tcBorders>
            <w:shd w:val="clear" w:color="auto" w:fill="BDD6EE" w:themeFill="accent1" w:themeFillTint="66"/>
            <w:vAlign w:val="center"/>
          </w:tcPr>
          <w:p w14:paraId="6C3391F2">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5804B760">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pPr>
      <w:r>
        <w:rPr>
          <w:rFonts w:hint="eastAsia" w:ascii="仿宋_GB2312" w:hAnsi="仿宋_GB2312" w:eastAsia="仿宋_GB2312" w:cs="仿宋_GB2312"/>
          <w:kern w:val="2"/>
          <w:sz w:val="32"/>
          <w:szCs w:val="32"/>
          <w:highlight w:val="none"/>
          <w:lang w:val="en-US" w:eastAsia="zh-CN" w:bidi="ar-SA"/>
        </w:rPr>
        <w:t>成本控制情况</w:t>
      </w:r>
      <w:r>
        <w:rPr>
          <w:rFonts w:hint="eastAsia" w:ascii="仿宋_GB2312" w:hAnsi="仿宋_GB2312" w:cs="仿宋_GB2312"/>
          <w:kern w:val="2"/>
          <w:sz w:val="32"/>
          <w:szCs w:val="32"/>
          <w:highlight w:val="none"/>
          <w:lang w:val="en-US" w:eastAsia="zh-CN" w:bidi="ar-SA"/>
        </w:rPr>
        <w:t>：</w:t>
      </w:r>
      <w:r>
        <w:rPr>
          <w:rFonts w:hint="eastAsia" w:ascii="仿宋_GB2312" w:hAnsi="仿宋_GB2312" w:eastAsia="仿宋_GB2312" w:cs="仿宋_GB2312"/>
          <w:sz w:val="32"/>
          <w:szCs w:val="32"/>
          <w:highlight w:val="none"/>
          <w:lang w:val="en-US" w:eastAsia="zh-CN"/>
        </w:rPr>
        <w:t>指标分值</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val="en-US" w:eastAsia="zh-CN"/>
        </w:rPr>
        <w:t>分，评价得分</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val="en-US" w:eastAsia="zh-CN"/>
        </w:rPr>
        <w:t>分。</w:t>
      </w:r>
      <w:r>
        <w:rPr>
          <w:rFonts w:hint="eastAsia" w:ascii="仿宋_GB2312" w:hAnsi="仿宋_GB2312" w:eastAsia="仿宋_GB2312" w:cs="仿宋_GB2312"/>
          <w:kern w:val="2"/>
          <w:sz w:val="32"/>
          <w:szCs w:val="32"/>
          <w:highlight w:val="none"/>
          <w:lang w:val="en-US" w:eastAsia="zh-CN" w:bidi="ar-SA"/>
        </w:rPr>
        <w:t>甘肃省高级人民法院机关及9家</w:t>
      </w:r>
      <w:r>
        <w:rPr>
          <w:rFonts w:hint="eastAsia" w:ascii="仿宋_GB2312" w:hAnsi="仿宋_GB2312" w:cs="仿宋_GB2312"/>
          <w:kern w:val="2"/>
          <w:sz w:val="32"/>
          <w:szCs w:val="32"/>
          <w:highlight w:val="none"/>
          <w:lang w:val="en-US" w:eastAsia="zh-CN" w:bidi="ar-SA"/>
        </w:rPr>
        <w:t>直属法院</w:t>
      </w:r>
      <w:r>
        <w:rPr>
          <w:rFonts w:hint="eastAsia" w:ascii="仿宋_GB2312" w:hAnsi="仿宋_GB2312" w:eastAsia="仿宋_GB2312" w:cs="仿宋_GB2312"/>
          <w:kern w:val="2"/>
          <w:sz w:val="32"/>
          <w:szCs w:val="32"/>
          <w:highlight w:val="none"/>
          <w:lang w:val="en-US" w:eastAsia="zh-CN" w:bidi="ar-SA"/>
        </w:rPr>
        <w:t>积极响应国家相关政策，坚持节约资金的原则，严格控制项目预算金额，在提高服务质量</w:t>
      </w:r>
      <w:r>
        <w:rPr>
          <w:rFonts w:ascii="仿宋_GB2312" w:hAnsi="仿宋_GB2312" w:eastAsia="仿宋_GB2312" w:cs="仿宋_GB2312"/>
          <w:b w:val="0"/>
          <w:bCs w:val="0"/>
          <w:color w:val="000000"/>
          <w:kern w:val="0"/>
          <w:sz w:val="31"/>
          <w:szCs w:val="31"/>
          <w:lang w:val="en-US" w:eastAsia="zh-CN" w:bidi="ar"/>
        </w:rPr>
        <w:t>水平的同时，降低成本开支，该项目开支均未超出预算。</w:t>
      </w:r>
    </w:p>
    <w:p w14:paraId="3D8DAD03">
      <w:pPr>
        <w:pStyle w:val="9"/>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lang w:eastAsia="zh-CN"/>
        </w:rPr>
      </w:pPr>
      <w:bookmarkStart w:id="136" w:name="_Toc20475"/>
      <w:r>
        <w:rPr>
          <w:rFonts w:hint="eastAsia" w:ascii="楷体" w:hAnsi="楷体" w:eastAsia="楷体" w:cs="楷体"/>
          <w:b/>
          <w:bCs/>
          <w:highlight w:val="none"/>
          <w:lang w:eastAsia="zh-CN"/>
        </w:rPr>
        <w:t>（</w:t>
      </w:r>
      <w:r>
        <w:rPr>
          <w:rFonts w:hint="eastAsia" w:ascii="楷体" w:hAnsi="楷体" w:eastAsia="楷体" w:cs="楷体"/>
          <w:b/>
          <w:bCs/>
          <w:highlight w:val="none"/>
          <w:lang w:val="en-US" w:eastAsia="zh-CN"/>
        </w:rPr>
        <w:t>四</w:t>
      </w:r>
      <w:r>
        <w:rPr>
          <w:rFonts w:hint="eastAsia" w:ascii="楷体" w:hAnsi="楷体" w:eastAsia="楷体" w:cs="楷体"/>
          <w:b/>
          <w:bCs/>
          <w:highlight w:val="none"/>
          <w:lang w:eastAsia="zh-CN"/>
        </w:rPr>
        <w:t>）项目产出情况</w:t>
      </w:r>
      <w:bookmarkEnd w:id="134"/>
      <w:bookmarkEnd w:id="135"/>
      <w:bookmarkEnd w:id="136"/>
    </w:p>
    <w:p w14:paraId="4D3119B5">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项目产出指标包括产出数量、产出质量、产出时效</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个二级指标，指标分值</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28.1</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93.67</w:t>
      </w:r>
      <w:r>
        <w:rPr>
          <w:rFonts w:hint="eastAsia" w:ascii="仿宋_GB2312" w:hAnsi="仿宋_GB2312" w:eastAsia="仿宋_GB2312" w:cs="仿宋_GB2312"/>
          <w:sz w:val="32"/>
          <w:szCs w:val="32"/>
          <w:highlight w:val="none"/>
        </w:rPr>
        <w:t>%。</w:t>
      </w:r>
    </w:p>
    <w:tbl>
      <w:tblPr>
        <w:tblStyle w:val="20"/>
        <w:tblW w:w="864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217"/>
        <w:gridCol w:w="831"/>
        <w:gridCol w:w="1225"/>
        <w:gridCol w:w="1204"/>
        <w:gridCol w:w="946"/>
        <w:gridCol w:w="1110"/>
      </w:tblGrid>
      <w:tr w14:paraId="0562B27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128909F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17" w:type="dxa"/>
            <w:tcBorders>
              <w:tl2br w:val="nil"/>
              <w:tr2bl w:val="nil"/>
            </w:tcBorders>
            <w:shd w:val="clear" w:color="auto" w:fill="BDD6EE" w:themeFill="accent1" w:themeFillTint="66"/>
            <w:vAlign w:val="center"/>
          </w:tcPr>
          <w:p w14:paraId="328CA0E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1" w:type="dxa"/>
            <w:tcBorders>
              <w:tl2br w:val="nil"/>
              <w:tr2bl w:val="nil"/>
            </w:tcBorders>
            <w:shd w:val="clear" w:color="auto" w:fill="BDD6EE" w:themeFill="accent1" w:themeFillTint="66"/>
            <w:vAlign w:val="center"/>
          </w:tcPr>
          <w:p w14:paraId="7718535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5" w:type="dxa"/>
            <w:tcBorders>
              <w:tl2br w:val="nil"/>
              <w:tr2bl w:val="nil"/>
            </w:tcBorders>
            <w:shd w:val="clear" w:color="auto" w:fill="BDD6EE" w:themeFill="accent1" w:themeFillTint="66"/>
            <w:vAlign w:val="center"/>
          </w:tcPr>
          <w:p w14:paraId="389D346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04" w:type="dxa"/>
            <w:tcBorders>
              <w:tl2br w:val="nil"/>
              <w:tr2bl w:val="nil"/>
            </w:tcBorders>
            <w:shd w:val="clear" w:color="auto" w:fill="BDD6EE" w:themeFill="accent1" w:themeFillTint="66"/>
            <w:vAlign w:val="center"/>
          </w:tcPr>
          <w:p w14:paraId="6AB1E4A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46" w:type="dxa"/>
            <w:tcBorders>
              <w:tl2br w:val="nil"/>
              <w:tr2bl w:val="nil"/>
            </w:tcBorders>
            <w:shd w:val="clear" w:color="auto" w:fill="BDD6EE" w:themeFill="accent1" w:themeFillTint="66"/>
            <w:vAlign w:val="center"/>
          </w:tcPr>
          <w:p w14:paraId="72AB0C0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10" w:type="dxa"/>
            <w:tcBorders>
              <w:tl2br w:val="nil"/>
              <w:tr2bl w:val="nil"/>
            </w:tcBorders>
            <w:shd w:val="clear" w:color="auto" w:fill="BDD6EE" w:themeFill="accent1" w:themeFillTint="66"/>
            <w:vAlign w:val="center"/>
          </w:tcPr>
          <w:p w14:paraId="3D7F545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7223C83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5E12F8E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217" w:type="dxa"/>
            <w:tcBorders>
              <w:tl2br w:val="nil"/>
              <w:tr2bl w:val="nil"/>
            </w:tcBorders>
            <w:shd w:val="clear" w:color="auto" w:fill="auto"/>
            <w:vAlign w:val="center"/>
          </w:tcPr>
          <w:p w14:paraId="466E696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办案办公设备采购数量</w:t>
            </w:r>
          </w:p>
        </w:tc>
        <w:tc>
          <w:tcPr>
            <w:tcW w:w="831" w:type="dxa"/>
            <w:tcBorders>
              <w:tl2br w:val="nil"/>
              <w:tr2bl w:val="nil"/>
            </w:tcBorders>
            <w:shd w:val="clear" w:color="auto" w:fill="auto"/>
            <w:vAlign w:val="center"/>
          </w:tcPr>
          <w:p w14:paraId="1F7B91C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0BE662E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≥400台（套）</w:t>
            </w:r>
          </w:p>
        </w:tc>
        <w:tc>
          <w:tcPr>
            <w:tcW w:w="1204" w:type="dxa"/>
            <w:tcBorders>
              <w:tl2br w:val="nil"/>
              <w:tr2bl w:val="nil"/>
            </w:tcBorders>
            <w:shd w:val="clear" w:color="auto" w:fill="auto"/>
            <w:vAlign w:val="center"/>
          </w:tcPr>
          <w:p w14:paraId="0A1027C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918台（套）</w:t>
            </w:r>
          </w:p>
        </w:tc>
        <w:tc>
          <w:tcPr>
            <w:tcW w:w="946" w:type="dxa"/>
            <w:tcBorders>
              <w:tl2br w:val="nil"/>
              <w:tr2bl w:val="nil"/>
            </w:tcBorders>
            <w:shd w:val="clear" w:color="auto" w:fill="auto"/>
            <w:vAlign w:val="center"/>
          </w:tcPr>
          <w:p w14:paraId="593D9D8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3</w:t>
            </w:r>
          </w:p>
        </w:tc>
        <w:tc>
          <w:tcPr>
            <w:tcW w:w="1110" w:type="dxa"/>
            <w:tcBorders>
              <w:tl2br w:val="nil"/>
              <w:tr2bl w:val="nil"/>
            </w:tcBorders>
            <w:shd w:val="clear" w:color="auto" w:fill="auto"/>
            <w:vAlign w:val="center"/>
          </w:tcPr>
          <w:p w14:paraId="4D4147AB">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6D91BD2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7D4D85B3">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24F5E7E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民商事案件结案率</w:t>
            </w:r>
          </w:p>
        </w:tc>
        <w:tc>
          <w:tcPr>
            <w:tcW w:w="831" w:type="dxa"/>
            <w:tcBorders>
              <w:tl2br w:val="nil"/>
              <w:tr2bl w:val="nil"/>
            </w:tcBorders>
            <w:shd w:val="clear" w:color="auto" w:fill="auto"/>
            <w:vAlign w:val="center"/>
          </w:tcPr>
          <w:p w14:paraId="49CF706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1606F63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≥90%</w:t>
            </w:r>
          </w:p>
        </w:tc>
        <w:tc>
          <w:tcPr>
            <w:tcW w:w="1204" w:type="dxa"/>
            <w:tcBorders>
              <w:tl2br w:val="nil"/>
              <w:tr2bl w:val="nil"/>
            </w:tcBorders>
            <w:shd w:val="clear" w:color="auto" w:fill="auto"/>
            <w:vAlign w:val="center"/>
          </w:tcPr>
          <w:p w14:paraId="7E9B021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94.30%</w:t>
            </w:r>
          </w:p>
        </w:tc>
        <w:tc>
          <w:tcPr>
            <w:tcW w:w="946" w:type="dxa"/>
            <w:tcBorders>
              <w:tl2br w:val="nil"/>
              <w:tr2bl w:val="nil"/>
            </w:tcBorders>
            <w:shd w:val="clear" w:color="auto" w:fill="auto"/>
            <w:vAlign w:val="center"/>
          </w:tcPr>
          <w:p w14:paraId="2DFDF1B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3</w:t>
            </w:r>
          </w:p>
        </w:tc>
        <w:tc>
          <w:tcPr>
            <w:tcW w:w="1110" w:type="dxa"/>
            <w:tcBorders>
              <w:tl2br w:val="nil"/>
              <w:tr2bl w:val="nil"/>
            </w:tcBorders>
            <w:shd w:val="clear" w:color="auto" w:fill="auto"/>
            <w:vAlign w:val="center"/>
          </w:tcPr>
          <w:p w14:paraId="790DA7A7">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D25A21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492DC051">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597F991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刑事案件结案率</w:t>
            </w:r>
          </w:p>
        </w:tc>
        <w:tc>
          <w:tcPr>
            <w:tcW w:w="831" w:type="dxa"/>
            <w:tcBorders>
              <w:tl2br w:val="nil"/>
              <w:tr2bl w:val="nil"/>
            </w:tcBorders>
            <w:shd w:val="clear" w:color="auto" w:fill="auto"/>
            <w:vAlign w:val="center"/>
          </w:tcPr>
          <w:p w14:paraId="6542124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4EAB32A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≥90%</w:t>
            </w:r>
          </w:p>
        </w:tc>
        <w:tc>
          <w:tcPr>
            <w:tcW w:w="1204" w:type="dxa"/>
            <w:tcBorders>
              <w:tl2br w:val="nil"/>
              <w:tr2bl w:val="nil"/>
            </w:tcBorders>
            <w:shd w:val="clear" w:color="auto" w:fill="auto"/>
            <w:vAlign w:val="center"/>
          </w:tcPr>
          <w:p w14:paraId="5077EA3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94.83%</w:t>
            </w:r>
          </w:p>
        </w:tc>
        <w:tc>
          <w:tcPr>
            <w:tcW w:w="946" w:type="dxa"/>
            <w:tcBorders>
              <w:tl2br w:val="nil"/>
              <w:tr2bl w:val="nil"/>
            </w:tcBorders>
            <w:shd w:val="clear" w:color="auto" w:fill="auto"/>
            <w:vAlign w:val="center"/>
          </w:tcPr>
          <w:p w14:paraId="4A973CE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3</w:t>
            </w:r>
          </w:p>
        </w:tc>
        <w:tc>
          <w:tcPr>
            <w:tcW w:w="1110" w:type="dxa"/>
            <w:tcBorders>
              <w:tl2br w:val="nil"/>
              <w:tr2bl w:val="nil"/>
            </w:tcBorders>
            <w:shd w:val="clear" w:color="auto" w:fill="auto"/>
            <w:vAlign w:val="center"/>
          </w:tcPr>
          <w:p w14:paraId="3C68E464">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62F7FBF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055DFE55">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1B2F7C8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行政案件结案率</w:t>
            </w:r>
          </w:p>
        </w:tc>
        <w:tc>
          <w:tcPr>
            <w:tcW w:w="831" w:type="dxa"/>
            <w:tcBorders>
              <w:tl2br w:val="nil"/>
              <w:tr2bl w:val="nil"/>
            </w:tcBorders>
            <w:shd w:val="clear" w:color="auto" w:fill="auto"/>
            <w:vAlign w:val="center"/>
          </w:tcPr>
          <w:p w14:paraId="1C17F6B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6459CC3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≥90%</w:t>
            </w:r>
          </w:p>
        </w:tc>
        <w:tc>
          <w:tcPr>
            <w:tcW w:w="1204" w:type="dxa"/>
            <w:tcBorders>
              <w:tl2br w:val="nil"/>
              <w:tr2bl w:val="nil"/>
            </w:tcBorders>
            <w:shd w:val="clear" w:color="auto" w:fill="auto"/>
            <w:vAlign w:val="center"/>
          </w:tcPr>
          <w:p w14:paraId="17B88A0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95.18%</w:t>
            </w:r>
          </w:p>
        </w:tc>
        <w:tc>
          <w:tcPr>
            <w:tcW w:w="946" w:type="dxa"/>
            <w:tcBorders>
              <w:tl2br w:val="nil"/>
              <w:tr2bl w:val="nil"/>
            </w:tcBorders>
            <w:shd w:val="clear" w:color="auto" w:fill="auto"/>
            <w:vAlign w:val="center"/>
          </w:tcPr>
          <w:p w14:paraId="6162B7A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2.1</w:t>
            </w:r>
          </w:p>
        </w:tc>
        <w:tc>
          <w:tcPr>
            <w:tcW w:w="1110" w:type="dxa"/>
            <w:tcBorders>
              <w:tl2br w:val="nil"/>
              <w:tr2bl w:val="nil"/>
            </w:tcBorders>
            <w:shd w:val="clear" w:color="auto" w:fill="auto"/>
            <w:vAlign w:val="center"/>
          </w:tcPr>
          <w:p w14:paraId="57258F45">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70.00%</w:t>
            </w:r>
          </w:p>
        </w:tc>
      </w:tr>
      <w:tr w14:paraId="36FBAFF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39F44914">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4B7679D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执行案件结案率</w:t>
            </w:r>
          </w:p>
        </w:tc>
        <w:tc>
          <w:tcPr>
            <w:tcW w:w="831" w:type="dxa"/>
            <w:tcBorders>
              <w:tl2br w:val="nil"/>
              <w:tr2bl w:val="nil"/>
            </w:tcBorders>
            <w:shd w:val="clear" w:color="auto" w:fill="auto"/>
            <w:vAlign w:val="center"/>
          </w:tcPr>
          <w:p w14:paraId="645E88EC">
            <w:pPr>
              <w:keepNext w:val="0"/>
              <w:keepLines w:val="0"/>
              <w:widowControl/>
              <w:suppressLineNumbers w:val="0"/>
              <w:jc w:val="center"/>
              <w:textAlignment w:val="center"/>
              <w:rPr>
                <w:rFonts w:hint="eastAsia" w:ascii="宋体" w:hAnsi="宋体" w:eastAsia="宋体" w:cs="宋体"/>
                <w:color w:val="auto"/>
                <w:sz w:val="20"/>
                <w:szCs w:val="20"/>
                <w:highlight w:val="none"/>
                <w:lang w:val="en-US"/>
              </w:rPr>
            </w:pPr>
            <w:r>
              <w:rPr>
                <w:rFonts w:hint="eastAsia" w:ascii="宋体" w:hAnsi="宋体" w:eastAsia="宋体" w:cs="宋体"/>
                <w:i w:val="0"/>
                <w:iCs w:val="0"/>
                <w:color w:val="auto"/>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5EAFF7C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≥85%</w:t>
            </w:r>
          </w:p>
        </w:tc>
        <w:tc>
          <w:tcPr>
            <w:tcW w:w="1204" w:type="dxa"/>
            <w:tcBorders>
              <w:tl2br w:val="nil"/>
              <w:tr2bl w:val="nil"/>
            </w:tcBorders>
            <w:shd w:val="clear" w:color="auto" w:fill="auto"/>
            <w:vAlign w:val="center"/>
          </w:tcPr>
          <w:p w14:paraId="22CC1A9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96.39%</w:t>
            </w:r>
          </w:p>
        </w:tc>
        <w:tc>
          <w:tcPr>
            <w:tcW w:w="946" w:type="dxa"/>
            <w:tcBorders>
              <w:tl2br w:val="nil"/>
              <w:tr2bl w:val="nil"/>
            </w:tcBorders>
            <w:shd w:val="clear" w:color="auto" w:fill="auto"/>
            <w:vAlign w:val="center"/>
          </w:tcPr>
          <w:p w14:paraId="049D0042">
            <w:pPr>
              <w:keepNext w:val="0"/>
              <w:keepLines w:val="0"/>
              <w:widowControl/>
              <w:suppressLineNumbers w:val="0"/>
              <w:jc w:val="center"/>
              <w:textAlignment w:val="center"/>
              <w:rPr>
                <w:rFonts w:hint="eastAsia" w:ascii="宋体" w:hAnsi="宋体" w:eastAsia="宋体" w:cs="宋体"/>
                <w:color w:val="auto"/>
                <w:sz w:val="20"/>
                <w:szCs w:val="20"/>
                <w:highlight w:val="none"/>
                <w:lang w:val="en-US"/>
              </w:rPr>
            </w:pPr>
            <w:r>
              <w:rPr>
                <w:rFonts w:hint="eastAsia" w:ascii="宋体" w:hAnsi="宋体" w:eastAsia="宋体" w:cs="宋体"/>
                <w:i w:val="0"/>
                <w:iCs w:val="0"/>
                <w:color w:val="333333"/>
                <w:kern w:val="0"/>
                <w:sz w:val="20"/>
                <w:szCs w:val="20"/>
                <w:u w:val="none"/>
                <w:lang w:val="en-US" w:eastAsia="zh-CN" w:bidi="ar"/>
              </w:rPr>
              <w:t>3</w:t>
            </w:r>
          </w:p>
        </w:tc>
        <w:tc>
          <w:tcPr>
            <w:tcW w:w="1110" w:type="dxa"/>
            <w:tcBorders>
              <w:tl2br w:val="nil"/>
              <w:tr2bl w:val="nil"/>
            </w:tcBorders>
            <w:shd w:val="clear" w:color="auto" w:fill="auto"/>
            <w:vAlign w:val="center"/>
          </w:tcPr>
          <w:p w14:paraId="1B2D2F35">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65A659E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503F0D3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217" w:type="dxa"/>
            <w:tcBorders>
              <w:tl2br w:val="nil"/>
              <w:tr2bl w:val="nil"/>
            </w:tcBorders>
            <w:shd w:val="clear" w:color="auto" w:fill="auto"/>
            <w:vAlign w:val="center"/>
          </w:tcPr>
          <w:p w14:paraId="39A7257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采购验收合格率</w:t>
            </w:r>
          </w:p>
        </w:tc>
        <w:tc>
          <w:tcPr>
            <w:tcW w:w="831" w:type="dxa"/>
            <w:tcBorders>
              <w:tl2br w:val="nil"/>
              <w:tr2bl w:val="nil"/>
            </w:tcBorders>
            <w:shd w:val="clear" w:color="auto" w:fill="auto"/>
            <w:vAlign w:val="center"/>
          </w:tcPr>
          <w:p w14:paraId="33323B9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25" w:type="dxa"/>
            <w:tcBorders>
              <w:tl2br w:val="nil"/>
              <w:tr2bl w:val="nil"/>
            </w:tcBorders>
            <w:shd w:val="clear" w:color="auto" w:fill="auto"/>
            <w:vAlign w:val="center"/>
          </w:tcPr>
          <w:p w14:paraId="04DA511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=100%</w:t>
            </w:r>
          </w:p>
        </w:tc>
        <w:tc>
          <w:tcPr>
            <w:tcW w:w="1204" w:type="dxa"/>
            <w:tcBorders>
              <w:tl2br w:val="nil"/>
              <w:tr2bl w:val="nil"/>
            </w:tcBorders>
            <w:shd w:val="clear" w:color="auto" w:fill="auto"/>
            <w:vAlign w:val="center"/>
          </w:tcPr>
          <w:p w14:paraId="56D7FD5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100%</w:t>
            </w:r>
          </w:p>
        </w:tc>
        <w:tc>
          <w:tcPr>
            <w:tcW w:w="946" w:type="dxa"/>
            <w:tcBorders>
              <w:tl2br w:val="nil"/>
              <w:tr2bl w:val="nil"/>
            </w:tcBorders>
            <w:shd w:val="clear" w:color="auto" w:fill="auto"/>
            <w:vAlign w:val="center"/>
          </w:tcPr>
          <w:p w14:paraId="1B28154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10" w:type="dxa"/>
            <w:tcBorders>
              <w:tl2br w:val="nil"/>
              <w:tr2bl w:val="nil"/>
            </w:tcBorders>
            <w:shd w:val="clear" w:color="auto" w:fill="auto"/>
            <w:vAlign w:val="center"/>
          </w:tcPr>
          <w:p w14:paraId="2733948E">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DB3967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7E631406">
            <w:pPr>
              <w:jc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4041ACE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一审服判息诉率</w:t>
            </w:r>
          </w:p>
        </w:tc>
        <w:tc>
          <w:tcPr>
            <w:tcW w:w="831" w:type="dxa"/>
            <w:tcBorders>
              <w:tl2br w:val="nil"/>
              <w:tr2bl w:val="nil"/>
            </w:tcBorders>
            <w:shd w:val="clear" w:color="auto" w:fill="auto"/>
            <w:vAlign w:val="center"/>
          </w:tcPr>
          <w:p w14:paraId="6E30DE1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25" w:type="dxa"/>
            <w:tcBorders>
              <w:tl2br w:val="nil"/>
              <w:tr2bl w:val="nil"/>
            </w:tcBorders>
            <w:shd w:val="clear" w:color="auto" w:fill="auto"/>
            <w:vAlign w:val="center"/>
          </w:tcPr>
          <w:p w14:paraId="5D584AC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≥90%</w:t>
            </w:r>
          </w:p>
        </w:tc>
        <w:tc>
          <w:tcPr>
            <w:tcW w:w="1204" w:type="dxa"/>
            <w:tcBorders>
              <w:tl2br w:val="nil"/>
              <w:tr2bl w:val="nil"/>
            </w:tcBorders>
            <w:shd w:val="clear" w:color="auto" w:fill="auto"/>
            <w:vAlign w:val="center"/>
          </w:tcPr>
          <w:p w14:paraId="5499452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91.29%</w:t>
            </w:r>
          </w:p>
        </w:tc>
        <w:tc>
          <w:tcPr>
            <w:tcW w:w="946" w:type="dxa"/>
            <w:tcBorders>
              <w:tl2br w:val="nil"/>
              <w:tr2bl w:val="nil"/>
            </w:tcBorders>
            <w:shd w:val="clear" w:color="auto" w:fill="auto"/>
            <w:vAlign w:val="center"/>
          </w:tcPr>
          <w:p w14:paraId="66219D9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10" w:type="dxa"/>
            <w:tcBorders>
              <w:tl2br w:val="nil"/>
              <w:tr2bl w:val="nil"/>
            </w:tcBorders>
            <w:shd w:val="clear" w:color="auto" w:fill="auto"/>
            <w:vAlign w:val="center"/>
          </w:tcPr>
          <w:p w14:paraId="2A35EE2B">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7B9592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427CF4E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217" w:type="dxa"/>
            <w:tcBorders>
              <w:tl2br w:val="nil"/>
              <w:tr2bl w:val="nil"/>
            </w:tcBorders>
            <w:shd w:val="clear" w:color="auto" w:fill="auto"/>
            <w:vAlign w:val="center"/>
          </w:tcPr>
          <w:p w14:paraId="4F8A0B8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采购工作开展及时性</w:t>
            </w:r>
          </w:p>
        </w:tc>
        <w:tc>
          <w:tcPr>
            <w:tcW w:w="831" w:type="dxa"/>
            <w:tcBorders>
              <w:tl2br w:val="nil"/>
              <w:tr2bl w:val="nil"/>
            </w:tcBorders>
            <w:shd w:val="clear" w:color="auto" w:fill="auto"/>
            <w:vAlign w:val="center"/>
          </w:tcPr>
          <w:p w14:paraId="7392115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5" w:type="dxa"/>
            <w:tcBorders>
              <w:tl2br w:val="nil"/>
              <w:tr2bl w:val="nil"/>
            </w:tcBorders>
            <w:shd w:val="clear" w:color="auto" w:fill="auto"/>
            <w:vAlign w:val="center"/>
          </w:tcPr>
          <w:p w14:paraId="5F74BB6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及时</w:t>
            </w:r>
          </w:p>
        </w:tc>
        <w:tc>
          <w:tcPr>
            <w:tcW w:w="1204" w:type="dxa"/>
            <w:tcBorders>
              <w:tl2br w:val="nil"/>
              <w:tr2bl w:val="nil"/>
            </w:tcBorders>
            <w:shd w:val="clear" w:color="auto" w:fill="auto"/>
            <w:vAlign w:val="center"/>
          </w:tcPr>
          <w:p w14:paraId="28B3B53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较及时</w:t>
            </w:r>
          </w:p>
        </w:tc>
        <w:tc>
          <w:tcPr>
            <w:tcW w:w="946" w:type="dxa"/>
            <w:tcBorders>
              <w:tl2br w:val="nil"/>
              <w:tr2bl w:val="nil"/>
            </w:tcBorders>
            <w:shd w:val="clear" w:color="auto" w:fill="auto"/>
            <w:vAlign w:val="center"/>
          </w:tcPr>
          <w:p w14:paraId="1B6DB8A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w:t>
            </w:r>
          </w:p>
        </w:tc>
        <w:tc>
          <w:tcPr>
            <w:tcW w:w="1110" w:type="dxa"/>
            <w:tcBorders>
              <w:tl2br w:val="nil"/>
              <w:tr2bl w:val="nil"/>
            </w:tcBorders>
            <w:shd w:val="clear" w:color="auto" w:fill="auto"/>
            <w:vAlign w:val="center"/>
          </w:tcPr>
          <w:p w14:paraId="17CF69EF">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80.00%</w:t>
            </w:r>
          </w:p>
        </w:tc>
      </w:tr>
      <w:tr w14:paraId="288D47A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47CF5B6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4683247A">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法定审限内结案率</w:t>
            </w:r>
          </w:p>
        </w:tc>
        <w:tc>
          <w:tcPr>
            <w:tcW w:w="831" w:type="dxa"/>
            <w:tcBorders>
              <w:tl2br w:val="nil"/>
              <w:tr2bl w:val="nil"/>
            </w:tcBorders>
            <w:shd w:val="clear" w:color="auto" w:fill="auto"/>
            <w:vAlign w:val="center"/>
          </w:tcPr>
          <w:p w14:paraId="2CDDB85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5" w:type="dxa"/>
            <w:tcBorders>
              <w:tl2br w:val="nil"/>
              <w:tr2bl w:val="nil"/>
            </w:tcBorders>
            <w:shd w:val="clear" w:color="auto" w:fill="auto"/>
            <w:vAlign w:val="center"/>
          </w:tcPr>
          <w:p w14:paraId="6A75BE7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≥90%</w:t>
            </w:r>
          </w:p>
        </w:tc>
        <w:tc>
          <w:tcPr>
            <w:tcW w:w="1204" w:type="dxa"/>
            <w:tcBorders>
              <w:tl2br w:val="nil"/>
              <w:tr2bl w:val="nil"/>
            </w:tcBorders>
            <w:shd w:val="clear" w:color="auto" w:fill="auto"/>
            <w:vAlign w:val="center"/>
          </w:tcPr>
          <w:p w14:paraId="22CD7E7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98.40%</w:t>
            </w:r>
          </w:p>
        </w:tc>
        <w:tc>
          <w:tcPr>
            <w:tcW w:w="946" w:type="dxa"/>
            <w:tcBorders>
              <w:tl2br w:val="nil"/>
              <w:tr2bl w:val="nil"/>
            </w:tcBorders>
            <w:shd w:val="clear" w:color="auto" w:fill="auto"/>
            <w:vAlign w:val="center"/>
          </w:tcPr>
          <w:p w14:paraId="34A09DC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110" w:type="dxa"/>
            <w:tcBorders>
              <w:tl2br w:val="nil"/>
              <w:tr2bl w:val="nil"/>
            </w:tcBorders>
            <w:shd w:val="clear" w:color="auto" w:fill="auto"/>
            <w:vAlign w:val="center"/>
          </w:tcPr>
          <w:p w14:paraId="766BD55D">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AB427F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31" w:type="dxa"/>
            <w:gridSpan w:val="2"/>
            <w:tcBorders>
              <w:tl2br w:val="nil"/>
              <w:tr2bl w:val="nil"/>
            </w:tcBorders>
            <w:shd w:val="clear" w:color="auto" w:fill="BDD6EE" w:themeFill="accent1" w:themeFillTint="66"/>
            <w:vAlign w:val="center"/>
          </w:tcPr>
          <w:p w14:paraId="0488791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1" w:type="dxa"/>
            <w:tcBorders>
              <w:tl2br w:val="nil"/>
              <w:tr2bl w:val="nil"/>
            </w:tcBorders>
            <w:shd w:val="clear" w:color="auto" w:fill="BDD6EE" w:themeFill="accent1" w:themeFillTint="66"/>
            <w:vAlign w:val="center"/>
          </w:tcPr>
          <w:p w14:paraId="540445F3">
            <w:pPr>
              <w:widowControl/>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1225" w:type="dxa"/>
            <w:tcBorders>
              <w:tl2br w:val="nil"/>
              <w:tr2bl w:val="nil"/>
            </w:tcBorders>
            <w:shd w:val="clear" w:color="auto" w:fill="BDD6EE" w:themeFill="accent1" w:themeFillTint="66"/>
            <w:vAlign w:val="center"/>
          </w:tcPr>
          <w:p w14:paraId="70D3CB4F">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204" w:type="dxa"/>
            <w:tcBorders>
              <w:tl2br w:val="nil"/>
              <w:tr2bl w:val="nil"/>
            </w:tcBorders>
            <w:shd w:val="clear" w:color="auto" w:fill="BDD6EE" w:themeFill="accent1" w:themeFillTint="66"/>
            <w:vAlign w:val="center"/>
          </w:tcPr>
          <w:p w14:paraId="2D67701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46" w:type="dxa"/>
            <w:tcBorders>
              <w:tl2br w:val="nil"/>
              <w:tr2bl w:val="nil"/>
            </w:tcBorders>
            <w:shd w:val="clear" w:color="auto" w:fill="BDD6EE" w:themeFill="accent1" w:themeFillTint="66"/>
            <w:vAlign w:val="center"/>
          </w:tcPr>
          <w:p w14:paraId="56847E7F">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28.1</w:t>
            </w:r>
          </w:p>
        </w:tc>
        <w:tc>
          <w:tcPr>
            <w:tcW w:w="1110" w:type="dxa"/>
            <w:tcBorders>
              <w:tl2br w:val="nil"/>
              <w:tr2bl w:val="nil"/>
            </w:tcBorders>
            <w:shd w:val="clear" w:color="auto" w:fill="BDD6EE" w:themeFill="accent1" w:themeFillTint="66"/>
            <w:vAlign w:val="center"/>
          </w:tcPr>
          <w:p w14:paraId="5D84EF84">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93.67%</w:t>
            </w:r>
          </w:p>
        </w:tc>
      </w:tr>
    </w:tbl>
    <w:p w14:paraId="2D02F920">
      <w:pPr>
        <w:pStyle w:val="26"/>
        <w:keepNext w:val="0"/>
        <w:keepLines w:val="0"/>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14:paraId="15AEE935">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办案办公设备采购数量：指标分值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b w:val="0"/>
          <w:bCs w:val="0"/>
          <w:color w:val="000000"/>
          <w:sz w:val="31"/>
          <w:szCs w:val="31"/>
        </w:rPr>
        <w:t>年度指标值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400台（套）</w:t>
      </w:r>
      <w:r>
        <w:rPr>
          <w:rFonts w:hint="eastAsia" w:ascii="仿宋_GB2312" w:hAnsi="仿宋_GB2312" w:eastAsia="仿宋_GB2312" w:cs="仿宋_GB2312"/>
          <w:b w:val="0"/>
          <w:bCs w:val="0"/>
          <w:color w:val="000000"/>
          <w:sz w:val="31"/>
          <w:szCs w:val="31"/>
        </w:rPr>
        <w:t>，实际采购918台（套）</w:t>
      </w:r>
      <w:r>
        <w:rPr>
          <w:rFonts w:hint="eastAsia" w:ascii="仿宋_GB2312" w:hAnsi="仿宋_GB2312" w:eastAsia="仿宋_GB2312" w:cs="仿宋_GB2312"/>
          <w:b w:val="0"/>
          <w:bCs w:val="0"/>
          <w:color w:val="000000"/>
          <w:sz w:val="31"/>
          <w:szCs w:val="31"/>
          <w:lang w:eastAsia="zh-CN"/>
        </w:rPr>
        <w:t>，</w:t>
      </w:r>
      <w:r>
        <w:rPr>
          <w:rFonts w:hint="eastAsia" w:ascii="仿宋_GB2312" w:hAnsi="仿宋_GB2312" w:eastAsia="仿宋_GB2312" w:cs="仿宋_GB2312"/>
          <w:b w:val="0"/>
          <w:bCs w:val="0"/>
          <w:color w:val="000000"/>
          <w:sz w:val="31"/>
          <w:szCs w:val="31"/>
          <w:lang w:val="en-US" w:eastAsia="zh-CN"/>
        </w:rPr>
        <w:t>其中</w:t>
      </w:r>
      <w:r>
        <w:rPr>
          <w:rFonts w:hint="eastAsia" w:ascii="仿宋_GB2312" w:hAnsi="仿宋_GB2312" w:eastAsia="仿宋_GB2312" w:cs="仿宋_GB2312"/>
          <w:b w:val="0"/>
          <w:bCs w:val="0"/>
          <w:color w:val="000000"/>
          <w:sz w:val="31"/>
          <w:szCs w:val="31"/>
        </w:rPr>
        <w:t>祁连山林区法院年度指标值1套</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1套；小陇山林区法院</w:t>
      </w:r>
      <w:r>
        <w:rPr>
          <w:rFonts w:hint="eastAsia" w:ascii="仿宋_GB2312" w:hAnsi="仿宋_GB2312" w:eastAsia="仿宋_GB2312" w:cs="仿宋_GB2312"/>
          <w:b w:val="0"/>
          <w:bCs w:val="0"/>
          <w:color w:val="000000"/>
          <w:sz w:val="31"/>
          <w:szCs w:val="31"/>
        </w:rPr>
        <w:t>年度指标值182台（套）</w:t>
      </w:r>
      <w:r>
        <w:rPr>
          <w:rFonts w:hint="eastAsia" w:ascii="仿宋_GB2312" w:hAnsi="仿宋_GB2312" w:eastAsia="仿宋_GB2312" w:cs="仿宋_GB2312"/>
          <w:b w:val="0"/>
          <w:bCs w:val="0"/>
          <w:color w:val="000000"/>
          <w:sz w:val="31"/>
          <w:szCs w:val="31"/>
          <w:lang w:eastAsia="zh-CN"/>
        </w:rPr>
        <w:t>，</w:t>
      </w:r>
      <w:r>
        <w:rPr>
          <w:rFonts w:hint="eastAsia" w:ascii="仿宋_GB2312" w:hAnsi="仿宋_GB2312" w:eastAsia="仿宋_GB2312" w:cs="仿宋_GB2312"/>
          <w:b w:val="0"/>
          <w:bCs w:val="0"/>
          <w:color w:val="000000"/>
          <w:sz w:val="31"/>
          <w:szCs w:val="31"/>
        </w:rPr>
        <w:t>实际采购182台（套）</w:t>
      </w:r>
      <w:r>
        <w:rPr>
          <w:rFonts w:hint="eastAsia" w:ascii="仿宋_GB2312" w:hAnsi="仿宋_GB2312" w:eastAsia="仿宋_GB2312" w:cs="仿宋_GB2312"/>
          <w:b w:val="0"/>
          <w:bCs w:val="0"/>
          <w:color w:val="000000"/>
          <w:sz w:val="31"/>
          <w:szCs w:val="31"/>
          <w:lang w:eastAsia="zh-CN"/>
        </w:rPr>
        <w:t>；白龙江林区法院</w:t>
      </w:r>
      <w:r>
        <w:rPr>
          <w:rFonts w:hint="eastAsia" w:ascii="仿宋_GB2312" w:hAnsi="仿宋_GB2312" w:eastAsia="仿宋_GB2312" w:cs="仿宋_GB2312"/>
          <w:b w:val="0"/>
          <w:bCs w:val="0"/>
          <w:color w:val="000000"/>
          <w:sz w:val="31"/>
          <w:szCs w:val="31"/>
        </w:rPr>
        <w:t>年度指标值1套</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1套；洮河林区法院</w:t>
      </w:r>
      <w:r>
        <w:rPr>
          <w:rFonts w:hint="eastAsia" w:ascii="仿宋_GB2312" w:hAnsi="仿宋_GB2312" w:eastAsia="仿宋_GB2312" w:cs="仿宋_GB2312"/>
          <w:b w:val="0"/>
          <w:bCs w:val="0"/>
          <w:color w:val="000000"/>
          <w:sz w:val="31"/>
          <w:szCs w:val="31"/>
        </w:rPr>
        <w:t>年度指标值</w:t>
      </w:r>
      <w:r>
        <w:rPr>
          <w:rFonts w:hint="eastAsia" w:ascii="仿宋_GB2312" w:hAnsi="仿宋_GB2312" w:eastAsia="仿宋_GB2312" w:cs="仿宋_GB2312"/>
          <w:b w:val="0"/>
          <w:bCs w:val="0"/>
          <w:color w:val="000000"/>
          <w:sz w:val="31"/>
          <w:szCs w:val="31"/>
          <w:lang w:val="en-US" w:eastAsia="zh-CN"/>
        </w:rPr>
        <w:t>124</w:t>
      </w:r>
      <w:r>
        <w:rPr>
          <w:rFonts w:hint="eastAsia" w:ascii="仿宋_GB2312" w:hAnsi="仿宋_GB2312" w:eastAsia="仿宋_GB2312" w:cs="仿宋_GB2312"/>
          <w:b w:val="0"/>
          <w:bCs w:val="0"/>
          <w:color w:val="000000"/>
          <w:sz w:val="31"/>
          <w:szCs w:val="31"/>
        </w:rPr>
        <w:t>套</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176套；甘肃矿区人民法院</w:t>
      </w:r>
      <w:r>
        <w:rPr>
          <w:rFonts w:hint="eastAsia" w:ascii="仿宋_GB2312" w:hAnsi="仿宋_GB2312" w:eastAsia="仿宋_GB2312" w:cs="仿宋_GB2312"/>
          <w:b w:val="0"/>
          <w:bCs w:val="0"/>
          <w:color w:val="000000"/>
          <w:sz w:val="31"/>
          <w:szCs w:val="31"/>
        </w:rPr>
        <w:t>年度指标值</w:t>
      </w:r>
      <w:r>
        <w:rPr>
          <w:rFonts w:hint="eastAsia" w:ascii="仿宋_GB2312" w:hAnsi="仿宋_GB2312" w:eastAsia="仿宋_GB2312" w:cs="仿宋_GB2312"/>
          <w:b w:val="0"/>
          <w:bCs w:val="0"/>
          <w:color w:val="000000"/>
          <w:sz w:val="31"/>
          <w:szCs w:val="31"/>
          <w:lang w:val="en-US" w:eastAsia="zh-CN"/>
        </w:rPr>
        <w:t>82</w:t>
      </w:r>
      <w:r>
        <w:rPr>
          <w:rFonts w:hint="eastAsia" w:ascii="仿宋_GB2312" w:hAnsi="仿宋_GB2312" w:eastAsia="仿宋_GB2312" w:cs="仿宋_GB2312"/>
          <w:b w:val="0"/>
          <w:bCs w:val="0"/>
          <w:color w:val="000000"/>
          <w:sz w:val="31"/>
          <w:szCs w:val="31"/>
        </w:rPr>
        <w:t>套</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82套；兰州铁路运输法院</w:t>
      </w:r>
      <w:r>
        <w:rPr>
          <w:rFonts w:hint="eastAsia" w:ascii="仿宋_GB2312" w:hAnsi="仿宋_GB2312" w:eastAsia="仿宋_GB2312" w:cs="仿宋_GB2312"/>
          <w:b w:val="0"/>
          <w:bCs w:val="0"/>
          <w:color w:val="000000"/>
          <w:sz w:val="31"/>
          <w:szCs w:val="31"/>
        </w:rPr>
        <w:t>年度指标值</w:t>
      </w:r>
      <w:r>
        <w:rPr>
          <w:rFonts w:hint="eastAsia" w:ascii="仿宋_GB2312" w:hAnsi="仿宋_GB2312" w:eastAsia="仿宋_GB2312" w:cs="仿宋_GB2312"/>
          <w:b w:val="0"/>
          <w:bCs w:val="0"/>
          <w:color w:val="000000"/>
          <w:sz w:val="31"/>
          <w:szCs w:val="31"/>
          <w:lang w:val="en-US" w:eastAsia="zh-CN"/>
        </w:rPr>
        <w:t>1</w:t>
      </w:r>
      <w:r>
        <w:rPr>
          <w:rFonts w:hint="eastAsia" w:ascii="仿宋_GB2312" w:hAnsi="仿宋_GB2312" w:eastAsia="仿宋_GB2312" w:cs="仿宋_GB2312"/>
          <w:b w:val="0"/>
          <w:bCs w:val="0"/>
          <w:color w:val="000000"/>
          <w:sz w:val="31"/>
          <w:szCs w:val="31"/>
        </w:rPr>
        <w:t>套</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99套；武威铁路运输法院</w:t>
      </w:r>
      <w:r>
        <w:rPr>
          <w:rFonts w:hint="eastAsia" w:ascii="仿宋_GB2312" w:hAnsi="仿宋_GB2312" w:eastAsia="仿宋_GB2312" w:cs="仿宋_GB2312"/>
          <w:b w:val="0"/>
          <w:bCs w:val="0"/>
          <w:color w:val="000000"/>
          <w:sz w:val="31"/>
          <w:szCs w:val="31"/>
        </w:rPr>
        <w:t>年度指标值1套</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1套；甘肃省高级人民法院</w:t>
      </w:r>
      <w:r>
        <w:rPr>
          <w:rFonts w:hint="eastAsia" w:ascii="仿宋_GB2312" w:hAnsi="仿宋_GB2312" w:eastAsia="仿宋_GB2312" w:cs="仿宋_GB2312"/>
          <w:b w:val="0"/>
          <w:bCs w:val="0"/>
          <w:color w:val="000000"/>
          <w:sz w:val="31"/>
          <w:szCs w:val="31"/>
        </w:rPr>
        <w:t>实际采购</w:t>
      </w:r>
      <w:r>
        <w:rPr>
          <w:rFonts w:hint="eastAsia" w:ascii="仿宋_GB2312" w:hAnsi="仿宋_GB2312" w:eastAsia="仿宋_GB2312" w:cs="仿宋_GB2312"/>
          <w:b w:val="0"/>
          <w:bCs w:val="0"/>
          <w:color w:val="000000"/>
          <w:sz w:val="31"/>
          <w:szCs w:val="31"/>
          <w:lang w:val="en-US" w:eastAsia="zh-CN"/>
        </w:rPr>
        <w:t>376套，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完成年度预期目标。</w:t>
      </w:r>
    </w:p>
    <w:p w14:paraId="03FAEC18">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民商事案件结案率：指标分值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b w:val="0"/>
          <w:bCs w:val="0"/>
          <w:color w:val="000000"/>
          <w:sz w:val="31"/>
          <w:szCs w:val="31"/>
          <w:lang w:val="en-US" w:eastAsia="zh-CN"/>
        </w:rPr>
        <w:t>民商事案件结案率年度目标值≥90%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实际</w:t>
      </w:r>
      <w:r>
        <w:rPr>
          <w:rFonts w:hint="eastAsia" w:ascii="仿宋_GB2312" w:hAnsi="仿宋_GB2312" w:eastAsia="仿宋_GB2312" w:cs="仿宋_GB2312"/>
          <w:color w:val="000000" w:themeColor="text1"/>
          <w:sz w:val="32"/>
          <w:szCs w:val="32"/>
          <w:highlight w:val="none"/>
          <w14:textFill>
            <w14:solidFill>
              <w14:schemeClr w14:val="tx1"/>
            </w14:solidFill>
          </w14:textFill>
        </w:rPr>
        <w:t>民商事案件结案率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为94.03%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04BA03D1">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刑事案件结案率：指标分值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分。刑事案件结案率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年度目标值</w:t>
      </w:r>
      <w:r>
        <w:rPr>
          <w:rFonts w:hint="eastAsia" w:ascii="仿宋_GB2312" w:hAnsi="仿宋_GB2312" w:eastAsia="仿宋_GB2312" w:cs="仿宋_GB2312"/>
          <w:b w:val="0"/>
          <w:bCs w:val="0"/>
          <w:color w:val="000000"/>
          <w:sz w:val="31"/>
          <w:szCs w:val="31"/>
          <w:lang w:val="en-US" w:eastAsia="zh-CN"/>
        </w:rPr>
        <w:t>≥90%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实际</w:t>
      </w:r>
      <w:r>
        <w:rPr>
          <w:rFonts w:hint="eastAsia" w:ascii="仿宋_GB2312" w:hAnsi="仿宋_GB2312" w:eastAsia="仿宋_GB2312" w:cs="仿宋_GB2312"/>
          <w:color w:val="000000" w:themeColor="text1"/>
          <w:sz w:val="32"/>
          <w:szCs w:val="32"/>
          <w:highlight w:val="none"/>
          <w14:textFill>
            <w14:solidFill>
              <w14:schemeClr w14:val="tx1"/>
            </w14:solidFill>
          </w14:textFill>
        </w:rPr>
        <w:t>刑事案件结案率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为94.83%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18A79427">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行政案件结案率：指标分值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highlight w:val="none"/>
          <w14:textFill>
            <w14:solidFill>
              <w14:schemeClr w14:val="tx1"/>
            </w14:solidFill>
          </w14:textFill>
        </w:rPr>
        <w:t>分。行政案件结案率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年度目标值</w:t>
      </w:r>
      <w:r>
        <w:rPr>
          <w:rFonts w:hint="eastAsia" w:ascii="仿宋_GB2312" w:hAnsi="仿宋_GB2312" w:eastAsia="仿宋_GB2312" w:cs="仿宋_GB2312"/>
          <w:b w:val="0"/>
          <w:bCs w:val="0"/>
          <w:color w:val="000000"/>
          <w:sz w:val="31"/>
          <w:szCs w:val="31"/>
          <w:lang w:val="en-US" w:eastAsia="zh-CN"/>
        </w:rPr>
        <w:t>≥90%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，实际</w:t>
      </w:r>
      <w:r>
        <w:rPr>
          <w:rFonts w:hint="eastAsia" w:ascii="仿宋_GB2312" w:hAnsi="仿宋_GB2312" w:eastAsia="仿宋_GB2312" w:cs="仿宋_GB2312"/>
          <w:color w:val="000000" w:themeColor="text1"/>
          <w:sz w:val="32"/>
          <w:szCs w:val="32"/>
          <w:highlight w:val="none"/>
          <w14:textFill>
            <w14:solidFill>
              <w14:schemeClr w14:val="tx1"/>
            </w14:solidFill>
          </w14:textFill>
        </w:rPr>
        <w:t>行政案件结案率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95.18%，白龙江林区法院、武威铁路运输法院、洮河林区法院未完成年度目标，扣0.9分</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1673FF6D">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执行案件结案率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执行案件结案率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年度目标值</w:t>
      </w:r>
      <w:r>
        <w:rPr>
          <w:rFonts w:hint="eastAsia" w:ascii="仿宋_GB2312" w:hAnsi="仿宋_GB2312" w:eastAsia="仿宋_GB2312" w:cs="仿宋_GB2312"/>
          <w:b w:val="0"/>
          <w:bCs w:val="0"/>
          <w:color w:val="000000"/>
          <w:sz w:val="31"/>
          <w:szCs w:val="31"/>
          <w:lang w:val="en-US" w:eastAsia="zh-CN"/>
        </w:rPr>
        <w:t>≥85%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，实际</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执行案件结案率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96.39%。</w:t>
      </w:r>
    </w:p>
    <w:p w14:paraId="40584D68">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kern w:val="2"/>
          <w:sz w:val="32"/>
          <w:szCs w:val="24"/>
          <w:lang w:eastAsia="zh-CN"/>
        </w:rPr>
        <w:t>以下为统计各</w:t>
      </w:r>
      <w:r>
        <w:rPr>
          <w:rFonts w:hint="eastAsia" w:ascii="仿宋_GB2312" w:hAnsi="仿宋_GB2312" w:eastAsia="仿宋_GB2312" w:cs="仿宋_GB2312"/>
          <w:kern w:val="2"/>
          <w:sz w:val="32"/>
          <w:szCs w:val="24"/>
          <w:lang w:val="en-US" w:eastAsia="zh-CN"/>
        </w:rPr>
        <w:t>甘肃省高级人民法院机关及9家直属法院</w:t>
      </w:r>
      <w:r>
        <w:rPr>
          <w:rFonts w:hint="eastAsia" w:ascii="仿宋_GB2312" w:hAnsi="仿宋_GB2312" w:eastAsia="仿宋_GB2312" w:cs="仿宋_GB2312"/>
          <w:kern w:val="2"/>
          <w:sz w:val="32"/>
          <w:szCs w:val="24"/>
          <w:lang w:eastAsia="zh-CN"/>
        </w:rPr>
        <w:t>案件</w:t>
      </w:r>
      <w:r>
        <w:rPr>
          <w:rFonts w:hint="eastAsia" w:ascii="仿宋_GB2312" w:hAnsi="仿宋_GB2312" w:eastAsia="仿宋_GB2312" w:cs="仿宋_GB2312"/>
          <w:kern w:val="2"/>
          <w:sz w:val="32"/>
          <w:szCs w:val="24"/>
          <w:lang w:val="en-US" w:eastAsia="zh-CN"/>
        </w:rPr>
        <w:t>数量</w:t>
      </w:r>
      <w:r>
        <w:rPr>
          <w:rFonts w:hint="eastAsia" w:ascii="仿宋_GB2312" w:hAnsi="仿宋_GB2312" w:eastAsia="仿宋_GB2312" w:cs="仿宋_GB2312"/>
          <w:kern w:val="2"/>
          <w:sz w:val="32"/>
          <w:szCs w:val="24"/>
          <w:lang w:eastAsia="zh-CN"/>
        </w:rPr>
        <w:t>指标实际完成值：</w:t>
      </w:r>
    </w:p>
    <w:tbl>
      <w:tblPr>
        <w:tblStyle w:val="19"/>
        <w:tblW w:w="5134" w:type="pct"/>
        <w:tblInd w:w="0" w:type="dxa"/>
        <w:tblLayout w:type="autofit"/>
        <w:tblCellMar>
          <w:top w:w="0" w:type="dxa"/>
          <w:left w:w="108" w:type="dxa"/>
          <w:bottom w:w="0" w:type="dxa"/>
          <w:right w:w="108" w:type="dxa"/>
        </w:tblCellMar>
      </w:tblPr>
      <w:tblGrid>
        <w:gridCol w:w="3121"/>
        <w:gridCol w:w="1361"/>
        <w:gridCol w:w="1361"/>
        <w:gridCol w:w="1467"/>
        <w:gridCol w:w="1397"/>
      </w:tblGrid>
      <w:tr w14:paraId="53297187">
        <w:tblPrEx>
          <w:tblCellMar>
            <w:top w:w="0" w:type="dxa"/>
            <w:left w:w="108" w:type="dxa"/>
            <w:bottom w:w="0" w:type="dxa"/>
            <w:right w:w="108" w:type="dxa"/>
          </w:tblCellMar>
        </w:tblPrEx>
        <w:trPr>
          <w:trHeight w:val="769" w:hRule="atLeast"/>
          <w:tblHeader/>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0D14A3B">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法院名称</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4EB7B99">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刑事案件结案率</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8BBB114">
            <w:pPr>
              <w:spacing w:before="60"/>
              <w:ind w:left="180"/>
              <w:jc w:val="center"/>
              <w:rPr>
                <w:rFonts w:ascii="宋体" w:hAnsi="宋体" w:eastAsia="宋体" w:cs="宋体"/>
                <w:b/>
                <w:color w:val="000000"/>
                <w:lang w:eastAsia="zh-CN"/>
              </w:rPr>
            </w:pPr>
            <w:r>
              <w:rPr>
                <w:rFonts w:hint="eastAsia" w:ascii="宋体" w:hAnsi="宋体" w:eastAsia="宋体" w:cs="宋体"/>
                <w:b/>
                <w:color w:val="000000"/>
                <w:lang w:eastAsia="zh-CN"/>
              </w:rPr>
              <w:t>民商事案件结案率</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638CA2B">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执行案件结案率</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0FA3962">
            <w:pPr>
              <w:ind w:left="180"/>
              <w:jc w:val="center"/>
              <w:rPr>
                <w:rFonts w:hint="eastAsia" w:ascii="宋体" w:hAnsi="宋体" w:eastAsia="宋体" w:cs="宋体"/>
                <w:b/>
                <w:color w:val="000000"/>
                <w:lang w:eastAsia="zh-CN"/>
              </w:rPr>
            </w:pPr>
            <w:r>
              <w:rPr>
                <w:rFonts w:hint="eastAsia" w:ascii="宋体" w:hAnsi="宋体" w:eastAsia="宋体" w:cs="宋体"/>
                <w:b/>
                <w:color w:val="000000"/>
                <w:lang w:eastAsia="zh-CN"/>
              </w:rPr>
              <w:t>行政案件结案率</w:t>
            </w:r>
          </w:p>
        </w:tc>
      </w:tr>
      <w:tr w14:paraId="4554CFA6">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9CA0599">
            <w:pPr>
              <w:keepNext w:val="0"/>
              <w:keepLines w:val="0"/>
              <w:widowControl/>
              <w:suppressLineNumbers w:val="0"/>
              <w:jc w:val="center"/>
              <w:textAlignment w:val="center"/>
              <w:rPr>
                <w:rFonts w:ascii="宋体" w:hAnsi="宋体" w:eastAsia="宋体" w:cs="宋体"/>
              </w:rPr>
            </w:pPr>
            <w:r>
              <w:rPr>
                <w:rFonts w:hint="eastAsia" w:ascii="宋体" w:hAnsi="宋体" w:eastAsia="宋体" w:cs="宋体"/>
                <w:i w:val="0"/>
                <w:iCs w:val="0"/>
                <w:color w:val="000000"/>
                <w:kern w:val="0"/>
                <w:sz w:val="21"/>
                <w:szCs w:val="21"/>
                <w:u w:val="none"/>
                <w:lang w:val="en-US" w:eastAsia="zh-CN" w:bidi="ar"/>
              </w:rPr>
              <w:t>甘肃省高级人民法院机关</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D809637">
            <w:pPr>
              <w:widowControl w:val="0"/>
              <w:jc w:val="center"/>
              <w:rPr>
                <w:rFonts w:ascii="宋体" w:hAnsi="宋体" w:eastAsia="宋体" w:cs="宋体"/>
                <w:highlight w:val="none"/>
              </w:rPr>
            </w:pPr>
            <w:r>
              <w:rPr>
                <w:rFonts w:hint="eastAsia" w:ascii="宋体" w:hAnsi="宋体" w:eastAsia="宋体" w:cs="宋体"/>
                <w:highlight w:val="none"/>
                <w:lang w:val="en-US" w:eastAsia="zh-CN"/>
              </w:rPr>
              <w:t>95.74</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6C17D45">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92.16</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FEC36B3">
            <w:pPr>
              <w:widowControl w:val="0"/>
              <w:jc w:val="center"/>
              <w:rPr>
                <w:rFonts w:ascii="宋体" w:hAnsi="宋体" w:eastAsia="宋体" w:cs="宋体"/>
                <w:highlight w:val="none"/>
              </w:rPr>
            </w:pPr>
            <w:r>
              <w:rPr>
                <w:rFonts w:hint="eastAsia" w:ascii="宋体" w:hAnsi="宋体" w:eastAsia="宋体" w:cs="宋体"/>
                <w:highlight w:val="none"/>
                <w:lang w:val="en-US" w:eastAsia="zh-CN"/>
              </w:rPr>
              <w:t>89.19</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8C165F7">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97.05</w:t>
            </w:r>
            <w:r>
              <w:rPr>
                <w:rFonts w:hint="eastAsia" w:ascii="宋体" w:hAnsi="宋体" w:eastAsia="宋体" w:cs="宋体"/>
                <w:highlight w:val="none"/>
              </w:rPr>
              <w:t>%</w:t>
            </w:r>
          </w:p>
        </w:tc>
      </w:tr>
      <w:tr w14:paraId="43446D76">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8781610">
            <w:pPr>
              <w:keepNext w:val="0"/>
              <w:keepLines w:val="0"/>
              <w:widowControl/>
              <w:suppressLineNumbers w:val="0"/>
              <w:jc w:val="center"/>
              <w:textAlignment w:val="center"/>
              <w:rPr>
                <w:rFonts w:ascii="宋体" w:hAnsi="宋体" w:eastAsia="宋体" w:cs="宋体"/>
                <w:lang w:eastAsia="zh-CN"/>
              </w:rPr>
            </w:pPr>
            <w:r>
              <w:rPr>
                <w:rFonts w:hint="eastAsia" w:ascii="宋体" w:hAnsi="宋体" w:eastAsia="宋体" w:cs="宋体"/>
                <w:i w:val="0"/>
                <w:iCs w:val="0"/>
                <w:color w:val="000000"/>
                <w:kern w:val="0"/>
                <w:sz w:val="21"/>
                <w:szCs w:val="21"/>
                <w:u w:val="none"/>
                <w:lang w:val="en-US" w:eastAsia="zh-CN" w:bidi="ar"/>
              </w:rPr>
              <w:t>甘肃省林区中级人民法院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B9A1246">
            <w:pPr>
              <w:widowControl w:val="0"/>
              <w:jc w:val="center"/>
              <w:rPr>
                <w:rFonts w:ascii="宋体" w:hAnsi="宋体" w:eastAsia="宋体" w:cs="宋体"/>
                <w:highlight w:val="none"/>
              </w:rPr>
            </w:pPr>
            <w:r>
              <w:rPr>
                <w:rFonts w:hint="eastAsia" w:ascii="宋体" w:hAnsi="宋体" w:eastAsia="宋体" w:cs="宋体"/>
                <w:highlight w:val="none"/>
                <w:lang w:val="en-US" w:eastAsia="zh-CN"/>
              </w:rPr>
              <w:t>98.00</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E1C5883">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98.00</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CB7FEF2">
            <w:pPr>
              <w:widowControl w:val="0"/>
              <w:jc w:val="center"/>
              <w:rPr>
                <w:rFonts w:ascii="宋体" w:hAnsi="宋体" w:eastAsia="宋体" w:cs="宋体"/>
                <w:highlight w:val="none"/>
              </w:rPr>
            </w:pPr>
            <w:r>
              <w:rPr>
                <w:rFonts w:hint="eastAsia" w:ascii="宋体" w:hAnsi="宋体" w:eastAsia="宋体" w:cs="宋体"/>
                <w:highlight w:val="none"/>
                <w:lang w:val="en-US" w:eastAsia="zh-CN"/>
              </w:rPr>
              <w:t>98.00</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A953BCE">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98.00</w:t>
            </w:r>
            <w:r>
              <w:rPr>
                <w:rFonts w:hint="eastAsia" w:ascii="宋体" w:hAnsi="宋体" w:eastAsia="宋体" w:cs="宋体"/>
                <w:highlight w:val="none"/>
              </w:rPr>
              <w:t>%</w:t>
            </w:r>
          </w:p>
        </w:tc>
      </w:tr>
      <w:tr w14:paraId="43CE6174">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86678B2">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祁连山林区法院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F35AEE6">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93.33</w:t>
            </w:r>
            <w:r>
              <w:rPr>
                <w:rFonts w:hint="eastAsia" w:ascii="宋体" w:hAnsi="宋体" w:eastAsia="宋体" w:cs="宋体"/>
                <w:highlight w:val="none"/>
                <w:lang w:eastAsia="zh-CN"/>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1DEE6F7">
            <w:pPr>
              <w:widowControl w:val="0"/>
              <w:jc w:val="center"/>
              <w:rPr>
                <w:rFonts w:ascii="宋体" w:hAnsi="宋体" w:eastAsia="宋体" w:cs="宋体"/>
                <w:highlight w:val="none"/>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B52C321">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93.7</w:t>
            </w:r>
            <w:r>
              <w:rPr>
                <w:rFonts w:hint="eastAsia" w:ascii="宋体" w:hAnsi="宋体" w:eastAsia="宋体" w:cs="宋体"/>
                <w:highlight w:val="none"/>
                <w:lang w:eastAsia="zh-CN"/>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00B4F07">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44949B5B">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83BC51A">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小陇山林区法院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189FEE1">
            <w:pPr>
              <w:widowControl w:val="0"/>
              <w:jc w:val="center"/>
              <w:rPr>
                <w:rFonts w:ascii="宋体" w:hAnsi="宋体" w:eastAsia="宋体" w:cs="宋体"/>
                <w:highlight w:val="none"/>
              </w:rPr>
            </w:pPr>
            <w:r>
              <w:rPr>
                <w:rFonts w:hint="eastAsia" w:ascii="宋体" w:hAnsi="宋体" w:eastAsia="宋体" w:cs="宋体"/>
                <w:highlight w:val="none"/>
                <w:lang w:val="en-US" w:eastAsia="zh-CN"/>
              </w:rPr>
              <w:t>50.00</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7B7366B">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96.46</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048B72B">
            <w:pPr>
              <w:widowControl w:val="0"/>
              <w:jc w:val="center"/>
              <w:rPr>
                <w:rFonts w:ascii="宋体" w:hAnsi="宋体" w:eastAsia="宋体" w:cs="宋体"/>
                <w:highlight w:val="none"/>
              </w:rPr>
            </w:pPr>
            <w:r>
              <w:rPr>
                <w:rFonts w:hint="eastAsia" w:ascii="宋体" w:hAnsi="宋体" w:eastAsia="宋体" w:cs="宋体"/>
                <w:highlight w:val="none"/>
                <w:lang w:val="en-US" w:eastAsia="zh-CN"/>
              </w:rPr>
              <w:t>92.10</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5D4711E">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100.00</w:t>
            </w:r>
            <w:r>
              <w:rPr>
                <w:rFonts w:hint="eastAsia" w:ascii="宋体" w:hAnsi="宋体" w:eastAsia="宋体" w:cs="宋体"/>
                <w:highlight w:val="none"/>
              </w:rPr>
              <w:t>%</w:t>
            </w:r>
          </w:p>
        </w:tc>
      </w:tr>
      <w:tr w14:paraId="405677C9">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C4A9F1F">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白龙江林区法院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A5A8D4C">
            <w:pPr>
              <w:widowControl w:val="0"/>
              <w:jc w:val="center"/>
              <w:rPr>
                <w:rFonts w:ascii="宋体" w:hAnsi="宋体" w:eastAsia="宋体" w:cs="宋体"/>
                <w:highlight w:val="none"/>
              </w:rPr>
            </w:pPr>
            <w:r>
              <w:rPr>
                <w:rFonts w:hint="eastAsia" w:ascii="宋体" w:hAnsi="宋体" w:eastAsia="宋体" w:cs="宋体"/>
                <w:highlight w:val="none"/>
                <w:lang w:val="en-US" w:eastAsia="zh-CN"/>
              </w:rPr>
              <w:t>91.67</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7CA2B02">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805B4F0">
            <w:pPr>
              <w:widowControl w:val="0"/>
              <w:jc w:val="center"/>
              <w:rPr>
                <w:rFonts w:ascii="宋体" w:hAnsi="宋体" w:eastAsia="宋体" w:cs="宋体"/>
                <w:highlight w:val="none"/>
              </w:rPr>
            </w:pPr>
            <w:r>
              <w:rPr>
                <w:rFonts w:hint="eastAsia" w:ascii="宋体" w:hAnsi="宋体" w:eastAsia="宋体" w:cs="宋体"/>
                <w:highlight w:val="none"/>
                <w:lang w:val="en-US" w:eastAsia="zh-CN"/>
              </w:rPr>
              <w:t>100.00</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EDB175F">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0</w:t>
            </w:r>
            <w:r>
              <w:rPr>
                <w:rFonts w:hint="eastAsia" w:ascii="宋体" w:hAnsi="宋体" w:eastAsia="宋体" w:cs="宋体"/>
                <w:highlight w:val="none"/>
              </w:rPr>
              <w:t>%</w:t>
            </w:r>
          </w:p>
        </w:tc>
      </w:tr>
      <w:tr w14:paraId="5885764D">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4B77F1B">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洮河林区法院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E81F0F2">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100.00</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7644E3D">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B5A7722">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94.55</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AB5856C">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0</w:t>
            </w:r>
            <w:r>
              <w:rPr>
                <w:rFonts w:hint="eastAsia" w:ascii="宋体" w:hAnsi="宋体" w:eastAsia="宋体" w:cs="宋体"/>
                <w:highlight w:val="none"/>
              </w:rPr>
              <w:t>%</w:t>
            </w:r>
          </w:p>
        </w:tc>
      </w:tr>
      <w:tr w14:paraId="47F4F291">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8710DEF">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甘肃矿区人民法院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2CF5D4E">
            <w:pPr>
              <w:widowControl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95.74%</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86BF889">
            <w:pPr>
              <w:widowControl w:val="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92.16%</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8379A66">
            <w:pPr>
              <w:widowControl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89.19%</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1EAFF77">
            <w:pPr>
              <w:widowControl w:val="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97.05%</w:t>
            </w:r>
          </w:p>
        </w:tc>
      </w:tr>
      <w:tr w14:paraId="57DB8619">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932AFD7">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30E7460">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92.50%</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2ABEC95">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92.29%</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E7956CC">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95.24%</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1C86EEC">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91.33%</w:t>
            </w:r>
          </w:p>
        </w:tc>
      </w:tr>
      <w:tr w14:paraId="07A9E4AF">
        <w:tblPrEx>
          <w:tblCellMar>
            <w:top w:w="0" w:type="dxa"/>
            <w:left w:w="108" w:type="dxa"/>
            <w:bottom w:w="0" w:type="dxa"/>
            <w:right w:w="108" w:type="dxa"/>
          </w:tblCellMar>
        </w:tblPrEx>
        <w:trPr>
          <w:trHeight w:val="451"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6F4590D">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2204C98">
            <w:pPr>
              <w:widowControl w:val="0"/>
              <w:jc w:val="center"/>
              <w:rPr>
                <w:rFonts w:hint="eastAsia" w:ascii="宋体" w:hAnsi="宋体" w:eastAsia="宋体" w:cs="宋体"/>
                <w:highlight w:val="yellow"/>
              </w:rPr>
            </w:pPr>
            <w:r>
              <w:rPr>
                <w:rFonts w:hint="eastAsia" w:ascii="宋体" w:hAnsi="宋体" w:eastAsia="宋体" w:cs="宋体"/>
                <w:highlight w:val="none"/>
                <w:lang w:val="en-US" w:eastAsia="zh-CN"/>
              </w:rPr>
              <w:t>92.86</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F1EF6D9">
            <w:pPr>
              <w:widowControl w:val="0"/>
              <w:jc w:val="center"/>
              <w:rPr>
                <w:rFonts w:hint="eastAsia" w:ascii="宋体" w:hAnsi="宋体" w:eastAsia="宋体" w:cs="宋体"/>
                <w:highlight w:val="yellow"/>
                <w:lang w:eastAsia="zh-CN"/>
              </w:rPr>
            </w:pPr>
            <w:r>
              <w:rPr>
                <w:rFonts w:hint="eastAsia" w:ascii="宋体" w:hAnsi="宋体" w:eastAsia="宋体" w:cs="宋体"/>
                <w:highlight w:val="none"/>
                <w:lang w:val="en-US" w:eastAsia="zh-CN"/>
              </w:rPr>
              <w:t>91.60</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B327B06">
            <w:pPr>
              <w:widowControl w:val="0"/>
              <w:jc w:val="center"/>
              <w:rPr>
                <w:rFonts w:hint="eastAsia" w:ascii="宋体" w:hAnsi="宋体" w:eastAsia="宋体" w:cs="宋体"/>
                <w:highlight w:val="yellow"/>
              </w:rPr>
            </w:pPr>
            <w:r>
              <w:rPr>
                <w:rFonts w:hint="eastAsia" w:ascii="宋体" w:hAnsi="宋体" w:eastAsia="宋体" w:cs="宋体"/>
                <w:highlight w:val="none"/>
                <w:lang w:val="en-US" w:eastAsia="zh-CN"/>
              </w:rPr>
              <w:t>94.15</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21ADFCE">
            <w:pPr>
              <w:widowControl w:val="0"/>
              <w:jc w:val="center"/>
              <w:rPr>
                <w:rFonts w:hint="eastAsia" w:ascii="宋体" w:hAnsi="宋体" w:eastAsia="宋体" w:cs="宋体"/>
                <w:highlight w:val="yellow"/>
              </w:rPr>
            </w:pPr>
            <w:r>
              <w:rPr>
                <w:rFonts w:hint="eastAsia" w:ascii="宋体" w:hAnsi="宋体" w:eastAsia="宋体" w:cs="宋体"/>
                <w:highlight w:val="none"/>
                <w:lang w:val="en-US" w:eastAsia="zh-CN"/>
              </w:rPr>
              <w:t>93.18</w:t>
            </w:r>
            <w:r>
              <w:rPr>
                <w:rFonts w:hint="eastAsia" w:ascii="宋体" w:hAnsi="宋体" w:eastAsia="宋体" w:cs="宋体"/>
                <w:highlight w:val="none"/>
              </w:rPr>
              <w:t>%</w:t>
            </w:r>
          </w:p>
        </w:tc>
      </w:tr>
      <w:tr w14:paraId="1D7642F2">
        <w:tblPrEx>
          <w:tblCellMar>
            <w:top w:w="0" w:type="dxa"/>
            <w:left w:w="108" w:type="dxa"/>
            <w:bottom w:w="0" w:type="dxa"/>
            <w:right w:w="108" w:type="dxa"/>
          </w:tblCellMar>
        </w:tblPrEx>
        <w:trPr>
          <w:trHeight w:val="462"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EF5D6B5">
            <w:pPr>
              <w:keepNext w:val="0"/>
              <w:keepLines w:val="0"/>
              <w:widowControl/>
              <w:suppressLineNumbers w:val="0"/>
              <w:jc w:val="center"/>
              <w:textAlignment w:val="center"/>
              <w:rPr>
                <w:rFonts w:hint="eastAsia"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武威铁路运输法院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5E61AED">
            <w:pPr>
              <w:widowControl w:val="0"/>
              <w:jc w:val="center"/>
              <w:rPr>
                <w:rFonts w:hint="eastAsia" w:ascii="宋体" w:hAnsi="宋体" w:eastAsia="宋体" w:cs="宋体"/>
                <w:highlight w:val="none"/>
              </w:rPr>
            </w:pPr>
            <w:r>
              <w:rPr>
                <w:rFonts w:hint="eastAsia" w:ascii="宋体" w:hAnsi="宋体" w:eastAsia="宋体" w:cs="宋体"/>
                <w:highlight w:val="none"/>
              </w:rPr>
              <w:t>100</w:t>
            </w:r>
            <w:r>
              <w:rPr>
                <w:rFonts w:hint="eastAsia" w:ascii="宋体" w:hAnsi="宋体" w:eastAsia="宋体" w:cs="宋体"/>
                <w:highlight w:val="none"/>
                <w:lang w:val="en-US" w:eastAsia="zh-CN"/>
              </w:rPr>
              <w:t>.00</w:t>
            </w:r>
            <w:r>
              <w:rPr>
                <w:rFonts w:hint="eastAsia" w:ascii="宋体" w:hAnsi="宋体" w:eastAsia="宋体" w:cs="宋体"/>
                <w:highlight w:val="none"/>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67EABC3">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96.55</w:t>
            </w:r>
            <w:r>
              <w:rPr>
                <w:rFonts w:hint="eastAsia" w:ascii="宋体" w:hAnsi="宋体" w:eastAsia="宋体" w:cs="宋体"/>
                <w:highlight w:val="none"/>
                <w:lang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8E648AE">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100.00</w:t>
            </w:r>
            <w:r>
              <w:rPr>
                <w:rFonts w:hint="eastAsia" w:ascii="宋体" w:hAnsi="宋体" w:eastAsia="宋体" w:cs="宋体"/>
                <w:highlight w:val="none"/>
              </w:rPr>
              <w:t>%</w:t>
            </w:r>
          </w:p>
        </w:tc>
        <w:tc>
          <w:tcPr>
            <w:tcW w:w="80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45D05FE">
            <w:pPr>
              <w:widowControl w:val="0"/>
              <w:jc w:val="center"/>
              <w:rPr>
                <w:rFonts w:hint="eastAsia" w:ascii="宋体" w:hAnsi="宋体" w:eastAsia="宋体" w:cs="宋体"/>
                <w:highlight w:val="none"/>
              </w:rPr>
            </w:pPr>
            <w:r>
              <w:rPr>
                <w:rFonts w:hint="eastAsia" w:ascii="宋体" w:hAnsi="宋体" w:eastAsia="宋体" w:cs="宋体"/>
                <w:highlight w:val="none"/>
                <w:lang w:val="en-US" w:eastAsia="zh-CN"/>
              </w:rPr>
              <w:t>0</w:t>
            </w:r>
            <w:r>
              <w:rPr>
                <w:rFonts w:hint="eastAsia" w:ascii="宋体" w:hAnsi="宋体" w:eastAsia="宋体" w:cs="宋体"/>
                <w:highlight w:val="none"/>
              </w:rPr>
              <w:t>%</w:t>
            </w:r>
          </w:p>
        </w:tc>
      </w:tr>
    </w:tbl>
    <w:p w14:paraId="30801D90">
      <w:pPr>
        <w:pStyle w:val="26"/>
        <w:keepNext w:val="0"/>
        <w:keepLines w:val="0"/>
        <w:pageBreakBefore w:val="0"/>
        <w:widowControl w:val="0"/>
        <w:kinsoku/>
        <w:wordWrap/>
        <w:overflowPunct w:val="0"/>
        <w:topLinePunct w:val="0"/>
        <w:autoSpaceDE/>
        <w:autoSpaceDN/>
        <w:bidi w:val="0"/>
        <w:adjustRightInd/>
        <w:snapToGrid/>
        <w:spacing w:line="560" w:lineRule="exact"/>
        <w:ind w:firstLine="643"/>
        <w:textAlignment w:val="auto"/>
        <w:outlineLvl w:val="2"/>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白龙江林区法院、洮河林区法院及武威铁路运输法院行政案件结案率均为0%，本年度均无执行案件。</w:t>
      </w:r>
    </w:p>
    <w:p w14:paraId="740456C2">
      <w:pPr>
        <w:pStyle w:val="26"/>
        <w:keepNext w:val="0"/>
        <w:keepLines w:val="0"/>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14:paraId="79CCB628">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bookmarkStart w:id="137" w:name="_Toc27458"/>
      <w:bookmarkStart w:id="138" w:name="_Toc7509"/>
      <w:r>
        <w:rPr>
          <w:rFonts w:hint="eastAsia" w:ascii="仿宋_GB2312" w:hAnsi="仿宋_GB2312" w:eastAsia="仿宋_GB2312" w:cs="仿宋_GB2312"/>
          <w:color w:val="000000" w:themeColor="text1"/>
          <w:sz w:val="32"/>
          <w:szCs w:val="32"/>
          <w:highlight w:val="none"/>
          <w14:textFill>
            <w14:solidFill>
              <w14:schemeClr w14:val="tx1"/>
            </w14:solidFill>
          </w14:textFill>
        </w:rPr>
        <w:t>采购验收合格率：指标分值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甘肃省高级人民法院机关及9家直属法院</w:t>
      </w:r>
      <w:r>
        <w:rPr>
          <w:rFonts w:hint="eastAsia" w:ascii="仿宋_GB2312" w:hAnsi="仿宋_GB2312" w:eastAsia="仿宋_GB2312" w:cs="仿宋_GB2312"/>
          <w:color w:val="000000" w:themeColor="text1"/>
          <w:sz w:val="32"/>
          <w:szCs w:val="32"/>
          <w:highlight w:val="none"/>
          <w14:textFill>
            <w14:solidFill>
              <w14:schemeClr w14:val="tx1"/>
            </w14:solidFill>
          </w14:textFill>
        </w:rPr>
        <w:t>购置设备已全部通过验收，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验收合格率达到</w:t>
      </w:r>
      <w:r>
        <w:rPr>
          <w:rFonts w:hint="eastAsia" w:ascii="仿宋_GB2312" w:hAnsi="仿宋_GB2312" w:eastAsia="仿宋_GB2312" w:cs="仿宋_GB2312"/>
          <w:color w:val="000000" w:themeColor="text1"/>
          <w:sz w:val="32"/>
          <w:szCs w:val="32"/>
          <w:highlight w:val="none"/>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7484E40D">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一审服判息诉率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eastAsia="zh-CN"/>
        </w:rPr>
        <w:t>年度指标值≥90%，</w:t>
      </w:r>
      <w:r>
        <w:rPr>
          <w:rFonts w:hint="eastAsia" w:ascii="仿宋_GB2312" w:hAnsi="仿宋_GB2312" w:eastAsia="仿宋_GB2312" w:cs="仿宋_GB2312"/>
          <w:sz w:val="32"/>
          <w:szCs w:val="32"/>
          <w:highlight w:val="none"/>
          <w:lang w:val="en-US" w:eastAsia="zh-CN"/>
        </w:rPr>
        <w:t>实际甘肃省高级人民法院机关及9家直属法院</w:t>
      </w:r>
      <w:r>
        <w:rPr>
          <w:rFonts w:hint="eastAsia" w:ascii="仿宋_GB2312" w:hAnsi="仿宋_GB2312" w:eastAsia="仿宋_GB2312" w:cs="仿宋_GB2312"/>
          <w:sz w:val="32"/>
          <w:szCs w:val="32"/>
          <w:highlight w:val="none"/>
          <w:lang w:eastAsia="zh-CN"/>
        </w:rPr>
        <w:t>一审服判息诉率</w:t>
      </w:r>
      <w:r>
        <w:rPr>
          <w:rFonts w:hint="eastAsia" w:ascii="仿宋_GB2312" w:hAnsi="仿宋_GB2312" w:eastAsia="仿宋_GB2312" w:cs="仿宋_GB2312"/>
          <w:sz w:val="32"/>
          <w:szCs w:val="32"/>
          <w:highlight w:val="none"/>
          <w:lang w:val="en-US" w:eastAsia="zh-CN"/>
        </w:rPr>
        <w:t>91.29</w:t>
      </w:r>
      <w:r>
        <w:rPr>
          <w:rFonts w:hint="eastAsia" w:ascii="仿宋_GB2312" w:hAnsi="仿宋_GB2312" w:eastAsia="仿宋_GB2312" w:cs="仿宋_GB2312"/>
          <w:sz w:val="32"/>
          <w:szCs w:val="32"/>
          <w:highlight w:val="none"/>
          <w:lang w:eastAsia="zh-CN"/>
        </w:rPr>
        <w:t>%。</w:t>
      </w:r>
    </w:p>
    <w:bookmarkEnd w:id="137"/>
    <w:bookmarkEnd w:id="138"/>
    <w:tbl>
      <w:tblPr>
        <w:tblStyle w:val="19"/>
        <w:tblW w:w="5112" w:type="pct"/>
        <w:tblInd w:w="0" w:type="dxa"/>
        <w:tblLayout w:type="fixed"/>
        <w:tblCellMar>
          <w:top w:w="0" w:type="dxa"/>
          <w:left w:w="108" w:type="dxa"/>
          <w:bottom w:w="0" w:type="dxa"/>
          <w:right w:w="108" w:type="dxa"/>
        </w:tblCellMar>
      </w:tblPr>
      <w:tblGrid>
        <w:gridCol w:w="4478"/>
        <w:gridCol w:w="4192"/>
      </w:tblGrid>
      <w:tr w14:paraId="3EBDB3B4">
        <w:trPr>
          <w:trHeight w:val="397" w:hRule="atLeast"/>
          <w:tblHeader/>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47B17F1">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法院名称</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EB3DE53">
            <w:pPr>
              <w:spacing w:before="60"/>
              <w:ind w:left="180"/>
              <w:jc w:val="center"/>
              <w:rPr>
                <w:rFonts w:hint="default" w:ascii="宋体" w:hAnsi="宋体" w:eastAsia="宋体" w:cs="宋体"/>
                <w:b/>
                <w:color w:val="000000"/>
                <w:lang w:val="en-US" w:eastAsia="zh-CN"/>
              </w:rPr>
            </w:pPr>
            <w:r>
              <w:rPr>
                <w:rFonts w:hint="eastAsia" w:ascii="宋体" w:hAnsi="宋体" w:eastAsia="宋体" w:cs="宋体"/>
                <w:b/>
                <w:color w:val="000000"/>
                <w:lang w:val="en-US" w:eastAsia="zh-CN"/>
              </w:rPr>
              <w:t>一审服判息诉率</w:t>
            </w:r>
          </w:p>
        </w:tc>
      </w:tr>
      <w:tr w14:paraId="001B5EDD">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070AE48">
            <w:pPr>
              <w:keepNext w:val="0"/>
              <w:keepLines w:val="0"/>
              <w:widowControl/>
              <w:suppressLineNumbers w:val="0"/>
              <w:jc w:val="center"/>
              <w:textAlignment w:val="center"/>
              <w:rPr>
                <w:rFonts w:ascii="宋体" w:hAnsi="宋体" w:eastAsia="宋体" w:cs="宋体"/>
              </w:rPr>
            </w:pPr>
            <w:r>
              <w:rPr>
                <w:rFonts w:hint="eastAsia" w:ascii="宋体" w:hAnsi="宋体" w:eastAsia="宋体" w:cs="宋体"/>
                <w:i w:val="0"/>
                <w:iCs w:val="0"/>
                <w:color w:val="000000"/>
                <w:kern w:val="0"/>
                <w:sz w:val="21"/>
                <w:szCs w:val="21"/>
                <w:u w:val="none"/>
                <w:lang w:val="en-US" w:eastAsia="zh-CN" w:bidi="ar"/>
              </w:rPr>
              <w:t>甘肃省高级人民法院机关</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CECB7F2">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87.79</w:t>
            </w:r>
            <w:r>
              <w:rPr>
                <w:rFonts w:hint="eastAsia" w:ascii="宋体" w:hAnsi="宋体" w:eastAsia="宋体" w:cs="宋体"/>
                <w:highlight w:val="none"/>
                <w:lang w:eastAsia="zh-CN"/>
              </w:rPr>
              <w:t>%</w:t>
            </w:r>
          </w:p>
        </w:tc>
      </w:tr>
      <w:tr w14:paraId="3075F418">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BA0D608">
            <w:pPr>
              <w:keepNext w:val="0"/>
              <w:keepLines w:val="0"/>
              <w:widowControl/>
              <w:suppressLineNumbers w:val="0"/>
              <w:jc w:val="center"/>
              <w:textAlignment w:val="center"/>
              <w:rPr>
                <w:rFonts w:ascii="宋体" w:hAnsi="宋体" w:eastAsia="宋体" w:cs="宋体"/>
                <w:lang w:eastAsia="zh-CN"/>
              </w:rPr>
            </w:pPr>
            <w:r>
              <w:rPr>
                <w:rFonts w:hint="eastAsia" w:ascii="宋体" w:hAnsi="宋体" w:eastAsia="宋体" w:cs="宋体"/>
                <w:i w:val="0"/>
                <w:iCs w:val="0"/>
                <w:color w:val="000000"/>
                <w:kern w:val="0"/>
                <w:sz w:val="21"/>
                <w:szCs w:val="21"/>
                <w:u w:val="none"/>
                <w:lang w:val="en-US" w:eastAsia="zh-CN" w:bidi="ar"/>
              </w:rPr>
              <w:t>甘肃省林区中级人民法院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0EE4C8E">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98.00</w:t>
            </w:r>
            <w:r>
              <w:rPr>
                <w:rFonts w:hint="eastAsia" w:ascii="宋体" w:hAnsi="宋体" w:eastAsia="宋体" w:cs="宋体"/>
                <w:highlight w:val="none"/>
                <w:lang w:eastAsia="zh-CN"/>
              </w:rPr>
              <w:t>%</w:t>
            </w:r>
          </w:p>
        </w:tc>
      </w:tr>
      <w:tr w14:paraId="135FA814">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5A5B568">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祁连山林区法院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FD2AED9">
            <w:pPr>
              <w:widowControl w:val="0"/>
              <w:jc w:val="center"/>
              <w:rPr>
                <w:rFonts w:ascii="宋体" w:hAnsi="宋体" w:eastAsia="宋体" w:cs="宋体"/>
                <w:highlight w:val="none"/>
              </w:rPr>
            </w:pPr>
            <w:r>
              <w:rPr>
                <w:rFonts w:hint="eastAsia" w:ascii="宋体" w:hAnsi="宋体" w:eastAsia="宋体" w:cs="宋体"/>
                <w:highlight w:val="none"/>
                <w:lang w:val="en-US" w:eastAsia="zh-CN"/>
              </w:rPr>
              <w:t>98.23</w:t>
            </w:r>
            <w:r>
              <w:rPr>
                <w:rFonts w:hint="eastAsia" w:ascii="宋体" w:hAnsi="宋体" w:eastAsia="宋体" w:cs="宋体"/>
                <w:highlight w:val="none"/>
                <w:lang w:eastAsia="zh-CN"/>
              </w:rPr>
              <w:t>%</w:t>
            </w:r>
          </w:p>
        </w:tc>
      </w:tr>
      <w:tr w14:paraId="30BCC2B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5A97BB5">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小陇山林区法院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19D83F5">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3411E88F">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1DAC302">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白龙江林区法院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31A07F6">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4064AC8E">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3809415">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洮河林区法院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7BE1E63">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95.23</w:t>
            </w:r>
            <w:r>
              <w:rPr>
                <w:rFonts w:hint="eastAsia" w:ascii="宋体" w:hAnsi="宋体" w:eastAsia="宋体" w:cs="宋体"/>
                <w:highlight w:val="none"/>
                <w:lang w:eastAsia="zh-CN"/>
              </w:rPr>
              <w:t>%</w:t>
            </w:r>
          </w:p>
        </w:tc>
      </w:tr>
      <w:tr w14:paraId="3C845D92">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F4FBE34">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甘肃矿区人民法院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F8940A9">
            <w:pPr>
              <w:widowControl w:val="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78.00%</w:t>
            </w:r>
          </w:p>
        </w:tc>
      </w:tr>
      <w:tr w14:paraId="2728621C">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CB09376">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兰州铁路运输中级人民法院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C34A00C">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80.00%</w:t>
            </w:r>
          </w:p>
        </w:tc>
      </w:tr>
      <w:tr w14:paraId="077D5E30">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30A8693">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17984DB">
            <w:pPr>
              <w:widowControl w:val="0"/>
              <w:jc w:val="center"/>
              <w:rPr>
                <w:rFonts w:hint="eastAsia" w:ascii="宋体" w:hAnsi="宋体" w:eastAsia="宋体" w:cs="宋体"/>
                <w:highlight w:val="yellow"/>
                <w:lang w:eastAsia="zh-CN"/>
              </w:rPr>
            </w:pPr>
            <w:r>
              <w:rPr>
                <w:rFonts w:hint="eastAsia" w:ascii="宋体" w:hAnsi="宋体" w:eastAsia="宋体" w:cs="宋体"/>
                <w:highlight w:val="none"/>
                <w:lang w:val="en-US" w:eastAsia="zh-CN"/>
              </w:rPr>
              <w:t>80.61</w:t>
            </w:r>
            <w:r>
              <w:rPr>
                <w:rFonts w:hint="eastAsia" w:ascii="宋体" w:hAnsi="宋体" w:eastAsia="宋体" w:cs="宋体"/>
                <w:highlight w:val="none"/>
                <w:lang w:eastAsia="zh-CN"/>
              </w:rPr>
              <w:t>%</w:t>
            </w:r>
          </w:p>
        </w:tc>
      </w:tr>
      <w:tr w14:paraId="1EA0514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D9167F2">
            <w:pPr>
              <w:keepNext w:val="0"/>
              <w:keepLines w:val="0"/>
              <w:widowControl/>
              <w:suppressLineNumbers w:val="0"/>
              <w:jc w:val="center"/>
              <w:textAlignment w:val="center"/>
              <w:rPr>
                <w:rFonts w:hint="eastAsia"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武威铁路运输法院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9ABB2B4">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95.0</w:t>
            </w:r>
            <w:r>
              <w:rPr>
                <w:rFonts w:hint="eastAsia" w:ascii="宋体" w:hAnsi="宋体" w:eastAsia="宋体" w:cs="宋体"/>
                <w:highlight w:val="none"/>
                <w:lang w:eastAsia="zh-CN"/>
              </w:rPr>
              <w:t>%</w:t>
            </w:r>
          </w:p>
        </w:tc>
      </w:tr>
    </w:tbl>
    <w:p w14:paraId="1B0EA7BF">
      <w:pPr>
        <w:pStyle w:val="9"/>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rPr>
      </w:pPr>
      <w:bookmarkStart w:id="139" w:name="_Toc20653"/>
      <w:bookmarkStart w:id="140" w:name="_Toc19675"/>
      <w:bookmarkStart w:id="141" w:name="_Toc4582"/>
      <w:r>
        <w:rPr>
          <w:rFonts w:hint="eastAsia" w:ascii="仿宋_GB2312" w:hAnsi="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w:t>
      </w:r>
      <w:r>
        <w:rPr>
          <w:rFonts w:hint="eastAsia" w:ascii="仿宋_GB2312" w:hAnsi="仿宋_GB2312" w:cs="仿宋_GB2312"/>
          <w:b/>
          <w:bCs/>
          <w:sz w:val="32"/>
          <w:szCs w:val="32"/>
          <w:highlight w:val="none"/>
          <w:lang w:val="en-US" w:eastAsia="zh-CN"/>
        </w:rPr>
        <w:t>时效</w:t>
      </w:r>
      <w:r>
        <w:rPr>
          <w:rFonts w:hint="eastAsia" w:ascii="仿宋_GB2312" w:hAnsi="仿宋_GB2312" w:eastAsia="仿宋_GB2312" w:cs="仿宋_GB2312"/>
          <w:b/>
          <w:bCs/>
          <w:sz w:val="32"/>
          <w:szCs w:val="32"/>
          <w:highlight w:val="none"/>
        </w:rPr>
        <w:t>指标</w:t>
      </w:r>
      <w:bookmarkEnd w:id="139"/>
    </w:p>
    <w:p w14:paraId="26A4DF26">
      <w:pPr>
        <w:pStyle w:val="9"/>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采购工作开展及时性：指标分值5分，评价得分4分。甘肃省林区中级人民法院、兰州铁路运输法院设备采购不及时，未完成年度目标值，扣1分。</w:t>
      </w:r>
    </w:p>
    <w:p w14:paraId="75FD4EFA">
      <w:pPr>
        <w:pStyle w:val="9"/>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法定审限内结案率：指标分值5分，评价得分5分。年度指标值≥90%，实际甘肃省高级人民法院机关及9家直属法院法定审限内结案率98.40%。</w:t>
      </w:r>
    </w:p>
    <w:tbl>
      <w:tblPr>
        <w:tblStyle w:val="19"/>
        <w:tblW w:w="5112" w:type="pct"/>
        <w:tblInd w:w="0" w:type="dxa"/>
        <w:tblLayout w:type="fixed"/>
        <w:tblCellMar>
          <w:top w:w="0" w:type="dxa"/>
          <w:left w:w="108" w:type="dxa"/>
          <w:bottom w:w="0" w:type="dxa"/>
          <w:right w:w="108" w:type="dxa"/>
        </w:tblCellMar>
      </w:tblPr>
      <w:tblGrid>
        <w:gridCol w:w="4478"/>
        <w:gridCol w:w="4192"/>
      </w:tblGrid>
      <w:tr w14:paraId="75DF5189">
        <w:tblPrEx>
          <w:tblCellMar>
            <w:top w:w="0" w:type="dxa"/>
            <w:left w:w="108" w:type="dxa"/>
            <w:bottom w:w="0" w:type="dxa"/>
            <w:right w:w="108" w:type="dxa"/>
          </w:tblCellMar>
        </w:tblPrEx>
        <w:trPr>
          <w:trHeight w:val="397" w:hRule="atLeast"/>
          <w:tblHeader/>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BFA1A28">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法院名称</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E18481F">
            <w:pPr>
              <w:spacing w:before="60"/>
              <w:ind w:left="180"/>
              <w:jc w:val="center"/>
              <w:rPr>
                <w:rFonts w:hint="default" w:ascii="宋体" w:hAnsi="宋体" w:eastAsia="宋体" w:cs="宋体"/>
                <w:b/>
                <w:color w:val="000000"/>
                <w:lang w:val="en-US" w:eastAsia="zh-CN"/>
              </w:rPr>
            </w:pPr>
            <w:r>
              <w:rPr>
                <w:rFonts w:hint="eastAsia" w:ascii="宋体" w:hAnsi="宋体" w:eastAsia="宋体" w:cs="宋体"/>
                <w:b/>
                <w:color w:val="000000"/>
                <w:lang w:val="en-US" w:eastAsia="zh-CN"/>
              </w:rPr>
              <w:t>法定审限内结案率</w:t>
            </w:r>
          </w:p>
        </w:tc>
      </w:tr>
      <w:tr w14:paraId="40FF15F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4EADCA2">
            <w:pPr>
              <w:keepNext w:val="0"/>
              <w:keepLines w:val="0"/>
              <w:widowControl/>
              <w:suppressLineNumbers w:val="0"/>
              <w:jc w:val="center"/>
              <w:textAlignment w:val="center"/>
              <w:rPr>
                <w:rFonts w:ascii="宋体" w:hAnsi="宋体" w:eastAsia="宋体" w:cs="宋体"/>
              </w:rPr>
            </w:pPr>
            <w:r>
              <w:rPr>
                <w:rFonts w:hint="eastAsia" w:ascii="宋体" w:hAnsi="宋体" w:eastAsia="宋体" w:cs="宋体"/>
                <w:i w:val="0"/>
                <w:iCs w:val="0"/>
                <w:color w:val="000000"/>
                <w:kern w:val="0"/>
                <w:sz w:val="21"/>
                <w:szCs w:val="21"/>
                <w:u w:val="none"/>
                <w:lang w:val="en-US" w:eastAsia="zh-CN" w:bidi="ar"/>
              </w:rPr>
              <w:t>甘肃省高级人民法院机关</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8DE886C">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99.96</w:t>
            </w:r>
            <w:r>
              <w:rPr>
                <w:rFonts w:hint="eastAsia" w:ascii="宋体" w:hAnsi="宋体" w:eastAsia="宋体" w:cs="宋体"/>
                <w:highlight w:val="none"/>
                <w:lang w:eastAsia="zh-CN"/>
              </w:rPr>
              <w:t>%</w:t>
            </w:r>
          </w:p>
        </w:tc>
      </w:tr>
      <w:tr w14:paraId="427F892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C03AD98">
            <w:pPr>
              <w:keepNext w:val="0"/>
              <w:keepLines w:val="0"/>
              <w:widowControl/>
              <w:suppressLineNumbers w:val="0"/>
              <w:jc w:val="center"/>
              <w:textAlignment w:val="center"/>
              <w:rPr>
                <w:rFonts w:ascii="宋体" w:hAnsi="宋体" w:eastAsia="宋体" w:cs="宋体"/>
                <w:lang w:eastAsia="zh-CN"/>
              </w:rPr>
            </w:pPr>
            <w:r>
              <w:rPr>
                <w:rFonts w:hint="eastAsia" w:ascii="宋体" w:hAnsi="宋体" w:eastAsia="宋体" w:cs="宋体"/>
                <w:i w:val="0"/>
                <w:iCs w:val="0"/>
                <w:color w:val="000000"/>
                <w:kern w:val="0"/>
                <w:sz w:val="21"/>
                <w:szCs w:val="21"/>
                <w:u w:val="none"/>
                <w:lang w:val="en-US" w:eastAsia="zh-CN" w:bidi="ar"/>
              </w:rPr>
              <w:t>甘肃省林区中级人民法院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34ED8E8">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98.00</w:t>
            </w:r>
            <w:r>
              <w:rPr>
                <w:rFonts w:hint="eastAsia" w:ascii="宋体" w:hAnsi="宋体" w:eastAsia="宋体" w:cs="宋体"/>
                <w:highlight w:val="none"/>
                <w:lang w:eastAsia="zh-CN"/>
              </w:rPr>
              <w:t>%</w:t>
            </w:r>
          </w:p>
        </w:tc>
      </w:tr>
      <w:tr w14:paraId="620EF65C">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630AF64">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祁连山林区法院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2CAF7E7">
            <w:pPr>
              <w:widowControl w:val="0"/>
              <w:jc w:val="center"/>
              <w:rPr>
                <w:rFonts w:ascii="宋体" w:hAnsi="宋体" w:eastAsia="宋体" w:cs="宋体"/>
                <w:highlight w:val="none"/>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2223D0EF">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429CE62">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小陇山林区法院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D622DFF">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27ED95AF">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01DA926">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白龙江林区法院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610014C">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31EED4A6">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67360D6">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洮河林区法院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7F8E579">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67A77B5F">
        <w:tblPrEx>
          <w:tblCellMar>
            <w:top w:w="0" w:type="dxa"/>
            <w:left w:w="108" w:type="dxa"/>
            <w:bottom w:w="0" w:type="dxa"/>
            <w:right w:w="108" w:type="dxa"/>
          </w:tblCellMar>
        </w:tblPrEx>
        <w:trPr>
          <w:trHeight w:val="415"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AAA3703">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甘肃矿区人民法院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D0F9496">
            <w:pPr>
              <w:widowControl w:val="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86.10%</w:t>
            </w:r>
          </w:p>
        </w:tc>
      </w:tr>
      <w:tr w14:paraId="0F1A540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0056772">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兰州铁路运输中级人民法院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B8C5BBE">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99.97%</w:t>
            </w:r>
          </w:p>
        </w:tc>
      </w:tr>
      <w:tr w14:paraId="4578D61A">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A678CFB">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FCE8E0B">
            <w:pPr>
              <w:widowControl w:val="0"/>
              <w:jc w:val="center"/>
              <w:rPr>
                <w:rFonts w:hint="eastAsia" w:ascii="宋体" w:hAnsi="宋体" w:eastAsia="宋体" w:cs="宋体"/>
                <w:highlight w:val="yellow"/>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3EC73B92">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5754D81">
            <w:pPr>
              <w:keepNext w:val="0"/>
              <w:keepLines w:val="0"/>
              <w:widowControl/>
              <w:suppressLineNumbers w:val="0"/>
              <w:jc w:val="center"/>
              <w:textAlignment w:val="center"/>
              <w:rPr>
                <w:rFonts w:hint="eastAsia"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武威铁路运输法院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BB806E7">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bl>
    <w:p w14:paraId="36959633">
      <w:pPr>
        <w:pStyle w:val="9"/>
        <w:overflowPunct w:val="0"/>
        <w:spacing w:line="560" w:lineRule="exact"/>
        <w:ind w:firstLine="643" w:firstLineChars="200"/>
        <w:outlineLvl w:val="1"/>
        <w:rPr>
          <w:rFonts w:ascii="楷体" w:hAnsi="楷体" w:eastAsia="楷体" w:cs="楷体"/>
          <w:b/>
          <w:bCs/>
          <w:highlight w:val="none"/>
        </w:rPr>
      </w:pPr>
      <w:bookmarkStart w:id="142" w:name="_Toc26629"/>
      <w:r>
        <w:rPr>
          <w:rFonts w:hint="eastAsia" w:ascii="楷体" w:hAnsi="楷体" w:eastAsia="楷体" w:cs="楷体"/>
          <w:b/>
          <w:bCs/>
          <w:highlight w:val="none"/>
        </w:rPr>
        <w:t>（</w:t>
      </w:r>
      <w:r>
        <w:rPr>
          <w:rFonts w:hint="eastAsia" w:ascii="楷体" w:hAnsi="楷体" w:eastAsia="楷体" w:cs="楷体"/>
          <w:b/>
          <w:bCs/>
          <w:highlight w:val="none"/>
          <w:lang w:val="en-US" w:eastAsia="zh-CN"/>
        </w:rPr>
        <w:t>五</w:t>
      </w:r>
      <w:r>
        <w:rPr>
          <w:rFonts w:hint="eastAsia" w:ascii="楷体" w:hAnsi="楷体" w:eastAsia="楷体" w:cs="楷体"/>
          <w:b/>
          <w:bCs/>
          <w:highlight w:val="none"/>
        </w:rPr>
        <w:t>）项目效益情况</w:t>
      </w:r>
      <w:bookmarkEnd w:id="140"/>
      <w:bookmarkEnd w:id="141"/>
      <w:bookmarkEnd w:id="142"/>
    </w:p>
    <w:p w14:paraId="688DA28B">
      <w:pPr>
        <w:pStyle w:val="9"/>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项目效益指标包括社会效益指标、服务对象满意度</w:t>
      </w:r>
      <w:r>
        <w:rPr>
          <w:rFonts w:hint="eastAsia" w:ascii="仿宋_GB2312" w:hAnsi="仿宋_GB2312" w:cs="仿宋_GB2312"/>
          <w:highlight w:val="none"/>
          <w:lang w:val="en-US" w:eastAsia="zh-CN"/>
        </w:rPr>
        <w:t>二</w:t>
      </w:r>
      <w:r>
        <w:rPr>
          <w:rFonts w:hint="eastAsia" w:ascii="仿宋_GB2312" w:hAnsi="仿宋_GB2312" w:cs="仿宋_GB2312"/>
          <w:highlight w:val="none"/>
        </w:rPr>
        <w:t>个二级指标，下设</w:t>
      </w:r>
      <w:r>
        <w:rPr>
          <w:rFonts w:hint="eastAsia" w:ascii="仿宋_GB2312" w:hAnsi="仿宋_GB2312" w:cs="仿宋_GB2312"/>
          <w:highlight w:val="none"/>
          <w:lang w:val="en-US" w:eastAsia="zh-CN"/>
        </w:rPr>
        <w:t>三</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30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30</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100.00</w:t>
      </w:r>
      <w:r>
        <w:rPr>
          <w:rFonts w:hint="eastAsia" w:ascii="仿宋_GB2312" w:hAnsi="仿宋_GB2312" w:cs="仿宋_GB2312"/>
          <w:highlight w:val="none"/>
        </w:rPr>
        <w:t>%。</w:t>
      </w:r>
    </w:p>
    <w:tbl>
      <w:tblPr>
        <w:tblStyle w:val="20"/>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2114"/>
        <w:gridCol w:w="715"/>
        <w:gridCol w:w="1236"/>
        <w:gridCol w:w="1255"/>
        <w:gridCol w:w="742"/>
        <w:gridCol w:w="987"/>
      </w:tblGrid>
      <w:tr w14:paraId="5E17ED2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421" w:type="dxa"/>
            <w:tcBorders>
              <w:tl2br w:val="nil"/>
              <w:tr2bl w:val="nil"/>
            </w:tcBorders>
            <w:shd w:val="clear" w:color="auto" w:fill="BDD6EE" w:themeFill="accent1" w:themeFillTint="66"/>
            <w:vAlign w:val="center"/>
          </w:tcPr>
          <w:p w14:paraId="427E61D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114" w:type="dxa"/>
            <w:tcBorders>
              <w:tl2br w:val="nil"/>
              <w:tr2bl w:val="nil"/>
            </w:tcBorders>
            <w:shd w:val="clear" w:color="auto" w:fill="BDD6EE" w:themeFill="accent1" w:themeFillTint="66"/>
            <w:vAlign w:val="center"/>
          </w:tcPr>
          <w:p w14:paraId="426C50B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715" w:type="dxa"/>
            <w:tcBorders>
              <w:tl2br w:val="nil"/>
              <w:tr2bl w:val="nil"/>
            </w:tcBorders>
            <w:shd w:val="clear" w:color="auto" w:fill="BDD6EE" w:themeFill="accent1" w:themeFillTint="66"/>
            <w:vAlign w:val="center"/>
          </w:tcPr>
          <w:p w14:paraId="7C7E82F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36" w:type="dxa"/>
            <w:tcBorders>
              <w:tl2br w:val="nil"/>
              <w:tr2bl w:val="nil"/>
            </w:tcBorders>
            <w:shd w:val="clear" w:color="auto" w:fill="BDD6EE" w:themeFill="accent1" w:themeFillTint="66"/>
            <w:vAlign w:val="center"/>
          </w:tcPr>
          <w:p w14:paraId="20E1F09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55" w:type="dxa"/>
            <w:tcBorders>
              <w:tl2br w:val="nil"/>
              <w:tr2bl w:val="nil"/>
            </w:tcBorders>
            <w:shd w:val="clear" w:color="auto" w:fill="BDD6EE" w:themeFill="accent1" w:themeFillTint="66"/>
            <w:vAlign w:val="center"/>
          </w:tcPr>
          <w:p w14:paraId="651BC68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742" w:type="dxa"/>
            <w:tcBorders>
              <w:tl2br w:val="nil"/>
              <w:tr2bl w:val="nil"/>
            </w:tcBorders>
            <w:shd w:val="clear" w:color="auto" w:fill="BDD6EE" w:themeFill="accent1" w:themeFillTint="66"/>
            <w:vAlign w:val="center"/>
          </w:tcPr>
          <w:p w14:paraId="49594E3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987" w:type="dxa"/>
            <w:tcBorders>
              <w:tl2br w:val="nil"/>
              <w:tr2bl w:val="nil"/>
            </w:tcBorders>
            <w:shd w:val="clear" w:color="auto" w:fill="BDD6EE" w:themeFill="accent1" w:themeFillTint="66"/>
            <w:vAlign w:val="center"/>
          </w:tcPr>
          <w:p w14:paraId="074A2EB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1A7A59C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restart"/>
            <w:tcBorders>
              <w:tl2br w:val="nil"/>
              <w:tr2bl w:val="nil"/>
            </w:tcBorders>
            <w:vAlign w:val="center"/>
          </w:tcPr>
          <w:p w14:paraId="55F6843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社会效益指标      </w:t>
            </w:r>
          </w:p>
        </w:tc>
        <w:tc>
          <w:tcPr>
            <w:tcW w:w="2114" w:type="dxa"/>
            <w:tcBorders>
              <w:tl2br w:val="nil"/>
              <w:tr2bl w:val="nil"/>
            </w:tcBorders>
            <w:shd w:val="clear" w:color="auto" w:fill="auto"/>
            <w:vAlign w:val="center"/>
          </w:tcPr>
          <w:p w14:paraId="701E468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保障社会公平正义有效性</w:t>
            </w:r>
          </w:p>
        </w:tc>
        <w:tc>
          <w:tcPr>
            <w:tcW w:w="715" w:type="dxa"/>
            <w:tcBorders>
              <w:tl2br w:val="nil"/>
              <w:tr2bl w:val="nil"/>
            </w:tcBorders>
            <w:shd w:val="clear" w:color="auto" w:fill="auto"/>
            <w:vAlign w:val="center"/>
          </w:tcPr>
          <w:p w14:paraId="0DFE097F">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10</w:t>
            </w:r>
          </w:p>
        </w:tc>
        <w:tc>
          <w:tcPr>
            <w:tcW w:w="1236" w:type="dxa"/>
            <w:tcBorders>
              <w:tl2br w:val="nil"/>
              <w:tr2bl w:val="nil"/>
            </w:tcBorders>
            <w:shd w:val="clear" w:color="auto" w:fill="auto"/>
            <w:vAlign w:val="center"/>
          </w:tcPr>
          <w:p w14:paraId="05862B8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有效</w:t>
            </w:r>
          </w:p>
        </w:tc>
        <w:tc>
          <w:tcPr>
            <w:tcW w:w="1255" w:type="dxa"/>
            <w:tcBorders>
              <w:tl2br w:val="nil"/>
              <w:tr2bl w:val="nil"/>
            </w:tcBorders>
            <w:shd w:val="clear" w:color="auto" w:fill="auto"/>
            <w:vAlign w:val="center"/>
          </w:tcPr>
          <w:p w14:paraId="5114CB7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u w:val="none"/>
                <w:lang w:val="en-US" w:eastAsia="zh-CN" w:bidi="ar"/>
              </w:rPr>
              <w:t>100.00%</w:t>
            </w:r>
          </w:p>
        </w:tc>
        <w:tc>
          <w:tcPr>
            <w:tcW w:w="742" w:type="dxa"/>
            <w:tcBorders>
              <w:tl2br w:val="nil"/>
              <w:tr2bl w:val="nil"/>
            </w:tcBorders>
            <w:shd w:val="clear" w:color="auto" w:fill="auto"/>
            <w:vAlign w:val="center"/>
          </w:tcPr>
          <w:p w14:paraId="3344EF3C">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987" w:type="dxa"/>
            <w:tcBorders>
              <w:tl2br w:val="nil"/>
              <w:tr2bl w:val="nil"/>
            </w:tcBorders>
            <w:shd w:val="clear" w:color="auto" w:fill="auto"/>
            <w:vAlign w:val="center"/>
          </w:tcPr>
          <w:p w14:paraId="53741423">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10</w:t>
            </w:r>
            <w:r>
              <w:rPr>
                <w:rFonts w:hint="eastAsia" w:ascii="宋体" w:hAnsi="宋体" w:eastAsia="宋体" w:cs="宋体"/>
                <w:color w:val="auto"/>
                <w:kern w:val="0"/>
                <w:sz w:val="20"/>
                <w:szCs w:val="20"/>
                <w:highlight w:val="none"/>
                <w:lang w:bidi="ar"/>
              </w:rPr>
              <w:t>0.00%</w:t>
            </w:r>
          </w:p>
        </w:tc>
      </w:tr>
      <w:tr w14:paraId="24B3288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continue"/>
            <w:tcBorders>
              <w:tl2br w:val="nil"/>
              <w:tr2bl w:val="nil"/>
            </w:tcBorders>
            <w:vAlign w:val="center"/>
          </w:tcPr>
          <w:p w14:paraId="4619862B">
            <w:pPr>
              <w:jc w:val="center"/>
              <w:rPr>
                <w:rFonts w:hint="eastAsia" w:ascii="宋体" w:hAnsi="宋体" w:eastAsia="宋体" w:cs="宋体"/>
                <w:color w:val="auto"/>
                <w:sz w:val="20"/>
                <w:szCs w:val="20"/>
                <w:highlight w:val="none"/>
              </w:rPr>
            </w:pPr>
          </w:p>
        </w:tc>
        <w:tc>
          <w:tcPr>
            <w:tcW w:w="2114" w:type="dxa"/>
            <w:tcBorders>
              <w:tl2br w:val="nil"/>
              <w:tr2bl w:val="nil"/>
            </w:tcBorders>
            <w:shd w:val="clear" w:color="auto" w:fill="auto"/>
            <w:vAlign w:val="center"/>
          </w:tcPr>
          <w:p w14:paraId="0C9A124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民事案件调解撤诉率</w:t>
            </w:r>
          </w:p>
        </w:tc>
        <w:tc>
          <w:tcPr>
            <w:tcW w:w="715" w:type="dxa"/>
            <w:tcBorders>
              <w:tl2br w:val="nil"/>
              <w:tr2bl w:val="nil"/>
            </w:tcBorders>
            <w:shd w:val="clear" w:color="auto" w:fill="auto"/>
            <w:vAlign w:val="center"/>
          </w:tcPr>
          <w:p w14:paraId="31DDCAC6">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10</w:t>
            </w:r>
          </w:p>
        </w:tc>
        <w:tc>
          <w:tcPr>
            <w:tcW w:w="1236" w:type="dxa"/>
            <w:tcBorders>
              <w:tl2br w:val="nil"/>
              <w:tr2bl w:val="nil"/>
            </w:tcBorders>
            <w:shd w:val="clear" w:color="auto" w:fill="auto"/>
            <w:vAlign w:val="center"/>
          </w:tcPr>
          <w:p w14:paraId="37AAC87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≥50%</w:t>
            </w:r>
          </w:p>
        </w:tc>
        <w:tc>
          <w:tcPr>
            <w:tcW w:w="1255" w:type="dxa"/>
            <w:tcBorders>
              <w:tl2br w:val="nil"/>
              <w:tr2bl w:val="nil"/>
            </w:tcBorders>
            <w:shd w:val="clear" w:color="auto" w:fill="auto"/>
            <w:vAlign w:val="center"/>
          </w:tcPr>
          <w:p w14:paraId="450B6D0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u w:val="none"/>
                <w:lang w:val="en-US" w:eastAsia="zh-CN" w:bidi="ar"/>
              </w:rPr>
              <w:t>59.47%</w:t>
            </w:r>
          </w:p>
        </w:tc>
        <w:tc>
          <w:tcPr>
            <w:tcW w:w="742" w:type="dxa"/>
            <w:tcBorders>
              <w:tl2br w:val="nil"/>
              <w:tr2bl w:val="nil"/>
            </w:tcBorders>
            <w:shd w:val="clear" w:color="auto" w:fill="auto"/>
            <w:vAlign w:val="center"/>
          </w:tcPr>
          <w:p w14:paraId="0EF1A09F">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987" w:type="dxa"/>
            <w:tcBorders>
              <w:tl2br w:val="nil"/>
              <w:tr2bl w:val="nil"/>
            </w:tcBorders>
            <w:shd w:val="clear" w:color="auto" w:fill="auto"/>
            <w:vAlign w:val="center"/>
          </w:tcPr>
          <w:p w14:paraId="42378905">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100</w:t>
            </w:r>
            <w:r>
              <w:rPr>
                <w:rFonts w:hint="eastAsia" w:ascii="宋体" w:hAnsi="宋体" w:eastAsia="宋体" w:cs="宋体"/>
                <w:color w:val="auto"/>
                <w:kern w:val="0"/>
                <w:sz w:val="20"/>
                <w:szCs w:val="20"/>
                <w:highlight w:val="none"/>
                <w:lang w:bidi="ar"/>
              </w:rPr>
              <w:t>.00%</w:t>
            </w:r>
          </w:p>
        </w:tc>
      </w:tr>
      <w:tr w14:paraId="603AB51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tcBorders>
              <w:tl2br w:val="nil"/>
              <w:tr2bl w:val="nil"/>
            </w:tcBorders>
            <w:vAlign w:val="center"/>
          </w:tcPr>
          <w:p w14:paraId="6A5E523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2114" w:type="dxa"/>
            <w:tcBorders>
              <w:tl2br w:val="nil"/>
              <w:tr2bl w:val="nil"/>
            </w:tcBorders>
            <w:shd w:val="clear" w:color="auto" w:fill="auto"/>
            <w:vAlign w:val="center"/>
          </w:tcPr>
          <w:p w14:paraId="0CFFC45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案件当事人满意度</w:t>
            </w:r>
          </w:p>
        </w:tc>
        <w:tc>
          <w:tcPr>
            <w:tcW w:w="715" w:type="dxa"/>
            <w:tcBorders>
              <w:tl2br w:val="nil"/>
              <w:tr2bl w:val="nil"/>
            </w:tcBorders>
            <w:shd w:val="clear" w:color="auto" w:fill="auto"/>
            <w:vAlign w:val="center"/>
          </w:tcPr>
          <w:p w14:paraId="208B0483">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10</w:t>
            </w:r>
          </w:p>
        </w:tc>
        <w:tc>
          <w:tcPr>
            <w:tcW w:w="1236" w:type="dxa"/>
            <w:tcBorders>
              <w:tl2br w:val="nil"/>
              <w:tr2bl w:val="nil"/>
            </w:tcBorders>
            <w:shd w:val="clear" w:color="auto" w:fill="auto"/>
            <w:vAlign w:val="center"/>
          </w:tcPr>
          <w:p w14:paraId="5E7B6E6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≥90%</w:t>
            </w:r>
          </w:p>
        </w:tc>
        <w:tc>
          <w:tcPr>
            <w:tcW w:w="1255" w:type="dxa"/>
            <w:tcBorders>
              <w:tl2br w:val="nil"/>
              <w:tr2bl w:val="nil"/>
            </w:tcBorders>
            <w:shd w:val="clear" w:color="auto" w:fill="auto"/>
            <w:vAlign w:val="center"/>
          </w:tcPr>
          <w:p w14:paraId="557D020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96.00%</w:t>
            </w:r>
          </w:p>
        </w:tc>
        <w:tc>
          <w:tcPr>
            <w:tcW w:w="742" w:type="dxa"/>
            <w:tcBorders>
              <w:tl2br w:val="nil"/>
              <w:tr2bl w:val="nil"/>
            </w:tcBorders>
            <w:shd w:val="clear" w:color="auto" w:fill="auto"/>
            <w:vAlign w:val="center"/>
          </w:tcPr>
          <w:p w14:paraId="54E32480">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987" w:type="dxa"/>
            <w:tcBorders>
              <w:tl2br w:val="nil"/>
              <w:tr2bl w:val="nil"/>
            </w:tcBorders>
            <w:shd w:val="clear" w:color="auto" w:fill="auto"/>
            <w:vAlign w:val="center"/>
          </w:tcPr>
          <w:p w14:paraId="36432CD2">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5AD2A74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535" w:type="dxa"/>
            <w:gridSpan w:val="2"/>
            <w:tcBorders>
              <w:tl2br w:val="nil"/>
              <w:tr2bl w:val="nil"/>
            </w:tcBorders>
            <w:shd w:val="clear" w:color="auto" w:fill="BDD6EE" w:themeFill="accent1" w:themeFillTint="66"/>
            <w:vAlign w:val="center"/>
          </w:tcPr>
          <w:p w14:paraId="3B48487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715" w:type="dxa"/>
            <w:tcBorders>
              <w:tl2br w:val="nil"/>
              <w:tr2bl w:val="nil"/>
            </w:tcBorders>
            <w:shd w:val="clear" w:color="auto" w:fill="BDD6EE" w:themeFill="accent1" w:themeFillTint="66"/>
            <w:vAlign w:val="center"/>
          </w:tcPr>
          <w:p w14:paraId="4FB9B05D">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1236" w:type="dxa"/>
            <w:tcBorders>
              <w:tl2br w:val="nil"/>
              <w:tr2bl w:val="nil"/>
            </w:tcBorders>
            <w:shd w:val="clear" w:color="auto" w:fill="BDD6EE" w:themeFill="accent1" w:themeFillTint="66"/>
            <w:vAlign w:val="center"/>
          </w:tcPr>
          <w:p w14:paraId="5FB5FFB8">
            <w:pPr>
              <w:widowControl/>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w:t>
            </w:r>
          </w:p>
        </w:tc>
        <w:tc>
          <w:tcPr>
            <w:tcW w:w="1255" w:type="dxa"/>
            <w:tcBorders>
              <w:tl2br w:val="nil"/>
              <w:tr2bl w:val="nil"/>
            </w:tcBorders>
            <w:shd w:val="clear" w:color="auto" w:fill="BDD6EE" w:themeFill="accent1" w:themeFillTint="66"/>
            <w:vAlign w:val="center"/>
          </w:tcPr>
          <w:p w14:paraId="2906CEC8">
            <w:pPr>
              <w:widowControl/>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w:t>
            </w:r>
          </w:p>
        </w:tc>
        <w:tc>
          <w:tcPr>
            <w:tcW w:w="742" w:type="dxa"/>
            <w:tcBorders>
              <w:tl2br w:val="nil"/>
              <w:tr2bl w:val="nil"/>
            </w:tcBorders>
            <w:shd w:val="clear" w:color="auto" w:fill="BDD6EE" w:themeFill="accent1" w:themeFillTint="66"/>
            <w:vAlign w:val="center"/>
          </w:tcPr>
          <w:p w14:paraId="0886A0FB">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987" w:type="dxa"/>
            <w:tcBorders>
              <w:tl2br w:val="nil"/>
              <w:tr2bl w:val="nil"/>
            </w:tcBorders>
            <w:shd w:val="clear" w:color="auto" w:fill="BDD6EE" w:themeFill="accent1" w:themeFillTint="66"/>
            <w:vAlign w:val="center"/>
          </w:tcPr>
          <w:p w14:paraId="58926B7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val="en-US" w:eastAsia="zh-CN" w:bidi="ar"/>
              </w:rPr>
              <w:t>100.00</w:t>
            </w:r>
            <w:r>
              <w:rPr>
                <w:rFonts w:hint="eastAsia" w:ascii="宋体" w:hAnsi="宋体" w:eastAsia="宋体" w:cs="宋体"/>
                <w:b/>
                <w:bCs/>
                <w:color w:val="auto"/>
                <w:kern w:val="0"/>
                <w:sz w:val="20"/>
                <w:szCs w:val="20"/>
                <w:highlight w:val="none"/>
                <w:lang w:bidi="ar"/>
              </w:rPr>
              <w:t>%</w:t>
            </w:r>
          </w:p>
        </w:tc>
      </w:tr>
    </w:tbl>
    <w:p w14:paraId="7C3DFBD8">
      <w:pPr>
        <w:pStyle w:val="9"/>
        <w:tabs>
          <w:tab w:val="left" w:pos="0"/>
        </w:tabs>
        <w:overflowPunct w:val="0"/>
        <w:spacing w:line="560" w:lineRule="exact"/>
        <w:ind w:firstLine="643" w:firstLineChars="200"/>
        <w:outlineLvl w:val="2"/>
        <w:rPr>
          <w:rFonts w:hint="default" w:ascii="仿宋_GB2312" w:hAnsi="仿宋_GB2312" w:eastAsia="仿宋_GB2312" w:cs="仿宋_GB2312"/>
          <w:b/>
          <w:bCs/>
          <w:highlight w:val="none"/>
          <w:lang w:val="en-US" w:eastAsia="zh-CN"/>
        </w:rPr>
      </w:pPr>
      <w:r>
        <w:rPr>
          <w:rFonts w:hint="eastAsia" w:ascii="仿宋_GB2312" w:hAnsi="仿宋_GB2312" w:cs="仿宋_GB2312"/>
          <w:b/>
          <w:bCs/>
          <w:highlight w:val="none"/>
        </w:rPr>
        <w:t>1.</w:t>
      </w:r>
      <w:r>
        <w:rPr>
          <w:rFonts w:hint="eastAsia" w:ascii="仿宋_GB2312" w:hAnsi="仿宋_GB2312" w:cs="仿宋_GB2312"/>
          <w:b/>
          <w:bCs/>
          <w:highlight w:val="none"/>
          <w:lang w:val="en-US" w:eastAsia="zh-CN"/>
        </w:rPr>
        <w:t>社会效益指标</w:t>
      </w:r>
    </w:p>
    <w:p w14:paraId="0122D7EB">
      <w:pPr>
        <w:pStyle w:val="9"/>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outlineLvl w:val="2"/>
        <w:rPr>
          <w:rFonts w:hint="default" w:ascii="仿宋_GB2312" w:hAnsi="仿宋_GB2312" w:eastAsia="仿宋_GB2312" w:cs="仿宋_GB2312"/>
          <w:b w:val="0"/>
          <w:bCs w:val="0"/>
          <w:highlight w:val="yellow"/>
          <w:lang w:val="en-US" w:eastAsia="zh-CN"/>
        </w:rPr>
      </w:pPr>
      <w:r>
        <w:rPr>
          <w:rFonts w:hint="eastAsia" w:ascii="仿宋_GB2312" w:hAnsi="仿宋_GB2312" w:cs="仿宋_GB2312"/>
          <w:b w:val="0"/>
          <w:bCs w:val="0"/>
          <w:highlight w:val="none"/>
          <w:lang w:val="en-US" w:eastAsia="zh-CN"/>
        </w:rPr>
        <w:t>保障社会公平正义有效性：</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10</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10</w:t>
      </w:r>
      <w:r>
        <w:rPr>
          <w:rFonts w:hint="eastAsia" w:ascii="仿宋_GB2312" w:hAnsi="仿宋_GB2312" w:cs="仿宋_GB2312"/>
          <w:b w:val="0"/>
          <w:bCs w:val="0"/>
          <w:highlight w:val="none"/>
        </w:rPr>
        <w:t>分。</w:t>
      </w:r>
      <w:r>
        <w:rPr>
          <w:rFonts w:hint="eastAsia" w:ascii="仿宋_GB2312" w:hAnsi="仿宋_GB2312" w:cs="仿宋_GB2312"/>
          <w:b w:val="0"/>
          <w:bCs w:val="0"/>
          <w:highlight w:val="none"/>
          <w:lang w:val="en-US" w:eastAsia="zh-CN"/>
        </w:rPr>
        <w:t>全省法院充分</w:t>
      </w:r>
      <w:r>
        <w:rPr>
          <w:rFonts w:hint="eastAsia" w:ascii="仿宋_GB2312" w:hAnsi="仿宋_GB2312" w:cs="仿宋_GB2312"/>
          <w:b w:val="0"/>
          <w:bCs w:val="0"/>
          <w:highlight w:val="none"/>
        </w:rPr>
        <w:t>发挥审判职能作用，全面加强各项审判执行工作，有效保障审判服务</w:t>
      </w:r>
      <w:r>
        <w:rPr>
          <w:rFonts w:hint="eastAsia" w:ascii="仿宋_GB2312" w:hAnsi="仿宋_GB2312" w:cs="仿宋_GB2312"/>
          <w:b w:val="0"/>
          <w:bCs w:val="0"/>
          <w:highlight w:val="none"/>
          <w:lang w:val="en-US" w:eastAsia="zh-CN"/>
        </w:rPr>
        <w:t>，坚决贯彻“努力让人民群众在每一个司法案件中感受到公平正义”的目标，将化解矛盾、服判息诉工作做足做实。</w:t>
      </w:r>
    </w:p>
    <w:p w14:paraId="354AD65B">
      <w:pPr>
        <w:pStyle w:val="9"/>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val="0"/>
          <w:highlight w:val="none"/>
          <w:lang w:val="en-US" w:eastAsia="zh-CN"/>
        </w:rPr>
      </w:pPr>
      <w:r>
        <w:rPr>
          <w:rFonts w:hint="eastAsia" w:ascii="仿宋_GB2312" w:hAnsi="仿宋_GB2312" w:cs="仿宋_GB2312"/>
          <w:b w:val="0"/>
          <w:bCs w:val="0"/>
          <w:highlight w:val="none"/>
          <w:lang w:val="en-US" w:eastAsia="zh-CN"/>
        </w:rPr>
        <w:t>民事案件调解撤诉率：</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10</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10</w:t>
      </w:r>
      <w:r>
        <w:rPr>
          <w:rFonts w:hint="eastAsia" w:ascii="仿宋_GB2312" w:hAnsi="仿宋_GB2312" w:cs="仿宋_GB2312"/>
          <w:b w:val="0"/>
          <w:bCs w:val="0"/>
          <w:highlight w:val="none"/>
        </w:rPr>
        <w:t>分。</w:t>
      </w:r>
      <w:r>
        <w:rPr>
          <w:rFonts w:ascii="仿宋_GB2312" w:hAnsi="仿宋_GB2312" w:eastAsia="仿宋_GB2312" w:cs="仿宋_GB2312"/>
          <w:b w:val="0"/>
          <w:bCs w:val="0"/>
          <w:color w:val="000000"/>
          <w:sz w:val="31"/>
          <w:szCs w:val="31"/>
          <w:highlight w:val="none"/>
        </w:rPr>
        <w:t>根据甘肃省高级人民法院机关及9家</w:t>
      </w:r>
      <w:r>
        <w:rPr>
          <w:rFonts w:hint="eastAsia" w:ascii="仿宋_GB2312" w:hAnsi="仿宋_GB2312" w:cs="仿宋_GB2312"/>
          <w:b w:val="0"/>
          <w:bCs w:val="0"/>
          <w:color w:val="000000"/>
          <w:sz w:val="31"/>
          <w:szCs w:val="31"/>
          <w:highlight w:val="none"/>
          <w:lang w:eastAsia="zh-CN"/>
        </w:rPr>
        <w:t>直属法院</w:t>
      </w:r>
      <w:r>
        <w:rPr>
          <w:rFonts w:ascii="仿宋_GB2312" w:hAnsi="仿宋_GB2312" w:eastAsia="仿宋_GB2312" w:cs="仿宋_GB2312"/>
          <w:b w:val="0"/>
          <w:bCs w:val="0"/>
          <w:color w:val="000000"/>
          <w:sz w:val="31"/>
          <w:szCs w:val="31"/>
          <w:highlight w:val="none"/>
        </w:rPr>
        <w:t>填报的《202</w:t>
      </w:r>
      <w:r>
        <w:rPr>
          <w:rFonts w:hint="eastAsia" w:ascii="仿宋_GB2312" w:hAnsi="仿宋_GB2312" w:cs="仿宋_GB2312"/>
          <w:b w:val="0"/>
          <w:bCs w:val="0"/>
          <w:color w:val="000000"/>
          <w:sz w:val="31"/>
          <w:szCs w:val="31"/>
          <w:highlight w:val="none"/>
          <w:lang w:val="en-US" w:eastAsia="zh-CN"/>
        </w:rPr>
        <w:t>3</w:t>
      </w:r>
      <w:r>
        <w:rPr>
          <w:rFonts w:ascii="仿宋_GB2312" w:hAnsi="仿宋_GB2312" w:eastAsia="仿宋_GB2312" w:cs="仿宋_GB2312"/>
          <w:b w:val="0"/>
          <w:bCs w:val="0"/>
          <w:color w:val="000000"/>
          <w:sz w:val="31"/>
          <w:szCs w:val="31"/>
          <w:highlight w:val="none"/>
        </w:rPr>
        <w:t>年</w:t>
      </w:r>
      <w:r>
        <w:rPr>
          <w:rFonts w:hint="eastAsia" w:ascii="仿宋_GB2312" w:hAnsi="仿宋_GB2312" w:cs="仿宋_GB2312"/>
          <w:b w:val="0"/>
          <w:bCs w:val="0"/>
          <w:color w:val="000000"/>
          <w:sz w:val="31"/>
          <w:szCs w:val="31"/>
          <w:highlight w:val="none"/>
          <w:lang w:val="en-US" w:eastAsia="zh-CN"/>
        </w:rPr>
        <w:t>办案业务费绩效自评表</w:t>
      </w:r>
      <w:r>
        <w:rPr>
          <w:rFonts w:ascii="仿宋_GB2312" w:hAnsi="仿宋_GB2312" w:eastAsia="仿宋_GB2312" w:cs="仿宋_GB2312"/>
          <w:b w:val="0"/>
          <w:bCs w:val="0"/>
          <w:color w:val="000000"/>
          <w:sz w:val="31"/>
          <w:szCs w:val="31"/>
          <w:highlight w:val="none"/>
        </w:rPr>
        <w:t>》，</w:t>
      </w:r>
      <w:r>
        <w:rPr>
          <w:rFonts w:hint="eastAsia" w:ascii="仿宋_GB2312" w:hAnsi="仿宋_GB2312" w:cs="仿宋_GB2312"/>
          <w:b w:val="0"/>
          <w:bCs w:val="0"/>
          <w:highlight w:val="none"/>
          <w:lang w:val="en-US" w:eastAsia="zh-CN"/>
        </w:rPr>
        <w:t>民事案件调解撤诉率年度目标值≥50%，</w:t>
      </w:r>
      <w:r>
        <w:rPr>
          <w:rFonts w:ascii="仿宋_GB2312" w:hAnsi="仿宋_GB2312" w:eastAsia="仿宋_GB2312" w:cs="仿宋_GB2312"/>
          <w:b w:val="0"/>
          <w:bCs w:val="0"/>
          <w:color w:val="000000"/>
          <w:sz w:val="31"/>
          <w:szCs w:val="31"/>
          <w:highlight w:val="none"/>
        </w:rPr>
        <w:t>本年度总体民商事案件调撤率为</w:t>
      </w:r>
      <w:r>
        <w:rPr>
          <w:rFonts w:hint="eastAsia" w:ascii="仿宋_GB2312" w:hAnsi="仿宋_GB2312" w:cs="仿宋_GB2312"/>
          <w:b w:val="0"/>
          <w:bCs w:val="0"/>
          <w:color w:val="000000"/>
          <w:sz w:val="31"/>
          <w:szCs w:val="31"/>
          <w:highlight w:val="none"/>
          <w:lang w:val="en-US" w:eastAsia="zh-CN"/>
        </w:rPr>
        <w:t>59.47</w:t>
      </w:r>
      <w:r>
        <w:rPr>
          <w:rFonts w:ascii="仿宋_GB2312" w:hAnsi="仿宋_GB2312" w:eastAsia="仿宋_GB2312" w:cs="仿宋_GB2312"/>
          <w:b w:val="0"/>
          <w:bCs w:val="0"/>
          <w:color w:val="000000"/>
          <w:sz w:val="31"/>
          <w:szCs w:val="31"/>
          <w:highlight w:val="none"/>
        </w:rPr>
        <w:t>%</w:t>
      </w:r>
      <w:r>
        <w:rPr>
          <w:rFonts w:hint="eastAsia" w:ascii="仿宋_GB2312" w:hAnsi="仿宋_GB2312" w:cs="仿宋_GB2312"/>
          <w:b w:val="0"/>
          <w:bCs w:val="0"/>
          <w:color w:val="000000"/>
          <w:sz w:val="31"/>
          <w:szCs w:val="31"/>
          <w:highlight w:val="none"/>
          <w:lang w:eastAsia="zh-CN"/>
        </w:rPr>
        <w:t>。</w:t>
      </w:r>
    </w:p>
    <w:tbl>
      <w:tblPr>
        <w:tblStyle w:val="19"/>
        <w:tblW w:w="5112" w:type="pct"/>
        <w:tblInd w:w="0" w:type="dxa"/>
        <w:tblLayout w:type="fixed"/>
        <w:tblCellMar>
          <w:top w:w="0" w:type="dxa"/>
          <w:left w:w="108" w:type="dxa"/>
          <w:bottom w:w="0" w:type="dxa"/>
          <w:right w:w="108" w:type="dxa"/>
        </w:tblCellMar>
      </w:tblPr>
      <w:tblGrid>
        <w:gridCol w:w="4478"/>
        <w:gridCol w:w="4192"/>
      </w:tblGrid>
      <w:tr w14:paraId="0A83B6E2">
        <w:tblPrEx>
          <w:tblCellMar>
            <w:top w:w="0" w:type="dxa"/>
            <w:left w:w="108" w:type="dxa"/>
            <w:bottom w:w="0" w:type="dxa"/>
            <w:right w:w="108" w:type="dxa"/>
          </w:tblCellMar>
        </w:tblPrEx>
        <w:trPr>
          <w:trHeight w:val="397" w:hRule="atLeast"/>
          <w:tblHeader/>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3EE1F2B">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法院名称</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C6AA7AB">
            <w:pPr>
              <w:spacing w:before="60"/>
              <w:ind w:left="180"/>
              <w:jc w:val="center"/>
              <w:rPr>
                <w:rFonts w:hint="default" w:ascii="宋体" w:hAnsi="宋体" w:eastAsia="宋体" w:cs="宋体"/>
                <w:b/>
                <w:color w:val="000000"/>
                <w:lang w:val="en-US" w:eastAsia="zh-CN"/>
              </w:rPr>
            </w:pPr>
            <w:r>
              <w:rPr>
                <w:rFonts w:hint="eastAsia" w:ascii="宋体" w:hAnsi="宋体" w:eastAsia="宋体" w:cs="宋体"/>
                <w:b/>
                <w:color w:val="000000"/>
                <w:lang w:val="en-US" w:eastAsia="zh-CN"/>
              </w:rPr>
              <w:t>民事案件调解撤诉率</w:t>
            </w:r>
          </w:p>
        </w:tc>
      </w:tr>
      <w:tr w14:paraId="51210461">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7819098">
            <w:pPr>
              <w:keepNext w:val="0"/>
              <w:keepLines w:val="0"/>
              <w:widowControl/>
              <w:suppressLineNumbers w:val="0"/>
              <w:jc w:val="center"/>
              <w:textAlignment w:val="center"/>
              <w:rPr>
                <w:rFonts w:ascii="宋体" w:hAnsi="宋体" w:eastAsia="宋体" w:cs="宋体"/>
              </w:rPr>
            </w:pPr>
            <w:r>
              <w:rPr>
                <w:rFonts w:hint="eastAsia" w:ascii="宋体" w:hAnsi="宋体" w:eastAsia="宋体" w:cs="宋体"/>
                <w:i w:val="0"/>
                <w:iCs w:val="0"/>
                <w:color w:val="000000"/>
                <w:kern w:val="0"/>
                <w:sz w:val="21"/>
                <w:szCs w:val="21"/>
                <w:u w:val="none"/>
                <w:lang w:val="en-US" w:eastAsia="zh-CN" w:bidi="ar"/>
              </w:rPr>
              <w:t>甘肃省高级人民法院机关</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88B3C79">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46.24</w:t>
            </w:r>
            <w:r>
              <w:rPr>
                <w:rFonts w:hint="eastAsia" w:ascii="宋体" w:hAnsi="宋体" w:eastAsia="宋体" w:cs="宋体"/>
                <w:highlight w:val="none"/>
                <w:lang w:eastAsia="zh-CN"/>
              </w:rPr>
              <w:t>%</w:t>
            </w:r>
          </w:p>
        </w:tc>
      </w:tr>
      <w:tr w14:paraId="07770270">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6C69EF6">
            <w:pPr>
              <w:keepNext w:val="0"/>
              <w:keepLines w:val="0"/>
              <w:widowControl/>
              <w:suppressLineNumbers w:val="0"/>
              <w:jc w:val="center"/>
              <w:textAlignment w:val="center"/>
              <w:rPr>
                <w:rFonts w:ascii="宋体" w:hAnsi="宋体" w:eastAsia="宋体" w:cs="宋体"/>
                <w:lang w:eastAsia="zh-CN"/>
              </w:rPr>
            </w:pPr>
            <w:r>
              <w:rPr>
                <w:rFonts w:hint="eastAsia" w:ascii="宋体" w:hAnsi="宋体" w:eastAsia="宋体" w:cs="宋体"/>
                <w:i w:val="0"/>
                <w:iCs w:val="0"/>
                <w:color w:val="000000"/>
                <w:kern w:val="0"/>
                <w:sz w:val="21"/>
                <w:szCs w:val="21"/>
                <w:u w:val="none"/>
                <w:lang w:val="en-US" w:eastAsia="zh-CN" w:bidi="ar"/>
              </w:rPr>
              <w:t>甘肃省林区中级人民法院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40D3C38">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95.0</w:t>
            </w:r>
            <w:r>
              <w:rPr>
                <w:rFonts w:hint="eastAsia" w:ascii="宋体" w:hAnsi="宋体" w:eastAsia="宋体" w:cs="宋体"/>
                <w:highlight w:val="none"/>
                <w:lang w:eastAsia="zh-CN"/>
              </w:rPr>
              <w:t>%</w:t>
            </w:r>
          </w:p>
        </w:tc>
      </w:tr>
      <w:tr w14:paraId="1072C5DC">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066B652">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祁连山林区法院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189815E">
            <w:pPr>
              <w:widowControl w:val="0"/>
              <w:jc w:val="center"/>
              <w:rPr>
                <w:rFonts w:ascii="宋体" w:hAnsi="宋体" w:eastAsia="宋体" w:cs="宋体"/>
                <w:highlight w:val="none"/>
              </w:rPr>
            </w:pPr>
            <w:r>
              <w:rPr>
                <w:rFonts w:hint="eastAsia" w:ascii="宋体" w:hAnsi="宋体" w:eastAsia="宋体" w:cs="宋体"/>
                <w:highlight w:val="none"/>
                <w:lang w:val="en-US" w:eastAsia="zh-CN"/>
              </w:rPr>
              <w:t>50.00</w:t>
            </w:r>
            <w:r>
              <w:rPr>
                <w:rFonts w:hint="eastAsia" w:ascii="宋体" w:hAnsi="宋体" w:eastAsia="宋体" w:cs="宋体"/>
                <w:highlight w:val="none"/>
                <w:lang w:eastAsia="zh-CN"/>
              </w:rPr>
              <w:t>%</w:t>
            </w:r>
          </w:p>
        </w:tc>
      </w:tr>
      <w:tr w14:paraId="24A1571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1B6E586">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小陇山林区法院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6103796">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100.00</w:t>
            </w:r>
            <w:r>
              <w:rPr>
                <w:rFonts w:hint="eastAsia" w:ascii="宋体" w:hAnsi="宋体" w:eastAsia="宋体" w:cs="宋体"/>
                <w:highlight w:val="none"/>
                <w:lang w:eastAsia="zh-CN"/>
              </w:rPr>
              <w:t>%</w:t>
            </w:r>
          </w:p>
        </w:tc>
      </w:tr>
      <w:tr w14:paraId="151AEE6E">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F762FD2">
            <w:pPr>
              <w:keepNext w:val="0"/>
              <w:keepLines w:val="0"/>
              <w:widowControl/>
              <w:suppressLineNumbers w:val="0"/>
              <w:jc w:val="center"/>
              <w:textAlignment w:val="center"/>
              <w:rPr>
                <w:rFonts w:ascii="宋体" w:hAnsi="宋体" w:eastAsia="宋体" w:cs="宋体"/>
                <w:highlight w:val="none"/>
              </w:rPr>
            </w:pPr>
            <w:r>
              <w:rPr>
                <w:rFonts w:hint="eastAsia" w:ascii="宋体" w:hAnsi="宋体" w:eastAsia="宋体" w:cs="宋体"/>
                <w:i w:val="0"/>
                <w:iCs w:val="0"/>
                <w:color w:val="000000"/>
                <w:kern w:val="0"/>
                <w:sz w:val="21"/>
                <w:szCs w:val="21"/>
                <w:u w:val="none"/>
                <w:lang w:val="en-US" w:eastAsia="zh-CN" w:bidi="ar"/>
              </w:rPr>
              <w:t>白龙江林区法院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1B0A63B">
            <w:pPr>
              <w:widowControl w:val="0"/>
              <w:jc w:val="center"/>
              <w:rPr>
                <w:rFonts w:ascii="宋体" w:hAnsi="宋体" w:eastAsia="宋体" w:cs="宋体"/>
                <w:highlight w:val="none"/>
                <w:lang w:eastAsia="zh-CN"/>
              </w:rPr>
            </w:pPr>
            <w:r>
              <w:rPr>
                <w:rFonts w:hint="eastAsia" w:ascii="宋体" w:hAnsi="宋体" w:eastAsia="宋体" w:cs="宋体"/>
                <w:highlight w:val="none"/>
                <w:lang w:val="en-US" w:eastAsia="zh-CN"/>
              </w:rPr>
              <w:t>90.00</w:t>
            </w:r>
            <w:r>
              <w:rPr>
                <w:rFonts w:hint="eastAsia" w:ascii="宋体" w:hAnsi="宋体" w:eastAsia="宋体" w:cs="宋体"/>
                <w:highlight w:val="none"/>
                <w:lang w:eastAsia="zh-CN"/>
              </w:rPr>
              <w:t>%</w:t>
            </w:r>
          </w:p>
        </w:tc>
      </w:tr>
      <w:tr w14:paraId="68D0DBCE">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D2F3E5">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洮河林区法院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042D8F4">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71.42</w:t>
            </w:r>
            <w:r>
              <w:rPr>
                <w:rFonts w:hint="eastAsia" w:ascii="宋体" w:hAnsi="宋体" w:eastAsia="宋体" w:cs="宋体"/>
                <w:highlight w:val="none"/>
                <w:lang w:eastAsia="zh-CN"/>
              </w:rPr>
              <w:t>%</w:t>
            </w:r>
          </w:p>
        </w:tc>
      </w:tr>
      <w:tr w14:paraId="352F66B6">
        <w:tblPrEx>
          <w:tblCellMar>
            <w:top w:w="0" w:type="dxa"/>
            <w:left w:w="108" w:type="dxa"/>
            <w:bottom w:w="0" w:type="dxa"/>
            <w:right w:w="108" w:type="dxa"/>
          </w:tblCellMar>
        </w:tblPrEx>
        <w:trPr>
          <w:trHeight w:val="415"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38733F1">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甘肃矿区人民法院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6708C40">
            <w:pPr>
              <w:widowControl w:val="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50.82%</w:t>
            </w:r>
          </w:p>
        </w:tc>
      </w:tr>
      <w:tr w14:paraId="36070375">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9D0620F">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兰州铁路运输中级人民法院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87AF4B0">
            <w:pPr>
              <w:widowControl w:val="0"/>
              <w:jc w:val="center"/>
              <w:rPr>
                <w:rFonts w:hint="eastAsia" w:ascii="宋体" w:hAnsi="宋体" w:eastAsia="宋体" w:cs="宋体"/>
                <w:kern w:val="2"/>
                <w:sz w:val="21"/>
                <w:szCs w:val="22"/>
                <w:highlight w:val="none"/>
                <w:lang w:val="en-US" w:eastAsia="zh-CN" w:bidi="ar-SA"/>
              </w:rPr>
            </w:pPr>
            <w:r>
              <w:rPr>
                <w:rFonts w:hint="eastAsia" w:ascii="宋体" w:hAnsi="宋体" w:eastAsia="宋体" w:cs="宋体"/>
                <w:highlight w:val="none"/>
                <w:lang w:val="en-US" w:eastAsia="zh-CN"/>
              </w:rPr>
              <w:t>62.00%</w:t>
            </w:r>
          </w:p>
        </w:tc>
      </w:tr>
      <w:tr w14:paraId="62C43351">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AE86817">
            <w:pPr>
              <w:keepNext w:val="0"/>
              <w:keepLines w:val="0"/>
              <w:widowControl/>
              <w:suppressLineNumbers w:val="0"/>
              <w:jc w:val="center"/>
              <w:textAlignment w:val="center"/>
              <w:rPr>
                <w:rFonts w:hint="default"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兰州铁路运输法院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A7FBD3D">
            <w:pPr>
              <w:widowControl w:val="0"/>
              <w:jc w:val="center"/>
              <w:rPr>
                <w:rFonts w:hint="eastAsia" w:ascii="宋体" w:hAnsi="宋体" w:eastAsia="宋体" w:cs="宋体"/>
                <w:highlight w:val="yellow"/>
                <w:lang w:eastAsia="zh-CN"/>
              </w:rPr>
            </w:pPr>
            <w:r>
              <w:rPr>
                <w:rFonts w:hint="eastAsia" w:ascii="宋体" w:hAnsi="宋体" w:eastAsia="宋体" w:cs="宋体"/>
                <w:highlight w:val="none"/>
                <w:lang w:val="en-US" w:eastAsia="zh-CN"/>
              </w:rPr>
              <w:t>62.00</w:t>
            </w:r>
            <w:r>
              <w:rPr>
                <w:rFonts w:hint="eastAsia" w:ascii="宋体" w:hAnsi="宋体" w:eastAsia="宋体" w:cs="宋体"/>
                <w:highlight w:val="none"/>
                <w:lang w:eastAsia="zh-CN"/>
              </w:rPr>
              <w:t>%</w:t>
            </w:r>
          </w:p>
        </w:tc>
      </w:tr>
      <w:tr w14:paraId="0A9E6999">
        <w:tblPrEx>
          <w:tblCellMar>
            <w:top w:w="0" w:type="dxa"/>
            <w:left w:w="108" w:type="dxa"/>
            <w:bottom w:w="0" w:type="dxa"/>
            <w:right w:w="108" w:type="dxa"/>
          </w:tblCellMar>
        </w:tblPrEx>
        <w:trPr>
          <w:trHeight w:val="397" w:hRule="atLeast"/>
        </w:trPr>
        <w:tc>
          <w:tcPr>
            <w:tcW w:w="258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9293470">
            <w:pPr>
              <w:keepNext w:val="0"/>
              <w:keepLines w:val="0"/>
              <w:widowControl/>
              <w:suppressLineNumbers w:val="0"/>
              <w:jc w:val="center"/>
              <w:textAlignment w:val="center"/>
              <w:rPr>
                <w:rFonts w:hint="eastAsia" w:ascii="宋体" w:hAnsi="宋体" w:eastAsia="宋体" w:cs="宋体"/>
                <w:highlight w:val="none"/>
                <w:lang w:val="en-US" w:eastAsia="zh-CN"/>
              </w:rPr>
            </w:pPr>
            <w:r>
              <w:rPr>
                <w:rFonts w:hint="eastAsia" w:ascii="宋体" w:hAnsi="宋体" w:eastAsia="宋体" w:cs="宋体"/>
                <w:i w:val="0"/>
                <w:iCs w:val="0"/>
                <w:color w:val="000000"/>
                <w:kern w:val="0"/>
                <w:sz w:val="21"/>
                <w:szCs w:val="21"/>
                <w:u w:val="none"/>
                <w:lang w:val="en-US" w:eastAsia="zh-CN" w:bidi="ar"/>
              </w:rPr>
              <w:t>武威铁路运输法院</w:t>
            </w:r>
          </w:p>
        </w:tc>
        <w:tc>
          <w:tcPr>
            <w:tcW w:w="2417"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84E79FA">
            <w:pPr>
              <w:widowControl w:val="0"/>
              <w:jc w:val="center"/>
              <w:rPr>
                <w:rFonts w:hint="eastAsia" w:ascii="宋体" w:hAnsi="宋体" w:eastAsia="宋体" w:cs="宋体"/>
                <w:highlight w:val="none"/>
                <w:lang w:eastAsia="zh-CN"/>
              </w:rPr>
            </w:pPr>
            <w:r>
              <w:rPr>
                <w:rFonts w:hint="eastAsia" w:ascii="宋体" w:hAnsi="宋体" w:eastAsia="宋体" w:cs="宋体"/>
                <w:highlight w:val="none"/>
                <w:lang w:val="en-US" w:eastAsia="zh-CN"/>
              </w:rPr>
              <w:t>73.84</w:t>
            </w:r>
            <w:r>
              <w:rPr>
                <w:rFonts w:hint="eastAsia" w:ascii="宋体" w:hAnsi="宋体" w:eastAsia="宋体" w:cs="宋体"/>
                <w:highlight w:val="none"/>
                <w:lang w:eastAsia="zh-CN"/>
              </w:rPr>
              <w:t>%</w:t>
            </w:r>
          </w:p>
        </w:tc>
      </w:tr>
    </w:tbl>
    <w:p w14:paraId="6E6B15F8">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lang w:val="en-US" w:eastAsia="zh-CN"/>
        </w:rPr>
        <w:t>2</w:t>
      </w:r>
      <w:r>
        <w:rPr>
          <w:rFonts w:hint="eastAsia" w:ascii="仿宋_GB2312" w:hAnsi="仿宋_GB2312" w:cs="仿宋_GB2312"/>
          <w:b/>
          <w:bCs/>
          <w:highlight w:val="none"/>
        </w:rPr>
        <w:t>.满意度情况</w:t>
      </w:r>
    </w:p>
    <w:p w14:paraId="4CD3DB75">
      <w:pPr>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bookmarkStart w:id="143" w:name="_Toc5674"/>
      <w:bookmarkStart w:id="144" w:name="_Toc63435075"/>
      <w:bookmarkStart w:id="145" w:name="_Toc4285"/>
      <w:bookmarkStart w:id="146" w:name="_Toc64731198"/>
      <w:bookmarkStart w:id="147" w:name="_Toc2918"/>
      <w:bookmarkStart w:id="148" w:name="_Toc65235686"/>
      <w:bookmarkStart w:id="149" w:name="_Toc23326"/>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项目服务对象满意度指标主要为案件当事人满意度，指标分值10分，评价得分10分，得分率100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43"/>
      <w:bookmarkEnd w:id="144"/>
      <w:bookmarkEnd w:id="145"/>
      <w:bookmarkEnd w:id="146"/>
      <w:bookmarkEnd w:id="147"/>
      <w:bookmarkEnd w:id="148"/>
      <w:bookmarkEnd w:id="149"/>
    </w:p>
    <w:p w14:paraId="5E96F4C2">
      <w:pPr>
        <w:pStyle w:val="9"/>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textAlignment w:val="auto"/>
        <w:rPr>
          <w:rFonts w:ascii="仿宋_GB2312" w:hAnsi="仿宋_GB2312" w:cs="仿宋_GB2312"/>
          <w:highlight w:val="none"/>
        </w:rPr>
      </w:pPr>
      <w:r>
        <w:rPr>
          <w:rFonts w:hint="eastAsia" w:ascii="仿宋_GB2312" w:hAnsi="仿宋_GB2312" w:eastAsia="仿宋_GB2312" w:cs="仿宋_GB2312"/>
          <w:sz w:val="32"/>
          <w:szCs w:val="32"/>
          <w:lang w:eastAsia="zh-CN"/>
        </w:rPr>
        <w:t>通过本项目的实施，为人民群众提供优质的诉讼服务，保证案件审理公正性、案件审理透明程度，受到了人民群众的一致好评，案件当事人满意度为96</w:t>
      </w:r>
      <w:r>
        <w:rPr>
          <w:rFonts w:hint="eastAsia" w:ascii="仿宋_GB2312" w:hAnsi="仿宋_GB2312" w:cs="仿宋_GB2312"/>
          <w:sz w:val="32"/>
          <w:szCs w:val="32"/>
          <w:lang w:val="en-US" w:eastAsia="zh-CN"/>
        </w:rPr>
        <w:t>.00</w:t>
      </w:r>
      <w:r>
        <w:rPr>
          <w:rFonts w:hint="eastAsia" w:ascii="仿宋_GB2312" w:hAnsi="仿宋_GB2312" w:eastAsia="仿宋_GB2312" w:cs="仿宋_GB2312"/>
          <w:sz w:val="32"/>
          <w:szCs w:val="32"/>
          <w:lang w:eastAsia="zh-CN"/>
        </w:rPr>
        <w:t>%</w:t>
      </w:r>
      <w:r>
        <w:rPr>
          <w:rFonts w:hint="eastAsia" w:ascii="仿宋_GB2312" w:hAnsi="仿宋_GB2312" w:cs="仿宋_GB2312"/>
          <w:highlight w:val="none"/>
        </w:rPr>
        <w:t>，服务对象满意度较高。</w:t>
      </w:r>
    </w:p>
    <w:p w14:paraId="4064BF90">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ascii="黑体" w:hAnsi="黑体" w:eastAsia="黑体" w:cs="仿宋"/>
          <w:highlight w:val="none"/>
        </w:rPr>
      </w:pPr>
      <w:bookmarkStart w:id="150" w:name="_Toc14909"/>
      <w:bookmarkStart w:id="151" w:name="_Toc27911"/>
      <w:bookmarkStart w:id="152" w:name="_Toc19554"/>
      <w:r>
        <w:rPr>
          <w:rFonts w:hint="eastAsia" w:ascii="黑体" w:hAnsi="黑体" w:eastAsia="黑体" w:cs="仿宋"/>
          <w:highlight w:val="none"/>
        </w:rPr>
        <w:t>六、项目主要经验及做法</w:t>
      </w:r>
      <w:bookmarkEnd w:id="150"/>
      <w:bookmarkEnd w:id="151"/>
      <w:bookmarkEnd w:id="152"/>
    </w:p>
    <w:p w14:paraId="0BAC77E7">
      <w:pPr>
        <w:pStyle w:val="9"/>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3" w:firstLineChars="200"/>
        <w:textAlignment w:val="auto"/>
        <w:rPr>
          <w:rStyle w:val="31"/>
          <w:rFonts w:hint="eastAsia" w:ascii="楷体" w:hAnsi="楷体" w:eastAsia="楷体" w:cs="楷体"/>
          <w:kern w:val="2"/>
          <w:szCs w:val="32"/>
          <w:highlight w:val="none"/>
          <w:lang w:val="en-US" w:eastAsia="zh-CN" w:bidi="ar-SA"/>
        </w:rPr>
      </w:pPr>
      <w:bookmarkStart w:id="153" w:name="_Toc31754"/>
      <w:r>
        <w:rPr>
          <w:rStyle w:val="31"/>
          <w:rFonts w:hint="eastAsia" w:ascii="楷体" w:hAnsi="楷体" w:eastAsia="楷体" w:cs="楷体"/>
          <w:kern w:val="2"/>
          <w:szCs w:val="32"/>
          <w:highlight w:val="none"/>
          <w:lang w:val="en-US" w:eastAsia="zh-CN" w:bidi="ar-SA"/>
        </w:rPr>
        <w:t>（一）项目实施效果显著，各类效果目标均超过计划目标</w:t>
      </w:r>
    </w:p>
    <w:bookmarkEnd w:id="153"/>
    <w:p w14:paraId="1BE8CB5A">
      <w:pPr>
        <w:pStyle w:val="9"/>
        <w:keepNext w:val="0"/>
        <w:keepLines w:val="0"/>
        <w:pageBreakBefore w:val="0"/>
        <w:widowControl w:val="0"/>
        <w:tabs>
          <w:tab w:val="left" w:pos="510"/>
          <w:tab w:val="left" w:pos="675"/>
        </w:tabs>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highlight w:val="none"/>
        </w:rPr>
      </w:pPr>
      <w:r>
        <w:rPr>
          <w:rFonts w:hint="eastAsia" w:ascii="仿宋_GB2312" w:hAnsi="仿宋_GB2312" w:cs="仿宋_GB2312"/>
          <w:b w:val="0"/>
          <w:bCs w:val="0"/>
          <w:highlight w:val="none"/>
          <w:lang w:val="en-US" w:eastAsia="zh-CN"/>
        </w:rPr>
        <w:t>甘肃省高级人民法院</w:t>
      </w:r>
      <w:r>
        <w:rPr>
          <w:rFonts w:hint="eastAsia" w:ascii="仿宋_GB2312" w:hAnsi="仿宋_GB2312" w:eastAsia="仿宋_GB2312" w:cs="仿宋_GB2312"/>
          <w:b w:val="0"/>
          <w:bCs w:val="0"/>
          <w:highlight w:val="none"/>
        </w:rPr>
        <w:t>20</w:t>
      </w:r>
      <w:r>
        <w:rPr>
          <w:rFonts w:hint="eastAsia" w:ascii="仿宋_GB2312" w:hAnsi="仿宋_GB2312" w:cs="仿宋_GB2312"/>
          <w:b w:val="0"/>
          <w:bCs w:val="0"/>
          <w:highlight w:val="none"/>
          <w:lang w:val="en-US" w:eastAsia="zh-CN"/>
        </w:rPr>
        <w:t>23</w:t>
      </w:r>
      <w:r>
        <w:rPr>
          <w:rFonts w:hint="eastAsia" w:ascii="仿宋_GB2312" w:hAnsi="仿宋_GB2312" w:eastAsia="仿宋_GB2312" w:cs="仿宋_GB2312"/>
          <w:b w:val="0"/>
          <w:bCs w:val="0"/>
          <w:highlight w:val="none"/>
        </w:rPr>
        <w:t>年</w:t>
      </w:r>
      <w:r>
        <w:rPr>
          <w:rFonts w:hint="eastAsia" w:ascii="仿宋_GB2312" w:hAnsi="仿宋_GB2312" w:cs="仿宋_GB2312"/>
          <w:b w:val="0"/>
          <w:bCs w:val="0"/>
          <w:highlight w:val="none"/>
          <w:lang w:val="en-US" w:eastAsia="zh-CN"/>
        </w:rPr>
        <w:t>法定</w:t>
      </w:r>
      <w:r>
        <w:rPr>
          <w:rFonts w:hint="eastAsia" w:ascii="仿宋_GB2312" w:hAnsi="仿宋_GB2312" w:eastAsia="仿宋_GB2312" w:cs="仿宋_GB2312"/>
          <w:b w:val="0"/>
          <w:bCs w:val="0"/>
          <w:highlight w:val="none"/>
        </w:rPr>
        <w:t>审限内结案率</w:t>
      </w:r>
      <w:r>
        <w:rPr>
          <w:rFonts w:hint="eastAsia" w:ascii="仿宋_GB2312" w:hAnsi="仿宋_GB2312" w:cs="仿宋_GB2312"/>
          <w:b w:val="0"/>
          <w:bCs w:val="0"/>
          <w:highlight w:val="none"/>
          <w:lang w:val="en-US" w:eastAsia="zh-CN"/>
        </w:rPr>
        <w:t>98.04</w:t>
      </w:r>
      <w:r>
        <w:rPr>
          <w:rFonts w:hint="eastAsia" w:ascii="仿宋_GB2312" w:hAnsi="仿宋_GB2312" w:eastAsia="仿宋_GB2312" w:cs="仿宋_GB2312"/>
          <w:b w:val="0"/>
          <w:bCs w:val="0"/>
          <w:highlight w:val="none"/>
        </w:rPr>
        <w:t>%</w:t>
      </w:r>
      <w:r>
        <w:rPr>
          <w:rFonts w:hint="eastAsia" w:ascii="仿宋_GB2312" w:hAnsi="仿宋_GB2312" w:cs="仿宋_GB2312"/>
          <w:b w:val="0"/>
          <w:bCs w:val="0"/>
          <w:highlight w:val="none"/>
          <w:lang w:eastAsia="zh-CN"/>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执行案件结案率</w:t>
      </w:r>
      <w:r>
        <w:rPr>
          <w:rFonts w:hint="eastAsia" w:ascii="仿宋_GB2312" w:hAnsi="仿宋_GB2312" w:eastAsia="仿宋_GB2312" w:cs="仿宋_GB2312"/>
          <w:b w:val="0"/>
          <w:bCs w:val="0"/>
          <w:highlight w:val="none"/>
        </w:rPr>
        <w:t>9</w:t>
      </w:r>
      <w:r>
        <w:rPr>
          <w:rFonts w:hint="eastAsia" w:ascii="仿宋_GB2312" w:hAnsi="仿宋_GB2312" w:cs="仿宋_GB2312"/>
          <w:b w:val="0"/>
          <w:bCs w:val="0"/>
          <w:highlight w:val="none"/>
          <w:lang w:val="en-US" w:eastAsia="zh-CN"/>
        </w:rPr>
        <w:t>6</w:t>
      </w:r>
      <w:r>
        <w:rPr>
          <w:rFonts w:hint="eastAsia" w:ascii="仿宋_GB2312" w:hAnsi="仿宋_GB2312" w:eastAsia="仿宋_GB2312" w:cs="仿宋_GB2312"/>
          <w:b w:val="0"/>
          <w:bCs w:val="0"/>
          <w:highlight w:val="none"/>
        </w:rPr>
        <w:t>.</w:t>
      </w:r>
      <w:r>
        <w:rPr>
          <w:rFonts w:hint="eastAsia" w:ascii="仿宋_GB2312" w:hAnsi="仿宋_GB2312" w:cs="仿宋_GB2312"/>
          <w:b w:val="0"/>
          <w:bCs w:val="0"/>
          <w:highlight w:val="none"/>
          <w:lang w:val="en-US" w:eastAsia="zh-CN"/>
        </w:rPr>
        <w:t>39</w:t>
      </w:r>
      <w:r>
        <w:rPr>
          <w:rFonts w:hint="eastAsia" w:ascii="仿宋_GB2312" w:hAnsi="仿宋_GB2312" w:eastAsia="仿宋_GB2312" w:cs="仿宋_GB2312"/>
          <w:b w:val="0"/>
          <w:bCs w:val="0"/>
          <w:highlight w:val="none"/>
        </w:rPr>
        <w:t>%</w:t>
      </w:r>
      <w:r>
        <w:rPr>
          <w:rFonts w:hint="eastAsia" w:ascii="仿宋_GB2312" w:hAnsi="仿宋_GB2312" w:cs="仿宋_GB2312"/>
          <w:b w:val="0"/>
          <w:bCs w:val="0"/>
          <w:highlight w:val="none"/>
          <w:lang w:eastAsia="zh-CN"/>
        </w:rPr>
        <w:t>，</w:t>
      </w:r>
      <w:r>
        <w:rPr>
          <w:rFonts w:hint="eastAsia" w:ascii="仿宋_GB2312" w:hAnsi="仿宋_GB2312" w:eastAsia="仿宋_GB2312" w:cs="仿宋_GB2312"/>
          <w:b w:val="0"/>
          <w:bCs w:val="0"/>
          <w:highlight w:val="none"/>
        </w:rPr>
        <w:t>均大幅超过绩效目标值。</w:t>
      </w:r>
      <w:r>
        <w:rPr>
          <w:rFonts w:hint="eastAsia" w:ascii="仿宋_GB2312" w:hAnsi="仿宋_GB2312" w:cs="仿宋_GB2312"/>
          <w:b w:val="0"/>
          <w:bCs w:val="0"/>
          <w:highlight w:val="none"/>
          <w:lang w:val="en-US" w:eastAsia="zh-CN"/>
        </w:rPr>
        <w:t>甘肃省高级人民法院</w:t>
      </w:r>
      <w:r>
        <w:rPr>
          <w:rFonts w:hint="eastAsia" w:ascii="仿宋_GB2312" w:hAnsi="仿宋_GB2312" w:eastAsia="仿宋_GB2312" w:cs="仿宋_GB2312"/>
          <w:b w:val="0"/>
          <w:bCs w:val="0"/>
          <w:highlight w:val="none"/>
        </w:rPr>
        <w:t>在项目实施过程中，确保经费支出审核规范性的同时，针对</w:t>
      </w:r>
      <w:r>
        <w:rPr>
          <w:rFonts w:hint="eastAsia" w:ascii="仿宋_GB2312" w:hAnsi="仿宋_GB2312" w:cs="仿宋_GB2312"/>
          <w:b w:val="0"/>
          <w:bCs w:val="0"/>
          <w:highlight w:val="none"/>
          <w:lang w:val="en-US" w:eastAsia="zh-CN"/>
        </w:rPr>
        <w:t>各直属法院</w:t>
      </w:r>
      <w:r>
        <w:rPr>
          <w:rFonts w:hint="eastAsia" w:ascii="仿宋_GB2312" w:hAnsi="仿宋_GB2312" w:eastAsia="仿宋_GB2312" w:cs="仿宋_GB2312"/>
          <w:b w:val="0"/>
          <w:bCs w:val="0"/>
          <w:highlight w:val="none"/>
        </w:rPr>
        <w:t>资金需求根据具体办案业务而发生变动的情况，灵活调整相关</w:t>
      </w:r>
      <w:r>
        <w:rPr>
          <w:rFonts w:hint="eastAsia" w:ascii="仿宋_GB2312" w:hAnsi="仿宋_GB2312" w:cs="仿宋_GB2312"/>
          <w:b w:val="0"/>
          <w:bCs w:val="0"/>
          <w:highlight w:val="none"/>
          <w:lang w:val="en-US" w:eastAsia="zh-CN"/>
        </w:rPr>
        <w:t>法院</w:t>
      </w:r>
      <w:r>
        <w:rPr>
          <w:rFonts w:hint="eastAsia" w:ascii="仿宋_GB2312" w:hAnsi="仿宋_GB2312" w:eastAsia="仿宋_GB2312" w:cs="仿宋_GB2312"/>
          <w:b w:val="0"/>
          <w:bCs w:val="0"/>
          <w:highlight w:val="none"/>
        </w:rPr>
        <w:t>的预算金额，从而有效保障了各</w:t>
      </w:r>
      <w:r>
        <w:rPr>
          <w:rFonts w:hint="eastAsia" w:ascii="仿宋_GB2312" w:hAnsi="仿宋_GB2312" w:cs="仿宋_GB2312"/>
          <w:b w:val="0"/>
          <w:bCs w:val="0"/>
          <w:highlight w:val="none"/>
          <w:lang w:val="en-US" w:eastAsia="zh-CN"/>
        </w:rPr>
        <w:t>法院</w:t>
      </w:r>
      <w:r>
        <w:rPr>
          <w:rFonts w:hint="eastAsia" w:ascii="仿宋_GB2312" w:hAnsi="仿宋_GB2312" w:eastAsia="仿宋_GB2312" w:cs="仿宋_GB2312"/>
          <w:b w:val="0"/>
          <w:bCs w:val="0"/>
          <w:highlight w:val="none"/>
        </w:rPr>
        <w:t>的经费需求，推动法院各类办案业务顺利实施。</w:t>
      </w:r>
    </w:p>
    <w:p w14:paraId="779CE671">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outlineLvl w:val="1"/>
        <w:rPr>
          <w:rStyle w:val="31"/>
          <w:rFonts w:hint="eastAsia" w:ascii="楷体" w:hAnsi="楷体" w:eastAsia="楷体" w:cs="楷体"/>
          <w:kern w:val="2"/>
          <w:szCs w:val="32"/>
          <w:highlight w:val="none"/>
          <w:lang w:val="en-US" w:eastAsia="zh-CN" w:bidi="ar-SA"/>
        </w:rPr>
      </w:pPr>
      <w:bookmarkStart w:id="154" w:name="_Toc779"/>
      <w:bookmarkStart w:id="155" w:name="_Toc15152"/>
      <w:bookmarkStart w:id="156" w:name="_Toc25717"/>
      <w:r>
        <w:rPr>
          <w:rStyle w:val="31"/>
          <w:rFonts w:hint="eastAsia" w:ascii="楷体" w:hAnsi="楷体" w:eastAsia="楷体" w:cs="楷体"/>
          <w:kern w:val="2"/>
          <w:szCs w:val="32"/>
          <w:highlight w:val="none"/>
          <w:lang w:val="en-US" w:eastAsia="zh-CN" w:bidi="ar-SA"/>
        </w:rPr>
        <w:t>（二）始终坚持司法为民，满足群众需求，提升诉讼服务水平的目标</w:t>
      </w:r>
      <w:bookmarkEnd w:id="154"/>
    </w:p>
    <w:p w14:paraId="567FAC5F">
      <w:pPr>
        <w:pStyle w:val="9"/>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val="0"/>
          <w:bCs w:val="0"/>
          <w:highlight w:val="none"/>
          <w:lang w:eastAsia="zh-CN"/>
        </w:rPr>
      </w:pPr>
      <w:r>
        <w:rPr>
          <w:rFonts w:hint="eastAsia" w:ascii="仿宋_GB2312" w:hAnsi="仿宋_GB2312" w:cs="仿宋_GB2312"/>
          <w:b w:val="0"/>
          <w:bCs w:val="0"/>
          <w:highlight w:val="none"/>
          <w:lang w:val="en-US" w:eastAsia="zh-CN"/>
        </w:rPr>
        <w:t>甘肃省高级人民法院</w:t>
      </w:r>
      <w:r>
        <w:rPr>
          <w:rFonts w:hint="eastAsia" w:ascii="仿宋_GB2312" w:hAnsi="仿宋_GB2312" w:eastAsia="仿宋_GB2312" w:cs="仿宋_GB2312"/>
          <w:b w:val="0"/>
          <w:bCs w:val="0"/>
          <w:highlight w:val="none"/>
        </w:rPr>
        <w:t>积极优化两个一站式服务平台建设，推进案件当场立、自助立、网上立，坚决防止立案难反弹回潮，不断优化诉讼服务中心，全面推行跨域立案诉讼服务和电子诉讼服务向移动端发展，提供一站通办、一网通办、一号通办的诉讼服务，让群众享受在线诉讼或就近诉讼便利。立足城乡基层化解纠纷，充分发挥人民法庭作用，积极参与县域基层治理；完善小额诉讼、简案速裁、快审配套机制，优化诉讼服务平台，减轻案件当事人诉讼诉累，有效保障了人民群众合法权益</w:t>
      </w:r>
      <w:r>
        <w:rPr>
          <w:rFonts w:hint="eastAsia" w:ascii="仿宋_GB2312" w:hAnsi="仿宋_GB2312" w:cs="仿宋_GB2312"/>
          <w:b w:val="0"/>
          <w:bCs w:val="0"/>
          <w:highlight w:val="none"/>
          <w:lang w:eastAsia="zh-CN"/>
        </w:rPr>
        <w:t>。</w:t>
      </w:r>
    </w:p>
    <w:p w14:paraId="76DAB5B4">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ascii="黑体" w:hAnsi="黑体" w:eastAsia="黑体" w:cs="仿宋"/>
          <w:highlight w:val="none"/>
        </w:rPr>
      </w:pPr>
      <w:bookmarkStart w:id="157" w:name="_Toc26510"/>
      <w:r>
        <w:rPr>
          <w:rFonts w:hint="eastAsia" w:ascii="黑体" w:hAnsi="黑体" w:eastAsia="黑体" w:cs="仿宋"/>
          <w:highlight w:val="none"/>
        </w:rPr>
        <w:t>七、存在的问题及原因分析</w:t>
      </w:r>
      <w:bookmarkEnd w:id="155"/>
      <w:bookmarkEnd w:id="156"/>
      <w:bookmarkEnd w:id="157"/>
    </w:p>
    <w:p w14:paraId="3875E9DD">
      <w:pPr>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Style w:val="31"/>
          <w:rFonts w:hint="default" w:ascii="楷体" w:hAnsi="楷体" w:eastAsia="楷体" w:cs="楷体"/>
          <w:szCs w:val="32"/>
          <w:highlight w:val="none"/>
          <w:lang w:val="en-US" w:eastAsia="zh-CN"/>
        </w:rPr>
      </w:pPr>
      <w:bookmarkStart w:id="158" w:name="_Toc13332"/>
      <w:bookmarkStart w:id="159" w:name="_Toc20992"/>
      <w:bookmarkStart w:id="160" w:name="_Toc15149"/>
      <w:r>
        <w:rPr>
          <w:rStyle w:val="31"/>
          <w:rFonts w:hint="eastAsia" w:ascii="楷体" w:hAnsi="楷体" w:eastAsia="楷体" w:cs="楷体"/>
          <w:szCs w:val="32"/>
          <w:highlight w:val="none"/>
          <w:lang w:val="en-US" w:eastAsia="zh-CN"/>
        </w:rPr>
        <w:t>（一）项目资金预算执行有待提高</w:t>
      </w:r>
      <w:bookmarkEnd w:id="158"/>
    </w:p>
    <w:p w14:paraId="659E38DA">
      <w:pPr>
        <w:keepNext w:val="0"/>
        <w:keepLines w:val="0"/>
        <w:pageBreakBefore w:val="0"/>
        <w:widowControl w:val="0"/>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专项资金存在结余。办案业务费项目</w:t>
      </w:r>
      <w:r>
        <w:rPr>
          <w:rFonts w:hint="eastAsia" w:ascii="仿宋_GB2312" w:hAnsi="仿宋_GB2312" w:eastAsia="仿宋_GB2312" w:cs="仿宋_GB2312"/>
          <w:sz w:val="32"/>
          <w:szCs w:val="32"/>
          <w:lang w:eastAsia="zh-CN"/>
        </w:rPr>
        <w:t>全年预算4,510.73万元，</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lang w:eastAsia="zh-CN"/>
        </w:rPr>
        <w:t>上年结转</w:t>
      </w:r>
      <w:r>
        <w:rPr>
          <w:rFonts w:hint="eastAsia" w:ascii="仿宋_GB2312" w:hAnsi="仿宋_GB2312" w:eastAsia="仿宋_GB2312" w:cs="仿宋_GB2312"/>
          <w:sz w:val="32"/>
          <w:szCs w:val="32"/>
          <w:lang w:val="en-US" w:eastAsia="zh-CN"/>
        </w:rPr>
        <w:t>结余</w:t>
      </w:r>
      <w:r>
        <w:rPr>
          <w:rFonts w:hint="eastAsia" w:ascii="仿宋_GB2312" w:hAnsi="仿宋_GB2312" w:eastAsia="仿宋_GB2312" w:cs="仿宋_GB2312"/>
          <w:sz w:val="32"/>
          <w:szCs w:val="32"/>
          <w:lang w:eastAsia="zh-CN"/>
        </w:rPr>
        <w:t>资金1,260.73万元，当年财政拨款3,250.00万元，</w:t>
      </w:r>
      <w:r>
        <w:rPr>
          <w:rFonts w:hint="eastAsia" w:ascii="仿宋_GB2312" w:hAnsi="仿宋_GB2312" w:eastAsia="仿宋_GB2312" w:cs="仿宋_GB2312"/>
          <w:sz w:val="32"/>
          <w:szCs w:val="32"/>
          <w:lang w:val="en-US" w:eastAsia="zh-CN"/>
        </w:rPr>
        <w:t>截至2023年12月31日，实际支出</w:t>
      </w:r>
      <w:r>
        <w:rPr>
          <w:rFonts w:hint="eastAsia" w:ascii="仿宋_GB2312" w:hAnsi="仿宋_GB2312" w:eastAsia="仿宋_GB2312" w:cs="仿宋_GB2312"/>
          <w:sz w:val="32"/>
          <w:szCs w:val="32"/>
          <w:lang w:eastAsia="zh-CN"/>
        </w:rPr>
        <w:t>4,166.71万元，</w:t>
      </w:r>
      <w:r>
        <w:rPr>
          <w:rFonts w:hint="eastAsia" w:ascii="仿宋_GB2312" w:hAnsi="仿宋_GB2312" w:eastAsia="仿宋_GB2312" w:cs="仿宋_GB2312"/>
          <w:sz w:val="32"/>
          <w:szCs w:val="32"/>
          <w:highlight w:val="none"/>
          <w:lang w:val="en-US" w:eastAsia="zh-CN"/>
        </w:rPr>
        <w:t>年末结转结余资金344.02万元。</w:t>
      </w:r>
    </w:p>
    <w:p w14:paraId="7C6F58A9">
      <w:pPr>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Style w:val="31"/>
          <w:rFonts w:hint="default" w:ascii="楷体" w:hAnsi="楷体" w:eastAsia="楷体" w:cs="楷体"/>
          <w:szCs w:val="32"/>
          <w:highlight w:val="none"/>
          <w:lang w:val="en-US" w:eastAsia="zh-CN"/>
        </w:rPr>
      </w:pPr>
      <w:bookmarkStart w:id="161" w:name="_Toc2419"/>
      <w:r>
        <w:rPr>
          <w:rStyle w:val="31"/>
          <w:rFonts w:hint="eastAsia" w:ascii="楷体" w:hAnsi="楷体" w:eastAsia="楷体" w:cs="楷体"/>
          <w:szCs w:val="32"/>
          <w:highlight w:val="none"/>
          <w:lang w:val="en-US" w:eastAsia="zh-CN"/>
        </w:rPr>
        <w:t>（二）</w:t>
      </w:r>
      <w:r>
        <w:rPr>
          <w:rStyle w:val="31"/>
          <w:rFonts w:hint="eastAsia" w:ascii="楷体" w:hAnsi="楷体" w:eastAsia="楷体" w:cs="楷体"/>
          <w:szCs w:val="32"/>
          <w:highlight w:val="none"/>
        </w:rPr>
        <w:t>制度执行有效性</w:t>
      </w:r>
      <w:r>
        <w:rPr>
          <w:rStyle w:val="31"/>
          <w:rFonts w:hint="eastAsia" w:ascii="楷体" w:hAnsi="楷体" w:eastAsia="楷体" w:cs="楷体"/>
          <w:szCs w:val="32"/>
          <w:highlight w:val="none"/>
          <w:lang w:val="en-US" w:eastAsia="zh-CN"/>
        </w:rPr>
        <w:t>有待进一步提升</w:t>
      </w:r>
      <w:bookmarkEnd w:id="161"/>
    </w:p>
    <w:p w14:paraId="55C34536">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经查验</w:t>
      </w:r>
      <w:r>
        <w:rPr>
          <w:rFonts w:hint="eastAsia" w:ascii="仿宋_GB2312" w:hAnsi="仿宋_GB2312" w:eastAsia="仿宋_GB2312" w:cs="仿宋_GB2312"/>
          <w:sz w:val="32"/>
          <w:szCs w:val="32"/>
          <w:highlight w:val="none"/>
          <w:lang w:val="en-US" w:eastAsia="zh-CN"/>
        </w:rPr>
        <w:t>甘肃省高级人民法院办案业务费项目</w:t>
      </w:r>
      <w:r>
        <w:rPr>
          <w:rFonts w:hint="eastAsia" w:ascii="仿宋_GB2312" w:hAnsi="仿宋_GB2312" w:eastAsia="仿宋_GB2312" w:cs="仿宋_GB2312"/>
          <w:kern w:val="2"/>
          <w:sz w:val="32"/>
          <w:szCs w:val="32"/>
          <w:highlight w:val="none"/>
          <w:lang w:val="en-US" w:eastAsia="zh-CN" w:bidi="ar-SA"/>
        </w:rPr>
        <w:t>相关合同协议、会计凭证等资料，存在验收不规范的问题，例如2023年2月145号记账凭证，报1月份</w:t>
      </w:r>
      <w:r>
        <w:rPr>
          <w:rFonts w:hint="eastAsia" w:ascii="仿宋_GB2312" w:hAnsi="仿宋_GB2312" w:eastAsia="仿宋_GB2312" w:cs="仿宋_GB2312"/>
          <w:sz w:val="32"/>
          <w:szCs w:val="32"/>
          <w:highlight w:val="none"/>
          <w:lang w:val="en-US" w:eastAsia="zh-CN"/>
        </w:rPr>
        <w:t>车辆维修费，报销金额：179,145.00元，项目验收单甘肃省高级人民法院和甘肃华晨科贸有限公司西固汽车服务站均未加盖公章，未签订验收日期；甘肃华晨科贸有限公司西固汽车服务站验收单未签字，加盖发票专用章。</w:t>
      </w:r>
      <w:r>
        <w:rPr>
          <w:rFonts w:hint="eastAsia" w:ascii="仿宋_GB2312" w:hAnsi="仿宋_GB2312" w:eastAsia="仿宋_GB2312" w:cs="仿宋_GB2312"/>
          <w:kern w:val="2"/>
          <w:sz w:val="32"/>
          <w:szCs w:val="32"/>
          <w:highlight w:val="none"/>
          <w:lang w:val="en-US" w:eastAsia="zh-CN" w:bidi="ar-SA"/>
        </w:rPr>
        <w:t>履约验收程序有待进一步规范，不符合《甘肃省财政厅、甘肃省高级人民法院、甘肃省人民检察院〈关于甘肃省省以下地方法院检察院政府采购活动有关事项〉的通知》（甘财采〔2018〕12号）相关采购管理规定。</w:t>
      </w:r>
    </w:p>
    <w:p w14:paraId="2F6649AE">
      <w:pPr>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Style w:val="31"/>
          <w:rFonts w:hint="default" w:ascii="楷体" w:hAnsi="楷体" w:eastAsia="楷体" w:cs="楷体"/>
          <w:szCs w:val="32"/>
          <w:highlight w:val="none"/>
          <w:lang w:val="en-US" w:eastAsia="zh-CN"/>
        </w:rPr>
      </w:pPr>
      <w:bookmarkStart w:id="162" w:name="_Toc14084"/>
      <w:r>
        <w:rPr>
          <w:rStyle w:val="31"/>
          <w:rFonts w:hint="eastAsia" w:ascii="楷体" w:hAnsi="楷体" w:eastAsia="楷体" w:cs="楷体"/>
          <w:szCs w:val="32"/>
          <w:highlight w:val="none"/>
        </w:rPr>
        <w:t>（</w:t>
      </w:r>
      <w:r>
        <w:rPr>
          <w:rStyle w:val="31"/>
          <w:rFonts w:hint="eastAsia" w:ascii="楷体" w:hAnsi="楷体" w:eastAsia="楷体" w:cs="楷体"/>
          <w:szCs w:val="32"/>
          <w:highlight w:val="none"/>
          <w:lang w:val="en-US" w:eastAsia="zh-CN"/>
        </w:rPr>
        <w:t>三</w:t>
      </w:r>
      <w:r>
        <w:rPr>
          <w:rStyle w:val="31"/>
          <w:rFonts w:hint="eastAsia" w:ascii="楷体" w:hAnsi="楷体" w:eastAsia="楷体" w:cs="楷体"/>
          <w:szCs w:val="32"/>
          <w:highlight w:val="none"/>
        </w:rPr>
        <w:t>）</w:t>
      </w:r>
      <w:r>
        <w:rPr>
          <w:rStyle w:val="31"/>
          <w:rFonts w:hint="eastAsia" w:ascii="楷体" w:hAnsi="楷体" w:eastAsia="楷体" w:cs="楷体"/>
          <w:szCs w:val="32"/>
          <w:highlight w:val="none"/>
          <w:lang w:val="en-US" w:eastAsia="zh-CN"/>
        </w:rPr>
        <w:t>项目绩效管理有待规范</w:t>
      </w:r>
      <w:bookmarkEnd w:id="162"/>
    </w:p>
    <w:p w14:paraId="0EF9FD62">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经评价组核查甘肃省高级人民法院机关及9家直属法院填报的《办案业务费项目支出绩效自评表》发现，兰州铁路运输法院办案办公设备采购数量年度指标值1套，绩效自评实际完成值填写为99套；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白龙江林区法院、武威铁路运输法院、洮河林区法院行政案件结案率实际完成值均为0</w:t>
      </w:r>
      <w:r>
        <w:rPr>
          <w:rFonts w:hint="eastAsia" w:ascii="仿宋_GB2312" w:hAnsi="仿宋_GB2312" w:eastAsia="仿宋_GB2312" w:cs="仿宋_GB2312"/>
          <w:sz w:val="32"/>
          <w:szCs w:val="32"/>
          <w:highlight w:val="none"/>
          <w:lang w:val="en-US" w:eastAsia="zh-CN"/>
        </w:rPr>
        <w:t>；甘肃省林区中级人民法院、兰州铁路运输法院设备采购不及时，以上法院的绩效自评质量有待提升。</w:t>
      </w:r>
    </w:p>
    <w:p w14:paraId="0216EF83">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ascii="黑体" w:hAnsi="黑体" w:eastAsia="黑体" w:cs="仿宋"/>
          <w:highlight w:val="none"/>
        </w:rPr>
      </w:pPr>
      <w:bookmarkStart w:id="163" w:name="_Toc31225"/>
      <w:r>
        <w:rPr>
          <w:rFonts w:hint="eastAsia" w:ascii="黑体" w:hAnsi="黑体" w:eastAsia="黑体" w:cs="仿宋"/>
          <w:highlight w:val="none"/>
        </w:rPr>
        <w:t>八、有关建议</w:t>
      </w:r>
      <w:bookmarkEnd w:id="159"/>
      <w:bookmarkEnd w:id="160"/>
      <w:bookmarkEnd w:id="163"/>
    </w:p>
    <w:p w14:paraId="0379D79A">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1"/>
          <w:rFonts w:ascii="楷体" w:hAnsi="楷体" w:eastAsia="楷体" w:cs="楷体"/>
          <w:szCs w:val="32"/>
          <w:highlight w:val="none"/>
        </w:rPr>
      </w:pPr>
      <w:bookmarkStart w:id="164" w:name="_Toc4115"/>
      <w:bookmarkStart w:id="165" w:name="_Toc8653"/>
      <w:bookmarkStart w:id="166" w:name="_Toc14765"/>
      <w:r>
        <w:rPr>
          <w:rStyle w:val="31"/>
          <w:rFonts w:hint="eastAsia" w:ascii="仿宋_GB2312" w:hAnsi="仿宋_GB2312" w:eastAsia="仿宋_GB2312" w:cs="仿宋_GB2312"/>
          <w:b/>
          <w:bCs w:val="0"/>
          <w:szCs w:val="32"/>
          <w:highlight w:val="none"/>
        </w:rPr>
        <w:t>（一）</w:t>
      </w:r>
      <w:r>
        <w:rPr>
          <w:rStyle w:val="31"/>
          <w:rFonts w:hint="eastAsia" w:ascii="楷体" w:hAnsi="楷体" w:eastAsia="楷体" w:cs="楷体"/>
          <w:szCs w:val="32"/>
          <w:highlight w:val="none"/>
        </w:rPr>
        <w:t>细化预算编制，加快资金执行进度</w:t>
      </w:r>
      <w:bookmarkEnd w:id="164"/>
    </w:p>
    <w:p w14:paraId="72A72816">
      <w:pPr>
        <w:pStyle w:val="10"/>
        <w:keepNext w:val="0"/>
        <w:keepLines w:val="0"/>
        <w:pageBreakBefore w:val="0"/>
        <w:widowControl w:val="0"/>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是加强预算编制的前瞻性，按照《预算法》及其实施条例的相关规定、政策规定及项目的实施计划，结合上一年度预算执行情况和本年度预算收支变化因素，科学、合理地编制项目预算。二是落实预算执行分析，及时了解预算执行差异，合理调整、纠正预算执行偏差，切实提高部门预算收支管理水平。</w:t>
      </w:r>
    </w:p>
    <w:p w14:paraId="6CF2EAC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Style w:val="31"/>
          <w:rFonts w:hint="eastAsia" w:ascii="仿宋_GB2312" w:hAnsi="仿宋_GB2312" w:eastAsia="仿宋_GB2312" w:cs="仿宋_GB2312"/>
          <w:b/>
          <w:bCs w:val="0"/>
          <w:szCs w:val="32"/>
          <w:highlight w:val="none"/>
        </w:rPr>
      </w:pPr>
      <w:bookmarkStart w:id="167" w:name="_Toc11018"/>
      <w:r>
        <w:rPr>
          <w:rStyle w:val="31"/>
          <w:rFonts w:hint="eastAsia" w:ascii="仿宋_GB2312" w:hAnsi="仿宋_GB2312" w:eastAsia="仿宋_GB2312" w:cs="仿宋_GB2312"/>
          <w:b/>
          <w:bCs w:val="0"/>
          <w:szCs w:val="32"/>
          <w:highlight w:val="none"/>
        </w:rPr>
        <w:t>（</w:t>
      </w:r>
      <w:r>
        <w:rPr>
          <w:rStyle w:val="31"/>
          <w:rFonts w:hint="eastAsia" w:ascii="仿宋_GB2312" w:hAnsi="仿宋_GB2312" w:eastAsia="仿宋_GB2312" w:cs="仿宋_GB2312"/>
          <w:b/>
          <w:bCs w:val="0"/>
          <w:szCs w:val="32"/>
          <w:highlight w:val="none"/>
          <w:lang w:val="en-US" w:eastAsia="zh-CN"/>
        </w:rPr>
        <w:t>二</w:t>
      </w:r>
      <w:r>
        <w:rPr>
          <w:rStyle w:val="31"/>
          <w:rFonts w:hint="eastAsia" w:ascii="仿宋_GB2312" w:hAnsi="仿宋_GB2312" w:eastAsia="仿宋_GB2312" w:cs="仿宋_GB2312"/>
          <w:b/>
          <w:bCs w:val="0"/>
          <w:szCs w:val="32"/>
          <w:highlight w:val="none"/>
        </w:rPr>
        <w:t>）</w:t>
      </w:r>
      <w:r>
        <w:rPr>
          <w:rStyle w:val="31"/>
          <w:rFonts w:hint="eastAsia" w:ascii="楷体" w:hAnsi="楷体" w:eastAsia="楷体" w:cs="楷体"/>
          <w:szCs w:val="32"/>
          <w:highlight w:val="none"/>
          <w:lang w:val="en-US" w:eastAsia="zh-CN"/>
        </w:rPr>
        <w:t>加强履约验收环节的控制</w:t>
      </w:r>
      <w:bookmarkEnd w:id="167"/>
    </w:p>
    <w:p w14:paraId="4B0B6A15">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一是采购合同中增加验收要求。合同签订前</w:t>
      </w:r>
      <w:r>
        <w:rPr>
          <w:rFonts w:hint="eastAsia" w:ascii="仿宋_GB2312" w:hAnsi="仿宋_GB2312" w:eastAsia="仿宋_GB2312" w:cs="仿宋_GB2312"/>
          <w:highlight w:val="none"/>
          <w:lang w:val="en-US" w:eastAsia="zh-CN"/>
        </w:rPr>
        <w:t>应该对项目的验收</w:t>
      </w:r>
      <w:r>
        <w:rPr>
          <w:rFonts w:hint="eastAsia" w:ascii="仿宋_GB2312" w:hAnsi="仿宋_GB2312" w:cs="仿宋_GB2312"/>
          <w:highlight w:val="none"/>
          <w:lang w:val="en-US" w:eastAsia="zh-CN"/>
        </w:rPr>
        <w:t>方式</w:t>
      </w:r>
      <w:r>
        <w:rPr>
          <w:rFonts w:hint="eastAsia" w:ascii="仿宋_GB2312" w:hAnsi="仿宋_GB2312" w:eastAsia="仿宋_GB2312" w:cs="仿宋_GB2312"/>
          <w:highlight w:val="none"/>
          <w:lang w:val="en-US" w:eastAsia="zh-CN"/>
        </w:rPr>
        <w:t>、验收程序、违约处理等</w:t>
      </w:r>
      <w:r>
        <w:rPr>
          <w:rFonts w:hint="eastAsia" w:ascii="仿宋_GB2312" w:hAnsi="仿宋_GB2312" w:cs="仿宋_GB2312"/>
          <w:highlight w:val="none"/>
          <w:lang w:val="en-US" w:eastAsia="zh-CN"/>
        </w:rPr>
        <w:t>在合同中</w:t>
      </w:r>
      <w:r>
        <w:rPr>
          <w:rFonts w:hint="eastAsia" w:ascii="仿宋_GB2312" w:hAnsi="仿宋_GB2312" w:eastAsia="仿宋_GB2312" w:cs="仿宋_GB2312"/>
          <w:highlight w:val="none"/>
          <w:lang w:val="en-US" w:eastAsia="zh-CN"/>
        </w:rPr>
        <w:t>进行详细约定</w:t>
      </w:r>
      <w:r>
        <w:rPr>
          <w:rFonts w:hint="eastAsia" w:ascii="仿宋_GB2312" w:hAnsi="仿宋_GB2312" w:cs="仿宋_GB2312"/>
          <w:highlight w:val="none"/>
          <w:lang w:val="en-US" w:eastAsia="zh-CN"/>
        </w:rPr>
        <w:t>。二是完善履约验收流程。维修项目完成后采购方应组织相关工作人员组成验收组，对供应商</w:t>
      </w:r>
      <w:r>
        <w:rPr>
          <w:rFonts w:hint="eastAsia" w:ascii="仿宋_GB2312" w:hAnsi="仿宋_GB2312" w:eastAsia="仿宋_GB2312" w:cs="仿宋_GB2312"/>
          <w:highlight w:val="none"/>
          <w:lang w:val="en-US" w:eastAsia="zh-CN"/>
        </w:rPr>
        <w:t>实际向采购人提供的货物或者服务是否符合其</w:t>
      </w:r>
      <w:r>
        <w:rPr>
          <w:rFonts w:hint="eastAsia" w:ascii="仿宋_GB2312" w:hAnsi="仿宋_GB2312" w:cs="仿宋_GB2312"/>
          <w:highlight w:val="none"/>
          <w:lang w:val="en-US" w:eastAsia="zh-CN"/>
        </w:rPr>
        <w:t>采购人的要求、</w:t>
      </w:r>
      <w:r>
        <w:rPr>
          <w:rFonts w:hint="eastAsia" w:ascii="仿宋_GB2312" w:hAnsi="仿宋_GB2312" w:eastAsia="仿宋_GB2312" w:cs="仿宋_GB2312"/>
          <w:highlight w:val="none"/>
          <w:lang w:val="en-US" w:eastAsia="zh-CN"/>
        </w:rPr>
        <w:t>是否符合合同约定</w:t>
      </w:r>
      <w:r>
        <w:rPr>
          <w:rFonts w:hint="eastAsia" w:ascii="仿宋_GB2312" w:hAnsi="仿宋_GB2312" w:cs="仿宋_GB2312"/>
          <w:highlight w:val="none"/>
          <w:lang w:val="en-US" w:eastAsia="zh-CN"/>
        </w:rPr>
        <w:t>等进行验收</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并留存纸质验收单，在</w:t>
      </w:r>
      <w:r>
        <w:rPr>
          <w:rFonts w:hint="eastAsia" w:ascii="仿宋_GB2312" w:hAnsi="仿宋_GB2312" w:eastAsia="仿宋_GB2312" w:cs="仿宋_GB2312"/>
          <w:highlight w:val="none"/>
          <w:lang w:val="en-US" w:eastAsia="zh-CN"/>
        </w:rPr>
        <w:t>日常工作中，不断规范履约验收程序，健全运行机制，确保政府采购效果落到实处。</w:t>
      </w:r>
    </w:p>
    <w:p w14:paraId="5A9B359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Style w:val="31"/>
          <w:rFonts w:hint="eastAsia" w:ascii="仿宋_GB2312" w:hAnsi="仿宋_GB2312" w:eastAsia="仿宋_GB2312" w:cs="仿宋_GB2312"/>
          <w:b/>
          <w:bCs w:val="0"/>
          <w:szCs w:val="32"/>
          <w:highlight w:val="none"/>
        </w:rPr>
      </w:pPr>
      <w:bookmarkStart w:id="168" w:name="_Toc5058"/>
      <w:r>
        <w:rPr>
          <w:rStyle w:val="31"/>
          <w:rFonts w:hint="eastAsia" w:ascii="仿宋_GB2312" w:hAnsi="仿宋_GB2312" w:eastAsia="仿宋_GB2312" w:cs="仿宋_GB2312"/>
          <w:b/>
          <w:bCs w:val="0"/>
          <w:szCs w:val="32"/>
          <w:highlight w:val="none"/>
        </w:rPr>
        <w:t>（</w:t>
      </w:r>
      <w:r>
        <w:rPr>
          <w:rStyle w:val="31"/>
          <w:rFonts w:hint="eastAsia" w:ascii="仿宋_GB2312" w:hAnsi="仿宋_GB2312" w:eastAsia="仿宋_GB2312" w:cs="仿宋_GB2312"/>
          <w:b/>
          <w:bCs w:val="0"/>
          <w:szCs w:val="32"/>
          <w:highlight w:val="none"/>
          <w:lang w:val="en-US" w:eastAsia="zh-CN"/>
        </w:rPr>
        <w:t>三</w:t>
      </w:r>
      <w:r>
        <w:rPr>
          <w:rStyle w:val="31"/>
          <w:rFonts w:hint="eastAsia" w:ascii="仿宋_GB2312" w:hAnsi="仿宋_GB2312" w:eastAsia="仿宋_GB2312" w:cs="仿宋_GB2312"/>
          <w:b/>
          <w:bCs w:val="0"/>
          <w:szCs w:val="32"/>
          <w:highlight w:val="none"/>
        </w:rPr>
        <w:t>）</w:t>
      </w:r>
      <w:r>
        <w:rPr>
          <w:rStyle w:val="31"/>
          <w:rFonts w:hint="eastAsia" w:ascii="楷体" w:hAnsi="楷体" w:eastAsia="楷体" w:cs="楷体"/>
          <w:szCs w:val="32"/>
          <w:highlight w:val="none"/>
        </w:rPr>
        <w:t>加强绩效管理，提高</w:t>
      </w:r>
      <w:r>
        <w:rPr>
          <w:rStyle w:val="31"/>
          <w:rFonts w:hint="eastAsia" w:ascii="楷体" w:hAnsi="楷体" w:eastAsia="楷体" w:cs="楷体"/>
          <w:szCs w:val="32"/>
          <w:highlight w:val="none"/>
          <w:lang w:val="en-US" w:eastAsia="zh-CN"/>
        </w:rPr>
        <w:t>资金使用效益</w:t>
      </w:r>
      <w:bookmarkEnd w:id="168"/>
    </w:p>
    <w:p w14:paraId="4374AAC2">
      <w:pPr>
        <w:pStyle w:val="10"/>
        <w:keepNext w:val="0"/>
        <w:keepLines w:val="0"/>
        <w:pageBreakBefore w:val="0"/>
        <w:widowControl w:val="0"/>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是加强项目管理，做好动态监控，对未达到目标值的指标重点分析，进一步提高工作效率和质量，提高工作能效，加快实施进度，强化精细管理，事前计划，事中控制，事后及时分析、总结。二是加强部门自评工作，根据实际情况对项目自评表进行填写，并完善项目自评报告，自评报告应包含项目实施情况、项目预算执行情况，项目存在问题及建议等，真实、准确地反映项目实际产出、效益及存在的问题。</w:t>
      </w:r>
    </w:p>
    <w:p w14:paraId="509D9BF7">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ascii="黑体" w:hAnsi="黑体" w:eastAsia="黑体" w:cs="仿宋"/>
          <w:highlight w:val="none"/>
        </w:rPr>
      </w:pPr>
      <w:bookmarkStart w:id="169" w:name="_Toc30828"/>
      <w:r>
        <w:rPr>
          <w:rFonts w:hint="eastAsia" w:ascii="黑体" w:hAnsi="黑体" w:eastAsia="黑体" w:cs="仿宋"/>
          <w:highlight w:val="none"/>
        </w:rPr>
        <w:t>九、需要说明的问题</w:t>
      </w:r>
      <w:bookmarkEnd w:id="165"/>
      <w:bookmarkEnd w:id="166"/>
      <w:bookmarkEnd w:id="169"/>
    </w:p>
    <w:p w14:paraId="589970BF">
      <w:pPr>
        <w:pStyle w:val="9"/>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highlight w:val="none"/>
        </w:rPr>
      </w:pPr>
      <w:r>
        <w:rPr>
          <w:rFonts w:hint="eastAsia" w:ascii="仿宋_GB2312" w:hAnsi="仿宋_GB2312" w:cs="仿宋_GB2312"/>
          <w:highlight w:val="none"/>
        </w:rPr>
        <w:t>无。</w:t>
      </w:r>
      <w:bookmarkStart w:id="170" w:name="_Toc28005"/>
    </w:p>
    <w:p w14:paraId="2C9BEBA9">
      <w:pPr>
        <w:rPr>
          <w:rFonts w:hint="eastAsia" w:ascii="仿宋_GB2312" w:hAnsi="仿宋_GB2312" w:cs="仿宋_GB2312"/>
          <w:highlight w:val="none"/>
        </w:rPr>
      </w:pPr>
      <w:r>
        <w:rPr>
          <w:rFonts w:hint="eastAsia" w:ascii="仿宋_GB2312" w:hAnsi="仿宋_GB2312" w:cs="仿宋_GB2312"/>
          <w:highlight w:val="none"/>
        </w:rPr>
        <w:br w:type="page"/>
      </w:r>
    </w:p>
    <w:p w14:paraId="1DF511FE">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此页无正文</w:t>
      </w:r>
      <w:r>
        <w:rPr>
          <w:rFonts w:hint="eastAsia" w:ascii="仿宋_GB2312" w:hAnsi="仿宋_GB2312" w:cs="仿宋_GB2312"/>
          <w:highlight w:val="none"/>
          <w:lang w:eastAsia="zh-CN"/>
        </w:rPr>
        <w:t>）</w:t>
      </w:r>
    </w:p>
    <w:p w14:paraId="415CFB08">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hint="eastAsia" w:ascii="仿宋_GB2312" w:hAnsi="仿宋_GB2312" w:cs="仿宋_GB2312"/>
          <w:highlight w:val="none"/>
        </w:rPr>
      </w:pPr>
    </w:p>
    <w:p w14:paraId="2FB2C130">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left"/>
        <w:textAlignment w:val="auto"/>
        <w:rPr>
          <w:rFonts w:ascii="仿宋_GB2312" w:hAnsi="仿宋_GB2312" w:cs="仿宋_GB2312"/>
          <w:highlight w:val="none"/>
        </w:rPr>
      </w:pPr>
      <w:r>
        <w:rPr>
          <w:rFonts w:hint="eastAsia" w:ascii="仿宋_GB2312" w:hAnsi="仿宋_GB2312" w:cs="仿宋_GB2312"/>
          <w:highlight w:val="none"/>
        </w:rPr>
        <w:t>附件：</w:t>
      </w:r>
    </w:p>
    <w:p w14:paraId="54718431">
      <w:pPr>
        <w:pStyle w:val="9"/>
        <w:overflowPunct w:val="0"/>
        <w:spacing w:line="560" w:lineRule="exact"/>
        <w:ind w:firstLine="1280" w:firstLineChars="400"/>
        <w:rPr>
          <w:rFonts w:ascii="仿宋_GB2312" w:hAnsi="仿宋_GB2312" w:cs="仿宋_GB2312"/>
          <w:highlight w:val="none"/>
        </w:rPr>
      </w:pPr>
      <w:r>
        <w:rPr>
          <w:rFonts w:hint="eastAsia" w:ascii="仿宋_GB2312" w:hAnsi="仿宋_GB2312" w:cs="仿宋_GB2312"/>
          <w:highlight w:val="none"/>
        </w:rPr>
        <w:t>1.</w:t>
      </w:r>
      <w:bookmarkEnd w:id="170"/>
      <w:r>
        <w:rPr>
          <w:rFonts w:hint="eastAsia" w:ascii="仿宋_GB2312" w:hAnsi="仿宋_GB2312" w:cs="仿宋_GB2312"/>
          <w:highlight w:val="none"/>
          <w:lang w:eastAsia="zh-CN"/>
        </w:rPr>
        <w:t>办案业务费</w:t>
      </w:r>
      <w:r>
        <w:rPr>
          <w:rFonts w:hint="eastAsia" w:ascii="仿宋_GB2312" w:hAnsi="仿宋_GB2312" w:cs="仿宋_GB2312"/>
          <w:highlight w:val="none"/>
        </w:rPr>
        <w:t>项目支出绩效评价评分表</w:t>
      </w:r>
    </w:p>
    <w:p w14:paraId="0D5E012A">
      <w:pPr>
        <w:pStyle w:val="9"/>
        <w:overflowPunct w:val="0"/>
        <w:spacing w:line="560" w:lineRule="exact"/>
        <w:ind w:firstLine="1280" w:firstLineChars="400"/>
        <w:rPr>
          <w:rFonts w:ascii="仿宋_GB2312" w:hAnsi="仿宋_GB2312" w:cs="仿宋_GB2312"/>
          <w:highlight w:val="none"/>
        </w:rPr>
      </w:pPr>
      <w:bookmarkStart w:id="171" w:name="_Toc15958"/>
      <w:r>
        <w:rPr>
          <w:rFonts w:hint="eastAsia" w:ascii="仿宋_GB2312" w:hAnsi="仿宋_GB2312" w:cs="仿宋_GB2312"/>
          <w:highlight w:val="none"/>
        </w:rPr>
        <w:t>2.</w:t>
      </w:r>
      <w:r>
        <w:rPr>
          <w:rFonts w:hint="eastAsia" w:ascii="仿宋_GB2312" w:hAnsi="仿宋_GB2312" w:cs="仿宋_GB2312"/>
          <w:highlight w:val="none"/>
          <w:lang w:eastAsia="zh-CN"/>
        </w:rPr>
        <w:t>办案业务费</w:t>
      </w:r>
      <w:r>
        <w:rPr>
          <w:rFonts w:hint="eastAsia" w:ascii="仿宋_GB2312" w:hAnsi="仿宋_GB2312" w:cs="仿宋_GB2312"/>
          <w:highlight w:val="none"/>
        </w:rPr>
        <w:t>项目问题清单</w:t>
      </w:r>
    </w:p>
    <w:bookmarkEnd w:id="171"/>
    <w:p w14:paraId="26541027">
      <w:pPr>
        <w:pStyle w:val="15"/>
        <w:overflowPunct w:val="0"/>
        <w:rPr>
          <w:rFonts w:ascii="仿宋" w:hAnsi="仿宋" w:eastAsia="仿宋" w:cs="仿宋"/>
          <w:sz w:val="32"/>
          <w:szCs w:val="32"/>
          <w:highlight w:val="none"/>
        </w:rPr>
      </w:pPr>
    </w:p>
    <w:p w14:paraId="2F7A1AB0">
      <w:pPr>
        <w:pStyle w:val="15"/>
        <w:overflowPunct w:val="0"/>
        <w:rPr>
          <w:rFonts w:ascii="仿宋_GB2312" w:hAnsi="仿宋_GB2312" w:eastAsia="仿宋_GB2312" w:cs="仿宋_GB2312"/>
          <w:sz w:val="32"/>
          <w:szCs w:val="32"/>
          <w:highlight w:val="none"/>
        </w:rPr>
      </w:pPr>
    </w:p>
    <w:p w14:paraId="286EA940">
      <w:pPr>
        <w:pStyle w:val="15"/>
        <w:overflowPunct w:val="0"/>
        <w:rPr>
          <w:rFonts w:ascii="仿宋_GB2312" w:hAnsi="仿宋_GB2312" w:eastAsia="仿宋_GB2312" w:cs="仿宋_GB2312"/>
          <w:sz w:val="32"/>
          <w:szCs w:val="32"/>
          <w:highlight w:val="none"/>
        </w:rPr>
      </w:pPr>
    </w:p>
    <w:p w14:paraId="11865081">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6CCA4F2F">
      <w:pPr>
        <w:pStyle w:val="15"/>
        <w:overflowPunct w:val="0"/>
        <w:rPr>
          <w:rFonts w:ascii="仿宋_GB2312" w:hAnsi="仿宋_GB2312" w:eastAsia="仿宋_GB2312" w:cs="仿宋_GB2312"/>
          <w:sz w:val="32"/>
          <w:szCs w:val="32"/>
          <w:highlight w:val="none"/>
        </w:rPr>
      </w:pPr>
    </w:p>
    <w:p w14:paraId="1C45FCB3">
      <w:pPr>
        <w:pStyle w:val="15"/>
        <w:overflowPunct w:val="0"/>
        <w:rPr>
          <w:rFonts w:ascii="仿宋_GB2312" w:hAnsi="仿宋_GB2312" w:eastAsia="仿宋_GB2312" w:cs="仿宋_GB2312"/>
          <w:sz w:val="32"/>
          <w:szCs w:val="32"/>
          <w:highlight w:val="none"/>
        </w:rPr>
      </w:pPr>
    </w:p>
    <w:p w14:paraId="640E8174">
      <w:pPr>
        <w:pStyle w:val="15"/>
        <w:overflowPunct w:val="0"/>
        <w:rPr>
          <w:rFonts w:ascii="仿宋_GB2312" w:hAnsi="仿宋_GB2312" w:eastAsia="仿宋_GB2312" w:cs="仿宋_GB2312"/>
          <w:sz w:val="32"/>
          <w:szCs w:val="32"/>
          <w:highlight w:val="none"/>
        </w:rPr>
      </w:pPr>
    </w:p>
    <w:p w14:paraId="6ABAF6AE">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甘肃卓诚财务咨询有限公司</w:t>
      </w:r>
    </w:p>
    <w:p w14:paraId="3620BEC1">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27332DD5">
      <w:pPr>
        <w:pStyle w:val="15"/>
        <w:overflowPunct w:val="0"/>
        <w:ind w:firstLine="5120" w:firstLineChars="16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31日</w:t>
      </w:r>
    </w:p>
    <w:sectPr>
      <w:headerReference r:id="rId12" w:type="first"/>
      <w:footerReference r:id="rId14" w:type="first"/>
      <w:footerReference r:id="rId13" w:type="default"/>
      <w:pgSz w:w="11906" w:h="16838"/>
      <w:pgMar w:top="1440" w:right="1803" w:bottom="1383" w:left="1633" w:header="851" w:footer="992" w:gutter="0"/>
      <w:pgBorders>
        <w:top w:val="none" w:sz="0" w:space="0"/>
        <w:left w:val="none" w:sz="0" w:space="0"/>
        <w:bottom w:val="none" w:sz="0" w:space="0"/>
        <w:right w:val="none" w:sz="0" w:space="0"/>
      </w:pgBorders>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19E65B-CFA3-4962-94D8-BB82DCF216D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2F1F1E41-0B50-4C58-9410-1347DA3F4E64}"/>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05DF7673-B0E9-465F-AF0E-22E5FCD3511C}"/>
  </w:font>
  <w:font w:name="方正小标宋简体">
    <w:panose1 w:val="02000000000000000000"/>
    <w:charset w:val="86"/>
    <w:family w:val="script"/>
    <w:pitch w:val="default"/>
    <w:sig w:usb0="00000001" w:usb1="08000000" w:usb2="00000000" w:usb3="00000000" w:csb0="00040000" w:csb1="00000000"/>
    <w:embedRegular r:id="rId4" w:fontKey="{A708F353-A890-403A-8F31-44BBB50AC68E}"/>
  </w:font>
  <w:font w:name="楷体">
    <w:panose1 w:val="02010609060101010101"/>
    <w:charset w:val="86"/>
    <w:family w:val="modern"/>
    <w:pitch w:val="default"/>
    <w:sig w:usb0="800002BF" w:usb1="38CF7CFA" w:usb2="00000016" w:usb3="00000000" w:csb0="00040001" w:csb1="00000000"/>
    <w:embedRegular r:id="rId5" w:fontKey="{73C52EFE-6286-4B8A-8DFD-66711D10D8EC}"/>
  </w:font>
  <w:font w:name="微软雅黑">
    <w:panose1 w:val="020B0503020204020204"/>
    <w:charset w:val="86"/>
    <w:family w:val="auto"/>
    <w:pitch w:val="default"/>
    <w:sig w:usb0="80000287" w:usb1="2ACF3C50" w:usb2="00000016" w:usb3="00000000" w:csb0="0004001F" w:csb1="00000000"/>
    <w:embedRegular r:id="rId6" w:fontKey="{7F8F6991-CD1A-443E-9B1F-851DB3C61B88}"/>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A86D6">
    <w:pPr>
      <w:pStyle w:val="10"/>
    </w:pPr>
    <w:r>
      <w:rPr>
        <w:rFonts w:hint="eastAsia" w:ascii="黑体" w:hAnsi="黑体" w:eastAsia="黑体" w:cs="黑体"/>
      </w:rPr>
      <w:t>地址：甘肃省兰州市城关区南滨河东路5148号名城广场1栋1单元20层2016室       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45C31">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44128264">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551FB">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4D959E13">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5260C">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333B7371">
    <w:pPr>
      <w:pStyle w:val="10"/>
    </w:pPr>
    <w:r>
      <mc:AlternateContent>
        <mc:Choice Requires="wps">
          <w:drawing>
            <wp:anchor distT="0" distB="0" distL="114300" distR="114300" simplePos="0" relativeHeight="251659264" behindDoc="0" locked="0" layoutInCell="1" allowOverlap="1">
              <wp:simplePos x="0" y="0"/>
              <wp:positionH relativeFrom="margin">
                <wp:posOffset>2573020</wp:posOffset>
              </wp:positionH>
              <wp:positionV relativeFrom="paragraph">
                <wp:posOffset>114300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9B9F62">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6pt;margin-top:9pt;height:144pt;width:144pt;mso-position-horizontal-relative:margin;mso-wrap-style:none;z-index:251659264;mso-width-relative:page;mso-height-relative:page;" filled="f" stroked="f" coordsize="21600,21600" o:gfxdata="UEsDBAoAAAAAAIdO4kAAAAAAAAAAAAAAAAAEAAAAZHJzL1BLAwQUAAAACACHTuJAFe1ZgdcAAAAK&#10;AQAADwAAAGRycy9kb3ducmV2LnhtbE2PzU7DMBCE70i8g7VI3KjdpkRtiFOJinBEouHA0Y23ScA/&#10;ke2m4e1ZTvS4M59mZ8rdbA2bMMTBOwnLhQCGrvV6cJ2Ej6Z+2ACLSTmtjHco4Qcj7Krbm1IV2l/c&#10;O06H1DEKcbFQEvqUxoLz2PZoVVz4ER15Jx+sSnSGjuugLhRuDV8JkXOrBkcfejXivsf2+3C2EvZ1&#10;04QJYzCf+FpnX2/Pa3yZpby/W4onYAnn9A/DX32qDhV1Ovqz05EZCWvxuCKUjA1tIiDfZiQcJWQi&#10;F8Crkl9PqH4BUEsDBBQAAAAIAIdO4kCvY9gwLAIAAFUEAAAOAAAAZHJzL2Uyb0RvYy54bWytVM2O&#10;0zAQviPxDpbvNGlRV1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95O0/bC1QNwqZEjkugeG63Q&#10;7Jue2d7kZxBzpusMb/mmQvIt8+GBObQCHoxhCfdYCmmQxPQWJaVxX/91HuNRIXgpqdFaGdWYJErk&#10;B43KATAMhhuM/WDoo7oz6NUxhtDy1sQFF+RgFs6oL5igVcwBF9McmTIaBvMudO2NCeRitWqD0GuW&#10;ha3eWR6ho3jero4BAra6RlE6JXqt0G1tZfrJiO38576Nevob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e1ZgdcAAAAKAQAADwAAAAAAAAABACAAAAAiAAAAZHJzL2Rvd25yZXYueG1sUEsBAhQA&#10;FAAAAAgAh07iQK9j2DAsAgAAVQQAAA4AAAAAAAAAAQAgAAAAJgEAAGRycy9lMm9Eb2MueG1sUEsF&#10;BgAAAAAGAAYAWQEAAMQFAAAAAA==&#10;">
              <v:fill on="f" focussize="0,0"/>
              <v:stroke on="f" weight="0.5pt"/>
              <v:imagedata o:title=""/>
              <o:lock v:ext="edit" aspectratio="f"/>
              <v:textbox inset="0mm,0mm,0mm,0mm" style="mso-fit-shape-to-text:t;">
                <w:txbxContent>
                  <w:p w14:paraId="549B9F62">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40085">
    <w:pPr>
      <w:pStyle w:val="10"/>
      <w:pBdr>
        <w:top w:val="single" w:color="auto" w:sz="4" w:space="1"/>
        <w:left w:val="none" w:color="auto" w:sz="0" w:space="4"/>
        <w:bottom w:val="none" w:color="auto" w:sz="0" w:space="1"/>
        <w:right w:val="none" w:color="auto" w:sz="0" w:space="4"/>
      </w:pBdr>
      <w:spacing w:line="360" w:lineRule="auto"/>
      <w:jc w:val="both"/>
    </w:pPr>
    <w:r>
      <mc:AlternateContent>
        <mc:Choice Requires="wps">
          <w:drawing>
            <wp:anchor distT="0" distB="0" distL="114300" distR="114300" simplePos="0" relativeHeight="251660288"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F098FC">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0.55pt;margin-top:18.05pt;height:144pt;width:144pt;mso-position-horizontal-relative:margin;mso-wrap-style:none;z-index:251660288;mso-width-relative:page;mso-height-relative:page;" filled="f" stroked="f" coordsize="21600,21600" o:gfxdata="UEsDBAoAAAAAAIdO4kAAAAAAAAAAAAAAAAAEAAAAZHJzL1BLAwQUAAAACACHTuJA9GUTBNYAAAAK&#10;AQAADwAAAGRycy9kb3ducmV2LnhtbE2Py07DMBBF90j8gzVI7KjjNopKiFOJirBEomHB0o2nSYof&#10;ke2m4e8ZVrCa19W9Z6rdYg2bMcTROwlilQFD13k9ul7CR9s8bIHFpJxWxjuU8I0RdvXtTaVK7a/u&#10;HedD6hmZuFgqCUNKU8l57Aa0Kq78hI5uJx+sSjSGnuugrmRuDV9nWcGtGh0lDGrC/YDd1+FiJeyb&#10;tg0zxmA+8bXZnN+ec3xZpLy/E9kTsIRL+hPDLz6hQ01MR39xOjIjIc+EIKmETUGVBMX2kZojLda5&#10;AF5X/P8L9Q9QSwMEFAAAAAgAh07iQCbVWnMqAgAAVQQAAA4AAABkcnMvZTJvRG9jLnhtbK1UzY7T&#10;MBC+I/EOlu80bRFVVTVdla2KkCp2pQVxdh2nieQ/2W6T8gDwBpy4cOe5+hx8dpIuWjjsgYsz9oy/&#10;8ffNTJY3rZLkJJyvjc7pZDSmRGhuilofcvrp4/bVnBIfmC6YNFrk9Cw8vVm9fLFs7EJMTWVkIRwB&#10;iPaLxua0CsEusszzSijmR8YKDWdpnGIBW3fICscaoCuZTcfjWdYYV1hnuPAep5vOSXtE9xxAU5Y1&#10;FxvDj0ro0KE6IVkAJV/V1tNVem1ZCh7uytKLQGROwTSkFUlg7+OarZZscXDMVjXvn8Ce84QnnBSr&#10;NZJeoTYsMHJ09V9QqubOeFOGETcq64gkRcBiMn6izUPFrEhcILW3V9H9/4PlH073jtRFTmeUaKZQ&#10;8Mv3b5cfvy4/v5JZlKexfoGoB4u40L41LZpmOPc4jKzb0qn4BR8CP8Q9X8UVbSA8XppP5/MxXBy+&#10;YQP87PG6dT68E0aRaOTUoXpJVHba+dCFDiExmzbbWspUQalJAwqv34zThasH4FIjRyTRPTZaod23&#10;PbO9Kc4g5kzXGd7ybY3kO+bDPXNoBTwYwxLusJTSIInpLUoq47786zzGo0LwUtKgtXKqMUmUyPca&#10;lQNgGAw3GPvB0Ed1a9CrEwyh5cnEBRfkYJbOqM+YoHXMARfTHJlyGgbzNnTtjQnkYr1OQeg1y8JO&#10;P1geoaN43q6PAQImXaMonRK9Vui2VJl+MmI7/7lPUY9/g9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GUTBNYAAAAKAQAADwAAAAAAAAABACAAAAAiAAAAZHJzL2Rvd25yZXYueG1sUEsBAhQAFAAA&#10;AAgAh07iQCbVWnMqAgAAVQQAAA4AAAAAAAAAAQAgAAAAJQEAAGRycy9lMm9Eb2MueG1sUEsFBgAA&#10;AAAGAAYAWQEAAMEFAAAAAA==&#10;">
              <v:fill on="f" focussize="0,0"/>
              <v:stroke on="f" weight="0.5pt"/>
              <v:imagedata o:title=""/>
              <o:lock v:ext="edit" aspectratio="f"/>
              <v:textbox inset="0mm,0mm,0mm,0mm" style="mso-fit-shape-to-text:t;">
                <w:txbxContent>
                  <w:p w14:paraId="0AF098FC">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rPr>
      <w:t>地址：甘肃省兰州市城关区南滨河东路5148号名城广场1栋1单元20层2016室       电话：0931-2906259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74EF5">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7470A629">
    <w:pPr>
      <w:pStyle w:val="10"/>
    </w:pPr>
    <w:r>
      <mc:AlternateContent>
        <mc:Choice Requires="wps">
          <w:drawing>
            <wp:anchor distT="0" distB="0" distL="114300" distR="114300" simplePos="0" relativeHeight="251661312" behindDoc="0" locked="0" layoutInCell="1" allowOverlap="1">
              <wp:simplePos x="0" y="0"/>
              <wp:positionH relativeFrom="margin">
                <wp:posOffset>2573020</wp:posOffset>
              </wp:positionH>
              <wp:positionV relativeFrom="paragraph">
                <wp:posOffset>114300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0CB2A3">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6pt;margin-top:9pt;height:144pt;width:144pt;mso-position-horizontal-relative:margin;mso-wrap-style:none;z-index:251661312;mso-width-relative:page;mso-height-relative:page;" filled="f" stroked="f" coordsize="21600,21600" o:gfxdata="UEsDBAoAAAAAAIdO4kAAAAAAAAAAAAAAAAAEAAAAZHJzL1BLAwQUAAAACACHTuJAFe1ZgdcAAAAK&#10;AQAADwAAAGRycy9kb3ducmV2LnhtbE2PzU7DMBCE70i8g7VI3KjdpkRtiFOJinBEouHA0Y23ScA/&#10;ke2m4e1ZTvS4M59mZ8rdbA2bMMTBOwnLhQCGrvV6cJ2Ej6Z+2ACLSTmtjHco4Qcj7Krbm1IV2l/c&#10;O06H1DEKcbFQEvqUxoLz2PZoVVz4ER15Jx+sSnSGjuugLhRuDV8JkXOrBkcfejXivsf2+3C2EvZ1&#10;04QJYzCf+FpnX2/Pa3yZpby/W4onYAnn9A/DX32qDhV1Ovqz05EZCWvxuCKUjA1tIiDfZiQcJWQi&#10;F8Crkl9PqH4BUEsDBBQAAAAIAIdO4kBikIRMKwIAAFcEAAAOAAAAZHJzL2Uyb0RvYy54bWytVM2O&#10;0zAQviPxDpbvNG0Rq6pquipbFSFV7EoFcXYdp4nkP9luk/IA8AacuHDnufocfHaSLlo47IGLM/aM&#10;v5nvm3EWt62S5CScr43O6WQ0pkRobopaH3L66ePm1YwSH5gumDRa5PQsPL1dvnyxaOxcTE1lZCEc&#10;AYj288bmtArBzrPM80oo5kfGCg1naZxiAVt3yArHGqArmU3H45usMa6wznDhPU7XnZP2iO45gKYs&#10;ay7Whh+V0KFDdUKyAEq+qq2ny1RtWQoe7svSi0BkTsE0pBVJYO/jmi0XbH5wzFY170tgzynhCSfF&#10;ao2kV6g1C4wcXf0XlKq5M96UYcSNyjoiSRGwmIyfaLOrmBWJC6T29iq6/3+w/MPpwZG6wCRMKNFM&#10;oeOX798uP35dfn4lOINAjfVzxO0sIkP71rQIHs49DiPvtnQqfsGIwA95z1d5RRsIj5dm09lsDBeH&#10;b9gAP3u8bp0P74RRJBo5dehfkpWdtj50oUNIzKbNppYy9VBq0uT05vWbcbpw9QBcauSIJLpioxXa&#10;fdsz25viDGLOdLPhLd/USL5lPjwwh2FAwXgu4R5LKQ2SmN6ipDLuy7/OYzx6BC8lDYYrpxpviRL5&#10;XqN3AAyD4QZjPxj6qO4MphXtQC3JxAUX5GCWzqjPeEOrmAMupjky5TQM5l3oBhxvkIvVKgVh2iwL&#10;W72zPEJH8bxdHQMETLpGUToleq0wb6kz/duIA/3nPkU9/g+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V7VmB1wAAAAoBAAAPAAAAAAAAAAEAIAAAACIAAABkcnMvZG93bnJldi54bWxQSwECFAAU&#10;AAAACACHTuJAYpCETCsCAABXBAAADgAAAAAAAAABACAAAAAmAQAAZHJzL2Uyb0RvYy54bWxQSwUG&#10;AAAAAAYABgBZAQAAwwUAAAAA&#10;">
              <v:fill on="f" focussize="0,0"/>
              <v:stroke on="f" weight="0.5pt"/>
              <v:imagedata o:title=""/>
              <o:lock v:ext="edit" aspectratio="f"/>
              <v:textbox inset="0mm,0mm,0mm,0mm" style="mso-fit-shape-to-text:t;">
                <w:txbxContent>
                  <w:p w14:paraId="700CB2A3">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D7486">
    <w:pPr>
      <w:pStyle w:val="10"/>
      <w:pBdr>
        <w:top w:val="single" w:color="auto" w:sz="4" w:space="1"/>
        <w:left w:val="none" w:color="auto" w:sz="0" w:space="4"/>
        <w:bottom w:val="none" w:color="auto" w:sz="0" w:space="1"/>
        <w:right w:val="none" w:color="auto" w:sz="0" w:space="4"/>
      </w:pBdr>
      <w:spacing w:line="360" w:lineRule="auto"/>
      <w:jc w:val="both"/>
    </w:pPr>
    <w:r>
      <mc:AlternateContent>
        <mc:Choice Requires="wps">
          <w:drawing>
            <wp:anchor distT="0" distB="0" distL="114300" distR="114300" simplePos="0" relativeHeight="251662336"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0AEAD6">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0.55pt;margin-top:18.05pt;height:144pt;width:144pt;mso-position-horizontal-relative:margin;mso-wrap-style:none;z-index:251662336;mso-width-relative:page;mso-height-relative:page;" filled="f" stroked="f" coordsize="21600,21600" o:gfxdata="UEsDBAoAAAAAAIdO4kAAAAAAAAAAAAAAAAAEAAAAZHJzL1BLAwQUAAAACACHTuJA9GUTBNYAAAAK&#10;AQAADwAAAGRycy9kb3ducmV2LnhtbE2Py07DMBBF90j8gzVI7KjjNopKiFOJirBEomHB0o2nSYof&#10;ke2m4e8ZVrCa19W9Z6rdYg2bMcTROwlilQFD13k9ul7CR9s8bIHFpJxWxjuU8I0RdvXtTaVK7a/u&#10;HedD6hmZuFgqCUNKU8l57Aa0Kq78hI5uJx+sSjSGnuugrmRuDV9nWcGtGh0lDGrC/YDd1+FiJeyb&#10;tg0zxmA+8bXZnN+ec3xZpLy/E9kTsIRL+hPDLz6hQ01MR39xOjIjIc+EIKmETUGVBMX2kZojLda5&#10;AF5X/P8L9Q9QSwMEFAAAAAgAh07iQMrd1wwqAgAAVwQAAA4AAABkcnMvZTJvRG9jLnhtbK1UzY7T&#10;MBC+I/EOlu80bRGrqmq6KlsVIVXsSgVxdh2nieQ/2W6T8gDwBpy4cOe5+hx8dpIuWjjsgYsz9oy/&#10;8ffNTBa3rZLkJJyvjc7pZDSmRGhuilofcvrp4+bVjBIfmC6YNFrk9Cw8vV2+fLFo7FxMTWVkIRwB&#10;iPbzxua0CsHOs8zzSijmR8YKDWdpnGIBW3fICscaoCuZTcfjm6wxrrDOcOE9Ttedk/aI7jmApixr&#10;LtaGH5XQoUN1QrIASr6qrafL9NqyFDzcl6UXgcicgmlIK5LA3sc1Wy7Y/OCYrWreP4E95wlPOClW&#10;ayS9Qq1ZYOTo6r+gVM2d8aYMI25U1hFJioDFZPxEm13FrEhcILW3V9H9/4PlH04PjtQFOgGSaKZQ&#10;8cv3b5cfvy4/vxKcQaDG+jnidhaRoX1rWgQP5x6HkXdbOhW/YETgB9b5Kq9oA+Hx0mw6m43h4vAN&#10;G+Bnj9et8+GdMIpEI6cO9UuystPWhy50CInZtNnUUqYaSk2anN68fjNOF64egEuNHJFE99hohXbf&#10;9sz2pjiDmDNdb3jLNzWSb5kPD8yhGfBgjEu4x1JKgySmtyipjPvyr/MYjxrBS0mD5sqpxixRIt9r&#10;1A6AYTDcYOwHQx/VnUG3TjCGlicTF1yQg1k6oz5jhlYxB1xMc2TKaRjMu9A1OGaQi9UqBaHbLAtb&#10;vbM8QkfxvF0dAwRMukZROiV6rdBvqTL9bMSG/nOfoh7/B8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GUTBNYAAAAKAQAADwAAAAAAAAABACAAAAAiAAAAZHJzL2Rvd25yZXYueG1sUEsBAhQAFAAA&#10;AAgAh07iQMrd1wwqAgAAVwQAAA4AAAAAAAAAAQAgAAAAJQEAAGRycy9lMm9Eb2MueG1sUEsFBgAA&#10;AAAGAAYAWQEAAMEFAAAAAA==&#10;">
              <v:fill on="f" focussize="0,0"/>
              <v:stroke on="f" weight="0.5pt"/>
              <v:imagedata o:title=""/>
              <o:lock v:ext="edit" aspectratio="f"/>
              <v:textbox inset="0mm,0mm,0mm,0mm" style="mso-fit-shape-to-text:t;">
                <w:txbxContent>
                  <w:p w14:paraId="1C0AEAD6">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rPr>
      <w:t>地址：甘肃省兰州市城关区南滨河东路5148号名城广场1栋1单元20层2016室       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EC6B6D">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9BD4D">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F469D">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2" name="图片 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p w14:paraId="527DD686">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386A75">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3" name="图片 3"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69068">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13335"/>
          <wp:docPr id="9" name="图片 9"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2FDAFD"/>
    <w:multiLevelType w:val="singleLevel"/>
    <w:tmpl w:val="1A2FDAF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yMzVlN2UxYjljOWQ3MGRhZjgwNjVmMDFhOTU3NzQifQ=="/>
  </w:docVars>
  <w:rsids>
    <w:rsidRoot w:val="0F9473FE"/>
    <w:rsid w:val="0000216A"/>
    <w:rsid w:val="00024278"/>
    <w:rsid w:val="00037090"/>
    <w:rsid w:val="00046BCA"/>
    <w:rsid w:val="000518F6"/>
    <w:rsid w:val="00051C05"/>
    <w:rsid w:val="00064326"/>
    <w:rsid w:val="000643BA"/>
    <w:rsid w:val="00065073"/>
    <w:rsid w:val="000753A4"/>
    <w:rsid w:val="000A4E2C"/>
    <w:rsid w:val="000C1B1E"/>
    <w:rsid w:val="000F2060"/>
    <w:rsid w:val="000F34E0"/>
    <w:rsid w:val="00100C77"/>
    <w:rsid w:val="001104A4"/>
    <w:rsid w:val="001105B7"/>
    <w:rsid w:val="00112EEC"/>
    <w:rsid w:val="001318C8"/>
    <w:rsid w:val="00137C9D"/>
    <w:rsid w:val="00140940"/>
    <w:rsid w:val="00141CF0"/>
    <w:rsid w:val="0014363A"/>
    <w:rsid w:val="001531B6"/>
    <w:rsid w:val="0015398F"/>
    <w:rsid w:val="00170334"/>
    <w:rsid w:val="00172CD5"/>
    <w:rsid w:val="00172DFF"/>
    <w:rsid w:val="00194BF7"/>
    <w:rsid w:val="001B6342"/>
    <w:rsid w:val="001D19B7"/>
    <w:rsid w:val="00203DC9"/>
    <w:rsid w:val="0020515B"/>
    <w:rsid w:val="00232042"/>
    <w:rsid w:val="002324DF"/>
    <w:rsid w:val="00246D16"/>
    <w:rsid w:val="002555FD"/>
    <w:rsid w:val="00256EBC"/>
    <w:rsid w:val="00264411"/>
    <w:rsid w:val="00267454"/>
    <w:rsid w:val="0028698A"/>
    <w:rsid w:val="00290093"/>
    <w:rsid w:val="002967A9"/>
    <w:rsid w:val="00296D38"/>
    <w:rsid w:val="002A7299"/>
    <w:rsid w:val="002C6AED"/>
    <w:rsid w:val="002D1330"/>
    <w:rsid w:val="002D789A"/>
    <w:rsid w:val="002D79DD"/>
    <w:rsid w:val="002E3891"/>
    <w:rsid w:val="002E6422"/>
    <w:rsid w:val="002F33E7"/>
    <w:rsid w:val="00307F85"/>
    <w:rsid w:val="0031439E"/>
    <w:rsid w:val="00351E08"/>
    <w:rsid w:val="00353E30"/>
    <w:rsid w:val="00355885"/>
    <w:rsid w:val="00355CF4"/>
    <w:rsid w:val="003610F3"/>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95970"/>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1249"/>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8446E"/>
    <w:rsid w:val="007900CD"/>
    <w:rsid w:val="0079033E"/>
    <w:rsid w:val="007A100D"/>
    <w:rsid w:val="007C2CDD"/>
    <w:rsid w:val="007C7458"/>
    <w:rsid w:val="007D441F"/>
    <w:rsid w:val="007E3DA4"/>
    <w:rsid w:val="0080585C"/>
    <w:rsid w:val="00822FBE"/>
    <w:rsid w:val="00831664"/>
    <w:rsid w:val="00832BAA"/>
    <w:rsid w:val="00833033"/>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3D21"/>
    <w:rsid w:val="008E68A7"/>
    <w:rsid w:val="008F2B1F"/>
    <w:rsid w:val="008F3CDC"/>
    <w:rsid w:val="0092595D"/>
    <w:rsid w:val="00951D57"/>
    <w:rsid w:val="009522FA"/>
    <w:rsid w:val="00952A97"/>
    <w:rsid w:val="009532AE"/>
    <w:rsid w:val="009556AA"/>
    <w:rsid w:val="00962C53"/>
    <w:rsid w:val="00984208"/>
    <w:rsid w:val="009A5F10"/>
    <w:rsid w:val="009C488C"/>
    <w:rsid w:val="009C7579"/>
    <w:rsid w:val="00A0647F"/>
    <w:rsid w:val="00A0735D"/>
    <w:rsid w:val="00A130AA"/>
    <w:rsid w:val="00A17548"/>
    <w:rsid w:val="00A4749D"/>
    <w:rsid w:val="00A50ACF"/>
    <w:rsid w:val="00A65C51"/>
    <w:rsid w:val="00A779D6"/>
    <w:rsid w:val="00A94859"/>
    <w:rsid w:val="00A95371"/>
    <w:rsid w:val="00A96209"/>
    <w:rsid w:val="00AA7F7A"/>
    <w:rsid w:val="00AE6EF7"/>
    <w:rsid w:val="00AF3AD7"/>
    <w:rsid w:val="00B0713C"/>
    <w:rsid w:val="00B07904"/>
    <w:rsid w:val="00B07C4B"/>
    <w:rsid w:val="00B14C20"/>
    <w:rsid w:val="00B2231F"/>
    <w:rsid w:val="00B31FF4"/>
    <w:rsid w:val="00B32DFF"/>
    <w:rsid w:val="00B548B6"/>
    <w:rsid w:val="00B570AE"/>
    <w:rsid w:val="00B61F9A"/>
    <w:rsid w:val="00B77331"/>
    <w:rsid w:val="00B9317B"/>
    <w:rsid w:val="00B95E7C"/>
    <w:rsid w:val="00BC1290"/>
    <w:rsid w:val="00BD3CCA"/>
    <w:rsid w:val="00BD632C"/>
    <w:rsid w:val="00C010A7"/>
    <w:rsid w:val="00C255E1"/>
    <w:rsid w:val="00C34C1C"/>
    <w:rsid w:val="00C4547F"/>
    <w:rsid w:val="00C549D0"/>
    <w:rsid w:val="00C63032"/>
    <w:rsid w:val="00C84D69"/>
    <w:rsid w:val="00CA5249"/>
    <w:rsid w:val="00CB64D6"/>
    <w:rsid w:val="00CD504A"/>
    <w:rsid w:val="00CE12D1"/>
    <w:rsid w:val="00D05F31"/>
    <w:rsid w:val="00D37060"/>
    <w:rsid w:val="00D40F23"/>
    <w:rsid w:val="00D42B30"/>
    <w:rsid w:val="00D71E50"/>
    <w:rsid w:val="00D71E6D"/>
    <w:rsid w:val="00D7279D"/>
    <w:rsid w:val="00D76F46"/>
    <w:rsid w:val="00D97669"/>
    <w:rsid w:val="00DC76C2"/>
    <w:rsid w:val="00DD0BB7"/>
    <w:rsid w:val="00DD753B"/>
    <w:rsid w:val="00DE6582"/>
    <w:rsid w:val="00E070C6"/>
    <w:rsid w:val="00E11E05"/>
    <w:rsid w:val="00E35CB0"/>
    <w:rsid w:val="00E64E11"/>
    <w:rsid w:val="00E67E6B"/>
    <w:rsid w:val="00E7278C"/>
    <w:rsid w:val="00EB0813"/>
    <w:rsid w:val="00EB3E1E"/>
    <w:rsid w:val="00ED264E"/>
    <w:rsid w:val="00ED2CC9"/>
    <w:rsid w:val="00ED629E"/>
    <w:rsid w:val="00EE1878"/>
    <w:rsid w:val="00EE1E54"/>
    <w:rsid w:val="00EE2984"/>
    <w:rsid w:val="00F1037C"/>
    <w:rsid w:val="00F12EF7"/>
    <w:rsid w:val="00F613D1"/>
    <w:rsid w:val="00F62C47"/>
    <w:rsid w:val="00F7424A"/>
    <w:rsid w:val="00F772C2"/>
    <w:rsid w:val="00F80F07"/>
    <w:rsid w:val="00F835CD"/>
    <w:rsid w:val="00F97680"/>
    <w:rsid w:val="00FA6867"/>
    <w:rsid w:val="00FD1277"/>
    <w:rsid w:val="00FD6444"/>
    <w:rsid w:val="021A27AB"/>
    <w:rsid w:val="024141DC"/>
    <w:rsid w:val="031318D1"/>
    <w:rsid w:val="03B94246"/>
    <w:rsid w:val="03C2759E"/>
    <w:rsid w:val="03E97283"/>
    <w:rsid w:val="045645C0"/>
    <w:rsid w:val="05322502"/>
    <w:rsid w:val="058A237B"/>
    <w:rsid w:val="0645751A"/>
    <w:rsid w:val="067810C5"/>
    <w:rsid w:val="06CD5526"/>
    <w:rsid w:val="07140A9A"/>
    <w:rsid w:val="07FE1FF0"/>
    <w:rsid w:val="083329D8"/>
    <w:rsid w:val="087072CA"/>
    <w:rsid w:val="08AB0275"/>
    <w:rsid w:val="08C33641"/>
    <w:rsid w:val="08F22909"/>
    <w:rsid w:val="08F75C9D"/>
    <w:rsid w:val="096A282C"/>
    <w:rsid w:val="09B434E5"/>
    <w:rsid w:val="09F53119"/>
    <w:rsid w:val="0A002BCE"/>
    <w:rsid w:val="0AE76F27"/>
    <w:rsid w:val="0BD460C1"/>
    <w:rsid w:val="0BF17FA9"/>
    <w:rsid w:val="0C434FF4"/>
    <w:rsid w:val="0C4825E7"/>
    <w:rsid w:val="0C890F59"/>
    <w:rsid w:val="0D9A262A"/>
    <w:rsid w:val="0E170E01"/>
    <w:rsid w:val="0E6F2B18"/>
    <w:rsid w:val="0F476BF7"/>
    <w:rsid w:val="0F9473FE"/>
    <w:rsid w:val="0FF03D3B"/>
    <w:rsid w:val="10D92909"/>
    <w:rsid w:val="11205904"/>
    <w:rsid w:val="1133610C"/>
    <w:rsid w:val="116B653C"/>
    <w:rsid w:val="120073C8"/>
    <w:rsid w:val="12506973"/>
    <w:rsid w:val="125C110E"/>
    <w:rsid w:val="125D10BB"/>
    <w:rsid w:val="12694F68"/>
    <w:rsid w:val="12700720"/>
    <w:rsid w:val="12C51DA8"/>
    <w:rsid w:val="13071A5B"/>
    <w:rsid w:val="130F5021"/>
    <w:rsid w:val="13282DDB"/>
    <w:rsid w:val="132C6ADB"/>
    <w:rsid w:val="139D5005"/>
    <w:rsid w:val="13D6674E"/>
    <w:rsid w:val="14001055"/>
    <w:rsid w:val="142D5185"/>
    <w:rsid w:val="1430449D"/>
    <w:rsid w:val="14DF373A"/>
    <w:rsid w:val="1608508A"/>
    <w:rsid w:val="16A05998"/>
    <w:rsid w:val="16D572E4"/>
    <w:rsid w:val="17401E27"/>
    <w:rsid w:val="178E68E1"/>
    <w:rsid w:val="17B111EE"/>
    <w:rsid w:val="17D44FBD"/>
    <w:rsid w:val="17D86A90"/>
    <w:rsid w:val="187769F1"/>
    <w:rsid w:val="19654911"/>
    <w:rsid w:val="19871A5C"/>
    <w:rsid w:val="1A9E3225"/>
    <w:rsid w:val="1B03607B"/>
    <w:rsid w:val="1BAA299A"/>
    <w:rsid w:val="1C7E157C"/>
    <w:rsid w:val="1C940E56"/>
    <w:rsid w:val="1CA81C4F"/>
    <w:rsid w:val="1E9159EE"/>
    <w:rsid w:val="1EA571D7"/>
    <w:rsid w:val="1EA96F39"/>
    <w:rsid w:val="1F037124"/>
    <w:rsid w:val="1F673C24"/>
    <w:rsid w:val="20232D1B"/>
    <w:rsid w:val="20D203BB"/>
    <w:rsid w:val="226D6F9C"/>
    <w:rsid w:val="22B834CC"/>
    <w:rsid w:val="22BA6C58"/>
    <w:rsid w:val="22F977E7"/>
    <w:rsid w:val="23D30D7C"/>
    <w:rsid w:val="24B3368D"/>
    <w:rsid w:val="24FF4DBF"/>
    <w:rsid w:val="254723BF"/>
    <w:rsid w:val="256D300D"/>
    <w:rsid w:val="258C32D8"/>
    <w:rsid w:val="25D9654E"/>
    <w:rsid w:val="26C47DB8"/>
    <w:rsid w:val="277C2B6C"/>
    <w:rsid w:val="27EC7E96"/>
    <w:rsid w:val="28184F18"/>
    <w:rsid w:val="28BA659C"/>
    <w:rsid w:val="29600B3C"/>
    <w:rsid w:val="2B277B63"/>
    <w:rsid w:val="2B322BF8"/>
    <w:rsid w:val="2B9B5117"/>
    <w:rsid w:val="2C4D184B"/>
    <w:rsid w:val="2CB02D9F"/>
    <w:rsid w:val="2CE52E0A"/>
    <w:rsid w:val="2D38746D"/>
    <w:rsid w:val="2D637948"/>
    <w:rsid w:val="2D684AB0"/>
    <w:rsid w:val="2DC51834"/>
    <w:rsid w:val="2DDA637C"/>
    <w:rsid w:val="2E3A29A3"/>
    <w:rsid w:val="2EC7583D"/>
    <w:rsid w:val="2F0A59C4"/>
    <w:rsid w:val="2F1F6DA3"/>
    <w:rsid w:val="309537C1"/>
    <w:rsid w:val="30F027A5"/>
    <w:rsid w:val="32076F12"/>
    <w:rsid w:val="321E6765"/>
    <w:rsid w:val="32545E6A"/>
    <w:rsid w:val="32B1544F"/>
    <w:rsid w:val="32F075DE"/>
    <w:rsid w:val="336851BD"/>
    <w:rsid w:val="339B25AB"/>
    <w:rsid w:val="33B61EB0"/>
    <w:rsid w:val="33CF0D98"/>
    <w:rsid w:val="3419020E"/>
    <w:rsid w:val="348C146E"/>
    <w:rsid w:val="34F27CC6"/>
    <w:rsid w:val="358B468D"/>
    <w:rsid w:val="35A95619"/>
    <w:rsid w:val="35F95F98"/>
    <w:rsid w:val="374B6987"/>
    <w:rsid w:val="37820855"/>
    <w:rsid w:val="378C532A"/>
    <w:rsid w:val="38830D8A"/>
    <w:rsid w:val="38C45C47"/>
    <w:rsid w:val="39D569DC"/>
    <w:rsid w:val="3A0379ED"/>
    <w:rsid w:val="3A375EC4"/>
    <w:rsid w:val="3A49589C"/>
    <w:rsid w:val="3A5C534F"/>
    <w:rsid w:val="3A6B1ECF"/>
    <w:rsid w:val="3A8521B0"/>
    <w:rsid w:val="3A856654"/>
    <w:rsid w:val="3A906225"/>
    <w:rsid w:val="3AC32E01"/>
    <w:rsid w:val="3B1D171C"/>
    <w:rsid w:val="3BF42446"/>
    <w:rsid w:val="3C06542B"/>
    <w:rsid w:val="3C232A14"/>
    <w:rsid w:val="3C243C4B"/>
    <w:rsid w:val="3C522E3C"/>
    <w:rsid w:val="3C6E1044"/>
    <w:rsid w:val="3C8A7F52"/>
    <w:rsid w:val="3CB054DF"/>
    <w:rsid w:val="3CD23946"/>
    <w:rsid w:val="3D261A25"/>
    <w:rsid w:val="3E1D2536"/>
    <w:rsid w:val="3ECA6D2C"/>
    <w:rsid w:val="3ED45096"/>
    <w:rsid w:val="3FCC640A"/>
    <w:rsid w:val="40692574"/>
    <w:rsid w:val="40B11F25"/>
    <w:rsid w:val="40B8336F"/>
    <w:rsid w:val="41011831"/>
    <w:rsid w:val="41EB703F"/>
    <w:rsid w:val="42C321E3"/>
    <w:rsid w:val="435B2AD7"/>
    <w:rsid w:val="43BD4B0B"/>
    <w:rsid w:val="43E65A72"/>
    <w:rsid w:val="440C7F8D"/>
    <w:rsid w:val="4428109E"/>
    <w:rsid w:val="445F69EB"/>
    <w:rsid w:val="44CF424F"/>
    <w:rsid w:val="44FE7ACA"/>
    <w:rsid w:val="454F4568"/>
    <w:rsid w:val="4550785F"/>
    <w:rsid w:val="45706814"/>
    <w:rsid w:val="45AB4E37"/>
    <w:rsid w:val="45B707FB"/>
    <w:rsid w:val="45BE1574"/>
    <w:rsid w:val="46004CC6"/>
    <w:rsid w:val="463A607F"/>
    <w:rsid w:val="464739F3"/>
    <w:rsid w:val="46B721AC"/>
    <w:rsid w:val="46CB1893"/>
    <w:rsid w:val="46E23F0F"/>
    <w:rsid w:val="46F63507"/>
    <w:rsid w:val="46F96E62"/>
    <w:rsid w:val="47207120"/>
    <w:rsid w:val="477B2FAE"/>
    <w:rsid w:val="483B5A4C"/>
    <w:rsid w:val="4871646A"/>
    <w:rsid w:val="490002A0"/>
    <w:rsid w:val="490E2A55"/>
    <w:rsid w:val="494122E2"/>
    <w:rsid w:val="49871EA1"/>
    <w:rsid w:val="49F22E5E"/>
    <w:rsid w:val="4A133393"/>
    <w:rsid w:val="4A7A052A"/>
    <w:rsid w:val="4AB06881"/>
    <w:rsid w:val="4AB32D0C"/>
    <w:rsid w:val="4AE96514"/>
    <w:rsid w:val="4B231CEA"/>
    <w:rsid w:val="4B286C8B"/>
    <w:rsid w:val="4BA64472"/>
    <w:rsid w:val="4BE64DDA"/>
    <w:rsid w:val="4CEC18C2"/>
    <w:rsid w:val="4DB115E5"/>
    <w:rsid w:val="4FCE631F"/>
    <w:rsid w:val="4FD5108C"/>
    <w:rsid w:val="4FDA4D75"/>
    <w:rsid w:val="50E21CB3"/>
    <w:rsid w:val="51246EB8"/>
    <w:rsid w:val="512824DF"/>
    <w:rsid w:val="520B327F"/>
    <w:rsid w:val="52450A6B"/>
    <w:rsid w:val="530A5A72"/>
    <w:rsid w:val="53163C15"/>
    <w:rsid w:val="531A233B"/>
    <w:rsid w:val="539C1B4C"/>
    <w:rsid w:val="540C51E5"/>
    <w:rsid w:val="54602A07"/>
    <w:rsid w:val="549728DF"/>
    <w:rsid w:val="54AA7074"/>
    <w:rsid w:val="54AF69C2"/>
    <w:rsid w:val="54E52762"/>
    <w:rsid w:val="54EA5CFF"/>
    <w:rsid w:val="55444E7D"/>
    <w:rsid w:val="55743D0D"/>
    <w:rsid w:val="55D622FA"/>
    <w:rsid w:val="55EB5D70"/>
    <w:rsid w:val="56314DDD"/>
    <w:rsid w:val="565964B4"/>
    <w:rsid w:val="56841443"/>
    <w:rsid w:val="56AF292A"/>
    <w:rsid w:val="56BE6D1E"/>
    <w:rsid w:val="57114DA6"/>
    <w:rsid w:val="574330DD"/>
    <w:rsid w:val="578E547B"/>
    <w:rsid w:val="57BA3C8B"/>
    <w:rsid w:val="5875340D"/>
    <w:rsid w:val="587A4EC7"/>
    <w:rsid w:val="59F8198D"/>
    <w:rsid w:val="5A1C2DE0"/>
    <w:rsid w:val="5A382944"/>
    <w:rsid w:val="5A605BC3"/>
    <w:rsid w:val="5B2801B6"/>
    <w:rsid w:val="5B337230"/>
    <w:rsid w:val="5B6A103A"/>
    <w:rsid w:val="5B7250DA"/>
    <w:rsid w:val="5B7B6F90"/>
    <w:rsid w:val="5BC92176"/>
    <w:rsid w:val="5C0C22DA"/>
    <w:rsid w:val="5C8C5700"/>
    <w:rsid w:val="5CCF29EE"/>
    <w:rsid w:val="5D4D151D"/>
    <w:rsid w:val="5D5C1A81"/>
    <w:rsid w:val="5E123C05"/>
    <w:rsid w:val="5E215BF2"/>
    <w:rsid w:val="5E681402"/>
    <w:rsid w:val="5EF872DF"/>
    <w:rsid w:val="60A72DA9"/>
    <w:rsid w:val="61887833"/>
    <w:rsid w:val="61921FB7"/>
    <w:rsid w:val="61B32201"/>
    <w:rsid w:val="62894AA4"/>
    <w:rsid w:val="62D957B2"/>
    <w:rsid w:val="63005858"/>
    <w:rsid w:val="640115C4"/>
    <w:rsid w:val="65527A8B"/>
    <w:rsid w:val="6604433E"/>
    <w:rsid w:val="66A15EC8"/>
    <w:rsid w:val="66A851F0"/>
    <w:rsid w:val="66F75934"/>
    <w:rsid w:val="67746BAD"/>
    <w:rsid w:val="68807C45"/>
    <w:rsid w:val="69A41DA4"/>
    <w:rsid w:val="69FA2D97"/>
    <w:rsid w:val="6A10235D"/>
    <w:rsid w:val="6A3C4E7F"/>
    <w:rsid w:val="6AF80C0A"/>
    <w:rsid w:val="6B3E10B4"/>
    <w:rsid w:val="6B9D61A3"/>
    <w:rsid w:val="6BAA0FA6"/>
    <w:rsid w:val="6CE54BAD"/>
    <w:rsid w:val="6D2D3E5E"/>
    <w:rsid w:val="6E2C310F"/>
    <w:rsid w:val="6E433D4C"/>
    <w:rsid w:val="6ED83431"/>
    <w:rsid w:val="6F862425"/>
    <w:rsid w:val="6FC00ECA"/>
    <w:rsid w:val="6FCA5E2A"/>
    <w:rsid w:val="6FDA2167"/>
    <w:rsid w:val="70593D8C"/>
    <w:rsid w:val="705D2CAC"/>
    <w:rsid w:val="70D40212"/>
    <w:rsid w:val="71796A7B"/>
    <w:rsid w:val="71C34851"/>
    <w:rsid w:val="71EC2296"/>
    <w:rsid w:val="722D639D"/>
    <w:rsid w:val="723B19A6"/>
    <w:rsid w:val="72DB17DE"/>
    <w:rsid w:val="738B2CF1"/>
    <w:rsid w:val="73B73DD2"/>
    <w:rsid w:val="73C47676"/>
    <w:rsid w:val="73EF3D7E"/>
    <w:rsid w:val="73FB02E9"/>
    <w:rsid w:val="74140F07"/>
    <w:rsid w:val="74E76ED0"/>
    <w:rsid w:val="7517271E"/>
    <w:rsid w:val="751E4025"/>
    <w:rsid w:val="75281F01"/>
    <w:rsid w:val="760D4365"/>
    <w:rsid w:val="76651342"/>
    <w:rsid w:val="7705705D"/>
    <w:rsid w:val="770957CF"/>
    <w:rsid w:val="79050385"/>
    <w:rsid w:val="792A76BF"/>
    <w:rsid w:val="79976D4D"/>
    <w:rsid w:val="79AB0441"/>
    <w:rsid w:val="7A4074F3"/>
    <w:rsid w:val="7AD419FF"/>
    <w:rsid w:val="7B5F3D7C"/>
    <w:rsid w:val="7BE944F5"/>
    <w:rsid w:val="7C220811"/>
    <w:rsid w:val="7C367028"/>
    <w:rsid w:val="7D0421BC"/>
    <w:rsid w:val="7D367A2D"/>
    <w:rsid w:val="7D635D0C"/>
    <w:rsid w:val="7E19007C"/>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unhideWhenUsed/>
    <w:qFormat/>
    <w:uiPriority w:val="0"/>
    <w:pPr>
      <w:keepNext/>
      <w:keepLines/>
      <w:spacing w:line="360" w:lineRule="auto"/>
      <w:ind w:firstLine="200" w:firstLineChars="200"/>
      <w:outlineLvl w:val="1"/>
    </w:pPr>
    <w:rPr>
      <w:rFonts w:ascii="Arial" w:hAnsi="Arial" w:eastAsia="仿宋"/>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ind w:firstLine="420" w:firstLineChars="200"/>
    </w:pPr>
  </w:style>
  <w:style w:type="paragraph" w:styleId="7">
    <w:name w:val="annotation text"/>
    <w:basedOn w:val="1"/>
    <w:link w:val="34"/>
    <w:qFormat/>
    <w:uiPriority w:val="0"/>
    <w:pPr>
      <w:jc w:val="left"/>
    </w:pPr>
  </w:style>
  <w:style w:type="paragraph" w:styleId="8">
    <w:name w:val="index 6"/>
    <w:basedOn w:val="1"/>
    <w:next w:val="1"/>
    <w:semiHidden/>
    <w:qFormat/>
    <w:uiPriority w:val="0"/>
    <w:pPr>
      <w:ind w:firstLine="640"/>
    </w:pPr>
    <w:rPr>
      <w:rFonts w:cs="仿宋_GB2312"/>
      <w:color w:val="0000FF"/>
      <w:sz w:val="32"/>
      <w:szCs w:val="32"/>
    </w:rPr>
  </w:style>
  <w:style w:type="paragraph" w:styleId="9">
    <w:name w:val="Body Text"/>
    <w:basedOn w:val="1"/>
    <w:next w:val="10"/>
    <w:qFormat/>
    <w:uiPriority w:val="1"/>
    <w:rPr>
      <w:rFonts w:eastAsia="仿宋_GB2312"/>
      <w:sz w:val="32"/>
      <w:szCs w:val="32"/>
    </w:rPr>
  </w:style>
  <w:style w:type="paragraph" w:styleId="10">
    <w:name w:val="footer"/>
    <w:basedOn w:val="1"/>
    <w:link w:val="32"/>
    <w:qFormat/>
    <w:uiPriority w:val="99"/>
    <w:pPr>
      <w:tabs>
        <w:tab w:val="center" w:pos="4153"/>
        <w:tab w:val="right" w:pos="8306"/>
      </w:tabs>
      <w:snapToGrid w:val="0"/>
      <w:jc w:val="left"/>
    </w:pPr>
    <w:rPr>
      <w:sz w:val="18"/>
    </w:rPr>
  </w:style>
  <w:style w:type="paragraph" w:styleId="11">
    <w:name w:val="toc 3"/>
    <w:basedOn w:val="1"/>
    <w:next w:val="1"/>
    <w:qFormat/>
    <w:uiPriority w:val="0"/>
    <w:pPr>
      <w:ind w:left="840" w:leftChars="400"/>
    </w:pPr>
  </w:style>
  <w:style w:type="paragraph" w:styleId="12">
    <w:name w:val="Body Text Indent 2"/>
    <w:basedOn w:val="1"/>
    <w:next w:val="13"/>
    <w:qFormat/>
    <w:uiPriority w:val="0"/>
    <w:pPr>
      <w:spacing w:after="120" w:line="480" w:lineRule="auto"/>
      <w:ind w:left="420" w:leftChars="200"/>
    </w:pPr>
    <w:rPr>
      <w:rFonts w:ascii="Calibri" w:hAnsi="Calibri" w:eastAsia="宋体"/>
    </w:rPr>
  </w:style>
  <w:style w:type="paragraph" w:styleId="13">
    <w:name w:val="toc 9"/>
    <w:basedOn w:val="1"/>
    <w:next w:val="1"/>
    <w:qFormat/>
    <w:uiPriority w:val="0"/>
    <w:pPr>
      <w:wordWrap w:val="0"/>
      <w:ind w:left="2975"/>
      <w:jc w:val="both"/>
    </w:pPr>
    <w:rPr>
      <w:rFonts w:ascii="Calibri" w:hAnsi="Calibri" w:eastAsia="宋体" w:cs="Times New Roman"/>
      <w:sz w:val="21"/>
      <w:szCs w:val="22"/>
      <w:lang w:val="en-US" w:eastAsia="zh-CN" w:bidi="ar-SA"/>
    </w:rPr>
  </w:style>
  <w:style w:type="paragraph" w:styleId="14">
    <w:name w:val="Balloon Text"/>
    <w:basedOn w:val="1"/>
    <w:link w:val="36"/>
    <w:semiHidden/>
    <w:unhideWhenUsed/>
    <w:qFormat/>
    <w:uiPriority w:val="0"/>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annotation subject"/>
    <w:basedOn w:val="7"/>
    <w:next w:val="7"/>
    <w:link w:val="35"/>
    <w:semiHidden/>
    <w:unhideWhenUsed/>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annotation reference"/>
    <w:basedOn w:val="21"/>
    <w:qFormat/>
    <w:uiPriority w:val="0"/>
    <w:rPr>
      <w:sz w:val="21"/>
      <w:szCs w:val="21"/>
    </w:rPr>
  </w:style>
  <w:style w:type="paragraph" w:customStyle="1" w:styleId="24">
    <w:name w:val="正文文本缩进 21"/>
    <w:basedOn w:val="1"/>
    <w:next w:val="15"/>
    <w:qFormat/>
    <w:uiPriority w:val="0"/>
    <w:pPr>
      <w:spacing w:line="480" w:lineRule="auto"/>
      <w:ind w:left="420" w:leftChars="200"/>
    </w:pPr>
  </w:style>
  <w:style w:type="paragraph" w:customStyle="1" w:styleId="25">
    <w:name w:val="样式  + 首行缩进:  2 字符"/>
    <w:basedOn w:val="1"/>
    <w:qFormat/>
    <w:uiPriority w:val="0"/>
    <w:pPr>
      <w:adjustRightInd w:val="0"/>
      <w:snapToGrid w:val="0"/>
      <w:ind w:firstLine="480"/>
    </w:pPr>
    <w:rPr>
      <w:kern w:val="0"/>
      <w:sz w:val="24"/>
    </w:rPr>
  </w:style>
  <w:style w:type="paragraph" w:styleId="26">
    <w:name w:val="List Paragraph"/>
    <w:basedOn w:val="1"/>
    <w:qFormat/>
    <w:uiPriority w:val="99"/>
    <w:pPr>
      <w:ind w:firstLine="420" w:firstLineChars="200"/>
    </w:p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9">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30">
    <w:name w:val="标题 1 字符"/>
    <w:basedOn w:val="21"/>
    <w:link w:val="2"/>
    <w:qFormat/>
    <w:uiPriority w:val="0"/>
    <w:rPr>
      <w:rFonts w:asciiTheme="minorHAnsi" w:hAnsiTheme="minorHAnsi" w:eastAsiaTheme="minorEastAsia" w:cstheme="minorBidi"/>
      <w:b/>
      <w:bCs/>
      <w:kern w:val="44"/>
      <w:sz w:val="44"/>
      <w:szCs w:val="44"/>
    </w:rPr>
  </w:style>
  <w:style w:type="character" w:customStyle="1" w:styleId="31">
    <w:name w:val="标题 2 字符"/>
    <w:link w:val="3"/>
    <w:qFormat/>
    <w:uiPriority w:val="0"/>
    <w:rPr>
      <w:rFonts w:ascii="Arial" w:hAnsi="Arial" w:eastAsia="仿宋"/>
      <w:b/>
      <w:sz w:val="32"/>
    </w:rPr>
  </w:style>
  <w:style w:type="character" w:customStyle="1" w:styleId="32">
    <w:name w:val="页脚 字符"/>
    <w:basedOn w:val="21"/>
    <w:link w:val="10"/>
    <w:qFormat/>
    <w:uiPriority w:val="99"/>
    <w:rPr>
      <w:rFonts w:asciiTheme="minorHAnsi" w:hAnsiTheme="minorHAnsi" w:eastAsiaTheme="minorEastAsia" w:cstheme="minorBidi"/>
      <w:kern w:val="2"/>
      <w:sz w:val="18"/>
      <w:szCs w:val="22"/>
    </w:rPr>
  </w:style>
  <w:style w:type="character" w:customStyle="1" w:styleId="33">
    <w:name w:val="font11"/>
    <w:basedOn w:val="21"/>
    <w:qFormat/>
    <w:uiPriority w:val="0"/>
    <w:rPr>
      <w:rFonts w:hint="eastAsia" w:ascii="宋体" w:hAnsi="宋体" w:eastAsia="宋体" w:cs="宋体"/>
      <w:color w:val="000000"/>
      <w:sz w:val="20"/>
      <w:szCs w:val="20"/>
      <w:u w:val="none"/>
    </w:rPr>
  </w:style>
  <w:style w:type="character" w:customStyle="1" w:styleId="34">
    <w:name w:val="批注文字 字符"/>
    <w:basedOn w:val="21"/>
    <w:link w:val="7"/>
    <w:qFormat/>
    <w:uiPriority w:val="0"/>
    <w:rPr>
      <w:rFonts w:asciiTheme="minorHAnsi" w:hAnsiTheme="minorHAnsi" w:eastAsiaTheme="minorEastAsia" w:cstheme="minorBidi"/>
      <w:kern w:val="2"/>
      <w:sz w:val="21"/>
      <w:szCs w:val="22"/>
    </w:rPr>
  </w:style>
  <w:style w:type="character" w:customStyle="1" w:styleId="35">
    <w:name w:val="批注主题 字符"/>
    <w:basedOn w:val="34"/>
    <w:link w:val="18"/>
    <w:semiHidden/>
    <w:qFormat/>
    <w:uiPriority w:val="0"/>
    <w:rPr>
      <w:rFonts w:asciiTheme="minorHAnsi" w:hAnsiTheme="minorHAnsi" w:eastAsiaTheme="minorEastAsia" w:cstheme="minorBidi"/>
      <w:b/>
      <w:bCs/>
      <w:kern w:val="2"/>
      <w:sz w:val="21"/>
      <w:szCs w:val="22"/>
    </w:rPr>
  </w:style>
  <w:style w:type="character" w:customStyle="1" w:styleId="36">
    <w:name w:val="批注框文本 字符"/>
    <w:basedOn w:val="21"/>
    <w:link w:val="14"/>
    <w:semiHidden/>
    <w:qFormat/>
    <w:uiPriority w:val="0"/>
    <w:rPr>
      <w:rFonts w:asciiTheme="minorHAnsi" w:hAnsiTheme="minorHAnsi" w:eastAsiaTheme="minorEastAsia" w:cstheme="minorBidi"/>
      <w:kern w:val="2"/>
      <w:sz w:val="18"/>
      <w:szCs w:val="18"/>
    </w:rPr>
  </w:style>
  <w:style w:type="character" w:customStyle="1" w:styleId="37">
    <w:name w:val="font41"/>
    <w:basedOn w:val="21"/>
    <w:qFormat/>
    <w:uiPriority w:val="0"/>
    <w:rPr>
      <w:rFonts w:hint="default" w:ascii="Arial" w:hAnsi="Arial" w:cs="Arial"/>
      <w:color w:val="000000"/>
      <w:sz w:val="20"/>
      <w:szCs w:val="20"/>
      <w:u w:val="none"/>
    </w:rPr>
  </w:style>
  <w:style w:type="character" w:customStyle="1" w:styleId="38">
    <w:name w:val="font21"/>
    <w:basedOn w:val="21"/>
    <w:qFormat/>
    <w:uiPriority w:val="0"/>
    <w:rPr>
      <w:rFonts w:hint="eastAsia" w:ascii="宋体" w:hAnsi="宋体" w:eastAsia="宋体" w:cs="宋体"/>
      <w:color w:val="000000"/>
      <w:sz w:val="20"/>
      <w:szCs w:val="20"/>
      <w:u w:val="none"/>
    </w:rPr>
  </w:style>
  <w:style w:type="character" w:customStyle="1" w:styleId="39">
    <w:name w:val="标题 2 Char"/>
    <w:link w:val="3"/>
    <w:qFormat/>
    <w:uiPriority w:val="0"/>
    <w:rPr>
      <w:rFonts w:ascii="Arial" w:hAnsi="Arial" w:eastAsia="仿宋"/>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png"/><Relationship Id="rId17" Type="http://www.wps.cn/officeDocument/2018/webExtension" Target="webExtensions/webExtension1.xml"/><Relationship Id="rId16" Type="http://schemas.openxmlformats.org/officeDocument/2006/relationships/chart" Target="charts/chart1.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sz="1200"/>
              <a:t>甘肃省高级人民法院</a:t>
            </a:r>
            <a:r>
              <a:rPr lang="en-US" altLang="zh-CN" sz="1200"/>
              <a:t>2023</a:t>
            </a:r>
            <a:r>
              <a:rPr altLang="en-US" sz="1200"/>
              <a:t>年度办案业务费</a:t>
            </a:r>
            <a:r>
              <a:rPr lang="zh-CN" sz="1200"/>
              <a:t>项目绩效评价指标得分情况</a:t>
            </a:r>
            <a:endParaRPr lang="zh-CN" sz="1200"/>
          </a:p>
        </c:rich>
      </c:tx>
      <c:layout>
        <c:manualLayout>
          <c:xMode val="edge"/>
          <c:yMode val="edge"/>
          <c:x val="0.137802015023896"/>
          <c:y val="0.0138260064151128"/>
        </c:manualLayout>
      </c:layout>
      <c:overlay val="0"/>
      <c:spPr>
        <a:noFill/>
        <a:ln>
          <a:noFill/>
        </a:ln>
        <a:effectLst/>
      </c:spPr>
    </c:title>
    <c:autoTitleDeleted val="0"/>
    <c:plotArea>
      <c:layout>
        <c:manualLayout>
          <c:layoutTarget val="inner"/>
          <c:xMode val="edge"/>
          <c:yMode val="edge"/>
          <c:x val="0.125233904767623"/>
          <c:y val="0.124365532381998"/>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Sheet1!$B$2:$B$6</c:f>
              <c:numCache>
                <c:formatCode>General</c:formatCode>
                <c:ptCount val="5"/>
                <c:pt idx="0">
                  <c:v>15</c:v>
                </c:pt>
                <c:pt idx="1">
                  <c:v>15</c:v>
                </c:pt>
                <c:pt idx="2">
                  <c:v>10</c:v>
                </c:pt>
                <c:pt idx="3">
                  <c:v>30</c:v>
                </c:pt>
                <c:pt idx="4">
                  <c:v>30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Sheet1!$C$2:$C$6</c:f>
              <c:numCache>
                <c:formatCode>General</c:formatCode>
                <c:ptCount val="5"/>
                <c:pt idx="0">
                  <c:v>15</c:v>
                </c:pt>
                <c:pt idx="1">
                  <c:v>12.31</c:v>
                </c:pt>
                <c:pt idx="2">
                  <c:v>10</c:v>
                </c:pt>
                <c:pt idx="3">
                  <c:v>28.1</c:v>
                </c:pt>
                <c:pt idx="4">
                  <c:v>30</c:v>
                </c:pt>
              </c:numCache>
            </c:numRef>
          </c:val>
        </c:ser>
        <c:ser>
          <c:idx val="2"/>
          <c:order val="2"/>
          <c:tx>
            <c:strRef>
              <c:f>Sheet1!$D$1</c:f>
              <c:strCache>
                <c:ptCount val="1"/>
                <c:pt idx="0">
                  <c:v>得分率</c:v>
                </c:pt>
              </c:strCache>
            </c:strRef>
          </c:tx>
          <c:spPr>
            <a:solidFill>
              <a:schemeClr val="accent3"/>
            </a:solidFill>
            <a:ln>
              <a:noFill/>
            </a:ln>
            <a:effectLst/>
          </c:spPr>
          <c:invertIfNegative val="0"/>
          <c:dLbls>
            <c:dLbl>
              <c:idx val="0"/>
              <c:layout>
                <c:manualLayout>
                  <c:x val="0.017531556802244"/>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544179523141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10378681626928"/>
                  <c:y val="0.0049350222075999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2791023842917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223235156615241"/>
                  <c:y val="-0.0023030103635466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Sheet1!$D$2:$D$6</c:f>
              <c:numCache>
                <c:formatCode>0.00%</c:formatCode>
                <c:ptCount val="5"/>
                <c:pt idx="0">
                  <c:v>1</c:v>
                </c:pt>
                <c:pt idx="1">
                  <c:v>0.820666666666667</c:v>
                </c:pt>
                <c:pt idx="2">
                  <c:v>1</c:v>
                </c:pt>
                <c:pt idx="3">
                  <c:v>0.936666666666667</c:v>
                </c:pt>
                <c:pt idx="4">
                  <c:v>1</c:v>
                </c:pt>
              </c:numCache>
            </c:numRef>
          </c:val>
        </c:ser>
        <c:dLbls>
          <c:showLegendKey val="0"/>
          <c:showVal val="1"/>
          <c:showCatName val="0"/>
          <c:showSerName val="0"/>
          <c:showPercent val="0"/>
          <c:showBubbleSize val="0"/>
        </c:dLbls>
        <c:gapWidth val="219"/>
        <c:overlap val="-27"/>
        <c:axId val="-1549276064"/>
        <c:axId val="-1549272256"/>
      </c:barChart>
      <c:catAx>
        <c:axId val="-15492760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2256"/>
        <c:crosses val="autoZero"/>
        <c:auto val="1"/>
        <c:lblAlgn val="ctr"/>
        <c:lblOffset val="100"/>
        <c:noMultiLvlLbl val="0"/>
      </c:catAx>
      <c:valAx>
        <c:axId val="-1549272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webExtensions/_rels/webExtension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package" Target="../embeddings/Workbook2.xlsx"/></Relationships>
</file>

<file path=word/webExtensions/webExtension1.xml><?xml version="1.0" encoding="utf-8"?>
<wpswe:webExtension xmlns:wpswe="http://www.wps.cn/officeDocument/2018/webExtension">
  <wpswe:extSource id="dschart" version="1.0"/>
  <wpswe:properties>
    <wpswe:property key="DiscardFirstCodeChange" value="0"/>
    <wpswe:property key="autoSnapshot" value="0"/>
    <wpswe:property key="dschart" value="{&quot;dschart_data&quot;:{&quot;blockId&quot;:&quot;161243067126556290&quot;,&quot;chart_type&quot;:&quot;饼图&quot;,&quot;classifty_type&quot;:[&quot;占比类&quot;],&quot;dataSrc&quot;:{&quot;data&quot;:[[[&quot;办案业务费项目预算资金分配占比情况统计图&quot;,&quot;单位（万元）&quot;],[&quot;甘肃省高级人民法院机关&quot;,&quot; 2,340.00 &quot;],[&quot;甘肃省林区中级法院&quot;,&quot; 110.00 &quot;],[&quot;祁连山林区法院&quot;,&quot; 80.00 &quot;],[&quot;小陇山林区法院&quot;,&quot; 80.00 &quot;],[&quot;白龙江林区法院&quot;,&quot; 80.00 &quot;],[&quot;洮河林区法院&quot;,&quot; 80.00 &quot;],[&quot;甘肃矿区人民法院&quot;,&quot; 100.00 &quot;],[&quot;兰州铁路运输中级法院&quot;,&quot; 190.00 &quot;],[&quot;兰州铁路运输法院&quot;,&quot; 100.00 &quot;],[&quot;武威铁路运输法院&quot;,&quot; 90.00 &quot;]]],&quot;dataType&quot;:&quot;object-table&quot;,&quot;download&quot;:false,&quot;srcType&quot;:&quot;local&quot;,&quot;url&quot;:&quot;&quot;},&quot;function_type&quot;:[&quot;饼图&quot;],&quot;gif&quot;:&quot;//web.docer.wpscdn.cn/docer/ds-page/images/5544734748594536493.gif?imageView2/2/w/500/quality/90&quot;,&quot;isFree&quot;:&quot;1&quot;,&quot;label&quot;:&quot;&lt;d-corner-pie-chart&gt;&quot;,&quot;projectId&quot;:&quot;5544734748594536493&quot;,&quot;props&quot;:{&quot;animation&quot;:{&quot;duration&quot;:&quot;1.5&quot;,&quot;easeStyle&quot;:&quot;&quot;,&quot;endPause&quot;:&quot;1&quot;,&quot;moveOptions&quot;:[&quot;轮子&quot;,&quot;百叶窗&quot;,&quot;折扇&quot;,&quot;径向展开&quot;],&quot;moveStyle&quot;:&quot;轮子&quot;,&quot;startDelay&quot;:&quot;0&quot;,&quot;transition&quot;:true},&quot;axis&quot;:&quot;&quot;,&quot;backgroundColor&quot;:&quot;#ffffff00&quot;,&quot;colors&quot;:{&quot;colorControlers&quot;:[&quot;multiple&quot;,&quot;linear&quot;],&quot;list&quot;:[0,1,2,3,4,5,6,7,8,9],&quot;type&quot;:&quot;multiple&quot;},&quot;display&quot;:{&quot;borderColor&quot;:&quot;#FFFFFF&quot;,&quot;borderWidth&quot;:&quot;1&quot;,&quot;cornerRadius&quot;:&quot;10&quot;,&quot;fillOpacity&quot;:&quot;1&quot;,&quot;gapPercentage&quot;:&quot;0&quot;,&quot;innerRadiusRatio&quot;:&quot;0&quot;},&quot;label&quot;:{&quot;contentChoice&quot;:[&quot;数值&quot;],&quot;contentOption&quot;:[&quot;名称&quot;,&quot;百分比&quot;,&quot;数值&quot;],&quot;display&quot;:true,&quot;positionChoice&quot;:&quot;外部&quot;,&quot;positionOptions&quot;:[&quot;内部周向&quot;,&quot;内部水平&quot;,&quot;外部&quot;],&quot;suffix&quot;:&quot;&quot;,&quot;textLabel&quot;:{&quot;color&quot;:&quot;#545454&quot;,&quot;fontFamily&quot;:&quot;宋体&quot;,&quot;fontSize&quot;:&quot;14&quot;}},&quot;legend&quot;:{&quot;color&quot;:[&quot;#545454&quot;],&quot;fontFamily&quot;:&quot;宋体&quot;,&quot;fontSize&quot;:&quot;14&quot;,&quot;lineHeight&quot;:&quot;15&quot;,&quot;show&quot;:true,&quot;style&quot;:&quot;&quot;,&quot;styleOptions&quot;:&quot;&quot;,&quot;xPosition&quot;:&quot;center&quot;,&quot;yPosition&quot;:&quot;bottom&quot;},&quot;logoDisplay&quot;:{&quot;bottomLineHeight&quot;:&quot;15&quot;,&quot;imgHeight&quot;:&quot;32&quot;,&quot;imgUrl&quot;:&quot;https://ss1.dydata.io/newchartLogo.png&quot;,&quot;show&quot;:true,&quot;topLineHeight&quot;:&quot;11&quot;},&quot;map&quot;:[[{&quot;allowType&quot;:[&quot;string&quot;],&quot;configurable&quot;:false,&quot;function&quot;:&quot;objCol&quot;,&quot;index&quot;:0,&quot;isLegend&quot;:true,&quot;name&quot;:&quot;名称&quot;},{&quot;allowType&quot;:[&quot;number&quot;],&quot;configurable&quot;:false,&quot;function&quot;:&quot;vCol&quot;,&quot;index&quot;:1,&quot;isLegend&quot;:false,&quot;name&quot;:&quot;值&quot;}]],&quot;numberFormat&quot;:{&quot;decimalPlaces&quot;:&quot;&quot;,&quot;style&quot;:&quot;1000.00&quot;},&quot;paddings&quot;:{&quot;bottom&quot;:&quot;33&quot;,&quot;chartBottom&quot;:&quot;5&quot;,&quot;left&quot;:&quot;24&quot;,&quot;right&quot;:&quot;24&quot;,&quot;top&quot;:&quot;24&quot;},&quot;publishDisplay&quot;:{&quot;color&quot;:&quot;#878787&quot;,&quot;fontFamily&quot;:&quot;黑体&quot;,&quot;fontSize&quot;:&quot;14&quot;,&quot;show&quot;:true,&quot;text&quot;:&quot;镝数出品&quot;},&quot;shadow&quot;:{&quot;display&quot;:false,&quot;shadowAngle&quot;:&quot;45&quot;,&quot;shadowBlur&quot;:&quot;5&quot;,&quot;shadowColor&quot;:&quot;#c6c6c6&quot;,&quot;shadowOpacity&quot;:&quot;100&quot;,&quot;shadowRadius&quot;:&quot;3&quot;},&quot;size&quot;:{&quot;height&quot;:341.8181818181818,&quot;ratio&quot;:&quot;&quot;,&quot;rotate&quot;:0,&quot;width&quot;:570},&quot;sourceDisplay&quot;:{&quot;color&quot;:&quot;#878787&quot;,&quot;fontFamily&quot;:&quot;黑体&quot;,&quot;fontSize&quot;:&quot;14&quot;,&quot;show&quot;:false,&quot;text&quot;:&quot;数据来源：示例数据&quot;,&quot;topLineHeight&quot;:&quot;15&quot;,&quot;xPosition&quot;:&quot;left&quot;,&quot;yPosition&quot;:&quot;bottom&quot;},&quot;titleDisplay&quot;:{&quot;color&quot;:&quot;#4c4c4c&quot;,&quot;fontFamily&quot;:&quot;宋体&quot;,&quot;fontSize&quot;:&quot;28&quot;,&quot;lineHeight&quot;:&quot;10&quot;,&quot;show&quot;:false,&quot;text&quot;:&quot;中国网红受教育水平&quot;,&quot;totalHeight&quot;:&quot;39&quot;,&quot;xPosition&quot;:&quot;left&quot;,&quot;yPosition&quot;:&quot;top&quot;},&quot;tooltip&quot;:true,&quot;unitDisplay&quot;:{&quot;bottomLineHeight&quot;:&quot;15&quot;,&quot;color&quot;:&quot;#878787&quot;,&quot;fontFamily&quot;:&quot;宋体&quot;,&quot;fontSize&quot;:&quot;14&quot;,&quot;show&quot;:false,&quot;text&quot;:&quot;单位：%&quot;,&quot;xPosition&quot;:&quot;left&quot;,&quot;yPosition&quot;:&quot;top&quot;},&quot;watermarkDisplay&quot;:{&quot;imgHeight&quot;:&quot;80&quot;,&quot;imgUrl&quot;:&quot;https://ss1.dydata.io/newchartWatermark.png&quot;,&quot;imgWidth&quot;:&quot;80&quot;,&quot;show&quot;:false}},&quot;templateId&quot;:&quot;5544734748594536493-1&quot;,&quot;templateSwitch&quot;:&quot;key-value&quot;,&quot;theme&quot;:{&quot;_id&quot;:17,&quot;axis&quot;:{&quot;color&quot;:&quot;#a1a1a1&quot;},&quot;backgroundColor&quot;:&quot;#FFFFFF&quot;,&quot;card_color&quot;:&quot;#FEF5EF&quot;,&quot;colors&quot;:[&quot;#4150d8&quot;,&quot;#28bf7e&quot;,&quot;#ed7c2f&quot;,&quot;#f2a93b&quot;,&quot;#f9cf36&quot;,&quot;#4a5bdc&quot;,&quot;#4cd698&quot;,&quot;#f4914e&quot;,&quot;#fcb75b&quot;,&quot;#ffe180&quot;,&quot;#b6c2ff&quot;,&quot;#96edc1&quot;,&quot;#ffbe92&quot;,&quot;#ffd6ae&quot;,&quot;#ffecb6&quot;],&quot;fonts&quot;:{&quot;accessoryColor&quot;:&quot;#878787&quot;,&quot;color&quot;:&quot;#545454&quot;,&quot;fontFamily&quot;:&quot;阿里巴巴普惠体 常规&quot;,&quot;fontSize&quot;:&quot;14&quot;},&quot;grid&quot;:{&quot;color&quot;:&quot;#ccc&quot;},&quot;name&quot;:&quot;煦色韶光&quot;,&quot;price&quot;:&quot;0.0&quot;,&quot;shapeColor&quot;:1,&quot;themeId&quot;:&quot;17&quot;,&quot;thumb&quot;:&quot;https://ss1.dydata.io/v2/themes/17.png&quot;,&quot;titleFont&quot;:{&quot;color&quot;:&quot;#4c4c4c&quot;,&quot;fontFamily&quot;:&quot;阿里巴巴普惠体 常规&quot;,&quot;fontSize&quot;:&quot;36&quot;},&quot;typeDycharts&quot;:&quot;&quot;},&quot;thumb&quot;:&quot;./images/5544734748594536493-1.png&quot;,&quot;title&quot;:&quot;基础饼图（圆角）&quot;,&quot;type&quot;:&quot;chart&quot;},&quot;dschart_id&quot;:&quot;5544734748594536493-1&quot;,&quot;id&quot;:&quot;226&quot;}"/>
    <wpswe:property key="isUseCommonErrorPage" value="false"/>
    <wpswe:property key="loadingImage" value="res:/icons/WebChartLoading_wps.svg"/>
  </wpswe:properties>
  <wpswe:watchingCache>
    <wpswe:linkPath>C:/Users/甘肃臻审/AppData/Local/Temp/wps.ZxyPQJ/Workbook2.xlsx</wpswe:linkPath>
  </wpswe:watchingCache>
  <wpswe:snapshot xmlns:r="http://schemas.openxmlformats.org/officeDocument/2006/relationships" r:embed="rId2"/>
  <wpswe:externalData xmlns:r="http://schemas.openxmlformats.org/officeDocument/2006/relationships" r:id="rId1"/>
  <wpswe:url>https://clientweb.docer.wps.cn//docer-ds/web-shape-1.0.0/?id=226&amp;dschart_id=5544734748594536493-1&amp;from=writer&amp;productEntry=insert&amp;sceneEntry=rec-90</wpswe:url>
  <wpswe:constantSnapshot>false</wpswe:constantSnapshot>
</wps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FDBD11-1D92-48EC-A2E2-01E0962C9A4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42</Pages>
  <Words>18100</Words>
  <Characters>20137</Characters>
  <Lines>168</Lines>
  <Paragraphs>47</Paragraphs>
  <TotalTime>0</TotalTime>
  <ScaleCrop>false</ScaleCrop>
  <LinksUpToDate>false</LinksUpToDate>
  <CharactersWithSpaces>20477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2023-08-31T02:58:00Z</dcterms:created>
  <dc:creator>1129</dc:creator>
  <cp:lastModifiedBy>燕子 13893107503</cp:lastModifiedBy>
  <cp:lastPrinted>2024-07-09T08:19:00Z</cp:lastPrinted>
  <dcterms:modified xsi:type="dcterms:W3CDTF">2024-08-12T07:57:56Z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91E1380BC83C4E6287875E4830AA8916_13</vt:lpwstr>
  </property>
</Properties>
</file>