
<file path=[Content_Types].xml><?xml version="1.0" encoding="utf-8"?>
<Types xmlns="http://schemas.openxmlformats.org/package/2006/content-types">
  <Default Extension="xml" ContentType="application/xml"/>
  <Default Extension="xlsx" ContentType="application/vnd.openxmlformats-officedocument.spreadsheetml.sheet"/>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C39C63">
      <w:pPr>
        <w:pStyle w:val="9"/>
        <w:overflowPunct w:val="0"/>
        <w:spacing w:line="680" w:lineRule="exact"/>
        <w:rPr>
          <w:rFonts w:hint="eastAsia" w:ascii="仿宋_GB2312"/>
        </w:rPr>
      </w:pPr>
    </w:p>
    <w:p w14:paraId="5C61758A">
      <w:pPr>
        <w:overflowPunct w:val="0"/>
        <w:spacing w:line="680" w:lineRule="exact"/>
        <w:ind w:left="6" w:right="4"/>
        <w:jc w:val="center"/>
        <w:rPr>
          <w:rFonts w:ascii="宋体" w:hAnsi="宋体" w:eastAsia="宋体" w:cs="Times New Roman"/>
          <w:b/>
          <w:sz w:val="44"/>
          <w:szCs w:val="44"/>
        </w:rPr>
      </w:pPr>
    </w:p>
    <w:p w14:paraId="2F570355">
      <w:pPr>
        <w:overflowPunct w:val="0"/>
        <w:spacing w:line="680" w:lineRule="exact"/>
        <w:ind w:left="6" w:right="4"/>
        <w:jc w:val="center"/>
        <w:rPr>
          <w:rFonts w:ascii="宋体" w:hAnsi="宋体" w:eastAsia="宋体" w:cs="Times New Roman"/>
          <w:b/>
          <w:sz w:val="44"/>
          <w:szCs w:val="44"/>
        </w:rPr>
      </w:pPr>
    </w:p>
    <w:p w14:paraId="254A603A">
      <w:pPr>
        <w:overflowPunct w:val="0"/>
        <w:spacing w:line="680" w:lineRule="exact"/>
        <w:ind w:left="6" w:right="4"/>
        <w:jc w:val="center"/>
        <w:rPr>
          <w:rFonts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sz w:val="44"/>
          <w:szCs w:val="44"/>
        </w:rPr>
        <w:t>2023年度</w:t>
      </w:r>
      <w:r>
        <w:rPr>
          <w:rFonts w:hint="eastAsia" w:ascii="方正小标宋简体" w:hAnsi="方正小标宋简体" w:eastAsia="方正小标宋简体" w:cs="方正小标宋简体"/>
          <w:sz w:val="44"/>
          <w:szCs w:val="44"/>
          <w:lang w:val="en-US" w:eastAsia="zh-CN"/>
        </w:rPr>
        <w:t>甘肃省高级人民法院</w:t>
      </w:r>
      <w:r>
        <w:rPr>
          <w:rFonts w:hint="eastAsia" w:ascii="方正小标宋简体" w:hAnsi="方正小标宋简体" w:eastAsia="方正小标宋简体" w:cs="方正小标宋简体"/>
          <w:sz w:val="44"/>
          <w:szCs w:val="44"/>
        </w:rPr>
        <w:t>重点项目</w:t>
      </w:r>
    </w:p>
    <w:p w14:paraId="58E02D19">
      <w:pPr>
        <w:overflowPunct w:val="0"/>
        <w:spacing w:line="680" w:lineRule="exact"/>
        <w:ind w:left="6" w:right="4"/>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w:t>
      </w:r>
      <w:r>
        <w:rPr>
          <w:rFonts w:hint="eastAsia" w:ascii="方正小标宋简体" w:hAnsi="方正小标宋简体" w:eastAsia="方正小标宋简体" w:cs="方正小标宋简体"/>
          <w:sz w:val="44"/>
          <w:szCs w:val="44"/>
          <w:lang w:val="en-US" w:eastAsia="zh-CN"/>
        </w:rPr>
        <w:t>设备购置费项目</w:t>
      </w:r>
      <w:r>
        <w:rPr>
          <w:rFonts w:hint="eastAsia" w:ascii="方正小标宋简体" w:hAnsi="方正小标宋简体" w:eastAsia="方正小标宋简体" w:cs="方正小标宋简体"/>
          <w:sz w:val="44"/>
          <w:szCs w:val="44"/>
        </w:rPr>
        <w:t>绩效评价报告</w:t>
      </w:r>
    </w:p>
    <w:p w14:paraId="5C712986">
      <w:pPr>
        <w:pStyle w:val="9"/>
        <w:overflowPunct w:val="0"/>
        <w:spacing w:line="680" w:lineRule="exact"/>
        <w:rPr>
          <w:sz w:val="56"/>
        </w:rPr>
      </w:pPr>
    </w:p>
    <w:p w14:paraId="7FFCB7F9">
      <w:pPr>
        <w:pStyle w:val="10"/>
      </w:pPr>
    </w:p>
    <w:p w14:paraId="70722144">
      <w:pPr>
        <w:pStyle w:val="9"/>
        <w:overflowPunct w:val="0"/>
        <w:spacing w:line="680" w:lineRule="exact"/>
        <w:rPr>
          <w:sz w:val="56"/>
        </w:rPr>
      </w:pPr>
    </w:p>
    <w:p w14:paraId="4329777D">
      <w:pPr>
        <w:pStyle w:val="10"/>
        <w:rPr>
          <w:sz w:val="56"/>
        </w:rPr>
      </w:pPr>
    </w:p>
    <w:p w14:paraId="0E051F44">
      <w:pPr>
        <w:spacing w:line="578" w:lineRule="exact"/>
        <w:ind w:firstLine="300" w:firstLineChars="100"/>
        <w:rPr>
          <w:rFonts w:ascii="仿宋_GB2312" w:hAnsi="仿宋" w:eastAsia="仿宋_GB2312" w:cs="仿宋"/>
          <w:sz w:val="30"/>
          <w:szCs w:val="32"/>
          <w:u w:val="single"/>
        </w:rPr>
      </w:pPr>
      <w:r>
        <w:rPr>
          <w:rFonts w:hint="eastAsia" w:ascii="仿宋_GB2312" w:hAnsi="仿宋" w:eastAsia="仿宋_GB2312" w:cs="仿宋"/>
          <w:sz w:val="30"/>
          <w:szCs w:val="32"/>
        </w:rPr>
        <w:t>评价类型：</w:t>
      </w:r>
      <w:r>
        <w:rPr>
          <w:rFonts w:hint="eastAsia" w:ascii="仿宋_GB2312" w:hAnsi="仿宋" w:eastAsia="仿宋_GB2312" w:cs="仿宋"/>
          <w:sz w:val="30"/>
          <w:szCs w:val="32"/>
          <w:u w:val="single"/>
          <w:lang w:eastAsia="zh-CN"/>
        </w:rPr>
        <w:t>□</w:t>
      </w:r>
      <w:r>
        <w:rPr>
          <w:rFonts w:hint="eastAsia" w:ascii="仿宋_GB2312" w:hAnsi="仿宋" w:eastAsia="仿宋_GB2312" w:cs="仿宋"/>
          <w:sz w:val="30"/>
          <w:szCs w:val="32"/>
          <w:u w:val="single"/>
        </w:rPr>
        <w:t>实施过程评价</w:t>
      </w: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lang w:eastAsia="zh-CN"/>
        </w:rPr>
        <w:t>☑</w:t>
      </w:r>
      <w:r>
        <w:rPr>
          <w:rFonts w:hint="eastAsia" w:ascii="仿宋_GB2312" w:hAnsi="仿宋" w:eastAsia="仿宋_GB2312" w:cs="仿宋"/>
          <w:sz w:val="30"/>
          <w:szCs w:val="32"/>
          <w:u w:val="single"/>
        </w:rPr>
        <w:t>完成结果评价</w:t>
      </w:r>
    </w:p>
    <w:p w14:paraId="07B69C2A">
      <w:pPr>
        <w:spacing w:line="578" w:lineRule="exact"/>
        <w:ind w:left="1800" w:right="456" w:rightChars="217" w:hanging="1800" w:hangingChars="600"/>
        <w:jc w:val="left"/>
        <w:rPr>
          <w:rFonts w:hint="eastAsia" w:ascii="仿宋_GB2312" w:hAnsi="仿宋" w:eastAsia="仿宋_GB2312" w:cs="仿宋"/>
          <w:sz w:val="30"/>
          <w:szCs w:val="32"/>
          <w:u w:val="single"/>
        </w:rPr>
      </w:pPr>
      <w:r>
        <w:rPr>
          <w:rFonts w:hint="eastAsia" w:ascii="仿宋_GB2312" w:hAnsi="仿宋" w:eastAsia="仿宋_GB2312" w:cs="仿宋"/>
          <w:sz w:val="30"/>
          <w:szCs w:val="32"/>
        </w:rPr>
        <w:t xml:space="preserve">  项目名称：</w:t>
      </w:r>
      <w:r>
        <w:rPr>
          <w:rFonts w:hint="eastAsia" w:ascii="仿宋_GB2312" w:hAnsi="仿宋" w:eastAsia="仿宋_GB2312" w:cs="仿宋"/>
          <w:sz w:val="30"/>
          <w:szCs w:val="32"/>
          <w:u w:val="single"/>
        </w:rPr>
        <w:t xml:space="preserve"> 2023年度</w:t>
      </w:r>
      <w:r>
        <w:rPr>
          <w:rFonts w:hint="eastAsia" w:ascii="仿宋_GB2312" w:hAnsi="仿宋" w:eastAsia="仿宋_GB2312" w:cs="仿宋"/>
          <w:sz w:val="30"/>
          <w:szCs w:val="32"/>
          <w:u w:val="single"/>
          <w:lang w:val="en-US" w:eastAsia="zh-CN"/>
        </w:rPr>
        <w:t>甘肃省高级人民法院</w:t>
      </w:r>
      <w:r>
        <w:rPr>
          <w:rFonts w:hint="eastAsia" w:ascii="仿宋_GB2312" w:hAnsi="仿宋" w:eastAsia="仿宋_GB2312" w:cs="仿宋"/>
          <w:sz w:val="30"/>
          <w:szCs w:val="32"/>
          <w:u w:val="single"/>
        </w:rPr>
        <w:t>重点项目</w:t>
      </w:r>
    </w:p>
    <w:p w14:paraId="1B7F93E9">
      <w:pPr>
        <w:spacing w:line="578" w:lineRule="exact"/>
        <w:ind w:left="1791" w:leftChars="710" w:right="456" w:rightChars="217" w:hanging="300" w:hangingChars="100"/>
        <w:jc w:val="left"/>
        <w:rPr>
          <w:rFonts w:hint="default" w:ascii="仿宋_GB2312" w:hAnsi="仿宋" w:eastAsia="仿宋_GB2312" w:cs="仿宋"/>
          <w:sz w:val="30"/>
          <w:szCs w:val="32"/>
          <w:lang w:val="en-US" w:eastAsia="zh-CN"/>
        </w:rPr>
      </w:pP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rPr>
        <w:t>——</w:t>
      </w:r>
      <w:r>
        <w:rPr>
          <w:rFonts w:hint="eastAsia" w:ascii="仿宋_GB2312" w:hAnsi="仿宋" w:eastAsia="仿宋_GB2312" w:cs="仿宋"/>
          <w:sz w:val="30"/>
          <w:szCs w:val="32"/>
          <w:u w:val="single"/>
          <w:lang w:val="en-US" w:eastAsia="zh-CN"/>
        </w:rPr>
        <w:t xml:space="preserve">设备购置费   </w:t>
      </w:r>
    </w:p>
    <w:p w14:paraId="0D0D92C5">
      <w:pPr>
        <w:spacing w:line="578" w:lineRule="exact"/>
        <w:ind w:left="1800" w:right="456" w:rightChars="217" w:hanging="1800" w:hangingChars="600"/>
        <w:jc w:val="left"/>
        <w:rPr>
          <w:rFonts w:ascii="仿宋_GB2312" w:hAnsi="仿宋" w:eastAsia="仿宋_GB2312" w:cs="仿宋"/>
          <w:sz w:val="30"/>
          <w:szCs w:val="32"/>
        </w:rPr>
      </w:pPr>
      <w:r>
        <w:rPr>
          <w:rFonts w:hint="eastAsia" w:ascii="仿宋_GB2312" w:hAnsi="仿宋" w:eastAsia="仿宋_GB2312" w:cs="仿宋"/>
          <w:sz w:val="30"/>
          <w:szCs w:val="32"/>
        </w:rPr>
        <w:t xml:space="preserve">  </w:t>
      </w:r>
      <w:r>
        <w:rPr>
          <w:rFonts w:hint="eastAsia" w:ascii="仿宋_GB2312" w:hAnsi="仿宋" w:eastAsia="仿宋_GB2312" w:cs="仿宋"/>
          <w:sz w:val="30"/>
          <w:szCs w:val="32"/>
          <w:lang w:val="en-US" w:eastAsia="zh-CN"/>
        </w:rPr>
        <w:t>主管部门</w:t>
      </w:r>
      <w:r>
        <w:rPr>
          <w:rFonts w:hint="eastAsia" w:ascii="仿宋_GB2312" w:hAnsi="仿宋" w:eastAsia="仿宋_GB2312" w:cs="仿宋"/>
          <w:sz w:val="30"/>
          <w:szCs w:val="32"/>
        </w:rPr>
        <w:t>：</w:t>
      </w:r>
      <w:r>
        <w:rPr>
          <w:rFonts w:hint="eastAsia" w:ascii="仿宋_GB2312" w:hAnsi="仿宋" w:eastAsia="仿宋_GB2312" w:cs="仿宋"/>
          <w:sz w:val="30"/>
          <w:szCs w:val="32"/>
          <w:u w:val="single"/>
        </w:rPr>
        <w:t xml:space="preserve"> </w:t>
      </w:r>
      <w:r>
        <w:rPr>
          <w:rFonts w:hint="eastAsia" w:ascii="仿宋_GB2312" w:hAnsi="仿宋" w:eastAsia="仿宋_GB2312" w:cs="仿宋"/>
          <w:sz w:val="30"/>
          <w:szCs w:val="32"/>
          <w:u w:val="single"/>
          <w:lang w:val="en-US" w:eastAsia="zh-CN"/>
        </w:rPr>
        <w:t>甘肃省高级人民法院</w:t>
      </w:r>
      <w:r>
        <w:rPr>
          <w:rFonts w:hint="eastAsia" w:ascii="仿宋_GB2312" w:hAnsi="仿宋" w:eastAsia="仿宋_GB2312" w:cs="仿宋"/>
          <w:sz w:val="30"/>
          <w:szCs w:val="32"/>
          <w:u w:val="single"/>
        </w:rPr>
        <w:t xml:space="preserve"> </w:t>
      </w:r>
    </w:p>
    <w:p w14:paraId="605E4AB2">
      <w:pPr>
        <w:spacing w:line="578" w:lineRule="exact"/>
        <w:ind w:left="1800" w:right="456" w:rightChars="217" w:hanging="1800" w:hangingChars="600"/>
        <w:jc w:val="left"/>
        <w:rPr>
          <w:rFonts w:ascii="仿宋_GB2312" w:hAnsi="仿宋" w:eastAsia="仿宋_GB2312" w:cs="仿宋"/>
          <w:sz w:val="30"/>
          <w:szCs w:val="32"/>
          <w:u w:val="single"/>
        </w:rPr>
      </w:pPr>
      <w:r>
        <w:rPr>
          <w:rFonts w:hint="eastAsia" w:ascii="仿宋_GB2312" w:hAnsi="仿宋" w:eastAsia="仿宋_GB2312" w:cs="仿宋"/>
          <w:sz w:val="30"/>
          <w:szCs w:val="32"/>
        </w:rPr>
        <w:t xml:space="preserve">  评价时间： </w:t>
      </w:r>
      <w:r>
        <w:rPr>
          <w:rFonts w:hint="eastAsia" w:ascii="仿宋_GB2312" w:hAnsi="仿宋" w:eastAsia="仿宋_GB2312" w:cs="仿宋"/>
          <w:sz w:val="30"/>
          <w:szCs w:val="32"/>
          <w:u w:val="single"/>
        </w:rPr>
        <w:t>2023年01月01日至 2023年12月31日</w:t>
      </w:r>
    </w:p>
    <w:p w14:paraId="0B1ABB53">
      <w:pPr>
        <w:spacing w:line="578" w:lineRule="exact"/>
        <w:ind w:left="1800" w:right="456" w:rightChars="217" w:hanging="1800" w:hangingChars="600"/>
        <w:jc w:val="left"/>
        <w:rPr>
          <w:rFonts w:ascii="仿宋_GB2312" w:hAnsi="仿宋" w:eastAsia="仿宋_GB2312" w:cs="仿宋"/>
          <w:sz w:val="30"/>
          <w:szCs w:val="32"/>
        </w:rPr>
      </w:pPr>
      <w:r>
        <w:rPr>
          <w:rFonts w:hint="eastAsia" w:ascii="仿宋_GB2312" w:hAnsi="仿宋" w:eastAsia="仿宋_GB2312" w:cs="仿宋"/>
          <w:sz w:val="30"/>
          <w:szCs w:val="32"/>
        </w:rPr>
        <w:t xml:space="preserve">  组织方式：</w:t>
      </w:r>
      <w:r>
        <w:rPr>
          <w:rFonts w:hint="eastAsia" w:ascii="仿宋_GB2312" w:hAnsi="仿宋" w:eastAsia="仿宋_GB2312" w:cs="仿宋"/>
          <w:sz w:val="30"/>
          <w:szCs w:val="32"/>
          <w:u w:val="single"/>
        </w:rPr>
        <w:t>□财政部门</w:t>
      </w: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rPr>
        <w:t xml:space="preserve"> </w:t>
      </w:r>
      <w:r>
        <w:rPr>
          <w:rFonts w:hint="eastAsia" w:ascii="仿宋_GB2312" w:hAnsi="仿宋" w:eastAsia="仿宋_GB2312" w:cs="仿宋"/>
          <w:sz w:val="30"/>
          <w:szCs w:val="32"/>
          <w:u w:val="single"/>
          <w:lang w:eastAsia="zh-CN"/>
        </w:rPr>
        <w:t>☑</w:t>
      </w:r>
      <w:r>
        <w:rPr>
          <w:rFonts w:hint="eastAsia" w:ascii="仿宋_GB2312" w:hAnsi="仿宋" w:eastAsia="仿宋_GB2312" w:cs="仿宋"/>
          <w:sz w:val="30"/>
          <w:szCs w:val="32"/>
          <w:u w:val="single"/>
        </w:rPr>
        <w:t>主管部门</w:t>
      </w: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lang w:eastAsia="zh-CN"/>
        </w:rPr>
        <w:t>□</w:t>
      </w:r>
      <w:r>
        <w:rPr>
          <w:rFonts w:hint="eastAsia" w:ascii="仿宋_GB2312" w:hAnsi="仿宋" w:eastAsia="仿宋_GB2312" w:cs="仿宋"/>
          <w:sz w:val="30"/>
          <w:szCs w:val="32"/>
          <w:u w:val="single"/>
        </w:rPr>
        <w:t>项目单位</w:t>
      </w:r>
      <w:r>
        <w:rPr>
          <w:rFonts w:hint="eastAsia" w:ascii="仿宋_GB2312" w:hAnsi="仿宋" w:eastAsia="仿宋_GB2312" w:cs="仿宋"/>
          <w:sz w:val="30"/>
          <w:szCs w:val="32"/>
        </w:rPr>
        <w:t xml:space="preserve"> </w:t>
      </w:r>
    </w:p>
    <w:p w14:paraId="0CA36857">
      <w:pPr>
        <w:spacing w:line="578" w:lineRule="exact"/>
        <w:ind w:left="1800" w:right="456" w:rightChars="217" w:hanging="1800" w:hangingChars="600"/>
        <w:jc w:val="left"/>
        <w:rPr>
          <w:rFonts w:ascii="仿宋_GB2312" w:hAnsi="仿宋" w:eastAsia="仿宋_GB2312" w:cs="仿宋"/>
          <w:sz w:val="30"/>
          <w:szCs w:val="32"/>
        </w:rPr>
      </w:pPr>
      <w:r>
        <w:rPr>
          <w:rFonts w:hint="eastAsia" w:ascii="仿宋_GB2312" w:hAnsi="仿宋" w:eastAsia="仿宋_GB2312" w:cs="仿宋"/>
          <w:sz w:val="30"/>
          <w:szCs w:val="32"/>
        </w:rPr>
        <w:t xml:space="preserve">  评价机构：</w:t>
      </w:r>
      <w:r>
        <w:rPr>
          <w:rFonts w:hint="eastAsia" w:ascii="仿宋_GB2312" w:hAnsi="仿宋" w:eastAsia="仿宋_GB2312" w:cs="仿宋"/>
          <w:sz w:val="30"/>
          <w:szCs w:val="32"/>
          <w:u w:val="single"/>
        </w:rPr>
        <w:t>☑中介机构</w:t>
      </w: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rPr>
        <w:t>□专家组</w:t>
      </w: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rPr>
        <w:t>□项目单位评价组</w:t>
      </w:r>
    </w:p>
    <w:p w14:paraId="33F2334E">
      <w:pPr>
        <w:spacing w:line="578" w:lineRule="exact"/>
        <w:rPr>
          <w:rFonts w:ascii="仿宋_GB2312" w:hAnsi="仿宋" w:eastAsia="仿宋_GB2312" w:cs="仿宋"/>
          <w:sz w:val="30"/>
          <w:szCs w:val="32"/>
        </w:rPr>
      </w:pPr>
    </w:p>
    <w:p w14:paraId="76F5281E">
      <w:pPr>
        <w:spacing w:line="578" w:lineRule="exact"/>
        <w:ind w:left="4800" w:hanging="4800" w:hangingChars="1600"/>
        <w:rPr>
          <w:rFonts w:hint="eastAsia" w:ascii="仿宋_GB2312" w:hAnsi="仿宋" w:eastAsia="仿宋_GB2312" w:cs="仿宋"/>
          <w:sz w:val="30"/>
          <w:szCs w:val="32"/>
        </w:rPr>
      </w:pPr>
      <w:r>
        <w:rPr>
          <w:rFonts w:hint="eastAsia" w:ascii="仿宋_GB2312" w:hAnsi="仿宋" w:eastAsia="仿宋_GB2312" w:cs="仿宋"/>
          <w:sz w:val="30"/>
          <w:szCs w:val="32"/>
        </w:rPr>
        <w:t xml:space="preserve">           </w:t>
      </w:r>
    </w:p>
    <w:p w14:paraId="0D555EAC">
      <w:pPr>
        <w:spacing w:line="578" w:lineRule="exact"/>
        <w:ind w:left="4800" w:hanging="4800" w:hangingChars="1600"/>
        <w:rPr>
          <w:rFonts w:ascii="仿宋_GB2312" w:hAnsi="仿宋" w:eastAsia="仿宋_GB2312" w:cs="仿宋"/>
          <w:sz w:val="30"/>
          <w:szCs w:val="32"/>
        </w:rPr>
      </w:pPr>
      <w:r>
        <w:rPr>
          <w:rFonts w:hint="eastAsia" w:ascii="仿宋_GB2312" w:hAnsi="仿宋" w:eastAsia="仿宋_GB2312" w:cs="仿宋"/>
          <w:sz w:val="30"/>
          <w:szCs w:val="32"/>
        </w:rPr>
        <w:t xml:space="preserve">  </w:t>
      </w:r>
    </w:p>
    <w:p w14:paraId="61D8BD8F">
      <w:pPr>
        <w:spacing w:line="578" w:lineRule="exact"/>
        <w:ind w:right="456" w:rightChars="217" w:firstLine="300" w:firstLineChars="100"/>
        <w:jc w:val="center"/>
        <w:rPr>
          <w:rFonts w:ascii="宋体" w:hAnsi="宋体" w:eastAsia="宋体" w:cs="宋体"/>
          <w:sz w:val="30"/>
          <w:szCs w:val="32"/>
        </w:rPr>
      </w:pPr>
      <w:r>
        <w:rPr>
          <w:rFonts w:hint="eastAsia" w:ascii="宋体" w:hAnsi="宋体" w:eastAsia="宋体" w:cs="宋体"/>
          <w:sz w:val="30"/>
          <w:szCs w:val="32"/>
        </w:rPr>
        <w:t>评价单位：甘肃卓诚财务咨询有限公司</w:t>
      </w:r>
    </w:p>
    <w:p w14:paraId="44002BC0">
      <w:pPr>
        <w:spacing w:line="578" w:lineRule="exact"/>
        <w:ind w:right="456" w:rightChars="217" w:firstLine="1500" w:firstLineChars="500"/>
        <w:jc w:val="both"/>
        <w:rPr>
          <w:rFonts w:hint="default" w:ascii="宋体" w:hAnsi="宋体" w:eastAsia="宋体" w:cs="宋体"/>
          <w:sz w:val="30"/>
          <w:szCs w:val="32"/>
          <w:highlight w:val="none"/>
          <w:lang w:val="en-US" w:eastAsia="zh-CN"/>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720" w:num="1"/>
          <w:titlePg/>
          <w:docGrid w:type="lines" w:linePitch="312" w:charSpace="0"/>
        </w:sectPr>
      </w:pPr>
      <w:r>
        <w:rPr>
          <w:rFonts w:hint="eastAsia" w:ascii="宋体" w:hAnsi="宋体" w:eastAsia="宋体" w:cs="宋体"/>
          <w:sz w:val="30"/>
          <w:szCs w:val="32"/>
          <w:highlight w:val="none"/>
        </w:rPr>
        <w:t>编制日期：202</w:t>
      </w:r>
      <w:r>
        <w:rPr>
          <w:rFonts w:hint="eastAsia" w:ascii="宋体" w:hAnsi="宋体" w:eastAsia="宋体" w:cs="宋体"/>
          <w:sz w:val="30"/>
          <w:szCs w:val="32"/>
          <w:highlight w:val="none"/>
          <w:lang w:val="en-US" w:eastAsia="zh-CN"/>
        </w:rPr>
        <w:t>4</w:t>
      </w:r>
      <w:r>
        <w:rPr>
          <w:rFonts w:hint="eastAsia" w:ascii="宋体" w:hAnsi="宋体" w:eastAsia="宋体" w:cs="宋体"/>
          <w:sz w:val="30"/>
          <w:szCs w:val="32"/>
          <w:highlight w:val="none"/>
        </w:rPr>
        <w:t>年</w:t>
      </w:r>
      <w:r>
        <w:rPr>
          <w:rFonts w:hint="eastAsia" w:ascii="宋体" w:hAnsi="宋体" w:eastAsia="宋体" w:cs="宋体"/>
          <w:sz w:val="30"/>
          <w:szCs w:val="32"/>
          <w:highlight w:val="none"/>
          <w:lang w:val="en-US" w:eastAsia="zh-CN"/>
        </w:rPr>
        <w:t>7</w:t>
      </w:r>
      <w:r>
        <w:rPr>
          <w:rFonts w:hint="eastAsia" w:ascii="宋体" w:hAnsi="宋体" w:eastAsia="宋体" w:cs="宋体"/>
          <w:sz w:val="30"/>
          <w:szCs w:val="32"/>
          <w:highlight w:val="none"/>
        </w:rPr>
        <w:t>月</w:t>
      </w:r>
      <w:r>
        <w:rPr>
          <w:rFonts w:hint="eastAsia" w:ascii="宋体" w:hAnsi="宋体" w:eastAsia="宋体" w:cs="宋体"/>
          <w:sz w:val="30"/>
          <w:szCs w:val="32"/>
          <w:highlight w:val="none"/>
          <w:lang w:val="en-US" w:eastAsia="zh-CN"/>
        </w:rPr>
        <w:t>31日</w:t>
      </w:r>
    </w:p>
    <w:sdt>
      <w:sdtPr>
        <w:rPr>
          <w:rFonts w:hint="eastAsia" w:ascii="宋体" w:hAnsi="宋体" w:eastAsia="宋体" w:cs="宋体"/>
          <w:color w:val="FF0000"/>
          <w:sz w:val="40"/>
          <w:szCs w:val="40"/>
        </w:rPr>
        <w:id w:val="147453237"/>
        <w15:color w:val="DBDBDB"/>
        <w:docPartObj>
          <w:docPartGallery w:val="Table of Contents"/>
          <w:docPartUnique/>
        </w:docPartObj>
      </w:sdtPr>
      <w:sdtEndPr>
        <w:rPr>
          <w:rFonts w:hint="eastAsia" w:ascii="宋体" w:hAnsi="宋体" w:eastAsia="宋体" w:cs="宋体"/>
          <w:b/>
          <w:bCs/>
          <w:color w:val="FF0000"/>
          <w:sz w:val="32"/>
          <w:szCs w:val="44"/>
          <w:highlight w:val="yellow"/>
        </w:rPr>
      </w:sdtEndPr>
      <w:sdtContent>
        <w:p w14:paraId="6F5D661B">
          <w:pPr>
            <w:jc w:val="center"/>
            <w:rPr>
              <w:rFonts w:ascii="宋体" w:hAnsi="宋体" w:eastAsia="宋体" w:cs="宋体"/>
              <w:b/>
              <w:bCs/>
              <w:sz w:val="36"/>
              <w:szCs w:val="36"/>
            </w:rPr>
          </w:pPr>
          <w:r>
            <w:rPr>
              <w:rFonts w:hint="eastAsia" w:ascii="宋体" w:hAnsi="宋体" w:eastAsia="宋体" w:cs="宋体"/>
              <w:b/>
              <w:bCs/>
              <w:sz w:val="36"/>
              <w:szCs w:val="36"/>
            </w:rPr>
            <w:t>目  录</w:t>
          </w:r>
        </w:p>
        <w:p w14:paraId="04C6C059">
          <w:pPr>
            <w:pStyle w:val="16"/>
            <w:tabs>
              <w:tab w:val="right" w:leader="dot" w:pos="8306"/>
            </w:tabs>
            <w:rPr>
              <w:rFonts w:hint="eastAsia" w:ascii="宋体" w:hAnsi="宋体" w:eastAsia="宋体" w:cs="宋体"/>
              <w:sz w:val="28"/>
              <w:szCs w:val="28"/>
            </w:rPr>
          </w:pPr>
          <w:r>
            <w:rPr>
              <w:rFonts w:hint="eastAsia" w:ascii="宋体" w:hAnsi="宋体" w:eastAsia="宋体" w:cs="宋体"/>
              <w:b/>
              <w:bCs/>
              <w:sz w:val="28"/>
              <w:szCs w:val="28"/>
              <w:highlight w:val="yellow"/>
            </w:rPr>
            <w:fldChar w:fldCharType="begin"/>
          </w:r>
          <w:r>
            <w:rPr>
              <w:rFonts w:hint="eastAsia" w:ascii="宋体" w:hAnsi="宋体" w:eastAsia="宋体" w:cs="宋体"/>
              <w:b/>
              <w:bCs/>
              <w:sz w:val="28"/>
              <w:szCs w:val="28"/>
              <w:highlight w:val="yellow"/>
            </w:rPr>
            <w:instrText xml:space="preserve">TOC \o "1-2" \h \u </w:instrText>
          </w:r>
          <w:r>
            <w:rPr>
              <w:rFonts w:hint="eastAsia" w:ascii="宋体" w:hAnsi="宋体" w:eastAsia="宋体" w:cs="宋体"/>
              <w:b/>
              <w:bCs/>
              <w:sz w:val="28"/>
              <w:szCs w:val="28"/>
              <w:highlight w:val="yellow"/>
            </w:rPr>
            <w:fldChar w:fldCharType="separate"/>
          </w:r>
          <w:r>
            <w:rPr>
              <w:rFonts w:hint="eastAsia" w:ascii="宋体" w:hAnsi="宋体" w:eastAsia="宋体" w:cs="宋体"/>
              <w:b/>
              <w:bCs/>
              <w:sz w:val="28"/>
              <w:szCs w:val="28"/>
              <w:highlight w:val="yellow"/>
            </w:rPr>
            <w:fldChar w:fldCharType="begin"/>
          </w:r>
          <w:r>
            <w:rPr>
              <w:rFonts w:hint="eastAsia" w:ascii="宋体" w:hAnsi="宋体" w:eastAsia="宋体" w:cs="宋体"/>
              <w:b/>
              <w:bCs/>
              <w:sz w:val="28"/>
              <w:szCs w:val="28"/>
              <w:highlight w:val="yellow"/>
            </w:rPr>
            <w:instrText xml:space="preserve"> HYPERLINK \l _Toc32680 </w:instrText>
          </w:r>
          <w:r>
            <w:rPr>
              <w:rFonts w:hint="eastAsia" w:ascii="宋体" w:hAnsi="宋体" w:eastAsia="宋体" w:cs="宋体"/>
              <w:b/>
              <w:bCs/>
              <w:sz w:val="28"/>
              <w:szCs w:val="28"/>
              <w:highlight w:val="yellow"/>
            </w:rPr>
            <w:fldChar w:fldCharType="separate"/>
          </w:r>
          <w:r>
            <w:rPr>
              <w:rFonts w:hint="eastAsia" w:ascii="宋体" w:hAnsi="宋体" w:eastAsia="宋体" w:cs="宋体"/>
              <w:b/>
              <w:bCs/>
              <w:sz w:val="28"/>
              <w:szCs w:val="28"/>
              <w:highlight w:val="none"/>
            </w:rPr>
            <w:t>摘   要</w:t>
          </w:r>
          <w:r>
            <w:rPr>
              <w:rFonts w:hint="eastAsia" w:ascii="宋体" w:hAnsi="宋体" w:eastAsia="宋体" w:cs="宋体"/>
              <w:b/>
              <w:bCs/>
              <w:sz w:val="28"/>
              <w:szCs w:val="28"/>
            </w:rPr>
            <w:tab/>
          </w:r>
          <w:r>
            <w:rPr>
              <w:rFonts w:hint="eastAsia" w:ascii="宋体" w:hAnsi="宋体" w:eastAsia="宋体" w:cs="宋体"/>
              <w:b/>
              <w:bCs/>
              <w:sz w:val="28"/>
              <w:szCs w:val="28"/>
            </w:rPr>
            <w:fldChar w:fldCharType="begin"/>
          </w:r>
          <w:r>
            <w:rPr>
              <w:rFonts w:hint="eastAsia" w:ascii="宋体" w:hAnsi="宋体" w:eastAsia="宋体" w:cs="宋体"/>
              <w:b/>
              <w:bCs/>
              <w:sz w:val="28"/>
              <w:szCs w:val="28"/>
            </w:rPr>
            <w:instrText xml:space="preserve"> PAGEREF _Toc32680 \h </w:instrText>
          </w:r>
          <w:r>
            <w:rPr>
              <w:rFonts w:hint="eastAsia" w:ascii="宋体" w:hAnsi="宋体" w:eastAsia="宋体" w:cs="宋体"/>
              <w:b/>
              <w:bCs/>
              <w:sz w:val="28"/>
              <w:szCs w:val="28"/>
            </w:rPr>
            <w:fldChar w:fldCharType="separate"/>
          </w:r>
          <w:r>
            <w:rPr>
              <w:rFonts w:hint="eastAsia" w:ascii="宋体" w:hAnsi="宋体" w:eastAsia="宋体" w:cs="宋体"/>
              <w:b/>
              <w:bCs/>
              <w:sz w:val="28"/>
              <w:szCs w:val="28"/>
            </w:rPr>
            <w:t>1</w:t>
          </w:r>
          <w:r>
            <w:rPr>
              <w:rFonts w:hint="eastAsia" w:ascii="宋体" w:hAnsi="宋体" w:eastAsia="宋体" w:cs="宋体"/>
              <w:b/>
              <w:bCs/>
              <w:sz w:val="28"/>
              <w:szCs w:val="28"/>
            </w:rPr>
            <w:fldChar w:fldCharType="end"/>
          </w:r>
          <w:r>
            <w:rPr>
              <w:rFonts w:hint="eastAsia" w:ascii="宋体" w:hAnsi="宋体" w:eastAsia="宋体" w:cs="宋体"/>
              <w:b/>
              <w:bCs/>
              <w:sz w:val="28"/>
              <w:szCs w:val="28"/>
              <w:highlight w:val="yellow"/>
            </w:rPr>
            <w:fldChar w:fldCharType="end"/>
          </w:r>
        </w:p>
        <w:p w14:paraId="4BCE06CD">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_Toc6086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rPr>
            <w:t xml:space="preserve">一、 </w:t>
          </w:r>
          <w:r>
            <w:rPr>
              <w:rFonts w:hint="eastAsia" w:ascii="宋体" w:hAnsi="宋体" w:eastAsia="宋体" w:cs="宋体"/>
              <w:bCs/>
              <w:sz w:val="28"/>
              <w:szCs w:val="28"/>
              <w:highlight w:val="none"/>
            </w:rPr>
            <w:t>项目基本情况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_Toc6086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03BE67A8">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_Toc8845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（一）项目立项背景及实施目的</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_Toc8845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E21B003">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_Toc30400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（二）项目预算安排和支出情况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_Toc30400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263E44AC">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_Toc4800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lang w:eastAsia="zh-CN"/>
            </w:rPr>
            <w:t>（</w:t>
          </w:r>
          <w:r>
            <w:rPr>
              <w:rFonts w:hint="eastAsia" w:ascii="宋体" w:hAnsi="宋体" w:eastAsia="宋体" w:cs="宋体"/>
              <w:bCs/>
              <w:sz w:val="28"/>
              <w:szCs w:val="28"/>
              <w:highlight w:val="none"/>
              <w:lang w:val="en-US" w:eastAsia="zh-CN"/>
            </w:rPr>
            <w:t>三</w:t>
          </w:r>
          <w:r>
            <w:rPr>
              <w:rFonts w:hint="eastAsia" w:ascii="宋体" w:hAnsi="宋体" w:eastAsia="宋体" w:cs="宋体"/>
              <w:bCs/>
              <w:sz w:val="28"/>
              <w:szCs w:val="28"/>
              <w:highlight w:val="none"/>
              <w:lang w:eastAsia="zh-CN"/>
            </w:rPr>
            <w:t>）</w:t>
          </w:r>
          <w:r>
            <w:rPr>
              <w:rFonts w:hint="eastAsia" w:ascii="宋体" w:hAnsi="宋体" w:eastAsia="宋体" w:cs="宋体"/>
              <w:bCs/>
              <w:sz w:val="28"/>
              <w:szCs w:val="28"/>
              <w:highlight w:val="none"/>
              <w:lang w:val="en-US" w:eastAsia="zh-CN"/>
            </w:rPr>
            <w:t>项目实施情况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_Toc4800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3D9ABF91">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_Toc52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lang w:val="en-US" w:eastAsia="zh-CN"/>
            </w:rPr>
            <w:t>二</w:t>
          </w:r>
          <w:r>
            <w:rPr>
              <w:rFonts w:hint="eastAsia" w:ascii="宋体" w:hAnsi="宋体" w:eastAsia="宋体" w:cs="宋体"/>
              <w:bCs/>
              <w:sz w:val="28"/>
              <w:szCs w:val="28"/>
              <w:highlight w:val="none"/>
            </w:rPr>
            <w:t>、评价结论和绩效分析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_Toc52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1A97B87B">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_Toc31102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（一）综合评价结论</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_Toc31102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23B38D8D">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_Toc27307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（二）绩效分析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_Toc27307 \h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0D9DF9C">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_Toc4217 </w:instrText>
          </w:r>
          <w:r>
            <w:rPr>
              <w:rFonts w:hint="eastAsia" w:ascii="宋体" w:hAnsi="宋体" w:eastAsia="宋体" w:cs="宋体"/>
              <w:bCs/>
              <w:sz w:val="28"/>
              <w:szCs w:val="28"/>
              <w:highlight w:val="yellow"/>
            </w:rPr>
            <w:fldChar w:fldCharType="separate"/>
          </w:r>
          <w:r>
            <w:rPr>
              <w:rFonts w:hint="eastAsia" w:ascii="宋体" w:hAnsi="宋体" w:eastAsia="宋体" w:cs="宋体"/>
              <w:bCs w:val="0"/>
              <w:kern w:val="44"/>
              <w:sz w:val="28"/>
              <w:szCs w:val="28"/>
              <w:highlight w:val="none"/>
              <w:lang w:val="en-US" w:eastAsia="zh-CN" w:bidi="ar-SA"/>
            </w:rPr>
            <w:t>三、</w:t>
          </w:r>
          <w:r>
            <w:rPr>
              <w:rFonts w:hint="eastAsia" w:ascii="宋体" w:hAnsi="宋体" w:eastAsia="宋体" w:cs="宋体"/>
              <w:bCs w:val="0"/>
              <w:sz w:val="28"/>
              <w:szCs w:val="28"/>
              <w:highlight w:val="none"/>
            </w:rPr>
            <w:t>存在问题及原因分析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_Toc4217 \h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56A536B9">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_Toc5786 </w:instrText>
          </w:r>
          <w:r>
            <w:rPr>
              <w:rFonts w:hint="eastAsia" w:ascii="宋体" w:hAnsi="宋体" w:eastAsia="宋体" w:cs="宋体"/>
              <w:bCs/>
              <w:sz w:val="28"/>
              <w:szCs w:val="28"/>
              <w:highlight w:val="yellow"/>
            </w:rPr>
            <w:fldChar w:fldCharType="separate"/>
          </w:r>
          <w:r>
            <w:rPr>
              <w:rFonts w:hint="eastAsia" w:ascii="宋体" w:hAnsi="宋体" w:eastAsia="宋体" w:cs="宋体"/>
              <w:bCs w:val="0"/>
              <w:kern w:val="44"/>
              <w:sz w:val="28"/>
              <w:szCs w:val="28"/>
              <w:highlight w:val="none"/>
              <w:lang w:val="en-US" w:eastAsia="zh-CN" w:bidi="ar-SA"/>
            </w:rPr>
            <w:t>四、</w:t>
          </w:r>
          <w:r>
            <w:rPr>
              <w:rFonts w:hint="eastAsia" w:ascii="宋体" w:hAnsi="宋体" w:eastAsia="宋体" w:cs="宋体"/>
              <w:bCs w:val="0"/>
              <w:sz w:val="28"/>
              <w:szCs w:val="28"/>
              <w:highlight w:val="none"/>
            </w:rPr>
            <w:t>有关建议</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_Toc5786 \h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081C865D">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_Toc29730 </w:instrText>
          </w:r>
          <w:r>
            <w:rPr>
              <w:rFonts w:hint="eastAsia" w:ascii="宋体" w:hAnsi="宋体" w:eastAsia="宋体" w:cs="宋体"/>
              <w:bCs/>
              <w:sz w:val="28"/>
              <w:szCs w:val="28"/>
              <w:highlight w:val="yellow"/>
            </w:rPr>
            <w:fldChar w:fldCharType="separate"/>
          </w:r>
          <w:r>
            <w:rPr>
              <w:rFonts w:hint="eastAsia" w:ascii="宋体" w:hAnsi="宋体" w:eastAsia="宋体" w:cs="宋体"/>
              <w:b/>
              <w:bCs/>
              <w:sz w:val="28"/>
              <w:szCs w:val="28"/>
              <w:highlight w:val="none"/>
            </w:rPr>
            <w:t>2023年度</w:t>
          </w:r>
          <w:r>
            <w:rPr>
              <w:rFonts w:hint="eastAsia" w:ascii="宋体" w:hAnsi="宋体" w:eastAsia="宋体" w:cs="宋体"/>
              <w:b/>
              <w:bCs/>
              <w:sz w:val="28"/>
              <w:szCs w:val="28"/>
              <w:highlight w:val="none"/>
              <w:lang w:val="en-US" w:eastAsia="zh-CN"/>
            </w:rPr>
            <w:t>甘肃省高级人民法院</w:t>
          </w:r>
          <w:r>
            <w:rPr>
              <w:rFonts w:hint="eastAsia" w:ascii="宋体" w:hAnsi="宋体" w:eastAsia="宋体" w:cs="宋体"/>
              <w:b/>
              <w:bCs/>
              <w:sz w:val="28"/>
              <w:szCs w:val="28"/>
              <w:highlight w:val="none"/>
            </w:rPr>
            <w:t>重点项目设备购置费绩效评价报告</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_Toc29730 \h </w:instrText>
          </w:r>
          <w:r>
            <w:rPr>
              <w:rFonts w:hint="eastAsia" w:ascii="宋体" w:hAnsi="宋体" w:eastAsia="宋体" w:cs="宋体"/>
              <w:sz w:val="28"/>
              <w:szCs w:val="28"/>
            </w:rPr>
            <w:fldChar w:fldCharType="separate"/>
          </w:r>
          <w:r>
            <w:rPr>
              <w:rFonts w:hint="eastAsia" w:ascii="宋体" w:hAnsi="宋体" w:eastAsia="宋体" w:cs="宋体"/>
              <w:sz w:val="28"/>
              <w:szCs w:val="28"/>
            </w:rPr>
            <w:t>4</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7AA95FC2">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_Toc6146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一、项目基本情况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_Toc6146 \h </w:instrText>
          </w:r>
          <w:r>
            <w:rPr>
              <w:rFonts w:hint="eastAsia" w:ascii="宋体" w:hAnsi="宋体" w:eastAsia="宋体" w:cs="宋体"/>
              <w:sz w:val="28"/>
              <w:szCs w:val="28"/>
            </w:rPr>
            <w:fldChar w:fldCharType="separate"/>
          </w:r>
          <w:r>
            <w:rPr>
              <w:rFonts w:hint="eastAsia" w:ascii="宋体" w:hAnsi="宋体" w:eastAsia="宋体" w:cs="宋体"/>
              <w:sz w:val="28"/>
              <w:szCs w:val="28"/>
            </w:rPr>
            <w:t>4</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1EE84A72">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_Toc4846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（一）项目立项背景</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_Toc4846 \h </w:instrText>
          </w:r>
          <w:r>
            <w:rPr>
              <w:rFonts w:hint="eastAsia" w:ascii="宋体" w:hAnsi="宋体" w:eastAsia="宋体" w:cs="宋体"/>
              <w:sz w:val="28"/>
              <w:szCs w:val="28"/>
            </w:rPr>
            <w:fldChar w:fldCharType="separate"/>
          </w:r>
          <w:r>
            <w:rPr>
              <w:rFonts w:hint="eastAsia" w:ascii="宋体" w:hAnsi="宋体" w:eastAsia="宋体" w:cs="宋体"/>
              <w:sz w:val="28"/>
              <w:szCs w:val="28"/>
            </w:rPr>
            <w:t>4</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355D0107">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_Toc28880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（二）项目预算安排及使用情况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_Toc28880 \h </w:instrText>
          </w:r>
          <w:r>
            <w:rPr>
              <w:rFonts w:hint="eastAsia" w:ascii="宋体" w:hAnsi="宋体" w:eastAsia="宋体" w:cs="宋体"/>
              <w:sz w:val="28"/>
              <w:szCs w:val="28"/>
            </w:rPr>
            <w:fldChar w:fldCharType="separate"/>
          </w:r>
          <w:r>
            <w:rPr>
              <w:rFonts w:hint="eastAsia" w:ascii="宋体" w:hAnsi="宋体" w:eastAsia="宋体" w:cs="宋体"/>
              <w:sz w:val="28"/>
              <w:szCs w:val="28"/>
            </w:rPr>
            <w:t>4</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0E57B040">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_Toc10155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（三）项目计划内容及实施情况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_Toc10155 \h </w:instrText>
          </w:r>
          <w:r>
            <w:rPr>
              <w:rFonts w:hint="eastAsia" w:ascii="宋体" w:hAnsi="宋体" w:eastAsia="宋体" w:cs="宋体"/>
              <w:sz w:val="28"/>
              <w:szCs w:val="28"/>
            </w:rPr>
            <w:fldChar w:fldCharType="separate"/>
          </w:r>
          <w:r>
            <w:rPr>
              <w:rFonts w:hint="eastAsia" w:ascii="宋体" w:hAnsi="宋体" w:eastAsia="宋体" w:cs="宋体"/>
              <w:sz w:val="28"/>
              <w:szCs w:val="28"/>
            </w:rPr>
            <w:t>4</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0131EC3C">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_Toc4859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（四）项目组织管理</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_Toc4859 \h </w:instrText>
          </w:r>
          <w:r>
            <w:rPr>
              <w:rFonts w:hint="eastAsia" w:ascii="宋体" w:hAnsi="宋体" w:eastAsia="宋体" w:cs="宋体"/>
              <w:sz w:val="28"/>
              <w:szCs w:val="28"/>
            </w:rPr>
            <w:fldChar w:fldCharType="separate"/>
          </w:r>
          <w:r>
            <w:rPr>
              <w:rFonts w:hint="eastAsia" w:ascii="宋体" w:hAnsi="宋体" w:eastAsia="宋体" w:cs="宋体"/>
              <w:sz w:val="28"/>
              <w:szCs w:val="28"/>
            </w:rPr>
            <w:t>5</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768C7EDC">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_Toc3330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二、项目绩效目标</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_Toc3330 \h </w:instrText>
          </w:r>
          <w:r>
            <w:rPr>
              <w:rFonts w:hint="eastAsia" w:ascii="宋体" w:hAnsi="宋体" w:eastAsia="宋体" w:cs="宋体"/>
              <w:sz w:val="28"/>
              <w:szCs w:val="28"/>
            </w:rPr>
            <w:fldChar w:fldCharType="separate"/>
          </w:r>
          <w:r>
            <w:rPr>
              <w:rFonts w:hint="eastAsia" w:ascii="宋体" w:hAnsi="宋体" w:eastAsia="宋体" w:cs="宋体"/>
              <w:sz w:val="28"/>
              <w:szCs w:val="28"/>
            </w:rPr>
            <w:t>8</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020031A6">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_Toc5838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（一）总体目标</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_Toc5838 \h </w:instrText>
          </w:r>
          <w:r>
            <w:rPr>
              <w:rFonts w:hint="eastAsia" w:ascii="宋体" w:hAnsi="宋体" w:eastAsia="宋体" w:cs="宋体"/>
              <w:sz w:val="28"/>
              <w:szCs w:val="28"/>
            </w:rPr>
            <w:fldChar w:fldCharType="separate"/>
          </w:r>
          <w:r>
            <w:rPr>
              <w:rFonts w:hint="eastAsia" w:ascii="宋体" w:hAnsi="宋体" w:eastAsia="宋体" w:cs="宋体"/>
              <w:sz w:val="28"/>
              <w:szCs w:val="28"/>
            </w:rPr>
            <w:t>8</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7A36201A">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_Toc8156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（二）年度目标</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_Toc8156 \h </w:instrText>
          </w:r>
          <w:r>
            <w:rPr>
              <w:rFonts w:hint="eastAsia" w:ascii="宋体" w:hAnsi="宋体" w:eastAsia="宋体" w:cs="宋体"/>
              <w:sz w:val="28"/>
              <w:szCs w:val="28"/>
            </w:rPr>
            <w:fldChar w:fldCharType="separate"/>
          </w:r>
          <w:r>
            <w:rPr>
              <w:rFonts w:hint="eastAsia" w:ascii="宋体" w:hAnsi="宋体" w:eastAsia="宋体" w:cs="宋体"/>
              <w:sz w:val="28"/>
              <w:szCs w:val="28"/>
            </w:rPr>
            <w:t>8</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4CFB5BAF">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_Toc140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三、评价基本情况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_Toc140 \h </w:instrText>
          </w:r>
          <w:r>
            <w:rPr>
              <w:rFonts w:hint="eastAsia" w:ascii="宋体" w:hAnsi="宋体" w:eastAsia="宋体" w:cs="宋体"/>
              <w:sz w:val="28"/>
              <w:szCs w:val="28"/>
            </w:rPr>
            <w:fldChar w:fldCharType="separate"/>
          </w:r>
          <w:r>
            <w:rPr>
              <w:rFonts w:hint="eastAsia" w:ascii="宋体" w:hAnsi="宋体" w:eastAsia="宋体" w:cs="宋体"/>
              <w:sz w:val="28"/>
              <w:szCs w:val="28"/>
            </w:rPr>
            <w:t>9</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25DAC56F">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_Toc23904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（一）评价目的</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_Toc23904 \h </w:instrText>
          </w:r>
          <w:r>
            <w:rPr>
              <w:rFonts w:hint="eastAsia" w:ascii="宋体" w:hAnsi="宋体" w:eastAsia="宋体" w:cs="宋体"/>
              <w:sz w:val="28"/>
              <w:szCs w:val="28"/>
            </w:rPr>
            <w:fldChar w:fldCharType="separate"/>
          </w:r>
          <w:r>
            <w:rPr>
              <w:rFonts w:hint="eastAsia" w:ascii="宋体" w:hAnsi="宋体" w:eastAsia="宋体" w:cs="宋体"/>
              <w:sz w:val="28"/>
              <w:szCs w:val="28"/>
            </w:rPr>
            <w:t>9</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2C40A94A">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_Toc13038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（二）评价对象与范围</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_Toc13038 \h </w:instrText>
          </w:r>
          <w:r>
            <w:rPr>
              <w:rFonts w:hint="eastAsia" w:ascii="宋体" w:hAnsi="宋体" w:eastAsia="宋体" w:cs="宋体"/>
              <w:sz w:val="28"/>
              <w:szCs w:val="28"/>
            </w:rPr>
            <w:fldChar w:fldCharType="separate"/>
          </w:r>
          <w:r>
            <w:rPr>
              <w:rFonts w:hint="eastAsia" w:ascii="宋体" w:hAnsi="宋体" w:eastAsia="宋体" w:cs="宋体"/>
              <w:sz w:val="28"/>
              <w:szCs w:val="28"/>
            </w:rPr>
            <w:t>9</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9C4C559">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_Toc29721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（三）评价依据</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_Toc29721 \h </w:instrText>
          </w:r>
          <w:r>
            <w:rPr>
              <w:rFonts w:hint="eastAsia" w:ascii="宋体" w:hAnsi="宋体" w:eastAsia="宋体" w:cs="宋体"/>
              <w:sz w:val="28"/>
              <w:szCs w:val="28"/>
            </w:rPr>
            <w:fldChar w:fldCharType="separate"/>
          </w:r>
          <w:r>
            <w:rPr>
              <w:rFonts w:hint="eastAsia" w:ascii="宋体" w:hAnsi="宋体" w:eastAsia="宋体" w:cs="宋体"/>
              <w:sz w:val="28"/>
              <w:szCs w:val="28"/>
            </w:rPr>
            <w:t>9</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19E35102">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_Toc6469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（四）评价原则、评价方法</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_Toc6469 \h </w:instrText>
          </w:r>
          <w:r>
            <w:rPr>
              <w:rFonts w:hint="eastAsia" w:ascii="宋体" w:hAnsi="宋体" w:eastAsia="宋体" w:cs="宋体"/>
              <w:sz w:val="28"/>
              <w:szCs w:val="28"/>
            </w:rPr>
            <w:fldChar w:fldCharType="separate"/>
          </w:r>
          <w:r>
            <w:rPr>
              <w:rFonts w:hint="eastAsia" w:ascii="宋体" w:hAnsi="宋体" w:eastAsia="宋体" w:cs="宋体"/>
              <w:sz w:val="28"/>
              <w:szCs w:val="28"/>
            </w:rPr>
            <w:t>10</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F854CEE">
          <w:pPr>
            <w:pStyle w:val="17"/>
            <w:tabs>
              <w:tab w:val="right" w:leader="dot" w:pos="8306"/>
            </w:tabs>
            <w:rPr>
              <w:rFonts w:hint="eastAsia" w:ascii="宋体" w:hAnsi="宋体" w:eastAsia="宋体" w:cs="宋体"/>
              <w:sz w:val="28"/>
              <w:szCs w:val="28"/>
            </w:rPr>
          </w:pPr>
          <w:bookmarkStart w:id="216" w:name="_GoBack"/>
          <w:bookmarkEnd w:id="216"/>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_Toc27091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（五）绩效评价指标体系</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_Toc27091 \h </w:instrText>
          </w:r>
          <w:r>
            <w:rPr>
              <w:rFonts w:hint="eastAsia" w:ascii="宋体" w:hAnsi="宋体" w:eastAsia="宋体" w:cs="宋体"/>
              <w:sz w:val="28"/>
              <w:szCs w:val="28"/>
            </w:rPr>
            <w:fldChar w:fldCharType="separate"/>
          </w:r>
          <w:r>
            <w:rPr>
              <w:rFonts w:hint="eastAsia" w:ascii="宋体" w:hAnsi="宋体" w:eastAsia="宋体" w:cs="宋体"/>
              <w:sz w:val="28"/>
              <w:szCs w:val="28"/>
            </w:rPr>
            <w:t>12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258C964E">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_Toc19813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w:t>
          </w:r>
          <w:r>
            <w:rPr>
              <w:rFonts w:hint="eastAsia" w:ascii="宋体" w:hAnsi="宋体" w:eastAsia="宋体" w:cs="宋体"/>
              <w:bCs/>
              <w:sz w:val="28"/>
              <w:szCs w:val="28"/>
              <w:highlight w:val="none"/>
              <w:lang w:val="en-US" w:eastAsia="zh-CN"/>
            </w:rPr>
            <w:t>六</w:t>
          </w:r>
          <w:r>
            <w:rPr>
              <w:rFonts w:hint="eastAsia" w:ascii="宋体" w:hAnsi="宋体" w:eastAsia="宋体" w:cs="宋体"/>
              <w:bCs/>
              <w:sz w:val="28"/>
              <w:szCs w:val="28"/>
              <w:highlight w:val="none"/>
            </w:rPr>
            <w:t>）绩效评价工作过程</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_Toc19813 \h </w:instrText>
          </w:r>
          <w:r>
            <w:rPr>
              <w:rFonts w:hint="eastAsia" w:ascii="宋体" w:hAnsi="宋体" w:eastAsia="宋体" w:cs="宋体"/>
              <w:sz w:val="28"/>
              <w:szCs w:val="28"/>
            </w:rPr>
            <w:fldChar w:fldCharType="separate"/>
          </w:r>
          <w:r>
            <w:rPr>
              <w:rFonts w:hint="eastAsia" w:ascii="宋体" w:hAnsi="宋体" w:eastAsia="宋体" w:cs="宋体"/>
              <w:sz w:val="28"/>
              <w:szCs w:val="28"/>
            </w:rPr>
            <w:t>14</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D3E949B">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_Toc20255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四、评价结论及分析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_Toc20255 \h </w:instrText>
          </w:r>
          <w:r>
            <w:rPr>
              <w:rFonts w:hint="eastAsia" w:ascii="宋体" w:hAnsi="宋体" w:eastAsia="宋体" w:cs="宋体"/>
              <w:sz w:val="28"/>
              <w:szCs w:val="28"/>
            </w:rPr>
            <w:fldChar w:fldCharType="separate"/>
          </w:r>
          <w:r>
            <w:rPr>
              <w:rFonts w:hint="eastAsia" w:ascii="宋体" w:hAnsi="宋体" w:eastAsia="宋体" w:cs="宋体"/>
              <w:sz w:val="28"/>
              <w:szCs w:val="28"/>
            </w:rPr>
            <w:t>17</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1D139E6A">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_Toc19276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五、绩效评价指标分析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_Toc19276 \h </w:instrText>
          </w:r>
          <w:r>
            <w:rPr>
              <w:rFonts w:hint="eastAsia" w:ascii="宋体" w:hAnsi="宋体" w:eastAsia="宋体" w:cs="宋体"/>
              <w:sz w:val="28"/>
              <w:szCs w:val="28"/>
            </w:rPr>
            <w:fldChar w:fldCharType="separate"/>
          </w:r>
          <w:r>
            <w:rPr>
              <w:rFonts w:hint="eastAsia" w:ascii="宋体" w:hAnsi="宋体" w:eastAsia="宋体" w:cs="宋体"/>
              <w:sz w:val="28"/>
              <w:szCs w:val="28"/>
            </w:rPr>
            <w:t>18</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529450A">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_Toc32422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（一）项目决策情况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_Toc32422 \h </w:instrText>
          </w:r>
          <w:r>
            <w:rPr>
              <w:rFonts w:hint="eastAsia" w:ascii="宋体" w:hAnsi="宋体" w:eastAsia="宋体" w:cs="宋体"/>
              <w:sz w:val="28"/>
              <w:szCs w:val="28"/>
            </w:rPr>
            <w:fldChar w:fldCharType="separate"/>
          </w:r>
          <w:r>
            <w:rPr>
              <w:rFonts w:hint="eastAsia" w:ascii="宋体" w:hAnsi="宋体" w:eastAsia="宋体" w:cs="宋体"/>
              <w:sz w:val="28"/>
              <w:szCs w:val="28"/>
            </w:rPr>
            <w:t>19</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23FFF0B8">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_Toc10532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（二）项目过程情况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_Toc10532 \h </w:instrText>
          </w:r>
          <w:r>
            <w:rPr>
              <w:rFonts w:hint="eastAsia" w:ascii="宋体" w:hAnsi="宋体" w:eastAsia="宋体" w:cs="宋体"/>
              <w:sz w:val="28"/>
              <w:szCs w:val="28"/>
            </w:rPr>
            <w:fldChar w:fldCharType="separate"/>
          </w:r>
          <w:r>
            <w:rPr>
              <w:rFonts w:hint="eastAsia" w:ascii="宋体" w:hAnsi="宋体" w:eastAsia="宋体" w:cs="宋体"/>
              <w:sz w:val="28"/>
              <w:szCs w:val="28"/>
            </w:rPr>
            <w:t>22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EC021EC">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_Toc26486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w:t>
          </w:r>
          <w:r>
            <w:rPr>
              <w:rFonts w:hint="eastAsia" w:ascii="宋体" w:hAnsi="宋体" w:eastAsia="宋体" w:cs="宋体"/>
              <w:bCs/>
              <w:sz w:val="28"/>
              <w:szCs w:val="28"/>
              <w:highlight w:val="none"/>
              <w:lang w:val="en-US" w:eastAsia="zh-CN"/>
            </w:rPr>
            <w:t>三</w:t>
          </w:r>
          <w:r>
            <w:rPr>
              <w:rFonts w:hint="eastAsia" w:ascii="宋体" w:hAnsi="宋体" w:eastAsia="宋体" w:cs="宋体"/>
              <w:bCs/>
              <w:sz w:val="28"/>
              <w:szCs w:val="28"/>
              <w:highlight w:val="none"/>
            </w:rPr>
            <w:t>）项目产出情况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_Toc26486 \h </w:instrText>
          </w:r>
          <w:r>
            <w:rPr>
              <w:rFonts w:hint="eastAsia" w:ascii="宋体" w:hAnsi="宋体" w:eastAsia="宋体" w:cs="宋体"/>
              <w:sz w:val="28"/>
              <w:szCs w:val="28"/>
            </w:rPr>
            <w:fldChar w:fldCharType="separate"/>
          </w:r>
          <w:r>
            <w:rPr>
              <w:rFonts w:hint="eastAsia" w:ascii="宋体" w:hAnsi="宋体" w:eastAsia="宋体" w:cs="宋体"/>
              <w:sz w:val="28"/>
              <w:szCs w:val="28"/>
            </w:rPr>
            <w:t>24</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34947C72">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_Toc4300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（四）项目效益情况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_Toc4300 \h </w:instrText>
          </w:r>
          <w:r>
            <w:rPr>
              <w:rFonts w:hint="eastAsia" w:ascii="宋体" w:hAnsi="宋体" w:eastAsia="宋体" w:cs="宋体"/>
              <w:sz w:val="28"/>
              <w:szCs w:val="28"/>
            </w:rPr>
            <w:fldChar w:fldCharType="separate"/>
          </w:r>
          <w:r>
            <w:rPr>
              <w:rFonts w:hint="eastAsia" w:ascii="宋体" w:hAnsi="宋体" w:eastAsia="宋体" w:cs="宋体"/>
              <w:sz w:val="28"/>
              <w:szCs w:val="28"/>
            </w:rPr>
            <w:t>26</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5133357D">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_Toc20180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六、项目主要经验及做法</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_Toc20180 \h </w:instrText>
          </w:r>
          <w:r>
            <w:rPr>
              <w:rFonts w:hint="eastAsia" w:ascii="宋体" w:hAnsi="宋体" w:eastAsia="宋体" w:cs="宋体"/>
              <w:sz w:val="28"/>
              <w:szCs w:val="28"/>
            </w:rPr>
            <w:fldChar w:fldCharType="separate"/>
          </w:r>
          <w:r>
            <w:rPr>
              <w:rFonts w:hint="eastAsia" w:ascii="宋体" w:hAnsi="宋体" w:eastAsia="宋体" w:cs="宋体"/>
              <w:sz w:val="28"/>
              <w:szCs w:val="28"/>
            </w:rPr>
            <w:t>27</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750C5DF">
          <w:pPr>
            <w:pStyle w:val="16"/>
            <w:tabs>
              <w:tab w:val="right" w:leader="dot" w:pos="8306"/>
            </w:tabs>
            <w:rPr>
              <w:rFonts w:hint="eastAsia" w:ascii="宋体" w:hAnsi="宋体" w:eastAsia="宋体" w:cs="宋体"/>
              <w:sz w:val="28"/>
              <w:szCs w:val="28"/>
              <w:highlight w:val="none"/>
            </w:rPr>
          </w:pPr>
          <w:r>
            <w:rPr>
              <w:rFonts w:hint="eastAsia" w:ascii="宋体" w:hAnsi="宋体" w:eastAsia="宋体" w:cs="宋体"/>
              <w:bCs/>
              <w:sz w:val="28"/>
              <w:szCs w:val="28"/>
              <w:highlight w:val="none"/>
            </w:rPr>
            <w:fldChar w:fldCharType="begin"/>
          </w:r>
          <w:r>
            <w:rPr>
              <w:rFonts w:hint="eastAsia" w:ascii="宋体" w:hAnsi="宋体" w:eastAsia="宋体" w:cs="宋体"/>
              <w:bCs/>
              <w:sz w:val="28"/>
              <w:szCs w:val="28"/>
              <w:highlight w:val="none"/>
            </w:rPr>
            <w:instrText xml:space="preserve"> HYPERLINK \l _Toc29139 </w:instrText>
          </w:r>
          <w:r>
            <w:rPr>
              <w:rFonts w:hint="eastAsia" w:ascii="宋体" w:hAnsi="宋体" w:eastAsia="宋体" w:cs="宋体"/>
              <w:bCs/>
              <w:sz w:val="28"/>
              <w:szCs w:val="28"/>
              <w:highlight w:val="none"/>
            </w:rPr>
            <w:fldChar w:fldCharType="separate"/>
          </w:r>
          <w:r>
            <w:rPr>
              <w:rFonts w:hint="eastAsia" w:ascii="宋体" w:hAnsi="宋体" w:eastAsia="宋体" w:cs="宋体"/>
              <w:sz w:val="28"/>
              <w:szCs w:val="28"/>
              <w:highlight w:val="none"/>
            </w:rPr>
            <w:t>七、存在的问题及原因分析</w:t>
          </w:r>
          <w:r>
            <w:rPr>
              <w:rFonts w:hint="eastAsia" w:ascii="宋体" w:hAnsi="宋体" w:eastAsia="宋体" w:cs="宋体"/>
              <w:sz w:val="28"/>
              <w:szCs w:val="28"/>
              <w:highlight w:val="none"/>
            </w:rPr>
            <w:tab/>
          </w: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PAGEREF _Toc29139 \h </w:instrText>
          </w:r>
          <w:r>
            <w:rPr>
              <w:rFonts w:hint="eastAsia" w:ascii="宋体" w:hAnsi="宋体" w:eastAsia="宋体" w:cs="宋体"/>
              <w:sz w:val="28"/>
              <w:szCs w:val="28"/>
              <w:highlight w:val="none"/>
            </w:rPr>
            <w:fldChar w:fldCharType="separate"/>
          </w:r>
          <w:r>
            <w:rPr>
              <w:rFonts w:hint="eastAsia" w:ascii="宋体" w:hAnsi="宋体" w:eastAsia="宋体" w:cs="宋体"/>
              <w:sz w:val="28"/>
              <w:szCs w:val="28"/>
              <w:highlight w:val="none"/>
            </w:rPr>
            <w:t>27</w:t>
          </w:r>
          <w:r>
            <w:rPr>
              <w:rFonts w:hint="eastAsia" w:ascii="宋体" w:hAnsi="宋体" w:eastAsia="宋体" w:cs="宋体"/>
              <w:sz w:val="28"/>
              <w:szCs w:val="28"/>
              <w:highlight w:val="none"/>
            </w:rPr>
            <w:fldChar w:fldCharType="end"/>
          </w:r>
          <w:r>
            <w:rPr>
              <w:rFonts w:hint="eastAsia" w:ascii="宋体" w:hAnsi="宋体" w:eastAsia="宋体" w:cs="宋体"/>
              <w:bCs/>
              <w:sz w:val="28"/>
              <w:szCs w:val="28"/>
              <w:highlight w:val="none"/>
            </w:rPr>
            <w:fldChar w:fldCharType="end"/>
          </w:r>
        </w:p>
        <w:p w14:paraId="0380C6F7">
          <w:pPr>
            <w:pStyle w:val="16"/>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none"/>
            </w:rPr>
            <w:fldChar w:fldCharType="begin"/>
          </w:r>
          <w:r>
            <w:rPr>
              <w:rFonts w:hint="eastAsia" w:ascii="宋体" w:hAnsi="宋体" w:eastAsia="宋体" w:cs="宋体"/>
              <w:bCs/>
              <w:sz w:val="28"/>
              <w:szCs w:val="28"/>
              <w:highlight w:val="none"/>
            </w:rPr>
            <w:instrText xml:space="preserve"> HYPERLINK \l _Toc12534 </w:instrText>
          </w:r>
          <w:r>
            <w:rPr>
              <w:rFonts w:hint="eastAsia" w:ascii="宋体" w:hAnsi="宋体" w:eastAsia="宋体" w:cs="宋体"/>
              <w:bCs/>
              <w:sz w:val="28"/>
              <w:szCs w:val="28"/>
              <w:highlight w:val="none"/>
            </w:rPr>
            <w:fldChar w:fldCharType="separate"/>
          </w:r>
          <w:r>
            <w:rPr>
              <w:rFonts w:hint="eastAsia" w:ascii="宋体" w:hAnsi="宋体" w:eastAsia="宋体" w:cs="宋体"/>
              <w:sz w:val="28"/>
              <w:szCs w:val="28"/>
              <w:highlight w:val="none"/>
            </w:rPr>
            <w:t>八、有关建议</w:t>
          </w:r>
          <w:r>
            <w:rPr>
              <w:rFonts w:hint="eastAsia" w:ascii="宋体" w:hAnsi="宋体" w:eastAsia="宋体" w:cs="宋体"/>
              <w:sz w:val="28"/>
              <w:szCs w:val="28"/>
              <w:highlight w:val="none"/>
            </w:rPr>
            <w:tab/>
          </w: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PAGEREF _Toc12534 \h </w:instrText>
          </w:r>
          <w:r>
            <w:rPr>
              <w:rFonts w:hint="eastAsia" w:ascii="宋体" w:hAnsi="宋体" w:eastAsia="宋体" w:cs="宋体"/>
              <w:sz w:val="28"/>
              <w:szCs w:val="28"/>
              <w:highlight w:val="none"/>
            </w:rPr>
            <w:fldChar w:fldCharType="separate"/>
          </w:r>
          <w:r>
            <w:rPr>
              <w:rFonts w:hint="eastAsia" w:ascii="宋体" w:hAnsi="宋体" w:eastAsia="宋体" w:cs="宋体"/>
              <w:sz w:val="28"/>
              <w:szCs w:val="28"/>
              <w:highlight w:val="none"/>
            </w:rPr>
            <w:t>29</w:t>
          </w:r>
          <w:r>
            <w:rPr>
              <w:rFonts w:hint="eastAsia" w:ascii="宋体" w:hAnsi="宋体" w:eastAsia="宋体" w:cs="宋体"/>
              <w:sz w:val="28"/>
              <w:szCs w:val="28"/>
              <w:highlight w:val="none"/>
            </w:rPr>
            <w:fldChar w:fldCharType="end"/>
          </w:r>
          <w:r>
            <w:rPr>
              <w:rFonts w:hint="eastAsia" w:ascii="宋体" w:hAnsi="宋体" w:eastAsia="宋体" w:cs="宋体"/>
              <w:bCs/>
              <w:sz w:val="28"/>
              <w:szCs w:val="28"/>
              <w:highlight w:val="none"/>
            </w:rPr>
            <w:fldChar w:fldCharType="end"/>
          </w:r>
        </w:p>
        <w:p w14:paraId="67A7D860">
          <w:pPr>
            <w:pStyle w:val="16"/>
            <w:tabs>
              <w:tab w:val="right" w:leader="dot" w:pos="8306"/>
            </w:tabs>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_Toc32689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九、需要说明的问题</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_Toc32689 \h </w:instrText>
          </w:r>
          <w:r>
            <w:rPr>
              <w:rFonts w:hint="eastAsia" w:ascii="宋体" w:hAnsi="宋体" w:eastAsia="宋体" w:cs="宋体"/>
              <w:sz w:val="28"/>
              <w:szCs w:val="28"/>
            </w:rPr>
            <w:fldChar w:fldCharType="separate"/>
          </w:r>
          <w:r>
            <w:rPr>
              <w:rFonts w:hint="eastAsia" w:ascii="宋体" w:hAnsi="宋体" w:eastAsia="宋体" w:cs="宋体"/>
              <w:sz w:val="28"/>
              <w:szCs w:val="28"/>
            </w:rPr>
            <w:t>30</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2770088D">
          <w:pPr>
            <w:pStyle w:val="9"/>
            <w:overflowPunct w:val="0"/>
            <w:spacing w:line="560" w:lineRule="exact"/>
            <w:rPr>
              <w:rFonts w:ascii="宋体" w:hAnsi="宋体" w:eastAsia="宋体"/>
              <w:b/>
              <w:bCs/>
              <w:szCs w:val="44"/>
              <w:highlight w:val="yellow"/>
            </w:rPr>
            <w:sectPr>
              <w:headerReference r:id="rId6" w:type="first"/>
              <w:footerReference r:id="rId8" w:type="first"/>
              <w:headerReference r:id="rId5" w:type="default"/>
              <w:footerReference r:id="rId7"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titlePg/>
              <w:docGrid w:type="lines" w:linePitch="312" w:charSpace="0"/>
            </w:sectPr>
          </w:pPr>
          <w:r>
            <w:rPr>
              <w:rFonts w:hint="eastAsia" w:ascii="宋体" w:hAnsi="宋体" w:eastAsia="宋体" w:cs="宋体"/>
              <w:bCs/>
              <w:szCs w:val="28"/>
              <w:highlight w:val="yellow"/>
            </w:rPr>
            <w:fldChar w:fldCharType="end"/>
          </w:r>
        </w:p>
      </w:sdtContent>
    </w:sdt>
    <w:p w14:paraId="23545139">
      <w:pPr>
        <w:pStyle w:val="9"/>
        <w:overflowPunct w:val="0"/>
        <w:spacing w:line="560" w:lineRule="exact"/>
        <w:jc w:val="center"/>
        <w:outlineLvl w:val="0"/>
        <w:rPr>
          <w:rFonts w:ascii="方正小标宋简体" w:hAnsi="宋体" w:eastAsia="方正小标宋简体"/>
          <w:sz w:val="44"/>
          <w:szCs w:val="44"/>
          <w:highlight w:val="none"/>
        </w:rPr>
      </w:pPr>
      <w:bookmarkStart w:id="0" w:name="_Toc32680"/>
      <w:r>
        <w:rPr>
          <w:rFonts w:hint="eastAsia" w:ascii="方正小标宋简体" w:hAnsi="宋体" w:eastAsia="方正小标宋简体"/>
          <w:sz w:val="44"/>
          <w:szCs w:val="44"/>
          <w:highlight w:val="none"/>
        </w:rPr>
        <w:t xml:space="preserve">摘 </w:t>
      </w:r>
      <w:r>
        <w:rPr>
          <w:rFonts w:ascii="方正小标宋简体" w:hAnsi="宋体" w:eastAsia="方正小标宋简体"/>
          <w:sz w:val="44"/>
          <w:szCs w:val="44"/>
          <w:highlight w:val="none"/>
        </w:rPr>
        <w:t xml:space="preserve">  </w:t>
      </w:r>
      <w:r>
        <w:rPr>
          <w:rFonts w:hint="eastAsia" w:ascii="方正小标宋简体" w:hAnsi="宋体" w:eastAsia="方正小标宋简体"/>
          <w:sz w:val="44"/>
          <w:szCs w:val="44"/>
          <w:highlight w:val="none"/>
        </w:rPr>
        <w:t>要</w:t>
      </w:r>
      <w:bookmarkEnd w:id="0"/>
    </w:p>
    <w:p w14:paraId="245E6440">
      <w:pPr>
        <w:overflowPunct w:val="0"/>
        <w:spacing w:line="560" w:lineRule="exact"/>
        <w:ind w:firstLine="420" w:firstLineChars="200"/>
        <w:jc w:val="center"/>
        <w:rPr>
          <w:highlight w:val="yellow"/>
        </w:rPr>
      </w:pPr>
    </w:p>
    <w:p w14:paraId="4BEED8A9">
      <w:pPr>
        <w:keepNext w:val="0"/>
        <w:keepLines w:val="0"/>
        <w:pageBreakBefore w:val="0"/>
        <w:widowControl w:val="0"/>
        <w:numPr>
          <w:ilvl w:val="0"/>
          <w:numId w:val="1"/>
        </w:numPr>
        <w:tabs>
          <w:tab w:val="left" w:pos="849"/>
        </w:tabs>
        <w:kinsoku/>
        <w:wordWrap/>
        <w:overflowPunct/>
        <w:topLinePunct w:val="0"/>
        <w:autoSpaceDE/>
        <w:autoSpaceDN/>
        <w:bidi w:val="0"/>
        <w:adjustRightInd/>
        <w:snapToGrid/>
        <w:spacing w:line="556" w:lineRule="exact"/>
        <w:ind w:firstLine="640" w:firstLineChars="200"/>
        <w:textAlignment w:val="auto"/>
        <w:outlineLvl w:val="0"/>
        <w:rPr>
          <w:rFonts w:ascii="黑体" w:hAnsi="黑体" w:eastAsia="黑体" w:cs="黑体"/>
          <w:b w:val="0"/>
          <w:bCs w:val="0"/>
          <w:color w:val="auto"/>
          <w:sz w:val="32"/>
          <w:szCs w:val="32"/>
          <w:highlight w:val="none"/>
        </w:rPr>
      </w:pPr>
      <w:bookmarkStart w:id="1" w:name="_Toc6086"/>
      <w:bookmarkStart w:id="2" w:name="_Toc13873"/>
      <w:bookmarkStart w:id="3" w:name="_Toc3638"/>
      <w:r>
        <w:rPr>
          <w:rFonts w:hint="eastAsia" w:ascii="黑体" w:hAnsi="黑体" w:eastAsia="黑体" w:cs="黑体"/>
          <w:b w:val="0"/>
          <w:bCs w:val="0"/>
          <w:color w:val="auto"/>
          <w:sz w:val="32"/>
          <w:szCs w:val="32"/>
          <w:highlight w:val="none"/>
        </w:rPr>
        <w:t>项目基本情况</w:t>
      </w:r>
      <w:bookmarkEnd w:id="1"/>
      <w:bookmarkEnd w:id="2"/>
      <w:bookmarkEnd w:id="3"/>
    </w:p>
    <w:p w14:paraId="4BD9C015">
      <w:pPr>
        <w:pStyle w:val="9"/>
        <w:keepNext w:val="0"/>
        <w:keepLines w:val="0"/>
        <w:pageBreakBefore w:val="0"/>
        <w:widowControl w:val="0"/>
        <w:kinsoku/>
        <w:wordWrap/>
        <w:overflowPunct/>
        <w:topLinePunct w:val="0"/>
        <w:autoSpaceDE/>
        <w:autoSpaceDN/>
        <w:bidi w:val="0"/>
        <w:adjustRightInd/>
        <w:snapToGrid/>
        <w:spacing w:line="556" w:lineRule="exact"/>
        <w:ind w:firstLine="643" w:firstLineChars="200"/>
        <w:textAlignment w:val="auto"/>
        <w:outlineLvl w:val="1"/>
        <w:rPr>
          <w:rFonts w:ascii="楷体" w:hAnsi="楷体" w:eastAsia="楷体" w:cs="楷体"/>
          <w:b/>
          <w:bCs/>
          <w:color w:val="auto"/>
          <w:highlight w:val="none"/>
        </w:rPr>
      </w:pPr>
      <w:bookmarkStart w:id="4" w:name="_Toc4031"/>
      <w:bookmarkStart w:id="5" w:name="_Toc8845"/>
      <w:bookmarkStart w:id="6" w:name="_Toc30374"/>
      <w:r>
        <w:rPr>
          <w:rFonts w:hint="eastAsia" w:ascii="楷体" w:hAnsi="楷体" w:eastAsia="楷体" w:cs="楷体"/>
          <w:b/>
          <w:bCs/>
          <w:color w:val="auto"/>
          <w:highlight w:val="none"/>
        </w:rPr>
        <w:t>（一）项目立项背景及实施目的</w:t>
      </w:r>
      <w:bookmarkEnd w:id="4"/>
      <w:bookmarkEnd w:id="5"/>
      <w:bookmarkEnd w:id="6"/>
    </w:p>
    <w:p w14:paraId="0F53B4F8">
      <w:pPr>
        <w:pStyle w:val="9"/>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rPr>
          <w:rFonts w:hint="eastAsia" w:ascii="仿宋_GB2312" w:hAnsi="仿宋_GB2312" w:eastAsia="仿宋_GB2312" w:cs="仿宋_GB2312"/>
          <w:color w:val="auto"/>
          <w:highlight w:val="none"/>
        </w:rPr>
      </w:pPr>
      <w:bookmarkStart w:id="7" w:name="_Toc24239"/>
      <w:r>
        <w:rPr>
          <w:rFonts w:hint="eastAsia" w:ascii="仿宋_GB2312" w:hAnsi="仿宋_GB2312" w:cs="仿宋_GB2312"/>
          <w:highlight w:val="none"/>
          <w:lang w:val="en-US" w:eastAsia="zh-CN"/>
        </w:rPr>
        <w:t>甘肃省高级人民法院目前部分设备已经无法满足日益增长的需求，且部分设备老化需要进行报废更新，以满足法院各项业务对相关专用设备的需要，降低设备故障率和维修保养费用，有力提高业务保障水平和工作效率。</w:t>
      </w:r>
    </w:p>
    <w:p w14:paraId="61E59DFD">
      <w:pPr>
        <w:pStyle w:val="9"/>
        <w:keepNext w:val="0"/>
        <w:keepLines w:val="0"/>
        <w:pageBreakBefore w:val="0"/>
        <w:widowControl w:val="0"/>
        <w:kinsoku/>
        <w:wordWrap/>
        <w:overflowPunct/>
        <w:topLinePunct w:val="0"/>
        <w:autoSpaceDE/>
        <w:autoSpaceDN/>
        <w:bidi w:val="0"/>
        <w:adjustRightInd/>
        <w:snapToGrid/>
        <w:spacing w:line="556" w:lineRule="exact"/>
        <w:ind w:firstLine="643" w:firstLineChars="200"/>
        <w:textAlignment w:val="auto"/>
        <w:outlineLvl w:val="1"/>
        <w:rPr>
          <w:rFonts w:ascii="楷体" w:hAnsi="楷体" w:eastAsia="楷体" w:cs="楷体"/>
          <w:b/>
          <w:bCs/>
          <w:color w:val="auto"/>
          <w:highlight w:val="none"/>
        </w:rPr>
      </w:pPr>
      <w:bookmarkStart w:id="8" w:name="_Toc30400"/>
      <w:bookmarkStart w:id="9" w:name="_Toc15128"/>
      <w:r>
        <w:rPr>
          <w:rFonts w:hint="eastAsia" w:ascii="楷体" w:hAnsi="楷体" w:eastAsia="楷体" w:cs="楷体"/>
          <w:b/>
          <w:bCs/>
          <w:color w:val="auto"/>
          <w:highlight w:val="none"/>
        </w:rPr>
        <w:t>（二）项目预算安排和支出情况</w:t>
      </w:r>
      <w:bookmarkEnd w:id="7"/>
      <w:bookmarkEnd w:id="8"/>
      <w:bookmarkEnd w:id="9"/>
    </w:p>
    <w:p w14:paraId="010C05DF">
      <w:pPr>
        <w:pStyle w:val="9"/>
        <w:overflowPunct w:val="0"/>
        <w:spacing w:line="560" w:lineRule="exact"/>
        <w:ind w:firstLine="640" w:firstLineChars="200"/>
        <w:rPr>
          <w:rFonts w:ascii="仿宋_GB2312" w:hAnsi="仿宋_GB2312" w:cs="仿宋_GB2312"/>
          <w:highlight w:val="none"/>
        </w:rPr>
      </w:pPr>
      <w:r>
        <w:rPr>
          <w:rFonts w:hint="eastAsia" w:ascii="仿宋_GB2312" w:hAnsi="仿宋_GB2312" w:eastAsia="仿宋_GB2312" w:cs="仿宋_GB2312"/>
          <w:color w:val="auto"/>
          <w:highlight w:val="none"/>
        </w:rPr>
        <w:t>2023年</w:t>
      </w:r>
      <w:r>
        <w:rPr>
          <w:rFonts w:hint="eastAsia" w:ascii="仿宋_GB2312" w:hAnsi="仿宋_GB2312" w:cs="仿宋_GB2312"/>
          <w:color w:val="auto"/>
          <w:highlight w:val="none"/>
          <w:lang w:val="en-US" w:eastAsia="zh-CN"/>
        </w:rPr>
        <w:t>甘肃省高级人民法院</w:t>
      </w:r>
      <w:r>
        <w:rPr>
          <w:rFonts w:hint="eastAsia" w:ascii="仿宋_GB2312" w:hAnsi="仿宋_GB2312" w:eastAsia="仿宋_GB2312" w:cs="仿宋_GB2312"/>
          <w:color w:val="auto"/>
          <w:highlight w:val="none"/>
        </w:rPr>
        <w:t>“</w:t>
      </w:r>
      <w:r>
        <w:rPr>
          <w:rFonts w:hint="eastAsia" w:ascii="仿宋_GB2312" w:hAnsi="仿宋_GB2312" w:cs="仿宋_GB2312"/>
          <w:color w:val="auto"/>
          <w:highlight w:val="none"/>
          <w:lang w:val="en-US" w:eastAsia="zh-CN"/>
        </w:rPr>
        <w:t>设备购置费</w:t>
      </w:r>
      <w:r>
        <w:rPr>
          <w:rFonts w:hint="eastAsia" w:ascii="仿宋_GB2312" w:hAnsi="仿宋_GB2312" w:eastAsia="仿宋_GB2312" w:cs="仿宋_GB2312"/>
          <w:color w:val="auto"/>
          <w:highlight w:val="none"/>
        </w:rPr>
        <w:t>”</w:t>
      </w:r>
      <w:r>
        <w:rPr>
          <w:rFonts w:hint="eastAsia" w:ascii="仿宋_GB2312" w:hAnsi="仿宋_GB2312" w:cs="仿宋_GB2312"/>
          <w:color w:val="auto"/>
          <w:highlight w:val="none"/>
          <w:lang w:val="en-US" w:eastAsia="zh-CN"/>
        </w:rPr>
        <w:t>项目</w:t>
      </w:r>
      <w:r>
        <w:rPr>
          <w:rFonts w:hint="eastAsia" w:ascii="仿宋_GB2312" w:hAnsi="仿宋_GB2312" w:eastAsia="仿宋_GB2312" w:cs="仿宋_GB2312"/>
          <w:color w:val="auto"/>
          <w:highlight w:val="none"/>
        </w:rPr>
        <w:t>全年预算数2</w:t>
      </w:r>
      <w:r>
        <w:rPr>
          <w:rFonts w:hint="eastAsia" w:ascii="仿宋_GB2312" w:hAnsi="仿宋_GB2312" w:cs="仿宋_GB2312"/>
          <w:color w:val="auto"/>
          <w:highlight w:val="none"/>
          <w:lang w:val="en-US" w:eastAsia="zh-CN"/>
        </w:rPr>
        <w:t>78.20</w:t>
      </w:r>
      <w:r>
        <w:rPr>
          <w:rFonts w:hint="eastAsia" w:ascii="仿宋_GB2312" w:hAnsi="仿宋_GB2312" w:eastAsia="仿宋_GB2312" w:cs="仿宋_GB2312"/>
          <w:color w:val="auto"/>
          <w:highlight w:val="none"/>
        </w:rPr>
        <w:t>万元。</w:t>
      </w:r>
    </w:p>
    <w:p w14:paraId="4E71E80B">
      <w:pPr>
        <w:pStyle w:val="9"/>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截至2023年12月31日，“</w:t>
      </w:r>
      <w:r>
        <w:rPr>
          <w:rFonts w:hint="eastAsia" w:ascii="仿宋_GB2312" w:hAnsi="仿宋_GB2312" w:cs="仿宋_GB2312"/>
          <w:color w:val="auto"/>
          <w:highlight w:val="none"/>
          <w:lang w:val="en-US" w:eastAsia="zh-CN"/>
        </w:rPr>
        <w:t>设备购置费</w:t>
      </w:r>
      <w:r>
        <w:rPr>
          <w:rFonts w:hint="eastAsia" w:ascii="仿宋_GB2312" w:hAnsi="仿宋_GB2312" w:eastAsia="仿宋_GB2312" w:cs="仿宋_GB2312"/>
          <w:color w:val="auto"/>
          <w:highlight w:val="none"/>
        </w:rPr>
        <w:t>”项目实际支出</w:t>
      </w:r>
      <w:r>
        <w:rPr>
          <w:rFonts w:hint="eastAsia" w:ascii="仿宋_GB2312" w:hAnsi="仿宋_GB2312" w:cs="仿宋_GB2312"/>
          <w:color w:val="auto"/>
          <w:highlight w:val="none"/>
          <w:lang w:val="en-US" w:eastAsia="zh-CN"/>
        </w:rPr>
        <w:t>278.20</w:t>
      </w:r>
      <w:r>
        <w:rPr>
          <w:rFonts w:hint="eastAsia" w:ascii="仿宋_GB2312" w:hAnsi="仿宋_GB2312" w:eastAsia="仿宋_GB2312" w:cs="仿宋_GB2312"/>
          <w:color w:val="auto"/>
          <w:highlight w:val="none"/>
        </w:rPr>
        <w:t>万元，预算执行率</w:t>
      </w:r>
      <w:r>
        <w:rPr>
          <w:rFonts w:hint="eastAsia" w:ascii="仿宋_GB2312" w:hAnsi="仿宋_GB2312" w:cs="仿宋_GB2312"/>
          <w:color w:val="auto"/>
          <w:highlight w:val="none"/>
          <w:lang w:val="en-US" w:eastAsia="zh-CN"/>
        </w:rPr>
        <w:t>100.00</w:t>
      </w:r>
      <w:r>
        <w:rPr>
          <w:rFonts w:hint="eastAsia" w:ascii="仿宋_GB2312" w:hAnsi="仿宋_GB2312" w:eastAsia="仿宋_GB2312" w:cs="仿宋_GB2312"/>
          <w:color w:val="auto"/>
          <w:highlight w:val="none"/>
        </w:rPr>
        <w:t>%。</w:t>
      </w:r>
    </w:p>
    <w:p w14:paraId="0C4AE0B5">
      <w:pPr>
        <w:pStyle w:val="9"/>
        <w:keepNext w:val="0"/>
        <w:keepLines w:val="0"/>
        <w:pageBreakBefore w:val="0"/>
        <w:widowControl w:val="0"/>
        <w:kinsoku/>
        <w:wordWrap/>
        <w:overflowPunct/>
        <w:topLinePunct w:val="0"/>
        <w:autoSpaceDE/>
        <w:autoSpaceDN/>
        <w:bidi w:val="0"/>
        <w:adjustRightInd/>
        <w:snapToGrid/>
        <w:spacing w:line="556" w:lineRule="exact"/>
        <w:ind w:firstLine="643" w:firstLineChars="200"/>
        <w:textAlignment w:val="auto"/>
        <w:outlineLvl w:val="1"/>
        <w:rPr>
          <w:rFonts w:hint="eastAsia" w:ascii="楷体" w:hAnsi="楷体" w:eastAsia="楷体" w:cs="楷体"/>
          <w:b/>
          <w:bCs/>
          <w:color w:val="auto"/>
          <w:highlight w:val="none"/>
          <w:lang w:val="en-US" w:eastAsia="zh-CN"/>
        </w:rPr>
      </w:pPr>
      <w:bookmarkStart w:id="10" w:name="_Toc4800"/>
      <w:r>
        <w:rPr>
          <w:rFonts w:hint="eastAsia" w:ascii="楷体" w:hAnsi="楷体" w:eastAsia="楷体" w:cs="楷体"/>
          <w:b/>
          <w:bCs/>
          <w:color w:val="auto"/>
          <w:highlight w:val="none"/>
          <w:lang w:eastAsia="zh-CN"/>
        </w:rPr>
        <w:t>（</w:t>
      </w:r>
      <w:r>
        <w:rPr>
          <w:rFonts w:hint="eastAsia" w:ascii="楷体" w:hAnsi="楷体" w:eastAsia="楷体" w:cs="楷体"/>
          <w:b/>
          <w:bCs/>
          <w:color w:val="auto"/>
          <w:highlight w:val="none"/>
          <w:lang w:val="en-US" w:eastAsia="zh-CN"/>
        </w:rPr>
        <w:t>三</w:t>
      </w:r>
      <w:r>
        <w:rPr>
          <w:rFonts w:hint="eastAsia" w:ascii="楷体" w:hAnsi="楷体" w:eastAsia="楷体" w:cs="楷体"/>
          <w:b/>
          <w:bCs/>
          <w:color w:val="auto"/>
          <w:highlight w:val="none"/>
          <w:lang w:eastAsia="zh-CN"/>
        </w:rPr>
        <w:t>）</w:t>
      </w:r>
      <w:r>
        <w:rPr>
          <w:rFonts w:hint="eastAsia" w:ascii="楷体" w:hAnsi="楷体" w:eastAsia="楷体" w:cs="楷体"/>
          <w:b/>
          <w:bCs/>
          <w:color w:val="auto"/>
          <w:highlight w:val="none"/>
          <w:lang w:val="en-US" w:eastAsia="zh-CN"/>
        </w:rPr>
        <w:t>项目实施情况</w:t>
      </w:r>
      <w:bookmarkEnd w:id="10"/>
    </w:p>
    <w:p w14:paraId="55C13FA7">
      <w:pPr>
        <w:pStyle w:val="9"/>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outlineLvl w:val="0"/>
        <w:rPr>
          <w:rFonts w:hint="eastAsia" w:ascii="仿宋_GB2312" w:hAnsi="仿宋_GB2312" w:eastAsia="仿宋_GB2312" w:cs="仿宋_GB2312"/>
          <w:sz w:val="32"/>
          <w:szCs w:val="32"/>
          <w:highlight w:val="none"/>
          <w:lang w:val="en-US" w:eastAsia="zh-CN"/>
        </w:rPr>
      </w:pPr>
      <w:bookmarkStart w:id="11" w:name="_Toc21093"/>
      <w:bookmarkStart w:id="12" w:name="_Toc29824"/>
      <w:bookmarkStart w:id="13" w:name="_Toc26463"/>
      <w:r>
        <w:rPr>
          <w:rFonts w:hint="eastAsia" w:ascii="仿宋_GB2312" w:hAnsi="仿宋_GB2312" w:cs="仿宋_GB2312"/>
          <w:sz w:val="32"/>
          <w:szCs w:val="32"/>
          <w:highlight w:val="none"/>
          <w:lang w:val="en-US" w:eastAsia="zh-CN"/>
        </w:rPr>
        <w:t>甘肃省高级人民法院</w:t>
      </w:r>
      <w:r>
        <w:rPr>
          <w:rFonts w:hint="eastAsia" w:ascii="仿宋_GB2312" w:hAnsi="仿宋_GB2312" w:eastAsia="仿宋_GB2312" w:cs="仿宋_GB2312"/>
          <w:sz w:val="32"/>
          <w:szCs w:val="32"/>
          <w:highlight w:val="none"/>
          <w:lang w:val="en-US" w:eastAsia="zh-CN"/>
        </w:rPr>
        <w:t>按计划完成了设备采购，采购通用办公设备376件、专用办公设备12件，</w:t>
      </w:r>
      <w:r>
        <w:rPr>
          <w:rFonts w:hint="eastAsia" w:ascii="仿宋_GB2312" w:hAnsi="仿宋_GB2312" w:cs="仿宋_GB2312"/>
          <w:sz w:val="32"/>
          <w:szCs w:val="32"/>
          <w:highlight w:val="none"/>
          <w:lang w:val="en-US" w:eastAsia="zh-CN"/>
        </w:rPr>
        <w:t>采购的</w:t>
      </w:r>
      <w:r>
        <w:rPr>
          <w:rFonts w:hint="eastAsia" w:ascii="仿宋_GB2312" w:hAnsi="仿宋_GB2312" w:eastAsia="仿宋_GB2312" w:cs="仿宋_GB2312"/>
          <w:sz w:val="32"/>
          <w:szCs w:val="32"/>
          <w:highlight w:val="none"/>
          <w:lang w:val="en-US" w:eastAsia="zh-CN"/>
        </w:rPr>
        <w:t>设备均通过验收，满足了法院各项业务对相关设备的需求，确保法院日常工作的有序进行，提高了业务保障水平和工作效率。</w:t>
      </w:r>
      <w:bookmarkEnd w:id="11"/>
    </w:p>
    <w:p w14:paraId="555F37E1">
      <w:pPr>
        <w:pStyle w:val="9"/>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outlineLvl w:val="0"/>
        <w:rPr>
          <w:rFonts w:ascii="仿宋" w:hAnsi="仿宋" w:eastAsia="仿宋" w:cs="仿宋"/>
          <w:b w:val="0"/>
          <w:bCs w:val="0"/>
          <w:color w:val="auto"/>
          <w:highlight w:val="none"/>
        </w:rPr>
      </w:pPr>
      <w:bookmarkStart w:id="14" w:name="_Toc52"/>
      <w:r>
        <w:rPr>
          <w:rFonts w:hint="eastAsia" w:ascii="黑体" w:hAnsi="黑体" w:eastAsia="黑体" w:cs="黑体"/>
          <w:b w:val="0"/>
          <w:bCs w:val="0"/>
          <w:color w:val="auto"/>
          <w:highlight w:val="none"/>
          <w:lang w:val="en-US" w:eastAsia="zh-CN"/>
        </w:rPr>
        <w:t>二</w:t>
      </w:r>
      <w:r>
        <w:rPr>
          <w:rFonts w:hint="eastAsia" w:ascii="黑体" w:hAnsi="黑体" w:eastAsia="黑体" w:cs="黑体"/>
          <w:b w:val="0"/>
          <w:bCs w:val="0"/>
          <w:color w:val="auto"/>
          <w:highlight w:val="none"/>
        </w:rPr>
        <w:t>、评价结论和绩效分析</w:t>
      </w:r>
      <w:bookmarkEnd w:id="12"/>
      <w:bookmarkEnd w:id="13"/>
      <w:bookmarkEnd w:id="14"/>
    </w:p>
    <w:p w14:paraId="38C254C4">
      <w:pPr>
        <w:pStyle w:val="9"/>
        <w:keepNext w:val="0"/>
        <w:keepLines w:val="0"/>
        <w:pageBreakBefore w:val="0"/>
        <w:widowControl w:val="0"/>
        <w:kinsoku/>
        <w:wordWrap/>
        <w:overflowPunct/>
        <w:topLinePunct w:val="0"/>
        <w:autoSpaceDE/>
        <w:autoSpaceDN/>
        <w:bidi w:val="0"/>
        <w:adjustRightInd/>
        <w:snapToGrid/>
        <w:spacing w:line="556" w:lineRule="exact"/>
        <w:ind w:firstLine="643" w:firstLineChars="200"/>
        <w:textAlignment w:val="auto"/>
        <w:outlineLvl w:val="1"/>
        <w:rPr>
          <w:rFonts w:ascii="楷体" w:hAnsi="楷体" w:eastAsia="楷体" w:cs="楷体"/>
          <w:b/>
          <w:bCs/>
          <w:color w:val="auto"/>
          <w:highlight w:val="none"/>
        </w:rPr>
      </w:pPr>
      <w:bookmarkStart w:id="15" w:name="_Toc11898"/>
      <w:bookmarkStart w:id="16" w:name="_Toc31102"/>
      <w:bookmarkStart w:id="17" w:name="_Toc3082"/>
      <w:r>
        <w:rPr>
          <w:rFonts w:hint="eastAsia" w:ascii="楷体" w:hAnsi="楷体" w:eastAsia="楷体" w:cs="楷体"/>
          <w:b/>
          <w:bCs/>
          <w:color w:val="auto"/>
          <w:highlight w:val="none"/>
        </w:rPr>
        <w:t>（一）综合评价结论</w:t>
      </w:r>
      <w:bookmarkEnd w:id="15"/>
      <w:bookmarkEnd w:id="16"/>
      <w:bookmarkEnd w:id="17"/>
    </w:p>
    <w:p w14:paraId="013565A0">
      <w:pPr>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评价小组根据项目实际，运用事先设置的评价指标体系及评分标准，对本次绩效评价指标体系进行适当调整，并经过数据采集、问卷调查及访谈、专家论证等</w:t>
      </w:r>
      <w:r>
        <w:rPr>
          <w:rFonts w:hint="eastAsia" w:ascii="仿宋_GB2312" w:hAnsi="仿宋_GB2312" w:eastAsia="仿宋_GB2312" w:cs="仿宋_GB2312"/>
          <w:color w:val="auto"/>
          <w:sz w:val="32"/>
          <w:szCs w:val="32"/>
          <w:highlight w:val="none"/>
          <w:lang w:val="en-US" w:eastAsia="zh-CN"/>
        </w:rPr>
        <w:t>评价方法</w:t>
      </w:r>
      <w:r>
        <w:rPr>
          <w:rFonts w:hint="eastAsia" w:ascii="仿宋_GB2312" w:hAnsi="仿宋_GB2312" w:eastAsia="仿宋_GB2312" w:cs="仿宋_GB2312"/>
          <w:color w:val="auto"/>
          <w:sz w:val="32"/>
          <w:szCs w:val="32"/>
          <w:highlight w:val="none"/>
        </w:rPr>
        <w:t>，客观公正地评价，评定2023年度</w:t>
      </w:r>
      <w:r>
        <w:rPr>
          <w:rFonts w:hint="eastAsia" w:ascii="仿宋_GB2312" w:hAnsi="仿宋_GB2312" w:eastAsia="仿宋_GB2312" w:cs="仿宋_GB2312"/>
          <w:color w:val="auto"/>
          <w:sz w:val="32"/>
          <w:szCs w:val="32"/>
          <w:highlight w:val="none"/>
          <w:lang w:val="en-US" w:eastAsia="zh-CN"/>
        </w:rPr>
        <w:t>设备购置费</w:t>
      </w:r>
      <w:r>
        <w:rPr>
          <w:rFonts w:hint="eastAsia" w:ascii="仿宋_GB2312" w:hAnsi="仿宋_GB2312" w:eastAsia="仿宋_GB2312" w:cs="仿宋_GB2312"/>
          <w:color w:val="auto"/>
          <w:sz w:val="32"/>
          <w:szCs w:val="32"/>
          <w:highlight w:val="none"/>
        </w:rPr>
        <w:t>项目综合评价得分为</w:t>
      </w:r>
      <w:r>
        <w:rPr>
          <w:rFonts w:hint="eastAsia" w:ascii="仿宋_GB2312" w:hAnsi="仿宋_GB2312" w:eastAsia="仿宋_GB2312" w:cs="仿宋_GB2312"/>
          <w:color w:val="auto"/>
          <w:sz w:val="32"/>
          <w:szCs w:val="32"/>
          <w:highlight w:val="none"/>
          <w:lang w:val="en-US" w:eastAsia="zh-CN"/>
        </w:rPr>
        <w:t>90.87</w:t>
      </w:r>
      <w:r>
        <w:rPr>
          <w:rFonts w:hint="eastAsia" w:ascii="仿宋_GB2312" w:hAnsi="仿宋_GB2312" w:eastAsia="仿宋_GB2312" w:cs="仿宋_GB2312"/>
          <w:color w:val="auto"/>
          <w:sz w:val="32"/>
          <w:szCs w:val="32"/>
          <w:highlight w:val="none"/>
        </w:rPr>
        <w:t>分，评价等级为“</w:t>
      </w:r>
      <w:r>
        <w:rPr>
          <w:rFonts w:hint="eastAsia" w:ascii="仿宋_GB2312" w:hAnsi="仿宋_GB2312" w:eastAsia="仿宋_GB2312" w:cs="仿宋_GB2312"/>
          <w:color w:val="auto"/>
          <w:sz w:val="32"/>
          <w:szCs w:val="32"/>
          <w:highlight w:val="none"/>
          <w:lang w:val="en-US" w:eastAsia="zh-CN"/>
        </w:rPr>
        <w:t>优</w:t>
      </w:r>
      <w:r>
        <w:rPr>
          <w:rFonts w:hint="eastAsia" w:ascii="仿宋_GB2312" w:hAnsi="仿宋_GB2312" w:eastAsia="仿宋_GB2312" w:cs="仿宋_GB2312"/>
          <w:color w:val="auto"/>
          <w:sz w:val="32"/>
          <w:szCs w:val="32"/>
          <w:highlight w:val="none"/>
        </w:rPr>
        <w:t>”。</w:t>
      </w:r>
    </w:p>
    <w:p w14:paraId="1B85355F">
      <w:pPr>
        <w:pStyle w:val="9"/>
        <w:keepNext w:val="0"/>
        <w:keepLines w:val="0"/>
        <w:pageBreakBefore w:val="0"/>
        <w:widowControl w:val="0"/>
        <w:kinsoku/>
        <w:wordWrap/>
        <w:overflowPunct/>
        <w:topLinePunct w:val="0"/>
        <w:autoSpaceDE/>
        <w:autoSpaceDN/>
        <w:bidi w:val="0"/>
        <w:adjustRightInd/>
        <w:snapToGrid/>
        <w:spacing w:line="556" w:lineRule="exact"/>
        <w:ind w:firstLine="643" w:firstLineChars="200"/>
        <w:textAlignment w:val="auto"/>
        <w:outlineLvl w:val="1"/>
        <w:rPr>
          <w:rFonts w:ascii="楷体" w:hAnsi="楷体" w:eastAsia="楷体" w:cs="楷体"/>
          <w:b/>
          <w:bCs/>
          <w:color w:val="auto"/>
          <w:highlight w:val="none"/>
        </w:rPr>
      </w:pPr>
      <w:bookmarkStart w:id="18" w:name="_Toc14316"/>
      <w:bookmarkStart w:id="19" w:name="_Toc24181"/>
      <w:bookmarkStart w:id="20" w:name="_Toc27307"/>
      <w:r>
        <w:rPr>
          <w:rFonts w:hint="eastAsia" w:ascii="楷体" w:hAnsi="楷体" w:eastAsia="楷体" w:cs="楷体"/>
          <w:b/>
          <w:bCs/>
          <w:color w:val="auto"/>
          <w:highlight w:val="none"/>
        </w:rPr>
        <w:t>（二）绩效分析</w:t>
      </w:r>
      <w:bookmarkEnd w:id="18"/>
      <w:bookmarkEnd w:id="19"/>
      <w:bookmarkEnd w:id="20"/>
    </w:p>
    <w:p w14:paraId="5B9A0364">
      <w:pPr>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rPr>
          <w:rFonts w:hint="default" w:ascii="仿宋_GB2312" w:hAnsi="仿宋_GB2312" w:eastAsia="仿宋_GB2312" w:cs="仿宋_GB2312"/>
          <w:color w:val="auto"/>
          <w:sz w:val="32"/>
          <w:szCs w:val="32"/>
          <w:highlight w:val="yellow"/>
          <w:lang w:val="en-US" w:eastAsia="zh-CN"/>
        </w:rPr>
      </w:pPr>
      <w:r>
        <w:rPr>
          <w:rFonts w:hint="eastAsia" w:ascii="仿宋_GB2312" w:hAnsi="仿宋_GB2312" w:eastAsia="仿宋_GB2312" w:cs="仿宋_GB2312"/>
          <w:sz w:val="32"/>
          <w:szCs w:val="32"/>
          <w:highlight w:val="none"/>
        </w:rPr>
        <w:t>评价认为，</w:t>
      </w:r>
      <w:r>
        <w:rPr>
          <w:rFonts w:hint="eastAsia" w:ascii="仿宋_GB2312" w:hAnsi="仿宋_GB2312" w:eastAsia="仿宋_GB2312" w:cs="仿宋_GB2312"/>
          <w:sz w:val="32"/>
          <w:szCs w:val="32"/>
          <w:highlight w:val="none"/>
          <w:lang w:val="en-US" w:eastAsia="zh-CN"/>
        </w:rPr>
        <w:t>设备购置费</w:t>
      </w:r>
      <w:r>
        <w:rPr>
          <w:rFonts w:hint="eastAsia" w:ascii="仿宋_GB2312" w:hAnsi="仿宋_GB2312" w:eastAsia="仿宋_GB2312" w:cs="仿宋_GB2312"/>
          <w:sz w:val="32"/>
          <w:szCs w:val="32"/>
          <w:highlight w:val="none"/>
        </w:rPr>
        <w:t>项目立项程序规范，依据充分，项目实施必要。在</w:t>
      </w:r>
      <w:r>
        <w:rPr>
          <w:rFonts w:hint="eastAsia" w:ascii="仿宋_GB2312" w:hAnsi="仿宋_GB2312" w:eastAsia="仿宋_GB2312" w:cs="仿宋_GB2312"/>
          <w:sz w:val="32"/>
          <w:szCs w:val="32"/>
          <w:highlight w:val="none"/>
          <w:lang w:val="en-US" w:eastAsia="zh-CN"/>
        </w:rPr>
        <w:t>专项</w:t>
      </w:r>
      <w:r>
        <w:rPr>
          <w:rFonts w:hint="eastAsia" w:ascii="仿宋_GB2312" w:hAnsi="仿宋_GB2312" w:eastAsia="仿宋_GB2312" w:cs="仿宋_GB2312"/>
          <w:sz w:val="32"/>
          <w:szCs w:val="32"/>
          <w:highlight w:val="none"/>
        </w:rPr>
        <w:t>资金统一保障下，项目顺利开展，项目实施流程严谨，执行管理到位，资金使用效果良好。项目总体组织规范，</w:t>
      </w:r>
      <w:r>
        <w:rPr>
          <w:rFonts w:hint="eastAsia" w:ascii="仿宋_GB2312" w:hAnsi="仿宋_GB2312" w:eastAsia="仿宋_GB2312" w:cs="仿宋_GB2312"/>
          <w:sz w:val="32"/>
          <w:szCs w:val="32"/>
          <w:highlight w:val="none"/>
          <w:lang w:val="en-US" w:eastAsia="zh-CN"/>
        </w:rPr>
        <w:t>通过项目实施，满足法院各项业务对相关设备的需求，确保法院日常工作的有序进行，提高了业务保障水平和工作效率</w:t>
      </w:r>
      <w:r>
        <w:rPr>
          <w:rFonts w:hint="eastAsia" w:ascii="仿宋_GB2312" w:hAnsi="仿宋_GB2312" w:eastAsia="仿宋_GB2312" w:cs="仿宋_GB2312"/>
          <w:b w:val="0"/>
          <w:bCs w:val="0"/>
          <w:sz w:val="32"/>
          <w:szCs w:val="32"/>
          <w:highlight w:val="none"/>
          <w:lang w:val="en-US" w:eastAsia="zh-CN"/>
        </w:rPr>
        <w:t>。</w:t>
      </w:r>
      <w:r>
        <w:rPr>
          <w:rFonts w:hint="eastAsia" w:ascii="仿宋_GB2312" w:hAnsi="仿宋_GB2312" w:eastAsia="仿宋_GB2312" w:cs="仿宋_GB2312"/>
          <w:sz w:val="32"/>
          <w:szCs w:val="32"/>
          <w:highlight w:val="none"/>
          <w:lang w:val="en-US" w:eastAsia="zh-CN"/>
        </w:rPr>
        <w:t>但也存在制度执行有待规范，部分指标未完成的年度目标的问题。</w:t>
      </w:r>
    </w:p>
    <w:p w14:paraId="0CE7528D">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line="556" w:lineRule="exact"/>
        <w:ind w:firstLine="640" w:firstLineChars="200"/>
        <w:textAlignment w:val="auto"/>
        <w:rPr>
          <w:rFonts w:ascii="黑体" w:hAnsi="黑体" w:eastAsia="黑体" w:cs="黑体"/>
          <w:bCs w:val="0"/>
          <w:color w:val="auto"/>
          <w:sz w:val="32"/>
          <w:szCs w:val="32"/>
          <w:highlight w:val="none"/>
        </w:rPr>
      </w:pPr>
      <w:bookmarkStart w:id="21" w:name="_Toc16038"/>
      <w:bookmarkStart w:id="22" w:name="_Toc4217"/>
      <w:bookmarkStart w:id="23" w:name="_Toc26660"/>
      <w:r>
        <w:rPr>
          <w:rFonts w:hint="eastAsia" w:ascii="黑体" w:hAnsi="黑体" w:eastAsia="黑体" w:cs="黑体"/>
          <w:b w:val="0"/>
          <w:bCs/>
          <w:color w:val="auto"/>
          <w:kern w:val="44"/>
          <w:sz w:val="32"/>
          <w:szCs w:val="32"/>
          <w:highlight w:val="none"/>
          <w:lang w:val="en-US" w:eastAsia="zh-CN" w:bidi="ar-SA"/>
        </w:rPr>
        <w:t>三、</w:t>
      </w:r>
      <w:r>
        <w:rPr>
          <w:rFonts w:hint="eastAsia" w:ascii="黑体" w:hAnsi="黑体" w:eastAsia="黑体" w:cs="黑体"/>
          <w:b w:val="0"/>
          <w:bCs/>
          <w:color w:val="auto"/>
          <w:sz w:val="32"/>
          <w:szCs w:val="32"/>
          <w:highlight w:val="none"/>
        </w:rPr>
        <w:t>存在问题</w:t>
      </w:r>
      <w:bookmarkEnd w:id="21"/>
      <w:bookmarkEnd w:id="22"/>
      <w:bookmarkEnd w:id="23"/>
    </w:p>
    <w:p w14:paraId="6DC7F7E2">
      <w:pPr>
        <w:overflowPunct w:val="0"/>
        <w:spacing w:line="560" w:lineRule="exact"/>
        <w:ind w:firstLine="643" w:firstLineChars="200"/>
        <w:outlineLvl w:val="1"/>
        <w:rPr>
          <w:rStyle w:val="31"/>
          <w:rFonts w:hint="default" w:ascii="楷体" w:hAnsi="楷体" w:eastAsia="楷体" w:cs="楷体"/>
          <w:szCs w:val="32"/>
          <w:highlight w:val="none"/>
          <w:lang w:val="en-US" w:eastAsia="zh-CN"/>
        </w:rPr>
      </w:pPr>
      <w:bookmarkStart w:id="24" w:name="_Toc3487"/>
      <w:bookmarkStart w:id="25" w:name="_Toc16834"/>
      <w:bookmarkStart w:id="26" w:name="_Toc16824"/>
      <w:bookmarkStart w:id="27" w:name="_Toc16290"/>
      <w:bookmarkStart w:id="28" w:name="_Toc4321"/>
      <w:r>
        <w:rPr>
          <w:rStyle w:val="31"/>
          <w:rFonts w:hint="eastAsia" w:ascii="楷体" w:hAnsi="楷体" w:eastAsia="楷体" w:cs="楷体"/>
          <w:szCs w:val="32"/>
          <w:highlight w:val="none"/>
        </w:rPr>
        <w:t>（一）</w:t>
      </w:r>
      <w:r>
        <w:rPr>
          <w:rStyle w:val="31"/>
          <w:rFonts w:hint="eastAsia" w:ascii="楷体" w:hAnsi="楷体" w:eastAsia="楷体" w:cs="楷体"/>
          <w:szCs w:val="32"/>
          <w:highlight w:val="none"/>
          <w:lang w:val="en-US" w:eastAsia="zh-CN"/>
        </w:rPr>
        <w:t>制度执行有待规范</w:t>
      </w:r>
      <w:bookmarkEnd w:id="24"/>
      <w:bookmarkEnd w:id="25"/>
    </w:p>
    <w:p w14:paraId="65D77E5D">
      <w:pPr>
        <w:overflowPunct w:val="0"/>
        <w:spacing w:line="560" w:lineRule="exact"/>
        <w:ind w:firstLine="640" w:firstLineChars="200"/>
        <w:outlineLvl w:val="1"/>
        <w:rPr>
          <w:rFonts w:hint="eastAsia" w:ascii="仿宋_GB2312" w:hAnsi="仿宋_GB2312" w:eastAsia="仿宋_GB2312" w:cs="仿宋_GB2312"/>
          <w:sz w:val="32"/>
          <w:szCs w:val="32"/>
          <w:highlight w:val="none"/>
        </w:rPr>
      </w:pPr>
      <w:bookmarkStart w:id="29" w:name="_Toc22969"/>
      <w:bookmarkStart w:id="30" w:name="_Toc1286"/>
      <w:r>
        <w:rPr>
          <w:rFonts w:hint="eastAsia" w:ascii="仿宋_GB2312" w:hAnsi="仿宋_GB2312" w:eastAsia="仿宋_GB2312" w:cs="仿宋_GB2312"/>
          <w:kern w:val="2"/>
          <w:sz w:val="32"/>
          <w:szCs w:val="32"/>
          <w:highlight w:val="none"/>
          <w:lang w:val="en-US" w:eastAsia="zh-CN" w:bidi="ar-SA"/>
        </w:rPr>
        <w:t>经查验甘肃省高级人民法院相关合同协议、会计凭证等资料，存在以下问题：一是存在部分设备购置验收不规范的问题。</w:t>
      </w:r>
      <w:r>
        <w:rPr>
          <w:rFonts w:hint="eastAsia" w:ascii="仿宋_GB2312" w:hAnsi="仿宋_GB2312" w:eastAsia="仿宋_GB2312" w:cs="仿宋_GB2312"/>
          <w:sz w:val="32"/>
          <w:szCs w:val="32"/>
          <w:highlight w:val="none"/>
          <w:lang w:val="en-US" w:eastAsia="zh-CN"/>
        </w:rPr>
        <w:t>二是</w:t>
      </w:r>
      <w:r>
        <w:rPr>
          <w:rFonts w:hint="eastAsia" w:ascii="仿宋_GB2312" w:hAnsi="仿宋_GB2312" w:eastAsia="仿宋_GB2312" w:cs="仿宋_GB2312"/>
          <w:sz w:val="32"/>
          <w:szCs w:val="32"/>
          <w:highlight w:val="none"/>
        </w:rPr>
        <w:t>存在</w:t>
      </w:r>
      <w:r>
        <w:rPr>
          <w:rFonts w:hint="eastAsia" w:ascii="仿宋_GB2312" w:hAnsi="仿宋_GB2312" w:eastAsia="仿宋_GB2312" w:cs="仿宋_GB2312"/>
          <w:sz w:val="32"/>
          <w:szCs w:val="32"/>
          <w:highlight w:val="none"/>
          <w:lang w:val="en-US" w:eastAsia="zh-CN"/>
        </w:rPr>
        <w:t>个别询价采购报价单中未附供货商营业资质的问题</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三是</w:t>
      </w:r>
      <w:bookmarkEnd w:id="29"/>
      <w:bookmarkEnd w:id="30"/>
      <w:r>
        <w:rPr>
          <w:rFonts w:hint="eastAsia" w:ascii="仿宋_GB2312" w:hAnsi="仿宋_GB2312" w:eastAsia="仿宋_GB2312" w:cs="仿宋_GB2312"/>
          <w:sz w:val="32"/>
          <w:szCs w:val="32"/>
          <w:highlight w:val="none"/>
          <w:lang w:val="en-US" w:eastAsia="zh-CN"/>
        </w:rPr>
        <w:t>存在采购合同内容不完整，未填写合同签订日期的问题。</w:t>
      </w:r>
    </w:p>
    <w:p w14:paraId="734370E6">
      <w:pPr>
        <w:overflowPunct w:val="0"/>
        <w:spacing w:line="560" w:lineRule="exact"/>
        <w:ind w:firstLine="643" w:firstLineChars="200"/>
        <w:outlineLvl w:val="1"/>
        <w:rPr>
          <w:rStyle w:val="31"/>
          <w:rFonts w:hint="default" w:ascii="楷体" w:hAnsi="楷体" w:eastAsia="楷体" w:cs="楷体"/>
          <w:szCs w:val="32"/>
          <w:highlight w:val="none"/>
          <w:lang w:val="en-US" w:eastAsia="zh-CN"/>
        </w:rPr>
      </w:pPr>
      <w:bookmarkStart w:id="31" w:name="_Toc4939"/>
      <w:bookmarkStart w:id="32" w:name="_Toc4746"/>
      <w:r>
        <w:rPr>
          <w:rStyle w:val="31"/>
          <w:rFonts w:hint="eastAsia" w:ascii="楷体" w:hAnsi="楷体" w:eastAsia="楷体" w:cs="楷体"/>
          <w:szCs w:val="32"/>
          <w:highlight w:val="none"/>
          <w:lang w:val="en-US" w:eastAsia="zh-CN"/>
        </w:rPr>
        <w:t>（二）</w:t>
      </w:r>
      <w:bookmarkEnd w:id="31"/>
      <w:bookmarkEnd w:id="32"/>
      <w:r>
        <w:rPr>
          <w:rStyle w:val="31"/>
          <w:rFonts w:hint="eastAsia" w:ascii="楷体" w:hAnsi="楷体" w:eastAsia="楷体" w:cs="楷体"/>
          <w:szCs w:val="32"/>
          <w:highlight w:val="none"/>
          <w:lang w:val="en-US" w:eastAsia="zh-CN"/>
        </w:rPr>
        <w:t>个别指标未完成年度目标</w:t>
      </w:r>
    </w:p>
    <w:p w14:paraId="7BC8CA37">
      <w:pPr>
        <w:overflowPunct w:val="0"/>
        <w:spacing w:line="560" w:lineRule="exact"/>
        <w:ind w:firstLine="640" w:firstLineChars="200"/>
        <w:outlineLvl w:val="1"/>
        <w:rPr>
          <w:rStyle w:val="31"/>
          <w:rFonts w:hint="default" w:ascii="楷体" w:hAnsi="楷体" w:eastAsia="仿宋_GB2312" w:cs="楷体"/>
          <w:b w:val="0"/>
          <w:bCs/>
          <w:szCs w:val="32"/>
          <w:highlight w:val="none"/>
          <w:lang w:val="en-US" w:eastAsia="zh-CN"/>
        </w:rPr>
      </w:pPr>
      <w:r>
        <w:rPr>
          <w:rStyle w:val="31"/>
          <w:rFonts w:hint="default" w:ascii="楷体" w:hAnsi="楷体" w:eastAsia="仿宋_GB2312" w:cs="楷体"/>
          <w:b w:val="0"/>
          <w:bCs/>
          <w:szCs w:val="32"/>
          <w:highlight w:val="none"/>
          <w:lang w:val="en-US" w:eastAsia="zh-CN"/>
        </w:rPr>
        <w:t>通用办公设备采购数量、专用办公设备采购数量指标未达到年度目标值。</w:t>
      </w:r>
    </w:p>
    <w:bookmarkEnd w:id="26"/>
    <w:bookmarkEnd w:id="27"/>
    <w:bookmarkEnd w:id="28"/>
    <w:p w14:paraId="07025C12">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line="556" w:lineRule="exact"/>
        <w:ind w:firstLine="640" w:firstLineChars="200"/>
        <w:textAlignment w:val="auto"/>
        <w:rPr>
          <w:rFonts w:hint="eastAsia" w:ascii="黑体" w:hAnsi="黑体" w:eastAsia="黑体" w:cs="黑体"/>
          <w:bCs w:val="0"/>
          <w:color w:val="auto"/>
          <w:sz w:val="32"/>
          <w:szCs w:val="32"/>
          <w:highlight w:val="none"/>
        </w:rPr>
      </w:pPr>
      <w:bookmarkStart w:id="33" w:name="_Toc5786"/>
      <w:bookmarkStart w:id="34" w:name="_Toc7706"/>
      <w:r>
        <w:rPr>
          <w:rFonts w:hint="eastAsia" w:ascii="黑体" w:hAnsi="黑体" w:eastAsia="黑体" w:cs="黑体"/>
          <w:b w:val="0"/>
          <w:bCs/>
          <w:color w:val="auto"/>
          <w:kern w:val="44"/>
          <w:sz w:val="32"/>
          <w:szCs w:val="32"/>
          <w:highlight w:val="none"/>
          <w:lang w:val="en-US" w:eastAsia="zh-CN" w:bidi="ar-SA"/>
        </w:rPr>
        <w:t>四、</w:t>
      </w:r>
      <w:r>
        <w:rPr>
          <w:rFonts w:hint="eastAsia" w:ascii="黑体" w:hAnsi="黑体" w:eastAsia="黑体" w:cs="黑体"/>
          <w:b w:val="0"/>
          <w:bCs/>
          <w:color w:val="auto"/>
          <w:sz w:val="32"/>
          <w:szCs w:val="32"/>
          <w:highlight w:val="none"/>
        </w:rPr>
        <w:t>有关建议</w:t>
      </w:r>
      <w:bookmarkEnd w:id="33"/>
      <w:bookmarkEnd w:id="34"/>
    </w:p>
    <w:p w14:paraId="2CB442F8">
      <w:pPr>
        <w:keepNext w:val="0"/>
        <w:keepLines w:val="0"/>
        <w:pageBreakBefore w:val="0"/>
        <w:widowControl w:val="0"/>
        <w:kinsoku/>
        <w:wordWrap/>
        <w:overflowPunct/>
        <w:topLinePunct w:val="0"/>
        <w:autoSpaceDE/>
        <w:autoSpaceDN/>
        <w:bidi w:val="0"/>
        <w:adjustRightInd/>
        <w:snapToGrid/>
        <w:spacing w:line="556" w:lineRule="exact"/>
        <w:ind w:firstLine="643" w:firstLineChars="200"/>
        <w:textAlignment w:val="auto"/>
        <w:outlineLvl w:val="1"/>
        <w:rPr>
          <w:rStyle w:val="31"/>
          <w:rFonts w:hint="eastAsia" w:ascii="楷体" w:hAnsi="楷体" w:eastAsia="楷体" w:cs="楷体"/>
          <w:szCs w:val="32"/>
          <w:highlight w:val="none"/>
          <w:lang w:val="en-US" w:eastAsia="zh-CN"/>
        </w:rPr>
      </w:pPr>
      <w:bookmarkStart w:id="35" w:name="_Toc14487"/>
      <w:bookmarkStart w:id="36" w:name="_Toc23903"/>
      <w:r>
        <w:rPr>
          <w:rStyle w:val="31"/>
          <w:rFonts w:hint="eastAsia" w:ascii="仿宋_GB2312" w:hAnsi="仿宋_GB2312" w:eastAsia="仿宋_GB2312" w:cs="仿宋_GB2312"/>
          <w:b/>
          <w:bCs w:val="0"/>
          <w:szCs w:val="32"/>
          <w:highlight w:val="none"/>
        </w:rPr>
        <w:t>（一）</w:t>
      </w:r>
      <w:r>
        <w:rPr>
          <w:rStyle w:val="31"/>
          <w:rFonts w:hint="eastAsia" w:ascii="楷体" w:hAnsi="楷体" w:eastAsia="楷体" w:cs="楷体"/>
          <w:szCs w:val="32"/>
          <w:highlight w:val="none"/>
          <w:lang w:val="en-US" w:eastAsia="zh-CN"/>
        </w:rPr>
        <w:t>加强绩效管理，提高资金使用效益</w:t>
      </w:r>
      <w:bookmarkEnd w:id="35"/>
      <w:bookmarkEnd w:id="36"/>
    </w:p>
    <w:p w14:paraId="38E99E7A">
      <w:pPr>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outlineLvl w:val="1"/>
        <w:rPr>
          <w:rStyle w:val="31"/>
          <w:rFonts w:hint="default" w:ascii="仿宋_GB2312" w:hAnsi="仿宋_GB2312" w:eastAsia="仿宋_GB2312" w:cs="仿宋_GB2312"/>
          <w:b w:val="0"/>
          <w:bCs/>
          <w:szCs w:val="32"/>
          <w:highlight w:val="none"/>
          <w:lang w:val="en-US" w:eastAsia="zh-CN"/>
        </w:rPr>
      </w:pPr>
      <w:bookmarkStart w:id="37" w:name="_Toc22783"/>
      <w:bookmarkStart w:id="38" w:name="_Toc8755"/>
      <w:r>
        <w:rPr>
          <w:rStyle w:val="31"/>
          <w:rFonts w:hint="eastAsia" w:ascii="仿宋_GB2312" w:hAnsi="仿宋_GB2312" w:eastAsia="仿宋_GB2312" w:cs="仿宋_GB2312"/>
          <w:b w:val="0"/>
          <w:bCs/>
          <w:szCs w:val="32"/>
          <w:highlight w:val="none"/>
        </w:rPr>
        <w:t>建议</w:t>
      </w:r>
      <w:r>
        <w:rPr>
          <w:rStyle w:val="31"/>
          <w:rFonts w:hint="eastAsia" w:ascii="仿宋_GB2312" w:hAnsi="仿宋_GB2312" w:eastAsia="仿宋_GB2312" w:cs="仿宋_GB2312"/>
          <w:b w:val="0"/>
          <w:bCs/>
          <w:szCs w:val="32"/>
          <w:highlight w:val="none"/>
          <w:lang w:val="en-US" w:eastAsia="zh-CN"/>
        </w:rPr>
        <w:t>甘肃省高级人民法院</w:t>
      </w:r>
      <w:bookmarkEnd w:id="37"/>
      <w:bookmarkEnd w:id="38"/>
      <w:r>
        <w:rPr>
          <w:rStyle w:val="31"/>
          <w:rFonts w:hint="eastAsia" w:ascii="仿宋_GB2312" w:hAnsi="仿宋_GB2312" w:eastAsia="仿宋_GB2312" w:cs="仿宋_GB2312"/>
          <w:b w:val="0"/>
          <w:bCs/>
          <w:szCs w:val="32"/>
          <w:highlight w:val="none"/>
          <w:lang w:val="en-US" w:eastAsia="zh-CN"/>
        </w:rPr>
        <w:t>一是完善履约验收流程，二是完善政府采购管理制度，明确政府采购程序，三是严把采购审核关，发现问题及时督促整改。</w:t>
      </w:r>
    </w:p>
    <w:p w14:paraId="0652D3FA">
      <w:pPr>
        <w:keepNext w:val="0"/>
        <w:keepLines w:val="0"/>
        <w:pageBreakBefore w:val="0"/>
        <w:widowControl w:val="0"/>
        <w:kinsoku/>
        <w:wordWrap/>
        <w:overflowPunct/>
        <w:topLinePunct w:val="0"/>
        <w:autoSpaceDE/>
        <w:autoSpaceDN/>
        <w:bidi w:val="0"/>
        <w:adjustRightInd/>
        <w:snapToGrid/>
        <w:spacing w:line="556" w:lineRule="exact"/>
        <w:ind w:firstLine="643" w:firstLineChars="200"/>
        <w:textAlignment w:val="auto"/>
        <w:outlineLvl w:val="1"/>
        <w:rPr>
          <w:rStyle w:val="31"/>
          <w:rFonts w:hint="eastAsia" w:ascii="仿宋_GB2312" w:hAnsi="仿宋_GB2312" w:eastAsia="仿宋_GB2312" w:cs="仿宋_GB2312"/>
          <w:b/>
          <w:bCs w:val="0"/>
          <w:szCs w:val="32"/>
          <w:highlight w:val="none"/>
        </w:rPr>
      </w:pPr>
      <w:bookmarkStart w:id="39" w:name="_Toc11035"/>
      <w:bookmarkStart w:id="40" w:name="_Toc32753"/>
      <w:r>
        <w:rPr>
          <w:rStyle w:val="31"/>
          <w:rFonts w:hint="eastAsia" w:ascii="仿宋_GB2312" w:hAnsi="仿宋_GB2312" w:eastAsia="仿宋_GB2312" w:cs="仿宋_GB2312"/>
          <w:b/>
          <w:bCs w:val="0"/>
          <w:szCs w:val="32"/>
          <w:highlight w:val="none"/>
        </w:rPr>
        <w:t>（二）</w:t>
      </w:r>
      <w:r>
        <w:rPr>
          <w:rStyle w:val="31"/>
          <w:rFonts w:hint="eastAsia" w:ascii="楷体" w:hAnsi="楷体" w:eastAsia="楷体" w:cs="楷体"/>
          <w:szCs w:val="32"/>
          <w:highlight w:val="none"/>
          <w:lang w:val="en-US" w:eastAsia="zh-CN"/>
        </w:rPr>
        <w:t>加强绩效管理，落实监督检查工作</w:t>
      </w:r>
      <w:bookmarkEnd w:id="39"/>
      <w:bookmarkEnd w:id="40"/>
    </w:p>
    <w:p w14:paraId="411A4C92">
      <w:pPr>
        <w:widowControl w:val="0"/>
        <w:spacing w:line="560" w:lineRule="exact"/>
        <w:ind w:firstLine="640" w:firstLineChars="200"/>
        <w:jc w:val="both"/>
        <w:rPr>
          <w:sz w:val="32"/>
          <w:szCs w:val="32"/>
          <w:lang w:eastAsia="zh-CN"/>
        </w:rPr>
      </w:pPr>
      <w:r>
        <w:rPr>
          <w:rFonts w:hint="eastAsia" w:ascii="仿宋_GB2312" w:hAnsi="仿宋_GB2312" w:eastAsia="仿宋_GB2312" w:cs="仿宋_GB2312"/>
          <w:sz w:val="32"/>
          <w:szCs w:val="32"/>
          <w:lang w:val="en-US" w:eastAsia="zh-CN"/>
        </w:rPr>
        <w:t>一是进一步规范绩效指标的设置，提高绩效指标编制的合理性、科学性、规范性。二是严格落实年度设备购置计划，加强部门沟通，</w:t>
      </w:r>
      <w:r>
        <w:rPr>
          <w:rFonts w:hint="eastAsia" w:ascii="仿宋_GB2312" w:hAnsi="仿宋_GB2312" w:eastAsia="仿宋_GB2312" w:cs="仿宋_GB2312"/>
          <w:sz w:val="32"/>
          <w:szCs w:val="32"/>
          <w:lang w:eastAsia="zh-CN"/>
        </w:rPr>
        <w:t>结合上一年度实际采购数量和本年度业务处室采购需求，科学、合理地编制采购预算。</w:t>
      </w:r>
    </w:p>
    <w:p w14:paraId="19C15964">
      <w:pPr>
        <w:keepNext w:val="0"/>
        <w:keepLines w:val="0"/>
        <w:pageBreakBefore w:val="0"/>
        <w:widowControl w:val="0"/>
        <w:kinsoku/>
        <w:wordWrap/>
        <w:overflowPunct/>
        <w:topLinePunct w:val="0"/>
        <w:autoSpaceDE/>
        <w:autoSpaceDN/>
        <w:bidi w:val="0"/>
        <w:adjustRightInd/>
        <w:snapToGrid/>
        <w:spacing w:line="556" w:lineRule="exact"/>
        <w:ind w:firstLine="420" w:firstLineChars="200"/>
        <w:textAlignment w:val="auto"/>
        <w:outlineLvl w:val="1"/>
        <w:rPr>
          <w:rFonts w:hint="eastAsia" w:ascii="仿宋_GB2312" w:hAnsi="仿宋_GB2312" w:eastAsia="仿宋_GB2312" w:cs="仿宋_GB2312"/>
          <w:b w:val="0"/>
          <w:bCs/>
          <w:highlight w:val="yellow"/>
        </w:rPr>
      </w:pPr>
    </w:p>
    <w:p w14:paraId="542C3303">
      <w:pPr>
        <w:pStyle w:val="9"/>
        <w:overflowPunct w:val="0"/>
        <w:spacing w:line="560" w:lineRule="exact"/>
        <w:ind w:firstLine="640" w:firstLineChars="200"/>
        <w:rPr>
          <w:rFonts w:ascii="仿宋_GB2312" w:hAnsi="仿宋_GB2312" w:cs="仿宋_GB2312"/>
          <w:highlight w:val="yellow"/>
        </w:rPr>
      </w:pPr>
      <w:bookmarkStart w:id="41" w:name="_Toc1784"/>
      <w:bookmarkStart w:id="42" w:name="_Toc2283"/>
    </w:p>
    <w:p w14:paraId="7753108A">
      <w:pPr>
        <w:overflowPunct w:val="0"/>
        <w:spacing w:line="560" w:lineRule="exact"/>
        <w:jc w:val="center"/>
        <w:rPr>
          <w:rFonts w:ascii="方正小标宋简体" w:hAnsi="宋体" w:eastAsia="方正小标宋简体"/>
          <w:sz w:val="44"/>
          <w:szCs w:val="44"/>
          <w:highlight w:val="yellow"/>
        </w:rPr>
        <w:sectPr>
          <w:headerReference r:id="rId9" w:type="first"/>
          <w:footerReference r:id="rId11" w:type="first"/>
          <w:footerReference r:id="rId10" w:type="default"/>
          <w:pgSz w:w="11906" w:h="16838"/>
          <w:pgMar w:top="1440" w:right="1803" w:bottom="1440" w:left="1633" w:header="851" w:footer="992" w:gutter="0"/>
          <w:pgBorders>
            <w:top w:val="none" w:sz="0" w:space="0"/>
            <w:left w:val="none" w:sz="0" w:space="0"/>
            <w:bottom w:val="none" w:sz="0" w:space="0"/>
            <w:right w:val="none" w:sz="0" w:space="0"/>
          </w:pgBorders>
          <w:pgNumType w:start="1"/>
          <w:cols w:space="0" w:num="1"/>
          <w:titlePg/>
          <w:docGrid w:type="lines" w:linePitch="312" w:charSpace="0"/>
        </w:sectPr>
      </w:pPr>
    </w:p>
    <w:p w14:paraId="6C21BF6A">
      <w:pPr>
        <w:overflowPunct w:val="0"/>
        <w:spacing w:line="560" w:lineRule="exact"/>
        <w:jc w:val="center"/>
        <w:outlineLvl w:val="0"/>
        <w:rPr>
          <w:rFonts w:hint="eastAsia" w:ascii="方正小标宋简体" w:hAnsi="宋体" w:eastAsia="方正小标宋简体"/>
          <w:sz w:val="44"/>
          <w:szCs w:val="44"/>
          <w:highlight w:val="none"/>
        </w:rPr>
      </w:pPr>
      <w:bookmarkStart w:id="43" w:name="_Toc2289"/>
      <w:bookmarkStart w:id="44" w:name="_Toc29730"/>
      <w:r>
        <w:rPr>
          <w:rFonts w:hint="eastAsia" w:ascii="方正小标宋简体" w:hAnsi="宋体" w:eastAsia="方正小标宋简体"/>
          <w:sz w:val="44"/>
          <w:szCs w:val="44"/>
          <w:highlight w:val="none"/>
        </w:rPr>
        <w:t>2023年度</w:t>
      </w:r>
      <w:r>
        <w:rPr>
          <w:rFonts w:hint="eastAsia" w:ascii="方正小标宋简体" w:hAnsi="宋体" w:eastAsia="方正小标宋简体"/>
          <w:sz w:val="44"/>
          <w:szCs w:val="44"/>
          <w:highlight w:val="none"/>
          <w:lang w:val="en-US" w:eastAsia="zh-CN"/>
        </w:rPr>
        <w:t>甘肃省高级人民法院</w:t>
      </w:r>
      <w:r>
        <w:rPr>
          <w:rFonts w:hint="eastAsia" w:ascii="方正小标宋简体" w:hAnsi="宋体" w:eastAsia="方正小标宋简体"/>
          <w:sz w:val="44"/>
          <w:szCs w:val="44"/>
          <w:highlight w:val="none"/>
        </w:rPr>
        <w:t>重点项目</w:t>
      </w:r>
      <w:bookmarkEnd w:id="43"/>
      <w:bookmarkEnd w:id="44"/>
    </w:p>
    <w:p w14:paraId="13D7A1FE">
      <w:pPr>
        <w:overflowPunct w:val="0"/>
        <w:spacing w:line="560" w:lineRule="exact"/>
        <w:jc w:val="center"/>
        <w:outlineLvl w:val="0"/>
        <w:rPr>
          <w:rFonts w:ascii="方正小标宋简体" w:hAnsi="宋体" w:eastAsia="方正小标宋简体"/>
          <w:sz w:val="44"/>
          <w:szCs w:val="44"/>
          <w:highlight w:val="none"/>
        </w:rPr>
      </w:pPr>
      <w:bookmarkStart w:id="45" w:name="_Toc7337"/>
      <w:bookmarkStart w:id="46" w:name="_Toc31482"/>
      <w:r>
        <w:rPr>
          <w:rFonts w:hint="eastAsia" w:ascii="方正小标宋简体" w:hAnsi="宋体" w:eastAsia="方正小标宋简体"/>
          <w:sz w:val="44"/>
          <w:szCs w:val="44"/>
          <w:highlight w:val="none"/>
        </w:rPr>
        <w:t>—</w:t>
      </w:r>
      <w:bookmarkStart w:id="47" w:name="_Toc13609"/>
      <w:r>
        <w:rPr>
          <w:rFonts w:hint="eastAsia" w:ascii="方正小标宋简体" w:hAnsi="宋体" w:eastAsia="方正小标宋简体"/>
          <w:sz w:val="44"/>
          <w:szCs w:val="44"/>
          <w:highlight w:val="none"/>
          <w:lang w:val="en-US" w:eastAsia="zh-CN"/>
        </w:rPr>
        <w:t>设备购置费</w:t>
      </w:r>
      <w:r>
        <w:rPr>
          <w:rFonts w:hint="eastAsia" w:ascii="方正小标宋简体" w:hAnsi="宋体" w:eastAsia="方正小标宋简体"/>
          <w:sz w:val="44"/>
          <w:szCs w:val="44"/>
          <w:highlight w:val="none"/>
        </w:rPr>
        <w:t>绩效评价报告</w:t>
      </w:r>
      <w:bookmarkEnd w:id="45"/>
      <w:bookmarkEnd w:id="46"/>
      <w:bookmarkEnd w:id="47"/>
    </w:p>
    <w:p w14:paraId="1D991D41">
      <w:pPr>
        <w:pStyle w:val="9"/>
        <w:overflowPunct w:val="0"/>
        <w:spacing w:before="156" w:beforeLines="50" w:after="156" w:afterLines="50" w:line="560" w:lineRule="exact"/>
        <w:ind w:firstLine="560" w:firstLineChars="200"/>
        <w:jc w:val="right"/>
        <w:outlineLvl w:val="0"/>
        <w:rPr>
          <w:rFonts w:ascii="黑体" w:eastAsia="黑体"/>
          <w:sz w:val="28"/>
          <w:szCs w:val="28"/>
          <w:highlight w:val="none"/>
        </w:rPr>
      </w:pPr>
      <w:bookmarkStart w:id="48" w:name="_Toc26720"/>
      <w:bookmarkStart w:id="49" w:name="_Toc9789"/>
      <w:bookmarkStart w:id="50" w:name="_Toc20544"/>
      <w:bookmarkStart w:id="51" w:name="_Toc13825"/>
      <w:bookmarkStart w:id="52" w:name="_Toc11834"/>
      <w:bookmarkStart w:id="53" w:name="_Toc18839"/>
      <w:bookmarkStart w:id="54" w:name="_Toc28166"/>
      <w:r>
        <w:rPr>
          <w:rFonts w:hint="eastAsia" w:ascii="楷体" w:hAnsi="楷体" w:eastAsia="楷体" w:cs="楷体"/>
          <w:sz w:val="28"/>
          <w:szCs w:val="28"/>
          <w:highlight w:val="none"/>
        </w:rPr>
        <w:t>甘卓诚咨字【202</w:t>
      </w:r>
      <w:r>
        <w:rPr>
          <w:rFonts w:hint="eastAsia" w:ascii="楷体" w:hAnsi="楷体" w:eastAsia="楷体" w:cs="楷体"/>
          <w:sz w:val="28"/>
          <w:szCs w:val="28"/>
          <w:highlight w:val="none"/>
          <w:lang w:val="en-US" w:eastAsia="zh-CN"/>
        </w:rPr>
        <w:t>4</w:t>
      </w:r>
      <w:r>
        <w:rPr>
          <w:rFonts w:hint="eastAsia" w:ascii="楷体" w:hAnsi="楷体" w:eastAsia="楷体" w:cs="楷体"/>
          <w:sz w:val="28"/>
          <w:szCs w:val="28"/>
          <w:highlight w:val="none"/>
        </w:rPr>
        <w:t>】第</w:t>
      </w:r>
      <w:r>
        <w:rPr>
          <w:rFonts w:hint="eastAsia" w:ascii="楷体" w:hAnsi="楷体" w:eastAsia="楷体" w:cs="楷体"/>
          <w:sz w:val="28"/>
          <w:szCs w:val="28"/>
          <w:highlight w:val="none"/>
          <w:lang w:val="en-US" w:eastAsia="zh-CN"/>
        </w:rPr>
        <w:t>193</w:t>
      </w:r>
      <w:r>
        <w:rPr>
          <w:rFonts w:hint="eastAsia" w:ascii="楷体" w:hAnsi="楷体" w:eastAsia="楷体" w:cs="楷体"/>
          <w:sz w:val="28"/>
          <w:szCs w:val="28"/>
          <w:highlight w:val="none"/>
        </w:rPr>
        <w:t>号</w:t>
      </w:r>
      <w:bookmarkEnd w:id="48"/>
      <w:bookmarkEnd w:id="49"/>
      <w:bookmarkEnd w:id="50"/>
      <w:bookmarkEnd w:id="51"/>
      <w:bookmarkEnd w:id="52"/>
      <w:bookmarkEnd w:id="53"/>
    </w:p>
    <w:p w14:paraId="75A14DF7">
      <w:pPr>
        <w:pStyle w:val="9"/>
        <w:overflowPunct w:val="0"/>
        <w:spacing w:line="560" w:lineRule="exact"/>
        <w:ind w:firstLine="640" w:firstLineChars="200"/>
        <w:outlineLvl w:val="0"/>
        <w:rPr>
          <w:rFonts w:ascii="黑体" w:eastAsia="黑体"/>
          <w:highlight w:val="none"/>
        </w:rPr>
      </w:pPr>
      <w:bookmarkStart w:id="55" w:name="_Toc6146"/>
      <w:r>
        <w:rPr>
          <w:rFonts w:hint="eastAsia" w:ascii="黑体" w:eastAsia="黑体"/>
          <w:highlight w:val="none"/>
        </w:rPr>
        <w:t>一、项目基本情况</w:t>
      </w:r>
      <w:bookmarkEnd w:id="41"/>
      <w:bookmarkEnd w:id="42"/>
      <w:bookmarkEnd w:id="54"/>
      <w:bookmarkEnd w:id="55"/>
    </w:p>
    <w:p w14:paraId="2A3A6DA5">
      <w:pPr>
        <w:pStyle w:val="9"/>
        <w:overflowPunct w:val="0"/>
        <w:spacing w:line="560" w:lineRule="exact"/>
        <w:ind w:firstLine="643" w:firstLineChars="200"/>
        <w:outlineLvl w:val="1"/>
        <w:rPr>
          <w:rFonts w:ascii="楷体" w:hAnsi="楷体" w:eastAsia="楷体" w:cs="楷体"/>
          <w:b/>
          <w:bCs/>
          <w:highlight w:val="none"/>
        </w:rPr>
      </w:pPr>
      <w:bookmarkStart w:id="56" w:name="_Toc4846"/>
      <w:bookmarkStart w:id="57" w:name="_Toc11404"/>
      <w:bookmarkStart w:id="58" w:name="_Toc21843"/>
      <w:r>
        <w:rPr>
          <w:rFonts w:hint="eastAsia" w:ascii="楷体" w:hAnsi="楷体" w:eastAsia="楷体" w:cs="楷体"/>
          <w:b/>
          <w:bCs/>
          <w:highlight w:val="none"/>
        </w:rPr>
        <w:t>（一）项目立项背景</w:t>
      </w:r>
      <w:bookmarkEnd w:id="56"/>
      <w:bookmarkEnd w:id="57"/>
      <w:bookmarkEnd w:id="58"/>
    </w:p>
    <w:p w14:paraId="11432D78">
      <w:pPr>
        <w:pStyle w:val="9"/>
        <w:overflowPunct w:val="0"/>
        <w:spacing w:line="560" w:lineRule="exact"/>
        <w:ind w:firstLine="640" w:firstLineChars="200"/>
        <w:rPr>
          <w:rFonts w:hint="default" w:ascii="仿宋_GB2312" w:hAnsi="仿宋_GB2312" w:eastAsia="仿宋_GB2312" w:cs="仿宋_GB2312"/>
          <w:highlight w:val="none"/>
          <w:lang w:val="en-US" w:eastAsia="zh-CN"/>
        </w:rPr>
      </w:pPr>
      <w:bookmarkStart w:id="59" w:name="_Toc10699"/>
      <w:bookmarkStart w:id="60" w:name="_Toc27159"/>
      <w:r>
        <w:rPr>
          <w:rFonts w:hint="eastAsia" w:ascii="仿宋_GB2312" w:hAnsi="仿宋_GB2312" w:cs="仿宋_GB2312"/>
          <w:highlight w:val="none"/>
          <w:lang w:val="en-US" w:eastAsia="zh-CN"/>
        </w:rPr>
        <w:t>随着甘肃省高级人民法院办案数量的增长与信息化、数字化程度的不断提升，对于法院专业设备的要求也越来越高，甘肃省高级人民法院目前部分设备已经无法满足日益增长的需求，且部分设备老化需要进行报废更新，以满足法院各项业务对相关专用设备的需要，降低设备故障率和维修保养费用，有力提高业务保障水平和工作效率。</w:t>
      </w:r>
    </w:p>
    <w:p w14:paraId="5924F536">
      <w:pPr>
        <w:pStyle w:val="9"/>
        <w:overflowPunct w:val="0"/>
        <w:spacing w:line="560" w:lineRule="exact"/>
        <w:ind w:firstLine="643" w:firstLineChars="200"/>
        <w:outlineLvl w:val="1"/>
        <w:rPr>
          <w:rFonts w:ascii="楷体" w:hAnsi="楷体" w:eastAsia="楷体" w:cs="楷体"/>
          <w:b/>
          <w:bCs/>
          <w:highlight w:val="none"/>
        </w:rPr>
      </w:pPr>
      <w:bookmarkStart w:id="61" w:name="_Toc28880"/>
      <w:r>
        <w:rPr>
          <w:rFonts w:hint="eastAsia" w:ascii="楷体" w:hAnsi="楷体" w:eastAsia="楷体" w:cs="楷体"/>
          <w:b/>
          <w:bCs/>
          <w:highlight w:val="none"/>
        </w:rPr>
        <w:t>（二）项目预算安排及使用情况</w:t>
      </w:r>
      <w:bookmarkEnd w:id="59"/>
      <w:bookmarkEnd w:id="60"/>
      <w:bookmarkEnd w:id="61"/>
    </w:p>
    <w:p w14:paraId="4159203E">
      <w:pPr>
        <w:pStyle w:val="9"/>
        <w:overflowPunct w:val="0"/>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1.预算安排情况</w:t>
      </w:r>
    </w:p>
    <w:p w14:paraId="4FA12BA9">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设备购置费</w:t>
      </w:r>
      <w:r>
        <w:rPr>
          <w:rFonts w:hint="eastAsia" w:ascii="仿宋_GB2312" w:hAnsi="仿宋_GB2312" w:eastAsia="仿宋_GB2312" w:cs="仿宋_GB2312"/>
          <w:highlight w:val="none"/>
        </w:rPr>
        <w:t>项目资金主要用于法院工作日常所需设备的采购，包括通用办公设备、专用办公设备、办公家具设备、网络信息设备、其他办公设备支出。根据</w:t>
      </w:r>
      <w:r>
        <w:rPr>
          <w:rFonts w:hint="eastAsia" w:ascii="仿宋_GB2312" w:hAnsi="仿宋_GB2312" w:cs="仿宋_GB2312"/>
          <w:kern w:val="2"/>
          <w:sz w:val="32"/>
          <w:szCs w:val="32"/>
          <w:highlight w:val="none"/>
          <w:lang w:val="en-US" w:eastAsia="zh-CN" w:bidi="ar-SA"/>
        </w:rPr>
        <w:t>甘肃省高级人民法院</w:t>
      </w:r>
      <w:r>
        <w:rPr>
          <w:rFonts w:hint="eastAsia" w:ascii="仿宋_GB2312" w:hAnsi="仿宋_GB2312" w:eastAsia="仿宋_GB2312" w:cs="仿宋_GB2312"/>
          <w:highlight w:val="none"/>
        </w:rPr>
        <w:t>202</w:t>
      </w:r>
      <w:r>
        <w:rPr>
          <w:rFonts w:hint="eastAsia" w:ascii="仿宋_GB2312" w:hAnsi="仿宋_GB2312" w:cs="仿宋_GB2312"/>
          <w:highlight w:val="none"/>
          <w:lang w:val="en-US" w:eastAsia="zh-CN"/>
        </w:rPr>
        <w:t>3</w:t>
      </w:r>
      <w:r>
        <w:rPr>
          <w:rFonts w:hint="eastAsia" w:ascii="仿宋_GB2312" w:hAnsi="仿宋_GB2312" w:eastAsia="仿宋_GB2312" w:cs="仿宋_GB2312"/>
          <w:highlight w:val="none"/>
        </w:rPr>
        <w:t>年度预算安排，该项目全年预算资金278.20万元，</w:t>
      </w:r>
      <w:r>
        <w:rPr>
          <w:rFonts w:hint="eastAsia" w:ascii="仿宋_GB2312" w:hAnsi="仿宋_GB2312" w:cs="仿宋_GB2312"/>
          <w:highlight w:val="none"/>
          <w:lang w:val="en-US" w:eastAsia="zh-CN"/>
        </w:rPr>
        <w:t>其中</w:t>
      </w:r>
      <w:r>
        <w:rPr>
          <w:rFonts w:hint="eastAsia" w:ascii="仿宋_GB2312" w:hAnsi="仿宋_GB2312" w:eastAsia="仿宋_GB2312" w:cs="仿宋_GB2312"/>
          <w:highlight w:val="none"/>
        </w:rPr>
        <w:t>当年财政拨款250.00万元，上年结转资金28.20万元。</w:t>
      </w:r>
    </w:p>
    <w:p w14:paraId="3D6C8E64">
      <w:pPr>
        <w:pStyle w:val="9"/>
        <w:overflowPunct w:val="0"/>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lang w:val="en-US" w:eastAsia="zh-CN"/>
          <w14:textFill>
            <w14:solidFill>
              <w14:schemeClr w14:val="tx1"/>
            </w14:solidFill>
          </w14:textFill>
        </w:rPr>
        <w:t>2.</w:t>
      </w:r>
      <w:r>
        <w:rPr>
          <w:rFonts w:hint="eastAsia" w:ascii="仿宋_GB2312" w:hAnsi="仿宋_GB2312" w:cs="仿宋_GB2312"/>
          <w:b/>
          <w:bCs/>
          <w:color w:val="000000" w:themeColor="text1"/>
          <w:highlight w:val="none"/>
          <w14:textFill>
            <w14:solidFill>
              <w14:schemeClr w14:val="tx1"/>
            </w14:solidFill>
          </w14:textFill>
        </w:rPr>
        <w:t>资金使用情况</w:t>
      </w:r>
    </w:p>
    <w:p w14:paraId="2693A544">
      <w:pPr>
        <w:pStyle w:val="9"/>
        <w:overflowPunct w:val="0"/>
        <w:spacing w:line="560" w:lineRule="exact"/>
        <w:ind w:firstLine="640" w:firstLineChars="200"/>
        <w:rPr>
          <w:rFonts w:hint="eastAsia" w:ascii="仿宋_GB2312" w:hAnsi="仿宋_GB2312" w:eastAsia="仿宋_GB2312" w:cs="仿宋_GB2312"/>
          <w:highlight w:val="none"/>
          <w:lang w:val="en-US" w:eastAsia="zh-CN"/>
        </w:rPr>
      </w:pPr>
      <w:r>
        <w:rPr>
          <w:rFonts w:hint="eastAsia" w:ascii="仿宋_GB2312" w:hAnsi="仿宋_GB2312" w:cs="仿宋_GB2312"/>
          <w:highlight w:val="none"/>
          <w:lang w:eastAsia="zh-CN"/>
        </w:rPr>
        <w:t>截至2023年</w:t>
      </w:r>
      <w:r>
        <w:rPr>
          <w:rFonts w:hint="eastAsia" w:ascii="仿宋_GB2312" w:hAnsi="仿宋_GB2312" w:cs="仿宋_GB2312"/>
          <w:highlight w:val="none"/>
        </w:rPr>
        <w:t>12月31日，</w:t>
      </w:r>
      <w:r>
        <w:rPr>
          <w:rFonts w:hint="eastAsia" w:ascii="仿宋_GB2312" w:hAnsi="仿宋_GB2312" w:cs="仿宋_GB2312"/>
          <w:highlight w:val="none"/>
          <w:lang w:val="en-US" w:eastAsia="zh-CN"/>
        </w:rPr>
        <w:t>设备购置费</w:t>
      </w:r>
      <w:r>
        <w:rPr>
          <w:rFonts w:hint="eastAsia" w:ascii="仿宋_GB2312" w:hAnsi="仿宋_GB2312" w:cs="仿宋_GB2312"/>
          <w:highlight w:val="none"/>
        </w:rPr>
        <w:t>项目实际支出</w:t>
      </w:r>
      <w:r>
        <w:rPr>
          <w:rFonts w:hint="eastAsia" w:ascii="仿宋_GB2312" w:hAnsi="仿宋_GB2312" w:cs="仿宋_GB2312"/>
          <w:highlight w:val="none"/>
          <w:lang w:val="en-US" w:eastAsia="zh-CN"/>
        </w:rPr>
        <w:t>278.20</w:t>
      </w:r>
      <w:r>
        <w:rPr>
          <w:rFonts w:hint="eastAsia" w:ascii="仿宋_GB2312" w:hAnsi="仿宋_GB2312" w:cs="仿宋_GB2312"/>
          <w:highlight w:val="none"/>
        </w:rPr>
        <w:t>万元，预算执行率</w:t>
      </w:r>
      <w:r>
        <w:rPr>
          <w:rFonts w:hint="eastAsia" w:ascii="仿宋_GB2312" w:hAnsi="仿宋_GB2312" w:cs="仿宋_GB2312"/>
          <w:highlight w:val="none"/>
          <w:lang w:val="en-US" w:eastAsia="zh-CN"/>
        </w:rPr>
        <w:t>100.00</w:t>
      </w:r>
      <w:r>
        <w:rPr>
          <w:rFonts w:hint="eastAsia" w:ascii="仿宋_GB2312" w:hAnsi="仿宋_GB2312" w:cs="仿宋_GB2312"/>
          <w:highlight w:val="none"/>
        </w:rPr>
        <w:t>%</w:t>
      </w:r>
      <w:r>
        <w:rPr>
          <w:rFonts w:hint="eastAsia" w:ascii="仿宋_GB2312" w:hAnsi="仿宋_GB2312" w:cs="仿宋_GB2312"/>
          <w:highlight w:val="none"/>
          <w:lang w:eastAsia="zh-CN"/>
        </w:rPr>
        <w:t>。</w:t>
      </w:r>
    </w:p>
    <w:p w14:paraId="2132467B">
      <w:pPr>
        <w:pStyle w:val="9"/>
        <w:overflowPunct w:val="0"/>
        <w:spacing w:line="560" w:lineRule="exact"/>
        <w:ind w:firstLine="643" w:firstLineChars="200"/>
        <w:outlineLvl w:val="1"/>
        <w:rPr>
          <w:rFonts w:ascii="楷体" w:hAnsi="楷体" w:eastAsia="楷体" w:cs="楷体"/>
          <w:b/>
          <w:bCs/>
          <w:highlight w:val="none"/>
        </w:rPr>
      </w:pPr>
      <w:bookmarkStart w:id="62" w:name="_Toc15106"/>
      <w:bookmarkStart w:id="63" w:name="_Toc10155"/>
      <w:bookmarkStart w:id="64" w:name="_Toc32586"/>
      <w:r>
        <w:rPr>
          <w:rFonts w:hint="eastAsia" w:ascii="楷体" w:hAnsi="楷体" w:eastAsia="楷体" w:cs="楷体"/>
          <w:b/>
          <w:bCs/>
          <w:highlight w:val="none"/>
        </w:rPr>
        <w:t>（三）项目计划内容及实施情况</w:t>
      </w:r>
      <w:bookmarkEnd w:id="62"/>
      <w:bookmarkEnd w:id="63"/>
      <w:bookmarkEnd w:id="64"/>
    </w:p>
    <w:p w14:paraId="0A563998">
      <w:pPr>
        <w:pStyle w:val="9"/>
        <w:overflowPunct w:val="0"/>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1.项目计划内容</w:t>
      </w:r>
    </w:p>
    <w:p w14:paraId="2D636704">
      <w:pPr>
        <w:pStyle w:val="9"/>
        <w:overflowPunct w:val="0"/>
        <w:spacing w:line="560" w:lineRule="exact"/>
        <w:ind w:firstLine="640" w:firstLineChars="200"/>
        <w:outlineLvl w:val="2"/>
        <w:rPr>
          <w:rFonts w:hint="eastAsia" w:ascii="仿宋_GB2312" w:hAnsi="仿宋_GB2312" w:cs="仿宋_GB2312"/>
          <w:highlight w:val="none"/>
        </w:rPr>
      </w:pP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计划于本年度完成法院工作日常所需的通用设备、专用设备等采购工作，及时更新替换老旧设备，维持法院日常工作所需，确保法院的日常运转。</w:t>
      </w:r>
      <w:r>
        <w:rPr>
          <w:rFonts w:hint="eastAsia" w:ascii="仿宋_GB2312" w:hAnsi="仿宋_GB2312" w:cs="仿宋_GB2312"/>
          <w:highlight w:val="none"/>
          <w:lang w:eastAsia="zh-CN"/>
        </w:rPr>
        <w:t>甘肃省高级人民法院</w:t>
      </w:r>
      <w:r>
        <w:rPr>
          <w:rFonts w:hint="eastAsia" w:ascii="仿宋_GB2312" w:hAnsi="仿宋_GB2312" w:cs="仿宋_GB2312"/>
          <w:highlight w:val="none"/>
        </w:rPr>
        <w:t>各科室设备更新购置的统计、旧设备报废处置，新设备购置的招投标、验收、入库、合同及付款的审核</w:t>
      </w:r>
      <w:r>
        <w:rPr>
          <w:rFonts w:hint="eastAsia" w:ascii="仿宋_GB2312" w:hAnsi="仿宋_GB2312" w:cs="仿宋_GB2312"/>
          <w:highlight w:val="none"/>
          <w:lang w:val="en-US" w:eastAsia="zh-CN"/>
        </w:rPr>
        <w:t>流程</w:t>
      </w:r>
      <w:r>
        <w:rPr>
          <w:rFonts w:hint="eastAsia" w:ascii="仿宋_GB2312" w:hAnsi="仿宋_GB2312" w:cs="仿宋_GB2312"/>
          <w:highlight w:val="none"/>
        </w:rPr>
        <w:t>等工作严格按规章制度进行。</w:t>
      </w:r>
    </w:p>
    <w:p w14:paraId="336CF8EA">
      <w:pPr>
        <w:pStyle w:val="9"/>
        <w:overflowPunct w:val="0"/>
        <w:spacing w:line="560" w:lineRule="exact"/>
        <w:ind w:firstLine="643" w:firstLineChars="200"/>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2.项目实施情况</w:t>
      </w:r>
    </w:p>
    <w:p w14:paraId="38A534E7">
      <w:pPr>
        <w:pStyle w:val="9"/>
        <w:overflowPunct w:val="0"/>
        <w:spacing w:line="560" w:lineRule="exact"/>
        <w:ind w:firstLine="640" w:firstLineChars="200"/>
        <w:outlineLvl w:val="1"/>
        <w:rPr>
          <w:rFonts w:hint="eastAsia" w:ascii="仿宋_GB2312" w:hAnsi="仿宋_GB2312" w:eastAsia="仿宋_GB2312" w:cs="仿宋_GB2312"/>
          <w:sz w:val="32"/>
          <w:szCs w:val="32"/>
          <w:highlight w:val="none"/>
          <w:lang w:val="en-US" w:eastAsia="zh-CN"/>
        </w:rPr>
      </w:pPr>
      <w:bookmarkStart w:id="65" w:name="_Toc7233"/>
      <w:bookmarkStart w:id="66" w:name="_Toc25356"/>
      <w:bookmarkStart w:id="67" w:name="_Toc4490"/>
      <w:r>
        <w:rPr>
          <w:rFonts w:hint="eastAsia" w:ascii="仿宋_GB2312" w:hAnsi="仿宋_GB2312" w:eastAsia="仿宋_GB2312" w:cs="仿宋_GB2312"/>
          <w:sz w:val="32"/>
          <w:szCs w:val="32"/>
          <w:highlight w:val="none"/>
          <w:lang w:val="en-US" w:eastAsia="zh-CN"/>
        </w:rPr>
        <w:t>本年度</w:t>
      </w:r>
      <w:r>
        <w:rPr>
          <w:rFonts w:hint="eastAsia" w:ascii="仿宋_GB2312" w:hAnsi="仿宋_GB2312" w:cs="仿宋_GB2312"/>
          <w:sz w:val="32"/>
          <w:szCs w:val="32"/>
          <w:highlight w:val="none"/>
          <w:lang w:val="en-US" w:eastAsia="zh-CN"/>
        </w:rPr>
        <w:t>甘肃省高级人民法院</w:t>
      </w:r>
      <w:r>
        <w:rPr>
          <w:rFonts w:hint="eastAsia" w:ascii="仿宋_GB2312" w:hAnsi="仿宋_GB2312" w:eastAsia="仿宋_GB2312" w:cs="仿宋_GB2312"/>
          <w:sz w:val="32"/>
          <w:szCs w:val="32"/>
          <w:highlight w:val="none"/>
          <w:lang w:val="en-US" w:eastAsia="zh-CN"/>
        </w:rPr>
        <w:t>按计划完成了设备采购，采购通用办公设备376件、专用办公设备12件，</w:t>
      </w:r>
      <w:r>
        <w:rPr>
          <w:rFonts w:hint="eastAsia" w:ascii="仿宋_GB2312" w:hAnsi="仿宋_GB2312" w:cs="仿宋_GB2312"/>
          <w:sz w:val="32"/>
          <w:szCs w:val="32"/>
          <w:highlight w:val="none"/>
          <w:lang w:val="en-US" w:eastAsia="zh-CN"/>
        </w:rPr>
        <w:t>采购的</w:t>
      </w:r>
      <w:r>
        <w:rPr>
          <w:rFonts w:hint="eastAsia" w:ascii="仿宋_GB2312" w:hAnsi="仿宋_GB2312" w:eastAsia="仿宋_GB2312" w:cs="仿宋_GB2312"/>
          <w:sz w:val="32"/>
          <w:szCs w:val="32"/>
          <w:highlight w:val="none"/>
          <w:lang w:val="en-US" w:eastAsia="zh-CN"/>
        </w:rPr>
        <w:t>设备均通过验收，满足了法院各项业务对相关设备的需求，确保法院日常工作的有序进行，提高了业务保障水平和工作效率。</w:t>
      </w:r>
      <w:bookmarkEnd w:id="65"/>
    </w:p>
    <w:p w14:paraId="49CA6C67">
      <w:pPr>
        <w:pStyle w:val="9"/>
        <w:overflowPunct w:val="0"/>
        <w:spacing w:line="560" w:lineRule="exact"/>
        <w:ind w:firstLine="643" w:firstLineChars="200"/>
        <w:outlineLvl w:val="1"/>
        <w:rPr>
          <w:rFonts w:ascii="楷体" w:hAnsi="楷体" w:eastAsia="楷体" w:cs="楷体"/>
          <w:b/>
          <w:bCs/>
          <w:highlight w:val="none"/>
        </w:rPr>
      </w:pPr>
      <w:bookmarkStart w:id="68" w:name="_Toc4859"/>
      <w:r>
        <w:rPr>
          <w:rFonts w:hint="eastAsia" w:ascii="楷体" w:hAnsi="楷体" w:eastAsia="楷体" w:cs="楷体"/>
          <w:b/>
          <w:bCs/>
          <w:highlight w:val="none"/>
        </w:rPr>
        <w:t>（四）项目组织管理</w:t>
      </w:r>
      <w:bookmarkEnd w:id="66"/>
      <w:bookmarkEnd w:id="67"/>
      <w:bookmarkEnd w:id="68"/>
    </w:p>
    <w:p w14:paraId="2C1527A1">
      <w:pPr>
        <w:pStyle w:val="9"/>
        <w:overflowPunct w:val="0"/>
        <w:spacing w:line="560" w:lineRule="exact"/>
        <w:ind w:firstLine="643" w:firstLineChars="200"/>
        <w:rPr>
          <w:rFonts w:hint="default" w:ascii="仿宋_GB2312" w:hAnsi="仿宋_GB2312" w:cs="仿宋_GB2312"/>
          <w:b/>
          <w:bCs/>
          <w:highlight w:val="none"/>
          <w:lang w:val="en-US" w:eastAsia="zh-CN"/>
        </w:rPr>
      </w:pPr>
      <w:r>
        <w:rPr>
          <w:rFonts w:hint="eastAsia" w:ascii="仿宋_GB2312" w:hAnsi="仿宋_GB2312" w:cs="仿宋_GB2312"/>
          <w:b/>
          <w:bCs/>
          <w:highlight w:val="none"/>
          <w:lang w:val="en-US" w:eastAsia="zh-CN"/>
        </w:rPr>
        <w:t>1.项目组织流程</w:t>
      </w:r>
    </w:p>
    <w:p w14:paraId="2BDF9F64">
      <w:pPr>
        <w:pStyle w:val="9"/>
        <w:keepNext w:val="0"/>
        <w:keepLines w:val="0"/>
        <w:pageBreakBefore w:val="0"/>
        <w:widowControl w:val="0"/>
        <w:kinsoku/>
        <w:wordWrap/>
        <w:overflowPunct w:val="0"/>
        <w:topLinePunct w:val="0"/>
        <w:autoSpaceDE/>
        <w:autoSpaceDN/>
        <w:bidi w:val="0"/>
        <w:adjustRightInd/>
        <w:spacing w:line="600" w:lineRule="exact"/>
        <w:ind w:firstLine="640" w:firstLineChars="200"/>
        <w:textAlignment w:val="auto"/>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lang w:eastAsia="zh-CN"/>
        </w:rPr>
        <w:t>预算资金拨付单位：甘肃省财政厅是本项目预算资金的拨付单位，负责项目预算的审核批复，保证</w:t>
      </w:r>
      <w:r>
        <w:rPr>
          <w:rFonts w:hint="eastAsia" w:ascii="仿宋_GB2312" w:hAnsi="仿宋_GB2312" w:cs="仿宋_GB2312"/>
          <w:highlight w:val="none"/>
          <w:lang w:val="en-US" w:eastAsia="zh-CN"/>
        </w:rPr>
        <w:t>设备购置</w:t>
      </w:r>
      <w:r>
        <w:rPr>
          <w:rFonts w:hint="eastAsia" w:ascii="仿宋_GB2312" w:hAnsi="仿宋_GB2312" w:eastAsia="仿宋_GB2312" w:cs="仿宋_GB2312"/>
          <w:highlight w:val="none"/>
          <w:lang w:eastAsia="zh-CN"/>
        </w:rPr>
        <w:t>费</w:t>
      </w:r>
      <w:r>
        <w:rPr>
          <w:rFonts w:hint="eastAsia" w:ascii="仿宋_GB2312" w:hAnsi="仿宋_GB2312" w:eastAsia="仿宋_GB2312" w:cs="仿宋_GB2312"/>
          <w:highlight w:val="none"/>
          <w:lang w:val="en-US" w:eastAsia="zh-CN"/>
        </w:rPr>
        <w:t>项目</w:t>
      </w:r>
      <w:r>
        <w:rPr>
          <w:rFonts w:hint="eastAsia" w:ascii="仿宋_GB2312" w:hAnsi="仿宋_GB2312" w:eastAsia="仿宋_GB2312" w:cs="仿宋_GB2312"/>
          <w:highlight w:val="none"/>
          <w:lang w:eastAsia="zh-CN"/>
        </w:rPr>
        <w:t>资金及时、足额拨付到位。</w:t>
      </w:r>
    </w:p>
    <w:p w14:paraId="47901A42">
      <w:pPr>
        <w:pStyle w:val="9"/>
        <w:keepNext w:val="0"/>
        <w:keepLines w:val="0"/>
        <w:pageBreakBefore w:val="0"/>
        <w:widowControl w:val="0"/>
        <w:kinsoku/>
        <w:wordWrap/>
        <w:overflowPunct w:val="0"/>
        <w:topLinePunct w:val="0"/>
        <w:autoSpaceDE/>
        <w:autoSpaceDN/>
        <w:bidi w:val="0"/>
        <w:adjustRightInd/>
        <w:spacing w:line="600" w:lineRule="exact"/>
        <w:ind w:firstLine="640" w:firstLineChars="200"/>
        <w:textAlignment w:val="auto"/>
        <w:rPr>
          <w:rFonts w:hint="eastAsia" w:ascii="仿宋_GB2312" w:hAnsi="仿宋_GB2312" w:eastAsia="仿宋_GB2312" w:cs="仿宋_GB2312"/>
          <w:highlight w:val="yellow"/>
          <w:lang w:eastAsia="zh-CN"/>
        </w:rPr>
      </w:pPr>
      <w:r>
        <w:rPr>
          <w:rFonts w:hint="eastAsia" w:ascii="仿宋_GB2312" w:hAnsi="仿宋_GB2312" w:eastAsia="仿宋_GB2312" w:cs="仿宋_GB2312"/>
          <w:highlight w:val="none"/>
          <w:lang w:eastAsia="zh-CN"/>
        </w:rPr>
        <w:t>项目主管部门：</w:t>
      </w:r>
      <w:r>
        <w:rPr>
          <w:rFonts w:hint="eastAsia" w:ascii="仿宋_GB2312" w:hAnsi="仿宋_GB2312" w:cs="仿宋_GB2312"/>
          <w:highlight w:val="none"/>
          <w:lang w:val="en-US" w:eastAsia="zh-CN"/>
        </w:rPr>
        <w:t>甘肃省高级人民法院</w:t>
      </w:r>
      <w:r>
        <w:rPr>
          <w:rFonts w:hint="eastAsia" w:ascii="仿宋_GB2312" w:hAnsi="仿宋_GB2312" w:eastAsia="仿宋_GB2312" w:cs="仿宋_GB2312"/>
          <w:highlight w:val="none"/>
          <w:lang w:eastAsia="zh-CN"/>
        </w:rPr>
        <w:t>是本项目的主管部门，负责开展监督管理和绩效考评等工作，并对资金使用的全过程进行监督、检查、评估、考核及奖惩，保证资金有效使用等。</w:t>
      </w:r>
    </w:p>
    <w:p w14:paraId="0A89A2F7">
      <w:pPr>
        <w:pStyle w:val="9"/>
        <w:keepNext w:val="0"/>
        <w:keepLines w:val="0"/>
        <w:pageBreakBefore w:val="0"/>
        <w:widowControl w:val="0"/>
        <w:kinsoku/>
        <w:wordWrap/>
        <w:overflowPunct w:val="0"/>
        <w:topLinePunct w:val="0"/>
        <w:autoSpaceDE/>
        <w:autoSpaceDN/>
        <w:bidi w:val="0"/>
        <w:adjustRightInd/>
        <w:spacing w:line="600" w:lineRule="exact"/>
        <w:ind w:firstLine="640" w:firstLineChars="200"/>
        <w:textAlignment w:val="auto"/>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lang w:eastAsia="zh-CN"/>
        </w:rPr>
        <w:t>预算执行单位：</w:t>
      </w:r>
      <w:r>
        <w:rPr>
          <w:rFonts w:hint="eastAsia" w:ascii="仿宋_GB2312" w:hAnsi="仿宋_GB2312" w:cs="仿宋_GB2312"/>
          <w:highlight w:val="none"/>
          <w:lang w:val="en-US" w:eastAsia="zh-CN"/>
        </w:rPr>
        <w:t>甘肃省高级人民法院司法行政装备处</w:t>
      </w:r>
      <w:r>
        <w:rPr>
          <w:rFonts w:hint="eastAsia" w:ascii="仿宋_GB2312" w:hAnsi="仿宋_GB2312" w:eastAsia="仿宋_GB2312" w:cs="仿宋_GB2312"/>
          <w:highlight w:val="none"/>
          <w:lang w:val="en-US" w:eastAsia="zh-CN"/>
        </w:rPr>
        <w:t>负责</w:t>
      </w:r>
      <w:r>
        <w:rPr>
          <w:rFonts w:hint="eastAsia" w:ascii="仿宋_GB2312" w:hAnsi="仿宋_GB2312" w:cs="仿宋_GB2312"/>
          <w:highlight w:val="none"/>
          <w:lang w:val="en-US" w:eastAsia="zh-CN"/>
        </w:rPr>
        <w:t>日常工作中专用和通用设备的采购工作</w:t>
      </w:r>
      <w:r>
        <w:rPr>
          <w:rFonts w:hint="eastAsia" w:ascii="仿宋_GB2312" w:hAnsi="仿宋_GB2312" w:eastAsia="仿宋_GB2312" w:cs="仿宋_GB2312"/>
          <w:highlight w:val="none"/>
          <w:lang w:val="en-US" w:eastAsia="zh-CN"/>
        </w:rPr>
        <w:t>。</w:t>
      </w:r>
    </w:p>
    <w:p w14:paraId="2895A95B">
      <w:pPr>
        <w:pStyle w:val="9"/>
        <w:keepNext w:val="0"/>
        <w:keepLines w:val="0"/>
        <w:pageBreakBefore w:val="0"/>
        <w:widowControl w:val="0"/>
        <w:kinsoku/>
        <w:wordWrap/>
        <w:overflowPunct w:val="0"/>
        <w:topLinePunct w:val="0"/>
        <w:autoSpaceDE/>
        <w:autoSpaceDN/>
        <w:bidi w:val="0"/>
        <w:adjustRightInd/>
        <w:spacing w:line="600" w:lineRule="exact"/>
        <w:ind w:firstLine="643" w:firstLineChars="200"/>
        <w:textAlignment w:val="auto"/>
        <w:rPr>
          <w:rFonts w:hint="default" w:ascii="仿宋_GB2312" w:hAnsi="仿宋_GB2312" w:eastAsia="仿宋_GB2312" w:cs="仿宋_GB2312"/>
          <w:b/>
          <w:bCs/>
          <w:sz w:val="32"/>
          <w:szCs w:val="32"/>
          <w:highlight w:val="none"/>
          <w:lang w:val="en-US"/>
        </w:rPr>
      </w:pPr>
      <w:r>
        <w:rPr>
          <w:rFonts w:hint="eastAsia" w:ascii="仿宋_GB2312" w:hAnsi="仿宋_GB2312" w:cs="仿宋_GB2312"/>
          <w:b/>
          <w:bCs/>
          <w:sz w:val="32"/>
          <w:szCs w:val="32"/>
          <w:highlight w:val="none"/>
          <w:lang w:val="en-US" w:eastAsia="zh-CN"/>
        </w:rPr>
        <w:t>2.项目实施流程</w:t>
      </w:r>
    </w:p>
    <w:p w14:paraId="78BBA126">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设备购置</w:t>
      </w:r>
      <w:r>
        <w:rPr>
          <w:rFonts w:hint="eastAsia" w:ascii="仿宋_GB2312" w:hAnsi="仿宋_GB2312" w:eastAsia="仿宋_GB2312" w:cs="仿宋_GB2312"/>
          <w:highlight w:val="none"/>
        </w:rPr>
        <w:t>费</w:t>
      </w:r>
      <w:r>
        <w:rPr>
          <w:rFonts w:hint="eastAsia" w:ascii="仿宋_GB2312" w:hAnsi="仿宋_GB2312" w:cs="仿宋_GB2312"/>
          <w:highlight w:val="none"/>
          <w:lang w:eastAsia="zh-CN"/>
        </w:rPr>
        <w:t>项目</w:t>
      </w:r>
      <w:r>
        <w:rPr>
          <w:rFonts w:hint="default" w:ascii="仿宋_GB2312" w:hAnsi="仿宋_GB2312" w:eastAsia="仿宋_GB2312" w:cs="仿宋_GB2312"/>
          <w:highlight w:val="none"/>
          <w:lang w:val="en-US" w:eastAsia="zh-CN"/>
        </w:rPr>
        <w:t>的实施大体分为制定年度工作计划、项目执行</w:t>
      </w:r>
      <w:r>
        <w:rPr>
          <w:rFonts w:hint="eastAsia" w:ascii="仿宋_GB2312" w:hAnsi="仿宋_GB2312" w:cs="仿宋_GB2312"/>
          <w:highlight w:val="none"/>
          <w:lang w:val="en-US" w:eastAsia="zh-CN"/>
        </w:rPr>
        <w:t>、</w:t>
      </w:r>
      <w:r>
        <w:rPr>
          <w:rFonts w:hint="default" w:ascii="仿宋_GB2312" w:hAnsi="仿宋_GB2312" w:eastAsia="仿宋_GB2312" w:cs="仿宋_GB2312"/>
          <w:highlight w:val="none"/>
          <w:lang w:val="en-US" w:eastAsia="zh-CN"/>
        </w:rPr>
        <w:t>资金支付</w:t>
      </w:r>
      <w:r>
        <w:rPr>
          <w:rFonts w:hint="eastAsia" w:ascii="仿宋_GB2312" w:hAnsi="仿宋_GB2312" w:cs="仿宋_GB2312"/>
          <w:highlight w:val="none"/>
          <w:lang w:val="en-US" w:eastAsia="zh-CN"/>
        </w:rPr>
        <w:t>和报销入账四</w:t>
      </w:r>
      <w:r>
        <w:rPr>
          <w:rFonts w:hint="default" w:ascii="仿宋_GB2312" w:hAnsi="仿宋_GB2312" w:eastAsia="仿宋_GB2312" w:cs="仿宋_GB2312"/>
          <w:highlight w:val="none"/>
          <w:lang w:val="en-US" w:eastAsia="zh-CN"/>
        </w:rPr>
        <w:t>个阶段。</w:t>
      </w:r>
    </w:p>
    <w:p w14:paraId="0AABC77F">
      <w:pPr>
        <w:pStyle w:val="9"/>
        <w:keepNext w:val="0"/>
        <w:keepLines w:val="0"/>
        <w:pageBreakBefore w:val="0"/>
        <w:widowControl w:val="0"/>
        <w:numPr>
          <w:ilvl w:val="0"/>
          <w:numId w:val="2"/>
        </w:numPr>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cs="仿宋_GB2312"/>
          <w:highlight w:val="none"/>
          <w:lang w:val="en-US" w:eastAsia="zh-CN"/>
        </w:rPr>
      </w:pPr>
      <w:r>
        <w:rPr>
          <w:rFonts w:hint="eastAsia" w:ascii="仿宋_GB2312" w:hAnsi="仿宋_GB2312" w:cs="仿宋_GB2312"/>
          <w:highlight w:val="none"/>
          <w:lang w:val="en-US" w:eastAsia="zh-CN"/>
        </w:rPr>
        <w:t>装备资产配备范围</w:t>
      </w:r>
      <w:r>
        <w:rPr>
          <w:rFonts w:hint="default"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根据《财政部 最高人民法院关于人民法院基本业务装备配备指标标准通知》的规定，法院装备资产配置范围主要有三大类：业务技术装备、综合保障装备、司法警察装备，三类资产配置采购都要执行最高法院规定的指导技术参数和价格标准。</w:t>
      </w:r>
    </w:p>
    <w:p w14:paraId="7F736D3E">
      <w:pPr>
        <w:pStyle w:val="9"/>
        <w:keepNext w:val="0"/>
        <w:keepLines w:val="0"/>
        <w:pageBreakBefore w:val="0"/>
        <w:widowControl w:val="0"/>
        <w:numPr>
          <w:ilvl w:val="0"/>
          <w:numId w:val="2"/>
        </w:numPr>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装备计划审核管理。甘肃省高级人民法院</w:t>
      </w:r>
      <w:r>
        <w:rPr>
          <w:rFonts w:hint="default" w:ascii="仿宋_GB2312" w:hAnsi="仿宋_GB2312" w:eastAsia="仿宋_GB2312" w:cs="仿宋_GB2312"/>
          <w:highlight w:val="none"/>
          <w:lang w:val="en-US" w:eastAsia="zh-CN"/>
        </w:rPr>
        <w:t>成立装备资产配置审核采购工作小组，审核小组办公室设在行装处</w:t>
      </w:r>
      <w:r>
        <w:rPr>
          <w:rFonts w:hint="eastAsia" w:ascii="仿宋_GB2312" w:hAnsi="仿宋_GB2312" w:cs="仿宋_GB2312"/>
          <w:highlight w:val="none"/>
          <w:lang w:val="en-US" w:eastAsia="zh-CN"/>
        </w:rPr>
        <w:t>，</w:t>
      </w:r>
      <w:r>
        <w:rPr>
          <w:rFonts w:hint="default" w:ascii="仿宋_GB2312" w:hAnsi="仿宋_GB2312" w:eastAsia="仿宋_GB2312" w:cs="仿宋_GB2312"/>
          <w:highlight w:val="none"/>
          <w:lang w:val="en-US" w:eastAsia="zh-CN"/>
        </w:rPr>
        <w:t>专门负责审核各庭处室提出的装备资产配置需求，向院党组提请批准配置计划、办理政府招标采购手续、为全院配置各类装备资产。法院各类装备资产配置坚持“配置有计划、事前须审核、资金列预算、采购凭招标、庭室来使用、行装统监管”的原则。每年8月份，院机关各庭处室根据审判办案等实际情况，提出下一年部门装备资产需求计划，提交审核采购工作小组汇总审核，按程序报经主管院长审定，提交</w:t>
      </w:r>
      <w:r>
        <w:rPr>
          <w:rFonts w:hint="eastAsia" w:ascii="仿宋_GB2312" w:hAnsi="仿宋_GB2312" w:cs="仿宋_GB2312"/>
          <w:highlight w:val="none"/>
          <w:lang w:val="en-US" w:eastAsia="zh-CN"/>
        </w:rPr>
        <w:t>院长</w:t>
      </w:r>
      <w:r>
        <w:rPr>
          <w:rFonts w:hint="default" w:ascii="仿宋_GB2312" w:hAnsi="仿宋_GB2312" w:eastAsia="仿宋_GB2312" w:cs="仿宋_GB2312"/>
          <w:highlight w:val="none"/>
          <w:lang w:val="en-US" w:eastAsia="zh-CN"/>
        </w:rPr>
        <w:t>办公会或院党组会议研究后，正式作为全院装备采购年度计划，向省财政部门</w:t>
      </w:r>
      <w:r>
        <w:rPr>
          <w:rFonts w:hint="eastAsia" w:ascii="仿宋_GB2312" w:hAnsi="仿宋_GB2312" w:cs="仿宋_GB2312"/>
          <w:highlight w:val="none"/>
          <w:lang w:val="en-US" w:eastAsia="zh-CN"/>
        </w:rPr>
        <w:t>申请</w:t>
      </w:r>
      <w:r>
        <w:rPr>
          <w:rFonts w:hint="default" w:ascii="仿宋_GB2312" w:hAnsi="仿宋_GB2312" w:eastAsia="仿宋_GB2312" w:cs="仿宋_GB2312"/>
          <w:highlight w:val="none"/>
          <w:lang w:val="en-US" w:eastAsia="zh-CN"/>
        </w:rPr>
        <w:t>预算资金。</w:t>
      </w:r>
      <w:r>
        <w:rPr>
          <w:rFonts w:hint="eastAsia" w:ascii="仿宋_GB2312" w:hAnsi="仿宋_GB2312" w:cs="仿宋_GB2312"/>
          <w:highlight w:val="none"/>
          <w:lang w:val="en-US" w:eastAsia="zh-CN"/>
        </w:rPr>
        <w:t>甘肃省高级人民法院</w:t>
      </w:r>
      <w:r>
        <w:rPr>
          <w:rFonts w:hint="default" w:ascii="仿宋_GB2312" w:hAnsi="仿宋_GB2312" w:eastAsia="仿宋_GB2312" w:cs="仿宋_GB2312"/>
          <w:highlight w:val="none"/>
          <w:lang w:val="en-US" w:eastAsia="zh-CN"/>
        </w:rPr>
        <w:t>申请正式列</w:t>
      </w:r>
      <w:r>
        <w:rPr>
          <w:rFonts w:hint="eastAsia" w:ascii="仿宋_GB2312" w:hAnsi="仿宋_GB2312" w:cs="仿宋_GB2312"/>
          <w:highlight w:val="none"/>
          <w:lang w:val="en-US" w:eastAsia="zh-CN"/>
        </w:rPr>
        <w:t>入部</w:t>
      </w:r>
      <w:r>
        <w:rPr>
          <w:rFonts w:hint="default" w:ascii="仿宋_GB2312" w:hAnsi="仿宋_GB2312" w:eastAsia="仿宋_GB2312" w:cs="仿宋_GB2312"/>
          <w:highlight w:val="none"/>
          <w:lang w:val="en-US" w:eastAsia="zh-CN"/>
        </w:rPr>
        <w:t>门采购预算的装备资产购置项目，由审核采购工作小</w:t>
      </w:r>
      <w:r>
        <w:rPr>
          <w:rFonts w:hint="eastAsia" w:ascii="仿宋_GB2312" w:hAnsi="仿宋_GB2312" w:cs="仿宋_GB2312"/>
          <w:highlight w:val="none"/>
          <w:lang w:val="en-US" w:eastAsia="zh-CN"/>
        </w:rPr>
        <w:t>组</w:t>
      </w:r>
      <w:r>
        <w:rPr>
          <w:rFonts w:hint="default" w:ascii="仿宋_GB2312" w:hAnsi="仿宋_GB2312" w:eastAsia="仿宋_GB2312" w:cs="仿宋_GB2312"/>
          <w:highlight w:val="none"/>
          <w:lang w:val="en-US" w:eastAsia="zh-CN"/>
        </w:rPr>
        <w:t>按业务需要和工作进度招标采购。未列</w:t>
      </w:r>
      <w:r>
        <w:rPr>
          <w:rFonts w:hint="eastAsia" w:ascii="仿宋_GB2312" w:hAnsi="仿宋_GB2312" w:cs="仿宋_GB2312"/>
          <w:highlight w:val="none"/>
          <w:lang w:val="en-US" w:eastAsia="zh-CN"/>
        </w:rPr>
        <w:t>入</w:t>
      </w:r>
      <w:r>
        <w:rPr>
          <w:rFonts w:hint="default" w:ascii="仿宋_GB2312" w:hAnsi="仿宋_GB2312" w:eastAsia="仿宋_GB2312" w:cs="仿宋_GB2312"/>
          <w:highlight w:val="none"/>
          <w:lang w:val="en-US" w:eastAsia="zh-CN"/>
        </w:rPr>
        <w:t>年度装备资产采购计划预算的项目，原则上不采购配置</w:t>
      </w:r>
      <w:r>
        <w:rPr>
          <w:rFonts w:hint="eastAsia" w:ascii="仿宋_GB2312" w:hAnsi="仿宋_GB2312" w:cs="仿宋_GB2312"/>
          <w:highlight w:val="none"/>
          <w:lang w:val="en-US" w:eastAsia="zh-CN"/>
        </w:rPr>
        <w:t>，</w:t>
      </w:r>
      <w:r>
        <w:rPr>
          <w:rFonts w:hint="default" w:ascii="仿宋_GB2312" w:hAnsi="仿宋_GB2312" w:eastAsia="仿宋_GB2312" w:cs="仿宋_GB2312"/>
          <w:highlight w:val="none"/>
          <w:lang w:val="en-US" w:eastAsia="zh-CN"/>
        </w:rPr>
        <w:t>但属于最高院和院党组根据客观实际规定必须配置的，审核采购小组积极追加采购计划，申请通</w:t>
      </w:r>
      <w:r>
        <w:rPr>
          <w:rFonts w:hint="eastAsia" w:ascii="仿宋_GB2312" w:hAnsi="仿宋_GB2312" w:cs="仿宋_GB2312"/>
          <w:highlight w:val="none"/>
          <w:lang w:val="en-US" w:eastAsia="zh-CN"/>
        </w:rPr>
        <w:t>过增</w:t>
      </w:r>
      <w:r>
        <w:rPr>
          <w:rFonts w:hint="default" w:ascii="仿宋_GB2312" w:hAnsi="仿宋_GB2312" w:eastAsia="仿宋_GB2312" w:cs="仿宋_GB2312"/>
          <w:highlight w:val="none"/>
          <w:lang w:val="en-US" w:eastAsia="zh-CN"/>
        </w:rPr>
        <w:t>加资金预算，努力确保实现审判办案职能。</w:t>
      </w:r>
    </w:p>
    <w:p w14:paraId="2147E539">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（3）装备资产采购程序</w:t>
      </w:r>
      <w:r>
        <w:rPr>
          <w:rFonts w:hint="default" w:ascii="仿宋_GB2312" w:hAnsi="仿宋_GB2312" w:eastAsia="仿宋_GB2312" w:cs="仿宋_GB2312"/>
          <w:highlight w:val="none"/>
          <w:lang w:val="en-US" w:eastAsia="zh-CN"/>
        </w:rPr>
        <w:t>。凡是需要政府采购招标的，院机关需求部门提出采购招标的相关技术参数,与审核采购小组共同编制项目招标公告文本，并配合在省公共资源交易局办理公告发布相关手续。审核采购小组根据政府采购招投标法规定，随机抽取专家组，在省公共资源交易局进场公正评标，审查投标企业提供的响应文件、相关样品，根据中标通知书，与中标供货单位签订合同，并报省财政采购监督管理部门备案。装备资产供应商按合同约定交货时，审核采购小组组织正式验收，形成验收报告。</w:t>
      </w:r>
    </w:p>
    <w:p w14:paraId="46353146">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（4）装备资产报销入账</w:t>
      </w:r>
      <w:r>
        <w:rPr>
          <w:rFonts w:hint="default" w:ascii="仿宋_GB2312" w:hAnsi="仿宋_GB2312" w:eastAsia="仿宋_GB2312" w:cs="仿宋_GB2312"/>
          <w:highlight w:val="none"/>
          <w:lang w:val="en-US" w:eastAsia="zh-CN"/>
        </w:rPr>
        <w:t>。经过验收合格的装备资产，由审核采购小组的业务需求庭处室人员整理填写固定资产管理相关表单，到行装资产部门办理装备资产实物</w:t>
      </w:r>
      <w:r>
        <w:rPr>
          <w:rFonts w:hint="eastAsia" w:ascii="仿宋_GB2312" w:hAnsi="仿宋_GB2312" w:cs="仿宋_GB2312"/>
          <w:highlight w:val="none"/>
          <w:lang w:val="en-US" w:eastAsia="zh-CN"/>
        </w:rPr>
        <w:t>入</w:t>
      </w:r>
      <w:r>
        <w:rPr>
          <w:rFonts w:hint="default" w:ascii="仿宋_GB2312" w:hAnsi="仿宋_GB2312" w:eastAsia="仿宋_GB2312" w:cs="仿宋_GB2312"/>
          <w:highlight w:val="none"/>
          <w:lang w:val="en-US" w:eastAsia="zh-CN"/>
        </w:rPr>
        <w:t>账登记，办理交付领用手续。审核采购小组经办人员收齐采购计划审批表、招标公告、供货合同、中标通知书、验收报告，必要时附绩效评价报告，连同院里审核同意的装备资产采购配置计划申请表、提交行装财务部门办理报账手续，由审核采购小组组长或副组长审签</w:t>
      </w:r>
      <w:r>
        <w:rPr>
          <w:rFonts w:hint="eastAsia" w:ascii="仿宋_GB2312" w:hAnsi="仿宋_GB2312" w:cs="仿宋_GB2312"/>
          <w:highlight w:val="none"/>
          <w:lang w:val="en-US" w:eastAsia="zh-CN"/>
        </w:rPr>
        <w:t>，</w:t>
      </w:r>
      <w:r>
        <w:rPr>
          <w:rFonts w:hint="default" w:ascii="仿宋_GB2312" w:hAnsi="仿宋_GB2312" w:eastAsia="仿宋_GB2312" w:cs="仿宋_GB2312"/>
          <w:highlight w:val="none"/>
          <w:lang w:val="en-US" w:eastAsia="zh-CN"/>
        </w:rPr>
        <w:t>财务部门审核据实支付资金。</w:t>
      </w:r>
    </w:p>
    <w:p w14:paraId="5D0E24B7">
      <w:pPr>
        <w:pStyle w:val="9"/>
        <w:keepNext w:val="0"/>
        <w:keepLines w:val="0"/>
        <w:pageBreakBefore w:val="0"/>
        <w:widowControl w:val="0"/>
        <w:kinsoku/>
        <w:wordWrap/>
        <w:overflowPunct w:val="0"/>
        <w:topLinePunct w:val="0"/>
        <w:autoSpaceDE/>
        <w:autoSpaceDN/>
        <w:bidi w:val="0"/>
        <w:adjustRightInd/>
        <w:spacing w:line="600" w:lineRule="exact"/>
        <w:ind w:firstLine="643"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cs="仿宋_GB2312"/>
          <w:b/>
          <w:bCs/>
          <w:sz w:val="32"/>
          <w:szCs w:val="32"/>
          <w:highlight w:val="none"/>
          <w:lang w:val="en-US" w:eastAsia="zh-CN"/>
        </w:rPr>
        <w:t>3.</w:t>
      </w:r>
      <w:r>
        <w:rPr>
          <w:rFonts w:hint="eastAsia" w:ascii="仿宋_GB2312" w:hAnsi="仿宋_GB2312" w:eastAsia="仿宋_GB2312" w:cs="仿宋_GB2312"/>
          <w:b/>
          <w:bCs/>
          <w:sz w:val="32"/>
          <w:szCs w:val="32"/>
          <w:highlight w:val="none"/>
        </w:rPr>
        <w:t>资金管理流程</w:t>
      </w:r>
    </w:p>
    <w:p w14:paraId="2C67F61D">
      <w:pPr>
        <w:pStyle w:val="9"/>
        <w:keepNext w:val="0"/>
        <w:keepLines w:val="0"/>
        <w:pageBreakBefore w:val="0"/>
        <w:widowControl w:val="0"/>
        <w:kinsoku/>
        <w:wordWrap/>
        <w:overflowPunct w:val="0"/>
        <w:topLinePunct w:val="0"/>
        <w:autoSpaceDE/>
        <w:autoSpaceDN/>
        <w:bidi w:val="0"/>
        <w:adjustRightInd/>
        <w:spacing w:line="600" w:lineRule="exact"/>
        <w:ind w:firstLine="640" w:firstLineChars="200"/>
        <w:textAlignment w:val="auto"/>
        <w:outlineLvl w:val="0"/>
        <w:rPr>
          <w:rFonts w:hint="eastAsia" w:ascii="仿宋_GB2312" w:hAnsi="仿宋_GB2312" w:cs="仿宋_GB2312"/>
          <w:highlight w:val="none"/>
          <w:lang w:val="en-US" w:eastAsia="zh-CN"/>
        </w:rPr>
      </w:pPr>
      <w:bookmarkStart w:id="69" w:name="_Toc4494"/>
      <w:bookmarkStart w:id="70" w:name="_Toc319"/>
      <w:bookmarkStart w:id="71" w:name="_Toc29508"/>
      <w:r>
        <w:rPr>
          <w:rFonts w:hint="eastAsia" w:ascii="仿宋_GB2312" w:hAnsi="仿宋_GB2312" w:cs="仿宋_GB2312"/>
          <w:highlight w:val="none"/>
          <w:lang w:val="en-US" w:eastAsia="zh-CN"/>
        </w:rPr>
        <w:t>《甘肃省高级人民法院机关财务经费管理的规定》</w:t>
      </w:r>
      <w:r>
        <w:rPr>
          <w:rFonts w:hint="eastAsia" w:ascii="仿宋_GB2312" w:hAnsi="仿宋_GB2312" w:eastAsia="仿宋_GB2312" w:cs="仿宋_GB2312"/>
          <w:highlight w:val="none"/>
          <w:lang w:val="en-US" w:eastAsia="zh-CN"/>
        </w:rPr>
        <w:t>明确规定了经费报销实行统一审核，分级审批制度，基本原则是执行国家有关法律、法规和财务规章制度遵守</w:t>
      </w:r>
      <w:r>
        <w:rPr>
          <w:rFonts w:hint="eastAsia" w:ascii="仿宋_GB2312" w:hAnsi="仿宋_GB2312" w:cs="仿宋_GB2312"/>
          <w:highlight w:val="none"/>
          <w:lang w:val="en-US" w:eastAsia="zh-CN"/>
        </w:rPr>
        <w:t>政府</w:t>
      </w:r>
      <w:r>
        <w:rPr>
          <w:rFonts w:hint="eastAsia" w:ascii="仿宋_GB2312" w:hAnsi="仿宋_GB2312" w:eastAsia="仿宋_GB2312" w:cs="仿宋_GB2312"/>
          <w:highlight w:val="none"/>
          <w:lang w:val="en-US" w:eastAsia="zh-CN"/>
        </w:rPr>
        <w:t>会计准则，厉行节约</w:t>
      </w:r>
      <w:r>
        <w:rPr>
          <w:rFonts w:hint="eastAsia" w:ascii="仿宋_GB2312" w:hAnsi="仿宋_GB2312" w:cs="仿宋_GB2312"/>
          <w:highlight w:val="none"/>
          <w:lang w:val="en-US" w:eastAsia="zh-CN"/>
        </w:rPr>
        <w:t>，</w:t>
      </w:r>
      <w:r>
        <w:rPr>
          <w:rFonts w:hint="eastAsia" w:ascii="仿宋_GB2312" w:hAnsi="仿宋_GB2312" w:eastAsia="仿宋_GB2312" w:cs="仿宋_GB2312"/>
          <w:highlight w:val="none"/>
          <w:lang w:val="en-US" w:eastAsia="zh-CN"/>
        </w:rPr>
        <w:t>量入为出</w:t>
      </w:r>
      <w:r>
        <w:rPr>
          <w:rFonts w:hint="eastAsia" w:ascii="仿宋_GB2312" w:hAnsi="仿宋_GB2312" w:cs="仿宋_GB2312"/>
          <w:highlight w:val="none"/>
          <w:lang w:val="en-US" w:eastAsia="zh-CN"/>
        </w:rPr>
        <w:t>，</w:t>
      </w:r>
      <w:r>
        <w:rPr>
          <w:rFonts w:hint="eastAsia" w:ascii="仿宋_GB2312" w:hAnsi="仿宋_GB2312" w:eastAsia="仿宋_GB2312" w:cs="仿宋_GB2312"/>
          <w:highlight w:val="none"/>
          <w:lang w:val="en-US" w:eastAsia="zh-CN"/>
        </w:rPr>
        <w:t>保证重点</w:t>
      </w:r>
      <w:r>
        <w:rPr>
          <w:rFonts w:hint="eastAsia" w:ascii="仿宋_GB2312" w:hAnsi="仿宋_GB2312" w:cs="仿宋_GB2312"/>
          <w:highlight w:val="none"/>
          <w:lang w:val="en-US" w:eastAsia="zh-CN"/>
        </w:rPr>
        <w:t>，</w:t>
      </w:r>
      <w:r>
        <w:rPr>
          <w:rFonts w:hint="eastAsia" w:ascii="仿宋_GB2312" w:hAnsi="仿宋_GB2312" w:eastAsia="仿宋_GB2312" w:cs="仿宋_GB2312"/>
          <w:highlight w:val="none"/>
          <w:lang w:val="en-US" w:eastAsia="zh-CN"/>
        </w:rPr>
        <w:t>兼顾一般为中心，充分发挥资金的使用效益</w:t>
      </w:r>
      <w:bookmarkEnd w:id="69"/>
      <w:r>
        <w:rPr>
          <w:rFonts w:hint="eastAsia" w:ascii="仿宋_GB2312" w:hAnsi="仿宋_GB2312" w:cs="仿宋_GB2312"/>
          <w:highlight w:val="none"/>
          <w:lang w:val="en-US" w:eastAsia="zh-CN"/>
        </w:rPr>
        <w:t>。</w:t>
      </w:r>
    </w:p>
    <w:p w14:paraId="1FFB9B51">
      <w:pPr>
        <w:pStyle w:val="10"/>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甘肃省高级人民法院机关资产购置实行事前审批制度，购买人员须事前提交书面申请及填制《省法院机关固定资产申请配置单》，由部门领导、分管领导审签后，报司法行政装备处协同相关处室核查同意后办理。购置完成后，经办人员持书面申请报告、原始发票及清单、合同、文件说明等资料到机关财务审核报销。</w:t>
      </w:r>
    </w:p>
    <w:p w14:paraId="34A1F46D">
      <w:pPr>
        <w:pStyle w:val="9"/>
        <w:keepNext w:val="0"/>
        <w:keepLines w:val="0"/>
        <w:pageBreakBefore w:val="0"/>
        <w:widowControl w:val="0"/>
        <w:kinsoku/>
        <w:wordWrap/>
        <w:overflowPunct w:val="0"/>
        <w:topLinePunct w:val="0"/>
        <w:autoSpaceDE/>
        <w:autoSpaceDN/>
        <w:bidi w:val="0"/>
        <w:adjustRightInd/>
        <w:spacing w:line="600" w:lineRule="exact"/>
        <w:ind w:firstLine="640" w:firstLineChars="200"/>
        <w:textAlignment w:val="auto"/>
        <w:outlineLvl w:val="0"/>
        <w:rPr>
          <w:rFonts w:ascii="黑体" w:eastAsia="黑体"/>
          <w:highlight w:val="none"/>
        </w:rPr>
      </w:pPr>
      <w:bookmarkStart w:id="72" w:name="_Toc3330"/>
      <w:r>
        <w:rPr>
          <w:rFonts w:hint="eastAsia" w:ascii="黑体" w:eastAsia="黑体"/>
          <w:highlight w:val="none"/>
        </w:rPr>
        <w:t>二、项目绩效目标</w:t>
      </w:r>
      <w:bookmarkEnd w:id="70"/>
      <w:bookmarkEnd w:id="71"/>
      <w:bookmarkEnd w:id="72"/>
    </w:p>
    <w:p w14:paraId="28B3E39A">
      <w:pPr>
        <w:pStyle w:val="9"/>
        <w:keepNext w:val="0"/>
        <w:keepLines w:val="0"/>
        <w:pageBreakBefore w:val="0"/>
        <w:widowControl w:val="0"/>
        <w:kinsoku/>
        <w:wordWrap/>
        <w:overflowPunct w:val="0"/>
        <w:topLinePunct w:val="0"/>
        <w:autoSpaceDE/>
        <w:autoSpaceDN/>
        <w:bidi w:val="0"/>
        <w:adjustRightInd/>
        <w:spacing w:line="600" w:lineRule="exact"/>
        <w:ind w:firstLine="643" w:firstLineChars="200"/>
        <w:textAlignment w:val="auto"/>
        <w:outlineLvl w:val="1"/>
        <w:rPr>
          <w:rFonts w:ascii="楷体" w:hAnsi="楷体" w:eastAsia="楷体" w:cs="楷体"/>
          <w:b/>
          <w:bCs/>
          <w:highlight w:val="none"/>
        </w:rPr>
      </w:pPr>
      <w:bookmarkStart w:id="73" w:name="_Toc5838"/>
      <w:bookmarkStart w:id="74" w:name="_Toc21140"/>
      <w:bookmarkStart w:id="75" w:name="_Toc28577"/>
      <w:r>
        <w:rPr>
          <w:rFonts w:hint="eastAsia" w:ascii="楷体" w:hAnsi="楷体" w:eastAsia="楷体" w:cs="楷体"/>
          <w:b/>
          <w:bCs/>
          <w:highlight w:val="none"/>
        </w:rPr>
        <w:t>（一）总体目标</w:t>
      </w:r>
      <w:bookmarkEnd w:id="73"/>
      <w:bookmarkEnd w:id="74"/>
      <w:bookmarkEnd w:id="75"/>
    </w:p>
    <w:p w14:paraId="41D9624B">
      <w:pPr>
        <w:pStyle w:val="10"/>
        <w:keepNext w:val="0"/>
        <w:keepLines w:val="0"/>
        <w:pageBreakBefore w:val="0"/>
        <w:widowControl w:val="0"/>
        <w:kinsoku/>
        <w:wordWrap/>
        <w:topLinePunct w:val="0"/>
        <w:autoSpaceDE/>
        <w:autoSpaceDN/>
        <w:bidi w:val="0"/>
        <w:adjustRightInd/>
        <w:spacing w:line="60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bookmarkStart w:id="76" w:name="_Toc26047"/>
      <w:bookmarkStart w:id="77" w:name="_Toc32085"/>
      <w:r>
        <w:rPr>
          <w:rFonts w:hint="eastAsia" w:ascii="仿宋_GB2312" w:hAnsi="仿宋_GB2312" w:eastAsia="仿宋_GB2312" w:cs="仿宋_GB2312"/>
          <w:kern w:val="2"/>
          <w:sz w:val="32"/>
          <w:szCs w:val="32"/>
          <w:highlight w:val="none"/>
          <w:lang w:val="en-US" w:eastAsia="zh-CN" w:bidi="ar-SA"/>
        </w:rPr>
        <w:t>甘肃省高级人民法院按时完成设备采购，且保障设备验收合格率均达到100.00%，采购完成后将满足法院各项业务对相关专用设备的需要，降低设备故障率和维修保养费用，有力提高业务保障水平和工作效率。</w:t>
      </w:r>
    </w:p>
    <w:p w14:paraId="2010E53D">
      <w:pPr>
        <w:pStyle w:val="9"/>
        <w:keepNext w:val="0"/>
        <w:keepLines w:val="0"/>
        <w:pageBreakBefore w:val="0"/>
        <w:widowControl w:val="0"/>
        <w:kinsoku/>
        <w:wordWrap/>
        <w:overflowPunct w:val="0"/>
        <w:topLinePunct w:val="0"/>
        <w:autoSpaceDE/>
        <w:autoSpaceDN/>
        <w:bidi w:val="0"/>
        <w:adjustRightInd/>
        <w:spacing w:line="600" w:lineRule="exact"/>
        <w:ind w:firstLine="643" w:firstLineChars="200"/>
        <w:textAlignment w:val="auto"/>
        <w:outlineLvl w:val="1"/>
        <w:rPr>
          <w:rFonts w:ascii="楷体" w:hAnsi="楷体" w:eastAsia="楷体" w:cs="楷体"/>
          <w:b/>
          <w:bCs/>
          <w:highlight w:val="none"/>
        </w:rPr>
      </w:pPr>
      <w:bookmarkStart w:id="78" w:name="_Toc8156"/>
      <w:r>
        <w:rPr>
          <w:rFonts w:hint="eastAsia" w:ascii="楷体" w:hAnsi="楷体" w:eastAsia="楷体" w:cs="楷体"/>
          <w:b/>
          <w:bCs/>
          <w:highlight w:val="none"/>
        </w:rPr>
        <w:t>（二）年度目标</w:t>
      </w:r>
      <w:bookmarkEnd w:id="76"/>
      <w:bookmarkEnd w:id="77"/>
      <w:bookmarkEnd w:id="78"/>
    </w:p>
    <w:p w14:paraId="25F32806">
      <w:pPr>
        <w:pStyle w:val="10"/>
        <w:keepNext w:val="0"/>
        <w:keepLines w:val="0"/>
        <w:pageBreakBefore w:val="0"/>
        <w:widowControl w:val="0"/>
        <w:kinsoku/>
        <w:wordWrap/>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highlight w:val="none"/>
        </w:rPr>
      </w:pPr>
      <w:bookmarkStart w:id="79" w:name="_Toc11613"/>
      <w:bookmarkStart w:id="80" w:name="_Toc7330"/>
      <w:r>
        <w:rPr>
          <w:rFonts w:hint="eastAsia" w:ascii="仿宋_GB2312" w:hAnsi="仿宋_GB2312" w:eastAsia="仿宋_GB2312" w:cs="仿宋_GB2312"/>
          <w:kern w:val="2"/>
          <w:sz w:val="32"/>
          <w:szCs w:val="32"/>
          <w:highlight w:val="none"/>
          <w:lang w:val="en-US" w:eastAsia="zh-CN" w:bidi="ar-SA"/>
        </w:rPr>
        <w:t>本年度甘肃省高级人民法院计划完成法院工作日常所需的通用设备、专用设备等采购工作，及时更新替换老旧设备，维持法院日常工作所需，确保法院的日常运转。</w:t>
      </w:r>
      <w:r>
        <w:rPr>
          <w:rFonts w:hint="eastAsia" w:ascii="仿宋_GB2312" w:hAnsi="仿宋_GB2312" w:eastAsia="仿宋_GB2312" w:cs="仿宋_GB2312"/>
          <w:sz w:val="32"/>
          <w:szCs w:val="32"/>
          <w:highlight w:val="none"/>
        </w:rPr>
        <w:t>具体指标详见下表：</w:t>
      </w:r>
      <w:bookmarkEnd w:id="79"/>
      <w:bookmarkEnd w:id="80"/>
    </w:p>
    <w:tbl>
      <w:tblPr>
        <w:tblStyle w:val="19"/>
        <w:tblpPr w:leftFromText="180" w:rightFromText="180" w:vertAnchor="text" w:horzAnchor="page" w:tblpX="1736" w:tblpY="28"/>
        <w:tblOverlap w:val="never"/>
        <w:tblW w:w="4895" w:type="pct"/>
        <w:tblInd w:w="0" w:type="dxa"/>
        <w:tblLayout w:type="autofit"/>
        <w:tblCellMar>
          <w:top w:w="0" w:type="dxa"/>
          <w:left w:w="108" w:type="dxa"/>
          <w:bottom w:w="0" w:type="dxa"/>
          <w:right w:w="108" w:type="dxa"/>
        </w:tblCellMar>
      </w:tblPr>
      <w:tblGrid>
        <w:gridCol w:w="1627"/>
        <w:gridCol w:w="1778"/>
        <w:gridCol w:w="3241"/>
        <w:gridCol w:w="1858"/>
      </w:tblGrid>
      <w:tr w14:paraId="3BE22CDB">
        <w:tblPrEx>
          <w:tblCellMar>
            <w:top w:w="0" w:type="dxa"/>
            <w:left w:w="108" w:type="dxa"/>
            <w:bottom w:w="0" w:type="dxa"/>
            <w:right w:w="108" w:type="dxa"/>
          </w:tblCellMar>
        </w:tblPrEx>
        <w:trPr>
          <w:trHeight w:val="530" w:hRule="atLeast"/>
        </w:trPr>
        <w:tc>
          <w:tcPr>
            <w:tcW w:w="9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47DC77">
            <w:pPr>
              <w:widowControl/>
              <w:jc w:val="center"/>
              <w:textAlignment w:val="center"/>
              <w:rPr>
                <w:rFonts w:hint="eastAsia" w:ascii="宋体" w:hAnsi="宋体" w:eastAsia="宋体" w:cs="宋体"/>
                <w:kern w:val="0"/>
                <w:sz w:val="20"/>
                <w:szCs w:val="20"/>
                <w:highlight w:val="none"/>
                <w:lang w:bidi="ar"/>
              </w:rPr>
            </w:pPr>
            <w:bookmarkStart w:id="81" w:name="_Toc11016"/>
            <w:bookmarkStart w:id="82" w:name="_Toc24688"/>
            <w:r>
              <w:rPr>
                <w:rFonts w:hint="eastAsia" w:ascii="宋体" w:hAnsi="宋体" w:eastAsia="宋体" w:cs="宋体"/>
                <w:kern w:val="0"/>
                <w:sz w:val="20"/>
                <w:szCs w:val="20"/>
                <w:highlight w:val="none"/>
                <w:lang w:bidi="ar"/>
              </w:rPr>
              <w:t>一级指标</w:t>
            </w:r>
          </w:p>
        </w:tc>
        <w:tc>
          <w:tcPr>
            <w:tcW w:w="10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723F4A">
            <w:pPr>
              <w:widowControl/>
              <w:jc w:val="center"/>
              <w:textAlignment w:val="center"/>
              <w:rPr>
                <w:rFonts w:hint="eastAsia" w:ascii="宋体" w:hAnsi="宋体" w:eastAsia="宋体" w:cs="宋体"/>
                <w:kern w:val="0"/>
                <w:sz w:val="20"/>
                <w:szCs w:val="20"/>
                <w:highlight w:val="none"/>
                <w:lang w:bidi="ar"/>
              </w:rPr>
            </w:pPr>
            <w:r>
              <w:rPr>
                <w:rFonts w:hint="eastAsia" w:ascii="宋体" w:hAnsi="宋体" w:eastAsia="宋体" w:cs="宋体"/>
                <w:kern w:val="0"/>
                <w:sz w:val="20"/>
                <w:szCs w:val="20"/>
                <w:highlight w:val="none"/>
                <w:lang w:bidi="ar"/>
              </w:rPr>
              <w:t>二级指标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239E23">
            <w:pPr>
              <w:widowControl/>
              <w:jc w:val="center"/>
              <w:textAlignment w:val="center"/>
              <w:rPr>
                <w:rFonts w:hint="eastAsia" w:ascii="宋体" w:hAnsi="宋体" w:eastAsia="宋体" w:cs="宋体"/>
                <w:kern w:val="0"/>
                <w:sz w:val="20"/>
                <w:szCs w:val="20"/>
                <w:highlight w:val="none"/>
                <w:lang w:bidi="ar"/>
              </w:rPr>
            </w:pPr>
            <w:r>
              <w:rPr>
                <w:rFonts w:hint="eastAsia" w:ascii="宋体" w:hAnsi="宋体" w:eastAsia="宋体" w:cs="宋体"/>
                <w:kern w:val="0"/>
                <w:sz w:val="20"/>
                <w:szCs w:val="20"/>
                <w:highlight w:val="none"/>
                <w:lang w:bidi="ar"/>
              </w:rPr>
              <w:t>三级指标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BD3D4">
            <w:pPr>
              <w:widowControl/>
              <w:jc w:val="center"/>
              <w:textAlignment w:val="center"/>
              <w:rPr>
                <w:rFonts w:hint="eastAsia" w:ascii="宋体" w:hAnsi="宋体" w:eastAsia="宋体" w:cs="宋体"/>
                <w:kern w:val="0"/>
                <w:sz w:val="20"/>
                <w:szCs w:val="20"/>
                <w:highlight w:val="none"/>
                <w:lang w:bidi="ar"/>
              </w:rPr>
            </w:pPr>
            <w:r>
              <w:rPr>
                <w:rFonts w:hint="eastAsia" w:ascii="宋体" w:hAnsi="宋体" w:eastAsia="宋体" w:cs="宋体"/>
                <w:kern w:val="0"/>
                <w:sz w:val="20"/>
                <w:szCs w:val="20"/>
                <w:highlight w:val="none"/>
                <w:lang w:bidi="ar"/>
              </w:rPr>
              <w:t>目标值</w:t>
            </w:r>
          </w:p>
        </w:tc>
      </w:tr>
      <w:tr w14:paraId="553BA9F7">
        <w:tblPrEx>
          <w:tblCellMar>
            <w:top w:w="0" w:type="dxa"/>
            <w:left w:w="108" w:type="dxa"/>
            <w:bottom w:w="0" w:type="dxa"/>
            <w:right w:w="108" w:type="dxa"/>
          </w:tblCellMar>
        </w:tblPrEx>
        <w:trPr>
          <w:trHeight w:val="567" w:hRule="atLeast"/>
        </w:trPr>
        <w:tc>
          <w:tcPr>
            <w:tcW w:w="956" w:type="pct"/>
            <w:vMerge w:val="restart"/>
            <w:tcBorders>
              <w:top w:val="single" w:color="000000" w:sz="4" w:space="0"/>
              <w:left w:val="single" w:color="000000" w:sz="4" w:space="0"/>
              <w:right w:val="single" w:color="000000" w:sz="4" w:space="0"/>
            </w:tcBorders>
            <w:shd w:val="clear" w:color="auto" w:fill="auto"/>
            <w:vAlign w:val="center"/>
          </w:tcPr>
          <w:p w14:paraId="444EAE53">
            <w:pPr>
              <w:spacing w:line="320" w:lineRule="exact"/>
              <w:jc w:val="center"/>
              <w:rPr>
                <w:rFonts w:hint="default"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成本指标</w:t>
            </w:r>
          </w:p>
        </w:tc>
        <w:tc>
          <w:tcPr>
            <w:tcW w:w="1045" w:type="pct"/>
            <w:vMerge w:val="restart"/>
            <w:tcBorders>
              <w:top w:val="single" w:color="000000" w:sz="4" w:space="0"/>
              <w:left w:val="single" w:color="000000" w:sz="4" w:space="0"/>
              <w:right w:val="single" w:color="000000" w:sz="4" w:space="0"/>
            </w:tcBorders>
            <w:shd w:val="clear" w:color="auto" w:fill="auto"/>
            <w:vAlign w:val="center"/>
          </w:tcPr>
          <w:p w14:paraId="03C7F4B0">
            <w:pPr>
              <w:bidi w:val="0"/>
              <w:ind w:firstLine="200" w:firstLineChars="100"/>
              <w:jc w:val="both"/>
              <w:rPr>
                <w:rFonts w:hint="eastAsia" w:asciiTheme="minorHAnsi" w:hAnsiTheme="minorHAnsi" w:eastAsiaTheme="minorEastAsia" w:cstheme="minorBidi"/>
                <w:kern w:val="2"/>
                <w:sz w:val="21"/>
                <w:szCs w:val="22"/>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经济成本指标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76E3D9">
            <w:pPr>
              <w:widowControl/>
              <w:jc w:val="center"/>
              <w:textAlignment w:val="center"/>
              <w:rPr>
                <w:rFonts w:hint="eastAsia" w:ascii="宋体" w:hAnsi="宋体" w:eastAsia="宋体" w:cs="宋体"/>
                <w:kern w:val="0"/>
                <w:sz w:val="20"/>
                <w:szCs w:val="20"/>
                <w:highlight w:val="none"/>
                <w:lang w:bidi="ar"/>
              </w:rPr>
            </w:pPr>
            <w:r>
              <w:rPr>
                <w:rFonts w:hint="eastAsia" w:ascii="宋体" w:hAnsi="宋体" w:eastAsia="宋体" w:cs="宋体"/>
                <w:kern w:val="0"/>
                <w:sz w:val="20"/>
                <w:szCs w:val="20"/>
                <w:highlight w:val="none"/>
                <w:lang w:bidi="ar"/>
              </w:rPr>
              <w:t>成本控制情况</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6FF47">
            <w:pPr>
              <w:widowControl/>
              <w:jc w:val="center"/>
              <w:textAlignment w:val="center"/>
              <w:rPr>
                <w:rFonts w:hint="eastAsia" w:ascii="宋体" w:hAnsi="宋体" w:eastAsia="宋体" w:cs="宋体"/>
                <w:kern w:val="0"/>
                <w:sz w:val="20"/>
                <w:szCs w:val="20"/>
                <w:highlight w:val="none"/>
                <w:lang w:bidi="ar"/>
              </w:rPr>
            </w:pPr>
            <w:r>
              <w:rPr>
                <w:rFonts w:hint="eastAsia" w:ascii="宋体" w:hAnsi="宋体" w:eastAsia="宋体" w:cs="宋体"/>
                <w:kern w:val="0"/>
                <w:sz w:val="20"/>
                <w:szCs w:val="20"/>
                <w:highlight w:val="none"/>
                <w:lang w:bidi="ar"/>
              </w:rPr>
              <w:t>预算内</w:t>
            </w:r>
          </w:p>
        </w:tc>
      </w:tr>
      <w:tr w14:paraId="57BCBECA">
        <w:tblPrEx>
          <w:tblCellMar>
            <w:top w:w="0" w:type="dxa"/>
            <w:left w:w="108" w:type="dxa"/>
            <w:bottom w:w="0" w:type="dxa"/>
            <w:right w:w="108" w:type="dxa"/>
          </w:tblCellMar>
        </w:tblPrEx>
        <w:trPr>
          <w:trHeight w:val="567" w:hRule="atLeast"/>
        </w:trPr>
        <w:tc>
          <w:tcPr>
            <w:tcW w:w="956" w:type="pct"/>
            <w:vMerge w:val="continue"/>
            <w:tcBorders>
              <w:left w:val="single" w:color="000000" w:sz="4" w:space="0"/>
              <w:right w:val="single" w:color="000000" w:sz="4" w:space="0"/>
            </w:tcBorders>
            <w:shd w:val="clear" w:color="auto" w:fill="auto"/>
            <w:vAlign w:val="center"/>
          </w:tcPr>
          <w:p w14:paraId="794B3242">
            <w:pPr>
              <w:spacing w:line="320" w:lineRule="exact"/>
              <w:jc w:val="center"/>
              <w:rPr>
                <w:rFonts w:hint="eastAsia" w:ascii="宋体" w:hAnsi="宋体" w:eastAsia="宋体" w:cs="宋体"/>
                <w:sz w:val="20"/>
                <w:szCs w:val="20"/>
                <w:highlight w:val="none"/>
              </w:rPr>
            </w:pPr>
          </w:p>
        </w:tc>
        <w:tc>
          <w:tcPr>
            <w:tcW w:w="1045" w:type="pct"/>
            <w:vMerge w:val="continue"/>
            <w:tcBorders>
              <w:left w:val="single" w:color="000000" w:sz="4" w:space="0"/>
              <w:right w:val="single" w:color="000000" w:sz="4" w:space="0"/>
            </w:tcBorders>
            <w:shd w:val="clear" w:color="auto" w:fill="auto"/>
            <w:vAlign w:val="center"/>
          </w:tcPr>
          <w:p w14:paraId="0EB7A46A">
            <w:pPr>
              <w:widowControl/>
              <w:jc w:val="center"/>
              <w:textAlignment w:val="center"/>
              <w:rPr>
                <w:rFonts w:hint="eastAsia" w:ascii="宋体" w:hAnsi="宋体" w:eastAsia="宋体" w:cs="宋体"/>
                <w:kern w:val="0"/>
                <w:sz w:val="20"/>
                <w:szCs w:val="20"/>
                <w:highlight w:val="none"/>
                <w:lang w:bidi="ar"/>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D38AC6">
            <w:pPr>
              <w:widowControl/>
              <w:jc w:val="center"/>
              <w:textAlignment w:val="center"/>
              <w:rPr>
                <w:rFonts w:hint="eastAsia" w:ascii="宋体" w:hAnsi="宋体" w:eastAsia="宋体" w:cs="宋体"/>
                <w:kern w:val="0"/>
                <w:sz w:val="20"/>
                <w:szCs w:val="20"/>
                <w:highlight w:val="none"/>
                <w:lang w:bidi="ar"/>
              </w:rPr>
            </w:pPr>
            <w:r>
              <w:rPr>
                <w:rFonts w:hint="eastAsia" w:ascii="宋体" w:hAnsi="宋体" w:eastAsia="宋体" w:cs="宋体"/>
                <w:kern w:val="0"/>
                <w:sz w:val="20"/>
                <w:szCs w:val="20"/>
                <w:highlight w:val="none"/>
                <w:lang w:bidi="ar"/>
              </w:rPr>
              <w:t>设备平均成本</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01778">
            <w:pPr>
              <w:widowControl/>
              <w:jc w:val="center"/>
              <w:textAlignment w:val="center"/>
              <w:rPr>
                <w:rFonts w:hint="eastAsia" w:ascii="宋体" w:hAnsi="宋体" w:eastAsia="宋体" w:cs="宋体"/>
                <w:kern w:val="0"/>
                <w:sz w:val="20"/>
                <w:szCs w:val="20"/>
                <w:highlight w:val="none"/>
                <w:lang w:bidi="ar"/>
              </w:rPr>
            </w:pPr>
            <w:r>
              <w:rPr>
                <w:rFonts w:hint="eastAsia" w:ascii="宋体" w:hAnsi="宋体" w:eastAsia="宋体" w:cs="宋体"/>
                <w:kern w:val="0"/>
                <w:sz w:val="20"/>
                <w:szCs w:val="20"/>
                <w:highlight w:val="none"/>
                <w:lang w:val="en-US" w:eastAsia="zh-CN" w:bidi="ar"/>
              </w:rPr>
              <w:t>标准</w:t>
            </w:r>
          </w:p>
        </w:tc>
      </w:tr>
      <w:tr w14:paraId="4F88B19C">
        <w:tblPrEx>
          <w:tblCellMar>
            <w:top w:w="0" w:type="dxa"/>
            <w:left w:w="108" w:type="dxa"/>
            <w:bottom w:w="0" w:type="dxa"/>
            <w:right w:w="108" w:type="dxa"/>
          </w:tblCellMar>
        </w:tblPrEx>
        <w:trPr>
          <w:trHeight w:val="567" w:hRule="atLeast"/>
        </w:trPr>
        <w:tc>
          <w:tcPr>
            <w:tcW w:w="956" w:type="pct"/>
            <w:vMerge w:val="restart"/>
            <w:tcBorders>
              <w:top w:val="single" w:color="000000" w:sz="4" w:space="0"/>
              <w:left w:val="single" w:color="000000" w:sz="4" w:space="0"/>
              <w:right w:val="single" w:color="000000" w:sz="4" w:space="0"/>
            </w:tcBorders>
            <w:shd w:val="clear" w:color="auto" w:fill="auto"/>
            <w:vAlign w:val="center"/>
          </w:tcPr>
          <w:p w14:paraId="6C870FD3">
            <w:pPr>
              <w:spacing w:line="320" w:lineRule="exa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产出目标</w:t>
            </w:r>
          </w:p>
        </w:tc>
        <w:tc>
          <w:tcPr>
            <w:tcW w:w="1045" w:type="pct"/>
            <w:vMerge w:val="restart"/>
            <w:tcBorders>
              <w:top w:val="single" w:color="000000" w:sz="4" w:space="0"/>
              <w:left w:val="single" w:color="000000" w:sz="4" w:space="0"/>
              <w:right w:val="single" w:color="000000" w:sz="4" w:space="0"/>
            </w:tcBorders>
            <w:shd w:val="clear" w:color="auto" w:fill="auto"/>
            <w:vAlign w:val="center"/>
          </w:tcPr>
          <w:p w14:paraId="69022876">
            <w:pPr>
              <w:spacing w:line="320" w:lineRule="exact"/>
              <w:jc w:val="center"/>
              <w:rPr>
                <w:rFonts w:hint="eastAsia" w:ascii="宋体" w:hAnsi="宋体" w:eastAsia="宋体" w:cs="宋体"/>
                <w:kern w:val="0"/>
                <w:sz w:val="20"/>
                <w:szCs w:val="20"/>
                <w:highlight w:val="none"/>
                <w:lang w:bidi="ar"/>
              </w:rPr>
            </w:pPr>
            <w:r>
              <w:rPr>
                <w:rFonts w:hint="eastAsia" w:ascii="宋体" w:hAnsi="宋体" w:eastAsia="宋体" w:cs="宋体"/>
                <w:sz w:val="20"/>
                <w:szCs w:val="20"/>
                <w:highlight w:val="none"/>
                <w:lang w:val="en-US" w:eastAsia="zh-CN"/>
              </w:rPr>
              <w:t>数量指标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3533B">
            <w:pPr>
              <w:keepNext w:val="0"/>
              <w:keepLines w:val="0"/>
              <w:widowControl/>
              <w:suppressLineNumbers w:val="0"/>
              <w:jc w:val="center"/>
              <w:textAlignment w:val="center"/>
              <w:rPr>
                <w:rFonts w:hint="eastAsia" w:ascii="宋体" w:hAnsi="宋体" w:eastAsia="宋体" w:cs="宋体"/>
                <w:kern w:val="0"/>
                <w:sz w:val="20"/>
                <w:szCs w:val="20"/>
                <w:highlight w:val="none"/>
                <w:lang w:bidi="ar"/>
              </w:rPr>
            </w:pPr>
            <w:r>
              <w:rPr>
                <w:rFonts w:hint="eastAsia" w:ascii="宋体" w:hAnsi="宋体" w:eastAsia="宋体" w:cs="宋体"/>
                <w:i w:val="0"/>
                <w:color w:val="000000"/>
                <w:kern w:val="0"/>
                <w:sz w:val="20"/>
                <w:szCs w:val="20"/>
                <w:highlight w:val="none"/>
                <w:u w:val="none"/>
                <w:lang w:val="en-US" w:eastAsia="zh-CN" w:bidi="ar"/>
              </w:rPr>
              <w:t>通用办公设备采购数量</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F4E0ED">
            <w:pPr>
              <w:keepNext w:val="0"/>
              <w:keepLines w:val="0"/>
              <w:widowControl/>
              <w:suppressLineNumbers w:val="0"/>
              <w:jc w:val="center"/>
              <w:textAlignment w:val="center"/>
              <w:rPr>
                <w:rFonts w:hint="eastAsia" w:ascii="宋体" w:hAnsi="宋体" w:eastAsia="宋体" w:cs="宋体"/>
                <w:kern w:val="0"/>
                <w:sz w:val="20"/>
                <w:szCs w:val="20"/>
                <w:highlight w:val="none"/>
                <w:lang w:bidi="ar"/>
              </w:rPr>
            </w:pPr>
            <w:r>
              <w:rPr>
                <w:rFonts w:hint="eastAsia" w:ascii="宋体" w:hAnsi="宋体" w:eastAsia="宋体" w:cs="宋体"/>
                <w:i w:val="0"/>
                <w:color w:val="000000"/>
                <w:kern w:val="0"/>
                <w:sz w:val="20"/>
                <w:szCs w:val="20"/>
                <w:highlight w:val="none"/>
                <w:u w:val="none"/>
                <w:lang w:val="en-US" w:eastAsia="zh-CN" w:bidi="ar"/>
              </w:rPr>
              <w:t>=680个</w:t>
            </w:r>
          </w:p>
        </w:tc>
      </w:tr>
      <w:tr w14:paraId="7F8CA4C3">
        <w:tblPrEx>
          <w:tblCellMar>
            <w:top w:w="0" w:type="dxa"/>
            <w:left w:w="108" w:type="dxa"/>
            <w:bottom w:w="0" w:type="dxa"/>
            <w:right w:w="108" w:type="dxa"/>
          </w:tblCellMar>
        </w:tblPrEx>
        <w:trPr>
          <w:trHeight w:val="567" w:hRule="atLeast"/>
        </w:trPr>
        <w:tc>
          <w:tcPr>
            <w:tcW w:w="956" w:type="pct"/>
            <w:vMerge w:val="continue"/>
            <w:tcBorders>
              <w:left w:val="single" w:color="000000" w:sz="4" w:space="0"/>
              <w:right w:val="single" w:color="000000" w:sz="4" w:space="0"/>
            </w:tcBorders>
            <w:shd w:val="clear" w:color="auto" w:fill="auto"/>
            <w:vAlign w:val="center"/>
          </w:tcPr>
          <w:p w14:paraId="5012F59C">
            <w:pPr>
              <w:widowControl/>
              <w:jc w:val="center"/>
              <w:textAlignment w:val="center"/>
              <w:rPr>
                <w:rFonts w:hint="eastAsia" w:ascii="宋体" w:hAnsi="宋体" w:eastAsia="宋体" w:cs="宋体"/>
                <w:kern w:val="0"/>
                <w:sz w:val="20"/>
                <w:szCs w:val="20"/>
                <w:highlight w:val="none"/>
                <w:lang w:bidi="ar"/>
              </w:rPr>
            </w:pPr>
          </w:p>
        </w:tc>
        <w:tc>
          <w:tcPr>
            <w:tcW w:w="1045" w:type="pct"/>
            <w:vMerge w:val="continue"/>
            <w:tcBorders>
              <w:left w:val="single" w:color="000000" w:sz="4" w:space="0"/>
              <w:bottom w:val="single" w:color="000000" w:sz="4" w:space="0"/>
              <w:right w:val="single" w:color="000000" w:sz="4" w:space="0"/>
            </w:tcBorders>
            <w:shd w:val="clear" w:color="auto" w:fill="auto"/>
            <w:vAlign w:val="center"/>
          </w:tcPr>
          <w:p w14:paraId="12CD3AE5">
            <w:pPr>
              <w:tabs>
                <w:tab w:val="left" w:pos="104"/>
              </w:tabs>
              <w:spacing w:line="320" w:lineRule="exact"/>
              <w:jc w:val="center"/>
              <w:rPr>
                <w:rFonts w:hint="eastAsia" w:ascii="宋体" w:hAnsi="宋体" w:eastAsia="宋体" w:cs="宋体"/>
                <w:kern w:val="0"/>
                <w:sz w:val="20"/>
                <w:szCs w:val="20"/>
                <w:highlight w:val="none"/>
                <w:lang w:bidi="ar"/>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12C126">
            <w:pPr>
              <w:keepNext w:val="0"/>
              <w:keepLines w:val="0"/>
              <w:widowControl/>
              <w:suppressLineNumbers w:val="0"/>
              <w:jc w:val="center"/>
              <w:textAlignment w:val="center"/>
              <w:rPr>
                <w:rFonts w:hint="eastAsia" w:ascii="宋体" w:hAnsi="宋体" w:eastAsia="宋体" w:cs="宋体"/>
                <w:kern w:val="0"/>
                <w:sz w:val="20"/>
                <w:szCs w:val="20"/>
                <w:highlight w:val="none"/>
                <w:lang w:bidi="ar"/>
              </w:rPr>
            </w:pPr>
            <w:r>
              <w:rPr>
                <w:rFonts w:hint="eastAsia" w:ascii="宋体" w:hAnsi="宋体" w:eastAsia="宋体" w:cs="宋体"/>
                <w:i w:val="0"/>
                <w:color w:val="000000"/>
                <w:kern w:val="0"/>
                <w:sz w:val="20"/>
                <w:szCs w:val="20"/>
                <w:highlight w:val="none"/>
                <w:u w:val="none"/>
                <w:lang w:val="en-US" w:eastAsia="zh-CN" w:bidi="ar"/>
              </w:rPr>
              <w:t>专用办公设备采购数量</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1B6D0F">
            <w:pPr>
              <w:keepNext w:val="0"/>
              <w:keepLines w:val="0"/>
              <w:widowControl/>
              <w:suppressLineNumbers w:val="0"/>
              <w:jc w:val="center"/>
              <w:textAlignment w:val="center"/>
              <w:rPr>
                <w:rFonts w:hint="eastAsia" w:ascii="宋体" w:hAnsi="宋体" w:eastAsia="宋体" w:cs="宋体"/>
                <w:kern w:val="0"/>
                <w:sz w:val="20"/>
                <w:szCs w:val="20"/>
                <w:highlight w:val="none"/>
                <w:lang w:val="en-US" w:eastAsia="zh-CN" w:bidi="ar"/>
              </w:rPr>
            </w:pPr>
            <w:r>
              <w:rPr>
                <w:rFonts w:hint="eastAsia" w:ascii="宋体" w:hAnsi="宋体" w:eastAsia="宋体" w:cs="宋体"/>
                <w:i w:val="0"/>
                <w:color w:val="000000"/>
                <w:kern w:val="0"/>
                <w:sz w:val="20"/>
                <w:szCs w:val="20"/>
                <w:highlight w:val="none"/>
                <w:u w:val="none"/>
                <w:lang w:val="en-US" w:eastAsia="zh-CN" w:bidi="ar"/>
              </w:rPr>
              <w:t>=58个</w:t>
            </w:r>
          </w:p>
        </w:tc>
      </w:tr>
      <w:tr w14:paraId="552D9CE6">
        <w:tblPrEx>
          <w:tblCellMar>
            <w:top w:w="0" w:type="dxa"/>
            <w:left w:w="108" w:type="dxa"/>
            <w:bottom w:w="0" w:type="dxa"/>
            <w:right w:w="108" w:type="dxa"/>
          </w:tblCellMar>
        </w:tblPrEx>
        <w:trPr>
          <w:trHeight w:val="567" w:hRule="atLeast"/>
        </w:trPr>
        <w:tc>
          <w:tcPr>
            <w:tcW w:w="956" w:type="pct"/>
            <w:vMerge w:val="continue"/>
            <w:tcBorders>
              <w:left w:val="single" w:color="000000" w:sz="4" w:space="0"/>
              <w:right w:val="single" w:color="000000" w:sz="4" w:space="0"/>
            </w:tcBorders>
            <w:shd w:val="clear" w:color="auto" w:fill="auto"/>
            <w:vAlign w:val="center"/>
          </w:tcPr>
          <w:p w14:paraId="679DF4DE">
            <w:pPr>
              <w:spacing w:line="320" w:lineRule="exact"/>
              <w:jc w:val="center"/>
              <w:rPr>
                <w:rFonts w:hint="eastAsia" w:ascii="宋体" w:hAnsi="宋体" w:eastAsia="宋体" w:cs="宋体"/>
                <w:sz w:val="20"/>
                <w:szCs w:val="20"/>
                <w:highlight w:val="none"/>
              </w:rPr>
            </w:pPr>
          </w:p>
        </w:tc>
        <w:tc>
          <w:tcPr>
            <w:tcW w:w="1045" w:type="pct"/>
            <w:tcBorders>
              <w:top w:val="single" w:color="auto" w:sz="4" w:space="0"/>
              <w:left w:val="single" w:color="000000" w:sz="4" w:space="0"/>
              <w:bottom w:val="single" w:color="auto" w:sz="4" w:space="0"/>
              <w:right w:val="single" w:color="000000" w:sz="4" w:space="0"/>
            </w:tcBorders>
            <w:shd w:val="clear" w:color="auto" w:fill="auto"/>
            <w:vAlign w:val="center"/>
          </w:tcPr>
          <w:p w14:paraId="6BD98BF1">
            <w:pPr>
              <w:spacing w:line="320" w:lineRule="exa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质量目标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FCDB36">
            <w:pPr>
              <w:keepNext w:val="0"/>
              <w:keepLines w:val="0"/>
              <w:widowControl/>
              <w:suppressLineNumbers w:val="0"/>
              <w:jc w:val="center"/>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i w:val="0"/>
                <w:color w:val="000000"/>
                <w:kern w:val="0"/>
                <w:sz w:val="20"/>
                <w:szCs w:val="20"/>
                <w:highlight w:val="none"/>
                <w:u w:val="none"/>
                <w:lang w:val="en-US" w:eastAsia="zh-CN" w:bidi="ar"/>
              </w:rPr>
              <w:t>设备购置验收合格率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DB282">
            <w:pPr>
              <w:keepNext w:val="0"/>
              <w:keepLines w:val="0"/>
              <w:widowControl/>
              <w:suppressLineNumbers w:val="0"/>
              <w:jc w:val="center"/>
              <w:textAlignment w:val="center"/>
              <w:rPr>
                <w:rStyle w:val="37"/>
                <w:rFonts w:hint="eastAsia" w:ascii="宋体" w:hAnsi="宋体" w:eastAsia="宋体" w:cs="宋体"/>
                <w:sz w:val="20"/>
                <w:szCs w:val="20"/>
                <w:highlight w:val="none"/>
                <w:lang w:bidi="ar"/>
              </w:rPr>
            </w:pPr>
            <w:r>
              <w:rPr>
                <w:rFonts w:hint="eastAsia" w:ascii="宋体" w:hAnsi="宋体" w:eastAsia="宋体" w:cs="宋体"/>
                <w:i w:val="0"/>
                <w:color w:val="000000"/>
                <w:kern w:val="0"/>
                <w:sz w:val="20"/>
                <w:szCs w:val="20"/>
                <w:highlight w:val="none"/>
                <w:u w:val="none"/>
                <w:lang w:val="en-US" w:eastAsia="zh-CN" w:bidi="ar"/>
              </w:rPr>
              <w:t>&gt;=98%</w:t>
            </w:r>
          </w:p>
        </w:tc>
      </w:tr>
      <w:tr w14:paraId="15FE617D">
        <w:tblPrEx>
          <w:tblCellMar>
            <w:top w:w="0" w:type="dxa"/>
            <w:left w:w="108" w:type="dxa"/>
            <w:bottom w:w="0" w:type="dxa"/>
            <w:right w:w="108" w:type="dxa"/>
          </w:tblCellMar>
        </w:tblPrEx>
        <w:trPr>
          <w:trHeight w:val="567" w:hRule="atLeast"/>
        </w:trPr>
        <w:tc>
          <w:tcPr>
            <w:tcW w:w="956" w:type="pct"/>
            <w:vMerge w:val="continue"/>
            <w:tcBorders>
              <w:left w:val="single" w:color="000000" w:sz="4" w:space="0"/>
              <w:bottom w:val="single" w:color="000000" w:sz="4" w:space="0"/>
              <w:right w:val="single" w:color="000000" w:sz="4" w:space="0"/>
            </w:tcBorders>
            <w:shd w:val="clear" w:color="auto" w:fill="auto"/>
            <w:vAlign w:val="center"/>
          </w:tcPr>
          <w:p w14:paraId="5EEB3973">
            <w:pPr>
              <w:spacing w:line="320" w:lineRule="exact"/>
              <w:jc w:val="center"/>
              <w:rPr>
                <w:rFonts w:hint="eastAsia" w:ascii="宋体" w:hAnsi="宋体" w:eastAsia="宋体" w:cs="宋体"/>
                <w:sz w:val="20"/>
                <w:szCs w:val="20"/>
                <w:highlight w:val="none"/>
              </w:rPr>
            </w:pPr>
          </w:p>
        </w:tc>
        <w:tc>
          <w:tcPr>
            <w:tcW w:w="1045" w:type="pct"/>
            <w:tcBorders>
              <w:top w:val="single" w:color="auto" w:sz="4" w:space="0"/>
              <w:left w:val="single" w:color="000000" w:sz="4" w:space="0"/>
              <w:bottom w:val="single" w:color="000000" w:sz="4" w:space="0"/>
              <w:right w:val="single" w:color="000000" w:sz="4" w:space="0"/>
            </w:tcBorders>
            <w:shd w:val="clear" w:color="auto" w:fill="auto"/>
            <w:vAlign w:val="center"/>
          </w:tcPr>
          <w:p w14:paraId="34F33C7C">
            <w:pPr>
              <w:spacing w:line="320" w:lineRule="exa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时效目标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4A0B1C">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设备采购及时性</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3A9AA">
            <w:pPr>
              <w:keepNext w:val="0"/>
              <w:keepLines w:val="0"/>
              <w:widowControl/>
              <w:suppressLineNumbers w:val="0"/>
              <w:jc w:val="center"/>
              <w:textAlignment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i w:val="0"/>
                <w:color w:val="000000"/>
                <w:kern w:val="0"/>
                <w:sz w:val="20"/>
                <w:szCs w:val="20"/>
                <w:highlight w:val="none"/>
                <w:u w:val="none"/>
                <w:lang w:val="en-US" w:eastAsia="zh-CN" w:bidi="ar"/>
              </w:rPr>
              <w:t>及时</w:t>
            </w:r>
          </w:p>
        </w:tc>
      </w:tr>
      <w:tr w14:paraId="1CFBC02D">
        <w:tblPrEx>
          <w:tblCellMar>
            <w:top w:w="0" w:type="dxa"/>
            <w:left w:w="108" w:type="dxa"/>
            <w:bottom w:w="0" w:type="dxa"/>
            <w:right w:w="108" w:type="dxa"/>
          </w:tblCellMar>
        </w:tblPrEx>
        <w:trPr>
          <w:trHeight w:val="567" w:hRule="atLeast"/>
        </w:trPr>
        <w:tc>
          <w:tcPr>
            <w:tcW w:w="956" w:type="pct"/>
            <w:vMerge w:val="restart"/>
            <w:tcBorders>
              <w:top w:val="single" w:color="000000" w:sz="4" w:space="0"/>
              <w:left w:val="single" w:color="000000" w:sz="4" w:space="0"/>
              <w:right w:val="single" w:color="000000" w:sz="4" w:space="0"/>
            </w:tcBorders>
            <w:shd w:val="clear" w:color="auto" w:fill="auto"/>
            <w:vAlign w:val="center"/>
          </w:tcPr>
          <w:p w14:paraId="5168C305">
            <w:pPr>
              <w:spacing w:line="320" w:lineRule="exa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效益指标</w:t>
            </w:r>
          </w:p>
        </w:tc>
        <w:tc>
          <w:tcPr>
            <w:tcW w:w="10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A80FD">
            <w:pPr>
              <w:spacing w:line="320" w:lineRule="exa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社会效益</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D94D0">
            <w:pPr>
              <w:spacing w:line="320" w:lineRule="exact"/>
              <w:jc w:val="left"/>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sz w:val="20"/>
                <w:szCs w:val="20"/>
                <w:highlight w:val="none"/>
                <w:lang w:val="en-US" w:eastAsia="zh-CN"/>
              </w:rPr>
              <w:t>保障人民法院日常办公需求有效性</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76043">
            <w:pPr>
              <w:spacing w:line="320" w:lineRule="exact"/>
              <w:jc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sz w:val="20"/>
                <w:szCs w:val="20"/>
                <w:highlight w:val="none"/>
                <w:lang w:val="en-US" w:eastAsia="zh-CN"/>
              </w:rPr>
              <w:t>有效</w:t>
            </w:r>
          </w:p>
        </w:tc>
      </w:tr>
      <w:tr w14:paraId="0F5F3B61">
        <w:tblPrEx>
          <w:tblCellMar>
            <w:top w:w="0" w:type="dxa"/>
            <w:left w:w="108" w:type="dxa"/>
            <w:bottom w:w="0" w:type="dxa"/>
            <w:right w:w="108" w:type="dxa"/>
          </w:tblCellMar>
        </w:tblPrEx>
        <w:trPr>
          <w:trHeight w:val="567" w:hRule="atLeast"/>
        </w:trPr>
        <w:tc>
          <w:tcPr>
            <w:tcW w:w="956" w:type="pct"/>
            <w:vMerge w:val="continue"/>
            <w:tcBorders>
              <w:left w:val="single" w:color="000000" w:sz="4" w:space="0"/>
              <w:bottom w:val="single" w:color="000000" w:sz="4" w:space="0"/>
              <w:right w:val="single" w:color="000000" w:sz="4" w:space="0"/>
            </w:tcBorders>
            <w:shd w:val="clear" w:color="auto" w:fill="auto"/>
            <w:vAlign w:val="center"/>
          </w:tcPr>
          <w:p w14:paraId="1BD9421D">
            <w:pPr>
              <w:tabs>
                <w:tab w:val="left" w:pos="104"/>
              </w:tabs>
              <w:spacing w:line="320" w:lineRule="exact"/>
              <w:jc w:val="center"/>
              <w:rPr>
                <w:rFonts w:hint="eastAsia" w:ascii="宋体" w:hAnsi="宋体" w:eastAsia="宋体" w:cs="宋体"/>
                <w:sz w:val="20"/>
                <w:szCs w:val="20"/>
                <w:highlight w:val="none"/>
              </w:rPr>
            </w:pPr>
          </w:p>
        </w:tc>
        <w:tc>
          <w:tcPr>
            <w:tcW w:w="10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06277">
            <w:pPr>
              <w:tabs>
                <w:tab w:val="left" w:pos="104"/>
              </w:tabs>
              <w:spacing w:line="320" w:lineRule="exact"/>
              <w:jc w:val="center"/>
              <w:rPr>
                <w:rFonts w:hint="default"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服务对象满意度指标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02FBD1">
            <w:pPr>
              <w:tabs>
                <w:tab w:val="left" w:pos="104"/>
              </w:tabs>
              <w:spacing w:line="320" w:lineRule="exact"/>
              <w:jc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sz w:val="20"/>
                <w:szCs w:val="20"/>
                <w:highlight w:val="none"/>
              </w:rPr>
              <w:t>工作人员满意度</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9E50E">
            <w:pPr>
              <w:tabs>
                <w:tab w:val="left" w:pos="104"/>
              </w:tabs>
              <w:spacing w:line="320" w:lineRule="exact"/>
              <w:jc w:val="center"/>
              <w:rPr>
                <w:rFonts w:hint="eastAsia" w:ascii="宋体" w:hAnsi="宋体" w:eastAsia="宋体" w:cs="宋体"/>
                <w:i w:val="0"/>
                <w:color w:val="000000"/>
                <w:kern w:val="0"/>
                <w:sz w:val="20"/>
                <w:szCs w:val="20"/>
                <w:highlight w:val="none"/>
                <w:u w:val="none"/>
                <w:lang w:val="en-US" w:eastAsia="zh-CN" w:bidi="ar"/>
              </w:rPr>
            </w:pPr>
            <w:r>
              <w:rPr>
                <w:rFonts w:hint="eastAsia" w:ascii="宋体" w:hAnsi="宋体" w:eastAsia="宋体" w:cs="宋体"/>
                <w:sz w:val="20"/>
                <w:szCs w:val="20"/>
                <w:highlight w:val="none"/>
              </w:rPr>
              <w:t>≥90%</w:t>
            </w:r>
          </w:p>
        </w:tc>
      </w:tr>
    </w:tbl>
    <w:p w14:paraId="45ED06B5">
      <w:pPr>
        <w:pStyle w:val="9"/>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outlineLvl w:val="0"/>
        <w:rPr>
          <w:rFonts w:ascii="黑体" w:eastAsia="黑体"/>
          <w:b w:val="0"/>
          <w:bCs w:val="0"/>
          <w:highlight w:val="none"/>
        </w:rPr>
      </w:pPr>
      <w:bookmarkStart w:id="83" w:name="_Toc140"/>
      <w:r>
        <w:rPr>
          <w:rFonts w:hint="eastAsia" w:ascii="黑体" w:eastAsia="黑体"/>
          <w:b w:val="0"/>
          <w:bCs w:val="0"/>
          <w:highlight w:val="none"/>
        </w:rPr>
        <w:t>三、评价基本情况</w:t>
      </w:r>
      <w:bookmarkEnd w:id="81"/>
      <w:bookmarkEnd w:id="82"/>
      <w:bookmarkEnd w:id="83"/>
    </w:p>
    <w:p w14:paraId="7F7FDE9A">
      <w:pPr>
        <w:pStyle w:val="9"/>
        <w:keepNext w:val="0"/>
        <w:keepLines w:val="0"/>
        <w:pageBreakBefore w:val="0"/>
        <w:widowControl w:val="0"/>
        <w:kinsoku/>
        <w:wordWrap/>
        <w:overflowPunct w:val="0"/>
        <w:topLinePunct w:val="0"/>
        <w:autoSpaceDE/>
        <w:autoSpaceDN/>
        <w:bidi w:val="0"/>
        <w:adjustRightInd/>
        <w:snapToGrid/>
        <w:spacing w:line="600" w:lineRule="exact"/>
        <w:ind w:firstLine="643" w:firstLineChars="200"/>
        <w:textAlignment w:val="auto"/>
        <w:outlineLvl w:val="1"/>
        <w:rPr>
          <w:rFonts w:ascii="楷体" w:hAnsi="楷体" w:eastAsia="楷体" w:cs="楷体"/>
          <w:b/>
          <w:bCs/>
          <w:highlight w:val="none"/>
        </w:rPr>
      </w:pPr>
      <w:bookmarkStart w:id="84" w:name="_Toc23904"/>
      <w:bookmarkStart w:id="85" w:name="_Toc5301"/>
      <w:r>
        <w:rPr>
          <w:rFonts w:hint="eastAsia" w:ascii="楷体" w:hAnsi="楷体" w:eastAsia="楷体" w:cs="楷体"/>
          <w:b/>
          <w:bCs/>
          <w:highlight w:val="none"/>
        </w:rPr>
        <w:t>（一）评价目的</w:t>
      </w:r>
      <w:bookmarkEnd w:id="84"/>
      <w:bookmarkEnd w:id="85"/>
    </w:p>
    <w:p w14:paraId="09A2E882">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本次绩效评价工作，</w:t>
      </w:r>
      <w:r>
        <w:rPr>
          <w:rFonts w:hint="eastAsia" w:ascii="仿宋_GB2312" w:hAnsi="仿宋_GB2312" w:eastAsia="仿宋_GB2312" w:cs="仿宋_GB2312"/>
          <w:highlight w:val="none"/>
        </w:rPr>
        <w:t>通过运用规范的绩效评价指标体系和科学的绩效评价方法，全面</w:t>
      </w:r>
      <w:r>
        <w:rPr>
          <w:rFonts w:hint="eastAsia" w:ascii="仿宋_GB2312" w:hAnsi="仿宋_GB2312" w:cs="仿宋_GB2312"/>
          <w:highlight w:val="none"/>
          <w:lang w:eastAsia="zh-CN"/>
        </w:rPr>
        <w:t>客观地评价</w:t>
      </w:r>
      <w:r>
        <w:rPr>
          <w:rFonts w:hint="eastAsia" w:ascii="仿宋_GB2312" w:hAnsi="仿宋_GB2312" w:cs="仿宋_GB2312"/>
          <w:highlight w:val="none"/>
          <w:lang w:val="en-US" w:eastAsia="zh-CN"/>
        </w:rPr>
        <w:t>设备购置</w:t>
      </w:r>
      <w:r>
        <w:rPr>
          <w:rFonts w:hint="eastAsia" w:ascii="仿宋_GB2312" w:hAnsi="仿宋_GB2312" w:eastAsia="仿宋_GB2312" w:cs="仿宋_GB2312"/>
          <w:highlight w:val="none"/>
        </w:rPr>
        <w:t>费项目资金的执行情况、资金使用情况，对项目的绩效情况进行综合分析，与预期绩效目标进行对比，总结</w:t>
      </w:r>
      <w:r>
        <w:rPr>
          <w:rFonts w:hint="eastAsia" w:ascii="仿宋_GB2312" w:hAnsi="仿宋_GB2312" w:cs="仿宋_GB2312"/>
          <w:highlight w:val="none"/>
          <w:lang w:val="en-US" w:eastAsia="zh-CN"/>
        </w:rPr>
        <w:t>设备购置</w:t>
      </w:r>
      <w:r>
        <w:rPr>
          <w:rFonts w:hint="eastAsia" w:ascii="仿宋_GB2312" w:hAnsi="仿宋_GB2312" w:eastAsia="仿宋_GB2312" w:cs="仿宋_GB2312"/>
          <w:highlight w:val="none"/>
        </w:rPr>
        <w:t>费</w:t>
      </w:r>
      <w:r>
        <w:rPr>
          <w:rFonts w:hint="eastAsia" w:ascii="仿宋_GB2312" w:hAnsi="仿宋_GB2312" w:cs="仿宋_GB2312"/>
          <w:highlight w:val="none"/>
          <w:lang w:val="en-US" w:eastAsia="zh-CN"/>
        </w:rPr>
        <w:t>项目</w:t>
      </w:r>
      <w:r>
        <w:rPr>
          <w:rFonts w:hint="eastAsia" w:ascii="仿宋_GB2312" w:hAnsi="仿宋_GB2312" w:eastAsia="仿宋_GB2312" w:cs="仿宋_GB2312"/>
          <w:highlight w:val="none"/>
        </w:rPr>
        <w:t>实施的成果与经验，揭示存在的问题与不足，在此基础上进一步优化资金使用、完善项目管理，为下一步的预算安排提供参考，不断提高资金的使用效益。</w:t>
      </w:r>
    </w:p>
    <w:p w14:paraId="7559B0BA">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rPr>
        <w:t>本次绩效评价的侧重点和切入点</w:t>
      </w:r>
      <w:r>
        <w:rPr>
          <w:rFonts w:hint="eastAsia" w:ascii="仿宋_GB2312" w:hAnsi="仿宋_GB2312" w:cs="仿宋_GB2312"/>
          <w:highlight w:val="none"/>
          <w:lang w:eastAsia="zh-CN"/>
        </w:rPr>
        <w:t>：</w:t>
      </w:r>
    </w:p>
    <w:p w14:paraId="0C1CDE94">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w:t>
      </w:r>
      <w:r>
        <w:rPr>
          <w:rFonts w:hint="eastAsia" w:ascii="仿宋_GB2312" w:hAnsi="仿宋_GB2312" w:eastAsia="仿宋_GB2312" w:cs="仿宋_GB2312"/>
          <w:highlight w:val="none"/>
        </w:rPr>
        <w:t>重点关注项目资金使用管理以及保障项目预期绩效目标实现的相关措施</w:t>
      </w:r>
      <w:r>
        <w:rPr>
          <w:rFonts w:hint="eastAsia" w:ascii="仿宋_GB2312" w:hAnsi="仿宋_GB2312" w:cs="仿宋_GB2312"/>
          <w:highlight w:val="none"/>
          <w:lang w:eastAsia="zh-CN"/>
        </w:rPr>
        <w:t>；</w:t>
      </w:r>
    </w:p>
    <w:p w14:paraId="49E85D26">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2.</w:t>
      </w:r>
      <w:r>
        <w:rPr>
          <w:rFonts w:hint="eastAsia" w:ascii="仿宋_GB2312" w:hAnsi="仿宋_GB2312" w:eastAsia="仿宋_GB2312" w:cs="仿宋_GB2312"/>
          <w:highlight w:val="none"/>
        </w:rPr>
        <w:t>重点关注采购流程规范性、资金使用合规性、项目合同管理的有效性以及通过项目的实施为法院带来的产出与效益。</w:t>
      </w:r>
    </w:p>
    <w:p w14:paraId="5F7B32C0">
      <w:pPr>
        <w:pStyle w:val="9"/>
        <w:overflowPunct w:val="0"/>
        <w:spacing w:line="560" w:lineRule="exact"/>
        <w:ind w:firstLine="643" w:firstLineChars="200"/>
        <w:outlineLvl w:val="1"/>
        <w:rPr>
          <w:rFonts w:ascii="楷体" w:hAnsi="楷体" w:eastAsia="楷体" w:cs="楷体"/>
          <w:b/>
          <w:bCs/>
          <w:highlight w:val="none"/>
        </w:rPr>
      </w:pPr>
      <w:bookmarkStart w:id="86" w:name="_Toc2071"/>
      <w:bookmarkStart w:id="87" w:name="_Toc13038"/>
      <w:r>
        <w:rPr>
          <w:rFonts w:hint="eastAsia" w:ascii="楷体" w:hAnsi="楷体" w:eastAsia="楷体" w:cs="楷体"/>
          <w:b/>
          <w:bCs/>
          <w:highlight w:val="none"/>
        </w:rPr>
        <w:t>（二）评价对象与范围</w:t>
      </w:r>
      <w:bookmarkEnd w:id="86"/>
      <w:bookmarkEnd w:id="87"/>
    </w:p>
    <w:p w14:paraId="7BF98C65">
      <w:pPr>
        <w:pStyle w:val="9"/>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本次评价对象为</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2023年绩效评价重点项目</w:t>
      </w:r>
      <w:r>
        <w:rPr>
          <w:rFonts w:hint="eastAsia" w:ascii="仿宋_GB2312" w:hAnsi="仿宋_GB2312" w:cs="仿宋_GB2312"/>
          <w:highlight w:val="none"/>
          <w:lang w:val="en-US" w:eastAsia="zh-CN"/>
        </w:rPr>
        <w:t>-设备购置费</w:t>
      </w:r>
      <w:r>
        <w:rPr>
          <w:rFonts w:hint="eastAsia" w:ascii="仿宋_GB2312" w:hAnsi="仿宋_GB2312" w:cs="仿宋_GB2312"/>
          <w:highlight w:val="none"/>
        </w:rPr>
        <w:t>。</w:t>
      </w:r>
    </w:p>
    <w:p w14:paraId="7111FEE9">
      <w:pPr>
        <w:pStyle w:val="9"/>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评价范围为</w:t>
      </w:r>
      <w:r>
        <w:rPr>
          <w:rFonts w:hint="eastAsia" w:ascii="仿宋_GB2312" w:hAnsi="仿宋_GB2312" w:cs="仿宋_GB2312"/>
          <w:highlight w:val="none"/>
          <w:lang w:val="en-US" w:eastAsia="zh-CN"/>
        </w:rPr>
        <w:t>设备购置费</w:t>
      </w:r>
      <w:r>
        <w:rPr>
          <w:rFonts w:hint="eastAsia" w:ascii="仿宋_GB2312" w:hAnsi="仿宋_GB2312" w:cs="仿宋_GB2312"/>
          <w:highlight w:val="none"/>
        </w:rPr>
        <w:t>项目</w:t>
      </w:r>
      <w:r>
        <w:rPr>
          <w:rFonts w:hint="eastAsia" w:ascii="仿宋_GB2312" w:hAnsi="仿宋_GB2312" w:cs="仿宋_GB2312"/>
          <w:highlight w:val="none"/>
          <w:lang w:val="en-US" w:eastAsia="zh-CN"/>
        </w:rPr>
        <w:t>全年</w:t>
      </w:r>
      <w:r>
        <w:rPr>
          <w:rFonts w:hint="eastAsia" w:ascii="仿宋_GB2312" w:hAnsi="仿宋_GB2312" w:cs="仿宋_GB2312"/>
          <w:highlight w:val="none"/>
        </w:rPr>
        <w:t>预算资金</w:t>
      </w:r>
      <w:r>
        <w:rPr>
          <w:rFonts w:hint="eastAsia" w:ascii="仿宋_GB2312" w:hAnsi="仿宋_GB2312" w:cs="仿宋_GB2312"/>
          <w:highlight w:val="none"/>
          <w:lang w:val="en-US" w:eastAsia="zh-CN"/>
        </w:rPr>
        <w:t>278.20</w:t>
      </w:r>
      <w:r>
        <w:rPr>
          <w:rFonts w:hint="eastAsia" w:ascii="仿宋_GB2312" w:hAnsi="仿宋_GB2312" w:cs="仿宋_GB2312"/>
          <w:highlight w:val="none"/>
        </w:rPr>
        <w:t>万元的资金使用和项目实施效益情况，评价基准日为2023年12月31日。</w:t>
      </w:r>
    </w:p>
    <w:p w14:paraId="3818EFA7">
      <w:pPr>
        <w:pStyle w:val="9"/>
        <w:overflowPunct w:val="0"/>
        <w:spacing w:line="560" w:lineRule="exact"/>
        <w:ind w:firstLine="643" w:firstLineChars="200"/>
        <w:outlineLvl w:val="1"/>
        <w:rPr>
          <w:rFonts w:ascii="楷体" w:hAnsi="楷体" w:eastAsia="楷体" w:cs="楷体"/>
          <w:b/>
          <w:bCs/>
          <w:highlight w:val="none"/>
        </w:rPr>
      </w:pPr>
      <w:bookmarkStart w:id="88" w:name="_Toc29721"/>
      <w:bookmarkStart w:id="89" w:name="_Toc17041"/>
      <w:r>
        <w:rPr>
          <w:rFonts w:hint="eastAsia" w:ascii="楷体" w:hAnsi="楷体" w:eastAsia="楷体" w:cs="楷体"/>
          <w:b/>
          <w:bCs/>
          <w:highlight w:val="none"/>
        </w:rPr>
        <w:t>（三）评价依据</w:t>
      </w:r>
      <w:bookmarkEnd w:id="88"/>
      <w:bookmarkEnd w:id="89"/>
    </w:p>
    <w:p w14:paraId="110C16B1">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bookmarkStart w:id="90" w:name="_Toc17840"/>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rPr>
        <w:t>《中华人民共和国预算法》；</w:t>
      </w:r>
    </w:p>
    <w:p w14:paraId="01CC4CE6">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2.《中华人民共和国预算法实施条例》；</w:t>
      </w:r>
    </w:p>
    <w:p w14:paraId="10C178C3">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3.《中共中央 国务院关于全面实施预算绩效管理的意见》（中发〔2018〕34号）</w:t>
      </w:r>
      <w:r>
        <w:rPr>
          <w:rFonts w:hint="eastAsia" w:ascii="仿宋_GB2312" w:hAnsi="仿宋_GB2312" w:cs="仿宋_GB2312"/>
          <w:highlight w:val="none"/>
          <w:lang w:val="en-US" w:eastAsia="zh-CN"/>
        </w:rPr>
        <w:t>；</w:t>
      </w:r>
    </w:p>
    <w:p w14:paraId="0828467E">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4.</w:t>
      </w:r>
      <w:r>
        <w:rPr>
          <w:rFonts w:hint="eastAsia" w:ascii="仿宋_GB2312" w:hAnsi="仿宋_GB2312" w:eastAsia="仿宋_GB2312" w:cs="仿宋_GB2312"/>
          <w:highlight w:val="none"/>
        </w:rPr>
        <w:t>《财政部关于印发〈项目支出绩效评价管理办法〉的通知》（财预〔2021〕10号）；</w:t>
      </w:r>
    </w:p>
    <w:p w14:paraId="6CFE3791">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5.财政部《关于委托第三方机构参与预算绩效管理的指导意见》（财预〔2021〕6号）；</w:t>
      </w:r>
    </w:p>
    <w:p w14:paraId="6BE29A3F">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6.财政部关于印发《第三方机构预算绩效评价业务监督管理暂行办法》的通知（财监〔2021〕4号）</w:t>
      </w:r>
      <w:r>
        <w:rPr>
          <w:rFonts w:hint="eastAsia" w:ascii="仿宋_GB2312" w:hAnsi="仿宋_GB2312" w:cs="仿宋_GB2312"/>
          <w:highlight w:val="none"/>
          <w:lang w:val="en-US" w:eastAsia="zh-CN"/>
        </w:rPr>
        <w:t>；</w:t>
      </w:r>
    </w:p>
    <w:p w14:paraId="3CD7ACF5">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7.</w:t>
      </w:r>
      <w:r>
        <w:rPr>
          <w:rFonts w:hint="eastAsia" w:ascii="仿宋_GB2312" w:hAnsi="仿宋_GB2312" w:eastAsia="仿宋_GB2312" w:cs="仿宋_GB2312"/>
          <w:highlight w:val="none"/>
        </w:rPr>
        <w:t>《中共甘肃省委 甘肃省人民政府关于全面实施预算绩效管理的实施意见》（甘发〔2018〕32号）；</w:t>
      </w:r>
    </w:p>
    <w:p w14:paraId="6DAF25EC">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8.</w:t>
      </w:r>
      <w:r>
        <w:rPr>
          <w:rFonts w:hint="eastAsia" w:ascii="仿宋_GB2312" w:hAnsi="仿宋_GB2312" w:eastAsia="仿宋_GB2312" w:cs="仿宋_GB2312"/>
          <w:highlight w:val="none"/>
        </w:rPr>
        <w:t>甘肃省财政厅关于印发《甘肃省省级预算绩效管理办法》等6个办法和规程的通知（甘财绩〔2020〕5号）；</w:t>
      </w:r>
    </w:p>
    <w:p w14:paraId="614C754D">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9</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《甘肃省省级项目支出绩效部门评价和财政评价工作规程》（甘财绩〔2021〕5号）；</w:t>
      </w:r>
    </w:p>
    <w:p w14:paraId="209BCE68">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10</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甘肃省高级人民法院</w:t>
      </w:r>
      <w:r>
        <w:rPr>
          <w:rFonts w:hint="eastAsia" w:ascii="仿宋_GB2312" w:hAnsi="仿宋_GB2312" w:eastAsia="仿宋_GB2312" w:cs="仿宋_GB2312"/>
          <w:highlight w:val="none"/>
        </w:rPr>
        <w:t>职责相关规定；</w:t>
      </w:r>
    </w:p>
    <w:p w14:paraId="30184107">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11</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行业相关政策、行业标准及专业技术规范；</w:t>
      </w:r>
    </w:p>
    <w:p w14:paraId="5667AD2D">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12</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eastAsia="zh-CN"/>
        </w:rPr>
        <w:t>被评价单位提供的立项背景、实施方案、预算批复相关文件、绩效目标、自评价相关资料、财政资金拨付凭证、工程全过程资料和项目实施效果等资料</w:t>
      </w:r>
      <w:r>
        <w:rPr>
          <w:rFonts w:hint="eastAsia" w:ascii="仿宋_GB2312" w:hAnsi="仿宋_GB2312" w:eastAsia="仿宋_GB2312" w:cs="仿宋_GB2312"/>
          <w:highlight w:val="none"/>
        </w:rPr>
        <w:t>；</w:t>
      </w:r>
    </w:p>
    <w:p w14:paraId="4FE478E6">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cs="仿宋_GB2312"/>
          <w:highlight w:val="none"/>
          <w:lang w:val="en-US" w:eastAsia="zh-CN"/>
        </w:rPr>
        <w:t>13</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本级人大审查结果报告、审计报告及决定，财政监督稽核报告等；</w:t>
      </w:r>
    </w:p>
    <w:p w14:paraId="462FACD4">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1</w:t>
      </w:r>
      <w:r>
        <w:rPr>
          <w:rFonts w:hint="eastAsia" w:ascii="仿宋_GB2312" w:hAnsi="仿宋_GB2312" w:cs="仿宋_GB2312"/>
          <w:highlight w:val="none"/>
          <w:lang w:val="en-US" w:eastAsia="zh-CN"/>
        </w:rPr>
        <w:t>4</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rPr>
        <w:t>评价组收集、调研、访谈、问卷调查获取的</w:t>
      </w:r>
      <w:r>
        <w:rPr>
          <w:rFonts w:hint="eastAsia" w:ascii="仿宋_GB2312" w:hAnsi="仿宋_GB2312" w:cs="仿宋_GB2312"/>
          <w:highlight w:val="none"/>
          <w:lang w:val="en-US" w:eastAsia="zh-CN"/>
        </w:rPr>
        <w:t>其他</w:t>
      </w:r>
      <w:r>
        <w:rPr>
          <w:rFonts w:hint="eastAsia" w:ascii="仿宋_GB2312" w:hAnsi="仿宋_GB2312" w:eastAsia="仿宋_GB2312" w:cs="仿宋_GB2312"/>
          <w:highlight w:val="none"/>
        </w:rPr>
        <w:t>相关资料。</w:t>
      </w:r>
    </w:p>
    <w:p w14:paraId="39510830">
      <w:pPr>
        <w:pStyle w:val="9"/>
        <w:overflowPunct w:val="0"/>
        <w:spacing w:line="560" w:lineRule="exact"/>
        <w:ind w:firstLine="643" w:firstLineChars="200"/>
        <w:outlineLvl w:val="1"/>
        <w:rPr>
          <w:rFonts w:ascii="楷体" w:hAnsi="楷体" w:eastAsia="楷体" w:cs="楷体"/>
          <w:b/>
          <w:bCs/>
          <w:highlight w:val="none"/>
        </w:rPr>
      </w:pPr>
      <w:bookmarkStart w:id="91" w:name="_Toc6469"/>
      <w:r>
        <w:rPr>
          <w:rFonts w:hint="eastAsia" w:ascii="楷体" w:hAnsi="楷体" w:eastAsia="楷体" w:cs="楷体"/>
          <w:b/>
          <w:bCs/>
          <w:highlight w:val="none"/>
        </w:rPr>
        <w:t>（四）评价原则、评价方法</w:t>
      </w:r>
      <w:bookmarkEnd w:id="90"/>
      <w:bookmarkEnd w:id="91"/>
    </w:p>
    <w:p w14:paraId="7D6FA188">
      <w:pPr>
        <w:overflowPunct w:val="0"/>
        <w:spacing w:line="560" w:lineRule="exact"/>
        <w:ind w:firstLine="643" w:firstLineChars="200"/>
        <w:outlineLvl w:val="2"/>
        <w:rPr>
          <w:rFonts w:ascii="仿宋_GB2312" w:hAnsi="仿宋_GB2312" w:eastAsia="仿宋_GB2312" w:cs="仿宋_GB2312"/>
          <w:b/>
          <w:sz w:val="32"/>
          <w:szCs w:val="32"/>
          <w:highlight w:val="none"/>
        </w:rPr>
      </w:pPr>
      <w:bookmarkStart w:id="92" w:name="_Toc9511"/>
      <w:bookmarkStart w:id="93" w:name="_Toc32216"/>
      <w:bookmarkStart w:id="94" w:name="_Toc2871"/>
      <w:bookmarkStart w:id="95" w:name="_Toc25746"/>
      <w:bookmarkStart w:id="96" w:name="_Toc28403"/>
      <w:bookmarkStart w:id="97" w:name="_Toc3229"/>
      <w:bookmarkStart w:id="98" w:name="_Toc32314"/>
      <w:bookmarkStart w:id="99" w:name="_Toc7306"/>
      <w:bookmarkStart w:id="100" w:name="_Toc17493"/>
      <w:bookmarkStart w:id="101" w:name="_Toc5841"/>
      <w:bookmarkStart w:id="102" w:name="_Toc15543"/>
      <w:r>
        <w:rPr>
          <w:rStyle w:val="31"/>
          <w:rFonts w:hint="eastAsia" w:ascii="仿宋_GB2312" w:hAnsi="仿宋_GB2312" w:eastAsia="仿宋_GB2312" w:cs="仿宋_GB2312"/>
          <w:szCs w:val="32"/>
          <w:highlight w:val="none"/>
        </w:rPr>
        <w:t>1.评价原则</w:t>
      </w:r>
      <w:bookmarkEnd w:id="92"/>
      <w:bookmarkEnd w:id="93"/>
      <w:bookmarkEnd w:id="94"/>
      <w:bookmarkEnd w:id="95"/>
      <w:bookmarkEnd w:id="96"/>
      <w:bookmarkEnd w:id="97"/>
      <w:bookmarkEnd w:id="98"/>
      <w:bookmarkEnd w:id="99"/>
      <w:bookmarkEnd w:id="100"/>
      <w:bookmarkEnd w:id="101"/>
      <w:bookmarkEnd w:id="102"/>
    </w:p>
    <w:p w14:paraId="4F223B5D">
      <w:pPr>
        <w:overflowPunct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科学规范。严格执行规定的流程步骤，做到指标合理、标准科学、方法适当、结果可信，严格执行规定程序和工作流程，科学设定评价标准和指标体系，坚持定量与定性分析相结合，客观准确地反映财政资金绩效情况，提高全过程预算绩效管理质量。</w:t>
      </w:r>
    </w:p>
    <w:p w14:paraId="1B9DB87A">
      <w:pPr>
        <w:overflowPunct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（2）绩效相关。评价结果应当清晰反映绩效目标的</w:t>
      </w:r>
      <w:r>
        <w:rPr>
          <w:rFonts w:hint="eastAsia" w:ascii="仿宋_GB2312" w:hAnsi="仿宋_GB2312" w:eastAsia="仿宋_GB2312" w:cs="仿宋_GB2312"/>
          <w:sz w:val="32"/>
          <w:szCs w:val="32"/>
          <w:highlight w:val="none"/>
          <w:lang w:val="en-US" w:eastAsia="zh-CN"/>
        </w:rPr>
        <w:t>完成</w:t>
      </w:r>
      <w:r>
        <w:rPr>
          <w:rFonts w:hint="eastAsia" w:ascii="仿宋_GB2312" w:hAnsi="仿宋_GB2312" w:eastAsia="仿宋_GB2312" w:cs="仿宋_GB2312"/>
          <w:sz w:val="32"/>
          <w:szCs w:val="32"/>
          <w:highlight w:val="none"/>
        </w:rPr>
        <w:t>情况以及预算支出和绩效之间的对应关系。以绩效为核心导向，将事前绩效评估、绩效目标管理、绩效运行监控、绩效评价、评价结果反馈及应用深度融入预算管理的全过程，实现财政资金使用效益最大化。</w:t>
      </w:r>
    </w:p>
    <w:p w14:paraId="356F7F4A">
      <w:pPr>
        <w:overflowPunct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公开透明。评价结果应当符合真实、客观、公正的要求，依法依规公开并接受监督。预算绩效管理主体应按照政府信息公开有关规定，主动向同级人大报告、向社会公开相关绩效信息和评价结果，自觉接受各方监督，不断提高财政资金使用的透明度。</w:t>
      </w:r>
    </w:p>
    <w:p w14:paraId="7FAA8930">
      <w:pPr>
        <w:overflowPunct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激励约束。评价结果与项目的设立、保留、整合、调整和退出相挂钩，作为完善政策、改进管理、安排预算的重要依据。建立健全预算绩效管理激励约束机制，体现奖优罚劣和激励相容导向，切实做到花钱必问效、无效必问责。</w:t>
      </w:r>
    </w:p>
    <w:p w14:paraId="3CCE18E4">
      <w:pPr>
        <w:overflowPunct w:val="0"/>
        <w:spacing w:line="560" w:lineRule="exact"/>
        <w:ind w:firstLine="643" w:firstLineChars="200"/>
        <w:outlineLvl w:val="2"/>
        <w:rPr>
          <w:rStyle w:val="31"/>
          <w:rFonts w:ascii="仿宋_GB2312" w:hAnsi="仿宋_GB2312" w:eastAsia="仿宋_GB2312" w:cs="仿宋_GB2312"/>
          <w:szCs w:val="32"/>
          <w:highlight w:val="none"/>
        </w:rPr>
      </w:pPr>
      <w:bookmarkStart w:id="103" w:name="_Toc15034"/>
      <w:bookmarkStart w:id="104" w:name="_Toc12036"/>
      <w:bookmarkStart w:id="105" w:name="_Toc15552"/>
      <w:bookmarkStart w:id="106" w:name="_Toc11918"/>
      <w:bookmarkStart w:id="107" w:name="_Toc1839"/>
      <w:bookmarkStart w:id="108" w:name="_Toc15129"/>
      <w:bookmarkStart w:id="109" w:name="_Toc7156"/>
      <w:bookmarkStart w:id="110" w:name="_Toc12173"/>
      <w:bookmarkStart w:id="111" w:name="_Toc1742"/>
      <w:bookmarkStart w:id="112" w:name="_Toc24950"/>
      <w:r>
        <w:rPr>
          <w:rStyle w:val="31"/>
          <w:rFonts w:hint="eastAsia" w:ascii="仿宋_GB2312" w:hAnsi="仿宋_GB2312" w:eastAsia="仿宋_GB2312" w:cs="仿宋_GB2312"/>
          <w:szCs w:val="32"/>
          <w:highlight w:val="none"/>
        </w:rPr>
        <w:t>2.评价方法</w:t>
      </w:r>
      <w:bookmarkEnd w:id="103"/>
    </w:p>
    <w:bookmarkEnd w:id="104"/>
    <w:bookmarkEnd w:id="105"/>
    <w:bookmarkEnd w:id="106"/>
    <w:bookmarkEnd w:id="107"/>
    <w:bookmarkEnd w:id="108"/>
    <w:bookmarkEnd w:id="109"/>
    <w:bookmarkEnd w:id="110"/>
    <w:bookmarkEnd w:id="111"/>
    <w:bookmarkEnd w:id="112"/>
    <w:p w14:paraId="7F03B210">
      <w:pPr>
        <w:overflowPunct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次绩效评价按照规范、科学、合理的要求，采用定量和定性分析相结合，第三方评价机构现场核实、资料评审相结合，综合运用比较法、因素分析法和公众评判法等方法进行评价，对项目预算执行情况的经济性、效率性、效益性进行客观公正</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rPr>
        <w:t>分析评价，确保评价结论公正客观，评价意见有效可用。</w:t>
      </w:r>
    </w:p>
    <w:p w14:paraId="7CDBAB92">
      <w:pPr>
        <w:overflowPunct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（1）比较法。是指通过对绩效目标与实际实施效果的对比，综合分析绩效目标实现程度。</w:t>
      </w:r>
    </w:p>
    <w:p w14:paraId="46F06C4E">
      <w:pPr>
        <w:pStyle w:val="12"/>
        <w:overflowPunct w:val="0"/>
        <w:spacing w:after="0" w:line="560" w:lineRule="exact"/>
        <w:ind w:left="0" w:leftChars="0"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（2）因素分析法。将影响投入和产出</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各项因素罗列出来进行分析，通过不同因素的权重评比，进行综合评分，最终确定项目的效率性和效益性。</w:t>
      </w:r>
    </w:p>
    <w:p w14:paraId="71EE645E">
      <w:pPr>
        <w:overflowPunct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kern w:val="0"/>
          <w:sz w:val="32"/>
          <w:szCs w:val="32"/>
          <w:highlight w:val="none"/>
          <w:lang w:bidi="ar"/>
        </w:rPr>
        <w:t>公众评判</w:t>
      </w:r>
      <w:r>
        <w:rPr>
          <w:rFonts w:hint="eastAsia" w:ascii="仿宋_GB2312" w:hAnsi="仿宋_GB2312" w:eastAsia="仿宋_GB2312" w:cs="仿宋_GB2312"/>
          <w:sz w:val="32"/>
          <w:szCs w:val="32"/>
          <w:highlight w:val="none"/>
        </w:rPr>
        <w:t>法。是指通过专家评估、公众问卷对财政支出效果进行评判，评价绩效目标实现程度。</w:t>
      </w:r>
    </w:p>
    <w:p w14:paraId="71F94CAE">
      <w:pPr>
        <w:overflowPunct w:val="0"/>
        <w:spacing w:line="560" w:lineRule="exact"/>
        <w:ind w:firstLine="640" w:firstLineChars="200"/>
        <w:rPr>
          <w:rFonts w:ascii="仿宋_GB2312" w:hAnsi="仿宋_GB2312" w:eastAsia="仿宋_GB2312" w:cs="仿宋_GB2312"/>
          <w:kern w:val="0"/>
          <w:sz w:val="32"/>
          <w:szCs w:val="32"/>
          <w:highlight w:val="none"/>
          <w:lang w:bidi="ar"/>
        </w:rPr>
      </w:pPr>
      <w:r>
        <w:rPr>
          <w:rFonts w:hint="eastAsia" w:ascii="仿宋_GB2312" w:hAnsi="仿宋_GB2312" w:eastAsia="仿宋_GB2312" w:cs="仿宋_GB2312"/>
          <w:kern w:val="0"/>
          <w:sz w:val="32"/>
          <w:szCs w:val="32"/>
          <w:highlight w:val="none"/>
          <w:lang w:bidi="ar"/>
        </w:rPr>
        <w:t>（4）成本效益分析法。是将投入与产出、效益进行关联性分析的方法。</w:t>
      </w:r>
    </w:p>
    <w:p w14:paraId="10B39FBB">
      <w:pPr>
        <w:overflowPunct w:val="0"/>
        <w:spacing w:line="560" w:lineRule="exact"/>
        <w:ind w:firstLine="640" w:firstLineChars="200"/>
        <w:rPr>
          <w:rFonts w:ascii="仿宋_GB2312" w:hAnsi="仿宋_GB2312" w:eastAsia="仿宋_GB2312" w:cs="仿宋_GB2312"/>
          <w:kern w:val="0"/>
          <w:sz w:val="32"/>
          <w:szCs w:val="32"/>
          <w:highlight w:val="none"/>
          <w:lang w:bidi="ar"/>
        </w:rPr>
      </w:pPr>
      <w:r>
        <w:rPr>
          <w:rFonts w:hint="eastAsia" w:ascii="仿宋_GB2312" w:hAnsi="仿宋_GB2312" w:eastAsia="仿宋_GB2312" w:cs="仿宋_GB2312"/>
          <w:kern w:val="0"/>
          <w:sz w:val="32"/>
          <w:szCs w:val="32"/>
          <w:highlight w:val="none"/>
          <w:lang w:bidi="ar"/>
        </w:rPr>
        <w:t>（5）访谈法。评价小组现场访谈相关专业人员，根据被询问者的答复收集客观的、不带偏见的事实材料。</w:t>
      </w:r>
    </w:p>
    <w:p w14:paraId="47482460">
      <w:pPr>
        <w:pStyle w:val="9"/>
        <w:overflowPunct w:val="0"/>
        <w:spacing w:line="560" w:lineRule="exact"/>
        <w:ind w:firstLine="643" w:firstLineChars="200"/>
        <w:outlineLvl w:val="1"/>
        <w:rPr>
          <w:rFonts w:ascii="楷体" w:hAnsi="楷体" w:eastAsia="楷体" w:cs="楷体"/>
          <w:b/>
          <w:bCs/>
          <w:highlight w:val="none"/>
        </w:rPr>
      </w:pPr>
      <w:bookmarkStart w:id="113" w:name="_Toc27091"/>
      <w:bookmarkStart w:id="114" w:name="_Toc4958"/>
      <w:r>
        <w:rPr>
          <w:rFonts w:hint="eastAsia" w:ascii="楷体" w:hAnsi="楷体" w:eastAsia="楷体" w:cs="楷体"/>
          <w:b/>
          <w:bCs/>
          <w:highlight w:val="none"/>
        </w:rPr>
        <w:t>（五）绩效评价指标体系</w:t>
      </w:r>
      <w:bookmarkEnd w:id="113"/>
      <w:bookmarkEnd w:id="114"/>
    </w:p>
    <w:p w14:paraId="2B749716">
      <w:pPr>
        <w:pStyle w:val="9"/>
        <w:tabs>
          <w:tab w:val="left" w:pos="510"/>
          <w:tab w:val="left" w:pos="675"/>
        </w:tabs>
        <w:overflowPunct w:val="0"/>
        <w:spacing w:line="560" w:lineRule="exact"/>
        <w:ind w:firstLine="643" w:firstLineChars="200"/>
        <w:rPr>
          <w:rFonts w:ascii="仿宋_GB2312" w:hAnsi="仿宋_GB2312" w:cs="仿宋_GB2312"/>
          <w:b/>
          <w:bCs/>
          <w:szCs w:val="28"/>
          <w:highlight w:val="none"/>
        </w:rPr>
      </w:pPr>
      <w:r>
        <w:rPr>
          <w:rFonts w:hint="eastAsia" w:ascii="仿宋_GB2312" w:hAnsi="仿宋_GB2312" w:cs="仿宋_GB2312"/>
          <w:b/>
          <w:bCs/>
          <w:szCs w:val="28"/>
          <w:highlight w:val="none"/>
        </w:rPr>
        <w:t>1.指标体系设计的总体思路</w:t>
      </w:r>
    </w:p>
    <w:p w14:paraId="3C26AF15">
      <w:pPr>
        <w:pStyle w:val="9"/>
        <w:tabs>
          <w:tab w:val="left" w:pos="510"/>
          <w:tab w:val="left" w:pos="675"/>
        </w:tabs>
        <w:overflowPunct w:val="0"/>
        <w:spacing w:line="560" w:lineRule="exact"/>
        <w:ind w:firstLine="640" w:firstLineChars="200"/>
        <w:rPr>
          <w:rFonts w:ascii="仿宋_GB2312" w:hAnsi="仿宋_GB2312" w:cs="仿宋_GB2312"/>
          <w:kern w:val="0"/>
          <w:highlight w:val="none"/>
          <w:lang w:bidi="ar"/>
        </w:rPr>
      </w:pPr>
      <w:r>
        <w:rPr>
          <w:rFonts w:hint="eastAsia" w:ascii="仿宋_GB2312" w:hAnsi="仿宋_GB2312" w:cs="仿宋_GB2312"/>
          <w:kern w:val="0"/>
          <w:highlight w:val="none"/>
          <w:lang w:bidi="ar"/>
        </w:rPr>
        <w:t>根据</w:t>
      </w:r>
      <w:r>
        <w:rPr>
          <w:rFonts w:hint="eastAsia" w:ascii="仿宋_GB2312" w:hAnsi="仿宋_GB2312" w:cs="仿宋_GB2312"/>
          <w:highlight w:val="none"/>
        </w:rPr>
        <w:t>《甘肃省省级项目支出绩效部门评价和财政评价工作规程》</w:t>
      </w:r>
      <w:r>
        <w:rPr>
          <w:rFonts w:hint="eastAsia" w:ascii="仿宋_GB2312" w:hAnsi="仿宋_GB2312" w:cs="仿宋_GB2312"/>
          <w:kern w:val="0"/>
          <w:highlight w:val="none"/>
          <w:lang w:bidi="ar"/>
        </w:rPr>
        <w:t>要求，从</w:t>
      </w:r>
      <w:r>
        <w:rPr>
          <w:rFonts w:hint="eastAsia" w:ascii="仿宋_GB2312" w:hAnsi="仿宋_GB2312" w:cs="仿宋_GB2312"/>
          <w:kern w:val="0"/>
          <w:highlight w:val="none"/>
          <w:lang w:val="en-US" w:eastAsia="zh-CN" w:bidi="ar"/>
        </w:rPr>
        <w:t>设备购置费</w:t>
      </w:r>
      <w:r>
        <w:rPr>
          <w:rFonts w:hint="eastAsia" w:ascii="仿宋_GB2312" w:hAnsi="仿宋_GB2312" w:cs="仿宋_GB2312"/>
          <w:kern w:val="0"/>
          <w:highlight w:val="none"/>
          <w:lang w:bidi="ar"/>
        </w:rPr>
        <w:t>项目预算、立项、批复、实施、资金申请、拨付以及使用是否遵守规定、是否真实、是否及时，以结果为导向，根据指标类型设定定性与定量标准，决策、过程、</w:t>
      </w:r>
      <w:r>
        <w:rPr>
          <w:rFonts w:hint="eastAsia" w:ascii="仿宋_GB2312" w:hAnsi="仿宋_GB2312" w:cs="仿宋_GB2312"/>
          <w:kern w:val="0"/>
          <w:highlight w:val="none"/>
          <w:lang w:val="en-US" w:eastAsia="zh-CN" w:bidi="ar"/>
        </w:rPr>
        <w:t>成本、</w:t>
      </w:r>
      <w:r>
        <w:rPr>
          <w:rFonts w:hint="eastAsia" w:ascii="仿宋_GB2312" w:hAnsi="仿宋_GB2312" w:cs="仿宋_GB2312"/>
          <w:kern w:val="0"/>
          <w:highlight w:val="none"/>
          <w:lang w:bidi="ar"/>
        </w:rPr>
        <w:t>产出、效益分配比例为</w:t>
      </w:r>
      <w:r>
        <w:rPr>
          <w:rFonts w:hint="eastAsia" w:ascii="仿宋_GB2312" w:hAnsi="仿宋_GB2312" w:cs="仿宋_GB2312"/>
          <w:kern w:val="0"/>
          <w:highlight w:val="none"/>
          <w:lang w:val="en-US" w:eastAsia="zh-CN" w:bidi="ar"/>
        </w:rPr>
        <w:t>20</w:t>
      </w:r>
      <w:r>
        <w:rPr>
          <w:rFonts w:hint="eastAsia" w:ascii="仿宋_GB2312" w:hAnsi="仿宋_GB2312" w:cs="仿宋_GB2312"/>
          <w:kern w:val="0"/>
          <w:highlight w:val="none"/>
          <w:lang w:bidi="ar"/>
        </w:rPr>
        <w:t>:</w:t>
      </w:r>
      <w:r>
        <w:rPr>
          <w:rFonts w:hint="eastAsia" w:ascii="仿宋_GB2312" w:hAnsi="仿宋_GB2312" w:cs="仿宋_GB2312"/>
          <w:kern w:val="0"/>
          <w:highlight w:val="none"/>
          <w:lang w:val="en-US" w:eastAsia="zh-CN" w:bidi="ar"/>
        </w:rPr>
        <w:t>20</w:t>
      </w:r>
      <w:r>
        <w:rPr>
          <w:rFonts w:hint="eastAsia" w:ascii="仿宋_GB2312" w:hAnsi="仿宋_GB2312" w:cs="仿宋_GB2312"/>
          <w:kern w:val="0"/>
          <w:highlight w:val="none"/>
          <w:lang w:bidi="ar"/>
        </w:rPr>
        <w:t>:</w:t>
      </w:r>
      <w:r>
        <w:rPr>
          <w:rFonts w:hint="eastAsia" w:ascii="仿宋_GB2312" w:hAnsi="仿宋_GB2312" w:cs="仿宋_GB2312"/>
          <w:kern w:val="0"/>
          <w:highlight w:val="none"/>
          <w:lang w:val="en-US" w:eastAsia="zh-CN" w:bidi="ar"/>
        </w:rPr>
        <w:t>10:30</w:t>
      </w:r>
      <w:r>
        <w:rPr>
          <w:rFonts w:hint="eastAsia" w:ascii="仿宋_GB2312" w:hAnsi="仿宋_GB2312" w:cs="仿宋_GB2312"/>
          <w:kern w:val="0"/>
          <w:highlight w:val="none"/>
          <w:lang w:bidi="ar"/>
        </w:rPr>
        <w:t>:</w:t>
      </w:r>
      <w:r>
        <w:rPr>
          <w:rFonts w:hint="eastAsia" w:ascii="仿宋_GB2312" w:hAnsi="仿宋_GB2312" w:cs="仿宋_GB2312"/>
          <w:kern w:val="0"/>
          <w:highlight w:val="none"/>
          <w:lang w:val="en-US" w:eastAsia="zh-CN" w:bidi="ar"/>
        </w:rPr>
        <w:t>20</w:t>
      </w:r>
      <w:r>
        <w:rPr>
          <w:rFonts w:hint="eastAsia" w:ascii="仿宋_GB2312" w:hAnsi="仿宋_GB2312" w:cs="仿宋_GB2312"/>
          <w:kern w:val="0"/>
          <w:highlight w:val="none"/>
          <w:lang w:bidi="ar"/>
        </w:rPr>
        <w:t>。本次评价侧重项目产出与效益方面，产出和效益指标权重</w:t>
      </w:r>
      <w:r>
        <w:rPr>
          <w:rFonts w:hint="eastAsia" w:ascii="仿宋_GB2312" w:hAnsi="仿宋_GB2312" w:cs="仿宋_GB2312"/>
          <w:kern w:val="0"/>
          <w:highlight w:val="none"/>
          <w:lang w:val="en-US" w:eastAsia="zh-CN" w:bidi="ar"/>
        </w:rPr>
        <w:t>占比</w:t>
      </w:r>
      <w:r>
        <w:rPr>
          <w:rFonts w:hint="eastAsia" w:ascii="仿宋_GB2312" w:hAnsi="仿宋_GB2312" w:cs="仿宋_GB2312"/>
          <w:kern w:val="0"/>
          <w:highlight w:val="none"/>
          <w:lang w:bidi="ar"/>
        </w:rPr>
        <w:t>为</w:t>
      </w:r>
      <w:r>
        <w:rPr>
          <w:rFonts w:hint="eastAsia" w:ascii="仿宋_GB2312" w:hAnsi="仿宋_GB2312" w:cs="仿宋_GB2312"/>
          <w:kern w:val="0"/>
          <w:highlight w:val="none"/>
          <w:lang w:val="en-US" w:eastAsia="zh-CN" w:bidi="ar"/>
        </w:rPr>
        <w:t>50</w:t>
      </w:r>
      <w:r>
        <w:rPr>
          <w:rFonts w:hint="eastAsia" w:ascii="仿宋_GB2312" w:hAnsi="仿宋_GB2312" w:cs="仿宋_GB2312"/>
          <w:kern w:val="0"/>
          <w:highlight w:val="none"/>
          <w:lang w:bidi="ar"/>
        </w:rPr>
        <w:t>%。</w:t>
      </w:r>
    </w:p>
    <w:p w14:paraId="1C6A74AA">
      <w:pPr>
        <w:pStyle w:val="9"/>
        <w:tabs>
          <w:tab w:val="left" w:pos="510"/>
          <w:tab w:val="left" w:pos="675"/>
        </w:tabs>
        <w:overflowPunct w:val="0"/>
        <w:spacing w:line="560" w:lineRule="exact"/>
        <w:ind w:firstLine="643" w:firstLineChars="200"/>
        <w:rPr>
          <w:rFonts w:ascii="仿宋_GB2312" w:hAnsi="仿宋_GB2312" w:cs="仿宋_GB2312"/>
          <w:b/>
          <w:bCs/>
          <w:szCs w:val="28"/>
          <w:highlight w:val="none"/>
        </w:rPr>
      </w:pPr>
      <w:r>
        <w:rPr>
          <w:rFonts w:hint="eastAsia" w:ascii="仿宋_GB2312" w:hAnsi="仿宋_GB2312" w:cs="仿宋_GB2312"/>
          <w:b/>
          <w:bCs/>
          <w:szCs w:val="28"/>
          <w:highlight w:val="none"/>
        </w:rPr>
        <w:t>2.绩效评价指标体系</w:t>
      </w:r>
    </w:p>
    <w:p w14:paraId="54DE848A">
      <w:pPr>
        <w:pStyle w:val="9"/>
        <w:tabs>
          <w:tab w:val="left" w:pos="510"/>
          <w:tab w:val="left" w:pos="675"/>
        </w:tabs>
        <w:overflowPunct w:val="0"/>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项目评价指标划分为三级，综合评价一级指标包括项目决策指标、过程指标、</w:t>
      </w:r>
      <w:r>
        <w:rPr>
          <w:rFonts w:hint="eastAsia" w:ascii="仿宋_GB2312" w:hAnsi="仿宋_GB2312" w:cs="仿宋_GB2312"/>
          <w:szCs w:val="28"/>
          <w:highlight w:val="none"/>
          <w:lang w:val="en-US" w:eastAsia="zh-CN"/>
        </w:rPr>
        <w:t>成本指标、</w:t>
      </w:r>
      <w:r>
        <w:rPr>
          <w:rFonts w:hint="eastAsia" w:ascii="仿宋_GB2312" w:hAnsi="仿宋_GB2312" w:cs="仿宋_GB2312"/>
          <w:szCs w:val="28"/>
          <w:highlight w:val="none"/>
        </w:rPr>
        <w:t>产出指标、效益指标。二、三级评价指标根据项目实际情况制定了可量化、可操作的细化绩效目标，指标分值根据项目指标重要程度、项目实施阶段等因素综合确定（项目评价指标体系详见附表1）。</w:t>
      </w:r>
    </w:p>
    <w:p w14:paraId="2785C7F7">
      <w:pPr>
        <w:pStyle w:val="9"/>
        <w:tabs>
          <w:tab w:val="left" w:pos="510"/>
          <w:tab w:val="left" w:pos="675"/>
        </w:tabs>
        <w:overflowPunct w:val="0"/>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（1）项目决策指标为一级指标，权重</w:t>
      </w:r>
      <w:r>
        <w:rPr>
          <w:rFonts w:hint="eastAsia" w:ascii="仿宋_GB2312" w:hAnsi="仿宋_GB2312" w:cs="仿宋_GB2312"/>
          <w:szCs w:val="28"/>
          <w:highlight w:val="none"/>
          <w:lang w:val="en-US" w:eastAsia="zh-CN"/>
        </w:rPr>
        <w:t>20</w:t>
      </w:r>
      <w:r>
        <w:rPr>
          <w:rFonts w:hint="eastAsia" w:ascii="仿宋_GB2312" w:hAnsi="仿宋_GB2312" w:cs="仿宋_GB2312"/>
          <w:szCs w:val="28"/>
          <w:highlight w:val="none"/>
        </w:rPr>
        <w:t>分。重点关注项目立项的政策依据是否充分，是否符合国家相关法律法规、部门规章、发展规划及职能；立项流程是否合规，项目申请设立过程是否符合相关要求；项目是否设定绩效目标，设定的绩效目标依据是否充分、符合客观实际，是否能做到细化、量化和可衡量；项目预算编制是否经过科学论证，预算额度与年度目标是否相适应；资金安排依据是否充分，安排额度是否与项目相适应。</w:t>
      </w:r>
    </w:p>
    <w:p w14:paraId="45D36A7A">
      <w:pPr>
        <w:pStyle w:val="9"/>
        <w:tabs>
          <w:tab w:val="left" w:pos="510"/>
          <w:tab w:val="left" w:pos="675"/>
        </w:tabs>
        <w:overflowPunct w:val="0"/>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（2）项目过程指标为一级指标，权重</w:t>
      </w:r>
      <w:r>
        <w:rPr>
          <w:rFonts w:hint="eastAsia" w:ascii="仿宋_GB2312" w:hAnsi="仿宋_GB2312" w:cs="仿宋_GB2312"/>
          <w:szCs w:val="28"/>
          <w:highlight w:val="none"/>
          <w:lang w:val="en-US" w:eastAsia="zh-CN"/>
        </w:rPr>
        <w:t>20</w:t>
      </w:r>
      <w:r>
        <w:rPr>
          <w:rFonts w:hint="eastAsia" w:ascii="仿宋_GB2312" w:hAnsi="仿宋_GB2312" w:cs="仿宋_GB2312"/>
          <w:szCs w:val="28"/>
          <w:highlight w:val="none"/>
        </w:rPr>
        <w:t>分。重点关注专项资金是否及时到位，保障项目执行；项目资金是否按照预算执行；资金使用范围和方向是否符合专项资金管理规定；专项资金和业务管理制度是否健全，是否符合相关法律法规并得到有效执行；项目是否按照规定实施；是否遵守相关法律法规和相关管理规定，按时向社会公告项目实施情况。</w:t>
      </w:r>
    </w:p>
    <w:p w14:paraId="4821DAD9">
      <w:pPr>
        <w:pStyle w:val="9"/>
        <w:tabs>
          <w:tab w:val="left" w:pos="510"/>
          <w:tab w:val="left" w:pos="675"/>
        </w:tabs>
        <w:overflowPunct w:val="0"/>
        <w:spacing w:line="560" w:lineRule="exact"/>
        <w:ind w:firstLine="640" w:firstLineChars="200"/>
        <w:rPr>
          <w:rFonts w:hint="eastAsia" w:ascii="仿宋_GB2312" w:hAnsi="仿宋_GB2312" w:cs="仿宋_GB2312"/>
          <w:szCs w:val="28"/>
          <w:highlight w:val="none"/>
        </w:rPr>
      </w:pPr>
      <w:r>
        <w:rPr>
          <w:rFonts w:hint="eastAsia" w:ascii="仿宋_GB2312" w:hAnsi="仿宋_GB2312" w:cs="仿宋_GB2312"/>
          <w:szCs w:val="28"/>
          <w:highlight w:val="none"/>
        </w:rPr>
        <w:t>（3）</w:t>
      </w:r>
      <w:r>
        <w:rPr>
          <w:rFonts w:hint="eastAsia" w:ascii="仿宋_GB2312" w:hAnsi="仿宋_GB2312" w:cs="仿宋_GB2312"/>
          <w:szCs w:val="28"/>
          <w:highlight w:val="none"/>
          <w:lang w:val="en-US" w:eastAsia="zh-CN"/>
        </w:rPr>
        <w:t>项目成本指标一级指标，权重10分。重点关注项目经济成本，项目实际支出是否超出预算，用以反映和考核项目的成本节约程度。</w:t>
      </w:r>
    </w:p>
    <w:p w14:paraId="5ACB396C">
      <w:pPr>
        <w:pStyle w:val="9"/>
        <w:tabs>
          <w:tab w:val="left" w:pos="510"/>
          <w:tab w:val="left" w:pos="675"/>
        </w:tabs>
        <w:overflowPunct w:val="0"/>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4</w:t>
      </w:r>
      <w:r>
        <w:rPr>
          <w:rFonts w:hint="eastAsia" w:ascii="仿宋_GB2312" w:hAnsi="仿宋_GB2312" w:cs="仿宋_GB2312"/>
          <w:szCs w:val="28"/>
          <w:highlight w:val="none"/>
          <w:lang w:eastAsia="zh-CN"/>
        </w:rPr>
        <w:t>）</w:t>
      </w:r>
      <w:r>
        <w:rPr>
          <w:rFonts w:hint="eastAsia" w:ascii="仿宋_GB2312" w:hAnsi="仿宋_GB2312" w:cs="仿宋_GB2312"/>
          <w:szCs w:val="28"/>
          <w:highlight w:val="none"/>
        </w:rPr>
        <w:t>项目产出指标为一级指标，权重</w:t>
      </w:r>
      <w:r>
        <w:rPr>
          <w:rFonts w:hint="eastAsia" w:ascii="仿宋_GB2312" w:hAnsi="仿宋_GB2312" w:cs="仿宋_GB2312"/>
          <w:szCs w:val="28"/>
          <w:highlight w:val="none"/>
          <w:lang w:val="en-US" w:eastAsia="zh-CN"/>
        </w:rPr>
        <w:t>30</w:t>
      </w:r>
      <w:r>
        <w:rPr>
          <w:rFonts w:hint="eastAsia" w:ascii="仿宋_GB2312" w:hAnsi="仿宋_GB2312" w:cs="仿宋_GB2312"/>
          <w:szCs w:val="28"/>
          <w:highlight w:val="none"/>
        </w:rPr>
        <w:t>分。从数量、质量、时效</w:t>
      </w:r>
      <w:r>
        <w:rPr>
          <w:rFonts w:hint="eastAsia" w:ascii="仿宋_GB2312" w:hAnsi="仿宋_GB2312" w:cs="仿宋_GB2312"/>
          <w:szCs w:val="28"/>
          <w:highlight w:val="none"/>
          <w:lang w:val="en-US" w:eastAsia="zh-CN"/>
        </w:rPr>
        <w:t>三</w:t>
      </w:r>
      <w:r>
        <w:rPr>
          <w:rFonts w:hint="eastAsia" w:ascii="仿宋_GB2312" w:hAnsi="仿宋_GB2312" w:cs="仿宋_GB2312"/>
          <w:szCs w:val="28"/>
          <w:highlight w:val="none"/>
        </w:rPr>
        <w:t>个方面分析项目的产出情况，重点关注项目实施的实际产出数</w:t>
      </w:r>
      <w:r>
        <w:rPr>
          <w:rFonts w:hint="eastAsia" w:ascii="仿宋_GB2312" w:hAnsi="仿宋_GB2312" w:cs="仿宋_GB2312"/>
          <w:szCs w:val="28"/>
          <w:highlight w:val="none"/>
          <w:lang w:val="en-US" w:eastAsia="zh-CN"/>
        </w:rPr>
        <w:t>量</w:t>
      </w:r>
      <w:r>
        <w:rPr>
          <w:rFonts w:hint="eastAsia" w:ascii="仿宋_GB2312" w:hAnsi="仿宋_GB2312" w:cs="仿宋_GB2312"/>
          <w:szCs w:val="28"/>
          <w:highlight w:val="none"/>
        </w:rPr>
        <w:t>与计划产出数</w:t>
      </w:r>
      <w:r>
        <w:rPr>
          <w:rFonts w:hint="eastAsia" w:ascii="仿宋_GB2312" w:hAnsi="仿宋_GB2312" w:cs="仿宋_GB2312"/>
          <w:szCs w:val="28"/>
          <w:highlight w:val="none"/>
          <w:lang w:val="en-US" w:eastAsia="zh-CN"/>
        </w:rPr>
        <w:t>量</w:t>
      </w:r>
      <w:r>
        <w:rPr>
          <w:rFonts w:hint="eastAsia" w:ascii="仿宋_GB2312" w:hAnsi="仿宋_GB2312" w:cs="仿宋_GB2312"/>
          <w:szCs w:val="28"/>
          <w:highlight w:val="none"/>
        </w:rPr>
        <w:t>的比率。</w:t>
      </w:r>
    </w:p>
    <w:p w14:paraId="22430997">
      <w:pPr>
        <w:pStyle w:val="9"/>
        <w:tabs>
          <w:tab w:val="left" w:pos="510"/>
          <w:tab w:val="left" w:pos="675"/>
        </w:tabs>
        <w:overflowPunct w:val="0"/>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w:t>
      </w:r>
      <w:r>
        <w:rPr>
          <w:rFonts w:hint="eastAsia" w:ascii="仿宋_GB2312" w:hAnsi="仿宋_GB2312" w:cs="仿宋_GB2312"/>
          <w:szCs w:val="28"/>
          <w:highlight w:val="none"/>
          <w:lang w:val="en-US" w:eastAsia="zh-CN"/>
        </w:rPr>
        <w:t>5</w:t>
      </w:r>
      <w:r>
        <w:rPr>
          <w:rFonts w:hint="eastAsia" w:ascii="仿宋_GB2312" w:hAnsi="仿宋_GB2312" w:cs="仿宋_GB2312"/>
          <w:szCs w:val="28"/>
          <w:highlight w:val="none"/>
        </w:rPr>
        <w:t>）项目效益指标为一级指标，权重</w:t>
      </w:r>
      <w:r>
        <w:rPr>
          <w:rFonts w:hint="eastAsia" w:ascii="仿宋_GB2312" w:hAnsi="仿宋_GB2312" w:cs="仿宋_GB2312"/>
          <w:szCs w:val="28"/>
          <w:highlight w:val="none"/>
          <w:lang w:val="en-US" w:eastAsia="zh-CN"/>
        </w:rPr>
        <w:t>20</w:t>
      </w:r>
      <w:r>
        <w:rPr>
          <w:rFonts w:hint="eastAsia" w:ascii="仿宋_GB2312" w:hAnsi="仿宋_GB2312" w:cs="仿宋_GB2312"/>
          <w:szCs w:val="28"/>
          <w:highlight w:val="none"/>
        </w:rPr>
        <w:t>分。从社会效益、满意度指标</w:t>
      </w:r>
      <w:r>
        <w:rPr>
          <w:rFonts w:hint="eastAsia" w:ascii="仿宋_GB2312" w:hAnsi="仿宋_GB2312" w:cs="仿宋_GB2312"/>
          <w:szCs w:val="28"/>
          <w:highlight w:val="none"/>
          <w:lang w:val="en-US" w:eastAsia="zh-CN"/>
        </w:rPr>
        <w:t>两</w:t>
      </w:r>
      <w:r>
        <w:rPr>
          <w:rFonts w:hint="eastAsia" w:ascii="仿宋_GB2312" w:hAnsi="仿宋_GB2312" w:cs="仿宋_GB2312"/>
          <w:szCs w:val="28"/>
          <w:highlight w:val="none"/>
        </w:rPr>
        <w:t>个方面分析项目实施产生的效益，重点项目的实施产生</w:t>
      </w:r>
      <w:r>
        <w:rPr>
          <w:rFonts w:hint="eastAsia" w:ascii="仿宋_GB2312" w:hAnsi="仿宋_GB2312" w:cs="仿宋_GB2312"/>
          <w:szCs w:val="28"/>
          <w:highlight w:val="none"/>
          <w:lang w:val="en-US" w:eastAsia="zh-CN"/>
        </w:rPr>
        <w:t>效益是否达到预期</w:t>
      </w:r>
      <w:r>
        <w:rPr>
          <w:rFonts w:hint="eastAsia" w:ascii="仿宋_GB2312" w:hAnsi="仿宋_GB2312" w:cs="仿宋_GB2312"/>
          <w:szCs w:val="28"/>
          <w:highlight w:val="none"/>
        </w:rPr>
        <w:t>。</w:t>
      </w:r>
    </w:p>
    <w:p w14:paraId="7941DAC7">
      <w:pPr>
        <w:pStyle w:val="9"/>
        <w:tabs>
          <w:tab w:val="left" w:pos="510"/>
          <w:tab w:val="left" w:pos="675"/>
        </w:tabs>
        <w:overflowPunct w:val="0"/>
        <w:spacing w:line="560" w:lineRule="exact"/>
        <w:ind w:firstLine="643" w:firstLineChars="200"/>
        <w:rPr>
          <w:rFonts w:ascii="仿宋_GB2312" w:hAnsi="仿宋_GB2312" w:cs="仿宋_GB2312"/>
          <w:b/>
          <w:bCs/>
          <w:szCs w:val="28"/>
          <w:highlight w:val="none"/>
        </w:rPr>
      </w:pPr>
      <w:r>
        <w:rPr>
          <w:rFonts w:hint="eastAsia" w:ascii="仿宋_GB2312" w:hAnsi="仿宋_GB2312" w:cs="仿宋_GB2312"/>
          <w:b/>
          <w:bCs/>
          <w:szCs w:val="28"/>
          <w:highlight w:val="none"/>
        </w:rPr>
        <w:t xml:space="preserve">3.评价标准 </w:t>
      </w:r>
    </w:p>
    <w:p w14:paraId="14BE2A82">
      <w:pPr>
        <w:widowControl/>
        <w:spacing w:line="560" w:lineRule="exact"/>
        <w:ind w:firstLine="640" w:firstLineChars="200"/>
        <w:rPr>
          <w:rFonts w:hint="eastAsia" w:ascii="仿宋_GB2312" w:hAnsi="仿宋_GB2312" w:eastAsia="仿宋_GB2312" w:cs="仿宋_GB2312"/>
          <w:sz w:val="32"/>
          <w:szCs w:val="28"/>
          <w:highlight w:val="none"/>
        </w:rPr>
      </w:pPr>
      <w:r>
        <w:rPr>
          <w:rFonts w:hint="eastAsia" w:ascii="仿宋_GB2312" w:hAnsi="仿宋_GB2312" w:eastAsia="仿宋_GB2312" w:cs="仿宋_GB2312"/>
          <w:sz w:val="32"/>
          <w:szCs w:val="28"/>
          <w:highlight w:val="none"/>
        </w:rPr>
        <w:t xml:space="preserve">本次绩效评价结果采取评分与评级相结合的形式。 </w:t>
      </w:r>
    </w:p>
    <w:p w14:paraId="38DFE25F">
      <w:pPr>
        <w:widowControl/>
        <w:spacing w:line="560" w:lineRule="exact"/>
        <w:ind w:firstLine="640" w:firstLineChars="200"/>
        <w:rPr>
          <w:rFonts w:ascii="仿宋_GB2312" w:hAnsi="仿宋_GB2312" w:eastAsia="仿宋_GB2312" w:cs="仿宋_GB2312"/>
          <w:sz w:val="32"/>
          <w:szCs w:val="28"/>
          <w:highlight w:val="none"/>
        </w:rPr>
      </w:pPr>
      <w:r>
        <w:rPr>
          <w:rFonts w:hint="eastAsia" w:ascii="仿宋_GB2312" w:hAnsi="仿宋_GB2312" w:eastAsia="仿宋_GB2312" w:cs="仿宋_GB2312"/>
          <w:sz w:val="32"/>
          <w:szCs w:val="28"/>
          <w:highlight w:val="none"/>
        </w:rPr>
        <w:t>（</w:t>
      </w:r>
      <w:r>
        <w:rPr>
          <w:rFonts w:ascii="仿宋_GB2312" w:hAnsi="仿宋_GB2312" w:eastAsia="仿宋_GB2312" w:cs="仿宋_GB2312"/>
          <w:sz w:val="32"/>
          <w:szCs w:val="28"/>
          <w:highlight w:val="none"/>
        </w:rPr>
        <w:t>1</w:t>
      </w:r>
      <w:r>
        <w:rPr>
          <w:rFonts w:hint="eastAsia" w:ascii="仿宋_GB2312" w:hAnsi="仿宋_GB2312" w:eastAsia="仿宋_GB2312" w:cs="仿宋_GB2312"/>
          <w:sz w:val="32"/>
          <w:szCs w:val="28"/>
          <w:highlight w:val="none"/>
        </w:rPr>
        <w:t>）评价评分。采用定性与定量评价相结合的方法，对定性评价指标采</w:t>
      </w:r>
      <w:r>
        <w:rPr>
          <w:rFonts w:hint="eastAsia" w:ascii="仿宋_GB2312" w:hAnsi="仿宋_GB2312" w:eastAsia="仿宋_GB2312" w:cs="仿宋_GB2312"/>
          <w:sz w:val="32"/>
          <w:szCs w:val="28"/>
          <w:highlight w:val="none"/>
          <w:lang w:val="en-US" w:eastAsia="zh-CN"/>
        </w:rPr>
        <w:t>用</w:t>
      </w:r>
      <w:r>
        <w:rPr>
          <w:rFonts w:hint="eastAsia" w:ascii="仿宋_GB2312" w:hAnsi="仿宋_GB2312" w:eastAsia="仿宋_GB2312" w:cs="仿宋_GB2312"/>
          <w:sz w:val="32"/>
          <w:szCs w:val="28"/>
          <w:highlight w:val="none"/>
        </w:rPr>
        <w:t>分析打分，对定量评价指标采用量化打分，评价综合得分采用百分制，满分为</w:t>
      </w:r>
      <w:r>
        <w:rPr>
          <w:rFonts w:ascii="仿宋_GB2312" w:hAnsi="仿宋_GB2312" w:eastAsia="仿宋_GB2312" w:cs="仿宋_GB2312"/>
          <w:sz w:val="32"/>
          <w:szCs w:val="28"/>
          <w:highlight w:val="none"/>
        </w:rPr>
        <w:t>100</w:t>
      </w:r>
      <w:r>
        <w:rPr>
          <w:rFonts w:hint="eastAsia" w:ascii="仿宋_GB2312" w:hAnsi="仿宋_GB2312" w:eastAsia="仿宋_GB2312" w:cs="仿宋_GB2312"/>
          <w:sz w:val="32"/>
          <w:szCs w:val="28"/>
          <w:highlight w:val="none"/>
        </w:rPr>
        <w:t>分。</w:t>
      </w:r>
    </w:p>
    <w:p w14:paraId="619FA298">
      <w:pPr>
        <w:widowControl/>
        <w:spacing w:line="560" w:lineRule="exact"/>
        <w:ind w:firstLine="640" w:firstLineChars="200"/>
        <w:rPr>
          <w:highlight w:val="none"/>
        </w:rPr>
      </w:pPr>
      <w:r>
        <w:rPr>
          <w:rFonts w:hint="eastAsia" w:ascii="仿宋_GB2312" w:hAnsi="仿宋_GB2312" w:eastAsia="仿宋_GB2312" w:cs="仿宋_GB2312"/>
          <w:sz w:val="32"/>
          <w:szCs w:val="28"/>
          <w:highlight w:val="none"/>
        </w:rPr>
        <w:t>（2）评价等级。依据财政部《关于印发〈项目支出绩效评价管理办法〉的通知》（财预</w:t>
      </w:r>
      <w:r>
        <w:rPr>
          <w:rFonts w:hint="eastAsia" w:ascii="宋体" w:hAnsi="宋体" w:eastAsia="宋体" w:cs="宋体"/>
          <w:sz w:val="32"/>
          <w:szCs w:val="28"/>
          <w:highlight w:val="none"/>
        </w:rPr>
        <w:t>〔</w:t>
      </w:r>
      <w:r>
        <w:rPr>
          <w:rFonts w:ascii="仿宋_GB2312" w:hAnsi="仿宋_GB2312" w:eastAsia="仿宋_GB2312" w:cs="仿宋_GB2312"/>
          <w:sz w:val="32"/>
          <w:szCs w:val="28"/>
          <w:highlight w:val="none"/>
        </w:rPr>
        <w:t>2020</w:t>
      </w:r>
      <w:r>
        <w:rPr>
          <w:rFonts w:hint="eastAsia" w:ascii="宋体" w:hAnsi="宋体" w:eastAsia="宋体" w:cs="宋体"/>
          <w:sz w:val="32"/>
          <w:szCs w:val="28"/>
          <w:highlight w:val="none"/>
        </w:rPr>
        <w:t>〕</w:t>
      </w:r>
      <w:r>
        <w:rPr>
          <w:rFonts w:ascii="仿宋_GB2312" w:hAnsi="仿宋_GB2312" w:eastAsia="仿宋_GB2312" w:cs="仿宋_GB2312"/>
          <w:sz w:val="32"/>
          <w:szCs w:val="28"/>
          <w:highlight w:val="none"/>
        </w:rPr>
        <w:t>10</w:t>
      </w:r>
      <w:r>
        <w:rPr>
          <w:rFonts w:hint="eastAsia" w:ascii="仿宋_GB2312" w:hAnsi="仿宋_GB2312" w:eastAsia="仿宋_GB2312" w:cs="仿宋_GB2312"/>
          <w:sz w:val="32"/>
          <w:szCs w:val="28"/>
          <w:highlight w:val="none"/>
        </w:rPr>
        <w:t>号），绩效评价结果评分分值与评价等级的对应关系如下：</w:t>
      </w:r>
    </w:p>
    <w:p w14:paraId="78A8D969">
      <w:pPr>
        <w:widowControl/>
        <w:jc w:val="center"/>
        <w:rPr>
          <w:highlight w:val="none"/>
        </w:rPr>
      </w:pPr>
      <w:r>
        <w:rPr>
          <w:rFonts w:hint="eastAsia" w:ascii="宋体" w:hAnsi="宋体" w:eastAsia="宋体" w:cs="宋体"/>
          <w:color w:val="000000"/>
          <w:kern w:val="0"/>
          <w:sz w:val="28"/>
          <w:szCs w:val="28"/>
          <w:highlight w:val="none"/>
          <w:lang w:bidi="ar"/>
        </w:rPr>
        <w:t>绩效评价结果评分分值与评价等级表</w:t>
      </w:r>
    </w:p>
    <w:tbl>
      <w:tblPr>
        <w:tblStyle w:val="20"/>
        <w:tblW w:w="4875" w:type="pct"/>
        <w:tblInd w:w="1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6"/>
        <w:gridCol w:w="1737"/>
        <w:gridCol w:w="1737"/>
        <w:gridCol w:w="1737"/>
        <w:gridCol w:w="1632"/>
      </w:tblGrid>
      <w:tr w14:paraId="180E8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0" w:type="pct"/>
            <w:vAlign w:val="center"/>
          </w:tcPr>
          <w:p w14:paraId="0E57710C">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评价等级</w:t>
            </w:r>
          </w:p>
        </w:tc>
        <w:tc>
          <w:tcPr>
            <w:tcW w:w="1025" w:type="pct"/>
            <w:vAlign w:val="center"/>
          </w:tcPr>
          <w:p w14:paraId="6B8CDE50">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优</w:t>
            </w:r>
          </w:p>
        </w:tc>
        <w:tc>
          <w:tcPr>
            <w:tcW w:w="1025" w:type="pct"/>
            <w:vAlign w:val="center"/>
          </w:tcPr>
          <w:p w14:paraId="2F09A1A9">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良</w:t>
            </w:r>
          </w:p>
        </w:tc>
        <w:tc>
          <w:tcPr>
            <w:tcW w:w="1025" w:type="pct"/>
            <w:vAlign w:val="center"/>
          </w:tcPr>
          <w:p w14:paraId="5D7BB337">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中</w:t>
            </w:r>
          </w:p>
        </w:tc>
        <w:tc>
          <w:tcPr>
            <w:tcW w:w="963" w:type="pct"/>
            <w:vAlign w:val="center"/>
          </w:tcPr>
          <w:p w14:paraId="129012E3">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差</w:t>
            </w:r>
          </w:p>
        </w:tc>
      </w:tr>
      <w:tr w14:paraId="02B90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0" w:type="pct"/>
            <w:vAlign w:val="center"/>
          </w:tcPr>
          <w:p w14:paraId="7D3A89A5">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评分分值</w:t>
            </w:r>
          </w:p>
        </w:tc>
        <w:tc>
          <w:tcPr>
            <w:tcW w:w="1025" w:type="pct"/>
            <w:vAlign w:val="center"/>
          </w:tcPr>
          <w:p w14:paraId="51182351">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≥90</w:t>
            </w:r>
          </w:p>
        </w:tc>
        <w:tc>
          <w:tcPr>
            <w:tcW w:w="1025" w:type="pct"/>
            <w:vAlign w:val="center"/>
          </w:tcPr>
          <w:p w14:paraId="4CF09FA0">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＜90，≥80</w:t>
            </w:r>
          </w:p>
        </w:tc>
        <w:tc>
          <w:tcPr>
            <w:tcW w:w="1025" w:type="pct"/>
            <w:vAlign w:val="center"/>
          </w:tcPr>
          <w:p w14:paraId="0E5B4915">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＜80，≥60</w:t>
            </w:r>
          </w:p>
        </w:tc>
        <w:tc>
          <w:tcPr>
            <w:tcW w:w="963" w:type="pct"/>
            <w:vAlign w:val="center"/>
          </w:tcPr>
          <w:p w14:paraId="289427C5">
            <w:pPr>
              <w:pStyle w:val="9"/>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＜60</w:t>
            </w:r>
          </w:p>
        </w:tc>
      </w:tr>
    </w:tbl>
    <w:p w14:paraId="73D6C5B7">
      <w:pPr>
        <w:pStyle w:val="9"/>
        <w:tabs>
          <w:tab w:val="left" w:pos="510"/>
          <w:tab w:val="left" w:pos="675"/>
        </w:tabs>
        <w:overflowPunct w:val="0"/>
        <w:spacing w:line="560" w:lineRule="exact"/>
        <w:ind w:firstLine="643" w:firstLineChars="200"/>
        <w:rPr>
          <w:rFonts w:ascii="仿宋_GB2312" w:hAnsi="仿宋_GB2312" w:cs="仿宋_GB2312"/>
          <w:b/>
          <w:bCs/>
          <w:szCs w:val="28"/>
          <w:highlight w:val="none"/>
        </w:rPr>
      </w:pPr>
      <w:r>
        <w:rPr>
          <w:rFonts w:hint="eastAsia" w:ascii="仿宋_GB2312" w:hAnsi="仿宋_GB2312" w:cs="仿宋_GB2312"/>
          <w:b/>
          <w:bCs/>
          <w:szCs w:val="28"/>
          <w:highlight w:val="none"/>
        </w:rPr>
        <w:t>4.数据来源及证据收集方式</w:t>
      </w:r>
    </w:p>
    <w:p w14:paraId="3D93A564">
      <w:pPr>
        <w:pStyle w:val="9"/>
        <w:tabs>
          <w:tab w:val="left" w:pos="510"/>
          <w:tab w:val="left" w:pos="675"/>
        </w:tabs>
        <w:overflowPunct w:val="0"/>
        <w:spacing w:line="560" w:lineRule="exact"/>
        <w:ind w:firstLine="640" w:firstLineChars="200"/>
        <w:rPr>
          <w:rFonts w:ascii="仿宋_GB2312" w:hAnsi="仿宋_GB2312" w:cs="仿宋_GB2312"/>
          <w:szCs w:val="28"/>
          <w:highlight w:val="none"/>
        </w:rPr>
      </w:pPr>
      <w:r>
        <w:rPr>
          <w:rFonts w:hint="eastAsia" w:ascii="仿宋_GB2312" w:hAnsi="仿宋_GB2312" w:cs="仿宋_GB2312"/>
          <w:szCs w:val="28"/>
          <w:highlight w:val="none"/>
        </w:rPr>
        <w:t>本次绩效评价的证据收集途径主要有：</w:t>
      </w:r>
    </w:p>
    <w:p w14:paraId="045F1FEA">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Cs w:val="28"/>
          <w:highlight w:val="none"/>
        </w:rPr>
      </w:pPr>
      <w:bookmarkStart w:id="115" w:name="_Toc8104"/>
      <w:r>
        <w:rPr>
          <w:rFonts w:hint="eastAsia" w:ascii="仿宋_GB2312" w:hAnsi="仿宋_GB2312" w:eastAsia="仿宋_GB2312" w:cs="仿宋_GB2312"/>
          <w:szCs w:val="28"/>
          <w:highlight w:val="none"/>
        </w:rPr>
        <w:t>评价组在前期调研的基础上，按照资料清单，收集法规文件、会议记录、财务凭证等资料，并通过发放调查问卷等方式收集佐证材料证据，全面考察项目执行情况。</w:t>
      </w:r>
    </w:p>
    <w:p w14:paraId="79EA59CD">
      <w:pPr>
        <w:pStyle w:val="9"/>
        <w:overflowPunct w:val="0"/>
        <w:spacing w:line="560" w:lineRule="exact"/>
        <w:ind w:firstLine="643" w:firstLineChars="200"/>
        <w:outlineLvl w:val="1"/>
        <w:rPr>
          <w:rFonts w:ascii="楷体" w:hAnsi="楷体" w:eastAsia="楷体" w:cs="楷体"/>
          <w:b/>
          <w:bCs/>
          <w:highlight w:val="none"/>
        </w:rPr>
      </w:pPr>
      <w:bookmarkStart w:id="116" w:name="_Toc19813"/>
      <w:r>
        <w:rPr>
          <w:rFonts w:hint="eastAsia" w:ascii="楷体" w:hAnsi="楷体" w:eastAsia="楷体" w:cs="楷体"/>
          <w:b/>
          <w:bCs/>
          <w:highlight w:val="none"/>
        </w:rPr>
        <w:t>（</w:t>
      </w:r>
      <w:r>
        <w:rPr>
          <w:rFonts w:hint="eastAsia" w:ascii="楷体" w:hAnsi="楷体" w:eastAsia="楷体" w:cs="楷体"/>
          <w:b/>
          <w:bCs/>
          <w:highlight w:val="none"/>
          <w:lang w:val="en-US" w:eastAsia="zh-CN"/>
        </w:rPr>
        <w:t>六</w:t>
      </w:r>
      <w:r>
        <w:rPr>
          <w:rFonts w:hint="eastAsia" w:ascii="楷体" w:hAnsi="楷体" w:eastAsia="楷体" w:cs="楷体"/>
          <w:b/>
          <w:bCs/>
          <w:highlight w:val="none"/>
        </w:rPr>
        <w:t>）绩效评价工作过程</w:t>
      </w:r>
      <w:bookmarkEnd w:id="115"/>
      <w:bookmarkEnd w:id="116"/>
    </w:p>
    <w:p w14:paraId="6B4D7B1B">
      <w:pPr>
        <w:pStyle w:val="9"/>
        <w:overflowPunct w:val="0"/>
        <w:spacing w:line="560" w:lineRule="exact"/>
        <w:ind w:firstLine="640" w:firstLineChars="200"/>
        <w:rPr>
          <w:rFonts w:ascii="仿宋_GB2312" w:hAnsi="仿宋_GB2312" w:cs="仿宋_GB2312"/>
          <w:highlight w:val="none"/>
        </w:rPr>
      </w:pPr>
      <w:bookmarkStart w:id="117" w:name="_Toc10150"/>
      <w:bookmarkStart w:id="118" w:name="_Toc95"/>
      <w:bookmarkStart w:id="119" w:name="_Toc30609"/>
      <w:bookmarkStart w:id="120" w:name="_Toc1946"/>
      <w:bookmarkStart w:id="121" w:name="_Toc31135"/>
      <w:bookmarkStart w:id="122" w:name="_Toc3172"/>
      <w:bookmarkStart w:id="123" w:name="_Toc27041"/>
      <w:bookmarkStart w:id="124" w:name="_Toc19094"/>
      <w:r>
        <w:rPr>
          <w:rFonts w:hint="eastAsia" w:ascii="仿宋_GB2312" w:hAnsi="仿宋_GB2312" w:cs="仿宋_GB2312"/>
          <w:highlight w:val="none"/>
        </w:rPr>
        <w:t>绩效评价工作过程主要包括准备阶段、实施阶段、撰写报告阶段三个阶段。</w:t>
      </w:r>
      <w:bookmarkEnd w:id="117"/>
      <w:bookmarkEnd w:id="118"/>
      <w:bookmarkEnd w:id="119"/>
      <w:bookmarkEnd w:id="120"/>
      <w:bookmarkEnd w:id="121"/>
      <w:bookmarkEnd w:id="122"/>
      <w:bookmarkEnd w:id="123"/>
      <w:bookmarkEnd w:id="124"/>
    </w:p>
    <w:p w14:paraId="15444D8E">
      <w:pPr>
        <w:pStyle w:val="4"/>
        <w:keepNext w:val="0"/>
        <w:keepLines w:val="0"/>
        <w:overflowPunct w:val="0"/>
        <w:spacing w:before="0" w:after="0" w:line="560" w:lineRule="exact"/>
        <w:ind w:firstLine="643" w:firstLineChars="200"/>
        <w:rPr>
          <w:rFonts w:ascii="仿宋_GB2312" w:hAnsi="仿宋_GB2312" w:eastAsia="仿宋_GB2312" w:cs="仿宋_GB2312"/>
          <w:color w:val="000000" w:themeColor="text1"/>
          <w:szCs w:val="32"/>
          <w:highlight w:val="none"/>
          <w14:textFill>
            <w14:solidFill>
              <w14:schemeClr w14:val="tx1"/>
            </w14:solidFill>
          </w14:textFill>
        </w:rPr>
      </w:pPr>
      <w:r>
        <w:rPr>
          <w:rFonts w:hint="eastAsia" w:ascii="仿宋_GB2312" w:hAnsi="仿宋_GB2312" w:eastAsia="仿宋_GB2312" w:cs="仿宋_GB2312"/>
          <w:color w:val="000000" w:themeColor="text1"/>
          <w:szCs w:val="32"/>
          <w:highlight w:val="none"/>
          <w14:textFill>
            <w14:solidFill>
              <w14:schemeClr w14:val="tx1"/>
            </w14:solidFill>
          </w14:textFill>
        </w:rPr>
        <w:t>1.准备阶段</w:t>
      </w:r>
    </w:p>
    <w:p w14:paraId="15CAAAD2">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（1）确定绩效评价组</w:t>
      </w:r>
    </w:p>
    <w:p w14:paraId="26522DDD">
      <w:pPr>
        <w:pStyle w:val="9"/>
        <w:tabs>
          <w:tab w:val="left" w:pos="510"/>
          <w:tab w:val="left" w:pos="675"/>
        </w:tabs>
        <w:overflowPunct w:val="0"/>
        <w:spacing w:line="560" w:lineRule="exact"/>
        <w:ind w:firstLine="640" w:firstLineChars="200"/>
        <w:rPr>
          <w:rFonts w:ascii="仿宋_GB2312" w:hAnsi="仿宋_GB2312" w:cs="仿宋_GB2312"/>
          <w:szCs w:val="28"/>
          <w:highlight w:val="none"/>
        </w:rPr>
      </w:pP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安排部署本次绩效评价工作</w:t>
      </w:r>
      <w:r>
        <w:rPr>
          <w:rFonts w:hint="eastAsia" w:ascii="仿宋_GB2312" w:hAnsi="仿宋_GB2312" w:cs="仿宋_GB2312"/>
          <w:highlight w:val="none"/>
          <w:lang w:eastAsia="zh-CN"/>
        </w:rPr>
        <w:t>，</w:t>
      </w:r>
      <w:r>
        <w:rPr>
          <w:rFonts w:hint="eastAsia" w:ascii="仿宋_GB2312" w:hAnsi="仿宋_GB2312" w:cs="仿宋_GB2312"/>
          <w:highlight w:val="none"/>
        </w:rPr>
        <w:t>我公司及时确定绩效评价对象和范围、成立评价工作组、开展前期调研、研究制定绩效评价工作方案、组织专家论证，明确工作范围和职责，组织评价组人员进行业务培训，使各参评人员对绩效评价情况做进一步了解。</w:t>
      </w:r>
      <w:r>
        <w:rPr>
          <w:rFonts w:hint="eastAsia" w:ascii="仿宋_GB2312" w:hAnsi="仿宋_GB2312" w:cs="仿宋_GB2312"/>
          <w:szCs w:val="28"/>
          <w:highlight w:val="none"/>
        </w:rPr>
        <w:t>评价工作组人员名单及职责分工情况见下表：</w:t>
      </w:r>
    </w:p>
    <w:tbl>
      <w:tblPr>
        <w:tblStyle w:val="20"/>
        <w:tblW w:w="4960" w:type="pct"/>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6"/>
        <w:gridCol w:w="1195"/>
        <w:gridCol w:w="1517"/>
        <w:gridCol w:w="2148"/>
        <w:gridCol w:w="2871"/>
      </w:tblGrid>
      <w:tr w14:paraId="6AD6A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blHeader/>
        </w:trPr>
        <w:tc>
          <w:tcPr>
            <w:tcW w:w="514" w:type="pct"/>
            <w:vAlign w:val="center"/>
          </w:tcPr>
          <w:p w14:paraId="5B543903">
            <w:pPr>
              <w:pStyle w:val="9"/>
              <w:overflowPunct w:val="0"/>
              <w:spacing w:line="360" w:lineRule="auto"/>
              <w:jc w:val="center"/>
              <w:rPr>
                <w:rFonts w:ascii="宋体" w:hAnsi="宋体" w:eastAsia="宋体" w:cs="Times New Roman"/>
                <w:b/>
                <w:bCs/>
                <w:sz w:val="24"/>
                <w:szCs w:val="24"/>
                <w:highlight w:val="none"/>
                <w:shd w:val="clear" w:color="auto" w:fill="FFFFFF"/>
              </w:rPr>
            </w:pPr>
            <w:r>
              <w:rPr>
                <w:rFonts w:hint="eastAsia" w:ascii="宋体" w:hAnsi="宋体" w:eastAsia="宋体" w:cs="Times New Roman"/>
                <w:b/>
                <w:bCs/>
                <w:sz w:val="24"/>
                <w:szCs w:val="24"/>
                <w:highlight w:val="none"/>
                <w:shd w:val="clear" w:color="auto" w:fill="FFFFFF"/>
              </w:rPr>
              <w:t>序号</w:t>
            </w:r>
          </w:p>
        </w:tc>
        <w:tc>
          <w:tcPr>
            <w:tcW w:w="693" w:type="pct"/>
            <w:vAlign w:val="center"/>
          </w:tcPr>
          <w:p w14:paraId="42F86056">
            <w:pPr>
              <w:pStyle w:val="9"/>
              <w:overflowPunct w:val="0"/>
              <w:spacing w:line="360" w:lineRule="auto"/>
              <w:jc w:val="center"/>
              <w:rPr>
                <w:rFonts w:ascii="宋体" w:hAnsi="宋体" w:eastAsia="宋体" w:cs="Times New Roman"/>
                <w:b/>
                <w:bCs/>
                <w:sz w:val="24"/>
                <w:szCs w:val="24"/>
                <w:highlight w:val="none"/>
                <w:shd w:val="clear" w:color="auto" w:fill="FFFFFF"/>
              </w:rPr>
            </w:pPr>
            <w:r>
              <w:rPr>
                <w:rFonts w:hint="eastAsia" w:ascii="宋体" w:hAnsi="宋体" w:eastAsia="宋体" w:cs="Times New Roman"/>
                <w:b/>
                <w:bCs/>
                <w:sz w:val="24"/>
                <w:szCs w:val="24"/>
                <w:highlight w:val="none"/>
                <w:shd w:val="clear" w:color="auto" w:fill="FFFFFF"/>
              </w:rPr>
              <w:t>姓名</w:t>
            </w:r>
          </w:p>
        </w:tc>
        <w:tc>
          <w:tcPr>
            <w:tcW w:w="880" w:type="pct"/>
            <w:vAlign w:val="center"/>
          </w:tcPr>
          <w:p w14:paraId="0C975594">
            <w:pPr>
              <w:pStyle w:val="9"/>
              <w:overflowPunct w:val="0"/>
              <w:spacing w:line="360" w:lineRule="auto"/>
              <w:jc w:val="center"/>
              <w:rPr>
                <w:rFonts w:ascii="宋体" w:hAnsi="宋体" w:eastAsia="宋体" w:cs="Times New Roman"/>
                <w:b/>
                <w:bCs/>
                <w:sz w:val="24"/>
                <w:szCs w:val="24"/>
                <w:highlight w:val="none"/>
                <w:shd w:val="clear" w:color="auto" w:fill="FFFFFF"/>
              </w:rPr>
            </w:pPr>
            <w:r>
              <w:rPr>
                <w:rFonts w:hint="eastAsia" w:ascii="宋体" w:hAnsi="宋体" w:eastAsia="宋体" w:cs="Times New Roman"/>
                <w:b/>
                <w:bCs/>
                <w:sz w:val="24"/>
                <w:szCs w:val="24"/>
                <w:highlight w:val="none"/>
                <w:shd w:val="clear" w:color="auto" w:fill="FFFFFF"/>
              </w:rPr>
              <w:t>职务</w:t>
            </w:r>
          </w:p>
        </w:tc>
        <w:tc>
          <w:tcPr>
            <w:tcW w:w="1246" w:type="pct"/>
            <w:vAlign w:val="center"/>
          </w:tcPr>
          <w:p w14:paraId="2F0D02DB">
            <w:pPr>
              <w:pStyle w:val="9"/>
              <w:overflowPunct w:val="0"/>
              <w:spacing w:line="360" w:lineRule="auto"/>
              <w:jc w:val="center"/>
              <w:rPr>
                <w:rFonts w:ascii="宋体" w:hAnsi="宋体" w:eastAsia="宋体" w:cs="Times New Roman"/>
                <w:b/>
                <w:bCs/>
                <w:sz w:val="24"/>
                <w:szCs w:val="24"/>
                <w:highlight w:val="none"/>
                <w:shd w:val="clear" w:color="auto" w:fill="FFFFFF"/>
              </w:rPr>
            </w:pPr>
            <w:r>
              <w:rPr>
                <w:rFonts w:hint="eastAsia" w:ascii="宋体" w:hAnsi="宋体" w:eastAsia="宋体" w:cs="Times New Roman"/>
                <w:b/>
                <w:bCs/>
                <w:sz w:val="24"/>
                <w:szCs w:val="24"/>
                <w:highlight w:val="none"/>
                <w:shd w:val="clear" w:color="auto" w:fill="FFFFFF"/>
              </w:rPr>
              <w:t>职称和职业资格</w:t>
            </w:r>
          </w:p>
        </w:tc>
        <w:tc>
          <w:tcPr>
            <w:tcW w:w="1665" w:type="pct"/>
          </w:tcPr>
          <w:p w14:paraId="01508E8D">
            <w:pPr>
              <w:pStyle w:val="9"/>
              <w:overflowPunct w:val="0"/>
              <w:spacing w:line="360" w:lineRule="auto"/>
              <w:jc w:val="center"/>
              <w:rPr>
                <w:rFonts w:ascii="宋体" w:hAnsi="宋体" w:eastAsia="宋体" w:cs="Times New Roman"/>
                <w:b/>
                <w:bCs/>
                <w:sz w:val="24"/>
                <w:szCs w:val="24"/>
                <w:highlight w:val="none"/>
                <w:shd w:val="clear" w:color="auto" w:fill="FFFFFF"/>
              </w:rPr>
            </w:pPr>
            <w:r>
              <w:rPr>
                <w:rFonts w:hint="eastAsia" w:ascii="宋体" w:hAnsi="宋体" w:eastAsia="宋体" w:cs="Times New Roman"/>
                <w:b/>
                <w:bCs/>
                <w:sz w:val="24"/>
                <w:szCs w:val="24"/>
                <w:highlight w:val="none"/>
                <w:shd w:val="clear" w:color="auto" w:fill="FFFFFF"/>
              </w:rPr>
              <w:t>工作内容</w:t>
            </w:r>
          </w:p>
        </w:tc>
      </w:tr>
      <w:tr w14:paraId="01D8C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14" w:type="pct"/>
            <w:vAlign w:val="center"/>
          </w:tcPr>
          <w:p w14:paraId="6D000996">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1</w:t>
            </w:r>
          </w:p>
        </w:tc>
        <w:tc>
          <w:tcPr>
            <w:tcW w:w="693" w:type="pct"/>
            <w:vAlign w:val="center"/>
          </w:tcPr>
          <w:p w14:paraId="7B294010">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郑生伟</w:t>
            </w:r>
          </w:p>
        </w:tc>
        <w:tc>
          <w:tcPr>
            <w:tcW w:w="880" w:type="pct"/>
            <w:vAlign w:val="center"/>
          </w:tcPr>
          <w:p w14:paraId="5AFFECA5">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审核人</w:t>
            </w:r>
          </w:p>
        </w:tc>
        <w:tc>
          <w:tcPr>
            <w:tcW w:w="1246" w:type="pct"/>
            <w:vAlign w:val="center"/>
          </w:tcPr>
          <w:p w14:paraId="3EA33B8B">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绩效评价师</w:t>
            </w:r>
          </w:p>
        </w:tc>
        <w:tc>
          <w:tcPr>
            <w:tcW w:w="1665" w:type="pct"/>
            <w:vAlign w:val="center"/>
          </w:tcPr>
          <w:p w14:paraId="5A3F2D11">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绩效评价指导、复核</w:t>
            </w:r>
          </w:p>
        </w:tc>
      </w:tr>
      <w:tr w14:paraId="5989A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2" w:hRule="atLeast"/>
        </w:trPr>
        <w:tc>
          <w:tcPr>
            <w:tcW w:w="514" w:type="pct"/>
            <w:vAlign w:val="center"/>
          </w:tcPr>
          <w:p w14:paraId="0EEAA91F">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2</w:t>
            </w:r>
          </w:p>
        </w:tc>
        <w:tc>
          <w:tcPr>
            <w:tcW w:w="693" w:type="pct"/>
            <w:vAlign w:val="center"/>
          </w:tcPr>
          <w:p w14:paraId="6DBB197B">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刘燕</w:t>
            </w:r>
          </w:p>
        </w:tc>
        <w:tc>
          <w:tcPr>
            <w:tcW w:w="880" w:type="pct"/>
            <w:vAlign w:val="center"/>
          </w:tcPr>
          <w:p w14:paraId="3707F1D6">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主评人</w:t>
            </w:r>
          </w:p>
        </w:tc>
        <w:tc>
          <w:tcPr>
            <w:tcW w:w="1246" w:type="pct"/>
            <w:vAlign w:val="center"/>
          </w:tcPr>
          <w:p w14:paraId="28167269">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绩效评价师</w:t>
            </w:r>
          </w:p>
        </w:tc>
        <w:tc>
          <w:tcPr>
            <w:tcW w:w="1665" w:type="pct"/>
            <w:vAlign w:val="center"/>
          </w:tcPr>
          <w:p w14:paraId="42C174B9">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制定评价方案、评价报告撰写、现场及非现场评价</w:t>
            </w:r>
          </w:p>
        </w:tc>
      </w:tr>
      <w:tr w14:paraId="5437F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14" w:type="pct"/>
            <w:vAlign w:val="center"/>
          </w:tcPr>
          <w:p w14:paraId="09F8C725">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3</w:t>
            </w:r>
          </w:p>
        </w:tc>
        <w:tc>
          <w:tcPr>
            <w:tcW w:w="693" w:type="pct"/>
            <w:vAlign w:val="center"/>
          </w:tcPr>
          <w:p w14:paraId="1871C8D4">
            <w:pPr>
              <w:pStyle w:val="9"/>
              <w:overflowPunct w:val="0"/>
              <w:spacing w:line="360" w:lineRule="auto"/>
              <w:jc w:val="center"/>
              <w:rPr>
                <w:rFonts w:hint="default" w:ascii="宋体" w:hAnsi="宋体" w:eastAsia="宋体" w:cs="Times New Roman"/>
                <w:sz w:val="24"/>
                <w:szCs w:val="24"/>
                <w:highlight w:val="none"/>
                <w:shd w:val="clear" w:color="auto" w:fill="FFFFFF"/>
                <w:lang w:val="en-US" w:eastAsia="zh-CN"/>
              </w:rPr>
            </w:pPr>
            <w:r>
              <w:rPr>
                <w:rFonts w:hint="eastAsia" w:ascii="宋体" w:hAnsi="宋体" w:eastAsia="宋体" w:cs="Times New Roman"/>
                <w:sz w:val="24"/>
                <w:szCs w:val="24"/>
                <w:highlight w:val="none"/>
                <w:shd w:val="clear" w:color="auto" w:fill="FFFFFF"/>
                <w:lang w:val="en-US" w:eastAsia="zh-CN"/>
              </w:rPr>
              <w:t>赵悦江</w:t>
            </w:r>
          </w:p>
        </w:tc>
        <w:tc>
          <w:tcPr>
            <w:tcW w:w="880" w:type="pct"/>
            <w:vAlign w:val="center"/>
          </w:tcPr>
          <w:p w14:paraId="2D24384A">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组员</w:t>
            </w:r>
          </w:p>
        </w:tc>
        <w:tc>
          <w:tcPr>
            <w:tcW w:w="1246" w:type="pct"/>
            <w:vAlign w:val="center"/>
          </w:tcPr>
          <w:p w14:paraId="2C54059B">
            <w:pPr>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助理会计师</w:t>
            </w:r>
          </w:p>
        </w:tc>
        <w:tc>
          <w:tcPr>
            <w:tcW w:w="1665" w:type="pct"/>
            <w:vMerge w:val="restart"/>
            <w:vAlign w:val="center"/>
          </w:tcPr>
          <w:p w14:paraId="1A14EE29">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资料收集、审核、整理分析、现场及非现场评价</w:t>
            </w:r>
          </w:p>
        </w:tc>
      </w:tr>
      <w:tr w14:paraId="549E2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514" w:type="pct"/>
            <w:vAlign w:val="center"/>
          </w:tcPr>
          <w:p w14:paraId="7563354F">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4</w:t>
            </w:r>
          </w:p>
        </w:tc>
        <w:tc>
          <w:tcPr>
            <w:tcW w:w="1195" w:type="dxa"/>
            <w:vAlign w:val="center"/>
          </w:tcPr>
          <w:p w14:paraId="7661F7EB">
            <w:pPr>
              <w:pStyle w:val="9"/>
              <w:overflowPunct w:val="0"/>
              <w:spacing w:line="360" w:lineRule="auto"/>
              <w:jc w:val="center"/>
              <w:rPr>
                <w:rFonts w:hint="default" w:ascii="宋体" w:hAnsi="宋体" w:eastAsia="宋体" w:cs="Times New Roman"/>
                <w:sz w:val="24"/>
                <w:szCs w:val="24"/>
                <w:highlight w:val="none"/>
                <w:shd w:val="clear" w:color="auto" w:fill="FFFFFF"/>
                <w:lang w:val="en-US" w:eastAsia="zh-CN"/>
              </w:rPr>
            </w:pPr>
            <w:r>
              <w:rPr>
                <w:rFonts w:hint="eastAsia" w:ascii="宋体" w:hAnsi="宋体" w:eastAsia="宋体" w:cs="Times New Roman"/>
                <w:sz w:val="24"/>
                <w:szCs w:val="24"/>
                <w:highlight w:val="none"/>
                <w:shd w:val="clear" w:color="auto" w:fill="FFFFFF"/>
                <w:lang w:val="en-US" w:eastAsia="zh-CN"/>
              </w:rPr>
              <w:t>吕晓芳</w:t>
            </w:r>
          </w:p>
        </w:tc>
        <w:tc>
          <w:tcPr>
            <w:tcW w:w="880" w:type="pct"/>
            <w:vAlign w:val="center"/>
          </w:tcPr>
          <w:p w14:paraId="6211E287">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组员</w:t>
            </w:r>
          </w:p>
        </w:tc>
        <w:tc>
          <w:tcPr>
            <w:tcW w:w="1246" w:type="pct"/>
            <w:vAlign w:val="center"/>
          </w:tcPr>
          <w:p w14:paraId="6E305209">
            <w:pPr>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助理会计师</w:t>
            </w:r>
          </w:p>
        </w:tc>
        <w:tc>
          <w:tcPr>
            <w:tcW w:w="1665" w:type="pct"/>
            <w:vMerge w:val="continue"/>
          </w:tcPr>
          <w:p w14:paraId="2CCAF404">
            <w:pPr>
              <w:overflowPunct w:val="0"/>
              <w:spacing w:line="360" w:lineRule="auto"/>
              <w:rPr>
                <w:rFonts w:ascii="宋体" w:hAnsi="宋体" w:eastAsia="宋体" w:cs="Times New Roman"/>
                <w:sz w:val="24"/>
                <w:szCs w:val="24"/>
                <w:highlight w:val="none"/>
                <w:shd w:val="clear" w:color="auto" w:fill="FFFFFF"/>
              </w:rPr>
            </w:pPr>
          </w:p>
        </w:tc>
      </w:tr>
      <w:tr w14:paraId="3971C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14" w:type="pct"/>
            <w:vAlign w:val="center"/>
          </w:tcPr>
          <w:p w14:paraId="75F89697">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5</w:t>
            </w:r>
          </w:p>
        </w:tc>
        <w:tc>
          <w:tcPr>
            <w:tcW w:w="1195" w:type="dxa"/>
            <w:vAlign w:val="center"/>
          </w:tcPr>
          <w:p w14:paraId="0FEE0460">
            <w:pPr>
              <w:pStyle w:val="9"/>
              <w:overflowPunct w:val="0"/>
              <w:spacing w:line="360" w:lineRule="auto"/>
              <w:jc w:val="center"/>
              <w:rPr>
                <w:rFonts w:hint="eastAsia" w:ascii="宋体" w:hAnsi="宋体" w:eastAsia="宋体" w:cs="Times New Roman"/>
                <w:sz w:val="24"/>
                <w:szCs w:val="24"/>
                <w:highlight w:val="none"/>
                <w:shd w:val="clear" w:color="auto" w:fill="FFFFFF"/>
                <w:lang w:val="en-US" w:eastAsia="zh-CN"/>
              </w:rPr>
            </w:pPr>
            <w:r>
              <w:rPr>
                <w:rFonts w:hint="eastAsia" w:ascii="宋体" w:hAnsi="宋体" w:eastAsia="宋体" w:cs="Times New Roman"/>
                <w:sz w:val="24"/>
                <w:szCs w:val="24"/>
                <w:highlight w:val="none"/>
                <w:shd w:val="clear" w:color="auto" w:fill="FFFFFF"/>
                <w:lang w:val="en-US" w:eastAsia="zh-CN"/>
              </w:rPr>
              <w:t>向文霞</w:t>
            </w:r>
          </w:p>
        </w:tc>
        <w:tc>
          <w:tcPr>
            <w:tcW w:w="880" w:type="pct"/>
            <w:vAlign w:val="center"/>
          </w:tcPr>
          <w:p w14:paraId="12909B24">
            <w:pPr>
              <w:pStyle w:val="9"/>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组员</w:t>
            </w:r>
          </w:p>
        </w:tc>
        <w:tc>
          <w:tcPr>
            <w:tcW w:w="1246" w:type="pct"/>
            <w:vAlign w:val="center"/>
          </w:tcPr>
          <w:p w14:paraId="6FA81388">
            <w:pPr>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助理会计师</w:t>
            </w:r>
          </w:p>
        </w:tc>
        <w:tc>
          <w:tcPr>
            <w:tcW w:w="1665" w:type="pct"/>
            <w:vMerge w:val="continue"/>
          </w:tcPr>
          <w:p w14:paraId="2C9CF9AB">
            <w:pPr>
              <w:overflowPunct w:val="0"/>
              <w:spacing w:line="360" w:lineRule="auto"/>
              <w:rPr>
                <w:rFonts w:ascii="宋体" w:hAnsi="宋体" w:eastAsia="宋体" w:cs="Times New Roman"/>
                <w:sz w:val="24"/>
                <w:szCs w:val="24"/>
                <w:highlight w:val="none"/>
                <w:shd w:val="clear" w:color="auto" w:fill="FFFFFF"/>
              </w:rPr>
            </w:pPr>
          </w:p>
        </w:tc>
      </w:tr>
      <w:tr w14:paraId="23417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14" w:type="pct"/>
            <w:vAlign w:val="center"/>
          </w:tcPr>
          <w:p w14:paraId="3B695524">
            <w:pPr>
              <w:pStyle w:val="9"/>
              <w:overflowPunct w:val="0"/>
              <w:spacing w:line="360" w:lineRule="auto"/>
              <w:jc w:val="center"/>
              <w:rPr>
                <w:rFonts w:hint="eastAsia" w:ascii="宋体" w:hAnsi="宋体" w:eastAsia="宋体" w:cs="Times New Roman"/>
                <w:sz w:val="24"/>
                <w:szCs w:val="24"/>
                <w:highlight w:val="none"/>
                <w:shd w:val="clear" w:color="auto" w:fill="FFFFFF"/>
                <w:lang w:eastAsia="zh-CN"/>
              </w:rPr>
            </w:pPr>
            <w:r>
              <w:rPr>
                <w:rFonts w:hint="eastAsia" w:ascii="宋体" w:hAnsi="宋体" w:eastAsia="宋体" w:cs="Times New Roman"/>
                <w:sz w:val="24"/>
                <w:szCs w:val="24"/>
                <w:highlight w:val="none"/>
                <w:shd w:val="clear" w:color="auto" w:fill="FFFFFF"/>
                <w:lang w:val="en-US" w:eastAsia="zh-CN"/>
              </w:rPr>
              <w:t>6</w:t>
            </w:r>
          </w:p>
        </w:tc>
        <w:tc>
          <w:tcPr>
            <w:tcW w:w="693" w:type="pct"/>
            <w:vAlign w:val="center"/>
          </w:tcPr>
          <w:p w14:paraId="6B7403C1">
            <w:pPr>
              <w:pStyle w:val="9"/>
              <w:overflowPunct w:val="0"/>
              <w:spacing w:line="360" w:lineRule="auto"/>
              <w:jc w:val="center"/>
              <w:rPr>
                <w:rFonts w:hint="default" w:ascii="宋体" w:hAnsi="宋体" w:eastAsia="宋体" w:cs="Times New Roman"/>
                <w:sz w:val="24"/>
                <w:szCs w:val="24"/>
                <w:highlight w:val="none"/>
                <w:shd w:val="clear" w:color="auto" w:fill="FFFFFF"/>
                <w:lang w:val="en-US" w:eastAsia="zh-CN"/>
              </w:rPr>
            </w:pPr>
            <w:r>
              <w:rPr>
                <w:rFonts w:hint="eastAsia" w:ascii="宋体" w:hAnsi="宋体" w:eastAsia="宋体" w:cs="Times New Roman"/>
                <w:sz w:val="24"/>
                <w:szCs w:val="24"/>
                <w:highlight w:val="none"/>
                <w:shd w:val="clear" w:color="auto" w:fill="FFFFFF"/>
              </w:rPr>
              <w:t>杨世勋</w:t>
            </w:r>
          </w:p>
        </w:tc>
        <w:tc>
          <w:tcPr>
            <w:tcW w:w="880" w:type="pct"/>
            <w:vAlign w:val="center"/>
          </w:tcPr>
          <w:p w14:paraId="0C8F0E5E">
            <w:pPr>
              <w:pStyle w:val="9"/>
              <w:overflowPunct w:val="0"/>
              <w:spacing w:line="360" w:lineRule="auto"/>
              <w:jc w:val="center"/>
              <w:rPr>
                <w:rFonts w:hint="eastAsia"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组员</w:t>
            </w:r>
          </w:p>
        </w:tc>
        <w:tc>
          <w:tcPr>
            <w:tcW w:w="1246" w:type="pct"/>
            <w:vAlign w:val="center"/>
          </w:tcPr>
          <w:p w14:paraId="503A0350">
            <w:pPr>
              <w:overflowPunct w:val="0"/>
              <w:spacing w:line="360" w:lineRule="auto"/>
              <w:jc w:val="center"/>
              <w:rPr>
                <w:rFonts w:hint="eastAsia"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助理会计师</w:t>
            </w:r>
          </w:p>
        </w:tc>
        <w:tc>
          <w:tcPr>
            <w:tcW w:w="1665" w:type="pct"/>
            <w:vMerge w:val="continue"/>
          </w:tcPr>
          <w:p w14:paraId="18585675">
            <w:pPr>
              <w:overflowPunct w:val="0"/>
              <w:spacing w:line="360" w:lineRule="auto"/>
              <w:rPr>
                <w:rFonts w:ascii="宋体" w:hAnsi="宋体" w:eastAsia="宋体" w:cs="Times New Roman"/>
                <w:sz w:val="24"/>
                <w:szCs w:val="24"/>
                <w:highlight w:val="none"/>
                <w:shd w:val="clear" w:color="auto" w:fill="FFFFFF"/>
              </w:rPr>
            </w:pPr>
          </w:p>
        </w:tc>
      </w:tr>
    </w:tbl>
    <w:p w14:paraId="5401C614">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（2）评价时间安排</w:t>
      </w:r>
    </w:p>
    <w:p w14:paraId="363E92D4">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根据</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要求，确定评价时间为2023年</w:t>
      </w:r>
      <w:r>
        <w:rPr>
          <w:rFonts w:hint="eastAsia" w:ascii="仿宋_GB2312" w:hAnsi="仿宋_GB2312" w:cs="仿宋_GB2312"/>
          <w:highlight w:val="none"/>
          <w:lang w:val="en-US" w:eastAsia="zh-CN"/>
        </w:rPr>
        <w:t>7</w:t>
      </w:r>
      <w:r>
        <w:rPr>
          <w:rFonts w:hint="eastAsia" w:ascii="仿宋_GB2312" w:hAnsi="仿宋_GB2312" w:cs="仿宋_GB2312"/>
          <w:highlight w:val="none"/>
        </w:rPr>
        <w:t>月</w:t>
      </w:r>
      <w:r>
        <w:rPr>
          <w:rFonts w:hint="eastAsia" w:ascii="仿宋_GB2312" w:hAnsi="仿宋_GB2312" w:cs="仿宋_GB2312"/>
          <w:highlight w:val="none"/>
          <w:lang w:val="en-US" w:eastAsia="zh-CN"/>
        </w:rPr>
        <w:t>1</w:t>
      </w:r>
      <w:r>
        <w:rPr>
          <w:rFonts w:hint="eastAsia" w:ascii="仿宋_GB2312" w:hAnsi="仿宋_GB2312" w:cs="仿宋_GB2312"/>
          <w:highlight w:val="none"/>
        </w:rPr>
        <w:t>日—2023年</w:t>
      </w:r>
      <w:r>
        <w:rPr>
          <w:rFonts w:hint="eastAsia" w:ascii="仿宋_GB2312" w:hAnsi="仿宋_GB2312" w:cs="仿宋_GB2312"/>
          <w:highlight w:val="none"/>
          <w:lang w:val="en-US" w:eastAsia="zh-CN"/>
        </w:rPr>
        <w:t>7</w:t>
      </w:r>
      <w:r>
        <w:rPr>
          <w:rFonts w:hint="eastAsia" w:ascii="仿宋_GB2312" w:hAnsi="仿宋_GB2312" w:cs="仿宋_GB2312"/>
          <w:highlight w:val="none"/>
        </w:rPr>
        <w:t>月3</w:t>
      </w:r>
      <w:r>
        <w:rPr>
          <w:rFonts w:hint="eastAsia" w:ascii="仿宋_GB2312" w:hAnsi="仿宋_GB2312" w:cs="仿宋_GB2312"/>
          <w:highlight w:val="none"/>
          <w:lang w:val="en-US" w:eastAsia="zh-CN"/>
        </w:rPr>
        <w:t>1</w:t>
      </w:r>
      <w:r>
        <w:rPr>
          <w:rFonts w:hint="eastAsia" w:ascii="仿宋_GB2312" w:hAnsi="仿宋_GB2312" w:cs="仿宋_GB2312"/>
          <w:highlight w:val="none"/>
        </w:rPr>
        <w:t>日。</w:t>
      </w:r>
    </w:p>
    <w:p w14:paraId="044702AD">
      <w:pPr>
        <w:pStyle w:val="4"/>
        <w:keepNext w:val="0"/>
        <w:keepLines w:val="0"/>
        <w:overflowPunct w:val="0"/>
        <w:spacing w:before="0" w:after="0" w:line="560" w:lineRule="exact"/>
        <w:ind w:firstLine="643" w:firstLineChars="200"/>
        <w:rPr>
          <w:rFonts w:ascii="仿宋_GB2312" w:hAnsi="仿宋_GB2312" w:eastAsia="仿宋_GB2312" w:cs="仿宋_GB2312"/>
          <w:color w:val="000000" w:themeColor="text1"/>
          <w:szCs w:val="32"/>
          <w:highlight w:val="none"/>
          <w14:textFill>
            <w14:solidFill>
              <w14:schemeClr w14:val="tx1"/>
            </w14:solidFill>
          </w14:textFill>
        </w:rPr>
      </w:pPr>
      <w:r>
        <w:rPr>
          <w:rFonts w:hint="eastAsia" w:ascii="仿宋_GB2312" w:hAnsi="仿宋_GB2312" w:eastAsia="仿宋_GB2312" w:cs="仿宋_GB2312"/>
          <w:color w:val="000000" w:themeColor="text1"/>
          <w:szCs w:val="32"/>
          <w:highlight w:val="none"/>
          <w14:textFill>
            <w14:solidFill>
              <w14:schemeClr w14:val="tx1"/>
            </w14:solidFill>
          </w14:textFill>
        </w:rPr>
        <w:t>2.实施阶段</w:t>
      </w:r>
    </w:p>
    <w:p w14:paraId="452ACB93">
      <w:pPr>
        <w:pStyle w:val="9"/>
        <w:tabs>
          <w:tab w:val="left" w:pos="510"/>
          <w:tab w:val="left" w:pos="675"/>
        </w:tabs>
        <w:overflowPunct w:val="0"/>
        <w:spacing w:line="560" w:lineRule="exact"/>
        <w:ind w:firstLine="640" w:firstLineChars="200"/>
        <w:rPr>
          <w:rFonts w:hint="default" w:ascii="仿宋_GB2312" w:hAnsi="仿宋_GB2312" w:eastAsia="仿宋_GB2312" w:cs="仿宋_GB2312"/>
          <w:highlight w:val="none"/>
          <w:lang w:val="en-US" w:eastAsia="zh-CN"/>
        </w:rPr>
      </w:pPr>
      <w:r>
        <w:rPr>
          <w:rFonts w:hint="eastAsia" w:ascii="仿宋_GB2312" w:hAnsi="仿宋_GB2312" w:cs="仿宋_GB2312"/>
          <w:highlight w:val="none"/>
        </w:rPr>
        <w:t>（1）</w:t>
      </w:r>
      <w:r>
        <w:rPr>
          <w:rFonts w:hint="eastAsia" w:ascii="仿宋_GB2312" w:hAnsi="仿宋_GB2312" w:cs="仿宋_GB2312"/>
          <w:highlight w:val="none"/>
          <w:lang w:val="en-US" w:eastAsia="zh-CN"/>
        </w:rPr>
        <w:t>递交资料清单</w:t>
      </w:r>
    </w:p>
    <w:p w14:paraId="247A6CA5">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eastAsia="仿宋_GB2312" w:cs="仿宋_GB2312"/>
          <w:sz w:val="32"/>
          <w:szCs w:val="32"/>
          <w:highlight w:val="none"/>
          <w:lang w:val="en-US" w:eastAsia="zh-CN"/>
        </w:rPr>
        <w:t>绩效评价组在拟开展现场评价的5个工作日前向</w:t>
      </w:r>
      <w:r>
        <w:rPr>
          <w:rFonts w:hint="eastAsia" w:ascii="仿宋_GB2312" w:hAnsi="仿宋_GB2312" w:cs="仿宋_GB2312"/>
          <w:sz w:val="32"/>
          <w:szCs w:val="32"/>
          <w:highlight w:val="none"/>
          <w:lang w:val="en-US" w:eastAsia="zh-CN"/>
        </w:rPr>
        <w:t>甘肃省高级人民法院</w:t>
      </w:r>
      <w:r>
        <w:rPr>
          <w:rFonts w:hint="eastAsia" w:ascii="仿宋_GB2312" w:hAnsi="仿宋_GB2312" w:eastAsia="仿宋_GB2312" w:cs="仿宋_GB2312"/>
          <w:sz w:val="32"/>
          <w:szCs w:val="32"/>
          <w:highlight w:val="none"/>
          <w:lang w:val="en-US" w:eastAsia="zh-CN"/>
        </w:rPr>
        <w:t>发送资料清单，</w:t>
      </w:r>
      <w:r>
        <w:rPr>
          <w:rFonts w:hint="eastAsia" w:ascii="仿宋_GB2312" w:hAnsi="仿宋_GB2312" w:cs="仿宋_GB2312"/>
          <w:sz w:val="32"/>
          <w:szCs w:val="32"/>
          <w:highlight w:val="none"/>
          <w:lang w:val="en-US" w:eastAsia="zh-CN"/>
        </w:rPr>
        <w:t>甘肃省高级人民法院</w:t>
      </w:r>
      <w:r>
        <w:rPr>
          <w:rFonts w:hint="eastAsia" w:ascii="仿宋_GB2312" w:hAnsi="仿宋_GB2312" w:eastAsia="仿宋_GB2312" w:cs="仿宋_GB2312"/>
          <w:sz w:val="32"/>
          <w:szCs w:val="32"/>
          <w:highlight w:val="none"/>
          <w:lang w:val="en-US" w:eastAsia="zh-CN"/>
        </w:rPr>
        <w:t>提前准备评价资料</w:t>
      </w:r>
      <w:r>
        <w:rPr>
          <w:rFonts w:hint="eastAsia" w:ascii="仿宋_GB2312" w:hAnsi="仿宋_GB2312" w:cs="仿宋_GB2312"/>
          <w:highlight w:val="none"/>
        </w:rPr>
        <w:t>。</w:t>
      </w:r>
    </w:p>
    <w:p w14:paraId="4A684DB5">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（2）进驻评价单位</w:t>
      </w:r>
    </w:p>
    <w:p w14:paraId="7AE405AA">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eastAsia="仿宋_GB2312" w:cs="仿宋_GB2312"/>
          <w:sz w:val="32"/>
          <w:szCs w:val="32"/>
          <w:highlight w:val="none"/>
        </w:rPr>
        <w:t>评价组按时进驻</w:t>
      </w:r>
      <w:r>
        <w:rPr>
          <w:rFonts w:hint="eastAsia" w:ascii="仿宋_GB2312" w:hAnsi="仿宋_GB2312" w:cs="仿宋_GB2312"/>
          <w:sz w:val="32"/>
          <w:szCs w:val="32"/>
          <w:highlight w:val="none"/>
          <w:lang w:val="en-US" w:eastAsia="zh-CN"/>
        </w:rPr>
        <w:t>甘肃省高级人民法院</w:t>
      </w:r>
      <w:r>
        <w:rPr>
          <w:rFonts w:hint="eastAsia" w:ascii="仿宋_GB2312" w:hAnsi="仿宋_GB2312" w:eastAsia="仿宋_GB2312" w:cs="仿宋_GB2312"/>
          <w:sz w:val="32"/>
          <w:szCs w:val="32"/>
          <w:highlight w:val="none"/>
        </w:rPr>
        <w:t>，根据工作方案，</w:t>
      </w:r>
      <w:r>
        <w:rPr>
          <w:rFonts w:hint="eastAsia" w:ascii="仿宋_GB2312" w:hAnsi="仿宋_GB2312" w:cs="仿宋_GB2312"/>
          <w:sz w:val="32"/>
          <w:szCs w:val="32"/>
          <w:highlight w:val="none"/>
          <w:lang w:val="en-US" w:eastAsia="zh-CN"/>
        </w:rPr>
        <w:t>于2023</w:t>
      </w:r>
      <w:r>
        <w:rPr>
          <w:rFonts w:hint="eastAsia" w:ascii="仿宋_GB2312" w:hAnsi="仿宋_GB2312" w:eastAsia="仿宋_GB2312" w:cs="仿宋_GB2312"/>
          <w:sz w:val="32"/>
          <w:szCs w:val="32"/>
          <w:highlight w:val="none"/>
        </w:rPr>
        <w:t>年</w:t>
      </w:r>
      <w:r>
        <w:rPr>
          <w:rFonts w:hint="eastAsia" w:ascii="仿宋_GB2312" w:hAnsi="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月</w:t>
      </w:r>
      <w:r>
        <w:rPr>
          <w:rFonts w:hint="eastAsia" w:ascii="仿宋_GB2312" w:hAnsi="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日，对相关工作人员进行了访谈，本次访谈旨在通过与相关</w:t>
      </w:r>
      <w:r>
        <w:rPr>
          <w:rFonts w:hint="eastAsia" w:ascii="仿宋_GB2312" w:hAnsi="仿宋_GB2312" w:cs="仿宋_GB2312"/>
          <w:sz w:val="32"/>
          <w:szCs w:val="32"/>
          <w:highlight w:val="none"/>
          <w:lang w:val="en-US" w:eastAsia="zh-CN"/>
        </w:rPr>
        <w:t>工作</w:t>
      </w:r>
      <w:r>
        <w:rPr>
          <w:rFonts w:hint="eastAsia" w:ascii="仿宋_GB2312" w:hAnsi="仿宋_GB2312" w:eastAsia="仿宋_GB2312" w:cs="仿宋_GB2312"/>
          <w:sz w:val="32"/>
          <w:szCs w:val="32"/>
          <w:highlight w:val="none"/>
        </w:rPr>
        <w:t>人员进行沟通，了解</w:t>
      </w:r>
      <w:r>
        <w:rPr>
          <w:rFonts w:hint="eastAsia" w:ascii="仿宋_GB2312" w:hAnsi="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基本情况以及重点工作任务完成情况，听取</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的目标设定及完成程度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组织管理制度建立健全及落实情况、预算支出执行情况、财务管理状况、资产管理情况和项目实施产生的效益效果等情况介绍</w:t>
      </w:r>
      <w:r>
        <w:rPr>
          <w:rFonts w:hint="eastAsia" w:ascii="仿宋_GB2312" w:hAnsi="仿宋_GB2312" w:cs="仿宋_GB2312"/>
          <w:highlight w:val="none"/>
        </w:rPr>
        <w:t>。</w:t>
      </w:r>
    </w:p>
    <w:p w14:paraId="2689F4C2">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（3）资料分析及复核</w:t>
      </w:r>
    </w:p>
    <w:p w14:paraId="5964B32B">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根据访谈了解情况对</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提供的资料进行核对，核实其真实性。结合资料进行现场查看，核实</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各项重点工作任务的完成情况的真实性和规范性。</w:t>
      </w:r>
    </w:p>
    <w:p w14:paraId="6E80E853">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（4）进行现场评分</w:t>
      </w:r>
    </w:p>
    <w:p w14:paraId="684A4047">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针对评价中发现的问题与</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及时沟通，对各项评价指标进行分析讨论，经反复分析、研究，按设计的评价指标体系进行现场评价打分。</w:t>
      </w:r>
    </w:p>
    <w:p w14:paraId="78CA1374">
      <w:pPr>
        <w:pStyle w:val="9"/>
        <w:tabs>
          <w:tab w:val="left" w:pos="510"/>
          <w:tab w:val="left" w:pos="675"/>
        </w:tabs>
        <w:overflowPunct w:val="0"/>
        <w:spacing w:line="560" w:lineRule="exact"/>
        <w:ind w:firstLine="640" w:firstLineChars="200"/>
        <w:rPr>
          <w:rFonts w:hint="eastAsia" w:ascii="仿宋_GB2312" w:hAnsi="仿宋_GB2312" w:cs="仿宋_GB2312"/>
          <w:highlight w:val="none"/>
          <w:lang w:eastAsia="zh-CN"/>
        </w:rPr>
      </w:pP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5</w:t>
      </w:r>
      <w:r>
        <w:rPr>
          <w:rFonts w:hint="eastAsia" w:ascii="仿宋_GB2312" w:hAnsi="仿宋_GB2312" w:cs="仿宋_GB2312"/>
          <w:highlight w:val="none"/>
          <w:lang w:eastAsia="zh-CN"/>
        </w:rPr>
        <w:t>）开展社会调查</w:t>
      </w:r>
    </w:p>
    <w:p w14:paraId="56EAEDED">
      <w:pPr>
        <w:pStyle w:val="9"/>
        <w:tabs>
          <w:tab w:val="left" w:pos="510"/>
          <w:tab w:val="left" w:pos="675"/>
        </w:tabs>
        <w:overflowPunct w:val="0"/>
        <w:spacing w:line="560" w:lineRule="exact"/>
        <w:ind w:firstLine="640" w:firstLineChars="200"/>
        <w:rPr>
          <w:rFonts w:hint="eastAsia" w:ascii="仿宋_GB2312" w:hAnsi="仿宋_GB2312" w:eastAsia="仿宋_GB2312" w:cs="仿宋_GB2312"/>
          <w:highlight w:val="none"/>
          <w:lang w:eastAsia="zh-CN"/>
        </w:rPr>
      </w:pPr>
      <w:r>
        <w:rPr>
          <w:rFonts w:hint="eastAsia" w:ascii="仿宋_GB2312" w:hAnsi="仿宋_GB2312" w:cs="仿宋_GB2312"/>
          <w:highlight w:val="none"/>
          <w:lang w:eastAsia="zh-CN"/>
        </w:rPr>
        <w:t>根据绩效评价方案中确定的调查对象、调查内容，随机抽取</w:t>
      </w:r>
      <w:r>
        <w:rPr>
          <w:rFonts w:hint="eastAsia" w:ascii="仿宋_GB2312" w:hAnsi="仿宋_GB2312" w:cs="仿宋_GB2312"/>
          <w:highlight w:val="none"/>
          <w:lang w:val="en-US" w:eastAsia="zh-CN"/>
        </w:rPr>
        <w:t>项目受益对象</w:t>
      </w:r>
      <w:r>
        <w:rPr>
          <w:rFonts w:hint="eastAsia" w:ascii="仿宋_GB2312" w:hAnsi="仿宋_GB2312" w:cs="仿宋_GB2312"/>
          <w:highlight w:val="none"/>
          <w:lang w:eastAsia="zh-CN"/>
        </w:rPr>
        <w:t>进行调查，发放并收回调查问卷，对调查问卷进行统计分析。</w:t>
      </w:r>
    </w:p>
    <w:p w14:paraId="77467737">
      <w:pPr>
        <w:pStyle w:val="4"/>
        <w:keepNext w:val="0"/>
        <w:keepLines w:val="0"/>
        <w:overflowPunct w:val="0"/>
        <w:spacing w:before="0" w:after="0" w:line="560" w:lineRule="exact"/>
        <w:ind w:firstLine="643" w:firstLineChars="200"/>
        <w:rPr>
          <w:rFonts w:ascii="仿宋_GB2312" w:hAnsi="仿宋_GB2312" w:eastAsia="仿宋_GB2312" w:cs="仿宋_GB2312"/>
          <w:color w:val="000000" w:themeColor="text1"/>
          <w:szCs w:val="32"/>
          <w:highlight w:val="none"/>
          <w14:textFill>
            <w14:solidFill>
              <w14:schemeClr w14:val="tx1"/>
            </w14:solidFill>
          </w14:textFill>
        </w:rPr>
      </w:pPr>
      <w:r>
        <w:rPr>
          <w:rFonts w:hint="eastAsia" w:ascii="仿宋_GB2312" w:hAnsi="仿宋_GB2312" w:eastAsia="仿宋_GB2312" w:cs="仿宋_GB2312"/>
          <w:color w:val="000000" w:themeColor="text1"/>
          <w:szCs w:val="32"/>
          <w:highlight w:val="none"/>
          <w14:textFill>
            <w14:solidFill>
              <w14:schemeClr w14:val="tx1"/>
            </w14:solidFill>
          </w14:textFill>
        </w:rPr>
        <w:t>3.撰写报告阶段</w:t>
      </w:r>
    </w:p>
    <w:p w14:paraId="538788E9">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（1）撰写绩效评价报告</w:t>
      </w:r>
    </w:p>
    <w:p w14:paraId="3D798521">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评价小组根据现场评价收集的资料，运用科学、合理的绩效评价指标、评价标准和评价方法，对项目支出的经济性、效率性和效益性进行客观、公正地评价，</w:t>
      </w:r>
      <w:r>
        <w:rPr>
          <w:rFonts w:hint="eastAsia" w:ascii="仿宋_GB2312" w:hAnsi="仿宋_GB2312" w:cs="仿宋_GB2312"/>
          <w:highlight w:val="none"/>
          <w:lang w:val="en-US" w:eastAsia="zh-CN"/>
        </w:rPr>
        <w:t>及时</w:t>
      </w:r>
      <w:r>
        <w:rPr>
          <w:rFonts w:hint="eastAsia" w:ascii="仿宋_GB2312" w:hAnsi="仿宋_GB2312" w:cs="仿宋_GB2312"/>
          <w:highlight w:val="none"/>
        </w:rPr>
        <w:t>撰写绩效评价报告，并做到依据充分、数据真实、内容完整、客观公正、结论明确、建议可行。</w:t>
      </w:r>
    </w:p>
    <w:p w14:paraId="2A96E2B6">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（2）绩效评价报告征求意见</w:t>
      </w:r>
    </w:p>
    <w:p w14:paraId="6FCD4706">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绩效评价报告初稿完成后，征求</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的意见，根据反馈的有效意见对评价报告进行修改。</w:t>
      </w:r>
    </w:p>
    <w:p w14:paraId="7088E244">
      <w:pPr>
        <w:pStyle w:val="9"/>
        <w:tabs>
          <w:tab w:val="left" w:pos="510"/>
          <w:tab w:val="left" w:pos="675"/>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（3）提交绩效评价报告</w:t>
      </w:r>
    </w:p>
    <w:p w14:paraId="3CF0C8FC">
      <w:pPr>
        <w:overflowPunct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绩效评价报告及评价数据资料经绩效评价负责人和被评价单位确定，在规定时间内按照规定的格式、要求，提交</w:t>
      </w:r>
      <w:r>
        <w:rPr>
          <w:rFonts w:hint="eastAsia" w:ascii="仿宋_GB2312" w:hAnsi="仿宋_GB2312" w:eastAsia="仿宋_GB2312" w:cs="仿宋_GB2312"/>
          <w:sz w:val="32"/>
          <w:szCs w:val="32"/>
          <w:highlight w:val="none"/>
          <w:lang w:val="en-US" w:eastAsia="zh-CN"/>
        </w:rPr>
        <w:t>甘肃省高级人民法院</w:t>
      </w:r>
      <w:r>
        <w:rPr>
          <w:rFonts w:hint="eastAsia" w:ascii="仿宋_GB2312" w:hAnsi="仿宋_GB2312" w:eastAsia="仿宋_GB2312" w:cs="仿宋_GB2312"/>
          <w:sz w:val="32"/>
          <w:szCs w:val="32"/>
          <w:highlight w:val="none"/>
        </w:rPr>
        <w:t>及财政部门。</w:t>
      </w:r>
    </w:p>
    <w:p w14:paraId="3EFC4A6D">
      <w:pPr>
        <w:pStyle w:val="9"/>
        <w:overflowPunct w:val="0"/>
        <w:spacing w:line="560" w:lineRule="exact"/>
        <w:ind w:firstLine="640" w:firstLineChars="200"/>
        <w:outlineLvl w:val="0"/>
        <w:rPr>
          <w:rFonts w:hint="eastAsia" w:ascii="黑体" w:eastAsia="黑体"/>
          <w:highlight w:val="none"/>
          <w:lang w:val="en-US" w:eastAsia="zh-CN"/>
        </w:rPr>
      </w:pPr>
      <w:bookmarkStart w:id="125" w:name="_Toc6529"/>
      <w:bookmarkStart w:id="126" w:name="_Toc22550"/>
      <w:bookmarkStart w:id="127" w:name="_Toc20255"/>
      <w:r>
        <w:rPr>
          <w:rFonts w:hint="eastAsia" w:ascii="黑体" w:eastAsia="黑体"/>
          <w:highlight w:val="none"/>
        </w:rPr>
        <w:t>四、评价结论及分析</w:t>
      </w:r>
      <w:bookmarkEnd w:id="125"/>
      <w:bookmarkEnd w:id="126"/>
      <w:bookmarkEnd w:id="127"/>
      <w:r>
        <w:rPr>
          <w:rFonts w:hint="eastAsia" w:ascii="黑体" w:eastAsia="黑体"/>
          <w:highlight w:val="none"/>
          <w:lang w:val="en-US" w:eastAsia="zh-CN"/>
        </w:rPr>
        <w:t xml:space="preserve"> </w:t>
      </w:r>
    </w:p>
    <w:p w14:paraId="08EFC09A">
      <w:pPr>
        <w:pStyle w:val="9"/>
        <w:spacing w:line="560" w:lineRule="exact"/>
        <w:ind w:firstLine="640" w:firstLineChars="200"/>
        <w:rPr>
          <w:highlight w:val="none"/>
        </w:rPr>
      </w:pPr>
      <w:r>
        <w:rPr>
          <w:rFonts w:hint="eastAsia" w:ascii="仿宋_GB2312" w:hAnsi="仿宋_GB2312" w:cs="仿宋_GB2312"/>
          <w:highlight w:val="none"/>
        </w:rPr>
        <w:t>评价小组根据项目实际，运用事先设置的评价指标体系及评分标准，对本次绩效评价指标体系进行适当调整，并经过数据采集、问卷调查及访谈、专家论证等</w:t>
      </w:r>
      <w:r>
        <w:rPr>
          <w:rFonts w:hint="eastAsia" w:ascii="仿宋_GB2312" w:hAnsi="仿宋_GB2312" w:cs="仿宋_GB2312"/>
          <w:highlight w:val="none"/>
          <w:lang w:val="en-US" w:eastAsia="zh-CN"/>
        </w:rPr>
        <w:t>评价方式</w:t>
      </w:r>
      <w:r>
        <w:rPr>
          <w:rFonts w:hint="eastAsia" w:ascii="仿宋_GB2312" w:hAnsi="仿宋_GB2312" w:cs="仿宋_GB2312"/>
          <w:highlight w:val="none"/>
        </w:rPr>
        <w:t>，客观公正地评价，评定2023年度</w:t>
      </w:r>
      <w:r>
        <w:rPr>
          <w:rFonts w:hint="eastAsia" w:ascii="仿宋_GB2312" w:hAnsi="仿宋_GB2312" w:cs="仿宋_GB2312"/>
          <w:highlight w:val="none"/>
          <w:lang w:val="en-US" w:eastAsia="zh-CN"/>
        </w:rPr>
        <w:t>设备购置费</w:t>
      </w:r>
      <w:r>
        <w:rPr>
          <w:rFonts w:hint="eastAsia" w:ascii="仿宋_GB2312" w:hAnsi="仿宋_GB2312" w:cs="仿宋_GB2312"/>
          <w:highlight w:val="none"/>
        </w:rPr>
        <w:t>项目综合评价得分为</w:t>
      </w:r>
      <w:r>
        <w:rPr>
          <w:rFonts w:hint="eastAsia" w:ascii="仿宋_GB2312" w:hAnsi="仿宋_GB2312" w:cs="仿宋_GB2312"/>
          <w:highlight w:val="none"/>
          <w:lang w:val="en-US" w:eastAsia="zh-CN"/>
        </w:rPr>
        <w:t>90.87</w:t>
      </w:r>
      <w:r>
        <w:rPr>
          <w:rFonts w:hint="eastAsia" w:ascii="仿宋_GB2312" w:hAnsi="仿宋_GB2312" w:cs="仿宋_GB2312"/>
          <w:highlight w:val="none"/>
        </w:rPr>
        <w:t>分，评价等级为“</w:t>
      </w:r>
      <w:r>
        <w:rPr>
          <w:rFonts w:hint="eastAsia" w:ascii="仿宋_GB2312" w:hAnsi="仿宋_GB2312" w:cs="仿宋_GB2312"/>
          <w:highlight w:val="none"/>
          <w:lang w:val="en-US" w:eastAsia="zh-CN"/>
        </w:rPr>
        <w:t>优</w:t>
      </w:r>
      <w:r>
        <w:rPr>
          <w:rFonts w:hint="eastAsia" w:ascii="仿宋_GB2312" w:hAnsi="仿宋_GB2312" w:cs="仿宋_GB2312"/>
          <w:highlight w:val="none"/>
        </w:rPr>
        <w:t>”。指标具体得分情况见下表：</w:t>
      </w:r>
    </w:p>
    <w:tbl>
      <w:tblPr>
        <w:tblStyle w:val="19"/>
        <w:tblW w:w="8588" w:type="dxa"/>
        <w:tblInd w:w="96" w:type="dxa"/>
        <w:tblLayout w:type="autofit"/>
        <w:tblCellMar>
          <w:top w:w="0" w:type="dxa"/>
          <w:left w:w="108" w:type="dxa"/>
          <w:bottom w:w="0" w:type="dxa"/>
          <w:right w:w="108" w:type="dxa"/>
        </w:tblCellMar>
      </w:tblPr>
      <w:tblGrid>
        <w:gridCol w:w="1116"/>
        <w:gridCol w:w="1113"/>
        <w:gridCol w:w="2662"/>
        <w:gridCol w:w="1223"/>
        <w:gridCol w:w="1222"/>
        <w:gridCol w:w="1252"/>
      </w:tblGrid>
      <w:tr w14:paraId="50BCFE2A">
        <w:tblPrEx>
          <w:tblCellMar>
            <w:top w:w="0" w:type="dxa"/>
            <w:left w:w="108" w:type="dxa"/>
            <w:bottom w:w="0" w:type="dxa"/>
            <w:right w:w="108" w:type="dxa"/>
          </w:tblCellMar>
        </w:tblPrEx>
        <w:trPr>
          <w:trHeight w:val="454" w:hRule="atLeast"/>
          <w:tblHeader/>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0F09E">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一级指标</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2D9B9">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二级指标</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5FC49">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CFD57">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87243">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1252" w:type="dxa"/>
            <w:tcBorders>
              <w:top w:val="single" w:color="000000" w:sz="4" w:space="0"/>
              <w:left w:val="single" w:color="000000" w:sz="4" w:space="0"/>
              <w:bottom w:val="single" w:color="auto" w:sz="4" w:space="0"/>
              <w:right w:val="single" w:color="000000" w:sz="4" w:space="0"/>
            </w:tcBorders>
            <w:shd w:val="clear" w:color="auto" w:fill="auto"/>
            <w:vAlign w:val="center"/>
          </w:tcPr>
          <w:p w14:paraId="13F0255A">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584A06E0">
        <w:tblPrEx>
          <w:tblCellMar>
            <w:top w:w="0" w:type="dxa"/>
            <w:left w:w="108" w:type="dxa"/>
            <w:bottom w:w="0" w:type="dxa"/>
            <w:right w:w="108" w:type="dxa"/>
          </w:tblCellMar>
        </w:tblPrEx>
        <w:trPr>
          <w:trHeight w:val="454" w:hRule="atLeast"/>
        </w:trPr>
        <w:tc>
          <w:tcPr>
            <w:tcW w:w="1116" w:type="dxa"/>
            <w:vMerge w:val="restart"/>
            <w:tcBorders>
              <w:top w:val="single" w:color="000000" w:sz="4" w:space="0"/>
              <w:left w:val="single" w:color="000000" w:sz="4" w:space="0"/>
              <w:right w:val="single" w:color="000000" w:sz="4" w:space="0"/>
            </w:tcBorders>
            <w:shd w:val="clear" w:color="auto" w:fill="auto"/>
            <w:vAlign w:val="center"/>
          </w:tcPr>
          <w:p w14:paraId="40DFF0C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决策指标</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2517E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项目立项</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89E52">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立项依据充分性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280B7">
            <w:pPr>
              <w:widowControl/>
              <w:jc w:val="center"/>
              <w:textAlignment w:val="center"/>
              <w:rPr>
                <w:rFonts w:hint="default" w:ascii="宋体" w:hAnsi="宋体" w:eastAsia="宋体" w:cs="宋体"/>
                <w:color w:val="auto"/>
                <w:kern w:val="0"/>
                <w:sz w:val="20"/>
                <w:szCs w:val="20"/>
                <w:highlight w:val="none"/>
                <w:lang w:val="en-US" w:eastAsia="zh-CN" w:bidi="ar"/>
              </w:rPr>
            </w:pPr>
            <w:r>
              <w:rPr>
                <w:rFonts w:hint="eastAsia" w:ascii="宋体" w:hAnsi="宋体" w:eastAsia="宋体" w:cs="宋体"/>
                <w:color w:val="auto"/>
                <w:kern w:val="0"/>
                <w:sz w:val="20"/>
                <w:szCs w:val="20"/>
                <w:highlight w:val="none"/>
                <w:lang w:val="en-US" w:eastAsia="zh-CN" w:bidi="ar"/>
              </w:rPr>
              <w:t>2.5</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24D6F38F">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highlight w:val="none"/>
                <w:u w:val="none"/>
                <w:lang w:val="en-US" w:eastAsia="zh-CN" w:bidi="ar"/>
              </w:rPr>
              <w:t>2.5</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52A8100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7A307642">
        <w:tblPrEx>
          <w:tblCellMar>
            <w:top w:w="0" w:type="dxa"/>
            <w:left w:w="108" w:type="dxa"/>
            <w:bottom w:w="0" w:type="dxa"/>
            <w:right w:w="108" w:type="dxa"/>
          </w:tblCellMar>
        </w:tblPrEx>
        <w:trPr>
          <w:trHeight w:val="454" w:hRule="atLeast"/>
        </w:trPr>
        <w:tc>
          <w:tcPr>
            <w:tcW w:w="1116" w:type="dxa"/>
            <w:vMerge w:val="continue"/>
            <w:tcBorders>
              <w:left w:val="single" w:color="000000" w:sz="4" w:space="0"/>
              <w:right w:val="single" w:color="000000" w:sz="4" w:space="0"/>
            </w:tcBorders>
            <w:shd w:val="clear" w:color="auto" w:fill="auto"/>
            <w:vAlign w:val="center"/>
          </w:tcPr>
          <w:p w14:paraId="5AED5C57">
            <w:pPr>
              <w:jc w:val="center"/>
              <w:rPr>
                <w:rFonts w:hint="eastAsia" w:ascii="宋体" w:hAnsi="宋体" w:eastAsia="宋体" w:cs="宋体"/>
                <w:color w:val="auto"/>
                <w:kern w:val="0"/>
                <w:sz w:val="20"/>
                <w:szCs w:val="20"/>
                <w:highlight w:val="none"/>
                <w:lang w:bidi="ar"/>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9F21D6">
            <w:pPr>
              <w:jc w:val="center"/>
              <w:rPr>
                <w:rFonts w:hint="eastAsia" w:ascii="宋体" w:hAnsi="宋体" w:eastAsia="宋体" w:cs="宋体"/>
                <w:color w:val="auto"/>
                <w:kern w:val="0"/>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596B8">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立项程序规范性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6040C">
            <w:pPr>
              <w:widowControl/>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2.5</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413488AF">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2.5</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428B7F62">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3EB1C5DE">
        <w:tblPrEx>
          <w:tblCellMar>
            <w:top w:w="0" w:type="dxa"/>
            <w:left w:w="108" w:type="dxa"/>
            <w:bottom w:w="0" w:type="dxa"/>
            <w:right w:w="108" w:type="dxa"/>
          </w:tblCellMar>
        </w:tblPrEx>
        <w:trPr>
          <w:trHeight w:val="454" w:hRule="atLeast"/>
        </w:trPr>
        <w:tc>
          <w:tcPr>
            <w:tcW w:w="1116" w:type="dxa"/>
            <w:vMerge w:val="continue"/>
            <w:tcBorders>
              <w:left w:val="single" w:color="000000" w:sz="4" w:space="0"/>
              <w:right w:val="single" w:color="000000" w:sz="4" w:space="0"/>
            </w:tcBorders>
            <w:shd w:val="clear" w:color="auto" w:fill="auto"/>
            <w:vAlign w:val="center"/>
          </w:tcPr>
          <w:p w14:paraId="563048B6">
            <w:pPr>
              <w:jc w:val="center"/>
              <w:rPr>
                <w:rFonts w:hint="eastAsia" w:ascii="宋体" w:hAnsi="宋体" w:eastAsia="宋体" w:cs="宋体"/>
                <w:color w:val="auto"/>
                <w:kern w:val="0"/>
                <w:sz w:val="20"/>
                <w:szCs w:val="20"/>
                <w:highlight w:val="none"/>
                <w:lang w:bidi="ar"/>
              </w:rPr>
            </w:pPr>
          </w:p>
        </w:tc>
        <w:tc>
          <w:tcPr>
            <w:tcW w:w="1113" w:type="dxa"/>
            <w:vMerge w:val="restart"/>
            <w:tcBorders>
              <w:top w:val="single" w:color="000000" w:sz="4" w:space="0"/>
              <w:left w:val="single" w:color="000000" w:sz="4" w:space="0"/>
              <w:right w:val="single" w:color="000000" w:sz="4" w:space="0"/>
            </w:tcBorders>
            <w:shd w:val="clear" w:color="auto" w:fill="auto"/>
            <w:vAlign w:val="center"/>
          </w:tcPr>
          <w:p w14:paraId="00138A0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绩效目标</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BFB58">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绩效目标合理性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B3C6D">
            <w:pPr>
              <w:widowControl/>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val="en-US" w:eastAsia="zh-CN" w:bidi="ar"/>
              </w:rPr>
              <w:t>5</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30D06C9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val="en-US" w:eastAsia="zh-CN" w:bidi="ar"/>
              </w:rPr>
              <w:t>5</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7E4815F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185EE45F">
        <w:tblPrEx>
          <w:tblCellMar>
            <w:top w:w="0" w:type="dxa"/>
            <w:left w:w="108" w:type="dxa"/>
            <w:bottom w:w="0" w:type="dxa"/>
            <w:right w:w="108" w:type="dxa"/>
          </w:tblCellMar>
        </w:tblPrEx>
        <w:trPr>
          <w:trHeight w:val="454" w:hRule="atLeast"/>
        </w:trPr>
        <w:tc>
          <w:tcPr>
            <w:tcW w:w="1116" w:type="dxa"/>
            <w:vMerge w:val="continue"/>
            <w:tcBorders>
              <w:left w:val="single" w:color="000000" w:sz="4" w:space="0"/>
              <w:right w:val="single" w:color="000000" w:sz="4" w:space="0"/>
            </w:tcBorders>
            <w:shd w:val="clear" w:color="auto" w:fill="auto"/>
            <w:vAlign w:val="center"/>
          </w:tcPr>
          <w:p w14:paraId="6C0F03F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p>
        </w:tc>
        <w:tc>
          <w:tcPr>
            <w:tcW w:w="1113" w:type="dxa"/>
            <w:vMerge w:val="continue"/>
            <w:tcBorders>
              <w:left w:val="single" w:color="000000" w:sz="4" w:space="0"/>
              <w:bottom w:val="single" w:color="000000" w:sz="4" w:space="0"/>
              <w:right w:val="single" w:color="000000" w:sz="4" w:space="0"/>
            </w:tcBorders>
            <w:shd w:val="clear" w:color="auto" w:fill="auto"/>
            <w:vAlign w:val="center"/>
          </w:tcPr>
          <w:p w14:paraId="3BC7D6D2">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9186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绩效指标明确性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3B3FE">
            <w:pPr>
              <w:widowControl/>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val="en-US" w:eastAsia="zh-CN" w:bidi="ar"/>
              </w:rPr>
              <w:t>5</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5E7E239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val="en-US" w:eastAsia="zh-CN" w:bidi="ar"/>
              </w:rPr>
              <w:t>5</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014CF592">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7FFD4331">
        <w:tblPrEx>
          <w:tblCellMar>
            <w:top w:w="0" w:type="dxa"/>
            <w:left w:w="108" w:type="dxa"/>
            <w:bottom w:w="0" w:type="dxa"/>
            <w:right w:w="108" w:type="dxa"/>
          </w:tblCellMar>
        </w:tblPrEx>
        <w:trPr>
          <w:trHeight w:val="454" w:hRule="atLeast"/>
        </w:trPr>
        <w:tc>
          <w:tcPr>
            <w:tcW w:w="1116" w:type="dxa"/>
            <w:vMerge w:val="continue"/>
            <w:tcBorders>
              <w:left w:val="single" w:color="000000" w:sz="4" w:space="0"/>
              <w:right w:val="single" w:color="000000" w:sz="4" w:space="0"/>
            </w:tcBorders>
            <w:shd w:val="clear" w:color="auto" w:fill="auto"/>
            <w:vAlign w:val="center"/>
          </w:tcPr>
          <w:p w14:paraId="718AE848">
            <w:pPr>
              <w:jc w:val="center"/>
              <w:rPr>
                <w:rFonts w:hint="eastAsia" w:ascii="宋体" w:hAnsi="宋体" w:eastAsia="宋体" w:cs="宋体"/>
                <w:color w:val="auto"/>
                <w:kern w:val="0"/>
                <w:sz w:val="20"/>
                <w:szCs w:val="20"/>
                <w:highlight w:val="none"/>
                <w:lang w:bidi="ar"/>
              </w:rPr>
            </w:pP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9C37F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 xml:space="preserve">资金投入  </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6BD9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预算编制科学性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A6E8C">
            <w:pPr>
              <w:widowControl/>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2.5</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232E774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2.5</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0C0C5978">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20D274E4">
        <w:tblPrEx>
          <w:tblCellMar>
            <w:top w:w="0" w:type="dxa"/>
            <w:left w:w="108" w:type="dxa"/>
            <w:bottom w:w="0" w:type="dxa"/>
            <w:right w:w="108" w:type="dxa"/>
          </w:tblCellMar>
        </w:tblPrEx>
        <w:trPr>
          <w:trHeight w:val="454" w:hRule="atLeast"/>
        </w:trPr>
        <w:tc>
          <w:tcPr>
            <w:tcW w:w="1116" w:type="dxa"/>
            <w:vMerge w:val="continue"/>
            <w:tcBorders>
              <w:left w:val="single" w:color="000000" w:sz="4" w:space="0"/>
              <w:bottom w:val="single" w:color="000000" w:sz="4" w:space="0"/>
              <w:right w:val="single" w:color="000000" w:sz="4" w:space="0"/>
            </w:tcBorders>
            <w:shd w:val="clear" w:color="auto" w:fill="auto"/>
            <w:vAlign w:val="center"/>
          </w:tcPr>
          <w:p w14:paraId="1AA32D49">
            <w:pPr>
              <w:jc w:val="center"/>
              <w:rPr>
                <w:rFonts w:hint="eastAsia" w:ascii="宋体" w:hAnsi="宋体" w:eastAsia="宋体" w:cs="宋体"/>
                <w:color w:val="auto"/>
                <w:kern w:val="0"/>
                <w:sz w:val="20"/>
                <w:szCs w:val="20"/>
                <w:highlight w:val="none"/>
                <w:lang w:bidi="ar"/>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996B4F">
            <w:pPr>
              <w:jc w:val="center"/>
              <w:rPr>
                <w:rFonts w:hint="eastAsia" w:ascii="宋体" w:hAnsi="宋体" w:eastAsia="宋体" w:cs="宋体"/>
                <w:color w:val="auto"/>
                <w:kern w:val="0"/>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2BAA6">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资金分配合理性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A33A6">
            <w:pPr>
              <w:widowControl/>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2.5</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6DBE79CE">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2.5</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3F9A665F">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273FFF28">
        <w:tblPrEx>
          <w:tblCellMar>
            <w:top w:w="0" w:type="dxa"/>
            <w:left w:w="108" w:type="dxa"/>
            <w:bottom w:w="0" w:type="dxa"/>
            <w:right w:w="108" w:type="dxa"/>
          </w:tblCellMar>
        </w:tblPrEx>
        <w:trPr>
          <w:trHeight w:val="454" w:hRule="atLeast"/>
        </w:trPr>
        <w:tc>
          <w:tcPr>
            <w:tcW w:w="1116" w:type="dxa"/>
            <w:vMerge w:val="restart"/>
            <w:tcBorders>
              <w:top w:val="single" w:color="000000" w:sz="4" w:space="0"/>
              <w:left w:val="single" w:color="000000" w:sz="4" w:space="0"/>
              <w:right w:val="single" w:color="000000" w:sz="4" w:space="0"/>
            </w:tcBorders>
            <w:shd w:val="clear" w:color="auto" w:fill="auto"/>
            <w:vAlign w:val="center"/>
          </w:tcPr>
          <w:p w14:paraId="13651101">
            <w:pPr>
              <w:keepNext w:val="0"/>
              <w:keepLines w:val="0"/>
              <w:widowControl/>
              <w:suppressLineNumbers w:val="0"/>
              <w:jc w:val="both"/>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过程指标</w:t>
            </w:r>
          </w:p>
        </w:tc>
        <w:tc>
          <w:tcPr>
            <w:tcW w:w="1113" w:type="dxa"/>
            <w:vMerge w:val="restart"/>
            <w:tcBorders>
              <w:top w:val="single" w:color="000000" w:sz="4" w:space="0"/>
              <w:left w:val="single" w:color="000000" w:sz="4" w:space="0"/>
              <w:right w:val="single" w:color="000000" w:sz="4" w:space="0"/>
            </w:tcBorders>
            <w:shd w:val="clear" w:color="auto" w:fill="auto"/>
            <w:vAlign w:val="center"/>
          </w:tcPr>
          <w:p w14:paraId="46CB0C5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资金管理</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EE83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资金到位率</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8D6C9">
            <w:pPr>
              <w:widowControl/>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val="en-US" w:eastAsia="zh-CN" w:bidi="ar"/>
              </w:rPr>
              <w:t>3</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5F306B69">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val="en-US" w:eastAsia="zh-CN" w:bidi="ar"/>
              </w:rPr>
              <w:t>3</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3F26DC8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120C95C6">
        <w:tblPrEx>
          <w:tblCellMar>
            <w:top w:w="0" w:type="dxa"/>
            <w:left w:w="108" w:type="dxa"/>
            <w:bottom w:w="0" w:type="dxa"/>
            <w:right w:w="108" w:type="dxa"/>
          </w:tblCellMar>
        </w:tblPrEx>
        <w:trPr>
          <w:trHeight w:val="454" w:hRule="atLeast"/>
        </w:trPr>
        <w:tc>
          <w:tcPr>
            <w:tcW w:w="1116" w:type="dxa"/>
            <w:vMerge w:val="continue"/>
            <w:tcBorders>
              <w:left w:val="single" w:color="000000" w:sz="4" w:space="0"/>
              <w:right w:val="single" w:color="000000" w:sz="4" w:space="0"/>
            </w:tcBorders>
            <w:shd w:val="clear" w:color="auto" w:fill="auto"/>
            <w:vAlign w:val="center"/>
          </w:tcPr>
          <w:p w14:paraId="28A70B08">
            <w:pPr>
              <w:keepNext w:val="0"/>
              <w:keepLines w:val="0"/>
              <w:widowControl/>
              <w:suppressLineNumbers w:val="0"/>
              <w:jc w:val="both"/>
              <w:textAlignment w:val="center"/>
              <w:rPr>
                <w:rFonts w:hint="eastAsia" w:ascii="宋体" w:hAnsi="宋体" w:eastAsia="宋体" w:cs="宋体"/>
                <w:color w:val="auto"/>
                <w:kern w:val="0"/>
                <w:sz w:val="20"/>
                <w:szCs w:val="20"/>
                <w:highlight w:val="none"/>
                <w:lang w:bidi="ar"/>
              </w:rPr>
            </w:pPr>
          </w:p>
        </w:tc>
        <w:tc>
          <w:tcPr>
            <w:tcW w:w="1113" w:type="dxa"/>
            <w:vMerge w:val="continue"/>
            <w:tcBorders>
              <w:left w:val="single" w:color="000000" w:sz="4" w:space="0"/>
              <w:right w:val="single" w:color="000000" w:sz="4" w:space="0"/>
            </w:tcBorders>
            <w:shd w:val="clear" w:color="auto" w:fill="auto"/>
            <w:vAlign w:val="center"/>
          </w:tcPr>
          <w:p w14:paraId="131CBA8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5D46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预算执行率</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DBFA3">
            <w:pPr>
              <w:widowControl/>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046432E8">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highlight w:val="none"/>
                <w:u w:val="none"/>
                <w:lang w:val="en-US" w:eastAsia="zh-CN" w:bidi="ar"/>
              </w:rPr>
              <w:t>3</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396CD921">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6D57D44B">
        <w:tblPrEx>
          <w:tblCellMar>
            <w:top w:w="0" w:type="dxa"/>
            <w:left w:w="108" w:type="dxa"/>
            <w:bottom w:w="0" w:type="dxa"/>
            <w:right w:w="108" w:type="dxa"/>
          </w:tblCellMar>
        </w:tblPrEx>
        <w:trPr>
          <w:trHeight w:val="454" w:hRule="atLeast"/>
        </w:trPr>
        <w:tc>
          <w:tcPr>
            <w:tcW w:w="1116" w:type="dxa"/>
            <w:vMerge w:val="continue"/>
            <w:tcBorders>
              <w:left w:val="single" w:color="000000" w:sz="4" w:space="0"/>
              <w:right w:val="single" w:color="000000" w:sz="4" w:space="0"/>
            </w:tcBorders>
            <w:shd w:val="clear" w:color="auto" w:fill="auto"/>
            <w:vAlign w:val="center"/>
          </w:tcPr>
          <w:p w14:paraId="4571492B">
            <w:pPr>
              <w:jc w:val="center"/>
              <w:rPr>
                <w:rFonts w:hint="eastAsia" w:ascii="宋体" w:hAnsi="宋体" w:eastAsia="宋体" w:cs="宋体"/>
                <w:color w:val="auto"/>
                <w:kern w:val="0"/>
                <w:sz w:val="20"/>
                <w:szCs w:val="20"/>
                <w:highlight w:val="none"/>
                <w:lang w:bidi="ar"/>
              </w:rPr>
            </w:pPr>
          </w:p>
        </w:tc>
        <w:tc>
          <w:tcPr>
            <w:tcW w:w="1113" w:type="dxa"/>
            <w:vMerge w:val="continue"/>
            <w:tcBorders>
              <w:left w:val="single" w:color="000000" w:sz="4" w:space="0"/>
              <w:bottom w:val="single" w:color="auto" w:sz="4" w:space="0"/>
              <w:right w:val="single" w:color="000000" w:sz="4" w:space="0"/>
            </w:tcBorders>
            <w:shd w:val="clear" w:color="auto" w:fill="auto"/>
            <w:vAlign w:val="center"/>
          </w:tcPr>
          <w:p w14:paraId="15322C78">
            <w:pPr>
              <w:jc w:val="center"/>
              <w:rPr>
                <w:rFonts w:hint="eastAsia" w:ascii="宋体" w:hAnsi="宋体" w:eastAsia="宋体" w:cs="宋体"/>
                <w:color w:val="auto"/>
                <w:kern w:val="0"/>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8156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资金使用合规性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DD035">
            <w:pPr>
              <w:widowControl/>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i w:val="0"/>
                <w:iCs w:val="0"/>
                <w:color w:val="000000"/>
                <w:kern w:val="0"/>
                <w:sz w:val="20"/>
                <w:szCs w:val="20"/>
                <w:highlight w:val="none"/>
                <w:u w:val="none"/>
                <w:lang w:val="en-US" w:eastAsia="zh-CN" w:bidi="ar"/>
              </w:rPr>
              <w:t>4</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55DF3184">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4</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133A678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2BED54AA">
        <w:tblPrEx>
          <w:tblCellMar>
            <w:top w:w="0" w:type="dxa"/>
            <w:left w:w="108" w:type="dxa"/>
            <w:bottom w:w="0" w:type="dxa"/>
            <w:right w:w="108" w:type="dxa"/>
          </w:tblCellMar>
        </w:tblPrEx>
        <w:trPr>
          <w:trHeight w:val="454" w:hRule="atLeast"/>
        </w:trPr>
        <w:tc>
          <w:tcPr>
            <w:tcW w:w="1116" w:type="dxa"/>
            <w:vMerge w:val="continue"/>
            <w:tcBorders>
              <w:left w:val="single" w:color="000000" w:sz="4" w:space="0"/>
              <w:right w:val="single" w:color="000000" w:sz="4" w:space="0"/>
            </w:tcBorders>
            <w:shd w:val="clear" w:color="auto" w:fill="auto"/>
            <w:vAlign w:val="center"/>
          </w:tcPr>
          <w:p w14:paraId="41D87238">
            <w:pPr>
              <w:jc w:val="center"/>
              <w:rPr>
                <w:rFonts w:hint="eastAsia" w:ascii="宋体" w:hAnsi="宋体" w:eastAsia="宋体" w:cs="宋体"/>
                <w:color w:val="auto"/>
                <w:kern w:val="0"/>
                <w:sz w:val="20"/>
                <w:szCs w:val="20"/>
                <w:highlight w:val="yellow"/>
                <w:lang w:bidi="ar"/>
              </w:rPr>
            </w:pPr>
          </w:p>
        </w:tc>
        <w:tc>
          <w:tcPr>
            <w:tcW w:w="1113" w:type="dxa"/>
            <w:vMerge w:val="restart"/>
            <w:tcBorders>
              <w:top w:val="single" w:color="auto" w:sz="4" w:space="0"/>
              <w:left w:val="single" w:color="000000" w:sz="4" w:space="0"/>
              <w:right w:val="single" w:color="000000" w:sz="4" w:space="0"/>
            </w:tcBorders>
            <w:shd w:val="clear" w:color="auto" w:fill="auto"/>
            <w:vAlign w:val="center"/>
          </w:tcPr>
          <w:p w14:paraId="06C83F1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 xml:space="preserve">组织实施      </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E6F46">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管理制度健全性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13219">
            <w:pPr>
              <w:widowControl/>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i w:val="0"/>
                <w:iCs w:val="0"/>
                <w:color w:val="000000"/>
                <w:kern w:val="0"/>
                <w:sz w:val="20"/>
                <w:szCs w:val="20"/>
                <w:highlight w:val="none"/>
                <w:u w:val="none"/>
                <w:lang w:val="en-US" w:eastAsia="zh-CN" w:bidi="ar"/>
              </w:rPr>
              <w:t>2.5</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27F9E7AD">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highlight w:val="none"/>
                <w:u w:val="none"/>
                <w:lang w:val="en-US" w:eastAsia="zh-CN" w:bidi="ar"/>
              </w:rPr>
              <w:t>2.5</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7BEA91C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63E99CC9">
        <w:tblPrEx>
          <w:tblCellMar>
            <w:top w:w="0" w:type="dxa"/>
            <w:left w:w="108" w:type="dxa"/>
            <w:bottom w:w="0" w:type="dxa"/>
            <w:right w:w="108" w:type="dxa"/>
          </w:tblCellMar>
        </w:tblPrEx>
        <w:trPr>
          <w:trHeight w:val="454" w:hRule="atLeast"/>
        </w:trPr>
        <w:tc>
          <w:tcPr>
            <w:tcW w:w="1116" w:type="dxa"/>
            <w:vMerge w:val="continue"/>
            <w:tcBorders>
              <w:left w:val="single" w:color="000000" w:sz="4" w:space="0"/>
              <w:right w:val="single" w:color="000000" w:sz="4" w:space="0"/>
            </w:tcBorders>
            <w:shd w:val="clear" w:color="auto" w:fill="auto"/>
            <w:vAlign w:val="center"/>
          </w:tcPr>
          <w:p w14:paraId="5FD704F4">
            <w:pPr>
              <w:jc w:val="center"/>
              <w:rPr>
                <w:rFonts w:hint="eastAsia" w:ascii="宋体" w:hAnsi="宋体" w:eastAsia="宋体" w:cs="宋体"/>
                <w:color w:val="auto"/>
                <w:kern w:val="0"/>
                <w:sz w:val="20"/>
                <w:szCs w:val="20"/>
                <w:highlight w:val="yellow"/>
                <w:lang w:bidi="ar"/>
              </w:rPr>
            </w:pPr>
          </w:p>
        </w:tc>
        <w:tc>
          <w:tcPr>
            <w:tcW w:w="1113" w:type="dxa"/>
            <w:vMerge w:val="continue"/>
            <w:tcBorders>
              <w:left w:val="single" w:color="000000" w:sz="4" w:space="0"/>
              <w:right w:val="single" w:color="000000" w:sz="4" w:space="0"/>
            </w:tcBorders>
            <w:shd w:val="clear" w:color="auto" w:fill="auto"/>
            <w:vAlign w:val="center"/>
          </w:tcPr>
          <w:p w14:paraId="5367E420">
            <w:pPr>
              <w:jc w:val="center"/>
              <w:rPr>
                <w:rStyle w:val="33"/>
                <w:rFonts w:hint="eastAsia" w:ascii="宋体" w:hAnsi="宋体" w:eastAsia="宋体" w:cs="宋体"/>
                <w:color w:val="auto"/>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59249">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制度执行有效性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FC701">
            <w:pPr>
              <w:widowControl/>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2.5</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1305B483">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1.67</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5DE17E51">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66.80%</w:t>
            </w:r>
          </w:p>
        </w:tc>
      </w:tr>
      <w:tr w14:paraId="4AF255D0">
        <w:tblPrEx>
          <w:tblCellMar>
            <w:top w:w="0" w:type="dxa"/>
            <w:left w:w="108" w:type="dxa"/>
            <w:bottom w:w="0" w:type="dxa"/>
            <w:right w:w="108" w:type="dxa"/>
          </w:tblCellMar>
        </w:tblPrEx>
        <w:trPr>
          <w:trHeight w:val="454" w:hRule="atLeast"/>
        </w:trPr>
        <w:tc>
          <w:tcPr>
            <w:tcW w:w="1116" w:type="dxa"/>
            <w:vMerge w:val="continue"/>
            <w:tcBorders>
              <w:left w:val="single" w:color="000000" w:sz="4" w:space="0"/>
              <w:right w:val="single" w:color="000000" w:sz="4" w:space="0"/>
            </w:tcBorders>
            <w:shd w:val="clear" w:color="auto" w:fill="auto"/>
            <w:vAlign w:val="center"/>
          </w:tcPr>
          <w:p w14:paraId="040D2290">
            <w:pPr>
              <w:jc w:val="center"/>
              <w:rPr>
                <w:rFonts w:hint="eastAsia" w:ascii="宋体" w:hAnsi="宋体" w:eastAsia="宋体" w:cs="宋体"/>
                <w:color w:val="auto"/>
                <w:kern w:val="0"/>
                <w:sz w:val="20"/>
                <w:szCs w:val="20"/>
                <w:highlight w:val="yellow"/>
                <w:lang w:bidi="ar"/>
              </w:rPr>
            </w:pPr>
          </w:p>
        </w:tc>
        <w:tc>
          <w:tcPr>
            <w:tcW w:w="1113" w:type="dxa"/>
            <w:vMerge w:val="continue"/>
            <w:tcBorders>
              <w:left w:val="single" w:color="000000" w:sz="4" w:space="0"/>
              <w:right w:val="single" w:color="000000" w:sz="4" w:space="0"/>
            </w:tcBorders>
            <w:shd w:val="clear" w:color="auto" w:fill="auto"/>
            <w:vAlign w:val="center"/>
          </w:tcPr>
          <w:p w14:paraId="2894F027">
            <w:pPr>
              <w:jc w:val="center"/>
              <w:rPr>
                <w:rFonts w:hint="eastAsia" w:ascii="宋体" w:hAnsi="宋体" w:eastAsia="宋体" w:cs="宋体"/>
                <w:color w:val="auto"/>
                <w:kern w:val="0"/>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85FA4">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采购管理规范性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AA99A">
            <w:pPr>
              <w:widowControl/>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2.5</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540F08CA">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highlight w:val="none"/>
                <w:u w:val="none"/>
                <w:lang w:val="en-US" w:eastAsia="zh-CN" w:bidi="ar"/>
              </w:rPr>
              <w:t>1.67</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29ACCA1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66.80%</w:t>
            </w:r>
          </w:p>
        </w:tc>
      </w:tr>
      <w:tr w14:paraId="0B8519F6">
        <w:tblPrEx>
          <w:tblCellMar>
            <w:top w:w="0" w:type="dxa"/>
            <w:left w:w="108" w:type="dxa"/>
            <w:bottom w:w="0" w:type="dxa"/>
            <w:right w:w="108" w:type="dxa"/>
          </w:tblCellMar>
        </w:tblPrEx>
        <w:trPr>
          <w:trHeight w:val="454" w:hRule="atLeast"/>
        </w:trPr>
        <w:tc>
          <w:tcPr>
            <w:tcW w:w="1116" w:type="dxa"/>
            <w:vMerge w:val="continue"/>
            <w:tcBorders>
              <w:left w:val="single" w:color="000000" w:sz="4" w:space="0"/>
              <w:bottom w:val="single" w:color="auto" w:sz="4" w:space="0"/>
              <w:right w:val="single" w:color="000000" w:sz="4" w:space="0"/>
            </w:tcBorders>
            <w:shd w:val="clear" w:color="auto" w:fill="auto"/>
            <w:vAlign w:val="center"/>
          </w:tcPr>
          <w:p w14:paraId="5BE60EA2">
            <w:pPr>
              <w:jc w:val="center"/>
              <w:rPr>
                <w:rFonts w:hint="eastAsia" w:ascii="宋体" w:hAnsi="宋体" w:eastAsia="宋体" w:cs="宋体"/>
                <w:color w:val="auto"/>
                <w:kern w:val="0"/>
                <w:sz w:val="20"/>
                <w:szCs w:val="20"/>
                <w:highlight w:val="yellow"/>
                <w:lang w:bidi="ar"/>
              </w:rPr>
            </w:pPr>
          </w:p>
        </w:tc>
        <w:tc>
          <w:tcPr>
            <w:tcW w:w="1113" w:type="dxa"/>
            <w:vMerge w:val="continue"/>
            <w:tcBorders>
              <w:left w:val="single" w:color="000000" w:sz="4" w:space="0"/>
              <w:bottom w:val="single" w:color="auto" w:sz="4" w:space="0"/>
              <w:right w:val="single" w:color="000000" w:sz="4" w:space="0"/>
            </w:tcBorders>
            <w:shd w:val="clear" w:color="auto" w:fill="auto"/>
            <w:vAlign w:val="center"/>
          </w:tcPr>
          <w:p w14:paraId="4692EFA1">
            <w:pPr>
              <w:jc w:val="center"/>
              <w:rPr>
                <w:rFonts w:hint="eastAsia" w:ascii="宋体" w:hAnsi="宋体" w:eastAsia="宋体" w:cs="宋体"/>
                <w:color w:val="auto"/>
                <w:kern w:val="0"/>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605E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合同管理完备性</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D9F3B">
            <w:pPr>
              <w:widowControl/>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2.5</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2E8FFB2B">
            <w:pPr>
              <w:keepNext w:val="0"/>
              <w:keepLines w:val="0"/>
              <w:widowControl/>
              <w:suppressLineNumbers w:val="0"/>
              <w:jc w:val="center"/>
              <w:textAlignment w:val="center"/>
              <w:rPr>
                <w:rFonts w:hint="default"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1.25</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0AA2E014">
            <w:pPr>
              <w:keepNext w:val="0"/>
              <w:keepLines w:val="0"/>
              <w:widowControl/>
              <w:suppressLineNumbers w:val="0"/>
              <w:jc w:val="center"/>
              <w:textAlignment w:val="center"/>
              <w:rPr>
                <w:rFonts w:hint="default"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50.00%</w:t>
            </w:r>
          </w:p>
        </w:tc>
      </w:tr>
      <w:tr w14:paraId="75267AC7">
        <w:tblPrEx>
          <w:tblCellMar>
            <w:top w:w="0" w:type="dxa"/>
            <w:left w:w="108" w:type="dxa"/>
            <w:bottom w:w="0" w:type="dxa"/>
            <w:right w:w="108" w:type="dxa"/>
          </w:tblCellMar>
        </w:tblPrEx>
        <w:trPr>
          <w:trHeight w:val="627" w:hRule="atLeast"/>
        </w:trPr>
        <w:tc>
          <w:tcPr>
            <w:tcW w:w="111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2343BA6">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成本指标</w:t>
            </w:r>
          </w:p>
        </w:tc>
        <w:tc>
          <w:tcPr>
            <w:tcW w:w="1113" w:type="dxa"/>
            <w:vMerge w:val="restart"/>
            <w:tcBorders>
              <w:top w:val="single" w:color="auto" w:sz="4" w:space="0"/>
              <w:left w:val="single" w:color="000000" w:sz="4" w:space="0"/>
              <w:right w:val="single" w:color="000000" w:sz="4" w:space="0"/>
            </w:tcBorders>
            <w:shd w:val="clear" w:color="auto" w:fill="auto"/>
            <w:vAlign w:val="center"/>
          </w:tcPr>
          <w:p w14:paraId="0DB37A80">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经济成本指标</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6213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成本控制情况</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D3B97">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1222" w:type="dxa"/>
            <w:tcBorders>
              <w:top w:val="single" w:color="000000" w:sz="4" w:space="0"/>
              <w:left w:val="single" w:color="000000" w:sz="4" w:space="0"/>
              <w:bottom w:val="single" w:color="000000" w:sz="4" w:space="0"/>
              <w:right w:val="single" w:color="auto" w:sz="4" w:space="0"/>
            </w:tcBorders>
            <w:shd w:val="clear" w:color="auto" w:fill="auto"/>
            <w:vAlign w:val="center"/>
          </w:tcPr>
          <w:p w14:paraId="73F2638D">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252" w:type="dxa"/>
            <w:tcBorders>
              <w:top w:val="single" w:color="auto" w:sz="4" w:space="0"/>
              <w:left w:val="single" w:color="auto" w:sz="4" w:space="0"/>
              <w:bottom w:val="single" w:color="auto" w:sz="4" w:space="0"/>
              <w:right w:val="single" w:color="auto" w:sz="4" w:space="0"/>
            </w:tcBorders>
            <w:shd w:val="clear" w:color="auto" w:fill="auto"/>
            <w:vAlign w:val="center"/>
          </w:tcPr>
          <w:p w14:paraId="24B598E3">
            <w:pPr>
              <w:keepNext w:val="0"/>
              <w:keepLines w:val="0"/>
              <w:widowControl/>
              <w:suppressLineNumbers w:val="0"/>
              <w:jc w:val="center"/>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6E1E48F9">
        <w:tblPrEx>
          <w:tblCellMar>
            <w:top w:w="0" w:type="dxa"/>
            <w:left w:w="108" w:type="dxa"/>
            <w:bottom w:w="0" w:type="dxa"/>
            <w:right w:w="108" w:type="dxa"/>
          </w:tblCellMar>
        </w:tblPrEx>
        <w:trPr>
          <w:trHeight w:val="637"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B6EBD15">
            <w:pPr>
              <w:jc w:val="center"/>
              <w:rPr>
                <w:rStyle w:val="33"/>
                <w:rFonts w:hint="eastAsia" w:ascii="宋体" w:hAnsi="宋体" w:eastAsia="宋体" w:cs="宋体"/>
                <w:color w:val="auto"/>
                <w:sz w:val="20"/>
                <w:szCs w:val="20"/>
                <w:highlight w:val="none"/>
                <w:lang w:bidi="ar"/>
              </w:rPr>
            </w:pPr>
          </w:p>
        </w:tc>
        <w:tc>
          <w:tcPr>
            <w:tcW w:w="1113" w:type="dxa"/>
            <w:vMerge w:val="continue"/>
            <w:tcBorders>
              <w:left w:val="single" w:color="000000" w:sz="4" w:space="0"/>
              <w:right w:val="single" w:color="000000" w:sz="4" w:space="0"/>
            </w:tcBorders>
            <w:shd w:val="clear" w:color="auto" w:fill="auto"/>
            <w:vAlign w:val="center"/>
          </w:tcPr>
          <w:p w14:paraId="5359D21D">
            <w:pPr>
              <w:jc w:val="center"/>
              <w:rPr>
                <w:rStyle w:val="33"/>
                <w:rFonts w:hint="eastAsia" w:ascii="宋体" w:hAnsi="宋体" w:eastAsia="宋体" w:cs="宋体"/>
                <w:color w:val="auto"/>
                <w:sz w:val="20"/>
                <w:szCs w:val="20"/>
                <w:highlight w:val="none"/>
                <w:lang w:bidi="ar"/>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2EBEE">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设备平均成本</w:t>
            </w:r>
          </w:p>
        </w:tc>
        <w:tc>
          <w:tcPr>
            <w:tcW w:w="1223" w:type="dxa"/>
            <w:tcBorders>
              <w:top w:val="single" w:color="auto" w:sz="4" w:space="0"/>
              <w:left w:val="single" w:color="auto" w:sz="4" w:space="0"/>
              <w:bottom w:val="nil"/>
              <w:right w:val="nil"/>
            </w:tcBorders>
            <w:shd w:val="clear" w:color="auto" w:fill="auto"/>
            <w:vAlign w:val="center"/>
          </w:tcPr>
          <w:p w14:paraId="381DC05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14:paraId="6F46B4F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5</w:t>
            </w:r>
          </w:p>
        </w:tc>
        <w:tc>
          <w:tcPr>
            <w:tcW w:w="1252" w:type="dxa"/>
            <w:tcBorders>
              <w:top w:val="single" w:color="auto" w:sz="4" w:space="0"/>
              <w:left w:val="nil"/>
              <w:bottom w:val="single" w:color="auto" w:sz="4" w:space="0"/>
              <w:right w:val="single" w:color="auto" w:sz="4" w:space="0"/>
            </w:tcBorders>
            <w:shd w:val="clear" w:color="auto" w:fill="auto"/>
            <w:vAlign w:val="center"/>
          </w:tcPr>
          <w:p w14:paraId="292F542E">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67BD70F9">
        <w:tblPrEx>
          <w:tblCellMar>
            <w:top w:w="0" w:type="dxa"/>
            <w:left w:w="108" w:type="dxa"/>
            <w:bottom w:w="0" w:type="dxa"/>
            <w:right w:w="108" w:type="dxa"/>
          </w:tblCellMar>
        </w:tblPrEx>
        <w:trPr>
          <w:trHeight w:val="498" w:hRule="atLeast"/>
        </w:trPr>
        <w:tc>
          <w:tcPr>
            <w:tcW w:w="111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B90504F">
            <w:pPr>
              <w:jc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产出指标</w:t>
            </w:r>
          </w:p>
        </w:tc>
        <w:tc>
          <w:tcPr>
            <w:tcW w:w="1113" w:type="dxa"/>
            <w:vMerge w:val="restart"/>
            <w:tcBorders>
              <w:top w:val="single" w:color="auto" w:sz="4" w:space="0"/>
              <w:left w:val="single" w:color="000000" w:sz="4" w:space="0"/>
              <w:right w:val="single" w:color="000000" w:sz="4" w:space="0"/>
            </w:tcBorders>
            <w:shd w:val="clear" w:color="auto" w:fill="auto"/>
            <w:vAlign w:val="center"/>
          </w:tcPr>
          <w:p w14:paraId="12B239EE">
            <w:pPr>
              <w:jc w:val="center"/>
              <w:rPr>
                <w:rStyle w:val="33"/>
                <w:rFonts w:hint="default" w:ascii="宋体" w:hAnsi="宋体" w:eastAsia="宋体" w:cs="宋体"/>
                <w:color w:val="auto"/>
                <w:sz w:val="20"/>
                <w:szCs w:val="20"/>
                <w:highlight w:val="none"/>
                <w:lang w:val="en-US" w:eastAsia="zh-CN" w:bidi="ar"/>
              </w:rPr>
            </w:pPr>
            <w:r>
              <w:rPr>
                <w:rStyle w:val="33"/>
                <w:rFonts w:hint="eastAsia" w:ascii="宋体" w:hAnsi="宋体" w:eastAsia="宋体" w:cs="宋体"/>
                <w:color w:val="auto"/>
                <w:sz w:val="20"/>
                <w:szCs w:val="20"/>
                <w:highlight w:val="none"/>
                <w:lang w:val="en-US" w:eastAsia="zh-CN" w:bidi="ar"/>
              </w:rPr>
              <w:t>数量指标</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0245D">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通用办公设备采购数量</w:t>
            </w:r>
          </w:p>
        </w:tc>
        <w:tc>
          <w:tcPr>
            <w:tcW w:w="1223" w:type="dxa"/>
            <w:tcBorders>
              <w:top w:val="single" w:color="auto" w:sz="4" w:space="0"/>
              <w:left w:val="single" w:color="auto" w:sz="4" w:space="0"/>
              <w:bottom w:val="nil"/>
              <w:right w:val="nil"/>
            </w:tcBorders>
            <w:shd w:val="clear" w:color="auto" w:fill="auto"/>
            <w:vAlign w:val="center"/>
          </w:tcPr>
          <w:p w14:paraId="107A5F8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1222" w:type="dxa"/>
            <w:tcBorders>
              <w:top w:val="nil"/>
              <w:left w:val="single" w:color="auto" w:sz="4" w:space="0"/>
              <w:bottom w:val="single" w:color="auto" w:sz="4" w:space="0"/>
              <w:right w:val="single" w:color="auto" w:sz="4" w:space="0"/>
            </w:tcBorders>
            <w:shd w:val="clear" w:color="auto" w:fill="auto"/>
            <w:vAlign w:val="center"/>
          </w:tcPr>
          <w:p w14:paraId="55EE4D73">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highlight w:val="none"/>
                <w:u w:val="none"/>
                <w:lang w:val="en-US" w:eastAsia="zh-CN" w:bidi="ar"/>
              </w:rPr>
              <w:t>2.75</w:t>
            </w:r>
          </w:p>
        </w:tc>
        <w:tc>
          <w:tcPr>
            <w:tcW w:w="1252" w:type="dxa"/>
            <w:tcBorders>
              <w:top w:val="single" w:color="auto" w:sz="4" w:space="0"/>
              <w:left w:val="nil"/>
              <w:bottom w:val="single" w:color="auto" w:sz="4" w:space="0"/>
              <w:right w:val="single" w:color="auto" w:sz="4" w:space="0"/>
            </w:tcBorders>
            <w:shd w:val="clear" w:color="auto" w:fill="auto"/>
            <w:vAlign w:val="center"/>
          </w:tcPr>
          <w:p w14:paraId="1E154A49">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55.00%</w:t>
            </w:r>
          </w:p>
        </w:tc>
      </w:tr>
      <w:tr w14:paraId="395BB704">
        <w:tblPrEx>
          <w:tblCellMar>
            <w:top w:w="0" w:type="dxa"/>
            <w:left w:w="108" w:type="dxa"/>
            <w:bottom w:w="0" w:type="dxa"/>
            <w:right w:w="108" w:type="dxa"/>
          </w:tblCellMar>
        </w:tblPrEx>
        <w:trPr>
          <w:trHeight w:val="491"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7C00C34">
            <w:pPr>
              <w:jc w:val="center"/>
              <w:rPr>
                <w:rStyle w:val="33"/>
                <w:rFonts w:hint="eastAsia" w:ascii="宋体" w:hAnsi="宋体" w:eastAsia="宋体" w:cs="宋体"/>
                <w:color w:val="auto"/>
                <w:sz w:val="20"/>
                <w:szCs w:val="20"/>
                <w:highlight w:val="none"/>
                <w:lang w:bidi="ar"/>
              </w:rPr>
            </w:pPr>
          </w:p>
        </w:tc>
        <w:tc>
          <w:tcPr>
            <w:tcW w:w="1113" w:type="dxa"/>
            <w:vMerge w:val="continue"/>
            <w:tcBorders>
              <w:left w:val="single" w:color="000000" w:sz="4" w:space="0"/>
              <w:right w:val="single" w:color="000000" w:sz="4" w:space="0"/>
            </w:tcBorders>
            <w:shd w:val="clear" w:color="auto" w:fill="auto"/>
            <w:vAlign w:val="center"/>
          </w:tcPr>
          <w:p w14:paraId="049BD393">
            <w:pPr>
              <w:jc w:val="center"/>
              <w:rPr>
                <w:rStyle w:val="33"/>
                <w:rFonts w:hint="eastAsia" w:ascii="宋体" w:hAnsi="宋体" w:eastAsia="宋体" w:cs="宋体"/>
                <w:color w:val="auto"/>
                <w:sz w:val="20"/>
                <w:szCs w:val="20"/>
                <w:highlight w:val="none"/>
                <w:lang w:bidi="ar"/>
              </w:rPr>
            </w:pPr>
          </w:p>
        </w:tc>
        <w:tc>
          <w:tcPr>
            <w:tcW w:w="2662" w:type="dxa"/>
            <w:tcBorders>
              <w:top w:val="single" w:color="000000" w:sz="4" w:space="0"/>
              <w:left w:val="single" w:color="000000" w:sz="4" w:space="0"/>
              <w:bottom w:val="single" w:color="auto" w:sz="4" w:space="0"/>
              <w:right w:val="single" w:color="000000" w:sz="4" w:space="0"/>
            </w:tcBorders>
            <w:shd w:val="clear" w:color="auto" w:fill="auto"/>
            <w:vAlign w:val="center"/>
          </w:tcPr>
          <w:p w14:paraId="339D9A72">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专用办公设备采购数量</w:t>
            </w:r>
          </w:p>
        </w:tc>
        <w:tc>
          <w:tcPr>
            <w:tcW w:w="1223" w:type="dxa"/>
            <w:tcBorders>
              <w:top w:val="single" w:color="auto" w:sz="4" w:space="0"/>
              <w:left w:val="single" w:color="auto" w:sz="4" w:space="0"/>
              <w:bottom w:val="single" w:color="auto" w:sz="4" w:space="0"/>
              <w:right w:val="nil"/>
            </w:tcBorders>
            <w:shd w:val="clear" w:color="auto" w:fill="auto"/>
            <w:vAlign w:val="center"/>
          </w:tcPr>
          <w:p w14:paraId="05B55A1E">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1222" w:type="dxa"/>
            <w:tcBorders>
              <w:top w:val="nil"/>
              <w:left w:val="single" w:color="auto" w:sz="4" w:space="0"/>
              <w:bottom w:val="single" w:color="auto" w:sz="4" w:space="0"/>
              <w:right w:val="single" w:color="auto" w:sz="4" w:space="0"/>
            </w:tcBorders>
            <w:shd w:val="clear" w:color="auto" w:fill="auto"/>
            <w:vAlign w:val="center"/>
          </w:tcPr>
          <w:p w14:paraId="350C15CD">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highlight w:val="none"/>
                <w:u w:val="none"/>
                <w:lang w:val="en-US" w:eastAsia="zh-CN" w:bidi="ar"/>
              </w:rPr>
              <w:t>1.03</w:t>
            </w:r>
          </w:p>
        </w:tc>
        <w:tc>
          <w:tcPr>
            <w:tcW w:w="1252" w:type="dxa"/>
            <w:tcBorders>
              <w:top w:val="single" w:color="auto" w:sz="4" w:space="0"/>
              <w:left w:val="nil"/>
              <w:bottom w:val="single" w:color="auto" w:sz="4" w:space="0"/>
              <w:right w:val="single" w:color="auto" w:sz="4" w:space="0"/>
            </w:tcBorders>
            <w:shd w:val="clear" w:color="auto" w:fill="auto"/>
            <w:vAlign w:val="center"/>
          </w:tcPr>
          <w:p w14:paraId="6B0188D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20.60%</w:t>
            </w:r>
          </w:p>
        </w:tc>
      </w:tr>
      <w:tr w14:paraId="34441AD1">
        <w:tblPrEx>
          <w:tblCellMar>
            <w:top w:w="0" w:type="dxa"/>
            <w:left w:w="108" w:type="dxa"/>
            <w:bottom w:w="0" w:type="dxa"/>
            <w:right w:w="108" w:type="dxa"/>
          </w:tblCellMar>
        </w:tblPrEx>
        <w:trPr>
          <w:trHeight w:val="588"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6ECD8A4">
            <w:pPr>
              <w:jc w:val="center"/>
              <w:rPr>
                <w:rStyle w:val="33"/>
                <w:rFonts w:hint="eastAsia" w:ascii="宋体" w:hAnsi="宋体" w:eastAsia="宋体" w:cs="宋体"/>
                <w:color w:val="auto"/>
                <w:sz w:val="20"/>
                <w:szCs w:val="20"/>
                <w:highlight w:val="none"/>
                <w:lang w:bidi="ar"/>
              </w:rPr>
            </w:pPr>
          </w:p>
        </w:tc>
        <w:tc>
          <w:tcPr>
            <w:tcW w:w="1113" w:type="dxa"/>
            <w:tcBorders>
              <w:top w:val="single" w:color="auto" w:sz="4" w:space="0"/>
              <w:left w:val="single" w:color="000000" w:sz="4" w:space="0"/>
              <w:bottom w:val="single" w:color="auto" w:sz="4" w:space="0"/>
              <w:right w:val="single" w:color="000000" w:sz="4" w:space="0"/>
            </w:tcBorders>
            <w:shd w:val="clear" w:color="auto" w:fill="auto"/>
            <w:vAlign w:val="center"/>
          </w:tcPr>
          <w:p w14:paraId="450FB751">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质量指标</w:t>
            </w:r>
          </w:p>
        </w:tc>
        <w:tc>
          <w:tcPr>
            <w:tcW w:w="2662" w:type="dxa"/>
            <w:tcBorders>
              <w:top w:val="single" w:color="auto" w:sz="4" w:space="0"/>
              <w:left w:val="single" w:color="000000" w:sz="4" w:space="0"/>
              <w:bottom w:val="single" w:color="000000" w:sz="4" w:space="0"/>
              <w:right w:val="single" w:color="000000" w:sz="4" w:space="0"/>
            </w:tcBorders>
            <w:shd w:val="clear" w:color="auto" w:fill="auto"/>
            <w:vAlign w:val="center"/>
          </w:tcPr>
          <w:p w14:paraId="5A09BAB4">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设备购置验收合格率</w:t>
            </w:r>
          </w:p>
        </w:tc>
        <w:tc>
          <w:tcPr>
            <w:tcW w:w="1223" w:type="dxa"/>
            <w:tcBorders>
              <w:top w:val="single" w:color="auto" w:sz="4" w:space="0"/>
              <w:left w:val="single" w:color="auto" w:sz="4" w:space="0"/>
              <w:bottom w:val="nil"/>
              <w:right w:val="nil"/>
            </w:tcBorders>
            <w:shd w:val="clear" w:color="auto" w:fill="auto"/>
            <w:vAlign w:val="center"/>
          </w:tcPr>
          <w:p w14:paraId="4C594BF7">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auto"/>
                <w:kern w:val="0"/>
                <w:sz w:val="20"/>
                <w:szCs w:val="20"/>
                <w:highlight w:val="none"/>
                <w:u w:val="none"/>
                <w:lang w:val="en-US" w:eastAsia="zh-CN" w:bidi="ar"/>
              </w:rPr>
              <w:t>10</w:t>
            </w:r>
          </w:p>
        </w:tc>
        <w:tc>
          <w:tcPr>
            <w:tcW w:w="1222" w:type="dxa"/>
            <w:tcBorders>
              <w:top w:val="nil"/>
              <w:left w:val="single" w:color="auto" w:sz="4" w:space="0"/>
              <w:bottom w:val="single" w:color="auto" w:sz="4" w:space="0"/>
              <w:right w:val="single" w:color="auto" w:sz="4" w:space="0"/>
            </w:tcBorders>
            <w:shd w:val="clear" w:color="auto" w:fill="auto"/>
            <w:vAlign w:val="center"/>
          </w:tcPr>
          <w:p w14:paraId="161BD7CE">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highlight w:val="none"/>
                <w:u w:val="none"/>
                <w:lang w:val="en-US" w:eastAsia="zh-CN" w:bidi="ar"/>
              </w:rPr>
              <w:t>10</w:t>
            </w:r>
          </w:p>
        </w:tc>
        <w:tc>
          <w:tcPr>
            <w:tcW w:w="1252" w:type="dxa"/>
            <w:tcBorders>
              <w:top w:val="single" w:color="auto" w:sz="4" w:space="0"/>
              <w:left w:val="nil"/>
              <w:bottom w:val="single" w:color="auto" w:sz="4" w:space="0"/>
              <w:right w:val="single" w:color="auto" w:sz="4" w:space="0"/>
            </w:tcBorders>
            <w:shd w:val="clear" w:color="auto" w:fill="auto"/>
            <w:vAlign w:val="center"/>
          </w:tcPr>
          <w:p w14:paraId="135EE889">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7B1E161F">
        <w:tblPrEx>
          <w:tblCellMar>
            <w:top w:w="0" w:type="dxa"/>
            <w:left w:w="108" w:type="dxa"/>
            <w:bottom w:w="0" w:type="dxa"/>
            <w:right w:w="108" w:type="dxa"/>
          </w:tblCellMar>
        </w:tblPrEx>
        <w:trPr>
          <w:trHeight w:val="547"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0A5578E">
            <w:pPr>
              <w:jc w:val="center"/>
              <w:rPr>
                <w:rStyle w:val="33"/>
                <w:rFonts w:hint="eastAsia" w:ascii="宋体" w:hAnsi="宋体" w:eastAsia="宋体" w:cs="宋体"/>
                <w:color w:val="auto"/>
                <w:sz w:val="20"/>
                <w:szCs w:val="20"/>
                <w:highlight w:val="none"/>
                <w:lang w:bidi="ar"/>
              </w:rPr>
            </w:pPr>
          </w:p>
        </w:tc>
        <w:tc>
          <w:tcPr>
            <w:tcW w:w="1113" w:type="dxa"/>
            <w:tcBorders>
              <w:top w:val="single" w:color="auto" w:sz="4" w:space="0"/>
              <w:left w:val="single" w:color="000000" w:sz="4" w:space="0"/>
              <w:right w:val="single" w:color="000000" w:sz="4" w:space="0"/>
            </w:tcBorders>
            <w:shd w:val="clear" w:color="auto" w:fill="auto"/>
            <w:vAlign w:val="center"/>
          </w:tcPr>
          <w:p w14:paraId="79201881">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时效指标</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EEDF0">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设备采购及时性</w:t>
            </w:r>
          </w:p>
        </w:tc>
        <w:tc>
          <w:tcPr>
            <w:tcW w:w="1223" w:type="dxa"/>
            <w:tcBorders>
              <w:top w:val="single" w:color="auto" w:sz="4" w:space="0"/>
              <w:left w:val="single" w:color="auto" w:sz="4" w:space="0"/>
              <w:bottom w:val="nil"/>
              <w:right w:val="nil"/>
            </w:tcBorders>
            <w:shd w:val="clear" w:color="auto" w:fill="auto"/>
            <w:vAlign w:val="center"/>
          </w:tcPr>
          <w:p w14:paraId="4EE30C7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w:t>
            </w:r>
          </w:p>
        </w:tc>
        <w:tc>
          <w:tcPr>
            <w:tcW w:w="1222" w:type="dxa"/>
            <w:tcBorders>
              <w:top w:val="nil"/>
              <w:left w:val="single" w:color="auto" w:sz="4" w:space="0"/>
              <w:bottom w:val="single" w:color="auto" w:sz="4" w:space="0"/>
              <w:right w:val="single" w:color="auto" w:sz="4" w:space="0"/>
            </w:tcBorders>
            <w:shd w:val="clear" w:color="auto" w:fill="auto"/>
            <w:vAlign w:val="center"/>
          </w:tcPr>
          <w:p w14:paraId="19EBA452">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w:t>
            </w:r>
          </w:p>
        </w:tc>
        <w:tc>
          <w:tcPr>
            <w:tcW w:w="1252" w:type="dxa"/>
            <w:tcBorders>
              <w:top w:val="single" w:color="auto" w:sz="4" w:space="0"/>
              <w:left w:val="nil"/>
              <w:bottom w:val="single" w:color="auto" w:sz="4" w:space="0"/>
              <w:right w:val="single" w:color="auto" w:sz="4" w:space="0"/>
            </w:tcBorders>
            <w:shd w:val="clear" w:color="auto" w:fill="auto"/>
            <w:vAlign w:val="center"/>
          </w:tcPr>
          <w:p w14:paraId="2E902A24">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0B86468E">
        <w:tblPrEx>
          <w:tblCellMar>
            <w:top w:w="0" w:type="dxa"/>
            <w:left w:w="108" w:type="dxa"/>
            <w:bottom w:w="0" w:type="dxa"/>
            <w:right w:w="108" w:type="dxa"/>
          </w:tblCellMar>
        </w:tblPrEx>
        <w:trPr>
          <w:trHeight w:val="454" w:hRule="atLeast"/>
        </w:trPr>
        <w:tc>
          <w:tcPr>
            <w:tcW w:w="1116"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5A1D2A3">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效益指标</w:t>
            </w:r>
          </w:p>
        </w:tc>
        <w:tc>
          <w:tcPr>
            <w:tcW w:w="1113" w:type="dxa"/>
            <w:tcBorders>
              <w:top w:val="single" w:color="auto" w:sz="4" w:space="0"/>
              <w:left w:val="single" w:color="000000" w:sz="4" w:space="0"/>
              <w:right w:val="single" w:color="000000" w:sz="4" w:space="0"/>
            </w:tcBorders>
            <w:shd w:val="clear" w:color="auto" w:fill="auto"/>
            <w:vAlign w:val="center"/>
          </w:tcPr>
          <w:p w14:paraId="71D833E6">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社会效益指标</w:t>
            </w:r>
          </w:p>
        </w:tc>
        <w:tc>
          <w:tcPr>
            <w:tcW w:w="2662" w:type="dxa"/>
            <w:tcBorders>
              <w:top w:val="single" w:color="auto" w:sz="4" w:space="0"/>
              <w:left w:val="single" w:color="000000" w:sz="4" w:space="0"/>
              <w:bottom w:val="single" w:color="000000" w:sz="4" w:space="0"/>
              <w:right w:val="single" w:color="000000" w:sz="4" w:space="0"/>
            </w:tcBorders>
            <w:shd w:val="clear" w:color="auto" w:fill="auto"/>
            <w:vAlign w:val="center"/>
          </w:tcPr>
          <w:p w14:paraId="2C2EF322">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保障人民法院日常办公需求有效性</w:t>
            </w:r>
          </w:p>
        </w:tc>
        <w:tc>
          <w:tcPr>
            <w:tcW w:w="1223" w:type="dxa"/>
            <w:tcBorders>
              <w:top w:val="single" w:color="auto" w:sz="4" w:space="0"/>
              <w:left w:val="single" w:color="auto" w:sz="4" w:space="0"/>
              <w:bottom w:val="nil"/>
              <w:right w:val="nil"/>
            </w:tcBorders>
            <w:shd w:val="clear" w:color="auto" w:fill="auto"/>
            <w:vAlign w:val="center"/>
          </w:tcPr>
          <w:p w14:paraId="568771F2">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w:t>
            </w:r>
          </w:p>
        </w:tc>
        <w:tc>
          <w:tcPr>
            <w:tcW w:w="1222" w:type="dxa"/>
            <w:tcBorders>
              <w:top w:val="nil"/>
              <w:left w:val="single" w:color="auto" w:sz="4" w:space="0"/>
              <w:bottom w:val="single" w:color="auto" w:sz="4" w:space="0"/>
              <w:right w:val="single" w:color="auto" w:sz="4" w:space="0"/>
            </w:tcBorders>
            <w:shd w:val="clear" w:color="auto" w:fill="auto"/>
            <w:vAlign w:val="center"/>
          </w:tcPr>
          <w:p w14:paraId="43476756">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w:t>
            </w:r>
          </w:p>
        </w:tc>
        <w:tc>
          <w:tcPr>
            <w:tcW w:w="1252" w:type="dxa"/>
            <w:tcBorders>
              <w:top w:val="single" w:color="auto" w:sz="4" w:space="0"/>
              <w:left w:val="nil"/>
              <w:bottom w:val="single" w:color="auto" w:sz="4" w:space="0"/>
              <w:right w:val="single" w:color="auto" w:sz="4" w:space="0"/>
            </w:tcBorders>
            <w:shd w:val="clear" w:color="auto" w:fill="auto"/>
            <w:vAlign w:val="center"/>
          </w:tcPr>
          <w:p w14:paraId="412430B0">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3297DF6C">
        <w:tblPrEx>
          <w:tblCellMar>
            <w:top w:w="0" w:type="dxa"/>
            <w:left w:w="108" w:type="dxa"/>
            <w:bottom w:w="0" w:type="dxa"/>
            <w:right w:w="108" w:type="dxa"/>
          </w:tblCellMar>
        </w:tblPrEx>
        <w:trPr>
          <w:trHeight w:val="534" w:hRule="atLeast"/>
        </w:trPr>
        <w:tc>
          <w:tcPr>
            <w:tcW w:w="1116"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0356D74">
            <w:pPr>
              <w:jc w:val="center"/>
              <w:rPr>
                <w:rStyle w:val="33"/>
                <w:rFonts w:hint="eastAsia" w:ascii="宋体" w:hAnsi="宋体" w:eastAsia="宋体" w:cs="宋体"/>
                <w:color w:val="auto"/>
                <w:sz w:val="20"/>
                <w:szCs w:val="20"/>
                <w:highlight w:val="none"/>
                <w:lang w:bidi="ar"/>
              </w:rPr>
            </w:pPr>
          </w:p>
        </w:tc>
        <w:tc>
          <w:tcPr>
            <w:tcW w:w="1113" w:type="dxa"/>
            <w:tcBorders>
              <w:top w:val="single" w:color="auto" w:sz="4" w:space="0"/>
              <w:left w:val="single" w:color="000000" w:sz="4" w:space="0"/>
              <w:right w:val="single" w:color="000000" w:sz="4" w:space="0"/>
            </w:tcBorders>
            <w:shd w:val="clear" w:color="auto" w:fill="auto"/>
            <w:vAlign w:val="center"/>
          </w:tcPr>
          <w:p w14:paraId="3CFBEB58">
            <w:pPr>
              <w:keepNext w:val="0"/>
              <w:keepLines w:val="0"/>
              <w:widowControl/>
              <w:suppressLineNumbers w:val="0"/>
              <w:jc w:val="center"/>
              <w:textAlignment w:val="center"/>
              <w:rPr>
                <w:rStyle w:val="33"/>
                <w:rFonts w:hint="eastAsia" w:ascii="宋体" w:hAnsi="宋体" w:eastAsia="宋体" w:cs="宋体"/>
                <w:color w:val="auto"/>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满意度指标</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F7A5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工作人员满意度</w:t>
            </w:r>
          </w:p>
        </w:tc>
        <w:tc>
          <w:tcPr>
            <w:tcW w:w="1223" w:type="dxa"/>
            <w:tcBorders>
              <w:top w:val="single" w:color="auto" w:sz="4" w:space="0"/>
              <w:left w:val="single" w:color="auto" w:sz="4" w:space="0"/>
              <w:bottom w:val="nil"/>
              <w:right w:val="nil"/>
            </w:tcBorders>
            <w:shd w:val="clear" w:color="auto" w:fill="auto"/>
            <w:vAlign w:val="center"/>
          </w:tcPr>
          <w:p w14:paraId="229D938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w:t>
            </w:r>
          </w:p>
        </w:tc>
        <w:tc>
          <w:tcPr>
            <w:tcW w:w="1222" w:type="dxa"/>
            <w:tcBorders>
              <w:top w:val="nil"/>
              <w:left w:val="single" w:color="auto" w:sz="4" w:space="0"/>
              <w:bottom w:val="single" w:color="auto" w:sz="4" w:space="0"/>
              <w:right w:val="single" w:color="auto" w:sz="4" w:space="0"/>
            </w:tcBorders>
            <w:shd w:val="clear" w:color="auto" w:fill="auto"/>
            <w:vAlign w:val="center"/>
          </w:tcPr>
          <w:p w14:paraId="1F0523D2">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w:t>
            </w:r>
          </w:p>
        </w:tc>
        <w:tc>
          <w:tcPr>
            <w:tcW w:w="1252" w:type="dxa"/>
            <w:tcBorders>
              <w:top w:val="single" w:color="auto" w:sz="4" w:space="0"/>
              <w:left w:val="nil"/>
              <w:bottom w:val="single" w:color="auto" w:sz="4" w:space="0"/>
              <w:right w:val="single" w:color="auto" w:sz="4" w:space="0"/>
            </w:tcBorders>
            <w:shd w:val="clear" w:color="auto" w:fill="auto"/>
            <w:vAlign w:val="center"/>
          </w:tcPr>
          <w:p w14:paraId="70770793">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100.00%</w:t>
            </w:r>
          </w:p>
        </w:tc>
      </w:tr>
      <w:tr w14:paraId="36FDBF2F">
        <w:tblPrEx>
          <w:tblCellMar>
            <w:top w:w="0" w:type="dxa"/>
            <w:left w:w="108" w:type="dxa"/>
            <w:bottom w:w="0" w:type="dxa"/>
            <w:right w:w="108" w:type="dxa"/>
          </w:tblCellMar>
        </w:tblPrEx>
        <w:trPr>
          <w:trHeight w:val="454" w:hRule="atLeast"/>
        </w:trPr>
        <w:tc>
          <w:tcPr>
            <w:tcW w:w="4891" w:type="dxa"/>
            <w:gridSpan w:val="3"/>
            <w:tcBorders>
              <w:top w:val="single" w:color="000000" w:sz="4" w:space="0"/>
              <w:left w:val="single" w:color="000000" w:sz="4" w:space="0"/>
              <w:bottom w:val="single" w:color="000000" w:sz="4" w:space="0"/>
              <w:right w:val="single" w:color="auto" w:sz="4" w:space="0"/>
            </w:tcBorders>
            <w:shd w:val="clear" w:color="auto" w:fill="auto"/>
            <w:vAlign w:val="center"/>
          </w:tcPr>
          <w:p w14:paraId="47F06153">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合计</w:t>
            </w:r>
          </w:p>
        </w:tc>
        <w:tc>
          <w:tcPr>
            <w:tcW w:w="1223" w:type="dxa"/>
            <w:tcBorders>
              <w:top w:val="single" w:color="000000" w:sz="4" w:space="0"/>
              <w:left w:val="single" w:color="auto" w:sz="4" w:space="0"/>
              <w:bottom w:val="single" w:color="000000" w:sz="4" w:space="0"/>
              <w:right w:val="single" w:color="000000" w:sz="4" w:space="0"/>
            </w:tcBorders>
            <w:shd w:val="clear" w:color="auto" w:fill="auto"/>
            <w:vAlign w:val="center"/>
          </w:tcPr>
          <w:p w14:paraId="36B9B9AF">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100</w:t>
            </w:r>
          </w:p>
        </w:tc>
        <w:tc>
          <w:tcPr>
            <w:tcW w:w="12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C9AD1">
            <w:pPr>
              <w:keepNext w:val="0"/>
              <w:keepLines w:val="0"/>
              <w:widowControl/>
              <w:suppressLineNumbers w:val="0"/>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000000"/>
                <w:kern w:val="0"/>
                <w:sz w:val="20"/>
                <w:szCs w:val="20"/>
                <w:highlight w:val="none"/>
                <w:u w:val="none"/>
                <w:lang w:val="en-US" w:eastAsia="zh-CN" w:bidi="ar"/>
              </w:rPr>
              <w:t>90.87</w:t>
            </w:r>
          </w:p>
        </w:tc>
        <w:tc>
          <w:tcPr>
            <w:tcW w:w="1252" w:type="dxa"/>
            <w:tcBorders>
              <w:top w:val="single" w:color="auto" w:sz="4" w:space="0"/>
              <w:left w:val="single" w:color="000000" w:sz="4" w:space="0"/>
              <w:bottom w:val="single" w:color="000000" w:sz="4" w:space="0"/>
              <w:right w:val="single" w:color="000000" w:sz="4" w:space="0"/>
            </w:tcBorders>
            <w:shd w:val="clear" w:color="auto" w:fill="auto"/>
            <w:vAlign w:val="center"/>
          </w:tcPr>
          <w:p w14:paraId="7C88D525">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000000"/>
                <w:kern w:val="0"/>
                <w:sz w:val="20"/>
                <w:szCs w:val="20"/>
                <w:highlight w:val="none"/>
                <w:u w:val="none"/>
                <w:lang w:val="en-US" w:eastAsia="zh-CN" w:bidi="ar"/>
              </w:rPr>
              <w:t>90.87%</w:t>
            </w:r>
          </w:p>
        </w:tc>
      </w:tr>
    </w:tbl>
    <w:p w14:paraId="4FD349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bookmarkStart w:id="128" w:name="_Toc10740"/>
      <w:r>
        <w:rPr>
          <w:rFonts w:hint="eastAsia" w:ascii="仿宋_GB2312" w:hAnsi="仿宋_GB2312" w:eastAsia="仿宋_GB2312" w:cs="仿宋_GB2312"/>
          <w:sz w:val="32"/>
          <w:szCs w:val="32"/>
          <w:highlight w:val="none"/>
        </w:rPr>
        <w:t>评价认为，</w:t>
      </w:r>
      <w:r>
        <w:rPr>
          <w:rFonts w:hint="eastAsia" w:ascii="仿宋_GB2312" w:hAnsi="仿宋_GB2312" w:eastAsia="仿宋_GB2312" w:cs="仿宋_GB2312"/>
          <w:sz w:val="32"/>
          <w:szCs w:val="32"/>
          <w:highlight w:val="none"/>
          <w:lang w:val="en-US" w:eastAsia="zh-CN"/>
        </w:rPr>
        <w:t>设备购置费</w:t>
      </w:r>
      <w:r>
        <w:rPr>
          <w:rFonts w:hint="eastAsia" w:ascii="仿宋_GB2312" w:hAnsi="仿宋_GB2312" w:eastAsia="仿宋_GB2312" w:cs="仿宋_GB2312"/>
          <w:sz w:val="32"/>
          <w:szCs w:val="32"/>
          <w:highlight w:val="none"/>
        </w:rPr>
        <w:t>项目立项程序规范，依据充分，项目实施必要。在</w:t>
      </w:r>
      <w:r>
        <w:rPr>
          <w:rFonts w:hint="eastAsia" w:ascii="仿宋_GB2312" w:hAnsi="仿宋_GB2312" w:eastAsia="仿宋_GB2312" w:cs="仿宋_GB2312"/>
          <w:sz w:val="32"/>
          <w:szCs w:val="32"/>
          <w:highlight w:val="none"/>
          <w:lang w:val="en-US" w:eastAsia="zh-CN"/>
        </w:rPr>
        <w:t>专项</w:t>
      </w:r>
      <w:r>
        <w:rPr>
          <w:rFonts w:hint="eastAsia" w:ascii="仿宋_GB2312" w:hAnsi="仿宋_GB2312" w:eastAsia="仿宋_GB2312" w:cs="仿宋_GB2312"/>
          <w:sz w:val="32"/>
          <w:szCs w:val="32"/>
          <w:highlight w:val="none"/>
        </w:rPr>
        <w:t>资金统一保障下，项目顺利开展，项目实施流程严谨，确保法院日常工作的有序进行，有力提高业务保障水平和工作效率。但该项目也</w:t>
      </w:r>
      <w:r>
        <w:rPr>
          <w:rFonts w:hint="eastAsia" w:ascii="仿宋_GB2312" w:hAnsi="仿宋_GB2312" w:eastAsia="仿宋_GB2312" w:cs="仿宋_GB2312"/>
          <w:sz w:val="32"/>
          <w:szCs w:val="32"/>
          <w:highlight w:val="none"/>
          <w:lang w:val="en-US" w:eastAsia="zh-CN"/>
        </w:rPr>
        <w:t>存在绩效目标编制不准确</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组织管理不完善等</w:t>
      </w:r>
      <w:r>
        <w:rPr>
          <w:rFonts w:hint="eastAsia" w:ascii="仿宋_GB2312" w:hAnsi="仿宋_GB2312" w:eastAsia="仿宋_GB2312" w:cs="仿宋_GB2312"/>
          <w:sz w:val="32"/>
          <w:szCs w:val="32"/>
          <w:highlight w:val="none"/>
        </w:rPr>
        <w:t>问题。</w:t>
      </w:r>
      <w:bookmarkEnd w:id="128"/>
    </w:p>
    <w:p w14:paraId="7DC0BBDB">
      <w:pPr>
        <w:pStyle w:val="9"/>
        <w:tabs>
          <w:tab w:val="left" w:pos="3780"/>
        </w:tabs>
        <w:overflowPunct w:val="0"/>
        <w:spacing w:line="560" w:lineRule="exact"/>
        <w:ind w:firstLine="640" w:firstLineChars="200"/>
        <w:outlineLvl w:val="0"/>
        <w:rPr>
          <w:rFonts w:ascii="黑体" w:eastAsia="黑体"/>
          <w:highlight w:val="none"/>
        </w:rPr>
      </w:pPr>
      <w:bookmarkStart w:id="129" w:name="_Toc19276"/>
      <w:bookmarkStart w:id="130" w:name="_Toc25412"/>
      <w:bookmarkStart w:id="131" w:name="_Toc30293"/>
      <w:r>
        <w:rPr>
          <w:rFonts w:hint="eastAsia" w:ascii="黑体" w:eastAsia="黑体"/>
          <w:highlight w:val="none"/>
        </w:rPr>
        <w:t>五、绩效评价指标分析</w:t>
      </w:r>
      <w:bookmarkEnd w:id="129"/>
      <w:bookmarkEnd w:id="130"/>
      <w:bookmarkEnd w:id="131"/>
    </w:p>
    <w:p w14:paraId="11ED72B3">
      <w:pPr>
        <w:tabs>
          <w:tab w:val="left" w:pos="3780"/>
        </w:tabs>
        <w:overflowPunct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设备购置费</w:t>
      </w:r>
      <w:r>
        <w:rPr>
          <w:rFonts w:hint="eastAsia" w:ascii="仿宋_GB2312" w:hAnsi="仿宋_GB2312" w:eastAsia="仿宋_GB2312" w:cs="仿宋_GB2312"/>
          <w:sz w:val="32"/>
          <w:szCs w:val="32"/>
          <w:highlight w:val="none"/>
        </w:rPr>
        <w:t>项目绩效评价分级设计项目决策、过程、</w:t>
      </w:r>
      <w:r>
        <w:rPr>
          <w:rFonts w:hint="eastAsia" w:ascii="仿宋_GB2312" w:hAnsi="仿宋_GB2312" w:eastAsia="仿宋_GB2312" w:cs="仿宋_GB2312"/>
          <w:sz w:val="32"/>
          <w:szCs w:val="32"/>
          <w:highlight w:val="none"/>
          <w:lang w:val="en-US" w:eastAsia="zh-CN"/>
        </w:rPr>
        <w:t>成本、</w:t>
      </w:r>
      <w:r>
        <w:rPr>
          <w:rFonts w:hint="eastAsia" w:ascii="仿宋_GB2312" w:hAnsi="仿宋_GB2312" w:eastAsia="仿宋_GB2312" w:cs="仿宋_GB2312"/>
          <w:sz w:val="32"/>
          <w:szCs w:val="32"/>
          <w:highlight w:val="none"/>
        </w:rPr>
        <w:t>产出、效益</w:t>
      </w:r>
      <w:r>
        <w:rPr>
          <w:rFonts w:hint="eastAsia" w:ascii="仿宋_GB2312" w:hAnsi="仿宋_GB2312" w:eastAsia="仿宋_GB2312" w:cs="仿宋_GB2312"/>
          <w:sz w:val="32"/>
          <w:szCs w:val="32"/>
          <w:highlight w:val="none"/>
          <w:lang w:val="en-US" w:eastAsia="zh-CN"/>
        </w:rPr>
        <w:t>五</w:t>
      </w:r>
      <w:r>
        <w:rPr>
          <w:rFonts w:hint="eastAsia" w:ascii="仿宋_GB2312" w:hAnsi="仿宋_GB2312" w:eastAsia="仿宋_GB2312" w:cs="仿宋_GB2312"/>
          <w:sz w:val="32"/>
          <w:szCs w:val="32"/>
          <w:highlight w:val="none"/>
        </w:rPr>
        <w:t>个一级指标，一级指标具体得分情况见下表：</w:t>
      </w:r>
    </w:p>
    <w:p w14:paraId="1839CB77">
      <w:pPr>
        <w:overflowPunct w:val="0"/>
        <w:spacing w:before="156" w:beforeLines="50" w:after="156" w:afterLines="50"/>
        <w:jc w:val="left"/>
        <w:rPr>
          <w:rFonts w:cs="黑体" w:asciiTheme="minorEastAsia" w:hAnsiTheme="minorEastAsia"/>
          <w:sz w:val="28"/>
          <w:szCs w:val="24"/>
          <w:highlight w:val="yellow"/>
        </w:rPr>
      </w:pPr>
      <w:r>
        <w:rPr>
          <w:rFonts w:hint="eastAsia" w:asciiTheme="minorEastAsia" w:hAnsiTheme="minorEastAsia" w:cstheme="minorEastAsia"/>
          <w:kern w:val="0"/>
          <w:sz w:val="28"/>
          <w:szCs w:val="28"/>
          <w:highlight w:val="none"/>
        </w:rPr>
        <w:drawing>
          <wp:inline distT="0" distB="0" distL="114300" distR="114300">
            <wp:extent cx="5433060" cy="3860165"/>
            <wp:effectExtent l="4445" t="4445" r="18415" b="6350"/>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472E293">
      <w:pPr>
        <w:pStyle w:val="9"/>
        <w:overflowPunct w:val="0"/>
        <w:spacing w:line="560" w:lineRule="exact"/>
        <w:ind w:firstLine="643" w:firstLineChars="200"/>
        <w:outlineLvl w:val="1"/>
        <w:rPr>
          <w:rFonts w:ascii="楷体" w:hAnsi="楷体" w:eastAsia="楷体" w:cs="楷体"/>
          <w:b/>
          <w:bCs/>
          <w:highlight w:val="none"/>
        </w:rPr>
      </w:pPr>
      <w:bookmarkStart w:id="132" w:name="_Toc23689"/>
      <w:bookmarkStart w:id="133" w:name="_Toc32422"/>
      <w:bookmarkStart w:id="134" w:name="_Toc30072"/>
      <w:r>
        <w:rPr>
          <w:rFonts w:hint="eastAsia" w:ascii="楷体" w:hAnsi="楷体" w:eastAsia="楷体" w:cs="楷体"/>
          <w:b/>
          <w:bCs/>
          <w:highlight w:val="none"/>
        </w:rPr>
        <w:t>（一）项目决策情况</w:t>
      </w:r>
      <w:bookmarkEnd w:id="132"/>
      <w:bookmarkEnd w:id="133"/>
      <w:bookmarkEnd w:id="134"/>
    </w:p>
    <w:p w14:paraId="3E34C64D">
      <w:pPr>
        <w:pStyle w:val="26"/>
        <w:overflowPunct w:val="0"/>
        <w:spacing w:line="560" w:lineRule="exact"/>
        <w:ind w:firstLine="640"/>
        <w:rPr>
          <w:rFonts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highlight w:val="none"/>
        </w:rPr>
        <w:t>项目决策指标包括项目立项、绩效目标、资金投入三个二级指标，项目立项指标包括立项依据充分性、立项程序规范性两个三级指标，绩效目标指标包括绩效目标合理性、绩效指标明确性两个三级指标，资</w:t>
      </w:r>
      <w:r>
        <w:rPr>
          <w:rFonts w:hint="eastAsia" w:ascii="仿宋_GB2312" w:hAnsi="仿宋_GB2312" w:eastAsia="仿宋_GB2312" w:cs="仿宋_GB2312"/>
          <w:color w:val="auto"/>
          <w:sz w:val="32"/>
          <w:szCs w:val="32"/>
          <w:highlight w:val="none"/>
        </w:rPr>
        <w:t>金投入指标包括预算编制科学性、资金分配合理性两个三级指标。指标分值</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分，评价得分</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分，得分率</w:t>
      </w:r>
      <w:r>
        <w:rPr>
          <w:rFonts w:hint="eastAsia" w:ascii="仿宋_GB2312" w:hAnsi="仿宋_GB2312" w:eastAsia="仿宋_GB2312" w:cs="仿宋_GB2312"/>
          <w:color w:val="auto"/>
          <w:sz w:val="32"/>
          <w:szCs w:val="32"/>
          <w:highlight w:val="none"/>
          <w:lang w:val="en-US" w:eastAsia="zh-CN"/>
        </w:rPr>
        <w:t>100.00</w:t>
      </w:r>
      <w:r>
        <w:rPr>
          <w:rFonts w:hint="eastAsia" w:ascii="仿宋_GB2312" w:hAnsi="仿宋_GB2312" w:eastAsia="仿宋_GB2312" w:cs="仿宋_GB2312"/>
          <w:color w:val="auto"/>
          <w:sz w:val="32"/>
          <w:szCs w:val="32"/>
          <w:highlight w:val="none"/>
        </w:rPr>
        <w:t>%。</w:t>
      </w:r>
    </w:p>
    <w:tbl>
      <w:tblPr>
        <w:tblStyle w:val="20"/>
        <w:tblW w:w="86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2198"/>
        <w:gridCol w:w="835"/>
        <w:gridCol w:w="1186"/>
        <w:gridCol w:w="1181"/>
        <w:gridCol w:w="805"/>
        <w:gridCol w:w="1241"/>
      </w:tblGrid>
      <w:tr w14:paraId="3A30D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1240" w:type="dxa"/>
            <w:tcBorders>
              <w:top w:val="single" w:color="auto" w:sz="12" w:space="0"/>
              <w:left w:val="nil"/>
              <w:bottom w:val="dotted" w:color="auto" w:sz="4" w:space="0"/>
              <w:right w:val="dotted" w:color="auto" w:sz="4" w:space="0"/>
            </w:tcBorders>
            <w:shd w:val="clear" w:color="auto" w:fill="BDD6EE" w:themeFill="accent1" w:themeFillTint="66"/>
            <w:vAlign w:val="center"/>
          </w:tcPr>
          <w:p w14:paraId="3053EFB6">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二级指标</w:t>
            </w:r>
          </w:p>
        </w:tc>
        <w:tc>
          <w:tcPr>
            <w:tcW w:w="2198" w:type="dxa"/>
            <w:tcBorders>
              <w:top w:val="single" w:color="auto" w:sz="12" w:space="0"/>
              <w:left w:val="dotted" w:color="auto" w:sz="4" w:space="0"/>
              <w:bottom w:val="dotted" w:color="auto" w:sz="4" w:space="0"/>
              <w:right w:val="dotted" w:color="auto" w:sz="4" w:space="0"/>
            </w:tcBorders>
            <w:shd w:val="clear" w:color="auto" w:fill="BDD6EE" w:themeFill="accent1" w:themeFillTint="66"/>
            <w:vAlign w:val="center"/>
          </w:tcPr>
          <w:p w14:paraId="2C65F79C">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835" w:type="dxa"/>
            <w:tcBorders>
              <w:top w:val="single" w:color="auto" w:sz="12" w:space="0"/>
              <w:left w:val="dotted" w:color="auto" w:sz="4" w:space="0"/>
              <w:bottom w:val="dotted" w:color="auto" w:sz="4" w:space="0"/>
              <w:right w:val="dotted" w:color="auto" w:sz="4" w:space="0"/>
            </w:tcBorders>
            <w:shd w:val="clear" w:color="auto" w:fill="BDD6EE" w:themeFill="accent1" w:themeFillTint="66"/>
            <w:vAlign w:val="center"/>
          </w:tcPr>
          <w:p w14:paraId="357D01A1">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186" w:type="dxa"/>
            <w:tcBorders>
              <w:top w:val="single" w:color="auto" w:sz="12" w:space="0"/>
              <w:left w:val="dotted" w:color="auto" w:sz="4" w:space="0"/>
              <w:bottom w:val="dotted" w:color="auto" w:sz="4" w:space="0"/>
              <w:right w:val="dotted" w:color="auto" w:sz="4" w:space="0"/>
            </w:tcBorders>
            <w:shd w:val="clear" w:color="auto" w:fill="BDD6EE" w:themeFill="accent1" w:themeFillTint="66"/>
            <w:vAlign w:val="center"/>
          </w:tcPr>
          <w:p w14:paraId="1954FA15">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目标值</w:t>
            </w:r>
          </w:p>
        </w:tc>
        <w:tc>
          <w:tcPr>
            <w:tcW w:w="1181" w:type="dxa"/>
            <w:tcBorders>
              <w:top w:val="single" w:color="auto" w:sz="12" w:space="0"/>
              <w:left w:val="dotted" w:color="auto" w:sz="4" w:space="0"/>
              <w:bottom w:val="dotted" w:color="auto" w:sz="4" w:space="0"/>
              <w:right w:val="dotted" w:color="auto" w:sz="4" w:space="0"/>
            </w:tcBorders>
            <w:shd w:val="clear" w:color="auto" w:fill="BDD6EE" w:themeFill="accent1" w:themeFillTint="66"/>
            <w:vAlign w:val="center"/>
          </w:tcPr>
          <w:p w14:paraId="11FD8DFB">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业绩值</w:t>
            </w:r>
          </w:p>
        </w:tc>
        <w:tc>
          <w:tcPr>
            <w:tcW w:w="805" w:type="dxa"/>
            <w:tcBorders>
              <w:top w:val="single" w:color="auto" w:sz="12" w:space="0"/>
              <w:left w:val="dotted" w:color="auto" w:sz="4" w:space="0"/>
              <w:bottom w:val="dotted" w:color="auto" w:sz="4" w:space="0"/>
              <w:right w:val="dotted" w:color="auto" w:sz="4" w:space="0"/>
            </w:tcBorders>
            <w:shd w:val="clear" w:color="auto" w:fill="BDD6EE" w:themeFill="accent1" w:themeFillTint="66"/>
            <w:vAlign w:val="center"/>
          </w:tcPr>
          <w:p w14:paraId="55F13C8B">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1241" w:type="dxa"/>
            <w:tcBorders>
              <w:top w:val="single" w:color="auto" w:sz="12" w:space="0"/>
              <w:left w:val="dotted" w:color="auto" w:sz="4" w:space="0"/>
              <w:bottom w:val="dotted" w:color="auto" w:sz="4" w:space="0"/>
              <w:right w:val="nil"/>
            </w:tcBorders>
            <w:shd w:val="clear" w:color="auto" w:fill="BDD6EE" w:themeFill="accent1" w:themeFillTint="66"/>
            <w:vAlign w:val="center"/>
          </w:tcPr>
          <w:p w14:paraId="4885E43E">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57279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restart"/>
            <w:tcBorders>
              <w:top w:val="dotted" w:color="auto" w:sz="4" w:space="0"/>
              <w:left w:val="nil"/>
              <w:bottom w:val="dotted" w:color="auto" w:sz="4" w:space="0"/>
              <w:right w:val="dotted" w:color="auto" w:sz="4" w:space="0"/>
            </w:tcBorders>
            <w:vAlign w:val="center"/>
          </w:tcPr>
          <w:p w14:paraId="3D9762C1">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项目立项</w:t>
            </w:r>
          </w:p>
        </w:tc>
        <w:tc>
          <w:tcPr>
            <w:tcW w:w="2198" w:type="dxa"/>
            <w:tcBorders>
              <w:top w:val="dotted" w:color="auto" w:sz="4" w:space="0"/>
              <w:left w:val="dotted" w:color="auto" w:sz="4" w:space="0"/>
              <w:bottom w:val="dotted" w:color="auto" w:sz="4" w:space="0"/>
              <w:right w:val="dotted" w:color="auto" w:sz="4" w:space="0"/>
            </w:tcBorders>
            <w:vAlign w:val="center"/>
          </w:tcPr>
          <w:p w14:paraId="145BEAD0">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立项依据充分性</w:t>
            </w:r>
          </w:p>
        </w:tc>
        <w:tc>
          <w:tcPr>
            <w:tcW w:w="835" w:type="dxa"/>
            <w:tcBorders>
              <w:top w:val="dotted" w:color="auto" w:sz="4" w:space="0"/>
              <w:left w:val="dotted" w:color="auto" w:sz="4" w:space="0"/>
              <w:bottom w:val="dotted" w:color="auto" w:sz="4" w:space="0"/>
              <w:right w:val="dotted" w:color="auto" w:sz="4" w:space="0"/>
            </w:tcBorders>
            <w:shd w:val="clear" w:color="auto" w:fill="auto"/>
            <w:vAlign w:val="center"/>
          </w:tcPr>
          <w:p w14:paraId="5FDCCF09">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30616CC5">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充分</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3C22C75F">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充分</w:t>
            </w:r>
          </w:p>
        </w:tc>
        <w:tc>
          <w:tcPr>
            <w:tcW w:w="805" w:type="dxa"/>
            <w:tcBorders>
              <w:top w:val="dotted" w:color="auto" w:sz="4" w:space="0"/>
              <w:left w:val="dotted" w:color="auto" w:sz="4" w:space="0"/>
              <w:bottom w:val="dotted" w:color="auto" w:sz="4" w:space="0"/>
              <w:right w:val="dotted" w:color="auto" w:sz="4" w:space="0"/>
            </w:tcBorders>
            <w:shd w:val="clear" w:color="auto" w:fill="auto"/>
            <w:vAlign w:val="center"/>
          </w:tcPr>
          <w:p w14:paraId="092C3640">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u w:val="none"/>
                <w:lang w:val="en-US" w:eastAsia="zh-CN" w:bidi="ar"/>
              </w:rPr>
              <w:t>2.5</w:t>
            </w:r>
          </w:p>
        </w:tc>
        <w:tc>
          <w:tcPr>
            <w:tcW w:w="1241" w:type="dxa"/>
            <w:tcBorders>
              <w:top w:val="dotted" w:color="auto" w:sz="4" w:space="0"/>
              <w:left w:val="dotted" w:color="auto" w:sz="4" w:space="0"/>
              <w:bottom w:val="dotted" w:color="auto" w:sz="4" w:space="0"/>
              <w:right w:val="nil"/>
            </w:tcBorders>
            <w:shd w:val="clear" w:color="auto" w:fill="auto"/>
            <w:vAlign w:val="center"/>
          </w:tcPr>
          <w:p w14:paraId="236F1949">
            <w:pPr>
              <w:keepNext w:val="0"/>
              <w:keepLines w:val="0"/>
              <w:widowControl/>
              <w:suppressLineNumbers w:val="0"/>
              <w:jc w:val="right"/>
              <w:textAlignment w:val="center"/>
              <w:rPr>
                <w:rFonts w:hint="eastAsia" w:ascii="宋体" w:hAnsi="宋体" w:eastAsia="宋体" w:cs="宋体"/>
                <w:color w:val="auto"/>
                <w:kern w:val="0"/>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13093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continue"/>
            <w:tcBorders>
              <w:top w:val="dotted" w:color="auto" w:sz="4" w:space="0"/>
              <w:left w:val="nil"/>
              <w:bottom w:val="dotted" w:color="auto" w:sz="4" w:space="0"/>
              <w:right w:val="dotted" w:color="auto" w:sz="4" w:space="0"/>
            </w:tcBorders>
            <w:vAlign w:val="center"/>
          </w:tcPr>
          <w:p w14:paraId="19B2C3DD">
            <w:pPr>
              <w:jc w:val="center"/>
              <w:rPr>
                <w:rFonts w:hint="eastAsia" w:ascii="宋体" w:hAnsi="宋体" w:eastAsia="宋体" w:cs="宋体"/>
                <w:bCs/>
                <w:color w:val="auto"/>
                <w:sz w:val="20"/>
                <w:szCs w:val="20"/>
                <w:highlight w:val="none"/>
              </w:rPr>
            </w:pPr>
          </w:p>
        </w:tc>
        <w:tc>
          <w:tcPr>
            <w:tcW w:w="2198" w:type="dxa"/>
            <w:tcBorders>
              <w:top w:val="dotted" w:color="auto" w:sz="4" w:space="0"/>
              <w:left w:val="dotted" w:color="auto" w:sz="4" w:space="0"/>
              <w:bottom w:val="dotted" w:color="auto" w:sz="4" w:space="0"/>
              <w:right w:val="dotted" w:color="auto" w:sz="4" w:space="0"/>
            </w:tcBorders>
            <w:vAlign w:val="center"/>
          </w:tcPr>
          <w:p w14:paraId="1E0CAF2D">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立项程序规范性</w:t>
            </w:r>
          </w:p>
        </w:tc>
        <w:tc>
          <w:tcPr>
            <w:tcW w:w="835" w:type="dxa"/>
            <w:tcBorders>
              <w:top w:val="dotted" w:color="auto" w:sz="4" w:space="0"/>
              <w:left w:val="dotted" w:color="auto" w:sz="4" w:space="0"/>
              <w:bottom w:val="dotted" w:color="auto" w:sz="4" w:space="0"/>
              <w:right w:val="dotted" w:color="auto" w:sz="4" w:space="0"/>
            </w:tcBorders>
            <w:shd w:val="clear" w:color="auto" w:fill="auto"/>
            <w:vAlign w:val="center"/>
          </w:tcPr>
          <w:p w14:paraId="42FBAED5">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6F1C6BD2">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规范</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4B444A8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规范</w:t>
            </w:r>
          </w:p>
        </w:tc>
        <w:tc>
          <w:tcPr>
            <w:tcW w:w="805" w:type="dxa"/>
            <w:tcBorders>
              <w:top w:val="dotted" w:color="auto" w:sz="4" w:space="0"/>
              <w:left w:val="dotted" w:color="auto" w:sz="4" w:space="0"/>
              <w:bottom w:val="dotted" w:color="auto" w:sz="4" w:space="0"/>
              <w:right w:val="dotted" w:color="auto" w:sz="4" w:space="0"/>
            </w:tcBorders>
            <w:shd w:val="clear" w:color="auto" w:fill="auto"/>
            <w:vAlign w:val="center"/>
          </w:tcPr>
          <w:p w14:paraId="54688057">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u w:val="none"/>
                <w:lang w:val="en-US" w:eastAsia="zh-CN" w:bidi="ar"/>
              </w:rPr>
              <w:t>2.5</w:t>
            </w:r>
          </w:p>
        </w:tc>
        <w:tc>
          <w:tcPr>
            <w:tcW w:w="1241" w:type="dxa"/>
            <w:tcBorders>
              <w:top w:val="dotted" w:color="auto" w:sz="4" w:space="0"/>
              <w:left w:val="dotted" w:color="auto" w:sz="4" w:space="0"/>
              <w:bottom w:val="dotted" w:color="auto" w:sz="4" w:space="0"/>
              <w:right w:val="nil"/>
            </w:tcBorders>
            <w:shd w:val="clear" w:color="auto" w:fill="auto"/>
            <w:vAlign w:val="center"/>
          </w:tcPr>
          <w:p w14:paraId="256336EF">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6EA74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restart"/>
            <w:tcBorders>
              <w:top w:val="dotted" w:color="auto" w:sz="4" w:space="0"/>
              <w:left w:val="nil"/>
              <w:bottom w:val="dotted" w:color="auto" w:sz="4" w:space="0"/>
              <w:right w:val="dotted" w:color="auto" w:sz="4" w:space="0"/>
            </w:tcBorders>
            <w:vAlign w:val="center"/>
          </w:tcPr>
          <w:p w14:paraId="419BD6DB">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绩效目标</w:t>
            </w:r>
          </w:p>
        </w:tc>
        <w:tc>
          <w:tcPr>
            <w:tcW w:w="2198" w:type="dxa"/>
            <w:tcBorders>
              <w:top w:val="dotted" w:color="auto" w:sz="4" w:space="0"/>
              <w:left w:val="dotted" w:color="auto" w:sz="4" w:space="0"/>
              <w:bottom w:val="dotted" w:color="auto" w:sz="4" w:space="0"/>
              <w:right w:val="dotted" w:color="auto" w:sz="4" w:space="0"/>
            </w:tcBorders>
            <w:vAlign w:val="center"/>
          </w:tcPr>
          <w:p w14:paraId="7C0CD8F6">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绩效目标合理性</w:t>
            </w:r>
          </w:p>
        </w:tc>
        <w:tc>
          <w:tcPr>
            <w:tcW w:w="835" w:type="dxa"/>
            <w:tcBorders>
              <w:top w:val="dotted" w:color="auto" w:sz="4" w:space="0"/>
              <w:left w:val="dotted" w:color="auto" w:sz="4" w:space="0"/>
              <w:bottom w:val="dotted" w:color="auto" w:sz="4" w:space="0"/>
              <w:right w:val="dotted" w:color="auto" w:sz="4" w:space="0"/>
            </w:tcBorders>
            <w:shd w:val="clear" w:color="auto" w:fill="auto"/>
            <w:vAlign w:val="center"/>
          </w:tcPr>
          <w:p w14:paraId="360EE86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4E43F2E6">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合理</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13A4E6C9">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合理</w:t>
            </w:r>
          </w:p>
        </w:tc>
        <w:tc>
          <w:tcPr>
            <w:tcW w:w="805" w:type="dxa"/>
            <w:tcBorders>
              <w:top w:val="dotted" w:color="auto" w:sz="4" w:space="0"/>
              <w:left w:val="dotted" w:color="auto" w:sz="4" w:space="0"/>
              <w:bottom w:val="dotted" w:color="auto" w:sz="4" w:space="0"/>
              <w:right w:val="dotted" w:color="auto" w:sz="4" w:space="0"/>
            </w:tcBorders>
            <w:shd w:val="clear" w:color="auto" w:fill="auto"/>
            <w:vAlign w:val="center"/>
          </w:tcPr>
          <w:p w14:paraId="0DB2D2D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5</w:t>
            </w:r>
          </w:p>
        </w:tc>
        <w:tc>
          <w:tcPr>
            <w:tcW w:w="1241" w:type="dxa"/>
            <w:tcBorders>
              <w:top w:val="dotted" w:color="auto" w:sz="4" w:space="0"/>
              <w:left w:val="dotted" w:color="auto" w:sz="4" w:space="0"/>
              <w:bottom w:val="dotted" w:color="auto" w:sz="4" w:space="0"/>
              <w:right w:val="nil"/>
            </w:tcBorders>
            <w:shd w:val="clear" w:color="auto" w:fill="auto"/>
            <w:vAlign w:val="center"/>
          </w:tcPr>
          <w:p w14:paraId="339B3A79">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25149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continue"/>
            <w:tcBorders>
              <w:top w:val="dotted" w:color="auto" w:sz="4" w:space="0"/>
              <w:left w:val="nil"/>
              <w:bottom w:val="dotted" w:color="auto" w:sz="4" w:space="0"/>
              <w:right w:val="dotted" w:color="auto" w:sz="4" w:space="0"/>
            </w:tcBorders>
            <w:vAlign w:val="center"/>
          </w:tcPr>
          <w:p w14:paraId="5E034E1B">
            <w:pPr>
              <w:jc w:val="center"/>
              <w:rPr>
                <w:rFonts w:hint="eastAsia" w:ascii="宋体" w:hAnsi="宋体" w:eastAsia="宋体" w:cs="宋体"/>
                <w:bCs/>
                <w:color w:val="auto"/>
                <w:sz w:val="20"/>
                <w:szCs w:val="20"/>
                <w:highlight w:val="none"/>
              </w:rPr>
            </w:pPr>
          </w:p>
        </w:tc>
        <w:tc>
          <w:tcPr>
            <w:tcW w:w="2198" w:type="dxa"/>
            <w:tcBorders>
              <w:top w:val="dotted" w:color="auto" w:sz="4" w:space="0"/>
              <w:left w:val="dotted" w:color="auto" w:sz="4" w:space="0"/>
              <w:bottom w:val="dotted" w:color="auto" w:sz="4" w:space="0"/>
              <w:right w:val="dotted" w:color="auto" w:sz="4" w:space="0"/>
            </w:tcBorders>
            <w:vAlign w:val="center"/>
          </w:tcPr>
          <w:p w14:paraId="177633AE">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绩效指标明确性</w:t>
            </w:r>
          </w:p>
        </w:tc>
        <w:tc>
          <w:tcPr>
            <w:tcW w:w="835" w:type="dxa"/>
            <w:tcBorders>
              <w:top w:val="dotted" w:color="auto" w:sz="4" w:space="0"/>
              <w:left w:val="dotted" w:color="auto" w:sz="4" w:space="0"/>
              <w:bottom w:val="dotted" w:color="auto" w:sz="4" w:space="0"/>
              <w:right w:val="dotted" w:color="auto" w:sz="4" w:space="0"/>
            </w:tcBorders>
            <w:shd w:val="clear" w:color="auto" w:fill="auto"/>
            <w:vAlign w:val="center"/>
          </w:tcPr>
          <w:p w14:paraId="11023E56">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69BBF0E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明确</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6BE7D68E">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明确</w:t>
            </w:r>
          </w:p>
        </w:tc>
        <w:tc>
          <w:tcPr>
            <w:tcW w:w="805" w:type="dxa"/>
            <w:tcBorders>
              <w:top w:val="dotted" w:color="auto" w:sz="4" w:space="0"/>
              <w:left w:val="dotted" w:color="auto" w:sz="4" w:space="0"/>
              <w:bottom w:val="dotted" w:color="auto" w:sz="4" w:space="0"/>
              <w:right w:val="dotted" w:color="auto" w:sz="4" w:space="0"/>
            </w:tcBorders>
            <w:shd w:val="clear" w:color="auto" w:fill="auto"/>
            <w:vAlign w:val="center"/>
          </w:tcPr>
          <w:p w14:paraId="6329787E">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5</w:t>
            </w:r>
          </w:p>
        </w:tc>
        <w:tc>
          <w:tcPr>
            <w:tcW w:w="1241" w:type="dxa"/>
            <w:tcBorders>
              <w:top w:val="dotted" w:color="auto" w:sz="4" w:space="0"/>
              <w:left w:val="dotted" w:color="auto" w:sz="4" w:space="0"/>
              <w:bottom w:val="dotted" w:color="auto" w:sz="4" w:space="0"/>
              <w:right w:val="nil"/>
            </w:tcBorders>
            <w:shd w:val="clear" w:color="auto" w:fill="auto"/>
            <w:vAlign w:val="center"/>
          </w:tcPr>
          <w:p w14:paraId="3F9D8C09">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0641F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restart"/>
            <w:tcBorders>
              <w:top w:val="dotted" w:color="auto" w:sz="4" w:space="0"/>
              <w:left w:val="nil"/>
              <w:bottom w:val="dotted" w:color="auto" w:sz="4" w:space="0"/>
              <w:right w:val="dotted" w:color="auto" w:sz="4" w:space="0"/>
            </w:tcBorders>
            <w:vAlign w:val="center"/>
          </w:tcPr>
          <w:p w14:paraId="4A812FD7">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资金投入</w:t>
            </w:r>
          </w:p>
        </w:tc>
        <w:tc>
          <w:tcPr>
            <w:tcW w:w="2198" w:type="dxa"/>
            <w:tcBorders>
              <w:top w:val="dotted" w:color="auto" w:sz="4" w:space="0"/>
              <w:left w:val="dotted" w:color="auto" w:sz="4" w:space="0"/>
              <w:bottom w:val="dotted" w:color="auto" w:sz="4" w:space="0"/>
              <w:right w:val="dotted" w:color="auto" w:sz="4" w:space="0"/>
            </w:tcBorders>
            <w:vAlign w:val="center"/>
          </w:tcPr>
          <w:p w14:paraId="4DD2334F">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预算编制科学性</w:t>
            </w:r>
          </w:p>
        </w:tc>
        <w:tc>
          <w:tcPr>
            <w:tcW w:w="835" w:type="dxa"/>
            <w:tcBorders>
              <w:top w:val="dotted" w:color="auto" w:sz="4" w:space="0"/>
              <w:left w:val="dotted" w:color="auto" w:sz="4" w:space="0"/>
              <w:bottom w:val="dotted" w:color="auto" w:sz="4" w:space="0"/>
              <w:right w:val="dotted" w:color="auto" w:sz="4" w:space="0"/>
            </w:tcBorders>
            <w:shd w:val="clear" w:color="auto" w:fill="auto"/>
            <w:vAlign w:val="center"/>
          </w:tcPr>
          <w:p w14:paraId="71F3652E">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3CCA26A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科学</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43DC5008">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科学</w:t>
            </w:r>
          </w:p>
        </w:tc>
        <w:tc>
          <w:tcPr>
            <w:tcW w:w="805" w:type="dxa"/>
            <w:tcBorders>
              <w:top w:val="dotted" w:color="auto" w:sz="4" w:space="0"/>
              <w:left w:val="dotted" w:color="auto" w:sz="4" w:space="0"/>
              <w:bottom w:val="dotted" w:color="auto" w:sz="4" w:space="0"/>
              <w:right w:val="dotted" w:color="auto" w:sz="4" w:space="0"/>
            </w:tcBorders>
            <w:shd w:val="clear" w:color="auto" w:fill="auto"/>
            <w:vAlign w:val="center"/>
          </w:tcPr>
          <w:p w14:paraId="46EDC327">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u w:val="none"/>
                <w:lang w:val="en-US" w:eastAsia="zh-CN" w:bidi="ar"/>
              </w:rPr>
              <w:t>2.5</w:t>
            </w:r>
          </w:p>
        </w:tc>
        <w:tc>
          <w:tcPr>
            <w:tcW w:w="1241" w:type="dxa"/>
            <w:tcBorders>
              <w:top w:val="dotted" w:color="auto" w:sz="4" w:space="0"/>
              <w:left w:val="dotted" w:color="auto" w:sz="4" w:space="0"/>
              <w:bottom w:val="dotted" w:color="auto" w:sz="4" w:space="0"/>
              <w:right w:val="nil"/>
            </w:tcBorders>
            <w:shd w:val="clear" w:color="auto" w:fill="auto"/>
            <w:vAlign w:val="center"/>
          </w:tcPr>
          <w:p w14:paraId="3D3C8730">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09C55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continue"/>
            <w:tcBorders>
              <w:top w:val="dotted" w:color="auto" w:sz="4" w:space="0"/>
              <w:left w:val="nil"/>
              <w:bottom w:val="dotted" w:color="auto" w:sz="4" w:space="0"/>
              <w:right w:val="dotted" w:color="auto" w:sz="4" w:space="0"/>
            </w:tcBorders>
            <w:vAlign w:val="center"/>
          </w:tcPr>
          <w:p w14:paraId="6EC929E5">
            <w:pPr>
              <w:jc w:val="center"/>
              <w:rPr>
                <w:rFonts w:hint="eastAsia" w:ascii="宋体" w:hAnsi="宋体" w:eastAsia="宋体" w:cs="宋体"/>
                <w:bCs/>
                <w:color w:val="auto"/>
                <w:sz w:val="20"/>
                <w:szCs w:val="20"/>
                <w:highlight w:val="none"/>
              </w:rPr>
            </w:pPr>
          </w:p>
        </w:tc>
        <w:tc>
          <w:tcPr>
            <w:tcW w:w="2198" w:type="dxa"/>
            <w:tcBorders>
              <w:top w:val="dotted" w:color="auto" w:sz="4" w:space="0"/>
              <w:left w:val="dotted" w:color="auto" w:sz="4" w:space="0"/>
              <w:bottom w:val="dotted" w:color="auto" w:sz="4" w:space="0"/>
              <w:right w:val="dotted" w:color="auto" w:sz="4" w:space="0"/>
            </w:tcBorders>
            <w:vAlign w:val="center"/>
          </w:tcPr>
          <w:p w14:paraId="55319035">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资金分配合理性</w:t>
            </w:r>
          </w:p>
        </w:tc>
        <w:tc>
          <w:tcPr>
            <w:tcW w:w="835" w:type="dxa"/>
            <w:tcBorders>
              <w:top w:val="dotted" w:color="auto" w:sz="4" w:space="0"/>
              <w:left w:val="dotted" w:color="auto" w:sz="4" w:space="0"/>
              <w:bottom w:val="dotted" w:color="auto" w:sz="4" w:space="0"/>
              <w:right w:val="dotted" w:color="auto" w:sz="4" w:space="0"/>
            </w:tcBorders>
            <w:shd w:val="clear" w:color="auto" w:fill="auto"/>
            <w:vAlign w:val="center"/>
          </w:tcPr>
          <w:p w14:paraId="65EF179E">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auto"/>
                <w:kern w:val="0"/>
                <w:sz w:val="20"/>
                <w:szCs w:val="20"/>
                <w:highlight w:val="none"/>
                <w:u w:val="none"/>
                <w:lang w:val="en-US" w:eastAsia="zh-CN" w:bidi="ar"/>
              </w:rPr>
              <w:t>2.5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0BED671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合理</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51991E66">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合理</w:t>
            </w:r>
          </w:p>
        </w:tc>
        <w:tc>
          <w:tcPr>
            <w:tcW w:w="805" w:type="dxa"/>
            <w:tcBorders>
              <w:top w:val="dotted" w:color="auto" w:sz="4" w:space="0"/>
              <w:left w:val="dotted" w:color="auto" w:sz="4" w:space="0"/>
              <w:bottom w:val="dotted" w:color="auto" w:sz="4" w:space="0"/>
              <w:right w:val="dotted" w:color="auto" w:sz="4" w:space="0"/>
            </w:tcBorders>
            <w:shd w:val="clear" w:color="auto" w:fill="auto"/>
            <w:vAlign w:val="center"/>
          </w:tcPr>
          <w:p w14:paraId="3BC244AD">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u w:val="none"/>
                <w:lang w:val="en-US" w:eastAsia="zh-CN" w:bidi="ar"/>
              </w:rPr>
              <w:t>2.5</w:t>
            </w:r>
          </w:p>
        </w:tc>
        <w:tc>
          <w:tcPr>
            <w:tcW w:w="1241" w:type="dxa"/>
            <w:tcBorders>
              <w:top w:val="dotted" w:color="auto" w:sz="4" w:space="0"/>
              <w:left w:val="dotted" w:color="auto" w:sz="4" w:space="0"/>
              <w:bottom w:val="dotted" w:color="auto" w:sz="4" w:space="0"/>
              <w:right w:val="nil"/>
            </w:tcBorders>
            <w:shd w:val="clear" w:color="auto" w:fill="auto"/>
            <w:vAlign w:val="center"/>
          </w:tcPr>
          <w:p w14:paraId="5E5AEF6D">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01F45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438" w:type="dxa"/>
            <w:gridSpan w:val="2"/>
            <w:tcBorders>
              <w:top w:val="dotted" w:color="auto" w:sz="4" w:space="0"/>
              <w:left w:val="nil"/>
              <w:bottom w:val="single" w:color="auto" w:sz="12" w:space="0"/>
              <w:right w:val="dotted" w:color="auto" w:sz="4" w:space="0"/>
            </w:tcBorders>
            <w:shd w:val="clear" w:color="auto" w:fill="BDD6EE" w:themeFill="accent1" w:themeFillTint="66"/>
            <w:vAlign w:val="center"/>
          </w:tcPr>
          <w:p w14:paraId="760EE7D7">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合计</w:t>
            </w:r>
          </w:p>
        </w:tc>
        <w:tc>
          <w:tcPr>
            <w:tcW w:w="835" w:type="dxa"/>
            <w:tcBorders>
              <w:top w:val="dotted" w:color="auto" w:sz="4" w:space="0"/>
              <w:left w:val="dotted" w:color="auto" w:sz="4" w:space="0"/>
              <w:bottom w:val="single" w:color="auto" w:sz="12" w:space="0"/>
              <w:right w:val="dotted" w:color="auto" w:sz="4" w:space="0"/>
            </w:tcBorders>
            <w:shd w:val="clear" w:color="auto" w:fill="BDD6EE" w:themeFill="accent1" w:themeFillTint="66"/>
            <w:vAlign w:val="center"/>
          </w:tcPr>
          <w:p w14:paraId="3D61030B">
            <w:pPr>
              <w:widowControl/>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20</w:t>
            </w:r>
          </w:p>
        </w:tc>
        <w:tc>
          <w:tcPr>
            <w:tcW w:w="1186" w:type="dxa"/>
            <w:tcBorders>
              <w:top w:val="dotted" w:color="auto" w:sz="4" w:space="0"/>
              <w:left w:val="dotted" w:color="auto" w:sz="4" w:space="0"/>
              <w:bottom w:val="single" w:color="auto" w:sz="12" w:space="0"/>
              <w:right w:val="dotted" w:color="auto" w:sz="4" w:space="0"/>
            </w:tcBorders>
            <w:shd w:val="clear" w:color="auto" w:fill="BDD6EE" w:themeFill="accent1" w:themeFillTint="66"/>
            <w:vAlign w:val="center"/>
          </w:tcPr>
          <w:p w14:paraId="1A91C6B9">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w:t>
            </w:r>
          </w:p>
        </w:tc>
        <w:tc>
          <w:tcPr>
            <w:tcW w:w="1181" w:type="dxa"/>
            <w:tcBorders>
              <w:top w:val="dotted" w:color="auto" w:sz="4" w:space="0"/>
              <w:left w:val="dotted" w:color="auto" w:sz="4" w:space="0"/>
              <w:bottom w:val="single" w:color="auto" w:sz="12" w:space="0"/>
              <w:right w:val="dotted" w:color="auto" w:sz="4" w:space="0"/>
            </w:tcBorders>
            <w:shd w:val="clear" w:color="auto" w:fill="BDD6EE" w:themeFill="accent1" w:themeFillTint="66"/>
            <w:vAlign w:val="center"/>
          </w:tcPr>
          <w:p w14:paraId="32C83763">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w:t>
            </w:r>
          </w:p>
        </w:tc>
        <w:tc>
          <w:tcPr>
            <w:tcW w:w="805" w:type="dxa"/>
            <w:tcBorders>
              <w:top w:val="dotted" w:color="auto" w:sz="4" w:space="0"/>
              <w:left w:val="dotted" w:color="auto" w:sz="4" w:space="0"/>
              <w:bottom w:val="single" w:color="auto" w:sz="12" w:space="0"/>
              <w:right w:val="dotted" w:color="auto" w:sz="4" w:space="0"/>
            </w:tcBorders>
            <w:shd w:val="clear" w:color="auto" w:fill="BDD6EE" w:themeFill="accent1" w:themeFillTint="66"/>
            <w:vAlign w:val="center"/>
          </w:tcPr>
          <w:p w14:paraId="1138379B">
            <w:pPr>
              <w:keepNext w:val="0"/>
              <w:keepLines w:val="0"/>
              <w:widowControl/>
              <w:suppressLineNumbers w:val="0"/>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000000"/>
                <w:kern w:val="0"/>
                <w:sz w:val="20"/>
                <w:szCs w:val="20"/>
                <w:u w:val="none"/>
                <w:lang w:val="en-US" w:eastAsia="zh-CN" w:bidi="ar"/>
              </w:rPr>
              <w:t>20</w:t>
            </w:r>
          </w:p>
        </w:tc>
        <w:tc>
          <w:tcPr>
            <w:tcW w:w="1241" w:type="dxa"/>
            <w:tcBorders>
              <w:top w:val="dotted" w:color="auto" w:sz="4" w:space="0"/>
              <w:left w:val="dotted" w:color="auto" w:sz="4" w:space="0"/>
              <w:bottom w:val="single" w:color="auto" w:sz="12" w:space="0"/>
              <w:right w:val="nil"/>
            </w:tcBorders>
            <w:shd w:val="clear" w:color="auto" w:fill="BDD6EE" w:themeFill="accent1" w:themeFillTint="66"/>
            <w:vAlign w:val="center"/>
          </w:tcPr>
          <w:p w14:paraId="347B2BD3">
            <w:pPr>
              <w:keepNext w:val="0"/>
              <w:keepLines w:val="0"/>
              <w:widowControl/>
              <w:suppressLineNumbers w:val="0"/>
              <w:jc w:val="right"/>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000000"/>
                <w:kern w:val="0"/>
                <w:sz w:val="20"/>
                <w:szCs w:val="20"/>
                <w:u w:val="none"/>
                <w:lang w:val="en-US" w:eastAsia="zh-CN" w:bidi="ar"/>
              </w:rPr>
              <w:t>100.00%</w:t>
            </w:r>
          </w:p>
        </w:tc>
      </w:tr>
    </w:tbl>
    <w:p w14:paraId="713020FB">
      <w:pPr>
        <w:pStyle w:val="4"/>
        <w:spacing w:before="0" w:after="0" w:line="560" w:lineRule="exact"/>
        <w:ind w:firstLine="643" w:firstLineChars="200"/>
        <w:rPr>
          <w:rFonts w:ascii="仿宋_GB2312" w:hAnsi="仿宋_GB2312" w:eastAsia="仿宋_GB2312" w:cs="仿宋_GB2312"/>
          <w:b w:val="0"/>
          <w:bCs/>
          <w:szCs w:val="32"/>
          <w:highlight w:val="none"/>
        </w:rPr>
      </w:pPr>
      <w:r>
        <w:rPr>
          <w:rFonts w:hint="eastAsia" w:ascii="仿宋_GB2312" w:hAnsi="仿宋_GB2312" w:eastAsia="仿宋_GB2312" w:cs="仿宋_GB2312"/>
          <w:bCs/>
          <w:szCs w:val="32"/>
          <w:highlight w:val="none"/>
        </w:rPr>
        <w:t>1.项目立项</w:t>
      </w:r>
    </w:p>
    <w:p w14:paraId="211B9548">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设备购置费</w:t>
      </w:r>
      <w:r>
        <w:rPr>
          <w:rFonts w:hint="eastAsia" w:ascii="仿宋_GB2312" w:hAnsi="仿宋_GB2312" w:eastAsia="仿宋_GB2312" w:cs="仿宋_GB2312"/>
          <w:sz w:val="32"/>
          <w:szCs w:val="32"/>
          <w:highlight w:val="none"/>
        </w:rPr>
        <w:t>项目严格按照预算绩效制度管理流程履行了项目立项手续，项目立项依据充分、立项程序规范，立项工作达到预期目标。</w:t>
      </w:r>
    </w:p>
    <w:p w14:paraId="4F2289E3">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（1）立项依据充分性</w:t>
      </w:r>
    </w:p>
    <w:p w14:paraId="2480F2E2">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立项依据充分性：指标分</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分，评价得分为</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分。随着</w:t>
      </w:r>
      <w:r>
        <w:rPr>
          <w:rFonts w:hint="eastAsia" w:ascii="仿宋_GB2312" w:hAnsi="仿宋_GB2312" w:eastAsia="仿宋_GB2312" w:cs="仿宋_GB2312"/>
          <w:sz w:val="32"/>
          <w:szCs w:val="32"/>
          <w:highlight w:val="none"/>
          <w:lang w:val="en-US" w:eastAsia="zh-CN"/>
        </w:rPr>
        <w:t>甘肃省高级人民法院</w:t>
      </w:r>
      <w:r>
        <w:rPr>
          <w:rFonts w:hint="eastAsia" w:ascii="仿宋_GB2312" w:hAnsi="仿宋_GB2312" w:eastAsia="仿宋_GB2312" w:cs="仿宋_GB2312"/>
          <w:sz w:val="32"/>
          <w:szCs w:val="32"/>
          <w:highlight w:val="none"/>
        </w:rPr>
        <w:t>办案数量的增长与信息化、数字化程度的不断提升，目前部分设备已经无法满足日益增长的需求，</w:t>
      </w:r>
      <w:r>
        <w:rPr>
          <w:rFonts w:hint="eastAsia" w:ascii="仿宋_GB2312" w:hAnsi="仿宋_GB2312" w:eastAsia="仿宋_GB2312" w:cs="仿宋_GB2312"/>
          <w:sz w:val="32"/>
          <w:szCs w:val="32"/>
          <w:highlight w:val="none"/>
          <w:lang w:val="en-US" w:eastAsia="zh-CN"/>
        </w:rPr>
        <w:t>且</w:t>
      </w:r>
      <w:r>
        <w:rPr>
          <w:rFonts w:hint="eastAsia" w:ascii="仿宋_GB2312" w:hAnsi="仿宋_GB2312" w:eastAsia="仿宋_GB2312" w:cs="仿宋_GB2312"/>
          <w:sz w:val="32"/>
          <w:szCs w:val="32"/>
          <w:highlight w:val="none"/>
        </w:rPr>
        <w:t>部分设备老化需要进行报废更新，以满足法院各项业务对相关专用设备的需要，</w:t>
      </w:r>
      <w:r>
        <w:rPr>
          <w:rFonts w:hint="eastAsia" w:ascii="仿宋_GB2312" w:hAnsi="仿宋_GB2312" w:eastAsia="仿宋_GB2312" w:cs="仿宋_GB2312"/>
          <w:sz w:val="32"/>
          <w:szCs w:val="32"/>
          <w:highlight w:val="none"/>
          <w:lang w:val="en-US" w:eastAsia="zh-CN"/>
        </w:rPr>
        <w:t>特设立此项目</w:t>
      </w:r>
      <w:r>
        <w:rPr>
          <w:rFonts w:hint="eastAsia" w:ascii="仿宋_GB2312" w:hAnsi="仿宋_GB2312" w:eastAsia="仿宋_GB2312" w:cs="仿宋_GB2312"/>
          <w:sz w:val="32"/>
          <w:szCs w:val="32"/>
          <w:highlight w:val="none"/>
        </w:rPr>
        <w:t>。项目设立符合国家发展规划和党政决策；项目与甘肃省高级人民法院的主要职能相符，属于甘肃省高级人民法院的职责范围；项目属于财政支持范围，符合中央、地方事权支出责任划分原则；项目与甘肃省高级人民法院其他相关项目不重复。</w:t>
      </w:r>
      <w:r>
        <w:rPr>
          <w:rFonts w:hint="eastAsia" w:ascii="仿宋_GB2312" w:hAnsi="仿宋_GB2312" w:eastAsia="仿宋_GB2312" w:cs="仿宋_GB2312"/>
          <w:sz w:val="32"/>
          <w:szCs w:val="32"/>
          <w:highlight w:val="none"/>
          <w:lang w:val="en-US" w:eastAsia="zh-CN"/>
        </w:rPr>
        <w:t>评价认为，项目立项依据充分</w:t>
      </w:r>
      <w:r>
        <w:rPr>
          <w:rFonts w:hint="eastAsia" w:ascii="仿宋_GB2312" w:hAnsi="仿宋_GB2312" w:eastAsia="仿宋_GB2312" w:cs="仿宋_GB2312"/>
          <w:sz w:val="32"/>
          <w:szCs w:val="32"/>
          <w:highlight w:val="none"/>
        </w:rPr>
        <w:t>，立项符合法规政策。</w:t>
      </w:r>
    </w:p>
    <w:p w14:paraId="362D0BDB">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（2）立项程序规范性</w:t>
      </w:r>
    </w:p>
    <w:p w14:paraId="7D312722">
      <w:pPr>
        <w:pStyle w:val="26"/>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立项程序规范性：指标分值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该项</w:t>
      </w:r>
      <w:r>
        <w:rPr>
          <w:rFonts w:hint="eastAsia" w:ascii="仿宋_GB2312" w:hAnsi="仿宋_GB2312" w:eastAsia="仿宋_GB2312" w:cs="仿宋_GB2312"/>
          <w:sz w:val="32"/>
          <w:szCs w:val="32"/>
          <w:highlight w:val="none"/>
        </w:rPr>
        <w:t>资金主要用于</w:t>
      </w:r>
      <w:r>
        <w:rPr>
          <w:rFonts w:hint="eastAsia" w:ascii="仿宋_GB2312" w:hAnsi="仿宋_GB2312" w:eastAsia="仿宋_GB2312" w:cs="仿宋_GB2312"/>
          <w:sz w:val="32"/>
          <w:szCs w:val="32"/>
          <w:highlight w:val="none"/>
          <w:lang w:val="en-US" w:eastAsia="zh-CN"/>
        </w:rPr>
        <w:t>法院工作日常所需的通用设备、专用设备等采购工作</w:t>
      </w:r>
      <w:r>
        <w:rPr>
          <w:rFonts w:hint="eastAsia" w:ascii="仿宋_GB2312" w:hAnsi="仿宋_GB2312" w:eastAsia="仿宋_GB2312" w:cs="仿宋_GB2312"/>
          <w:sz w:val="32"/>
          <w:szCs w:val="32"/>
          <w:highlight w:val="none"/>
        </w:rPr>
        <w:t>费用支出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项目根据《最高人民法院关于进一步加强人民法院文化建设的意见》《关于进一步加强人民法院文化建设的意见》等政策依据设立</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评价认为，</w:t>
      </w:r>
      <w:r>
        <w:rPr>
          <w:rFonts w:hint="eastAsia" w:ascii="仿宋_GB2312" w:hAnsi="仿宋_GB2312" w:eastAsia="仿宋_GB2312" w:cs="仿宋_GB2312"/>
          <w:sz w:val="32"/>
          <w:szCs w:val="32"/>
          <w:highlight w:val="none"/>
        </w:rPr>
        <w:t>项目立项依据充分，立项符合</w:t>
      </w:r>
      <w:r>
        <w:rPr>
          <w:rFonts w:hint="eastAsia" w:ascii="仿宋_GB2312" w:hAnsi="仿宋_GB2312" w:eastAsia="仿宋_GB2312" w:cs="仿宋_GB2312"/>
          <w:sz w:val="32"/>
          <w:szCs w:val="32"/>
          <w:highlight w:val="none"/>
          <w:lang w:val="en-US" w:eastAsia="zh-CN"/>
        </w:rPr>
        <w:t>相关</w:t>
      </w:r>
      <w:r>
        <w:rPr>
          <w:rFonts w:hint="eastAsia" w:ascii="仿宋_GB2312" w:hAnsi="仿宋_GB2312" w:eastAsia="仿宋_GB2312" w:cs="仿宋_GB2312"/>
          <w:sz w:val="32"/>
          <w:szCs w:val="32"/>
          <w:highlight w:val="none"/>
        </w:rPr>
        <w:t>法规政策</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属于专项资金支持范围。</w:t>
      </w:r>
    </w:p>
    <w:p w14:paraId="4DAAE316">
      <w:pPr>
        <w:pStyle w:val="26"/>
        <w:overflowPunct w:val="0"/>
        <w:spacing w:line="560" w:lineRule="exact"/>
        <w:ind w:firstLine="643"/>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2.绩效目标</w:t>
      </w:r>
    </w:p>
    <w:p w14:paraId="0E7428C5">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（1）绩效目标合理性</w:t>
      </w:r>
    </w:p>
    <w:p w14:paraId="2D3117B4">
      <w:pPr>
        <w:pStyle w:val="26"/>
        <w:overflowPunct w:val="0"/>
        <w:spacing w:line="56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绩效目标合理性：指标分值</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分。项目严格按照《甘肃省省级预算绩效目标管理办法》要求，科学规范设置了绩效目标和评价指标，绩效目标与实际工作具有相关性；与预算确定的投资额相匹配。评价认为，项目绩效目标编制合理。</w:t>
      </w:r>
    </w:p>
    <w:p w14:paraId="2BD3DEC2">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（2）绩效指标明确性</w:t>
      </w:r>
    </w:p>
    <w:p w14:paraId="1993428F">
      <w:pPr>
        <w:pStyle w:val="26"/>
        <w:keepNext w:val="0"/>
        <w:keepLines w:val="0"/>
        <w:pageBreakBefore w:val="0"/>
        <w:widowControl w:val="0"/>
        <w:kinsoku/>
        <w:wordWrap/>
        <w:overflowPunct w:val="0"/>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绩效指标明确性：指标分值</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分。</w:t>
      </w:r>
      <w:r>
        <w:rPr>
          <w:rFonts w:hint="default" w:ascii="仿宋_GB2312" w:hAnsi="仿宋_GB2312" w:eastAsia="仿宋_GB2312" w:cs="仿宋_GB2312"/>
          <w:sz w:val="32"/>
          <w:szCs w:val="32"/>
          <w:highlight w:val="none"/>
          <w:lang w:val="en-US" w:eastAsia="zh-CN"/>
        </w:rPr>
        <w:t>经核查</w:t>
      </w:r>
      <w:r>
        <w:rPr>
          <w:rFonts w:hint="eastAsia" w:ascii="仿宋_GB2312" w:hAnsi="仿宋_GB2312" w:eastAsia="仿宋_GB2312" w:cs="仿宋_GB2312"/>
          <w:kern w:val="2"/>
          <w:sz w:val="32"/>
          <w:szCs w:val="32"/>
          <w:highlight w:val="none"/>
          <w:lang w:val="en-US" w:eastAsia="zh-CN" w:bidi="ar-SA"/>
        </w:rPr>
        <w:t>甘肃省高级人民法院</w:t>
      </w:r>
      <w:r>
        <w:rPr>
          <w:rFonts w:hint="eastAsia" w:ascii="仿宋_GB2312" w:hAnsi="仿宋_GB2312" w:eastAsia="仿宋_GB2312" w:cs="仿宋_GB2312"/>
          <w:sz w:val="32"/>
          <w:szCs w:val="32"/>
          <w:highlight w:val="none"/>
          <w:lang w:val="en-US" w:eastAsia="zh-CN"/>
        </w:rPr>
        <w:t>年初制定的</w:t>
      </w:r>
      <w:r>
        <w:rPr>
          <w:rFonts w:hint="default" w:ascii="仿宋_GB2312" w:hAnsi="仿宋_GB2312" w:eastAsia="仿宋_GB2312" w:cs="仿宋_GB2312"/>
          <w:sz w:val="32"/>
          <w:szCs w:val="32"/>
          <w:highlight w:val="none"/>
          <w:lang w:val="en-US" w:eastAsia="zh-CN"/>
        </w:rPr>
        <w:t>《202</w:t>
      </w:r>
      <w:r>
        <w:rPr>
          <w:rFonts w:hint="eastAsia" w:ascii="仿宋_GB2312" w:hAnsi="仿宋_GB2312" w:eastAsia="仿宋_GB2312" w:cs="仿宋_GB2312"/>
          <w:sz w:val="32"/>
          <w:szCs w:val="32"/>
          <w:highlight w:val="none"/>
          <w:lang w:val="en-US" w:eastAsia="zh-CN"/>
        </w:rPr>
        <w:t>3</w:t>
      </w:r>
      <w:r>
        <w:rPr>
          <w:rFonts w:hint="default" w:ascii="仿宋_GB2312" w:hAnsi="仿宋_GB2312" w:eastAsia="仿宋_GB2312" w:cs="仿宋_GB2312"/>
          <w:sz w:val="32"/>
          <w:szCs w:val="32"/>
          <w:highlight w:val="none"/>
          <w:lang w:val="en-US" w:eastAsia="zh-CN"/>
        </w:rPr>
        <w:t>年度省级部门</w:t>
      </w:r>
      <w:r>
        <w:rPr>
          <w:rFonts w:hint="eastAsia" w:ascii="仿宋_GB2312" w:hAnsi="仿宋_GB2312" w:eastAsia="仿宋_GB2312" w:cs="仿宋_GB2312"/>
          <w:sz w:val="32"/>
          <w:szCs w:val="32"/>
          <w:highlight w:val="none"/>
          <w:lang w:val="en-US" w:eastAsia="zh-CN"/>
        </w:rPr>
        <w:t>设备购置</w:t>
      </w:r>
      <w:r>
        <w:rPr>
          <w:rFonts w:hint="default" w:ascii="仿宋_GB2312" w:hAnsi="仿宋_GB2312" w:eastAsia="仿宋_GB2312" w:cs="仿宋_GB2312"/>
          <w:sz w:val="32"/>
          <w:szCs w:val="32"/>
          <w:highlight w:val="none"/>
          <w:lang w:val="en-US" w:eastAsia="zh-CN"/>
        </w:rPr>
        <w:t>费预算项目绩效目标表》，设置的绩效指标能够将项目绩效目标细化分解为具体的绩效指标，指标目标值清晰、可衡量</w:t>
      </w:r>
      <w:r>
        <w:rPr>
          <w:rFonts w:hint="eastAsia" w:ascii="仿宋_GB2312" w:hAnsi="仿宋_GB2312" w:eastAsia="仿宋_GB2312" w:cs="仿宋_GB2312"/>
          <w:sz w:val="32"/>
          <w:szCs w:val="32"/>
          <w:highlight w:val="none"/>
          <w:lang w:val="en-US" w:eastAsia="zh-CN"/>
        </w:rPr>
        <w:t>；与项目年度计划相对应；与预算确定的项目投资额或资金量相匹配。</w:t>
      </w:r>
    </w:p>
    <w:p w14:paraId="33A98D76">
      <w:pPr>
        <w:pStyle w:val="26"/>
        <w:overflowPunct w:val="0"/>
        <w:spacing w:line="560" w:lineRule="exact"/>
        <w:ind w:firstLine="643"/>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3.资金投入</w:t>
      </w:r>
    </w:p>
    <w:p w14:paraId="4072C530">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设备购置费</w:t>
      </w:r>
      <w:r>
        <w:rPr>
          <w:rFonts w:hint="eastAsia" w:ascii="仿宋_GB2312" w:hAnsi="仿宋_GB2312" w:eastAsia="仿宋_GB2312" w:cs="仿宋_GB2312"/>
          <w:sz w:val="32"/>
          <w:szCs w:val="32"/>
          <w:highlight w:val="none"/>
        </w:rPr>
        <w:t>项目资金投入方向符合政策规定，按照年度预算合理分配。</w:t>
      </w:r>
    </w:p>
    <w:p w14:paraId="0F7139E0">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（1）预算编制科学性</w:t>
      </w:r>
    </w:p>
    <w:p w14:paraId="467917F9">
      <w:pPr>
        <w:pStyle w:val="26"/>
        <w:overflowPunct w:val="0"/>
        <w:spacing w:line="560" w:lineRule="exact"/>
        <w:ind w:firstLine="64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预算编制科学性：指标分值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设备购置费</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val="en-US" w:eastAsia="zh-CN"/>
        </w:rPr>
        <w:t>实施前，甘肃省高级人民法院</w:t>
      </w:r>
      <w:r>
        <w:rPr>
          <w:rFonts w:hint="eastAsia" w:ascii="仿宋_GB2312" w:hAnsi="仿宋_GB2312" w:eastAsia="仿宋_GB2312" w:cs="仿宋_GB2312"/>
          <w:sz w:val="32"/>
          <w:szCs w:val="32"/>
          <w:highlight w:val="none"/>
        </w:rPr>
        <w:t>严格按照预算管理制度，分析研究并制定项目专项资金使用计划，</w:t>
      </w:r>
      <w:r>
        <w:rPr>
          <w:rFonts w:hint="eastAsia" w:ascii="仿宋_GB2312" w:hAnsi="仿宋_GB2312" w:eastAsia="仿宋_GB2312" w:cs="仿宋_GB2312"/>
          <w:sz w:val="32"/>
          <w:szCs w:val="32"/>
          <w:highlight w:val="none"/>
          <w:lang w:val="en-US" w:eastAsia="zh-CN"/>
        </w:rPr>
        <w:t>预算内容与项目内容匹配，预算额度测算依据充分，按照标准编制，预算确定的项目资金量与工作任务相匹配</w:t>
      </w:r>
      <w:r>
        <w:rPr>
          <w:rFonts w:hint="eastAsia" w:ascii="仿宋_GB2312" w:hAnsi="仿宋_GB2312" w:eastAsia="仿宋_GB2312" w:cs="仿宋_GB2312"/>
          <w:sz w:val="32"/>
          <w:szCs w:val="32"/>
          <w:highlight w:val="none"/>
        </w:rPr>
        <w:t>。本次评价认为，</w:t>
      </w:r>
      <w:r>
        <w:rPr>
          <w:rFonts w:hint="eastAsia" w:ascii="仿宋_GB2312" w:hAnsi="仿宋_GB2312" w:eastAsia="仿宋_GB2312" w:cs="仿宋_GB2312"/>
          <w:sz w:val="32"/>
          <w:szCs w:val="32"/>
          <w:highlight w:val="none"/>
          <w:lang w:val="en-US" w:eastAsia="zh-CN"/>
        </w:rPr>
        <w:t>项目预算编制规范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预算明细如下：</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3"/>
        <w:gridCol w:w="2669"/>
        <w:gridCol w:w="2611"/>
        <w:gridCol w:w="1733"/>
      </w:tblGrid>
      <w:tr w14:paraId="62440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73" w:type="dxa"/>
            <w:vAlign w:val="bottom"/>
          </w:tcPr>
          <w:p w14:paraId="5610AB9D">
            <w:pPr>
              <w:keepNext w:val="0"/>
              <w:keepLines w:val="0"/>
              <w:widowControl/>
              <w:suppressLineNumbers w:val="0"/>
              <w:jc w:val="center"/>
              <w:textAlignment w:val="bottom"/>
              <w:rPr>
                <w:rFonts w:hint="eastAsia" w:ascii="仿宋_GB2312" w:hAnsi="仿宋_GB2312" w:eastAsia="仿宋_GB2312" w:cs="仿宋_GB2312"/>
                <w:sz w:val="20"/>
                <w:szCs w:val="20"/>
                <w:highlight w:val="none"/>
                <w:vertAlign w:val="baseline"/>
                <w:lang w:val="en-US" w:eastAsia="zh-CN"/>
              </w:rPr>
            </w:pPr>
            <w:r>
              <w:rPr>
                <w:rFonts w:hint="eastAsia" w:ascii="宋体" w:hAnsi="宋体" w:eastAsia="宋体" w:cs="宋体"/>
                <w:b/>
                <w:bCs/>
                <w:i w:val="0"/>
                <w:iCs w:val="0"/>
                <w:color w:val="000000"/>
                <w:kern w:val="0"/>
                <w:sz w:val="20"/>
                <w:szCs w:val="20"/>
                <w:u w:val="none"/>
                <w:lang w:val="en-US" w:eastAsia="zh-CN" w:bidi="ar"/>
              </w:rPr>
              <w:t>当前年度</w:t>
            </w:r>
          </w:p>
        </w:tc>
        <w:tc>
          <w:tcPr>
            <w:tcW w:w="2669" w:type="dxa"/>
            <w:vAlign w:val="bottom"/>
          </w:tcPr>
          <w:p w14:paraId="6D74FCF1">
            <w:pPr>
              <w:keepNext w:val="0"/>
              <w:keepLines w:val="0"/>
              <w:widowControl/>
              <w:suppressLineNumbers w:val="0"/>
              <w:jc w:val="center"/>
              <w:textAlignment w:val="bottom"/>
              <w:rPr>
                <w:rFonts w:hint="eastAsia" w:ascii="仿宋_GB2312" w:hAnsi="仿宋_GB2312" w:eastAsia="仿宋_GB2312" w:cs="仿宋_GB2312"/>
                <w:sz w:val="20"/>
                <w:szCs w:val="20"/>
                <w:highlight w:val="none"/>
                <w:vertAlign w:val="baseline"/>
                <w:lang w:val="en-US" w:eastAsia="zh-CN"/>
              </w:rPr>
            </w:pPr>
            <w:r>
              <w:rPr>
                <w:rFonts w:hint="eastAsia" w:ascii="宋体" w:hAnsi="宋体" w:eastAsia="宋体" w:cs="宋体"/>
                <w:b/>
                <w:bCs/>
                <w:i w:val="0"/>
                <w:iCs w:val="0"/>
                <w:color w:val="000000"/>
                <w:kern w:val="0"/>
                <w:sz w:val="20"/>
                <w:szCs w:val="20"/>
                <w:u w:val="none"/>
                <w:lang w:val="en-US" w:eastAsia="zh-CN" w:bidi="ar"/>
              </w:rPr>
              <w:t>支出功能分类</w:t>
            </w:r>
          </w:p>
        </w:tc>
        <w:tc>
          <w:tcPr>
            <w:tcW w:w="2611" w:type="dxa"/>
            <w:vAlign w:val="bottom"/>
          </w:tcPr>
          <w:p w14:paraId="4B0C8469">
            <w:pPr>
              <w:keepNext w:val="0"/>
              <w:keepLines w:val="0"/>
              <w:widowControl/>
              <w:suppressLineNumbers w:val="0"/>
              <w:jc w:val="center"/>
              <w:textAlignment w:val="bottom"/>
              <w:rPr>
                <w:rFonts w:hint="eastAsia" w:ascii="仿宋_GB2312" w:hAnsi="仿宋_GB2312" w:eastAsia="仿宋_GB2312" w:cs="仿宋_GB2312"/>
                <w:sz w:val="20"/>
                <w:szCs w:val="20"/>
                <w:highlight w:val="none"/>
                <w:vertAlign w:val="baseline"/>
                <w:lang w:val="en-US" w:eastAsia="zh-CN"/>
              </w:rPr>
            </w:pPr>
            <w:r>
              <w:rPr>
                <w:rFonts w:hint="eastAsia" w:ascii="宋体" w:hAnsi="宋体" w:eastAsia="宋体" w:cs="宋体"/>
                <w:b/>
                <w:bCs/>
                <w:i w:val="0"/>
                <w:iCs w:val="0"/>
                <w:color w:val="000000"/>
                <w:kern w:val="0"/>
                <w:sz w:val="20"/>
                <w:szCs w:val="20"/>
                <w:u w:val="none"/>
                <w:lang w:val="en-US" w:eastAsia="zh-CN" w:bidi="ar"/>
              </w:rPr>
              <w:t>支出经济科目</w:t>
            </w:r>
          </w:p>
        </w:tc>
        <w:tc>
          <w:tcPr>
            <w:tcW w:w="1733" w:type="dxa"/>
            <w:vAlign w:val="bottom"/>
          </w:tcPr>
          <w:p w14:paraId="45C0CDCD">
            <w:pPr>
              <w:keepNext w:val="0"/>
              <w:keepLines w:val="0"/>
              <w:widowControl/>
              <w:suppressLineNumbers w:val="0"/>
              <w:jc w:val="center"/>
              <w:textAlignment w:val="bottom"/>
              <w:rPr>
                <w:rFonts w:hint="eastAsia" w:ascii="仿宋_GB2312" w:hAnsi="仿宋_GB2312" w:eastAsia="仿宋_GB2312" w:cs="仿宋_GB2312"/>
                <w:sz w:val="20"/>
                <w:szCs w:val="20"/>
                <w:highlight w:val="none"/>
                <w:vertAlign w:val="baseline"/>
                <w:lang w:val="en-US" w:eastAsia="zh-CN"/>
              </w:rPr>
            </w:pPr>
            <w:r>
              <w:rPr>
                <w:rFonts w:hint="eastAsia" w:ascii="宋体" w:hAnsi="宋体" w:eastAsia="宋体" w:cs="宋体"/>
                <w:b/>
                <w:bCs/>
                <w:i w:val="0"/>
                <w:iCs w:val="0"/>
                <w:color w:val="000000"/>
                <w:kern w:val="0"/>
                <w:sz w:val="20"/>
                <w:szCs w:val="20"/>
                <w:u w:val="none"/>
                <w:lang w:val="en-US" w:eastAsia="zh-CN" w:bidi="ar"/>
              </w:rPr>
              <w:t>总计</w:t>
            </w:r>
          </w:p>
        </w:tc>
      </w:tr>
      <w:tr w14:paraId="7F035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673" w:type="dxa"/>
            <w:vAlign w:val="bottom"/>
          </w:tcPr>
          <w:p w14:paraId="6445ECED">
            <w:pPr>
              <w:keepNext w:val="0"/>
              <w:keepLines w:val="0"/>
              <w:widowControl/>
              <w:suppressLineNumbers w:val="0"/>
              <w:jc w:val="center"/>
              <w:textAlignment w:val="bottom"/>
              <w:rPr>
                <w:rFonts w:hint="eastAsia" w:ascii="仿宋_GB2312" w:hAnsi="仿宋_GB2312" w:eastAsia="仿宋_GB2312" w:cs="仿宋_GB2312"/>
                <w:sz w:val="20"/>
                <w:szCs w:val="20"/>
                <w:highlight w:val="none"/>
                <w:vertAlign w:val="baseline"/>
                <w:lang w:val="en-US" w:eastAsia="zh-CN"/>
              </w:rPr>
            </w:pPr>
            <w:r>
              <w:rPr>
                <w:rFonts w:hint="eastAsia" w:ascii="宋体" w:hAnsi="宋体" w:eastAsia="宋体" w:cs="宋体"/>
                <w:i w:val="0"/>
                <w:iCs w:val="0"/>
                <w:color w:val="000000"/>
                <w:kern w:val="0"/>
                <w:sz w:val="20"/>
                <w:szCs w:val="20"/>
                <w:u w:val="none"/>
                <w:lang w:val="en-US" w:eastAsia="zh-CN" w:bidi="ar"/>
              </w:rPr>
              <w:t>2023</w:t>
            </w:r>
          </w:p>
        </w:tc>
        <w:tc>
          <w:tcPr>
            <w:tcW w:w="2669" w:type="dxa"/>
            <w:vAlign w:val="bottom"/>
          </w:tcPr>
          <w:p w14:paraId="0982C235">
            <w:pPr>
              <w:keepNext w:val="0"/>
              <w:keepLines w:val="0"/>
              <w:widowControl/>
              <w:suppressLineNumbers w:val="0"/>
              <w:jc w:val="left"/>
              <w:textAlignment w:val="bottom"/>
              <w:rPr>
                <w:rFonts w:hint="eastAsia" w:ascii="仿宋_GB2312" w:hAnsi="仿宋_GB2312" w:eastAsia="仿宋_GB2312" w:cs="仿宋_GB2312"/>
                <w:sz w:val="20"/>
                <w:szCs w:val="20"/>
                <w:highlight w:val="none"/>
                <w:vertAlign w:val="baseline"/>
                <w:lang w:val="en-US" w:eastAsia="zh-CN"/>
              </w:rPr>
            </w:pPr>
            <w:r>
              <w:rPr>
                <w:rFonts w:hint="eastAsia" w:ascii="宋体" w:hAnsi="宋体" w:eastAsia="宋体" w:cs="宋体"/>
                <w:i w:val="0"/>
                <w:iCs w:val="0"/>
                <w:color w:val="000000"/>
                <w:kern w:val="0"/>
                <w:sz w:val="20"/>
                <w:szCs w:val="20"/>
                <w:u w:val="none"/>
                <w:lang w:val="en-US" w:eastAsia="zh-CN" w:bidi="ar"/>
              </w:rPr>
              <w:t>[2040504]案件审判</w:t>
            </w:r>
          </w:p>
        </w:tc>
        <w:tc>
          <w:tcPr>
            <w:tcW w:w="2611" w:type="dxa"/>
            <w:vAlign w:val="bottom"/>
          </w:tcPr>
          <w:p w14:paraId="16354258">
            <w:pPr>
              <w:keepNext w:val="0"/>
              <w:keepLines w:val="0"/>
              <w:widowControl/>
              <w:suppressLineNumbers w:val="0"/>
              <w:jc w:val="left"/>
              <w:textAlignment w:val="bottom"/>
              <w:rPr>
                <w:rFonts w:hint="eastAsia" w:ascii="仿宋_GB2312" w:hAnsi="仿宋_GB2312" w:eastAsia="仿宋_GB2312" w:cs="仿宋_GB2312"/>
                <w:sz w:val="20"/>
                <w:szCs w:val="20"/>
                <w:highlight w:val="none"/>
                <w:vertAlign w:val="baseline"/>
                <w:lang w:val="en-US" w:eastAsia="zh-CN"/>
              </w:rPr>
            </w:pPr>
            <w:r>
              <w:rPr>
                <w:rFonts w:hint="eastAsia" w:ascii="宋体" w:hAnsi="宋体" w:eastAsia="宋体" w:cs="宋体"/>
                <w:i w:val="0"/>
                <w:iCs w:val="0"/>
                <w:color w:val="000000"/>
                <w:kern w:val="0"/>
                <w:sz w:val="20"/>
                <w:szCs w:val="20"/>
                <w:u w:val="none"/>
                <w:lang w:val="en-US" w:eastAsia="zh-CN" w:bidi="ar"/>
              </w:rPr>
              <w:t>[31002]办公设备购置</w:t>
            </w:r>
          </w:p>
        </w:tc>
        <w:tc>
          <w:tcPr>
            <w:tcW w:w="1733" w:type="dxa"/>
            <w:vAlign w:val="bottom"/>
          </w:tcPr>
          <w:p w14:paraId="61736824">
            <w:pPr>
              <w:keepNext w:val="0"/>
              <w:keepLines w:val="0"/>
              <w:widowControl/>
              <w:suppressLineNumbers w:val="0"/>
              <w:jc w:val="center"/>
              <w:textAlignment w:val="bottom"/>
              <w:rPr>
                <w:rFonts w:hint="eastAsia" w:ascii="仿宋_GB2312" w:hAnsi="仿宋_GB2312" w:eastAsia="仿宋_GB2312" w:cs="仿宋_GB2312"/>
                <w:sz w:val="20"/>
                <w:szCs w:val="20"/>
                <w:highlight w:val="none"/>
                <w:vertAlign w:val="baseline"/>
                <w:lang w:val="en-US" w:eastAsia="zh-CN"/>
              </w:rPr>
            </w:pPr>
            <w:r>
              <w:rPr>
                <w:rFonts w:hint="eastAsia" w:ascii="宋体" w:hAnsi="宋体" w:eastAsia="宋体" w:cs="宋体"/>
                <w:i w:val="0"/>
                <w:iCs w:val="0"/>
                <w:color w:val="000000"/>
                <w:kern w:val="0"/>
                <w:sz w:val="20"/>
                <w:szCs w:val="20"/>
                <w:u w:val="none"/>
                <w:lang w:val="en-US" w:eastAsia="zh-CN" w:bidi="ar"/>
              </w:rPr>
              <w:t>250.00</w:t>
            </w:r>
          </w:p>
        </w:tc>
      </w:tr>
    </w:tbl>
    <w:p w14:paraId="4FB6B2BA">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（2）资金分配合理性</w:t>
      </w:r>
    </w:p>
    <w:p w14:paraId="267BA39F">
      <w:pPr>
        <w:pStyle w:val="26"/>
        <w:overflowPunct w:val="0"/>
        <w:spacing w:line="560" w:lineRule="exact"/>
        <w:ind w:firstLine="640"/>
        <w:rPr>
          <w:rFonts w:hint="eastAsia" w:ascii="仿宋_GB2312" w:hAnsi="仿宋_GB2312" w:eastAsia="仿宋_GB2312" w:cs="仿宋_GB2312"/>
          <w:sz w:val="32"/>
          <w:szCs w:val="32"/>
          <w:highlight w:val="none"/>
          <w:lang w:val="en-US" w:eastAsia="zh-CN"/>
        </w:rPr>
      </w:pPr>
      <w:bookmarkStart w:id="135" w:name="_Toc10475"/>
      <w:r>
        <w:rPr>
          <w:rFonts w:hint="eastAsia" w:ascii="仿宋_GB2312" w:hAnsi="仿宋_GB2312" w:eastAsia="仿宋_GB2312" w:cs="仿宋_GB2312"/>
          <w:sz w:val="32"/>
          <w:szCs w:val="32"/>
          <w:highlight w:val="none"/>
        </w:rPr>
        <w:t>资金分配合理性：指标分值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w:t>
      </w:r>
      <w:bookmarkEnd w:id="135"/>
      <w:bookmarkStart w:id="136" w:name="_Toc22593"/>
      <w:bookmarkStart w:id="137" w:name="_Toc5353"/>
      <w:r>
        <w:rPr>
          <w:rFonts w:hint="eastAsia" w:ascii="仿宋_GB2312" w:hAnsi="仿宋_GB2312" w:eastAsia="仿宋_GB2312" w:cs="仿宋_GB2312"/>
          <w:sz w:val="32"/>
          <w:szCs w:val="32"/>
          <w:highlight w:val="none"/>
        </w:rPr>
        <w:t>项目预算内容与项目</w:t>
      </w:r>
      <w:r>
        <w:rPr>
          <w:rFonts w:hint="eastAsia" w:ascii="仿宋_GB2312" w:hAnsi="仿宋_GB2312" w:eastAsia="仿宋_GB2312" w:cs="仿宋_GB2312"/>
          <w:sz w:val="32"/>
          <w:szCs w:val="32"/>
          <w:highlight w:val="none"/>
          <w:lang w:val="en-US" w:eastAsia="zh-CN"/>
        </w:rPr>
        <w:t>实施</w:t>
      </w:r>
      <w:r>
        <w:rPr>
          <w:rFonts w:hint="eastAsia" w:ascii="仿宋_GB2312" w:hAnsi="仿宋_GB2312" w:eastAsia="仿宋_GB2312" w:cs="仿宋_GB2312"/>
          <w:sz w:val="32"/>
          <w:szCs w:val="32"/>
          <w:highlight w:val="none"/>
        </w:rPr>
        <w:t>内容匹配，预算编制经过科学论证，预算额度测算依据充分，按照标准编制，确定的项目资金量与工作任务相匹配。评价认为，项目资金分配合理</w:t>
      </w:r>
      <w:r>
        <w:rPr>
          <w:rFonts w:hint="eastAsia" w:ascii="仿宋_GB2312" w:hAnsi="仿宋_GB2312" w:eastAsia="仿宋_GB2312" w:cs="仿宋_GB2312"/>
          <w:sz w:val="32"/>
          <w:szCs w:val="32"/>
          <w:highlight w:val="none"/>
          <w:lang w:eastAsia="zh-CN"/>
        </w:rPr>
        <w:t>。</w:t>
      </w:r>
    </w:p>
    <w:p w14:paraId="4C6DDB26">
      <w:pPr>
        <w:pStyle w:val="9"/>
        <w:overflowPunct w:val="0"/>
        <w:spacing w:line="560" w:lineRule="exact"/>
        <w:ind w:firstLine="643" w:firstLineChars="200"/>
        <w:outlineLvl w:val="1"/>
        <w:rPr>
          <w:rFonts w:ascii="楷体" w:hAnsi="楷体" w:eastAsia="楷体" w:cs="楷体"/>
          <w:b/>
          <w:bCs/>
          <w:highlight w:val="none"/>
        </w:rPr>
      </w:pPr>
      <w:bookmarkStart w:id="138" w:name="_Toc10532"/>
      <w:r>
        <w:rPr>
          <w:rFonts w:hint="eastAsia" w:ascii="楷体" w:hAnsi="楷体" w:eastAsia="楷体" w:cs="楷体"/>
          <w:b/>
          <w:bCs/>
          <w:highlight w:val="none"/>
        </w:rPr>
        <w:t>（二）项目过程情况</w:t>
      </w:r>
      <w:bookmarkEnd w:id="136"/>
      <w:bookmarkEnd w:id="137"/>
      <w:bookmarkEnd w:id="138"/>
    </w:p>
    <w:p w14:paraId="7AB1C93F">
      <w:pPr>
        <w:pStyle w:val="9"/>
        <w:tabs>
          <w:tab w:val="left" w:pos="0"/>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项目过程指标包括资金管理、组织实施两个二级指标。资金管理指标包括资金到位率、预算执行率、资金使用合规性三个三级指标，组织实施指标包括管理制度健全性、制度执行有效性</w:t>
      </w: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采购管理规范性、合同管理完备性四</w:t>
      </w:r>
      <w:r>
        <w:rPr>
          <w:rFonts w:hint="eastAsia" w:ascii="仿宋_GB2312" w:hAnsi="仿宋_GB2312" w:cs="仿宋_GB2312"/>
          <w:highlight w:val="none"/>
        </w:rPr>
        <w:t>个三级指标。指标分值</w:t>
      </w:r>
      <w:r>
        <w:rPr>
          <w:rFonts w:hint="eastAsia" w:ascii="仿宋_GB2312" w:hAnsi="仿宋_GB2312" w:cs="仿宋_GB2312"/>
          <w:highlight w:val="none"/>
          <w:lang w:val="en-US" w:eastAsia="zh-CN"/>
        </w:rPr>
        <w:t>20</w:t>
      </w:r>
      <w:r>
        <w:rPr>
          <w:rFonts w:hint="eastAsia" w:ascii="仿宋_GB2312" w:hAnsi="仿宋_GB2312" w:cs="仿宋_GB2312"/>
          <w:highlight w:val="none"/>
        </w:rPr>
        <w:t>分，评价得分</w:t>
      </w:r>
      <w:r>
        <w:rPr>
          <w:rFonts w:hint="eastAsia" w:ascii="仿宋_GB2312" w:hAnsi="仿宋_GB2312" w:cs="仿宋_GB2312"/>
          <w:highlight w:val="none"/>
          <w:lang w:val="en-US" w:eastAsia="zh-CN"/>
        </w:rPr>
        <w:t>17.09</w:t>
      </w:r>
      <w:r>
        <w:rPr>
          <w:rFonts w:hint="eastAsia" w:ascii="仿宋_GB2312" w:hAnsi="仿宋_GB2312" w:cs="仿宋_GB2312"/>
          <w:highlight w:val="none"/>
        </w:rPr>
        <w:t>分，得分率</w:t>
      </w:r>
      <w:r>
        <w:rPr>
          <w:rFonts w:hint="eastAsia" w:ascii="仿宋_GB2312" w:hAnsi="仿宋_GB2312" w:cs="仿宋_GB2312"/>
          <w:highlight w:val="none"/>
          <w:lang w:val="en-US" w:eastAsia="zh-CN"/>
        </w:rPr>
        <w:t>85.45</w:t>
      </w:r>
      <w:r>
        <w:rPr>
          <w:rFonts w:hint="eastAsia" w:ascii="仿宋_GB2312" w:hAnsi="仿宋_GB2312" w:cs="仿宋_GB2312"/>
          <w:highlight w:val="none"/>
        </w:rPr>
        <w:t>%。</w:t>
      </w:r>
    </w:p>
    <w:tbl>
      <w:tblPr>
        <w:tblStyle w:val="20"/>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201"/>
        <w:gridCol w:w="1836"/>
        <w:gridCol w:w="999"/>
        <w:gridCol w:w="1151"/>
        <w:gridCol w:w="1170"/>
        <w:gridCol w:w="1048"/>
        <w:gridCol w:w="1065"/>
      </w:tblGrid>
      <w:tr w14:paraId="781886A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blHeader/>
        </w:trPr>
        <w:tc>
          <w:tcPr>
            <w:tcW w:w="1201" w:type="dxa"/>
            <w:tcBorders>
              <w:tl2br w:val="nil"/>
              <w:tr2bl w:val="nil"/>
            </w:tcBorders>
            <w:shd w:val="clear" w:color="auto" w:fill="BDD6EE" w:themeFill="accent1" w:themeFillTint="66"/>
            <w:vAlign w:val="center"/>
          </w:tcPr>
          <w:p w14:paraId="07C56821">
            <w:pPr>
              <w:widowControl/>
              <w:jc w:val="center"/>
              <w:textAlignment w:val="center"/>
              <w:rPr>
                <w:rFonts w:hint="eastAsia" w:ascii="宋体" w:hAnsi="宋体" w:eastAsia="宋体" w:cs="宋体"/>
                <w:b/>
                <w:bCs/>
                <w:color w:val="auto"/>
                <w:kern w:val="0"/>
                <w:sz w:val="20"/>
                <w:szCs w:val="20"/>
                <w:highlight w:val="none"/>
                <w:lang w:bidi="ar"/>
              </w:rPr>
            </w:pPr>
            <w:bookmarkStart w:id="139" w:name="_Hlk167346931"/>
            <w:r>
              <w:rPr>
                <w:rFonts w:hint="eastAsia" w:ascii="宋体" w:hAnsi="宋体" w:eastAsia="宋体" w:cs="宋体"/>
                <w:b/>
                <w:bCs/>
                <w:color w:val="auto"/>
                <w:kern w:val="0"/>
                <w:sz w:val="20"/>
                <w:szCs w:val="20"/>
                <w:highlight w:val="none"/>
                <w:lang w:bidi="ar"/>
              </w:rPr>
              <w:t>二级指标</w:t>
            </w:r>
          </w:p>
        </w:tc>
        <w:tc>
          <w:tcPr>
            <w:tcW w:w="1836" w:type="dxa"/>
            <w:tcBorders>
              <w:tl2br w:val="nil"/>
              <w:tr2bl w:val="nil"/>
            </w:tcBorders>
            <w:shd w:val="clear" w:color="auto" w:fill="BDD6EE" w:themeFill="accent1" w:themeFillTint="66"/>
            <w:vAlign w:val="center"/>
          </w:tcPr>
          <w:p w14:paraId="5A2D4020">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999" w:type="dxa"/>
            <w:tcBorders>
              <w:tl2br w:val="nil"/>
              <w:tr2bl w:val="nil"/>
            </w:tcBorders>
            <w:shd w:val="clear" w:color="auto" w:fill="BDD6EE" w:themeFill="accent1" w:themeFillTint="66"/>
            <w:vAlign w:val="center"/>
          </w:tcPr>
          <w:p w14:paraId="21917960">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151" w:type="dxa"/>
            <w:tcBorders>
              <w:tl2br w:val="nil"/>
              <w:tr2bl w:val="nil"/>
            </w:tcBorders>
            <w:shd w:val="clear" w:color="auto" w:fill="BDD6EE" w:themeFill="accent1" w:themeFillTint="66"/>
            <w:vAlign w:val="center"/>
          </w:tcPr>
          <w:p w14:paraId="44E1BB20">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目标值</w:t>
            </w:r>
          </w:p>
        </w:tc>
        <w:tc>
          <w:tcPr>
            <w:tcW w:w="1170" w:type="dxa"/>
            <w:tcBorders>
              <w:tl2br w:val="nil"/>
              <w:tr2bl w:val="nil"/>
            </w:tcBorders>
            <w:shd w:val="clear" w:color="auto" w:fill="BDD6EE" w:themeFill="accent1" w:themeFillTint="66"/>
            <w:vAlign w:val="center"/>
          </w:tcPr>
          <w:p w14:paraId="4A07850C">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业绩值</w:t>
            </w:r>
          </w:p>
        </w:tc>
        <w:tc>
          <w:tcPr>
            <w:tcW w:w="1048" w:type="dxa"/>
            <w:tcBorders>
              <w:tl2br w:val="nil"/>
              <w:tr2bl w:val="nil"/>
            </w:tcBorders>
            <w:shd w:val="clear" w:color="auto" w:fill="BDD6EE" w:themeFill="accent1" w:themeFillTint="66"/>
            <w:vAlign w:val="center"/>
          </w:tcPr>
          <w:p w14:paraId="129044E5">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1065" w:type="dxa"/>
            <w:tcBorders>
              <w:tl2br w:val="nil"/>
              <w:tr2bl w:val="nil"/>
            </w:tcBorders>
            <w:shd w:val="clear" w:color="auto" w:fill="BDD6EE" w:themeFill="accent1" w:themeFillTint="66"/>
            <w:vAlign w:val="center"/>
          </w:tcPr>
          <w:p w14:paraId="6E31F426">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30768D9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restart"/>
            <w:tcBorders>
              <w:tl2br w:val="nil"/>
              <w:tr2bl w:val="nil"/>
            </w:tcBorders>
            <w:vAlign w:val="center"/>
          </w:tcPr>
          <w:p w14:paraId="67F99E43">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资金管理</w:t>
            </w:r>
          </w:p>
        </w:tc>
        <w:tc>
          <w:tcPr>
            <w:tcW w:w="1836" w:type="dxa"/>
            <w:tcBorders>
              <w:tl2br w:val="nil"/>
              <w:tr2bl w:val="nil"/>
            </w:tcBorders>
            <w:vAlign w:val="center"/>
          </w:tcPr>
          <w:p w14:paraId="07B3C118">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资金到位率</w:t>
            </w:r>
          </w:p>
        </w:tc>
        <w:tc>
          <w:tcPr>
            <w:tcW w:w="999" w:type="dxa"/>
            <w:tcBorders>
              <w:tl2br w:val="nil"/>
              <w:tr2bl w:val="nil"/>
            </w:tcBorders>
            <w:shd w:val="clear" w:color="auto" w:fill="auto"/>
            <w:vAlign w:val="center"/>
          </w:tcPr>
          <w:p w14:paraId="14803830">
            <w:pPr>
              <w:keepNext w:val="0"/>
              <w:keepLines w:val="0"/>
              <w:widowControl/>
              <w:suppressLineNumbers w:val="0"/>
              <w:jc w:val="center"/>
              <w:textAlignment w:val="center"/>
              <w:rPr>
                <w:rFonts w:hint="eastAsia" w:ascii="宋体" w:hAnsi="宋体" w:eastAsia="宋体" w:cs="宋体"/>
                <w:color w:val="auto"/>
                <w:kern w:val="0"/>
                <w:sz w:val="20"/>
                <w:szCs w:val="20"/>
                <w:highlight w:val="none"/>
              </w:rPr>
            </w:pPr>
            <w:r>
              <w:rPr>
                <w:rFonts w:hint="eastAsia" w:ascii="宋体" w:hAnsi="宋体" w:eastAsia="宋体" w:cs="宋体"/>
                <w:i w:val="0"/>
                <w:iCs w:val="0"/>
                <w:color w:val="000000"/>
                <w:kern w:val="0"/>
                <w:sz w:val="20"/>
                <w:szCs w:val="20"/>
                <w:u w:val="none"/>
                <w:lang w:val="en-US" w:eastAsia="zh-CN" w:bidi="ar"/>
              </w:rPr>
              <w:t>3</w:t>
            </w:r>
          </w:p>
        </w:tc>
        <w:tc>
          <w:tcPr>
            <w:tcW w:w="1151" w:type="dxa"/>
            <w:tcBorders>
              <w:tl2br w:val="nil"/>
              <w:tr2bl w:val="nil"/>
            </w:tcBorders>
            <w:shd w:val="clear" w:color="auto" w:fill="auto"/>
            <w:vAlign w:val="center"/>
          </w:tcPr>
          <w:p w14:paraId="4CA9FE97">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c>
          <w:tcPr>
            <w:tcW w:w="1170" w:type="dxa"/>
            <w:tcBorders>
              <w:tl2br w:val="nil"/>
              <w:tr2bl w:val="nil"/>
            </w:tcBorders>
            <w:shd w:val="clear" w:color="auto" w:fill="auto"/>
            <w:vAlign w:val="center"/>
          </w:tcPr>
          <w:p w14:paraId="122DDDA6">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c>
          <w:tcPr>
            <w:tcW w:w="1048" w:type="dxa"/>
            <w:tcBorders>
              <w:tl2br w:val="nil"/>
              <w:tr2bl w:val="nil"/>
            </w:tcBorders>
            <w:shd w:val="clear" w:color="auto" w:fill="auto"/>
            <w:vAlign w:val="center"/>
          </w:tcPr>
          <w:p w14:paraId="04947CFE">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3</w:t>
            </w:r>
          </w:p>
        </w:tc>
        <w:tc>
          <w:tcPr>
            <w:tcW w:w="1065" w:type="dxa"/>
            <w:tcBorders>
              <w:tl2br w:val="nil"/>
              <w:tr2bl w:val="nil"/>
            </w:tcBorders>
            <w:shd w:val="clear" w:color="auto" w:fill="auto"/>
            <w:vAlign w:val="center"/>
          </w:tcPr>
          <w:p w14:paraId="4A9EACD9">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225B6C1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continue"/>
            <w:tcBorders>
              <w:tl2br w:val="nil"/>
              <w:tr2bl w:val="nil"/>
            </w:tcBorders>
            <w:vAlign w:val="center"/>
          </w:tcPr>
          <w:p w14:paraId="25AA088A">
            <w:pPr>
              <w:jc w:val="center"/>
              <w:rPr>
                <w:rFonts w:hint="eastAsia" w:ascii="宋体" w:hAnsi="宋体" w:eastAsia="宋体" w:cs="宋体"/>
                <w:b/>
                <w:bCs/>
                <w:color w:val="auto"/>
                <w:sz w:val="20"/>
                <w:szCs w:val="20"/>
                <w:highlight w:val="none"/>
              </w:rPr>
            </w:pPr>
          </w:p>
        </w:tc>
        <w:tc>
          <w:tcPr>
            <w:tcW w:w="1836" w:type="dxa"/>
            <w:tcBorders>
              <w:tl2br w:val="nil"/>
              <w:tr2bl w:val="nil"/>
            </w:tcBorders>
            <w:vAlign w:val="center"/>
          </w:tcPr>
          <w:p w14:paraId="2055CBEA">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预算执行率</w:t>
            </w:r>
          </w:p>
        </w:tc>
        <w:tc>
          <w:tcPr>
            <w:tcW w:w="999" w:type="dxa"/>
            <w:tcBorders>
              <w:tl2br w:val="nil"/>
              <w:tr2bl w:val="nil"/>
            </w:tcBorders>
            <w:shd w:val="clear" w:color="auto" w:fill="auto"/>
            <w:vAlign w:val="center"/>
          </w:tcPr>
          <w:p w14:paraId="6DEDAC30">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3</w:t>
            </w:r>
          </w:p>
        </w:tc>
        <w:tc>
          <w:tcPr>
            <w:tcW w:w="1151" w:type="dxa"/>
            <w:tcBorders>
              <w:tl2br w:val="nil"/>
              <w:tr2bl w:val="nil"/>
            </w:tcBorders>
            <w:shd w:val="clear" w:color="auto" w:fill="auto"/>
            <w:vAlign w:val="center"/>
          </w:tcPr>
          <w:p w14:paraId="280D48D8">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c>
          <w:tcPr>
            <w:tcW w:w="1170" w:type="dxa"/>
            <w:tcBorders>
              <w:tl2br w:val="nil"/>
              <w:tr2bl w:val="nil"/>
            </w:tcBorders>
            <w:shd w:val="clear" w:color="auto" w:fill="auto"/>
            <w:vAlign w:val="center"/>
          </w:tcPr>
          <w:p w14:paraId="313EDB2A">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c>
          <w:tcPr>
            <w:tcW w:w="1048" w:type="dxa"/>
            <w:tcBorders>
              <w:tl2br w:val="nil"/>
              <w:tr2bl w:val="nil"/>
            </w:tcBorders>
            <w:shd w:val="clear" w:color="auto" w:fill="auto"/>
            <w:vAlign w:val="center"/>
          </w:tcPr>
          <w:p w14:paraId="26753408">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3</w:t>
            </w:r>
          </w:p>
        </w:tc>
        <w:tc>
          <w:tcPr>
            <w:tcW w:w="1065" w:type="dxa"/>
            <w:tcBorders>
              <w:tl2br w:val="nil"/>
              <w:tr2bl w:val="nil"/>
            </w:tcBorders>
            <w:shd w:val="clear" w:color="auto" w:fill="auto"/>
            <w:vAlign w:val="center"/>
          </w:tcPr>
          <w:p w14:paraId="7C1696E1">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260B342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continue"/>
            <w:tcBorders>
              <w:tl2br w:val="nil"/>
              <w:tr2bl w:val="nil"/>
            </w:tcBorders>
            <w:vAlign w:val="center"/>
          </w:tcPr>
          <w:p w14:paraId="3DFFD01A">
            <w:pPr>
              <w:jc w:val="center"/>
              <w:rPr>
                <w:rFonts w:hint="eastAsia" w:ascii="宋体" w:hAnsi="宋体" w:eastAsia="宋体" w:cs="宋体"/>
                <w:b/>
                <w:bCs/>
                <w:color w:val="auto"/>
                <w:sz w:val="20"/>
                <w:szCs w:val="20"/>
                <w:highlight w:val="none"/>
              </w:rPr>
            </w:pPr>
          </w:p>
        </w:tc>
        <w:tc>
          <w:tcPr>
            <w:tcW w:w="1836" w:type="dxa"/>
            <w:tcBorders>
              <w:tl2br w:val="nil"/>
              <w:tr2bl w:val="nil"/>
            </w:tcBorders>
            <w:vAlign w:val="center"/>
          </w:tcPr>
          <w:p w14:paraId="48D5C605">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资金使用合规性</w:t>
            </w:r>
          </w:p>
        </w:tc>
        <w:tc>
          <w:tcPr>
            <w:tcW w:w="999" w:type="dxa"/>
            <w:tcBorders>
              <w:tl2br w:val="nil"/>
              <w:tr2bl w:val="nil"/>
            </w:tcBorders>
            <w:shd w:val="clear" w:color="auto" w:fill="auto"/>
            <w:vAlign w:val="center"/>
          </w:tcPr>
          <w:p w14:paraId="7179FAE1">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4</w:t>
            </w:r>
          </w:p>
        </w:tc>
        <w:tc>
          <w:tcPr>
            <w:tcW w:w="1151" w:type="dxa"/>
            <w:tcBorders>
              <w:tl2br w:val="nil"/>
              <w:tr2bl w:val="nil"/>
            </w:tcBorders>
            <w:shd w:val="clear" w:color="auto" w:fill="auto"/>
            <w:vAlign w:val="center"/>
          </w:tcPr>
          <w:p w14:paraId="427F96C4">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合规</w:t>
            </w:r>
          </w:p>
        </w:tc>
        <w:tc>
          <w:tcPr>
            <w:tcW w:w="1170" w:type="dxa"/>
            <w:tcBorders>
              <w:tl2br w:val="nil"/>
              <w:tr2bl w:val="nil"/>
            </w:tcBorders>
            <w:shd w:val="clear" w:color="auto" w:fill="auto"/>
            <w:vAlign w:val="center"/>
          </w:tcPr>
          <w:p w14:paraId="125A7B77">
            <w:pPr>
              <w:keepNext w:val="0"/>
              <w:keepLines w:val="0"/>
              <w:widowControl/>
              <w:suppressLineNumbers w:val="0"/>
              <w:jc w:val="center"/>
              <w:textAlignment w:val="center"/>
              <w:rPr>
                <w:rFonts w:hint="eastAsia" w:ascii="宋体" w:hAnsi="宋体" w:eastAsia="宋体" w:cs="宋体"/>
                <w:color w:val="auto"/>
                <w:sz w:val="20"/>
                <w:szCs w:val="20"/>
                <w:highlight w:val="none"/>
                <w:lang w:val="en-US" w:eastAsia="zh-CN"/>
              </w:rPr>
            </w:pPr>
            <w:r>
              <w:rPr>
                <w:rFonts w:hint="eastAsia" w:ascii="宋体" w:hAnsi="宋体" w:eastAsia="宋体" w:cs="宋体"/>
                <w:i w:val="0"/>
                <w:iCs w:val="0"/>
                <w:color w:val="000000"/>
                <w:kern w:val="0"/>
                <w:sz w:val="20"/>
                <w:szCs w:val="20"/>
                <w:u w:val="none"/>
                <w:lang w:val="en-US" w:eastAsia="zh-CN" w:bidi="ar"/>
              </w:rPr>
              <w:t>合规</w:t>
            </w:r>
          </w:p>
        </w:tc>
        <w:tc>
          <w:tcPr>
            <w:tcW w:w="1048" w:type="dxa"/>
            <w:tcBorders>
              <w:tl2br w:val="nil"/>
              <w:tr2bl w:val="nil"/>
            </w:tcBorders>
            <w:shd w:val="clear" w:color="auto" w:fill="auto"/>
            <w:vAlign w:val="center"/>
          </w:tcPr>
          <w:p w14:paraId="625BD6E1">
            <w:pPr>
              <w:keepNext w:val="0"/>
              <w:keepLines w:val="0"/>
              <w:widowControl/>
              <w:suppressLineNumbers w:val="0"/>
              <w:jc w:val="center"/>
              <w:textAlignment w:val="center"/>
              <w:rPr>
                <w:rFonts w:hint="eastAsia" w:ascii="宋体" w:hAnsi="宋体" w:eastAsia="宋体" w:cs="宋体"/>
                <w:color w:val="auto"/>
                <w:sz w:val="20"/>
                <w:szCs w:val="20"/>
                <w:highlight w:val="none"/>
                <w:lang w:val="en-US" w:eastAsia="zh-CN"/>
              </w:rPr>
            </w:pPr>
            <w:r>
              <w:rPr>
                <w:rFonts w:hint="eastAsia" w:ascii="宋体" w:hAnsi="宋体" w:eastAsia="宋体" w:cs="宋体"/>
                <w:i w:val="0"/>
                <w:iCs w:val="0"/>
                <w:color w:val="000000"/>
                <w:kern w:val="0"/>
                <w:sz w:val="20"/>
                <w:szCs w:val="20"/>
                <w:u w:val="none"/>
                <w:lang w:val="en-US" w:eastAsia="zh-CN" w:bidi="ar"/>
              </w:rPr>
              <w:t>4</w:t>
            </w:r>
          </w:p>
        </w:tc>
        <w:tc>
          <w:tcPr>
            <w:tcW w:w="1065" w:type="dxa"/>
            <w:tcBorders>
              <w:tl2br w:val="nil"/>
              <w:tr2bl w:val="nil"/>
            </w:tcBorders>
            <w:shd w:val="clear" w:color="auto" w:fill="auto"/>
            <w:vAlign w:val="center"/>
          </w:tcPr>
          <w:p w14:paraId="26797CD7">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3D5EED3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restart"/>
            <w:tcBorders>
              <w:tl2br w:val="nil"/>
              <w:tr2bl w:val="nil"/>
            </w:tcBorders>
            <w:vAlign w:val="center"/>
          </w:tcPr>
          <w:p w14:paraId="1B527374">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组织实施</w:t>
            </w:r>
          </w:p>
        </w:tc>
        <w:tc>
          <w:tcPr>
            <w:tcW w:w="1836" w:type="dxa"/>
            <w:tcBorders>
              <w:tl2br w:val="nil"/>
              <w:tr2bl w:val="nil"/>
            </w:tcBorders>
            <w:vAlign w:val="center"/>
          </w:tcPr>
          <w:p w14:paraId="1712C8D6">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管理制度健全性</w:t>
            </w:r>
          </w:p>
        </w:tc>
        <w:tc>
          <w:tcPr>
            <w:tcW w:w="999" w:type="dxa"/>
            <w:tcBorders>
              <w:tl2br w:val="nil"/>
              <w:tr2bl w:val="nil"/>
            </w:tcBorders>
            <w:shd w:val="clear" w:color="auto" w:fill="auto"/>
            <w:vAlign w:val="center"/>
          </w:tcPr>
          <w:p w14:paraId="006D7F03">
            <w:pPr>
              <w:keepNext w:val="0"/>
              <w:keepLines w:val="0"/>
              <w:widowControl/>
              <w:suppressLineNumbers w:val="0"/>
              <w:jc w:val="center"/>
              <w:textAlignment w:val="center"/>
              <w:rPr>
                <w:rFonts w:hint="default" w:ascii="宋体" w:hAnsi="宋体" w:eastAsia="宋体" w:cs="宋体"/>
                <w:color w:val="auto"/>
                <w:sz w:val="20"/>
                <w:szCs w:val="20"/>
                <w:highlight w:val="none"/>
                <w:lang w:val="en-US"/>
              </w:rPr>
            </w:pPr>
            <w:r>
              <w:rPr>
                <w:rFonts w:hint="eastAsia" w:ascii="宋体" w:hAnsi="宋体" w:eastAsia="宋体" w:cs="宋体"/>
                <w:i w:val="0"/>
                <w:iCs w:val="0"/>
                <w:color w:val="000000"/>
                <w:kern w:val="0"/>
                <w:sz w:val="20"/>
                <w:szCs w:val="20"/>
                <w:u w:val="none"/>
                <w:lang w:val="en-US" w:eastAsia="zh-CN" w:bidi="ar"/>
              </w:rPr>
              <w:t>2.5</w:t>
            </w:r>
          </w:p>
        </w:tc>
        <w:tc>
          <w:tcPr>
            <w:tcW w:w="1151" w:type="dxa"/>
            <w:tcBorders>
              <w:tl2br w:val="nil"/>
              <w:tr2bl w:val="nil"/>
            </w:tcBorders>
            <w:shd w:val="clear" w:color="auto" w:fill="auto"/>
            <w:vAlign w:val="center"/>
          </w:tcPr>
          <w:p w14:paraId="5DA3659B">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健全</w:t>
            </w:r>
          </w:p>
        </w:tc>
        <w:tc>
          <w:tcPr>
            <w:tcW w:w="1170" w:type="dxa"/>
            <w:tcBorders>
              <w:tl2br w:val="nil"/>
              <w:tr2bl w:val="nil"/>
            </w:tcBorders>
            <w:shd w:val="clear" w:color="auto" w:fill="auto"/>
            <w:vAlign w:val="center"/>
          </w:tcPr>
          <w:p w14:paraId="4833E8DC">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健全</w:t>
            </w:r>
          </w:p>
        </w:tc>
        <w:tc>
          <w:tcPr>
            <w:tcW w:w="1048" w:type="dxa"/>
            <w:tcBorders>
              <w:tl2br w:val="nil"/>
              <w:tr2bl w:val="nil"/>
            </w:tcBorders>
            <w:shd w:val="clear" w:color="auto" w:fill="auto"/>
            <w:vAlign w:val="center"/>
          </w:tcPr>
          <w:p w14:paraId="56B64B86">
            <w:pPr>
              <w:keepNext w:val="0"/>
              <w:keepLines w:val="0"/>
              <w:widowControl/>
              <w:suppressLineNumbers w:val="0"/>
              <w:jc w:val="center"/>
              <w:textAlignment w:val="center"/>
              <w:rPr>
                <w:rFonts w:hint="default" w:ascii="宋体" w:hAnsi="宋体" w:eastAsia="宋体" w:cs="宋体"/>
                <w:color w:val="auto"/>
                <w:sz w:val="20"/>
                <w:szCs w:val="20"/>
                <w:highlight w:val="none"/>
                <w:lang w:val="en-US"/>
              </w:rPr>
            </w:pPr>
            <w:r>
              <w:rPr>
                <w:rFonts w:hint="eastAsia" w:ascii="宋体" w:hAnsi="宋体" w:eastAsia="宋体" w:cs="宋体"/>
                <w:i w:val="0"/>
                <w:iCs w:val="0"/>
                <w:color w:val="000000"/>
                <w:kern w:val="0"/>
                <w:sz w:val="20"/>
                <w:szCs w:val="20"/>
                <w:u w:val="none"/>
                <w:lang w:val="en-US" w:eastAsia="zh-CN" w:bidi="ar"/>
              </w:rPr>
              <w:t>2.5</w:t>
            </w:r>
          </w:p>
        </w:tc>
        <w:tc>
          <w:tcPr>
            <w:tcW w:w="1065" w:type="dxa"/>
            <w:tcBorders>
              <w:tl2br w:val="nil"/>
              <w:tr2bl w:val="nil"/>
            </w:tcBorders>
            <w:shd w:val="clear" w:color="auto" w:fill="auto"/>
            <w:vAlign w:val="center"/>
          </w:tcPr>
          <w:p w14:paraId="6482AB7E">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34D1C0A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continue"/>
            <w:tcBorders>
              <w:tl2br w:val="nil"/>
              <w:tr2bl w:val="nil"/>
            </w:tcBorders>
            <w:vAlign w:val="center"/>
          </w:tcPr>
          <w:p w14:paraId="7B8D5CAB">
            <w:pPr>
              <w:widowControl/>
              <w:jc w:val="center"/>
              <w:textAlignment w:val="center"/>
              <w:rPr>
                <w:rFonts w:hint="eastAsia" w:ascii="宋体" w:hAnsi="宋体" w:eastAsia="宋体" w:cs="宋体"/>
                <w:color w:val="auto"/>
                <w:kern w:val="0"/>
                <w:sz w:val="20"/>
                <w:szCs w:val="20"/>
                <w:highlight w:val="none"/>
                <w:lang w:bidi="ar"/>
              </w:rPr>
            </w:pPr>
          </w:p>
        </w:tc>
        <w:tc>
          <w:tcPr>
            <w:tcW w:w="1836" w:type="dxa"/>
            <w:tcBorders>
              <w:tl2br w:val="nil"/>
              <w:tr2bl w:val="nil"/>
            </w:tcBorders>
            <w:vAlign w:val="center"/>
          </w:tcPr>
          <w:p w14:paraId="491CD3F6">
            <w:pPr>
              <w:widowControl/>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制度执行有效性</w:t>
            </w:r>
          </w:p>
        </w:tc>
        <w:tc>
          <w:tcPr>
            <w:tcW w:w="999" w:type="dxa"/>
            <w:tcBorders>
              <w:tl2br w:val="nil"/>
              <w:tr2bl w:val="nil"/>
            </w:tcBorders>
            <w:shd w:val="clear" w:color="auto" w:fill="auto"/>
            <w:vAlign w:val="center"/>
          </w:tcPr>
          <w:p w14:paraId="5900DC5C">
            <w:pPr>
              <w:keepNext w:val="0"/>
              <w:keepLines w:val="0"/>
              <w:widowControl/>
              <w:suppressLineNumbers w:val="0"/>
              <w:jc w:val="center"/>
              <w:textAlignment w:val="center"/>
              <w:rPr>
                <w:rFonts w:hint="eastAsia" w:ascii="宋体" w:hAnsi="宋体" w:eastAsia="宋体" w:cs="宋体"/>
                <w:color w:val="auto"/>
                <w:sz w:val="20"/>
                <w:szCs w:val="20"/>
                <w:highlight w:val="none"/>
                <w:lang w:val="en-US" w:eastAsia="zh-CN"/>
              </w:rPr>
            </w:pPr>
            <w:r>
              <w:rPr>
                <w:rFonts w:hint="eastAsia" w:ascii="宋体" w:hAnsi="宋体" w:eastAsia="宋体" w:cs="宋体"/>
                <w:i w:val="0"/>
                <w:iCs w:val="0"/>
                <w:color w:val="000000"/>
                <w:kern w:val="0"/>
                <w:sz w:val="20"/>
                <w:szCs w:val="20"/>
                <w:u w:val="none"/>
                <w:lang w:val="en-US" w:eastAsia="zh-CN" w:bidi="ar"/>
              </w:rPr>
              <w:t>2.5</w:t>
            </w:r>
          </w:p>
        </w:tc>
        <w:tc>
          <w:tcPr>
            <w:tcW w:w="1151" w:type="dxa"/>
            <w:tcBorders>
              <w:tl2br w:val="nil"/>
              <w:tr2bl w:val="nil"/>
            </w:tcBorders>
            <w:shd w:val="clear" w:color="auto" w:fill="auto"/>
            <w:vAlign w:val="center"/>
          </w:tcPr>
          <w:p w14:paraId="14EFC951">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有效</w:t>
            </w:r>
          </w:p>
        </w:tc>
        <w:tc>
          <w:tcPr>
            <w:tcW w:w="1170" w:type="dxa"/>
            <w:tcBorders>
              <w:tl2br w:val="nil"/>
              <w:tr2bl w:val="nil"/>
            </w:tcBorders>
            <w:shd w:val="clear" w:color="auto" w:fill="auto"/>
            <w:vAlign w:val="center"/>
          </w:tcPr>
          <w:p w14:paraId="7C511012">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有待规范</w:t>
            </w:r>
          </w:p>
        </w:tc>
        <w:tc>
          <w:tcPr>
            <w:tcW w:w="1048" w:type="dxa"/>
            <w:tcBorders>
              <w:tl2br w:val="nil"/>
              <w:tr2bl w:val="nil"/>
            </w:tcBorders>
            <w:shd w:val="clear" w:color="auto" w:fill="auto"/>
            <w:vAlign w:val="center"/>
          </w:tcPr>
          <w:p w14:paraId="0CA1C773">
            <w:pPr>
              <w:keepNext w:val="0"/>
              <w:keepLines w:val="0"/>
              <w:widowControl/>
              <w:suppressLineNumbers w:val="0"/>
              <w:jc w:val="center"/>
              <w:textAlignment w:val="center"/>
              <w:rPr>
                <w:rFonts w:hint="default" w:ascii="宋体" w:hAnsi="宋体" w:eastAsia="宋体" w:cs="宋体"/>
                <w:color w:val="auto"/>
                <w:sz w:val="20"/>
                <w:szCs w:val="20"/>
                <w:highlight w:val="none"/>
                <w:lang w:val="en-US"/>
              </w:rPr>
            </w:pPr>
            <w:r>
              <w:rPr>
                <w:rFonts w:hint="eastAsia" w:ascii="宋体" w:hAnsi="宋体" w:eastAsia="宋体" w:cs="宋体"/>
                <w:i w:val="0"/>
                <w:iCs w:val="0"/>
                <w:color w:val="000000"/>
                <w:kern w:val="0"/>
                <w:sz w:val="20"/>
                <w:szCs w:val="20"/>
                <w:u w:val="none"/>
                <w:lang w:val="en-US" w:eastAsia="zh-CN" w:bidi="ar"/>
              </w:rPr>
              <w:t>1.67</w:t>
            </w:r>
          </w:p>
        </w:tc>
        <w:tc>
          <w:tcPr>
            <w:tcW w:w="1065" w:type="dxa"/>
            <w:tcBorders>
              <w:tl2br w:val="nil"/>
              <w:tr2bl w:val="nil"/>
            </w:tcBorders>
            <w:shd w:val="clear" w:color="auto" w:fill="auto"/>
            <w:vAlign w:val="center"/>
          </w:tcPr>
          <w:p w14:paraId="52B8FACF">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66.80%</w:t>
            </w:r>
          </w:p>
        </w:tc>
      </w:tr>
      <w:tr w14:paraId="7467F09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continue"/>
            <w:tcBorders>
              <w:tl2br w:val="nil"/>
              <w:tr2bl w:val="nil"/>
            </w:tcBorders>
            <w:vAlign w:val="center"/>
          </w:tcPr>
          <w:p w14:paraId="654D852A">
            <w:pPr>
              <w:jc w:val="center"/>
              <w:rPr>
                <w:rFonts w:hint="eastAsia" w:ascii="宋体" w:hAnsi="宋体" w:eastAsia="宋体" w:cs="宋体"/>
                <w:b/>
                <w:bCs/>
                <w:color w:val="auto"/>
                <w:sz w:val="20"/>
                <w:szCs w:val="20"/>
                <w:highlight w:val="none"/>
              </w:rPr>
            </w:pPr>
          </w:p>
        </w:tc>
        <w:tc>
          <w:tcPr>
            <w:tcW w:w="1836" w:type="dxa"/>
            <w:tcBorders>
              <w:tl2br w:val="nil"/>
              <w:tr2bl w:val="nil"/>
            </w:tcBorders>
            <w:vAlign w:val="center"/>
          </w:tcPr>
          <w:p w14:paraId="15E16BED">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采购管理规范性</w:t>
            </w:r>
          </w:p>
        </w:tc>
        <w:tc>
          <w:tcPr>
            <w:tcW w:w="999" w:type="dxa"/>
            <w:tcBorders>
              <w:tl2br w:val="nil"/>
              <w:tr2bl w:val="nil"/>
            </w:tcBorders>
            <w:shd w:val="clear" w:color="auto" w:fill="auto"/>
            <w:vAlign w:val="center"/>
          </w:tcPr>
          <w:p w14:paraId="13A3F0BE">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2.5</w:t>
            </w:r>
          </w:p>
        </w:tc>
        <w:tc>
          <w:tcPr>
            <w:tcW w:w="1151" w:type="dxa"/>
            <w:tcBorders>
              <w:tl2br w:val="nil"/>
              <w:tr2bl w:val="nil"/>
            </w:tcBorders>
            <w:shd w:val="clear" w:color="auto" w:fill="auto"/>
            <w:vAlign w:val="center"/>
          </w:tcPr>
          <w:p w14:paraId="69927CAA">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规范</w:t>
            </w:r>
          </w:p>
        </w:tc>
        <w:tc>
          <w:tcPr>
            <w:tcW w:w="1170" w:type="dxa"/>
            <w:tcBorders>
              <w:tl2br w:val="nil"/>
              <w:tr2bl w:val="nil"/>
            </w:tcBorders>
            <w:shd w:val="clear" w:color="auto" w:fill="auto"/>
            <w:vAlign w:val="center"/>
          </w:tcPr>
          <w:p w14:paraId="51C43976">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有待规范</w:t>
            </w:r>
          </w:p>
        </w:tc>
        <w:tc>
          <w:tcPr>
            <w:tcW w:w="1048" w:type="dxa"/>
            <w:tcBorders>
              <w:tl2br w:val="nil"/>
              <w:tr2bl w:val="nil"/>
            </w:tcBorders>
            <w:shd w:val="clear" w:color="auto" w:fill="auto"/>
            <w:vAlign w:val="center"/>
          </w:tcPr>
          <w:p w14:paraId="0D95A429">
            <w:pPr>
              <w:keepNext w:val="0"/>
              <w:keepLines w:val="0"/>
              <w:widowControl/>
              <w:suppressLineNumbers w:val="0"/>
              <w:jc w:val="center"/>
              <w:textAlignment w:val="center"/>
              <w:rPr>
                <w:rFonts w:hint="default" w:ascii="宋体" w:hAnsi="宋体" w:eastAsia="宋体" w:cs="宋体"/>
                <w:color w:val="auto"/>
                <w:sz w:val="20"/>
                <w:szCs w:val="20"/>
                <w:highlight w:val="none"/>
                <w:lang w:val="en-US"/>
              </w:rPr>
            </w:pPr>
            <w:r>
              <w:rPr>
                <w:rFonts w:hint="eastAsia" w:ascii="宋体" w:hAnsi="宋体" w:eastAsia="宋体" w:cs="宋体"/>
                <w:i w:val="0"/>
                <w:iCs w:val="0"/>
                <w:color w:val="000000"/>
                <w:kern w:val="0"/>
                <w:sz w:val="20"/>
                <w:szCs w:val="20"/>
                <w:u w:val="none"/>
                <w:lang w:val="en-US" w:eastAsia="zh-CN" w:bidi="ar"/>
              </w:rPr>
              <w:t>1.67</w:t>
            </w:r>
          </w:p>
        </w:tc>
        <w:tc>
          <w:tcPr>
            <w:tcW w:w="1065" w:type="dxa"/>
            <w:tcBorders>
              <w:tl2br w:val="nil"/>
              <w:tr2bl w:val="nil"/>
            </w:tcBorders>
            <w:shd w:val="clear" w:color="auto" w:fill="auto"/>
            <w:vAlign w:val="center"/>
          </w:tcPr>
          <w:p w14:paraId="54EDA3A3">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66.80%</w:t>
            </w:r>
          </w:p>
        </w:tc>
      </w:tr>
      <w:tr w14:paraId="50CB48E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continue"/>
            <w:tcBorders>
              <w:tl2br w:val="nil"/>
              <w:tr2bl w:val="nil"/>
            </w:tcBorders>
            <w:shd w:val="clear" w:color="auto" w:fill="auto"/>
            <w:vAlign w:val="center"/>
          </w:tcPr>
          <w:p w14:paraId="3B73E734">
            <w:pPr>
              <w:widowControl/>
              <w:jc w:val="center"/>
              <w:textAlignment w:val="center"/>
              <w:rPr>
                <w:rFonts w:hint="eastAsia" w:ascii="宋体" w:hAnsi="宋体" w:eastAsia="宋体" w:cs="宋体"/>
                <w:b/>
                <w:bCs/>
                <w:color w:val="auto"/>
                <w:kern w:val="0"/>
                <w:sz w:val="20"/>
                <w:szCs w:val="20"/>
                <w:highlight w:val="none"/>
                <w:lang w:bidi="ar"/>
              </w:rPr>
            </w:pPr>
          </w:p>
        </w:tc>
        <w:tc>
          <w:tcPr>
            <w:tcW w:w="1836" w:type="dxa"/>
            <w:tcBorders>
              <w:tl2br w:val="nil"/>
              <w:tr2bl w:val="nil"/>
            </w:tcBorders>
            <w:shd w:val="clear" w:color="auto" w:fill="auto"/>
            <w:vAlign w:val="center"/>
          </w:tcPr>
          <w:p w14:paraId="29B1B826">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val="0"/>
                <w:bCs w:val="0"/>
                <w:color w:val="auto"/>
                <w:kern w:val="0"/>
                <w:sz w:val="20"/>
                <w:szCs w:val="20"/>
                <w:highlight w:val="none"/>
                <w:lang w:bidi="ar"/>
              </w:rPr>
              <w:t>合同管理完备性</w:t>
            </w:r>
          </w:p>
        </w:tc>
        <w:tc>
          <w:tcPr>
            <w:tcW w:w="999" w:type="dxa"/>
            <w:tcBorders>
              <w:tl2br w:val="nil"/>
              <w:tr2bl w:val="nil"/>
            </w:tcBorders>
            <w:shd w:val="clear" w:color="auto" w:fill="auto"/>
            <w:vAlign w:val="center"/>
          </w:tcPr>
          <w:p w14:paraId="3BA9C740">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i w:val="0"/>
                <w:iCs w:val="0"/>
                <w:color w:val="000000"/>
                <w:kern w:val="0"/>
                <w:sz w:val="20"/>
                <w:szCs w:val="20"/>
                <w:u w:val="none"/>
                <w:lang w:val="en-US" w:eastAsia="zh-CN" w:bidi="ar"/>
              </w:rPr>
              <w:t>2.5</w:t>
            </w:r>
          </w:p>
        </w:tc>
        <w:tc>
          <w:tcPr>
            <w:tcW w:w="1151" w:type="dxa"/>
            <w:tcBorders>
              <w:tl2br w:val="nil"/>
              <w:tr2bl w:val="nil"/>
            </w:tcBorders>
            <w:shd w:val="clear" w:color="auto" w:fill="auto"/>
            <w:vAlign w:val="center"/>
          </w:tcPr>
          <w:p w14:paraId="6C44F0A7">
            <w:pPr>
              <w:keepNext w:val="0"/>
              <w:keepLines w:val="0"/>
              <w:widowControl/>
              <w:suppressLineNumbers w:val="0"/>
              <w:jc w:val="center"/>
              <w:textAlignment w:val="center"/>
              <w:rPr>
                <w:rFonts w:hint="eastAsia" w:ascii="宋体" w:hAnsi="宋体" w:eastAsia="宋体" w:cs="宋体"/>
                <w:b w:val="0"/>
                <w:bCs w:val="0"/>
                <w:color w:val="auto"/>
                <w:kern w:val="0"/>
                <w:sz w:val="20"/>
                <w:szCs w:val="20"/>
                <w:highlight w:val="none"/>
                <w:lang w:bidi="ar"/>
              </w:rPr>
            </w:pPr>
            <w:r>
              <w:rPr>
                <w:rFonts w:hint="eastAsia" w:ascii="宋体" w:hAnsi="宋体" w:eastAsia="宋体" w:cs="宋体"/>
                <w:b w:val="0"/>
                <w:bCs w:val="0"/>
                <w:i w:val="0"/>
                <w:iCs w:val="0"/>
                <w:color w:val="auto"/>
                <w:kern w:val="0"/>
                <w:sz w:val="20"/>
                <w:szCs w:val="20"/>
                <w:highlight w:val="none"/>
                <w:u w:val="none"/>
                <w:lang w:val="en-US" w:eastAsia="zh-CN" w:bidi="ar"/>
              </w:rPr>
              <w:t>完备</w:t>
            </w:r>
          </w:p>
        </w:tc>
        <w:tc>
          <w:tcPr>
            <w:tcW w:w="1170" w:type="dxa"/>
            <w:tcBorders>
              <w:tl2br w:val="nil"/>
              <w:tr2bl w:val="nil"/>
            </w:tcBorders>
            <w:shd w:val="clear" w:color="auto" w:fill="auto"/>
            <w:vAlign w:val="center"/>
          </w:tcPr>
          <w:p w14:paraId="0F1BAB85">
            <w:pPr>
              <w:keepNext w:val="0"/>
              <w:keepLines w:val="0"/>
              <w:widowControl/>
              <w:suppressLineNumbers w:val="0"/>
              <w:jc w:val="center"/>
              <w:textAlignment w:val="center"/>
              <w:rPr>
                <w:rFonts w:hint="eastAsia" w:ascii="宋体" w:hAnsi="宋体" w:eastAsia="宋体" w:cs="宋体"/>
                <w:b w:val="0"/>
                <w:bCs w:val="0"/>
                <w:color w:val="auto"/>
                <w:kern w:val="0"/>
                <w:sz w:val="20"/>
                <w:szCs w:val="20"/>
                <w:highlight w:val="none"/>
                <w:lang w:bidi="ar"/>
              </w:rPr>
            </w:pPr>
            <w:r>
              <w:rPr>
                <w:rFonts w:hint="eastAsia" w:ascii="宋体" w:hAnsi="宋体" w:eastAsia="宋体" w:cs="宋体"/>
                <w:b w:val="0"/>
                <w:bCs w:val="0"/>
                <w:i w:val="0"/>
                <w:iCs w:val="0"/>
                <w:color w:val="000000"/>
                <w:kern w:val="0"/>
                <w:sz w:val="20"/>
                <w:szCs w:val="20"/>
                <w:u w:val="none"/>
                <w:lang w:val="en-US" w:eastAsia="zh-CN" w:bidi="ar"/>
              </w:rPr>
              <w:t>有待完备</w:t>
            </w:r>
          </w:p>
        </w:tc>
        <w:tc>
          <w:tcPr>
            <w:tcW w:w="1048" w:type="dxa"/>
            <w:tcBorders>
              <w:tl2br w:val="nil"/>
              <w:tr2bl w:val="nil"/>
            </w:tcBorders>
            <w:shd w:val="clear" w:color="auto" w:fill="auto"/>
            <w:vAlign w:val="center"/>
          </w:tcPr>
          <w:p w14:paraId="4C48BDAF">
            <w:pPr>
              <w:keepNext w:val="0"/>
              <w:keepLines w:val="0"/>
              <w:widowControl/>
              <w:suppressLineNumbers w:val="0"/>
              <w:jc w:val="center"/>
              <w:textAlignment w:val="center"/>
              <w:rPr>
                <w:rFonts w:hint="default" w:ascii="宋体" w:hAnsi="宋体" w:eastAsia="宋体" w:cs="宋体"/>
                <w:b w:val="0"/>
                <w:bCs w:val="0"/>
                <w:color w:val="auto"/>
                <w:kern w:val="0"/>
                <w:sz w:val="20"/>
                <w:szCs w:val="20"/>
                <w:highlight w:val="none"/>
                <w:lang w:val="en-US" w:eastAsia="zh-CN" w:bidi="ar"/>
              </w:rPr>
            </w:pPr>
            <w:r>
              <w:rPr>
                <w:rFonts w:hint="eastAsia" w:ascii="宋体" w:hAnsi="宋体" w:eastAsia="宋体" w:cs="宋体"/>
                <w:b w:val="0"/>
                <w:bCs w:val="0"/>
                <w:i w:val="0"/>
                <w:iCs w:val="0"/>
                <w:color w:val="auto"/>
                <w:kern w:val="0"/>
                <w:sz w:val="20"/>
                <w:szCs w:val="20"/>
                <w:highlight w:val="none"/>
                <w:u w:val="none"/>
                <w:lang w:val="en-US" w:eastAsia="zh-CN" w:bidi="ar"/>
              </w:rPr>
              <w:t>1.25</w:t>
            </w:r>
          </w:p>
        </w:tc>
        <w:tc>
          <w:tcPr>
            <w:tcW w:w="1065" w:type="dxa"/>
            <w:tcBorders>
              <w:tl2br w:val="nil"/>
              <w:tr2bl w:val="nil"/>
            </w:tcBorders>
            <w:shd w:val="clear" w:color="auto" w:fill="auto"/>
            <w:vAlign w:val="center"/>
          </w:tcPr>
          <w:p w14:paraId="541EA18F">
            <w:pPr>
              <w:keepNext w:val="0"/>
              <w:keepLines w:val="0"/>
              <w:widowControl/>
              <w:suppressLineNumbers w:val="0"/>
              <w:jc w:val="right"/>
              <w:textAlignment w:val="center"/>
              <w:rPr>
                <w:rFonts w:hint="eastAsia" w:ascii="宋体" w:hAnsi="宋体" w:eastAsia="宋体" w:cs="宋体"/>
                <w:b w:val="0"/>
                <w:bCs w:val="0"/>
                <w:color w:val="auto"/>
                <w:kern w:val="0"/>
                <w:sz w:val="20"/>
                <w:szCs w:val="20"/>
                <w:highlight w:val="none"/>
                <w:lang w:bidi="ar"/>
              </w:rPr>
            </w:pPr>
            <w:r>
              <w:rPr>
                <w:rFonts w:hint="eastAsia" w:ascii="宋体" w:hAnsi="宋体" w:eastAsia="宋体" w:cs="宋体"/>
                <w:b w:val="0"/>
                <w:bCs w:val="0"/>
                <w:i w:val="0"/>
                <w:iCs w:val="0"/>
                <w:color w:val="auto"/>
                <w:kern w:val="0"/>
                <w:sz w:val="20"/>
                <w:szCs w:val="20"/>
                <w:highlight w:val="none"/>
                <w:u w:val="none"/>
                <w:lang w:val="en-US" w:eastAsia="zh-CN" w:bidi="ar"/>
              </w:rPr>
              <w:t>50.00%</w:t>
            </w:r>
          </w:p>
        </w:tc>
      </w:tr>
      <w:tr w14:paraId="72FE3FE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3037" w:type="dxa"/>
            <w:gridSpan w:val="2"/>
            <w:tcBorders>
              <w:tl2br w:val="nil"/>
              <w:tr2bl w:val="nil"/>
            </w:tcBorders>
            <w:shd w:val="clear" w:color="auto" w:fill="BDD6EE" w:themeFill="accent1" w:themeFillTint="66"/>
            <w:vAlign w:val="center"/>
          </w:tcPr>
          <w:p w14:paraId="40B3CFE3">
            <w:pPr>
              <w:widowControl/>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bidi="ar"/>
              </w:rPr>
              <w:t>合计</w:t>
            </w:r>
          </w:p>
        </w:tc>
        <w:tc>
          <w:tcPr>
            <w:tcW w:w="999" w:type="dxa"/>
            <w:tcBorders>
              <w:tl2br w:val="nil"/>
              <w:tr2bl w:val="nil"/>
            </w:tcBorders>
            <w:shd w:val="clear" w:color="auto" w:fill="BDD6EE" w:themeFill="accent1" w:themeFillTint="66"/>
            <w:vAlign w:val="center"/>
          </w:tcPr>
          <w:p w14:paraId="4F8E7677">
            <w:pPr>
              <w:keepNext w:val="0"/>
              <w:keepLines w:val="0"/>
              <w:widowControl/>
              <w:suppressLineNumbers w:val="0"/>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000000"/>
                <w:kern w:val="0"/>
                <w:sz w:val="20"/>
                <w:szCs w:val="20"/>
                <w:u w:val="none"/>
                <w:lang w:val="en-US" w:eastAsia="zh-CN" w:bidi="ar"/>
              </w:rPr>
              <w:t>20</w:t>
            </w:r>
          </w:p>
        </w:tc>
        <w:tc>
          <w:tcPr>
            <w:tcW w:w="1151" w:type="dxa"/>
            <w:tcBorders>
              <w:tl2br w:val="nil"/>
              <w:tr2bl w:val="nil"/>
            </w:tcBorders>
            <w:shd w:val="clear" w:color="auto" w:fill="BDD6EE" w:themeFill="accent1" w:themeFillTint="66"/>
            <w:vAlign w:val="center"/>
          </w:tcPr>
          <w:p w14:paraId="46CA4E23">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000000"/>
                <w:kern w:val="0"/>
                <w:sz w:val="20"/>
                <w:szCs w:val="20"/>
                <w:u w:val="none"/>
                <w:lang w:val="en-US" w:eastAsia="zh-CN" w:bidi="ar"/>
              </w:rPr>
              <w:t>-</w:t>
            </w:r>
          </w:p>
        </w:tc>
        <w:tc>
          <w:tcPr>
            <w:tcW w:w="1170" w:type="dxa"/>
            <w:tcBorders>
              <w:tl2br w:val="nil"/>
              <w:tr2bl w:val="nil"/>
            </w:tcBorders>
            <w:shd w:val="clear" w:color="auto" w:fill="BDD6EE" w:themeFill="accent1" w:themeFillTint="66"/>
            <w:vAlign w:val="center"/>
          </w:tcPr>
          <w:p w14:paraId="6121183B">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000000"/>
                <w:kern w:val="0"/>
                <w:sz w:val="20"/>
                <w:szCs w:val="20"/>
                <w:u w:val="none"/>
                <w:lang w:val="en-US" w:eastAsia="zh-CN" w:bidi="ar"/>
              </w:rPr>
              <w:t>-</w:t>
            </w:r>
          </w:p>
        </w:tc>
        <w:tc>
          <w:tcPr>
            <w:tcW w:w="1048" w:type="dxa"/>
            <w:tcBorders>
              <w:tl2br w:val="nil"/>
              <w:tr2bl w:val="nil"/>
            </w:tcBorders>
            <w:shd w:val="clear" w:color="auto" w:fill="BDD6EE" w:themeFill="accent1" w:themeFillTint="66"/>
            <w:vAlign w:val="center"/>
          </w:tcPr>
          <w:p w14:paraId="7A4AE5FF">
            <w:pPr>
              <w:keepNext w:val="0"/>
              <w:keepLines w:val="0"/>
              <w:widowControl/>
              <w:suppressLineNumbers w:val="0"/>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000000"/>
                <w:kern w:val="0"/>
                <w:sz w:val="20"/>
                <w:szCs w:val="20"/>
                <w:u w:val="none"/>
                <w:lang w:val="en-US" w:eastAsia="zh-CN" w:bidi="ar"/>
              </w:rPr>
              <w:t>17.09</w:t>
            </w:r>
          </w:p>
        </w:tc>
        <w:tc>
          <w:tcPr>
            <w:tcW w:w="1065" w:type="dxa"/>
            <w:tcBorders>
              <w:tl2br w:val="nil"/>
              <w:tr2bl w:val="nil"/>
            </w:tcBorders>
            <w:shd w:val="clear" w:color="auto" w:fill="BDD6EE" w:themeFill="accent1" w:themeFillTint="66"/>
            <w:vAlign w:val="center"/>
          </w:tcPr>
          <w:p w14:paraId="391117B2">
            <w:pPr>
              <w:keepNext w:val="0"/>
              <w:keepLines w:val="0"/>
              <w:widowControl/>
              <w:suppressLineNumbers w:val="0"/>
              <w:jc w:val="right"/>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000000"/>
                <w:kern w:val="0"/>
                <w:sz w:val="20"/>
                <w:szCs w:val="20"/>
                <w:u w:val="none"/>
                <w:lang w:val="en-US" w:eastAsia="zh-CN" w:bidi="ar"/>
              </w:rPr>
              <w:t>85.45%</w:t>
            </w:r>
          </w:p>
        </w:tc>
      </w:tr>
      <w:bookmarkEnd w:id="139"/>
    </w:tbl>
    <w:p w14:paraId="3BEEE32F">
      <w:pPr>
        <w:pStyle w:val="9"/>
        <w:tabs>
          <w:tab w:val="left" w:pos="0"/>
        </w:tabs>
        <w:overflowPunct w:val="0"/>
        <w:spacing w:line="560" w:lineRule="exact"/>
        <w:ind w:firstLine="643" w:firstLineChars="200"/>
        <w:outlineLvl w:val="2"/>
        <w:rPr>
          <w:rFonts w:ascii="仿宋_GB2312" w:hAnsi="仿宋_GB2312" w:cs="仿宋_GB2312"/>
          <w:b/>
          <w:bCs/>
          <w:highlight w:val="none"/>
        </w:rPr>
      </w:pPr>
      <w:r>
        <w:rPr>
          <w:rFonts w:hint="eastAsia" w:ascii="仿宋_GB2312" w:hAnsi="仿宋_GB2312" w:cs="仿宋_GB2312"/>
          <w:b/>
          <w:bCs/>
          <w:highlight w:val="none"/>
        </w:rPr>
        <w:t>1.资金管理</w:t>
      </w:r>
    </w:p>
    <w:p w14:paraId="53A9B646">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（1）资金到位率</w:t>
      </w:r>
    </w:p>
    <w:p w14:paraId="6CFED0EC">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资金到位率：指标分值</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设备购置费全年预算数278.20万元，专项资金年初随部门预算同步下达，</w:t>
      </w:r>
      <w:r>
        <w:rPr>
          <w:rFonts w:hint="eastAsia" w:ascii="仿宋_GB2312" w:hAnsi="仿宋_GB2312" w:eastAsia="仿宋_GB2312" w:cs="仿宋_GB2312"/>
          <w:sz w:val="32"/>
          <w:szCs w:val="32"/>
          <w:highlight w:val="none"/>
        </w:rPr>
        <w:t>专项资金及时足额到位，到位率100</w:t>
      </w:r>
      <w:r>
        <w:rPr>
          <w:rFonts w:hint="eastAsia" w:ascii="仿宋_GB2312" w:hAnsi="仿宋_GB2312" w:eastAsia="仿宋_GB2312" w:cs="仿宋_GB2312"/>
          <w:sz w:val="32"/>
          <w:szCs w:val="32"/>
          <w:highlight w:val="none"/>
          <w:lang w:val="en-US" w:eastAsia="zh-CN"/>
        </w:rPr>
        <w:t>.00</w:t>
      </w:r>
      <w:r>
        <w:rPr>
          <w:rFonts w:hint="eastAsia" w:ascii="仿宋_GB2312" w:hAnsi="仿宋_GB2312" w:eastAsia="仿宋_GB2312" w:cs="仿宋_GB2312"/>
          <w:sz w:val="32"/>
          <w:szCs w:val="32"/>
          <w:highlight w:val="none"/>
        </w:rPr>
        <w:t>%。</w:t>
      </w:r>
    </w:p>
    <w:p w14:paraId="1964C1C7">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（2）预算执行率</w:t>
      </w:r>
    </w:p>
    <w:p w14:paraId="102AA633">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预算执行率：指标分值</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设备购置费</w:t>
      </w:r>
      <w:r>
        <w:rPr>
          <w:rFonts w:hint="eastAsia" w:ascii="仿宋_GB2312" w:hAnsi="仿宋_GB2312" w:eastAsia="仿宋_GB2312" w:cs="仿宋_GB2312"/>
          <w:sz w:val="32"/>
          <w:szCs w:val="32"/>
          <w:highlight w:val="none"/>
        </w:rPr>
        <w:t>项目全年预算数</w:t>
      </w:r>
      <w:r>
        <w:rPr>
          <w:rFonts w:hint="eastAsia" w:ascii="仿宋_GB2312" w:hAnsi="仿宋_GB2312" w:eastAsia="仿宋_GB2312" w:cs="仿宋_GB2312"/>
          <w:sz w:val="32"/>
          <w:szCs w:val="32"/>
          <w:highlight w:val="none"/>
          <w:lang w:val="en-US" w:eastAsia="zh-CN"/>
        </w:rPr>
        <w:t>278.20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val="en-US" w:eastAsia="zh-CN"/>
        </w:rPr>
        <w:t>其中当年财政拨款250.00万元，上年结转资金28.20万元，</w:t>
      </w:r>
      <w:r>
        <w:rPr>
          <w:rFonts w:hint="eastAsia" w:ascii="仿宋_GB2312" w:hAnsi="仿宋_GB2312" w:eastAsia="仿宋_GB2312" w:cs="仿宋_GB2312"/>
          <w:sz w:val="32"/>
          <w:szCs w:val="32"/>
          <w:highlight w:val="none"/>
        </w:rPr>
        <w:t>全年执行数</w:t>
      </w:r>
      <w:r>
        <w:rPr>
          <w:rFonts w:hint="eastAsia" w:ascii="仿宋_GB2312" w:hAnsi="仿宋_GB2312" w:eastAsia="仿宋_GB2312" w:cs="仿宋_GB2312"/>
          <w:sz w:val="32"/>
          <w:szCs w:val="32"/>
          <w:highlight w:val="none"/>
          <w:lang w:val="en-US" w:eastAsia="zh-CN"/>
        </w:rPr>
        <w:t>278.20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val="en-US" w:eastAsia="zh-CN"/>
        </w:rPr>
        <w:t>年末无结余资金，专项经费</w:t>
      </w:r>
      <w:r>
        <w:rPr>
          <w:rFonts w:hint="eastAsia" w:ascii="仿宋_GB2312" w:hAnsi="仿宋_GB2312" w:eastAsia="仿宋_GB2312" w:cs="仿宋_GB2312"/>
          <w:sz w:val="32"/>
          <w:szCs w:val="32"/>
          <w:highlight w:val="none"/>
        </w:rPr>
        <w:t>预算执行率</w:t>
      </w:r>
      <w:r>
        <w:rPr>
          <w:rFonts w:hint="eastAsia" w:ascii="仿宋_GB2312" w:hAnsi="仿宋_GB2312" w:eastAsia="仿宋_GB2312" w:cs="仿宋_GB2312"/>
          <w:sz w:val="32"/>
          <w:szCs w:val="32"/>
          <w:highlight w:val="none"/>
          <w:lang w:val="en-US" w:eastAsia="zh-CN"/>
        </w:rPr>
        <w:t>100.00</w:t>
      </w:r>
      <w:r>
        <w:rPr>
          <w:rFonts w:hint="eastAsia" w:ascii="仿宋_GB2312" w:hAnsi="仿宋_GB2312" w:eastAsia="仿宋_GB2312" w:cs="仿宋_GB2312"/>
          <w:sz w:val="32"/>
          <w:szCs w:val="32"/>
          <w:highlight w:val="none"/>
        </w:rPr>
        <w:t>%。</w:t>
      </w:r>
    </w:p>
    <w:p w14:paraId="31C5FBA5">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（3）资金使用合规性</w:t>
      </w:r>
    </w:p>
    <w:p w14:paraId="3D0A7235">
      <w:pPr>
        <w:pStyle w:val="9"/>
        <w:tabs>
          <w:tab w:val="left" w:pos="510"/>
          <w:tab w:val="left" w:pos="675"/>
        </w:tabs>
        <w:overflowPunct w:val="0"/>
        <w:spacing w:line="560" w:lineRule="exact"/>
        <w:ind w:firstLine="640" w:firstLineChars="200"/>
        <w:rPr>
          <w:rFonts w:hint="default" w:ascii="仿宋_GB2312" w:hAnsi="仿宋_GB2312" w:eastAsia="仿宋_GB2312" w:cs="仿宋_GB2312"/>
          <w:highlight w:val="none"/>
          <w:lang w:val="en-US" w:eastAsia="zh-CN"/>
        </w:rPr>
      </w:pPr>
      <w:r>
        <w:rPr>
          <w:rFonts w:hint="eastAsia" w:ascii="仿宋_GB2312" w:hAnsi="仿宋_GB2312" w:cs="仿宋_GB2312"/>
          <w:highlight w:val="none"/>
        </w:rPr>
        <w:t>资金使用合规性：指标分值</w:t>
      </w:r>
      <w:r>
        <w:rPr>
          <w:rFonts w:hint="eastAsia" w:ascii="仿宋_GB2312" w:hAnsi="仿宋_GB2312" w:cs="仿宋_GB2312"/>
          <w:highlight w:val="none"/>
          <w:lang w:val="en-US" w:eastAsia="zh-CN"/>
        </w:rPr>
        <w:t>4</w:t>
      </w:r>
      <w:r>
        <w:rPr>
          <w:rFonts w:hint="eastAsia" w:ascii="仿宋_GB2312" w:hAnsi="仿宋_GB2312" w:cs="仿宋_GB2312"/>
          <w:highlight w:val="none"/>
        </w:rPr>
        <w:t>分，评价得分</w:t>
      </w:r>
      <w:r>
        <w:rPr>
          <w:rFonts w:hint="eastAsia" w:ascii="仿宋_GB2312" w:hAnsi="仿宋_GB2312" w:cs="仿宋_GB2312"/>
          <w:highlight w:val="none"/>
          <w:lang w:val="en-US" w:eastAsia="zh-CN"/>
        </w:rPr>
        <w:t>4</w:t>
      </w:r>
      <w:r>
        <w:rPr>
          <w:rFonts w:hint="eastAsia" w:ascii="仿宋_GB2312" w:hAnsi="仿宋_GB2312" w:cs="仿宋_GB2312"/>
          <w:highlight w:val="none"/>
        </w:rPr>
        <w:t>分。</w:t>
      </w:r>
      <w:r>
        <w:rPr>
          <w:rFonts w:hint="eastAsia" w:ascii="仿宋_GB2312" w:hAnsi="仿宋_GB2312" w:cs="仿宋_GB2312"/>
          <w:highlight w:val="none"/>
          <w:lang w:val="en-US" w:eastAsia="zh-CN"/>
        </w:rPr>
        <w:t>评价组通过查阅国家及地方财务法规及文件办法，对比分析项目实施单位财务制度办法，经查看财务凭证及附件，比较分析资金落实情况、资金使用情况及财务监控情况。评价认为，</w:t>
      </w:r>
      <w:r>
        <w:rPr>
          <w:rFonts w:hint="eastAsia" w:ascii="仿宋_GB2312" w:hAnsi="仿宋_GB2312" w:cs="仿宋_GB2312"/>
          <w:highlight w:val="none"/>
        </w:rPr>
        <w:t>专项资金的使用基本符合国家财经法规和财务管理制度以及</w:t>
      </w:r>
      <w:r>
        <w:rPr>
          <w:rFonts w:hint="eastAsia" w:ascii="仿宋_GB2312" w:hAnsi="仿宋_GB2312" w:eastAsia="仿宋_GB2312" w:cs="仿宋_GB2312"/>
          <w:sz w:val="32"/>
          <w:szCs w:val="32"/>
          <w:highlight w:val="none"/>
          <w:lang w:val="en-US" w:eastAsia="zh-CN"/>
        </w:rPr>
        <w:t>《甘肃省高级人民法院机关财务经费管理规定》</w:t>
      </w:r>
      <w:r>
        <w:rPr>
          <w:rFonts w:hint="eastAsia" w:ascii="仿宋_GB2312" w:hAnsi="仿宋_GB2312" w:cs="仿宋_GB2312"/>
          <w:highlight w:val="none"/>
        </w:rPr>
        <w:t>等制度要求，资金支出的审批程序完整，符合项目预算批复或合同规定的用途</w:t>
      </w:r>
      <w:r>
        <w:rPr>
          <w:rFonts w:hint="eastAsia" w:ascii="仿宋_GB2312" w:hAnsi="仿宋_GB2312" w:cs="仿宋_GB2312"/>
          <w:highlight w:val="none"/>
          <w:lang w:eastAsia="zh-CN"/>
        </w:rPr>
        <w:t>，</w:t>
      </w:r>
      <w:r>
        <w:rPr>
          <w:rFonts w:hint="eastAsia" w:ascii="仿宋_GB2312" w:hAnsi="仿宋_GB2312" w:cs="仿宋_GB2312"/>
          <w:highlight w:val="none"/>
        </w:rPr>
        <w:t>未发现</w:t>
      </w:r>
      <w:r>
        <w:rPr>
          <w:rFonts w:hint="eastAsia" w:ascii="仿宋_GB2312" w:hAnsi="仿宋_GB2312" w:cs="仿宋_GB2312"/>
          <w:highlight w:val="none"/>
          <w:lang w:val="en-US" w:eastAsia="zh-CN"/>
        </w:rPr>
        <w:t>截留、</w:t>
      </w:r>
      <w:r>
        <w:rPr>
          <w:rFonts w:hint="eastAsia" w:ascii="仿宋_GB2312" w:hAnsi="仿宋_GB2312" w:cs="仿宋_GB2312"/>
          <w:highlight w:val="none"/>
        </w:rPr>
        <w:t>虚列支出情况</w:t>
      </w:r>
      <w:r>
        <w:rPr>
          <w:rFonts w:hint="eastAsia" w:ascii="仿宋_GB2312" w:hAnsi="仿宋_GB2312" w:cs="仿宋_GB2312"/>
          <w:highlight w:val="none"/>
          <w:lang w:eastAsia="zh-CN"/>
        </w:rPr>
        <w:t>，按规定实施政府采购和政府购买服务</w:t>
      </w:r>
      <w:r>
        <w:rPr>
          <w:rFonts w:hint="eastAsia" w:ascii="仿宋_GB2312" w:hAnsi="仿宋_GB2312" w:cs="仿宋_GB2312"/>
          <w:highlight w:val="none"/>
        </w:rPr>
        <w:t>。</w:t>
      </w:r>
    </w:p>
    <w:p w14:paraId="3C5CF7BA">
      <w:pPr>
        <w:pStyle w:val="9"/>
        <w:tabs>
          <w:tab w:val="left" w:pos="0"/>
        </w:tabs>
        <w:overflowPunct w:val="0"/>
        <w:spacing w:line="560" w:lineRule="exact"/>
        <w:ind w:firstLine="643" w:firstLineChars="200"/>
        <w:outlineLvl w:val="2"/>
        <w:rPr>
          <w:rFonts w:ascii="仿宋_GB2312" w:hAnsi="仿宋_GB2312" w:cs="仿宋_GB2312"/>
          <w:b/>
          <w:bCs/>
          <w:highlight w:val="none"/>
        </w:rPr>
      </w:pPr>
      <w:r>
        <w:rPr>
          <w:rFonts w:hint="eastAsia" w:ascii="仿宋_GB2312" w:hAnsi="仿宋_GB2312" w:cs="仿宋_GB2312"/>
          <w:b/>
          <w:bCs/>
          <w:highlight w:val="none"/>
        </w:rPr>
        <w:t>2.组织实施</w:t>
      </w:r>
    </w:p>
    <w:p w14:paraId="61785C34">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（1）管理制度健全性</w:t>
      </w:r>
    </w:p>
    <w:p w14:paraId="6EEF69FC">
      <w:pPr>
        <w:pStyle w:val="26"/>
        <w:overflowPunct w:val="0"/>
        <w:spacing w:line="56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管理制度健全性：指标分值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分。为加强和规范省级预算</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经费管理，提高项目工作质量和资金效益</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甘肃省高级人民法院关于印发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省法院装备资产配置管理规程</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的通知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甘高法〔2017〕353号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甘肃省高级人民法院关于印发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甘肃省高级人民法院基本建设项目财务管理规定（施行）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的通知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甘高法〔2019〕278号</w:t>
      </w:r>
      <w:r>
        <w:rPr>
          <w:rFonts w:hint="eastAsia" w:ascii="仿宋_GB2312" w:hAnsi="仿宋_GB2312" w:eastAsia="仿宋_GB2312" w:cs="仿宋_GB2312"/>
          <w:sz w:val="32"/>
          <w:szCs w:val="32"/>
          <w:highlight w:val="none"/>
          <w:lang w:eastAsia="zh-CN"/>
        </w:rPr>
        <w:t>）对于法院系统内各项工作的实施提供了强有力的政策制度支撑。</w:t>
      </w:r>
      <w:r>
        <w:rPr>
          <w:rFonts w:hint="eastAsia" w:ascii="仿宋_GB2312" w:hAnsi="仿宋_GB2312" w:eastAsia="仿宋_GB2312" w:cs="仿宋_GB2312"/>
          <w:sz w:val="32"/>
          <w:szCs w:val="32"/>
          <w:highlight w:val="none"/>
        </w:rPr>
        <w:t>评价认为，</w:t>
      </w:r>
      <w:r>
        <w:rPr>
          <w:rFonts w:hint="eastAsia" w:ascii="仿宋_GB2312" w:hAnsi="仿宋_GB2312" w:eastAsia="仿宋_GB2312" w:cs="仿宋_GB2312"/>
          <w:sz w:val="32"/>
          <w:szCs w:val="32"/>
          <w:highlight w:val="none"/>
          <w:lang w:val="en-US" w:eastAsia="zh-CN"/>
        </w:rPr>
        <w:t>甘肃省高级人民法院</w:t>
      </w:r>
      <w:r>
        <w:rPr>
          <w:rFonts w:hint="eastAsia" w:ascii="仿宋_GB2312" w:hAnsi="仿宋_GB2312" w:eastAsia="仿宋_GB2312" w:cs="仿宋_GB2312"/>
          <w:sz w:val="32"/>
          <w:szCs w:val="32"/>
          <w:highlight w:val="none"/>
        </w:rPr>
        <w:t>制定了适用于本项目的财务管理制度及业务管理制度，且符合相关财务及业务制度的规定，制度健全。</w:t>
      </w:r>
    </w:p>
    <w:p w14:paraId="4F4F4230">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（2）制度执行有效性</w:t>
      </w:r>
    </w:p>
    <w:p w14:paraId="2DF38FCE">
      <w:pPr>
        <w:pStyle w:val="26"/>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制度执行有效性：指标分值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1.67</w:t>
      </w:r>
      <w:r>
        <w:rPr>
          <w:rFonts w:hint="eastAsia" w:ascii="仿宋_GB2312" w:hAnsi="仿宋_GB2312" w:eastAsia="仿宋_GB2312" w:cs="仿宋_GB2312"/>
          <w:sz w:val="32"/>
          <w:szCs w:val="32"/>
          <w:highlight w:val="none"/>
        </w:rPr>
        <w:t>分。项目实施过程中，能够严格按照制度管理进行资金申请和下达、使用、监督</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经</w:t>
      </w:r>
      <w:r>
        <w:rPr>
          <w:rFonts w:hint="eastAsia" w:ascii="仿宋_GB2312" w:hAnsi="仿宋_GB2312" w:eastAsia="仿宋_GB2312" w:cs="仿宋_GB2312"/>
          <w:sz w:val="32"/>
          <w:szCs w:val="32"/>
          <w:highlight w:val="none"/>
          <w:lang w:val="en-US" w:eastAsia="zh-CN"/>
        </w:rPr>
        <w:t>核查甘肃省高级人民法院设备购置</w:t>
      </w:r>
      <w:r>
        <w:rPr>
          <w:rFonts w:hint="eastAsia" w:ascii="仿宋_GB2312" w:hAnsi="仿宋_GB2312" w:eastAsia="仿宋_GB2312" w:cs="仿宋_GB2312"/>
          <w:sz w:val="32"/>
          <w:szCs w:val="32"/>
          <w:highlight w:val="none"/>
        </w:rPr>
        <w:t>相关合同协议、会计凭证等资料，</w:t>
      </w:r>
      <w:r>
        <w:rPr>
          <w:rFonts w:hint="eastAsia" w:ascii="仿宋_GB2312" w:hAnsi="仿宋_GB2312" w:eastAsia="仿宋_GB2312" w:cs="仿宋_GB2312"/>
          <w:sz w:val="32"/>
          <w:szCs w:val="32"/>
          <w:highlight w:val="none"/>
          <w:lang w:val="en-US" w:eastAsia="zh-CN"/>
        </w:rPr>
        <w:t>在采购设备过程中，存在验收不规范的问题，如验收单位未填写验收结论，未组织验收等，评价认为，履约验收程序有待进一步规范，扣0.83分</w:t>
      </w:r>
      <w:r>
        <w:rPr>
          <w:rFonts w:hint="eastAsia" w:ascii="仿宋_GB2312" w:hAnsi="仿宋_GB2312" w:eastAsia="仿宋_GB2312" w:cs="仿宋_GB2312"/>
          <w:sz w:val="32"/>
          <w:szCs w:val="32"/>
          <w:highlight w:val="none"/>
        </w:rPr>
        <w:t>。</w:t>
      </w:r>
    </w:p>
    <w:p w14:paraId="5E8C9E05">
      <w:pPr>
        <w:pStyle w:val="26"/>
        <w:overflowPunct w:val="0"/>
        <w:spacing w:line="560" w:lineRule="exact"/>
        <w:ind w:firstLine="64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采购管理规范性</w:t>
      </w:r>
    </w:p>
    <w:p w14:paraId="7BE54B96">
      <w:pPr>
        <w:pStyle w:val="26"/>
        <w:overflowPunct w:val="0"/>
        <w:spacing w:line="560" w:lineRule="exact"/>
        <w:ind w:firstLine="64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采购管理规范性：指标分值2.5分，评价得分1.67分。经核查采购合同、采购工作会议记录等资料，</w:t>
      </w:r>
      <w:r>
        <w:rPr>
          <w:rFonts w:hint="eastAsia" w:ascii="仿宋_GB2312" w:hAnsi="仿宋_GB2312" w:eastAsia="仿宋_GB2312" w:cs="仿宋_GB2312"/>
          <w:kern w:val="2"/>
          <w:sz w:val="32"/>
          <w:szCs w:val="32"/>
          <w:highlight w:val="none"/>
          <w:lang w:val="en-US" w:eastAsia="zh-CN" w:bidi="ar-SA"/>
        </w:rPr>
        <w:t>甘肃省高级人民法院</w:t>
      </w:r>
      <w:r>
        <w:rPr>
          <w:rFonts w:hint="eastAsia" w:ascii="仿宋_GB2312" w:hAnsi="仿宋_GB2312" w:eastAsia="仿宋_GB2312" w:cs="仿宋_GB2312"/>
          <w:sz w:val="32"/>
          <w:szCs w:val="32"/>
          <w:highlight w:val="none"/>
          <w:lang w:val="en-US" w:eastAsia="zh-CN"/>
        </w:rPr>
        <w:t>采购方式基本符合甘肃省财政厅、甘肃省高级人民法院、甘肃省人民检察院《关于甘肃省省以下地方法院检察院政府采购活动有关事项的通知》（甘财采〔2018〕12号）的要求。但存在询价采购报价单后未附供货方资质的问题，政府采购流程不规范，扣0.83分。</w:t>
      </w:r>
    </w:p>
    <w:p w14:paraId="46F114BA">
      <w:pPr>
        <w:pStyle w:val="26"/>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bookmarkStart w:id="140" w:name="_Toc3677"/>
      <w:bookmarkStart w:id="141" w:name="_Toc20113"/>
      <w:r>
        <w:rPr>
          <w:rFonts w:hint="eastAsia" w:ascii="仿宋_GB2312" w:hAnsi="仿宋_GB2312" w:eastAsia="仿宋_GB2312" w:cs="仿宋_GB2312"/>
          <w:sz w:val="32"/>
          <w:szCs w:val="32"/>
          <w:highlight w:val="none"/>
          <w:lang w:val="en-US" w:eastAsia="zh-CN"/>
        </w:rPr>
        <w:t>（4）合同管理完备性</w:t>
      </w:r>
    </w:p>
    <w:p w14:paraId="75756A46">
      <w:pPr>
        <w:pStyle w:val="26"/>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default" w:ascii="仿宋_GB2312" w:hAnsi="仿宋_GB2312" w:cs="仿宋_GB2312"/>
          <w:b/>
          <w:bCs/>
          <w:highlight w:val="none"/>
          <w:lang w:val="en-US"/>
        </w:rPr>
      </w:pPr>
      <w:r>
        <w:rPr>
          <w:rFonts w:hint="eastAsia" w:ascii="仿宋_GB2312" w:hAnsi="仿宋_GB2312" w:eastAsia="仿宋_GB2312" w:cs="仿宋_GB2312"/>
          <w:sz w:val="32"/>
          <w:szCs w:val="32"/>
          <w:highlight w:val="none"/>
          <w:lang w:val="en-US" w:eastAsia="zh-CN"/>
        </w:rPr>
        <w:t>合同管理完备性：指标分值2.5分，评价得分1.25分。经查验设备购置相关</w:t>
      </w:r>
      <w:r>
        <w:rPr>
          <w:rFonts w:hint="eastAsia" w:ascii="仿宋_GB2312" w:hAnsi="仿宋_GB2312" w:eastAsia="仿宋_GB2312" w:cs="仿宋_GB2312"/>
          <w:sz w:val="32"/>
          <w:szCs w:val="32"/>
          <w:highlight w:val="none"/>
        </w:rPr>
        <w:t>合同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协议</w:t>
      </w:r>
      <w:r>
        <w:rPr>
          <w:rFonts w:hint="eastAsia" w:ascii="仿宋_GB2312" w:hAnsi="仿宋_GB2312" w:eastAsia="仿宋_GB2312" w:cs="仿宋_GB2312"/>
          <w:sz w:val="32"/>
          <w:szCs w:val="32"/>
          <w:highlight w:val="none"/>
          <w:lang w:val="en-US" w:eastAsia="zh-CN"/>
        </w:rPr>
        <w:t>，以及</w:t>
      </w:r>
      <w:r>
        <w:rPr>
          <w:rFonts w:hint="eastAsia" w:ascii="仿宋_GB2312" w:hAnsi="仿宋_GB2312" w:eastAsia="仿宋_GB2312" w:cs="仿宋_GB2312"/>
          <w:sz w:val="32"/>
          <w:szCs w:val="32"/>
          <w:highlight w:val="none"/>
        </w:rPr>
        <w:t>会计凭证等资料</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发现存在部分合同中未填写合同签订日期。评价认为，政府采购合同审核不严谨，扣1.25分</w:t>
      </w:r>
      <w:r>
        <w:rPr>
          <w:rFonts w:hint="eastAsia" w:ascii="仿宋_GB2312" w:hAnsi="仿宋_GB2312" w:eastAsia="仿宋_GB2312" w:cs="仿宋_GB2312"/>
          <w:sz w:val="32"/>
          <w:szCs w:val="32"/>
          <w:highlight w:val="none"/>
        </w:rPr>
        <w:t>。</w:t>
      </w:r>
    </w:p>
    <w:p w14:paraId="3E41AACA">
      <w:pPr>
        <w:pStyle w:val="9"/>
        <w:overflowPunct w:val="0"/>
        <w:spacing w:line="560" w:lineRule="exact"/>
        <w:ind w:firstLine="643" w:firstLineChars="200"/>
        <w:outlineLvl w:val="1"/>
        <w:rPr>
          <w:rFonts w:hint="eastAsia" w:ascii="楷体" w:hAnsi="楷体" w:eastAsia="楷体" w:cs="楷体"/>
          <w:b/>
          <w:bCs/>
          <w:highlight w:val="none"/>
        </w:rPr>
      </w:pPr>
      <w:bookmarkStart w:id="142" w:name="_Toc26486"/>
      <w:r>
        <w:rPr>
          <w:rFonts w:hint="eastAsia" w:ascii="楷体" w:hAnsi="楷体" w:eastAsia="楷体" w:cs="楷体"/>
          <w:b/>
          <w:bCs/>
          <w:highlight w:val="none"/>
        </w:rPr>
        <w:t>（</w:t>
      </w:r>
      <w:r>
        <w:rPr>
          <w:rFonts w:hint="eastAsia" w:ascii="楷体" w:hAnsi="楷体" w:eastAsia="楷体" w:cs="楷体"/>
          <w:b/>
          <w:bCs/>
          <w:highlight w:val="none"/>
          <w:lang w:val="en-US" w:eastAsia="zh-CN"/>
        </w:rPr>
        <w:t>三</w:t>
      </w:r>
      <w:r>
        <w:rPr>
          <w:rFonts w:hint="eastAsia" w:ascii="楷体" w:hAnsi="楷体" w:eastAsia="楷体" w:cs="楷体"/>
          <w:b/>
          <w:bCs/>
          <w:highlight w:val="none"/>
        </w:rPr>
        <w:t>）项目</w:t>
      </w:r>
      <w:r>
        <w:rPr>
          <w:rFonts w:hint="eastAsia" w:ascii="楷体" w:hAnsi="楷体" w:eastAsia="楷体" w:cs="楷体"/>
          <w:b/>
          <w:bCs/>
          <w:highlight w:val="none"/>
          <w:lang w:val="en-US" w:eastAsia="zh-CN"/>
        </w:rPr>
        <w:t>成本</w:t>
      </w:r>
      <w:r>
        <w:rPr>
          <w:rFonts w:hint="eastAsia" w:ascii="楷体" w:hAnsi="楷体" w:eastAsia="楷体" w:cs="楷体"/>
          <w:b/>
          <w:bCs/>
          <w:highlight w:val="none"/>
        </w:rPr>
        <w:t>情况</w:t>
      </w:r>
    </w:p>
    <w:p w14:paraId="09E3137C">
      <w:pPr>
        <w:pStyle w:val="9"/>
        <w:tabs>
          <w:tab w:val="left" w:pos="0"/>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项目</w:t>
      </w:r>
      <w:r>
        <w:rPr>
          <w:rFonts w:hint="eastAsia" w:ascii="仿宋_GB2312" w:hAnsi="仿宋_GB2312" w:cs="仿宋_GB2312"/>
          <w:highlight w:val="none"/>
          <w:lang w:val="en-US" w:eastAsia="zh-CN"/>
        </w:rPr>
        <w:t>成本</w:t>
      </w:r>
      <w:r>
        <w:rPr>
          <w:rFonts w:hint="eastAsia" w:ascii="仿宋_GB2312" w:hAnsi="仿宋_GB2312" w:cs="仿宋_GB2312"/>
          <w:highlight w:val="none"/>
        </w:rPr>
        <w:t>指标包括经济成本指标</w:t>
      </w:r>
      <w:r>
        <w:rPr>
          <w:rFonts w:hint="eastAsia" w:ascii="仿宋_GB2312" w:hAnsi="仿宋_GB2312" w:cs="仿宋_GB2312"/>
          <w:highlight w:val="none"/>
          <w:lang w:val="en-US" w:eastAsia="zh-CN"/>
        </w:rPr>
        <w:t>一</w:t>
      </w:r>
      <w:r>
        <w:rPr>
          <w:rFonts w:hint="eastAsia" w:ascii="仿宋_GB2312" w:hAnsi="仿宋_GB2312" w:cs="仿宋_GB2312"/>
          <w:highlight w:val="none"/>
        </w:rPr>
        <w:t>个二级指标。经济成本指标包括成本控制情况、设备平均成本</w:t>
      </w:r>
      <w:r>
        <w:rPr>
          <w:rFonts w:hint="eastAsia" w:ascii="仿宋_GB2312" w:hAnsi="仿宋_GB2312" w:cs="仿宋_GB2312"/>
          <w:highlight w:val="none"/>
          <w:lang w:val="en-US" w:eastAsia="zh-CN"/>
        </w:rPr>
        <w:t>两</w:t>
      </w:r>
      <w:r>
        <w:rPr>
          <w:rFonts w:hint="eastAsia" w:ascii="仿宋_GB2312" w:hAnsi="仿宋_GB2312" w:cs="仿宋_GB2312"/>
          <w:highlight w:val="none"/>
        </w:rPr>
        <w:t>个三级指标。指标分值</w:t>
      </w:r>
      <w:r>
        <w:rPr>
          <w:rFonts w:hint="eastAsia" w:ascii="仿宋_GB2312" w:hAnsi="仿宋_GB2312" w:cs="仿宋_GB2312"/>
          <w:highlight w:val="none"/>
          <w:lang w:val="en-US" w:eastAsia="zh-CN"/>
        </w:rPr>
        <w:t>10</w:t>
      </w:r>
      <w:r>
        <w:rPr>
          <w:rFonts w:hint="eastAsia" w:ascii="仿宋_GB2312" w:hAnsi="仿宋_GB2312" w:cs="仿宋_GB2312"/>
          <w:highlight w:val="none"/>
        </w:rPr>
        <w:t>分，评价得分</w:t>
      </w:r>
      <w:r>
        <w:rPr>
          <w:rFonts w:hint="eastAsia" w:ascii="仿宋_GB2312" w:hAnsi="仿宋_GB2312" w:cs="仿宋_GB2312"/>
          <w:highlight w:val="none"/>
          <w:lang w:val="en-US" w:eastAsia="zh-CN"/>
        </w:rPr>
        <w:t>10</w:t>
      </w:r>
      <w:r>
        <w:rPr>
          <w:rFonts w:hint="eastAsia" w:ascii="仿宋_GB2312" w:hAnsi="仿宋_GB2312" w:cs="仿宋_GB2312"/>
          <w:highlight w:val="none"/>
        </w:rPr>
        <w:t>分，得分率</w:t>
      </w:r>
      <w:r>
        <w:rPr>
          <w:rFonts w:hint="eastAsia" w:ascii="仿宋_GB2312" w:hAnsi="仿宋_GB2312" w:cs="仿宋_GB2312"/>
          <w:highlight w:val="none"/>
          <w:lang w:val="en-US" w:eastAsia="zh-CN"/>
        </w:rPr>
        <w:t>100.00</w:t>
      </w:r>
      <w:r>
        <w:rPr>
          <w:rFonts w:hint="eastAsia" w:ascii="仿宋_GB2312" w:hAnsi="仿宋_GB2312" w:cs="仿宋_GB2312"/>
          <w:highlight w:val="none"/>
        </w:rPr>
        <w:t>%。</w:t>
      </w:r>
    </w:p>
    <w:tbl>
      <w:tblPr>
        <w:tblStyle w:val="20"/>
        <w:tblW w:w="8647"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114"/>
        <w:gridCol w:w="2217"/>
        <w:gridCol w:w="831"/>
        <w:gridCol w:w="1225"/>
        <w:gridCol w:w="1204"/>
        <w:gridCol w:w="946"/>
        <w:gridCol w:w="1110"/>
      </w:tblGrid>
      <w:tr w14:paraId="5A5C4038">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blHeader/>
        </w:trPr>
        <w:tc>
          <w:tcPr>
            <w:tcW w:w="1114" w:type="dxa"/>
            <w:tcBorders>
              <w:tl2br w:val="nil"/>
              <w:tr2bl w:val="nil"/>
            </w:tcBorders>
            <w:shd w:val="clear" w:color="auto" w:fill="BDD6EE" w:themeFill="accent1" w:themeFillTint="66"/>
            <w:vAlign w:val="center"/>
          </w:tcPr>
          <w:p w14:paraId="6BD20A25">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二级指标</w:t>
            </w:r>
          </w:p>
        </w:tc>
        <w:tc>
          <w:tcPr>
            <w:tcW w:w="2217" w:type="dxa"/>
            <w:tcBorders>
              <w:tl2br w:val="nil"/>
              <w:tr2bl w:val="nil"/>
            </w:tcBorders>
            <w:shd w:val="clear" w:color="auto" w:fill="BDD6EE" w:themeFill="accent1" w:themeFillTint="66"/>
            <w:vAlign w:val="center"/>
          </w:tcPr>
          <w:p w14:paraId="7A371C9F">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831" w:type="dxa"/>
            <w:tcBorders>
              <w:tl2br w:val="nil"/>
              <w:tr2bl w:val="nil"/>
            </w:tcBorders>
            <w:shd w:val="clear" w:color="auto" w:fill="BDD6EE" w:themeFill="accent1" w:themeFillTint="66"/>
            <w:vAlign w:val="center"/>
          </w:tcPr>
          <w:p w14:paraId="54A54716">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225" w:type="dxa"/>
            <w:tcBorders>
              <w:tl2br w:val="nil"/>
              <w:tr2bl w:val="nil"/>
            </w:tcBorders>
            <w:shd w:val="clear" w:color="auto" w:fill="BDD6EE" w:themeFill="accent1" w:themeFillTint="66"/>
            <w:vAlign w:val="center"/>
          </w:tcPr>
          <w:p w14:paraId="78AF4442">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目标值</w:t>
            </w:r>
          </w:p>
        </w:tc>
        <w:tc>
          <w:tcPr>
            <w:tcW w:w="1204" w:type="dxa"/>
            <w:tcBorders>
              <w:tl2br w:val="nil"/>
              <w:tr2bl w:val="nil"/>
            </w:tcBorders>
            <w:shd w:val="clear" w:color="auto" w:fill="BDD6EE" w:themeFill="accent1" w:themeFillTint="66"/>
            <w:vAlign w:val="center"/>
          </w:tcPr>
          <w:p w14:paraId="091B0658">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业绩值</w:t>
            </w:r>
          </w:p>
        </w:tc>
        <w:tc>
          <w:tcPr>
            <w:tcW w:w="946" w:type="dxa"/>
            <w:tcBorders>
              <w:tl2br w:val="nil"/>
              <w:tr2bl w:val="nil"/>
            </w:tcBorders>
            <w:shd w:val="clear" w:color="auto" w:fill="BDD6EE" w:themeFill="accent1" w:themeFillTint="66"/>
            <w:vAlign w:val="center"/>
          </w:tcPr>
          <w:p w14:paraId="556A5086">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1110" w:type="dxa"/>
            <w:tcBorders>
              <w:tl2br w:val="nil"/>
              <w:tr2bl w:val="nil"/>
            </w:tcBorders>
            <w:shd w:val="clear" w:color="auto" w:fill="BDD6EE" w:themeFill="accent1" w:themeFillTint="66"/>
            <w:vAlign w:val="center"/>
          </w:tcPr>
          <w:p w14:paraId="09D332E4">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0D1F901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restart"/>
            <w:tcBorders>
              <w:tl2br w:val="nil"/>
              <w:tr2bl w:val="nil"/>
            </w:tcBorders>
            <w:vAlign w:val="center"/>
          </w:tcPr>
          <w:p w14:paraId="23475182">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经济成本指标</w:t>
            </w:r>
          </w:p>
        </w:tc>
        <w:tc>
          <w:tcPr>
            <w:tcW w:w="2217" w:type="dxa"/>
            <w:tcBorders>
              <w:tl2br w:val="nil"/>
              <w:tr2bl w:val="nil"/>
            </w:tcBorders>
            <w:shd w:val="clear" w:color="auto" w:fill="auto"/>
            <w:vAlign w:val="center"/>
          </w:tcPr>
          <w:p w14:paraId="051C60EB">
            <w:pPr>
              <w:keepNext w:val="0"/>
              <w:keepLines w:val="0"/>
              <w:widowControl/>
              <w:suppressLineNumbers w:val="0"/>
              <w:jc w:val="lef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成本控制情况</w:t>
            </w:r>
          </w:p>
        </w:tc>
        <w:tc>
          <w:tcPr>
            <w:tcW w:w="831" w:type="dxa"/>
            <w:tcBorders>
              <w:tl2br w:val="nil"/>
              <w:tr2bl w:val="nil"/>
            </w:tcBorders>
            <w:shd w:val="clear" w:color="auto" w:fill="auto"/>
            <w:vAlign w:val="center"/>
          </w:tcPr>
          <w:p w14:paraId="46FDC097">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225" w:type="dxa"/>
            <w:tcBorders>
              <w:tl2br w:val="nil"/>
              <w:tr2bl w:val="nil"/>
            </w:tcBorders>
            <w:shd w:val="clear" w:color="auto" w:fill="auto"/>
            <w:vAlign w:val="center"/>
          </w:tcPr>
          <w:p w14:paraId="36EC9954">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预算内</w:t>
            </w:r>
          </w:p>
        </w:tc>
        <w:tc>
          <w:tcPr>
            <w:tcW w:w="1204" w:type="dxa"/>
            <w:tcBorders>
              <w:tl2br w:val="nil"/>
              <w:tr2bl w:val="nil"/>
            </w:tcBorders>
            <w:shd w:val="clear" w:color="auto" w:fill="auto"/>
            <w:vAlign w:val="center"/>
          </w:tcPr>
          <w:p w14:paraId="3A60B035">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预算内</w:t>
            </w:r>
          </w:p>
        </w:tc>
        <w:tc>
          <w:tcPr>
            <w:tcW w:w="946" w:type="dxa"/>
            <w:tcBorders>
              <w:tl2br w:val="nil"/>
              <w:tr2bl w:val="nil"/>
            </w:tcBorders>
            <w:shd w:val="clear" w:color="auto" w:fill="auto"/>
            <w:vAlign w:val="center"/>
          </w:tcPr>
          <w:p w14:paraId="14E04BB4">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110" w:type="dxa"/>
            <w:tcBorders>
              <w:tl2br w:val="nil"/>
              <w:tr2bl w:val="nil"/>
            </w:tcBorders>
            <w:shd w:val="clear" w:color="auto" w:fill="auto"/>
            <w:vAlign w:val="center"/>
          </w:tcPr>
          <w:p w14:paraId="3F4C257A">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7D9DA36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continue"/>
            <w:tcBorders>
              <w:tl2br w:val="nil"/>
              <w:tr2bl w:val="nil"/>
            </w:tcBorders>
            <w:vAlign w:val="center"/>
          </w:tcPr>
          <w:p w14:paraId="18EF5505">
            <w:pPr>
              <w:jc w:val="center"/>
              <w:rPr>
                <w:rFonts w:hint="eastAsia" w:ascii="宋体" w:hAnsi="宋体" w:eastAsia="宋体" w:cs="宋体"/>
                <w:color w:val="auto"/>
                <w:kern w:val="0"/>
                <w:sz w:val="20"/>
                <w:szCs w:val="20"/>
                <w:highlight w:val="none"/>
                <w:lang w:bidi="ar"/>
              </w:rPr>
            </w:pPr>
          </w:p>
        </w:tc>
        <w:tc>
          <w:tcPr>
            <w:tcW w:w="2217" w:type="dxa"/>
            <w:tcBorders>
              <w:tl2br w:val="nil"/>
              <w:tr2bl w:val="nil"/>
            </w:tcBorders>
            <w:shd w:val="clear" w:color="auto" w:fill="auto"/>
            <w:vAlign w:val="center"/>
          </w:tcPr>
          <w:p w14:paraId="588ADD64">
            <w:pPr>
              <w:keepNext w:val="0"/>
              <w:keepLines w:val="0"/>
              <w:widowControl/>
              <w:suppressLineNumbers w:val="0"/>
              <w:jc w:val="lef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设备平均成本</w:t>
            </w:r>
          </w:p>
        </w:tc>
        <w:tc>
          <w:tcPr>
            <w:tcW w:w="831" w:type="dxa"/>
            <w:tcBorders>
              <w:tl2br w:val="nil"/>
              <w:tr2bl w:val="nil"/>
            </w:tcBorders>
            <w:shd w:val="clear" w:color="auto" w:fill="auto"/>
            <w:vAlign w:val="center"/>
          </w:tcPr>
          <w:p w14:paraId="74EB8055">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225" w:type="dxa"/>
            <w:tcBorders>
              <w:tl2br w:val="nil"/>
              <w:tr2bl w:val="nil"/>
            </w:tcBorders>
            <w:shd w:val="clear" w:color="auto" w:fill="auto"/>
            <w:vAlign w:val="center"/>
          </w:tcPr>
          <w:p w14:paraId="44979890">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标准</w:t>
            </w:r>
          </w:p>
        </w:tc>
        <w:tc>
          <w:tcPr>
            <w:tcW w:w="1204" w:type="dxa"/>
            <w:tcBorders>
              <w:tl2br w:val="nil"/>
              <w:tr2bl w:val="nil"/>
            </w:tcBorders>
            <w:shd w:val="clear" w:color="auto" w:fill="auto"/>
            <w:vAlign w:val="center"/>
          </w:tcPr>
          <w:p w14:paraId="70B645C9">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标准</w:t>
            </w:r>
          </w:p>
        </w:tc>
        <w:tc>
          <w:tcPr>
            <w:tcW w:w="946" w:type="dxa"/>
            <w:tcBorders>
              <w:tl2br w:val="nil"/>
              <w:tr2bl w:val="nil"/>
            </w:tcBorders>
            <w:shd w:val="clear" w:color="auto" w:fill="auto"/>
            <w:vAlign w:val="center"/>
          </w:tcPr>
          <w:p w14:paraId="4039D310">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110" w:type="dxa"/>
            <w:tcBorders>
              <w:tl2br w:val="nil"/>
              <w:tr2bl w:val="nil"/>
            </w:tcBorders>
            <w:shd w:val="clear" w:color="auto" w:fill="auto"/>
            <w:vAlign w:val="center"/>
          </w:tcPr>
          <w:p w14:paraId="2981E32D">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064D179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3331" w:type="dxa"/>
            <w:gridSpan w:val="2"/>
            <w:tcBorders>
              <w:tl2br w:val="nil"/>
              <w:tr2bl w:val="nil"/>
            </w:tcBorders>
            <w:shd w:val="clear" w:color="auto" w:fill="BDD6EE" w:themeFill="accent1" w:themeFillTint="66"/>
            <w:vAlign w:val="center"/>
          </w:tcPr>
          <w:p w14:paraId="5335DE3E">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合计</w:t>
            </w:r>
          </w:p>
        </w:tc>
        <w:tc>
          <w:tcPr>
            <w:tcW w:w="831" w:type="dxa"/>
            <w:tcBorders>
              <w:tl2br w:val="nil"/>
              <w:tr2bl w:val="nil"/>
            </w:tcBorders>
            <w:shd w:val="clear" w:color="auto" w:fill="BDD6EE" w:themeFill="accent1" w:themeFillTint="66"/>
            <w:vAlign w:val="center"/>
          </w:tcPr>
          <w:p w14:paraId="4FE93922">
            <w:pPr>
              <w:widowControl/>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10</w:t>
            </w:r>
          </w:p>
        </w:tc>
        <w:tc>
          <w:tcPr>
            <w:tcW w:w="1225" w:type="dxa"/>
            <w:tcBorders>
              <w:tl2br w:val="nil"/>
              <w:tr2bl w:val="nil"/>
            </w:tcBorders>
            <w:shd w:val="clear" w:color="auto" w:fill="BDD6EE" w:themeFill="accent1" w:themeFillTint="66"/>
            <w:vAlign w:val="center"/>
          </w:tcPr>
          <w:p w14:paraId="14B47C03">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w:t>
            </w:r>
          </w:p>
        </w:tc>
        <w:tc>
          <w:tcPr>
            <w:tcW w:w="1204" w:type="dxa"/>
            <w:tcBorders>
              <w:tl2br w:val="nil"/>
              <w:tr2bl w:val="nil"/>
            </w:tcBorders>
            <w:shd w:val="clear" w:color="auto" w:fill="BDD6EE" w:themeFill="accent1" w:themeFillTint="66"/>
            <w:vAlign w:val="center"/>
          </w:tcPr>
          <w:p w14:paraId="60337938">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w:t>
            </w:r>
          </w:p>
        </w:tc>
        <w:tc>
          <w:tcPr>
            <w:tcW w:w="946" w:type="dxa"/>
            <w:tcBorders>
              <w:tl2br w:val="nil"/>
              <w:tr2bl w:val="nil"/>
            </w:tcBorders>
            <w:shd w:val="clear" w:color="auto" w:fill="BDD6EE" w:themeFill="accent1" w:themeFillTint="66"/>
            <w:vAlign w:val="center"/>
          </w:tcPr>
          <w:p w14:paraId="26E80856">
            <w:pPr>
              <w:keepNext w:val="0"/>
              <w:keepLines w:val="0"/>
              <w:widowControl/>
              <w:suppressLineNumbers w:val="0"/>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10</w:t>
            </w:r>
          </w:p>
        </w:tc>
        <w:tc>
          <w:tcPr>
            <w:tcW w:w="1110" w:type="dxa"/>
            <w:tcBorders>
              <w:tl2br w:val="nil"/>
              <w:tr2bl w:val="nil"/>
            </w:tcBorders>
            <w:shd w:val="clear" w:color="auto" w:fill="BDD6EE" w:themeFill="accent1" w:themeFillTint="66"/>
            <w:vAlign w:val="center"/>
          </w:tcPr>
          <w:p w14:paraId="6C3391F2">
            <w:pPr>
              <w:keepNext w:val="0"/>
              <w:keepLines w:val="0"/>
              <w:widowControl/>
              <w:suppressLineNumbers w:val="0"/>
              <w:jc w:val="right"/>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000000"/>
                <w:kern w:val="0"/>
                <w:sz w:val="20"/>
                <w:szCs w:val="20"/>
                <w:u w:val="none"/>
                <w:lang w:val="en-US" w:eastAsia="zh-CN" w:bidi="ar"/>
              </w:rPr>
              <w:t>100.00%</w:t>
            </w:r>
          </w:p>
        </w:tc>
      </w:tr>
    </w:tbl>
    <w:p w14:paraId="31FDB9AB">
      <w:pPr>
        <w:pStyle w:val="26"/>
        <w:overflowPunct w:val="0"/>
        <w:spacing w:line="560" w:lineRule="exact"/>
        <w:ind w:firstLine="640"/>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成本指标</w:t>
      </w:r>
    </w:p>
    <w:p w14:paraId="418DFF15">
      <w:pPr>
        <w:pStyle w:val="26"/>
        <w:overflowPunct w:val="0"/>
        <w:spacing w:line="560" w:lineRule="exact"/>
        <w:ind w:firstLine="643"/>
        <w:outlineLvl w:val="2"/>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成本控制情况</w:t>
      </w:r>
      <w:r>
        <w:rPr>
          <w:rFonts w:hint="eastAsia" w:ascii="仿宋_GB2312" w:hAnsi="仿宋_GB2312" w:eastAsia="仿宋_GB2312" w:cs="仿宋_GB2312"/>
          <w:sz w:val="32"/>
          <w:szCs w:val="32"/>
          <w:highlight w:val="none"/>
        </w:rPr>
        <w:t>：指标分值</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甘肃省高级人民法院</w:t>
      </w:r>
      <w:r>
        <w:rPr>
          <w:rFonts w:hint="eastAsia" w:ascii="仿宋_GB2312" w:hAnsi="仿宋_GB2312" w:eastAsia="仿宋_GB2312" w:cs="仿宋_GB2312"/>
          <w:sz w:val="32"/>
          <w:szCs w:val="32"/>
          <w:highlight w:val="none"/>
        </w:rPr>
        <w:t>积极响应国家相关政策，坚持节约资金的原则，严格控制项目预算金额，在提高服务质量水平的同时，降低成本开支，</w:t>
      </w:r>
      <w:r>
        <w:rPr>
          <w:rFonts w:hint="eastAsia" w:ascii="仿宋_GB2312" w:hAnsi="仿宋_GB2312" w:eastAsia="仿宋_GB2312" w:cs="仿宋_GB2312"/>
          <w:sz w:val="32"/>
          <w:szCs w:val="32"/>
          <w:highlight w:val="none"/>
          <w:lang w:val="en-US" w:eastAsia="zh-CN"/>
        </w:rPr>
        <w:t>设备购置</w:t>
      </w:r>
      <w:r>
        <w:rPr>
          <w:rFonts w:hint="eastAsia" w:ascii="仿宋_GB2312" w:hAnsi="仿宋_GB2312" w:eastAsia="仿宋_GB2312" w:cs="仿宋_GB2312"/>
          <w:sz w:val="32"/>
          <w:szCs w:val="32"/>
          <w:highlight w:val="none"/>
        </w:rPr>
        <w:t>费项目成本控制在</w:t>
      </w:r>
      <w:r>
        <w:rPr>
          <w:rFonts w:hint="eastAsia" w:ascii="仿宋_GB2312" w:hAnsi="仿宋_GB2312" w:eastAsia="仿宋_GB2312" w:cs="仿宋_GB2312"/>
          <w:sz w:val="32"/>
          <w:szCs w:val="32"/>
          <w:highlight w:val="none"/>
          <w:lang w:val="en-US" w:eastAsia="zh-CN"/>
        </w:rPr>
        <w:t>278.20</w:t>
      </w:r>
      <w:r>
        <w:rPr>
          <w:rFonts w:hint="eastAsia" w:ascii="仿宋_GB2312" w:hAnsi="仿宋_GB2312" w:eastAsia="仿宋_GB2312" w:cs="仿宋_GB2312"/>
          <w:sz w:val="32"/>
          <w:szCs w:val="32"/>
          <w:highlight w:val="none"/>
        </w:rPr>
        <w:t>万元以内，</w:t>
      </w:r>
      <w:r>
        <w:rPr>
          <w:rFonts w:hint="eastAsia" w:ascii="仿宋_GB2312" w:hAnsi="仿宋_GB2312" w:eastAsia="仿宋_GB2312" w:cs="仿宋_GB2312"/>
          <w:sz w:val="32"/>
          <w:szCs w:val="32"/>
          <w:highlight w:val="none"/>
          <w:lang w:val="en-US" w:eastAsia="zh-CN"/>
        </w:rPr>
        <w:t>未超预算。</w:t>
      </w:r>
    </w:p>
    <w:p w14:paraId="58D4D35D">
      <w:pPr>
        <w:pStyle w:val="26"/>
        <w:overflowPunct w:val="0"/>
        <w:spacing w:line="560" w:lineRule="exact"/>
        <w:ind w:firstLine="643"/>
        <w:outlineLvl w:val="2"/>
        <w:rPr>
          <w:rFonts w:hint="eastAsia" w:ascii="仿宋_GB2312" w:hAnsi="仿宋_GB2312" w:cs="仿宋_GB2312"/>
          <w:b/>
          <w:bCs/>
          <w:highlight w:val="none"/>
        </w:rPr>
      </w:pPr>
      <w:r>
        <w:rPr>
          <w:rFonts w:hint="eastAsia" w:ascii="仿宋_GB2312" w:hAnsi="仿宋_GB2312" w:eastAsia="仿宋_GB2312" w:cs="仿宋_GB2312"/>
          <w:sz w:val="32"/>
          <w:szCs w:val="32"/>
          <w:highlight w:val="none"/>
          <w:lang w:val="en-US" w:eastAsia="zh-CN"/>
        </w:rPr>
        <w:t>设备平均成本：</w:t>
      </w:r>
      <w:r>
        <w:rPr>
          <w:rFonts w:hint="eastAsia" w:ascii="仿宋_GB2312" w:hAnsi="仿宋_GB2312" w:eastAsia="仿宋_GB2312" w:cs="仿宋_GB2312"/>
          <w:sz w:val="32"/>
          <w:szCs w:val="32"/>
          <w:highlight w:val="none"/>
        </w:rPr>
        <w:t>指标分值</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甘肃省高级人民法院</w:t>
      </w:r>
      <w:r>
        <w:rPr>
          <w:rFonts w:hint="eastAsia" w:ascii="仿宋_GB2312" w:hAnsi="仿宋_GB2312" w:eastAsia="仿宋_GB2312" w:cs="仿宋_GB2312"/>
          <w:sz w:val="32"/>
          <w:szCs w:val="32"/>
          <w:lang w:eastAsia="zh-CN"/>
        </w:rPr>
        <w:t>本着厉行节约，反对浪费原则，尽量做到了在预算范围内采购，</w:t>
      </w:r>
      <w:r>
        <w:rPr>
          <w:rFonts w:hint="eastAsia" w:ascii="仿宋_GB2312" w:hAnsi="仿宋_GB2312" w:eastAsia="仿宋_GB2312" w:cs="仿宋_GB2312"/>
          <w:sz w:val="32"/>
          <w:szCs w:val="32"/>
          <w:highlight w:val="none"/>
          <w:lang w:val="en-US" w:eastAsia="zh-CN"/>
        </w:rPr>
        <w:t>所有采购设备控制在成本内。</w:t>
      </w:r>
    </w:p>
    <w:p w14:paraId="62AEBE84">
      <w:pPr>
        <w:pStyle w:val="9"/>
        <w:overflowPunct w:val="0"/>
        <w:spacing w:line="560" w:lineRule="exact"/>
        <w:ind w:firstLine="643" w:firstLineChars="200"/>
        <w:outlineLvl w:val="1"/>
        <w:rPr>
          <w:rFonts w:hint="eastAsia" w:ascii="楷体" w:hAnsi="楷体" w:eastAsia="楷体" w:cs="楷体"/>
          <w:b/>
          <w:bCs/>
          <w:highlight w:val="none"/>
        </w:rPr>
      </w:pPr>
      <w:r>
        <w:rPr>
          <w:rFonts w:hint="eastAsia" w:ascii="楷体" w:hAnsi="楷体" w:eastAsia="楷体" w:cs="楷体"/>
          <w:b/>
          <w:bCs/>
          <w:highlight w:val="none"/>
        </w:rPr>
        <w:t>（</w:t>
      </w:r>
      <w:r>
        <w:rPr>
          <w:rFonts w:hint="eastAsia" w:ascii="楷体" w:hAnsi="楷体" w:eastAsia="楷体" w:cs="楷体"/>
          <w:b/>
          <w:bCs/>
          <w:highlight w:val="none"/>
          <w:lang w:val="en-US" w:eastAsia="zh-CN"/>
        </w:rPr>
        <w:t>四</w:t>
      </w:r>
      <w:r>
        <w:rPr>
          <w:rFonts w:hint="eastAsia" w:ascii="楷体" w:hAnsi="楷体" w:eastAsia="楷体" w:cs="楷体"/>
          <w:b/>
          <w:bCs/>
          <w:highlight w:val="none"/>
        </w:rPr>
        <w:t>）项目产出情况</w:t>
      </w:r>
      <w:bookmarkEnd w:id="140"/>
      <w:bookmarkEnd w:id="141"/>
      <w:bookmarkEnd w:id="142"/>
    </w:p>
    <w:p w14:paraId="34BE3972">
      <w:pPr>
        <w:pStyle w:val="26"/>
        <w:overflowPunct w:val="0"/>
        <w:spacing w:line="56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项目产出指标包括产出</w:t>
      </w:r>
      <w:r>
        <w:rPr>
          <w:rFonts w:hint="eastAsia" w:ascii="仿宋_GB2312" w:hAnsi="仿宋_GB2312" w:eastAsia="仿宋_GB2312" w:cs="仿宋_GB2312"/>
          <w:sz w:val="32"/>
          <w:szCs w:val="32"/>
          <w:highlight w:val="none"/>
          <w:lang w:val="en-US" w:eastAsia="zh-CN"/>
        </w:rPr>
        <w:t>数量</w:t>
      </w:r>
      <w:r>
        <w:rPr>
          <w:rFonts w:hint="eastAsia" w:ascii="仿宋_GB2312" w:hAnsi="仿宋_GB2312" w:eastAsia="仿宋_GB2312" w:cs="仿宋_GB2312"/>
          <w:sz w:val="32"/>
          <w:szCs w:val="32"/>
          <w:highlight w:val="none"/>
        </w:rPr>
        <w:t>、产出</w:t>
      </w:r>
      <w:r>
        <w:rPr>
          <w:rFonts w:hint="eastAsia" w:ascii="仿宋_GB2312" w:hAnsi="仿宋_GB2312" w:eastAsia="仿宋_GB2312" w:cs="仿宋_GB2312"/>
          <w:sz w:val="32"/>
          <w:szCs w:val="32"/>
          <w:highlight w:val="none"/>
          <w:lang w:val="en-US" w:eastAsia="zh-CN"/>
        </w:rPr>
        <w:t>质量</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产出时效三</w:t>
      </w:r>
      <w:r>
        <w:rPr>
          <w:rFonts w:hint="eastAsia" w:ascii="仿宋_GB2312" w:hAnsi="仿宋_GB2312" w:eastAsia="仿宋_GB2312" w:cs="仿宋_GB2312"/>
          <w:sz w:val="32"/>
          <w:szCs w:val="32"/>
          <w:highlight w:val="none"/>
        </w:rPr>
        <w:t>个二级指标，指标分值</w:t>
      </w:r>
      <w:r>
        <w:rPr>
          <w:rFonts w:hint="eastAsia" w:ascii="仿宋_GB2312" w:hAnsi="仿宋_GB2312" w:eastAsia="仿宋_GB2312" w:cs="仿宋_GB2312"/>
          <w:sz w:val="32"/>
          <w:szCs w:val="32"/>
          <w:highlight w:val="none"/>
          <w:lang w:val="en-US" w:eastAsia="zh-CN"/>
        </w:rPr>
        <w:t>30</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23.78</w:t>
      </w:r>
      <w:r>
        <w:rPr>
          <w:rFonts w:hint="eastAsia" w:ascii="仿宋_GB2312" w:hAnsi="仿宋_GB2312" w:eastAsia="仿宋_GB2312" w:cs="仿宋_GB2312"/>
          <w:sz w:val="32"/>
          <w:szCs w:val="32"/>
          <w:highlight w:val="none"/>
        </w:rPr>
        <w:t>分，得分率</w:t>
      </w:r>
      <w:r>
        <w:rPr>
          <w:rFonts w:hint="eastAsia" w:ascii="仿宋_GB2312" w:hAnsi="仿宋_GB2312" w:eastAsia="仿宋_GB2312" w:cs="仿宋_GB2312"/>
          <w:sz w:val="32"/>
          <w:szCs w:val="32"/>
          <w:highlight w:val="none"/>
          <w:lang w:val="en-US" w:eastAsia="zh-CN"/>
        </w:rPr>
        <w:t>79.27</w:t>
      </w:r>
      <w:r>
        <w:rPr>
          <w:rFonts w:hint="eastAsia" w:ascii="仿宋_GB2312" w:hAnsi="仿宋_GB2312" w:eastAsia="仿宋_GB2312" w:cs="仿宋_GB2312"/>
          <w:sz w:val="32"/>
          <w:szCs w:val="32"/>
          <w:highlight w:val="none"/>
        </w:rPr>
        <w:t>%。</w:t>
      </w:r>
    </w:p>
    <w:tbl>
      <w:tblPr>
        <w:tblStyle w:val="20"/>
        <w:tblW w:w="8647"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114"/>
        <w:gridCol w:w="2217"/>
        <w:gridCol w:w="831"/>
        <w:gridCol w:w="1225"/>
        <w:gridCol w:w="1204"/>
        <w:gridCol w:w="946"/>
        <w:gridCol w:w="1110"/>
      </w:tblGrid>
      <w:tr w14:paraId="05131E7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blHeader/>
        </w:trPr>
        <w:tc>
          <w:tcPr>
            <w:tcW w:w="1114" w:type="dxa"/>
            <w:tcBorders>
              <w:tl2br w:val="nil"/>
              <w:tr2bl w:val="nil"/>
            </w:tcBorders>
            <w:shd w:val="clear" w:color="auto" w:fill="BDD6EE" w:themeFill="accent1" w:themeFillTint="66"/>
            <w:vAlign w:val="center"/>
          </w:tcPr>
          <w:p w14:paraId="335F9873">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二级指标</w:t>
            </w:r>
          </w:p>
        </w:tc>
        <w:tc>
          <w:tcPr>
            <w:tcW w:w="2217" w:type="dxa"/>
            <w:tcBorders>
              <w:tl2br w:val="nil"/>
              <w:tr2bl w:val="nil"/>
            </w:tcBorders>
            <w:shd w:val="clear" w:color="auto" w:fill="BDD6EE" w:themeFill="accent1" w:themeFillTint="66"/>
            <w:vAlign w:val="center"/>
          </w:tcPr>
          <w:p w14:paraId="400F9F0F">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831" w:type="dxa"/>
            <w:tcBorders>
              <w:tl2br w:val="nil"/>
              <w:tr2bl w:val="nil"/>
            </w:tcBorders>
            <w:shd w:val="clear" w:color="auto" w:fill="BDD6EE" w:themeFill="accent1" w:themeFillTint="66"/>
            <w:vAlign w:val="center"/>
          </w:tcPr>
          <w:p w14:paraId="75F1437E">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225" w:type="dxa"/>
            <w:tcBorders>
              <w:tl2br w:val="nil"/>
              <w:tr2bl w:val="nil"/>
            </w:tcBorders>
            <w:shd w:val="clear" w:color="auto" w:fill="BDD6EE" w:themeFill="accent1" w:themeFillTint="66"/>
            <w:vAlign w:val="center"/>
          </w:tcPr>
          <w:p w14:paraId="275356B8">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目标值</w:t>
            </w:r>
          </w:p>
        </w:tc>
        <w:tc>
          <w:tcPr>
            <w:tcW w:w="1204" w:type="dxa"/>
            <w:tcBorders>
              <w:tl2br w:val="nil"/>
              <w:tr2bl w:val="nil"/>
            </w:tcBorders>
            <w:shd w:val="clear" w:color="auto" w:fill="BDD6EE" w:themeFill="accent1" w:themeFillTint="66"/>
            <w:vAlign w:val="center"/>
          </w:tcPr>
          <w:p w14:paraId="5B3C6DD1">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业绩值</w:t>
            </w:r>
          </w:p>
        </w:tc>
        <w:tc>
          <w:tcPr>
            <w:tcW w:w="946" w:type="dxa"/>
            <w:tcBorders>
              <w:tl2br w:val="nil"/>
              <w:tr2bl w:val="nil"/>
            </w:tcBorders>
            <w:shd w:val="clear" w:color="auto" w:fill="BDD6EE" w:themeFill="accent1" w:themeFillTint="66"/>
            <w:vAlign w:val="center"/>
          </w:tcPr>
          <w:p w14:paraId="05F93B04">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1110" w:type="dxa"/>
            <w:tcBorders>
              <w:tl2br w:val="nil"/>
              <w:tr2bl w:val="nil"/>
            </w:tcBorders>
            <w:shd w:val="clear" w:color="auto" w:fill="BDD6EE" w:themeFill="accent1" w:themeFillTint="66"/>
            <w:vAlign w:val="center"/>
          </w:tcPr>
          <w:p w14:paraId="6F8D5E3C">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0DE4BB4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597" w:hRule="atLeast"/>
        </w:trPr>
        <w:tc>
          <w:tcPr>
            <w:tcW w:w="1114" w:type="dxa"/>
            <w:vMerge w:val="restart"/>
            <w:tcBorders>
              <w:tl2br w:val="nil"/>
              <w:tr2bl w:val="nil"/>
            </w:tcBorders>
            <w:vAlign w:val="center"/>
          </w:tcPr>
          <w:p w14:paraId="22FB00DE">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数量指标</w:t>
            </w:r>
          </w:p>
        </w:tc>
        <w:tc>
          <w:tcPr>
            <w:tcW w:w="2217" w:type="dxa"/>
            <w:tcBorders>
              <w:tl2br w:val="nil"/>
              <w:tr2bl w:val="nil"/>
            </w:tcBorders>
            <w:shd w:val="clear" w:color="auto" w:fill="auto"/>
            <w:vAlign w:val="center"/>
          </w:tcPr>
          <w:p w14:paraId="020BA772">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通用办公设备采购数量</w:t>
            </w:r>
          </w:p>
        </w:tc>
        <w:tc>
          <w:tcPr>
            <w:tcW w:w="831" w:type="dxa"/>
            <w:tcBorders>
              <w:tl2br w:val="nil"/>
              <w:tr2bl w:val="nil"/>
            </w:tcBorders>
            <w:shd w:val="clear" w:color="auto" w:fill="auto"/>
            <w:vAlign w:val="center"/>
          </w:tcPr>
          <w:p w14:paraId="31D62B89">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1225" w:type="dxa"/>
            <w:tcBorders>
              <w:tl2br w:val="nil"/>
              <w:tr2bl w:val="nil"/>
            </w:tcBorders>
            <w:shd w:val="clear" w:color="auto" w:fill="auto"/>
            <w:vAlign w:val="center"/>
          </w:tcPr>
          <w:p w14:paraId="7B227E1C">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 xml:space="preserve"> =680个</w:t>
            </w:r>
          </w:p>
        </w:tc>
        <w:tc>
          <w:tcPr>
            <w:tcW w:w="1204" w:type="dxa"/>
            <w:tcBorders>
              <w:tl2br w:val="nil"/>
              <w:tr2bl w:val="nil"/>
            </w:tcBorders>
            <w:shd w:val="clear" w:color="auto" w:fill="auto"/>
            <w:vAlign w:val="center"/>
          </w:tcPr>
          <w:p w14:paraId="43AB79B7">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376个</w:t>
            </w:r>
          </w:p>
        </w:tc>
        <w:tc>
          <w:tcPr>
            <w:tcW w:w="946" w:type="dxa"/>
            <w:tcBorders>
              <w:tl2br w:val="nil"/>
              <w:tr2bl w:val="nil"/>
            </w:tcBorders>
            <w:shd w:val="clear" w:color="auto" w:fill="auto"/>
            <w:vAlign w:val="center"/>
          </w:tcPr>
          <w:p w14:paraId="6FEEAAC8">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2.75</w:t>
            </w:r>
          </w:p>
        </w:tc>
        <w:tc>
          <w:tcPr>
            <w:tcW w:w="1110" w:type="dxa"/>
            <w:tcBorders>
              <w:tl2br w:val="nil"/>
              <w:tr2bl w:val="nil"/>
            </w:tcBorders>
            <w:shd w:val="clear" w:color="auto" w:fill="auto"/>
            <w:vAlign w:val="center"/>
          </w:tcPr>
          <w:p w14:paraId="607EC344">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55.00%</w:t>
            </w:r>
          </w:p>
        </w:tc>
      </w:tr>
      <w:tr w14:paraId="73A5C07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continue"/>
            <w:tcBorders>
              <w:tl2br w:val="nil"/>
              <w:tr2bl w:val="nil"/>
            </w:tcBorders>
            <w:vAlign w:val="center"/>
          </w:tcPr>
          <w:p w14:paraId="4F9266E4">
            <w:pPr>
              <w:jc w:val="center"/>
              <w:rPr>
                <w:rFonts w:hint="eastAsia" w:ascii="宋体" w:hAnsi="宋体" w:eastAsia="宋体" w:cs="宋体"/>
                <w:i w:val="0"/>
                <w:iCs w:val="0"/>
                <w:color w:val="auto"/>
                <w:kern w:val="0"/>
                <w:sz w:val="20"/>
                <w:szCs w:val="20"/>
                <w:highlight w:val="none"/>
                <w:u w:val="none"/>
                <w:lang w:val="en-US" w:eastAsia="zh-CN" w:bidi="ar"/>
              </w:rPr>
            </w:pPr>
          </w:p>
        </w:tc>
        <w:tc>
          <w:tcPr>
            <w:tcW w:w="2217" w:type="dxa"/>
            <w:tcBorders>
              <w:tl2br w:val="nil"/>
              <w:tr2bl w:val="nil"/>
            </w:tcBorders>
            <w:shd w:val="clear" w:color="auto" w:fill="auto"/>
            <w:vAlign w:val="center"/>
          </w:tcPr>
          <w:p w14:paraId="42966261">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专用办公设备采购数量</w:t>
            </w:r>
          </w:p>
        </w:tc>
        <w:tc>
          <w:tcPr>
            <w:tcW w:w="831" w:type="dxa"/>
            <w:tcBorders>
              <w:tl2br w:val="nil"/>
              <w:tr2bl w:val="nil"/>
            </w:tcBorders>
            <w:shd w:val="clear" w:color="auto" w:fill="auto"/>
            <w:vAlign w:val="center"/>
          </w:tcPr>
          <w:p w14:paraId="240EB757">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1225" w:type="dxa"/>
            <w:tcBorders>
              <w:tl2br w:val="nil"/>
              <w:tr2bl w:val="nil"/>
            </w:tcBorders>
            <w:shd w:val="clear" w:color="auto" w:fill="auto"/>
            <w:vAlign w:val="center"/>
          </w:tcPr>
          <w:p w14:paraId="284AD497">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 xml:space="preserve"> =58个</w:t>
            </w:r>
          </w:p>
        </w:tc>
        <w:tc>
          <w:tcPr>
            <w:tcW w:w="1204" w:type="dxa"/>
            <w:tcBorders>
              <w:tl2br w:val="nil"/>
              <w:tr2bl w:val="nil"/>
            </w:tcBorders>
            <w:shd w:val="clear" w:color="auto" w:fill="auto"/>
            <w:vAlign w:val="center"/>
          </w:tcPr>
          <w:p w14:paraId="5C32B469">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 xml:space="preserve"> 12个</w:t>
            </w:r>
          </w:p>
        </w:tc>
        <w:tc>
          <w:tcPr>
            <w:tcW w:w="946" w:type="dxa"/>
            <w:tcBorders>
              <w:tl2br w:val="nil"/>
              <w:tr2bl w:val="nil"/>
            </w:tcBorders>
            <w:shd w:val="clear" w:color="auto" w:fill="auto"/>
            <w:vAlign w:val="center"/>
          </w:tcPr>
          <w:p w14:paraId="1AB9F1C5">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1.03</w:t>
            </w:r>
          </w:p>
        </w:tc>
        <w:tc>
          <w:tcPr>
            <w:tcW w:w="1110" w:type="dxa"/>
            <w:tcBorders>
              <w:tl2br w:val="nil"/>
              <w:tr2bl w:val="nil"/>
            </w:tcBorders>
            <w:shd w:val="clear" w:color="auto" w:fill="auto"/>
            <w:vAlign w:val="center"/>
          </w:tcPr>
          <w:p w14:paraId="3BD4A81C">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20.60%</w:t>
            </w:r>
          </w:p>
        </w:tc>
      </w:tr>
      <w:tr w14:paraId="0094107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tcBorders>
              <w:tl2br w:val="nil"/>
              <w:tr2bl w:val="nil"/>
            </w:tcBorders>
            <w:vAlign w:val="center"/>
          </w:tcPr>
          <w:p w14:paraId="2D1C8653">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质量指标</w:t>
            </w:r>
          </w:p>
        </w:tc>
        <w:tc>
          <w:tcPr>
            <w:tcW w:w="2217" w:type="dxa"/>
            <w:tcBorders>
              <w:tl2br w:val="nil"/>
              <w:tr2bl w:val="nil"/>
            </w:tcBorders>
            <w:shd w:val="clear" w:color="auto" w:fill="auto"/>
            <w:vAlign w:val="center"/>
          </w:tcPr>
          <w:p w14:paraId="2FCD49F7">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设备购置验收合格率</w:t>
            </w:r>
          </w:p>
        </w:tc>
        <w:tc>
          <w:tcPr>
            <w:tcW w:w="831" w:type="dxa"/>
            <w:tcBorders>
              <w:tl2br w:val="nil"/>
              <w:tr2bl w:val="nil"/>
            </w:tcBorders>
            <w:shd w:val="clear" w:color="auto" w:fill="auto"/>
            <w:vAlign w:val="center"/>
          </w:tcPr>
          <w:p w14:paraId="4643D20B">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w:t>
            </w:r>
          </w:p>
        </w:tc>
        <w:tc>
          <w:tcPr>
            <w:tcW w:w="1225" w:type="dxa"/>
            <w:tcBorders>
              <w:tl2br w:val="nil"/>
              <w:tr2bl w:val="nil"/>
            </w:tcBorders>
            <w:shd w:val="clear" w:color="auto" w:fill="auto"/>
            <w:vAlign w:val="center"/>
          </w:tcPr>
          <w:p w14:paraId="2757AB55">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&gt;=98%</w:t>
            </w:r>
          </w:p>
        </w:tc>
        <w:tc>
          <w:tcPr>
            <w:tcW w:w="1204" w:type="dxa"/>
            <w:tcBorders>
              <w:tl2br w:val="nil"/>
              <w:tr2bl w:val="nil"/>
            </w:tcBorders>
            <w:shd w:val="clear" w:color="auto" w:fill="auto"/>
            <w:vAlign w:val="center"/>
          </w:tcPr>
          <w:p w14:paraId="2842E81F">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46" w:type="dxa"/>
            <w:tcBorders>
              <w:tl2br w:val="nil"/>
              <w:tr2bl w:val="nil"/>
            </w:tcBorders>
            <w:shd w:val="clear" w:color="auto" w:fill="auto"/>
            <w:vAlign w:val="center"/>
          </w:tcPr>
          <w:p w14:paraId="69230EAD">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w:t>
            </w:r>
          </w:p>
        </w:tc>
        <w:tc>
          <w:tcPr>
            <w:tcW w:w="1110" w:type="dxa"/>
            <w:tcBorders>
              <w:tl2br w:val="nil"/>
              <w:tr2bl w:val="nil"/>
            </w:tcBorders>
            <w:shd w:val="clear" w:color="auto" w:fill="auto"/>
            <w:vAlign w:val="center"/>
          </w:tcPr>
          <w:p w14:paraId="2727D9D8">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7C696B4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tcBorders>
              <w:tl2br w:val="nil"/>
              <w:tr2bl w:val="nil"/>
            </w:tcBorders>
            <w:vAlign w:val="center"/>
          </w:tcPr>
          <w:p w14:paraId="1D69ACEA">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时效指标</w:t>
            </w:r>
          </w:p>
        </w:tc>
        <w:tc>
          <w:tcPr>
            <w:tcW w:w="2217" w:type="dxa"/>
            <w:tcBorders>
              <w:tl2br w:val="nil"/>
              <w:tr2bl w:val="nil"/>
            </w:tcBorders>
            <w:shd w:val="clear" w:color="auto" w:fill="auto"/>
            <w:vAlign w:val="center"/>
          </w:tcPr>
          <w:p w14:paraId="60E56CBE">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 xml:space="preserve">设备采购及时性   </w:t>
            </w:r>
          </w:p>
        </w:tc>
        <w:tc>
          <w:tcPr>
            <w:tcW w:w="831" w:type="dxa"/>
            <w:tcBorders>
              <w:tl2br w:val="nil"/>
              <w:tr2bl w:val="nil"/>
            </w:tcBorders>
            <w:shd w:val="clear" w:color="auto" w:fill="auto"/>
            <w:vAlign w:val="center"/>
          </w:tcPr>
          <w:p w14:paraId="6F370D68">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w:t>
            </w:r>
          </w:p>
        </w:tc>
        <w:tc>
          <w:tcPr>
            <w:tcW w:w="1225" w:type="dxa"/>
            <w:tcBorders>
              <w:tl2br w:val="nil"/>
              <w:tr2bl w:val="nil"/>
            </w:tcBorders>
            <w:shd w:val="clear" w:color="auto" w:fill="auto"/>
            <w:vAlign w:val="center"/>
          </w:tcPr>
          <w:p w14:paraId="0867E8B4">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及时</w:t>
            </w:r>
          </w:p>
        </w:tc>
        <w:tc>
          <w:tcPr>
            <w:tcW w:w="1204" w:type="dxa"/>
            <w:tcBorders>
              <w:tl2br w:val="nil"/>
              <w:tr2bl w:val="nil"/>
            </w:tcBorders>
            <w:shd w:val="clear" w:color="auto" w:fill="auto"/>
            <w:vAlign w:val="center"/>
          </w:tcPr>
          <w:p w14:paraId="14CF9752">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及时</w:t>
            </w:r>
          </w:p>
        </w:tc>
        <w:tc>
          <w:tcPr>
            <w:tcW w:w="946" w:type="dxa"/>
            <w:tcBorders>
              <w:tl2br w:val="nil"/>
              <w:tr2bl w:val="nil"/>
            </w:tcBorders>
            <w:shd w:val="clear" w:color="auto" w:fill="auto"/>
            <w:vAlign w:val="center"/>
          </w:tcPr>
          <w:p w14:paraId="4C9DCA88">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w:t>
            </w:r>
          </w:p>
        </w:tc>
        <w:tc>
          <w:tcPr>
            <w:tcW w:w="1110" w:type="dxa"/>
            <w:tcBorders>
              <w:tl2br w:val="nil"/>
              <w:tr2bl w:val="nil"/>
            </w:tcBorders>
            <w:shd w:val="clear" w:color="auto" w:fill="auto"/>
            <w:vAlign w:val="center"/>
          </w:tcPr>
          <w:p w14:paraId="4FF86E63">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5785BCAB">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3331" w:type="dxa"/>
            <w:gridSpan w:val="2"/>
            <w:tcBorders>
              <w:tl2br w:val="nil"/>
              <w:tr2bl w:val="nil"/>
            </w:tcBorders>
            <w:shd w:val="clear" w:color="auto" w:fill="BDD6EE" w:themeFill="accent1" w:themeFillTint="66"/>
            <w:vAlign w:val="center"/>
          </w:tcPr>
          <w:p w14:paraId="15A65A71">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合计</w:t>
            </w:r>
          </w:p>
        </w:tc>
        <w:tc>
          <w:tcPr>
            <w:tcW w:w="831" w:type="dxa"/>
            <w:tcBorders>
              <w:tl2br w:val="nil"/>
              <w:tr2bl w:val="nil"/>
            </w:tcBorders>
            <w:shd w:val="clear" w:color="auto" w:fill="BDD6EE" w:themeFill="accent1" w:themeFillTint="66"/>
            <w:vAlign w:val="center"/>
          </w:tcPr>
          <w:p w14:paraId="3A9E487B">
            <w:pPr>
              <w:widowControl/>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30</w:t>
            </w:r>
          </w:p>
        </w:tc>
        <w:tc>
          <w:tcPr>
            <w:tcW w:w="1225" w:type="dxa"/>
            <w:tcBorders>
              <w:tl2br w:val="nil"/>
              <w:tr2bl w:val="nil"/>
            </w:tcBorders>
            <w:shd w:val="clear" w:color="auto" w:fill="BDD6EE" w:themeFill="accent1" w:themeFillTint="66"/>
            <w:vAlign w:val="center"/>
          </w:tcPr>
          <w:p w14:paraId="61F48405">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w:t>
            </w:r>
          </w:p>
        </w:tc>
        <w:tc>
          <w:tcPr>
            <w:tcW w:w="1204" w:type="dxa"/>
            <w:tcBorders>
              <w:tl2br w:val="nil"/>
              <w:tr2bl w:val="nil"/>
            </w:tcBorders>
            <w:shd w:val="clear" w:color="auto" w:fill="BDD6EE" w:themeFill="accent1" w:themeFillTint="66"/>
            <w:vAlign w:val="center"/>
          </w:tcPr>
          <w:p w14:paraId="780D8EDB">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w:t>
            </w:r>
          </w:p>
        </w:tc>
        <w:tc>
          <w:tcPr>
            <w:tcW w:w="946" w:type="dxa"/>
            <w:tcBorders>
              <w:tl2br w:val="nil"/>
              <w:tr2bl w:val="nil"/>
            </w:tcBorders>
            <w:shd w:val="clear" w:color="auto" w:fill="BDD6EE" w:themeFill="accent1" w:themeFillTint="66"/>
            <w:vAlign w:val="center"/>
          </w:tcPr>
          <w:p w14:paraId="13EC99D4">
            <w:pPr>
              <w:keepNext w:val="0"/>
              <w:keepLines w:val="0"/>
              <w:widowControl/>
              <w:suppressLineNumbers w:val="0"/>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auto"/>
                <w:kern w:val="0"/>
                <w:sz w:val="20"/>
                <w:szCs w:val="20"/>
                <w:highlight w:val="none"/>
                <w:u w:val="none"/>
                <w:lang w:val="en-US" w:eastAsia="zh-CN" w:bidi="ar"/>
              </w:rPr>
              <w:t>23.78</w:t>
            </w:r>
          </w:p>
        </w:tc>
        <w:tc>
          <w:tcPr>
            <w:tcW w:w="1110" w:type="dxa"/>
            <w:tcBorders>
              <w:tl2br w:val="nil"/>
              <w:tr2bl w:val="nil"/>
            </w:tcBorders>
            <w:shd w:val="clear" w:color="auto" w:fill="BDD6EE" w:themeFill="accent1" w:themeFillTint="66"/>
            <w:vAlign w:val="center"/>
          </w:tcPr>
          <w:p w14:paraId="4FAF5E74">
            <w:pPr>
              <w:keepNext w:val="0"/>
              <w:keepLines w:val="0"/>
              <w:widowControl/>
              <w:suppressLineNumbers w:val="0"/>
              <w:jc w:val="right"/>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000000"/>
                <w:kern w:val="0"/>
                <w:sz w:val="20"/>
                <w:szCs w:val="20"/>
                <w:u w:val="none"/>
                <w:lang w:val="en-US" w:eastAsia="zh-CN" w:bidi="ar"/>
              </w:rPr>
              <w:t>79.27%</w:t>
            </w:r>
          </w:p>
        </w:tc>
      </w:tr>
    </w:tbl>
    <w:p w14:paraId="777F28EC">
      <w:pPr>
        <w:pStyle w:val="26"/>
        <w:overflowPunct w:val="0"/>
        <w:spacing w:line="560" w:lineRule="exact"/>
        <w:ind w:firstLine="643"/>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val="en-US" w:eastAsia="zh-CN"/>
        </w:rPr>
        <w:t>1</w:t>
      </w:r>
      <w:r>
        <w:rPr>
          <w:rFonts w:hint="eastAsia" w:ascii="仿宋_GB2312" w:hAnsi="仿宋_GB2312" w:eastAsia="仿宋_GB2312" w:cs="仿宋_GB2312"/>
          <w:b/>
          <w:bCs/>
          <w:sz w:val="32"/>
          <w:szCs w:val="32"/>
          <w:highlight w:val="none"/>
        </w:rPr>
        <w:t>.数量指标</w:t>
      </w:r>
    </w:p>
    <w:p w14:paraId="02E31B4F">
      <w:pPr>
        <w:pStyle w:val="26"/>
        <w:overflowPunct w:val="0"/>
        <w:spacing w:line="560" w:lineRule="exact"/>
        <w:ind w:firstLine="640"/>
        <w:rPr>
          <w:rFonts w:hint="default" w:ascii="仿宋_GB2312" w:hAnsi="仿宋_GB2312" w:eastAsia="仿宋_GB2312" w:cs="仿宋_GB2312"/>
          <w:color w:val="000000" w:themeColor="text1"/>
          <w:sz w:val="32"/>
          <w:szCs w:val="32"/>
          <w:highlight w:val="none"/>
          <w:lang w:val="en-US"/>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通用办公设备采购数量：指标分值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2.75</w:t>
      </w:r>
      <w:r>
        <w:rPr>
          <w:rFonts w:hint="eastAsia" w:ascii="仿宋_GB2312" w:hAnsi="仿宋_GB2312" w:eastAsia="仿宋_GB2312" w:cs="仿宋_GB2312"/>
          <w:color w:val="000000" w:themeColor="text1"/>
          <w:sz w:val="32"/>
          <w:szCs w:val="32"/>
          <w:highlight w:val="none"/>
          <w14:textFill>
            <w14:solidFill>
              <w14:schemeClr w14:val="tx1"/>
            </w14:solidFill>
          </w14:textFill>
        </w:rPr>
        <w:t>分。年度目标值&gt;=680个，本年实际采购</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计算机、打印机、办公家具等</w:t>
      </w:r>
      <w:r>
        <w:rPr>
          <w:rFonts w:hint="eastAsia" w:ascii="仿宋_GB2312" w:hAnsi="仿宋_GB2312" w:eastAsia="仿宋_GB2312" w:cs="仿宋_GB2312"/>
          <w:color w:val="000000" w:themeColor="text1"/>
          <w:sz w:val="32"/>
          <w:szCs w:val="32"/>
          <w:highlight w:val="none"/>
          <w14:textFill>
            <w14:solidFill>
              <w14:schemeClr w14:val="tx1"/>
            </w14:solidFill>
          </w14:textFill>
        </w:rPr>
        <w:t>办公设备376个</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未完成年度目标</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扣2.25分。</w:t>
      </w:r>
    </w:p>
    <w:p w14:paraId="2FEFAE41">
      <w:pPr>
        <w:pStyle w:val="26"/>
        <w:overflowPunct w:val="0"/>
        <w:spacing w:line="560" w:lineRule="exact"/>
        <w:ind w:firstLine="640"/>
        <w:rPr>
          <w:rFonts w:hint="default" w:ascii="仿宋_GB2312" w:hAnsi="仿宋_GB2312" w:eastAsia="仿宋_GB2312" w:cs="仿宋_GB2312"/>
          <w:color w:val="000000" w:themeColor="text1"/>
          <w:sz w:val="32"/>
          <w:szCs w:val="32"/>
          <w:highlight w:val="none"/>
          <w:lang w:val="en-US"/>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专用办公设备采购数量：指标分值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1.03</w:t>
      </w:r>
      <w:r>
        <w:rPr>
          <w:rFonts w:hint="eastAsia" w:ascii="仿宋_GB2312" w:hAnsi="仿宋_GB2312" w:eastAsia="仿宋_GB2312" w:cs="仿宋_GB2312"/>
          <w:color w:val="000000" w:themeColor="text1"/>
          <w:sz w:val="32"/>
          <w:szCs w:val="32"/>
          <w:highlight w:val="none"/>
          <w14:textFill>
            <w14:solidFill>
              <w14:schemeClr w14:val="tx1"/>
            </w14:solidFill>
          </w14:textFill>
        </w:rPr>
        <w:t>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年度目标值&gt;=58个，本年实际采购安检门及入口闸机等专用设备12个，未完成年度目标，扣3.97分。</w:t>
      </w:r>
    </w:p>
    <w:p w14:paraId="5DBE308F">
      <w:pPr>
        <w:pStyle w:val="26"/>
        <w:overflowPunct w:val="0"/>
        <w:spacing w:line="560" w:lineRule="exact"/>
        <w:ind w:firstLine="643"/>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val="en-US" w:eastAsia="zh-CN"/>
        </w:rPr>
        <w:t>2</w:t>
      </w:r>
      <w:r>
        <w:rPr>
          <w:rFonts w:hint="eastAsia" w:ascii="仿宋_GB2312" w:hAnsi="仿宋_GB2312" w:eastAsia="仿宋_GB2312" w:cs="仿宋_GB2312"/>
          <w:b/>
          <w:bCs/>
          <w:sz w:val="32"/>
          <w:szCs w:val="32"/>
          <w:highlight w:val="none"/>
        </w:rPr>
        <w:t>.质量指标</w:t>
      </w:r>
    </w:p>
    <w:p w14:paraId="4150B840">
      <w:pPr>
        <w:overflowPunct w:val="0"/>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bookmarkStart w:id="143" w:name="_Toc7509"/>
      <w:bookmarkStart w:id="144" w:name="_Toc27458"/>
      <w:r>
        <w:rPr>
          <w:rFonts w:hint="eastAsia" w:ascii="仿宋_GB2312" w:hAnsi="仿宋_GB2312" w:eastAsia="仿宋_GB2312" w:cs="仿宋_GB2312"/>
          <w:color w:val="000000" w:themeColor="text1"/>
          <w:sz w:val="32"/>
          <w:szCs w:val="32"/>
          <w:highlight w:val="none"/>
          <w14:textFill>
            <w14:solidFill>
              <w14:schemeClr w14:val="tx1"/>
            </w14:solidFill>
          </w14:textFill>
        </w:rPr>
        <w:t>设备购置验收合格率：指标分值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highlight w:val="none"/>
          <w14:textFill>
            <w14:solidFill>
              <w14:schemeClr w14:val="tx1"/>
            </w14:solidFill>
          </w14:textFill>
        </w:rPr>
        <w:t>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甘肃省高级人民法院成立装备资产配置审核采购工作小组，审核小组设置在行装处，本年度购置的各类资产供应商按合同约定交货，审核采购小组对采购的所有设备组织正式验收，形成验收报告，涉及高技术、高性能、价值高的装备资产，聘请第三方协同验收，确保装备资产质量，本年度购置设备388个，全部验收合格。</w:t>
      </w:r>
    </w:p>
    <w:bookmarkEnd w:id="143"/>
    <w:bookmarkEnd w:id="144"/>
    <w:p w14:paraId="006DB510">
      <w:pPr>
        <w:pStyle w:val="26"/>
        <w:overflowPunct w:val="0"/>
        <w:spacing w:line="560" w:lineRule="exact"/>
        <w:ind w:firstLine="643"/>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val="en-US" w:eastAsia="zh-CN"/>
        </w:rPr>
        <w:t>3</w:t>
      </w:r>
      <w:r>
        <w:rPr>
          <w:rFonts w:hint="eastAsia" w:ascii="仿宋_GB2312" w:hAnsi="仿宋_GB2312" w:eastAsia="仿宋_GB2312" w:cs="仿宋_GB2312"/>
          <w:b/>
          <w:bCs/>
          <w:sz w:val="32"/>
          <w:szCs w:val="32"/>
          <w:highlight w:val="none"/>
        </w:rPr>
        <w:t>.时效指标</w:t>
      </w:r>
    </w:p>
    <w:p w14:paraId="25F47A76">
      <w:pPr>
        <w:pStyle w:val="26"/>
        <w:overflowPunct w:val="0"/>
        <w:spacing w:line="560" w:lineRule="exact"/>
        <w:ind w:firstLine="64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设备采购及时性：指标分值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highlight w:val="none"/>
          <w14:textFill>
            <w14:solidFill>
              <w14:schemeClr w14:val="tx1"/>
            </w14:solidFill>
          </w14:textFill>
        </w:rPr>
        <w:t>分。经核查各类合同文件、验收单、支付凭证等资料显示，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办公日常所需要的专用设备</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通用设备、财务</w:t>
      </w:r>
      <w:r>
        <w:rPr>
          <w:rFonts w:hint="eastAsia" w:ascii="仿宋_GB2312" w:hAnsi="仿宋_GB2312" w:eastAsia="仿宋_GB2312" w:cs="仿宋_GB2312"/>
          <w:color w:val="000000" w:themeColor="text1"/>
          <w:sz w:val="32"/>
          <w:szCs w:val="32"/>
          <w:highlight w:val="none"/>
          <w14:textFill>
            <w14:solidFill>
              <w14:schemeClr w14:val="tx1"/>
            </w14:solidFill>
          </w14:textFill>
        </w:rPr>
        <w:t>管理平台系统基础软件、</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办公软件系统</w:t>
      </w:r>
      <w:r>
        <w:rPr>
          <w:rFonts w:hint="eastAsia" w:ascii="仿宋_GB2312" w:hAnsi="仿宋_GB2312" w:eastAsia="仿宋_GB2312" w:cs="仿宋_GB2312"/>
          <w:color w:val="000000" w:themeColor="text1"/>
          <w:sz w:val="32"/>
          <w:szCs w:val="32"/>
          <w:highlight w:val="none"/>
          <w14:textFill>
            <w14:solidFill>
              <w14:schemeClr w14:val="tx1"/>
            </w14:solidFill>
          </w14:textFill>
        </w:rPr>
        <w:t>均在计划时限内完成</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购置，保障了法院各项工作的正常开展</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54A59569">
      <w:pPr>
        <w:pStyle w:val="9"/>
        <w:overflowPunct w:val="0"/>
        <w:spacing w:line="560" w:lineRule="exact"/>
        <w:ind w:firstLine="643" w:firstLineChars="200"/>
        <w:outlineLvl w:val="1"/>
        <w:rPr>
          <w:rFonts w:ascii="楷体" w:hAnsi="楷体" w:eastAsia="楷体" w:cs="楷体"/>
          <w:b/>
          <w:bCs/>
          <w:highlight w:val="none"/>
        </w:rPr>
      </w:pPr>
      <w:bookmarkStart w:id="145" w:name="_Toc4300"/>
      <w:bookmarkStart w:id="146" w:name="_Toc4582"/>
      <w:bookmarkStart w:id="147" w:name="_Toc19675"/>
      <w:r>
        <w:rPr>
          <w:rFonts w:hint="eastAsia" w:ascii="楷体" w:hAnsi="楷体" w:eastAsia="楷体" w:cs="楷体"/>
          <w:b/>
          <w:bCs/>
          <w:highlight w:val="none"/>
        </w:rPr>
        <w:t>（</w:t>
      </w:r>
      <w:r>
        <w:rPr>
          <w:rFonts w:hint="eastAsia" w:ascii="楷体" w:hAnsi="楷体" w:eastAsia="楷体" w:cs="楷体"/>
          <w:b/>
          <w:bCs/>
          <w:highlight w:val="none"/>
          <w:lang w:val="en-US" w:eastAsia="zh-CN"/>
        </w:rPr>
        <w:t>五</w:t>
      </w:r>
      <w:r>
        <w:rPr>
          <w:rFonts w:hint="eastAsia" w:ascii="楷体" w:hAnsi="楷体" w:eastAsia="楷体" w:cs="楷体"/>
          <w:b/>
          <w:bCs/>
          <w:highlight w:val="none"/>
        </w:rPr>
        <w:t>）项目效益情况</w:t>
      </w:r>
      <w:bookmarkEnd w:id="145"/>
      <w:bookmarkEnd w:id="146"/>
      <w:bookmarkEnd w:id="147"/>
    </w:p>
    <w:p w14:paraId="468895D2">
      <w:pPr>
        <w:pStyle w:val="9"/>
        <w:tabs>
          <w:tab w:val="left" w:pos="0"/>
        </w:tabs>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项目效益指标包括社会效益指标、服务对象满意度</w:t>
      </w:r>
      <w:r>
        <w:rPr>
          <w:rFonts w:hint="eastAsia" w:ascii="仿宋_GB2312" w:hAnsi="仿宋_GB2312" w:cs="仿宋_GB2312"/>
          <w:highlight w:val="none"/>
          <w:lang w:val="en-US" w:eastAsia="zh-CN"/>
        </w:rPr>
        <w:t>两</w:t>
      </w:r>
      <w:r>
        <w:rPr>
          <w:rFonts w:hint="eastAsia" w:ascii="仿宋_GB2312" w:hAnsi="仿宋_GB2312" w:cs="仿宋_GB2312"/>
          <w:highlight w:val="none"/>
        </w:rPr>
        <w:t>个二级指标，下设</w:t>
      </w:r>
      <w:r>
        <w:rPr>
          <w:rFonts w:hint="eastAsia" w:ascii="仿宋_GB2312" w:hAnsi="仿宋_GB2312" w:cs="仿宋_GB2312"/>
          <w:highlight w:val="none"/>
          <w:lang w:val="en-US" w:eastAsia="zh-CN"/>
        </w:rPr>
        <w:t>两</w:t>
      </w:r>
      <w:r>
        <w:rPr>
          <w:rFonts w:hint="eastAsia" w:ascii="仿宋_GB2312" w:hAnsi="仿宋_GB2312" w:cs="仿宋_GB2312"/>
          <w:highlight w:val="none"/>
        </w:rPr>
        <w:t>个三级指标，指标分值</w:t>
      </w:r>
      <w:r>
        <w:rPr>
          <w:rFonts w:hint="eastAsia" w:ascii="仿宋_GB2312" w:hAnsi="仿宋_GB2312" w:cs="仿宋_GB2312"/>
          <w:highlight w:val="none"/>
          <w:lang w:val="en-US" w:eastAsia="zh-CN"/>
        </w:rPr>
        <w:t>20</w:t>
      </w:r>
      <w:r>
        <w:rPr>
          <w:rFonts w:hint="eastAsia" w:ascii="仿宋_GB2312" w:hAnsi="仿宋_GB2312" w:cs="仿宋_GB2312"/>
          <w:highlight w:val="none"/>
        </w:rPr>
        <w:t>分，评价得分</w:t>
      </w:r>
      <w:r>
        <w:rPr>
          <w:rFonts w:hint="eastAsia" w:ascii="仿宋_GB2312" w:hAnsi="仿宋_GB2312" w:cs="仿宋_GB2312"/>
          <w:highlight w:val="none"/>
          <w:lang w:val="en-US" w:eastAsia="zh-CN"/>
        </w:rPr>
        <w:t>20</w:t>
      </w:r>
      <w:r>
        <w:rPr>
          <w:rFonts w:hint="eastAsia" w:ascii="仿宋_GB2312" w:hAnsi="仿宋_GB2312" w:cs="仿宋_GB2312"/>
          <w:highlight w:val="none"/>
        </w:rPr>
        <w:t>分，得分率</w:t>
      </w:r>
      <w:r>
        <w:rPr>
          <w:rFonts w:hint="eastAsia" w:ascii="仿宋_GB2312" w:hAnsi="仿宋_GB2312" w:cs="仿宋_GB2312"/>
          <w:highlight w:val="none"/>
          <w:lang w:val="en-US" w:eastAsia="zh-CN"/>
        </w:rPr>
        <w:t>100.00</w:t>
      </w:r>
      <w:r>
        <w:rPr>
          <w:rFonts w:hint="eastAsia" w:ascii="仿宋_GB2312" w:hAnsi="仿宋_GB2312" w:cs="仿宋_GB2312"/>
          <w:highlight w:val="none"/>
        </w:rPr>
        <w:t>%。</w:t>
      </w:r>
    </w:p>
    <w:tbl>
      <w:tblPr>
        <w:tblStyle w:val="20"/>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1421"/>
        <w:gridCol w:w="1961"/>
        <w:gridCol w:w="868"/>
        <w:gridCol w:w="1236"/>
        <w:gridCol w:w="1255"/>
        <w:gridCol w:w="742"/>
        <w:gridCol w:w="987"/>
      </w:tblGrid>
      <w:tr w14:paraId="0B5C643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blHeader/>
        </w:trPr>
        <w:tc>
          <w:tcPr>
            <w:tcW w:w="1421" w:type="dxa"/>
            <w:tcBorders>
              <w:tl2br w:val="nil"/>
              <w:tr2bl w:val="nil"/>
            </w:tcBorders>
            <w:shd w:val="clear" w:color="auto" w:fill="BDD6EE" w:themeFill="accent1" w:themeFillTint="66"/>
            <w:vAlign w:val="center"/>
          </w:tcPr>
          <w:p w14:paraId="03D35249">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二级指标</w:t>
            </w:r>
          </w:p>
        </w:tc>
        <w:tc>
          <w:tcPr>
            <w:tcW w:w="1961" w:type="dxa"/>
            <w:tcBorders>
              <w:tl2br w:val="nil"/>
              <w:tr2bl w:val="nil"/>
            </w:tcBorders>
            <w:shd w:val="clear" w:color="auto" w:fill="BDD6EE" w:themeFill="accent1" w:themeFillTint="66"/>
            <w:vAlign w:val="center"/>
          </w:tcPr>
          <w:p w14:paraId="01E60D66">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868" w:type="dxa"/>
            <w:tcBorders>
              <w:tl2br w:val="nil"/>
              <w:tr2bl w:val="nil"/>
            </w:tcBorders>
            <w:shd w:val="clear" w:color="auto" w:fill="BDD6EE" w:themeFill="accent1" w:themeFillTint="66"/>
            <w:vAlign w:val="center"/>
          </w:tcPr>
          <w:p w14:paraId="26A1E72B">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236" w:type="dxa"/>
            <w:tcBorders>
              <w:tl2br w:val="nil"/>
              <w:tr2bl w:val="nil"/>
            </w:tcBorders>
            <w:shd w:val="clear" w:color="auto" w:fill="BDD6EE" w:themeFill="accent1" w:themeFillTint="66"/>
            <w:vAlign w:val="center"/>
          </w:tcPr>
          <w:p w14:paraId="59FBC06F">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目标值</w:t>
            </w:r>
          </w:p>
        </w:tc>
        <w:tc>
          <w:tcPr>
            <w:tcW w:w="1255" w:type="dxa"/>
            <w:tcBorders>
              <w:tl2br w:val="nil"/>
              <w:tr2bl w:val="nil"/>
            </w:tcBorders>
            <w:shd w:val="clear" w:color="auto" w:fill="BDD6EE" w:themeFill="accent1" w:themeFillTint="66"/>
            <w:vAlign w:val="center"/>
          </w:tcPr>
          <w:p w14:paraId="38891615">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业绩值</w:t>
            </w:r>
          </w:p>
        </w:tc>
        <w:tc>
          <w:tcPr>
            <w:tcW w:w="742" w:type="dxa"/>
            <w:tcBorders>
              <w:tl2br w:val="nil"/>
              <w:tr2bl w:val="nil"/>
            </w:tcBorders>
            <w:shd w:val="clear" w:color="auto" w:fill="BDD6EE" w:themeFill="accent1" w:themeFillTint="66"/>
            <w:vAlign w:val="center"/>
          </w:tcPr>
          <w:p w14:paraId="5A8B2767">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987" w:type="dxa"/>
            <w:tcBorders>
              <w:tl2br w:val="nil"/>
              <w:tr2bl w:val="nil"/>
            </w:tcBorders>
            <w:shd w:val="clear" w:color="auto" w:fill="BDD6EE" w:themeFill="accent1" w:themeFillTint="66"/>
            <w:vAlign w:val="center"/>
          </w:tcPr>
          <w:p w14:paraId="7CE6D9B1">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6C2D871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421" w:type="dxa"/>
            <w:tcBorders>
              <w:tl2br w:val="nil"/>
              <w:tr2bl w:val="nil"/>
            </w:tcBorders>
            <w:vAlign w:val="center"/>
          </w:tcPr>
          <w:p w14:paraId="3B14206C">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 xml:space="preserve">社会效益指标      </w:t>
            </w:r>
          </w:p>
        </w:tc>
        <w:tc>
          <w:tcPr>
            <w:tcW w:w="1961" w:type="dxa"/>
            <w:tcBorders>
              <w:tl2br w:val="nil"/>
              <w:tr2bl w:val="nil"/>
            </w:tcBorders>
            <w:shd w:val="clear" w:color="auto" w:fill="auto"/>
            <w:vAlign w:val="center"/>
          </w:tcPr>
          <w:p w14:paraId="7F46CC28">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保障人民法院日常办公需求有效性</w:t>
            </w:r>
          </w:p>
        </w:tc>
        <w:tc>
          <w:tcPr>
            <w:tcW w:w="868" w:type="dxa"/>
            <w:tcBorders>
              <w:tl2br w:val="nil"/>
              <w:tr2bl w:val="nil"/>
            </w:tcBorders>
            <w:shd w:val="clear" w:color="auto" w:fill="auto"/>
            <w:vAlign w:val="center"/>
          </w:tcPr>
          <w:p w14:paraId="50DE61F2">
            <w:pPr>
              <w:widowControl/>
              <w:jc w:val="center"/>
              <w:textAlignment w:val="center"/>
              <w:rPr>
                <w:rFonts w:hint="default" w:ascii="宋体" w:hAnsi="宋体" w:eastAsia="宋体" w:cs="宋体"/>
                <w:color w:val="auto"/>
                <w:kern w:val="0"/>
                <w:sz w:val="20"/>
                <w:szCs w:val="20"/>
                <w:highlight w:val="none"/>
                <w:lang w:val="en-US" w:eastAsia="zh-CN" w:bidi="ar"/>
              </w:rPr>
            </w:pPr>
            <w:r>
              <w:rPr>
                <w:rFonts w:hint="eastAsia" w:ascii="宋体" w:hAnsi="宋体" w:eastAsia="宋体" w:cs="宋体"/>
                <w:color w:val="auto"/>
                <w:kern w:val="0"/>
                <w:sz w:val="20"/>
                <w:szCs w:val="20"/>
                <w:highlight w:val="none"/>
                <w:lang w:val="en-US" w:eastAsia="zh-CN" w:bidi="ar"/>
              </w:rPr>
              <w:t>10</w:t>
            </w:r>
          </w:p>
        </w:tc>
        <w:tc>
          <w:tcPr>
            <w:tcW w:w="1236" w:type="dxa"/>
            <w:tcBorders>
              <w:tl2br w:val="nil"/>
              <w:tr2bl w:val="nil"/>
            </w:tcBorders>
            <w:shd w:val="clear" w:color="auto" w:fill="auto"/>
            <w:vAlign w:val="center"/>
          </w:tcPr>
          <w:p w14:paraId="697FF416">
            <w:pPr>
              <w:keepNext w:val="0"/>
              <w:keepLines w:val="0"/>
              <w:widowControl/>
              <w:suppressLineNumbers w:val="0"/>
              <w:jc w:val="center"/>
              <w:textAlignment w:val="center"/>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有效</w:t>
            </w:r>
          </w:p>
        </w:tc>
        <w:tc>
          <w:tcPr>
            <w:tcW w:w="1255" w:type="dxa"/>
            <w:tcBorders>
              <w:tl2br w:val="nil"/>
              <w:tr2bl w:val="nil"/>
            </w:tcBorders>
            <w:shd w:val="clear" w:color="auto" w:fill="auto"/>
            <w:vAlign w:val="center"/>
          </w:tcPr>
          <w:p w14:paraId="478AE7D6">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100%</w:t>
            </w:r>
          </w:p>
        </w:tc>
        <w:tc>
          <w:tcPr>
            <w:tcW w:w="742" w:type="dxa"/>
            <w:tcBorders>
              <w:tl2br w:val="nil"/>
              <w:tr2bl w:val="nil"/>
            </w:tcBorders>
            <w:shd w:val="clear" w:color="auto" w:fill="auto"/>
            <w:vAlign w:val="center"/>
          </w:tcPr>
          <w:p w14:paraId="3527CD4E">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w:t>
            </w:r>
          </w:p>
        </w:tc>
        <w:tc>
          <w:tcPr>
            <w:tcW w:w="987" w:type="dxa"/>
            <w:tcBorders>
              <w:tl2br w:val="nil"/>
              <w:tr2bl w:val="nil"/>
            </w:tcBorders>
            <w:shd w:val="clear" w:color="auto" w:fill="auto"/>
            <w:vAlign w:val="center"/>
          </w:tcPr>
          <w:p w14:paraId="43596BAB">
            <w:pPr>
              <w:widowControl/>
              <w:jc w:val="righ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val="en-US" w:eastAsia="zh-CN" w:bidi="ar"/>
              </w:rPr>
              <w:t>10</w:t>
            </w:r>
            <w:r>
              <w:rPr>
                <w:rFonts w:hint="eastAsia" w:ascii="宋体" w:hAnsi="宋体" w:eastAsia="宋体" w:cs="宋体"/>
                <w:color w:val="auto"/>
                <w:kern w:val="0"/>
                <w:sz w:val="20"/>
                <w:szCs w:val="20"/>
                <w:highlight w:val="none"/>
                <w:lang w:bidi="ar"/>
              </w:rPr>
              <w:t>0.00%</w:t>
            </w:r>
          </w:p>
        </w:tc>
      </w:tr>
      <w:tr w14:paraId="44804CA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421" w:type="dxa"/>
            <w:tcBorders>
              <w:tl2br w:val="nil"/>
              <w:tr2bl w:val="nil"/>
            </w:tcBorders>
            <w:vAlign w:val="center"/>
          </w:tcPr>
          <w:p w14:paraId="5F6B8F17">
            <w:pPr>
              <w:keepNext w:val="0"/>
              <w:keepLines w:val="0"/>
              <w:widowControl/>
              <w:suppressLineNumbers w:val="0"/>
              <w:jc w:val="center"/>
              <w:textAlignment w:val="center"/>
              <w:rPr>
                <w:rFonts w:hint="default"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服务对象满意度</w:t>
            </w:r>
          </w:p>
        </w:tc>
        <w:tc>
          <w:tcPr>
            <w:tcW w:w="1961" w:type="dxa"/>
            <w:tcBorders>
              <w:tl2br w:val="nil"/>
              <w:tr2bl w:val="nil"/>
            </w:tcBorders>
            <w:shd w:val="clear" w:color="auto" w:fill="auto"/>
            <w:vAlign w:val="center"/>
          </w:tcPr>
          <w:p w14:paraId="1CAEDF90">
            <w:pPr>
              <w:keepNext w:val="0"/>
              <w:keepLines w:val="0"/>
              <w:widowControl/>
              <w:suppressLineNumbers w:val="0"/>
              <w:jc w:val="center"/>
              <w:textAlignment w:val="center"/>
              <w:rPr>
                <w:rFonts w:hint="default" w:ascii="宋体" w:hAnsi="宋体" w:eastAsia="宋体" w:cs="宋体"/>
                <w:color w:val="auto"/>
                <w:sz w:val="20"/>
                <w:szCs w:val="20"/>
                <w:highlight w:val="none"/>
                <w:lang w:val="en-US"/>
              </w:rPr>
            </w:pPr>
            <w:r>
              <w:rPr>
                <w:rFonts w:hint="eastAsia" w:ascii="宋体" w:hAnsi="宋体" w:eastAsia="宋体" w:cs="宋体"/>
                <w:i w:val="0"/>
                <w:iCs w:val="0"/>
                <w:color w:val="auto"/>
                <w:kern w:val="0"/>
                <w:sz w:val="20"/>
                <w:szCs w:val="20"/>
                <w:highlight w:val="none"/>
                <w:u w:val="none"/>
                <w:lang w:val="en-US" w:eastAsia="zh-CN" w:bidi="ar"/>
              </w:rPr>
              <w:t>工作人员满意度</w:t>
            </w:r>
          </w:p>
        </w:tc>
        <w:tc>
          <w:tcPr>
            <w:tcW w:w="868" w:type="dxa"/>
            <w:tcBorders>
              <w:tl2br w:val="nil"/>
              <w:tr2bl w:val="nil"/>
            </w:tcBorders>
            <w:shd w:val="clear" w:color="auto" w:fill="auto"/>
            <w:vAlign w:val="center"/>
          </w:tcPr>
          <w:p w14:paraId="1A28C388">
            <w:pPr>
              <w:widowControl/>
              <w:jc w:val="center"/>
              <w:textAlignment w:val="center"/>
              <w:rPr>
                <w:rFonts w:hint="default" w:ascii="宋体" w:hAnsi="宋体" w:eastAsia="宋体" w:cs="宋体"/>
                <w:color w:val="auto"/>
                <w:kern w:val="0"/>
                <w:sz w:val="20"/>
                <w:szCs w:val="20"/>
                <w:highlight w:val="none"/>
                <w:lang w:val="en-US" w:eastAsia="zh-CN" w:bidi="ar"/>
              </w:rPr>
            </w:pPr>
            <w:r>
              <w:rPr>
                <w:rFonts w:hint="eastAsia" w:ascii="宋体" w:hAnsi="宋体" w:eastAsia="宋体" w:cs="宋体"/>
                <w:color w:val="auto"/>
                <w:kern w:val="0"/>
                <w:sz w:val="20"/>
                <w:szCs w:val="20"/>
                <w:highlight w:val="none"/>
                <w:lang w:val="en-US" w:eastAsia="zh-CN" w:bidi="ar"/>
              </w:rPr>
              <w:t>10</w:t>
            </w:r>
          </w:p>
        </w:tc>
        <w:tc>
          <w:tcPr>
            <w:tcW w:w="1236" w:type="dxa"/>
            <w:tcBorders>
              <w:tl2br w:val="nil"/>
              <w:tr2bl w:val="nil"/>
            </w:tcBorders>
            <w:shd w:val="clear" w:color="auto" w:fill="auto"/>
            <w:vAlign w:val="center"/>
          </w:tcPr>
          <w:p w14:paraId="7750CF71">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≥90%</w:t>
            </w:r>
          </w:p>
        </w:tc>
        <w:tc>
          <w:tcPr>
            <w:tcW w:w="1255" w:type="dxa"/>
            <w:tcBorders>
              <w:tl2br w:val="nil"/>
              <w:tr2bl w:val="nil"/>
            </w:tcBorders>
            <w:shd w:val="clear" w:color="auto" w:fill="auto"/>
            <w:vAlign w:val="center"/>
          </w:tcPr>
          <w:p w14:paraId="0EFDF58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98.21%</w:t>
            </w:r>
          </w:p>
        </w:tc>
        <w:tc>
          <w:tcPr>
            <w:tcW w:w="742" w:type="dxa"/>
            <w:tcBorders>
              <w:tl2br w:val="nil"/>
              <w:tr2bl w:val="nil"/>
            </w:tcBorders>
            <w:shd w:val="clear" w:color="auto" w:fill="auto"/>
            <w:vAlign w:val="center"/>
          </w:tcPr>
          <w:p w14:paraId="25381DA6">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bidi="ar"/>
              </w:rPr>
            </w:pPr>
            <w:r>
              <w:rPr>
                <w:rFonts w:hint="eastAsia" w:ascii="宋体" w:hAnsi="宋体" w:eastAsia="宋体" w:cs="宋体"/>
                <w:i w:val="0"/>
                <w:iCs w:val="0"/>
                <w:color w:val="auto"/>
                <w:kern w:val="0"/>
                <w:sz w:val="20"/>
                <w:szCs w:val="20"/>
                <w:highlight w:val="none"/>
                <w:u w:val="none"/>
                <w:lang w:val="en-US" w:eastAsia="zh-CN" w:bidi="ar"/>
              </w:rPr>
              <w:t>10</w:t>
            </w:r>
          </w:p>
        </w:tc>
        <w:tc>
          <w:tcPr>
            <w:tcW w:w="987" w:type="dxa"/>
            <w:tcBorders>
              <w:tl2br w:val="nil"/>
              <w:tr2bl w:val="nil"/>
            </w:tcBorders>
            <w:shd w:val="clear" w:color="auto" w:fill="auto"/>
            <w:vAlign w:val="center"/>
          </w:tcPr>
          <w:p w14:paraId="1CD7D567">
            <w:pPr>
              <w:widowControl/>
              <w:jc w:val="righ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100.00%</w:t>
            </w:r>
          </w:p>
        </w:tc>
      </w:tr>
      <w:tr w14:paraId="54432D4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3382" w:type="dxa"/>
            <w:gridSpan w:val="2"/>
            <w:tcBorders>
              <w:tl2br w:val="nil"/>
              <w:tr2bl w:val="nil"/>
            </w:tcBorders>
            <w:shd w:val="clear" w:color="auto" w:fill="BDD6EE" w:themeFill="accent1" w:themeFillTint="66"/>
            <w:vAlign w:val="center"/>
          </w:tcPr>
          <w:p w14:paraId="3804774E">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合计</w:t>
            </w:r>
          </w:p>
        </w:tc>
        <w:tc>
          <w:tcPr>
            <w:tcW w:w="868" w:type="dxa"/>
            <w:tcBorders>
              <w:tl2br w:val="nil"/>
              <w:tr2bl w:val="nil"/>
            </w:tcBorders>
            <w:shd w:val="clear" w:color="auto" w:fill="BDD6EE" w:themeFill="accent1" w:themeFillTint="66"/>
            <w:vAlign w:val="center"/>
          </w:tcPr>
          <w:p w14:paraId="30D3C2D5">
            <w:pPr>
              <w:widowControl/>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20</w:t>
            </w:r>
          </w:p>
        </w:tc>
        <w:tc>
          <w:tcPr>
            <w:tcW w:w="1236" w:type="dxa"/>
            <w:tcBorders>
              <w:tl2br w:val="nil"/>
              <w:tr2bl w:val="nil"/>
            </w:tcBorders>
            <w:shd w:val="clear" w:color="auto" w:fill="BDD6EE" w:themeFill="accent1" w:themeFillTint="66"/>
            <w:vAlign w:val="center"/>
          </w:tcPr>
          <w:p w14:paraId="75798EA8">
            <w:pPr>
              <w:widowControl/>
              <w:jc w:val="center"/>
              <w:textAlignment w:val="center"/>
              <w:rPr>
                <w:rFonts w:hint="eastAsia" w:ascii="宋体" w:hAnsi="宋体" w:eastAsia="宋体" w:cs="宋体"/>
                <w:b w:val="0"/>
                <w:bCs w:val="0"/>
                <w:color w:val="auto"/>
                <w:kern w:val="0"/>
                <w:sz w:val="20"/>
                <w:szCs w:val="20"/>
                <w:highlight w:val="none"/>
                <w:lang w:bidi="ar"/>
              </w:rPr>
            </w:pPr>
            <w:r>
              <w:rPr>
                <w:rFonts w:hint="eastAsia" w:ascii="宋体" w:hAnsi="宋体" w:eastAsia="宋体" w:cs="宋体"/>
                <w:b w:val="0"/>
                <w:bCs w:val="0"/>
                <w:color w:val="auto"/>
                <w:kern w:val="0"/>
                <w:sz w:val="20"/>
                <w:szCs w:val="20"/>
                <w:highlight w:val="none"/>
                <w:lang w:bidi="ar"/>
              </w:rPr>
              <w:t>-</w:t>
            </w:r>
          </w:p>
        </w:tc>
        <w:tc>
          <w:tcPr>
            <w:tcW w:w="1255" w:type="dxa"/>
            <w:tcBorders>
              <w:tl2br w:val="nil"/>
              <w:tr2bl w:val="nil"/>
            </w:tcBorders>
            <w:shd w:val="clear" w:color="auto" w:fill="BDD6EE" w:themeFill="accent1" w:themeFillTint="66"/>
            <w:vAlign w:val="center"/>
          </w:tcPr>
          <w:p w14:paraId="244B4357">
            <w:pPr>
              <w:widowControl/>
              <w:jc w:val="center"/>
              <w:textAlignment w:val="center"/>
              <w:rPr>
                <w:rFonts w:hint="eastAsia" w:ascii="宋体" w:hAnsi="宋体" w:eastAsia="宋体" w:cs="宋体"/>
                <w:b w:val="0"/>
                <w:bCs w:val="0"/>
                <w:color w:val="auto"/>
                <w:kern w:val="0"/>
                <w:sz w:val="20"/>
                <w:szCs w:val="20"/>
                <w:highlight w:val="none"/>
                <w:lang w:bidi="ar"/>
              </w:rPr>
            </w:pPr>
            <w:r>
              <w:rPr>
                <w:rFonts w:hint="eastAsia" w:ascii="宋体" w:hAnsi="宋体" w:eastAsia="宋体" w:cs="宋体"/>
                <w:b w:val="0"/>
                <w:bCs w:val="0"/>
                <w:color w:val="auto"/>
                <w:kern w:val="0"/>
                <w:sz w:val="20"/>
                <w:szCs w:val="20"/>
                <w:highlight w:val="none"/>
                <w:lang w:bidi="ar"/>
              </w:rPr>
              <w:t>-</w:t>
            </w:r>
          </w:p>
        </w:tc>
        <w:tc>
          <w:tcPr>
            <w:tcW w:w="742" w:type="dxa"/>
            <w:tcBorders>
              <w:tl2br w:val="nil"/>
              <w:tr2bl w:val="nil"/>
            </w:tcBorders>
            <w:shd w:val="clear" w:color="auto" w:fill="BDD6EE" w:themeFill="accent1" w:themeFillTint="66"/>
            <w:vAlign w:val="center"/>
          </w:tcPr>
          <w:p w14:paraId="423D9DBC">
            <w:pPr>
              <w:widowControl/>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20</w:t>
            </w:r>
          </w:p>
        </w:tc>
        <w:tc>
          <w:tcPr>
            <w:tcW w:w="987" w:type="dxa"/>
            <w:tcBorders>
              <w:tl2br w:val="nil"/>
              <w:tr2bl w:val="nil"/>
            </w:tcBorders>
            <w:shd w:val="clear" w:color="auto" w:fill="BDD6EE" w:themeFill="accent1" w:themeFillTint="66"/>
            <w:vAlign w:val="center"/>
          </w:tcPr>
          <w:p w14:paraId="49A05AB3">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val="en-US" w:eastAsia="zh-CN" w:bidi="ar"/>
              </w:rPr>
              <w:t>100.00</w:t>
            </w:r>
            <w:r>
              <w:rPr>
                <w:rFonts w:hint="eastAsia" w:ascii="宋体" w:hAnsi="宋体" w:eastAsia="宋体" w:cs="宋体"/>
                <w:b/>
                <w:bCs/>
                <w:color w:val="auto"/>
                <w:kern w:val="0"/>
                <w:sz w:val="20"/>
                <w:szCs w:val="20"/>
                <w:highlight w:val="none"/>
                <w:lang w:bidi="ar"/>
              </w:rPr>
              <w:t>%</w:t>
            </w:r>
          </w:p>
        </w:tc>
      </w:tr>
    </w:tbl>
    <w:p w14:paraId="4C92EAE5">
      <w:pPr>
        <w:pStyle w:val="9"/>
        <w:tabs>
          <w:tab w:val="left" w:pos="0"/>
        </w:tabs>
        <w:overflowPunct w:val="0"/>
        <w:spacing w:line="560" w:lineRule="exact"/>
        <w:ind w:firstLine="643" w:firstLineChars="200"/>
        <w:outlineLvl w:val="2"/>
        <w:rPr>
          <w:rFonts w:hint="default" w:ascii="仿宋_GB2312" w:hAnsi="仿宋_GB2312" w:eastAsia="仿宋_GB2312" w:cs="仿宋_GB2312"/>
          <w:b/>
          <w:bCs/>
          <w:highlight w:val="none"/>
          <w:lang w:val="en-US" w:eastAsia="zh-CN"/>
        </w:rPr>
      </w:pPr>
      <w:r>
        <w:rPr>
          <w:rFonts w:hint="eastAsia" w:ascii="仿宋_GB2312" w:hAnsi="仿宋_GB2312" w:cs="仿宋_GB2312"/>
          <w:b/>
          <w:bCs/>
          <w:highlight w:val="none"/>
        </w:rPr>
        <w:t>1.</w:t>
      </w:r>
      <w:r>
        <w:rPr>
          <w:rFonts w:hint="eastAsia" w:ascii="仿宋_GB2312" w:hAnsi="仿宋_GB2312" w:cs="仿宋_GB2312"/>
          <w:b/>
          <w:bCs/>
          <w:highlight w:val="none"/>
          <w:lang w:val="en-US" w:eastAsia="zh-CN"/>
        </w:rPr>
        <w:t>社会效益指标</w:t>
      </w:r>
    </w:p>
    <w:p w14:paraId="0D0D5DDB">
      <w:pPr>
        <w:pStyle w:val="9"/>
        <w:tabs>
          <w:tab w:val="left" w:pos="0"/>
        </w:tabs>
        <w:overflowPunct w:val="0"/>
        <w:spacing w:line="560" w:lineRule="exact"/>
        <w:ind w:firstLine="640" w:firstLineChars="200"/>
        <w:outlineLvl w:val="2"/>
        <w:rPr>
          <w:rFonts w:hint="eastAsia" w:ascii="仿宋_GB2312" w:hAnsi="仿宋_GB2312" w:eastAsia="仿宋_GB2312" w:cs="仿宋_GB2312"/>
          <w:b w:val="0"/>
          <w:bCs w:val="0"/>
          <w:highlight w:val="none"/>
          <w:lang w:val="en-US" w:eastAsia="zh-CN"/>
        </w:rPr>
      </w:pPr>
      <w:r>
        <w:rPr>
          <w:rFonts w:hint="eastAsia" w:ascii="仿宋_GB2312" w:hAnsi="仿宋_GB2312" w:cs="仿宋_GB2312"/>
          <w:b w:val="0"/>
          <w:bCs w:val="0"/>
          <w:highlight w:val="none"/>
          <w:lang w:val="en-US" w:eastAsia="zh-CN"/>
        </w:rPr>
        <w:t>保障人民法院日常办公需求有效性：</w:t>
      </w:r>
      <w:r>
        <w:rPr>
          <w:rFonts w:hint="eastAsia" w:ascii="仿宋_GB2312" w:hAnsi="仿宋_GB2312" w:cs="仿宋_GB2312"/>
          <w:b w:val="0"/>
          <w:bCs w:val="0"/>
          <w:highlight w:val="none"/>
        </w:rPr>
        <w:t>指标分值</w:t>
      </w:r>
      <w:r>
        <w:rPr>
          <w:rFonts w:hint="eastAsia" w:ascii="仿宋_GB2312" w:hAnsi="仿宋_GB2312" w:cs="仿宋_GB2312"/>
          <w:b w:val="0"/>
          <w:bCs w:val="0"/>
          <w:highlight w:val="none"/>
          <w:lang w:val="en-US" w:eastAsia="zh-CN"/>
        </w:rPr>
        <w:t>10</w:t>
      </w:r>
      <w:r>
        <w:rPr>
          <w:rFonts w:hint="eastAsia" w:ascii="仿宋_GB2312" w:hAnsi="仿宋_GB2312" w:cs="仿宋_GB2312"/>
          <w:b w:val="0"/>
          <w:bCs w:val="0"/>
          <w:highlight w:val="none"/>
        </w:rPr>
        <w:t>分，评价得分</w:t>
      </w:r>
      <w:r>
        <w:rPr>
          <w:rFonts w:hint="eastAsia" w:ascii="仿宋_GB2312" w:hAnsi="仿宋_GB2312" w:cs="仿宋_GB2312"/>
          <w:b w:val="0"/>
          <w:bCs w:val="0"/>
          <w:highlight w:val="none"/>
          <w:lang w:val="en-US" w:eastAsia="zh-CN"/>
        </w:rPr>
        <w:t>10</w:t>
      </w:r>
      <w:r>
        <w:rPr>
          <w:rFonts w:hint="eastAsia" w:ascii="仿宋_GB2312" w:hAnsi="仿宋_GB2312" w:cs="仿宋_GB2312"/>
          <w:b w:val="0"/>
          <w:bCs w:val="0"/>
          <w:highlight w:val="none"/>
        </w:rPr>
        <w:t>分。通过采购法院日常工作所需的通用设备、法宣专用设备、防爆安全设备、机房专用设备、档案库房装备等，替换已经无法</w:t>
      </w:r>
      <w:r>
        <w:rPr>
          <w:rFonts w:hint="eastAsia" w:ascii="仿宋_GB2312" w:hAnsi="仿宋_GB2312" w:cs="仿宋_GB2312"/>
          <w:b w:val="0"/>
          <w:bCs w:val="0"/>
          <w:highlight w:val="none"/>
          <w:lang w:val="en-US" w:eastAsia="zh-CN"/>
        </w:rPr>
        <w:t>使用</w:t>
      </w:r>
      <w:r>
        <w:rPr>
          <w:rFonts w:hint="eastAsia" w:ascii="仿宋_GB2312" w:hAnsi="仿宋_GB2312" w:cs="仿宋_GB2312"/>
          <w:b w:val="0"/>
          <w:bCs w:val="0"/>
          <w:highlight w:val="none"/>
        </w:rPr>
        <w:t>的报废设备，以满足法院各项业务对相关设备的需要，降低设备故障率和维修保养费用，有力提高业务保障水平和工作效率</w:t>
      </w:r>
      <w:r>
        <w:rPr>
          <w:rFonts w:hint="eastAsia" w:ascii="仿宋_GB2312" w:hAnsi="仿宋_GB2312" w:cs="仿宋_GB2312"/>
          <w:b w:val="0"/>
          <w:bCs w:val="0"/>
          <w:highlight w:val="none"/>
          <w:lang w:eastAsia="zh-CN"/>
        </w:rPr>
        <w:t>，</w:t>
      </w:r>
      <w:r>
        <w:rPr>
          <w:rFonts w:hint="eastAsia" w:ascii="仿宋_GB2312" w:hAnsi="仿宋_GB2312" w:cs="仿宋_GB2312"/>
          <w:b w:val="0"/>
          <w:bCs w:val="0"/>
          <w:highlight w:val="none"/>
        </w:rPr>
        <w:t>确保法院日常工作的有序进行</w:t>
      </w:r>
      <w:r>
        <w:rPr>
          <w:rFonts w:hint="eastAsia" w:ascii="仿宋_GB2312" w:hAnsi="仿宋_GB2312" w:cs="仿宋_GB2312"/>
          <w:b w:val="0"/>
          <w:bCs w:val="0"/>
          <w:highlight w:val="none"/>
          <w:lang w:eastAsia="zh-CN"/>
        </w:rPr>
        <w:t>。</w:t>
      </w:r>
    </w:p>
    <w:p w14:paraId="28AD6D15">
      <w:pPr>
        <w:pStyle w:val="9"/>
        <w:tabs>
          <w:tab w:val="left" w:pos="0"/>
        </w:tabs>
        <w:overflowPunct w:val="0"/>
        <w:spacing w:line="560" w:lineRule="exact"/>
        <w:ind w:firstLine="643" w:firstLineChars="200"/>
        <w:outlineLvl w:val="2"/>
        <w:rPr>
          <w:rFonts w:ascii="仿宋_GB2312" w:hAnsi="仿宋_GB2312" w:cs="仿宋_GB2312"/>
          <w:b/>
          <w:bCs/>
          <w:highlight w:val="none"/>
        </w:rPr>
      </w:pPr>
      <w:r>
        <w:rPr>
          <w:rFonts w:hint="eastAsia" w:ascii="仿宋_GB2312" w:hAnsi="仿宋_GB2312" w:cs="仿宋_GB2312"/>
          <w:b/>
          <w:bCs/>
          <w:highlight w:val="none"/>
          <w:lang w:val="en-US" w:eastAsia="zh-CN"/>
        </w:rPr>
        <w:t>2</w:t>
      </w:r>
      <w:r>
        <w:rPr>
          <w:rFonts w:hint="eastAsia" w:ascii="仿宋_GB2312" w:hAnsi="仿宋_GB2312" w:cs="仿宋_GB2312"/>
          <w:b/>
          <w:bCs/>
          <w:highlight w:val="none"/>
        </w:rPr>
        <w:t>.满意度情况</w:t>
      </w:r>
    </w:p>
    <w:p w14:paraId="2A90D75C">
      <w:pPr>
        <w:overflowPunct w:val="0"/>
        <w:spacing w:line="560" w:lineRule="exact"/>
        <w:ind w:firstLine="640" w:firstLineChars="200"/>
        <w:rPr>
          <w:rFonts w:hint="default" w:ascii="仿宋_GB2312" w:hAnsi="仿宋_GB2312" w:eastAsia="仿宋_GB2312" w:cs="仿宋_GB2312"/>
          <w:highlight w:val="none"/>
          <w:lang w:val="en-US" w:eastAsia="zh-CN"/>
        </w:rPr>
      </w:pPr>
      <w:bookmarkStart w:id="148" w:name="_Toc23326"/>
      <w:bookmarkStart w:id="149" w:name="_Toc2918"/>
      <w:bookmarkStart w:id="150" w:name="_Toc63435075"/>
      <w:bookmarkStart w:id="151" w:name="_Toc5674"/>
      <w:bookmarkStart w:id="152" w:name="_Toc65235686"/>
      <w:bookmarkStart w:id="153" w:name="_Toc64731198"/>
      <w:bookmarkStart w:id="154" w:name="_Toc4285"/>
      <w:r>
        <w:rPr>
          <w:rFonts w:hint="eastAsia" w:ascii="仿宋_GB2312" w:hAnsi="仿宋_GB2312" w:eastAsia="仿宋_GB2312" w:cs="仿宋_GB2312"/>
          <w:color w:val="000000" w:themeColor="text1"/>
          <w:sz w:val="32"/>
          <w:szCs w:val="32"/>
          <w:highlight w:val="none"/>
          <w14:textFill>
            <w14:solidFill>
              <w14:schemeClr w14:val="tx1"/>
            </w14:solidFill>
          </w14:textFill>
        </w:rPr>
        <w:t>工作人员满意度</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指标分值10分，评价得分10分</w:t>
      </w:r>
      <w:bookmarkEnd w:id="148"/>
      <w:bookmarkEnd w:id="149"/>
      <w:bookmarkEnd w:id="150"/>
      <w:bookmarkEnd w:id="151"/>
      <w:bookmarkEnd w:id="152"/>
      <w:bookmarkEnd w:id="153"/>
      <w:bookmarkEnd w:id="154"/>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。评价组针对服务对象“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工作人员</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”制作调查问卷，考核</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设备购置费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项目的工作成果，以评价项目产出的效益。回收调查问卷</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48</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份。经调查，发现</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工作人员</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对法院</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设备更新</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比较满意，</w:t>
      </w:r>
      <w:r>
        <w:rPr>
          <w:rFonts w:hint="eastAsia" w:ascii="仿宋_GB2312" w:hAnsi="仿宋_GB2312" w:eastAsia="仿宋_GB2312" w:cs="仿宋_GB2312"/>
          <w:sz w:val="32"/>
          <w:szCs w:val="32"/>
          <w:lang w:eastAsia="zh-CN"/>
        </w:rPr>
        <w:t>通过该项目的实施，改善了办公环境，提高了工作人员满意度，</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工作人员</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满意度为9</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8.21</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val="0"/>
          <w:bCs w:val="0"/>
          <w:kern w:val="2"/>
          <w:sz w:val="32"/>
          <w:szCs w:val="32"/>
          <w:highlight w:val="none"/>
          <w:lang w:val="en-US" w:eastAsia="zh-CN" w:bidi="ar-SA"/>
        </w:rPr>
        <w:t>。</w:t>
      </w:r>
    </w:p>
    <w:p w14:paraId="6A00B45C">
      <w:pPr>
        <w:pStyle w:val="9"/>
        <w:overflowPunct w:val="0"/>
        <w:spacing w:line="560" w:lineRule="exact"/>
        <w:ind w:firstLine="640" w:firstLineChars="200"/>
        <w:outlineLvl w:val="0"/>
        <w:rPr>
          <w:rFonts w:ascii="黑体" w:hAnsi="黑体" w:eastAsia="黑体" w:cs="仿宋"/>
          <w:highlight w:val="none"/>
        </w:rPr>
      </w:pPr>
      <w:bookmarkStart w:id="155" w:name="_Toc14909"/>
      <w:bookmarkStart w:id="156" w:name="_Toc20180"/>
      <w:bookmarkStart w:id="157" w:name="_Toc27911"/>
      <w:r>
        <w:rPr>
          <w:rFonts w:hint="eastAsia" w:ascii="黑体" w:hAnsi="黑体" w:eastAsia="黑体" w:cs="仿宋"/>
          <w:b w:val="0"/>
          <w:bCs w:val="0"/>
          <w:highlight w:val="none"/>
        </w:rPr>
        <w:t>六、项目主要经验及做法</w:t>
      </w:r>
      <w:bookmarkEnd w:id="155"/>
      <w:bookmarkEnd w:id="156"/>
      <w:bookmarkEnd w:id="157"/>
    </w:p>
    <w:p w14:paraId="49EDB463">
      <w:pPr>
        <w:overflowPunct w:val="0"/>
        <w:spacing w:line="560" w:lineRule="exact"/>
        <w:ind w:firstLine="643" w:firstLineChars="200"/>
        <w:outlineLvl w:val="1"/>
        <w:rPr>
          <w:rStyle w:val="31"/>
          <w:rFonts w:hint="eastAsia" w:ascii="楷体" w:hAnsi="楷体" w:eastAsia="楷体" w:cs="楷体"/>
          <w:szCs w:val="32"/>
          <w:highlight w:val="none"/>
          <w:lang w:val="en-US" w:eastAsia="zh-CN"/>
        </w:rPr>
      </w:pPr>
      <w:bookmarkStart w:id="158" w:name="_Toc29139"/>
      <w:bookmarkStart w:id="159" w:name="_Toc15152"/>
      <w:bookmarkStart w:id="160" w:name="_Toc25717"/>
      <w:r>
        <w:rPr>
          <w:rStyle w:val="31"/>
          <w:rFonts w:hint="eastAsia" w:ascii="楷体" w:hAnsi="楷体" w:eastAsia="楷体" w:cs="楷体"/>
          <w:szCs w:val="32"/>
          <w:highlight w:val="none"/>
          <w:lang w:val="en-US" w:eastAsia="zh-CN"/>
        </w:rPr>
        <w:t xml:space="preserve">（一）政府采购流程规范，项目实施有效 </w:t>
      </w:r>
    </w:p>
    <w:p w14:paraId="5ACC022D">
      <w:pPr>
        <w:pStyle w:val="9"/>
        <w:overflowPunct w:val="0"/>
        <w:spacing w:line="560" w:lineRule="exact"/>
        <w:ind w:firstLine="640" w:firstLineChars="200"/>
        <w:outlineLvl w:val="0"/>
        <w:rPr>
          <w:rFonts w:hint="eastAsia" w:ascii="仿宋_GB2312" w:hAnsi="仿宋_GB2312" w:eastAsia="仿宋_GB2312" w:cs="仿宋_GB2312"/>
          <w:kern w:val="2"/>
          <w:sz w:val="32"/>
          <w:szCs w:val="32"/>
          <w:lang w:val="en-US" w:eastAsia="zh-CN" w:bidi="ar-SA"/>
        </w:rPr>
      </w:pPr>
      <w:r>
        <w:rPr>
          <w:rFonts w:hint="eastAsia" w:ascii="仿宋_GB2312" w:hAnsi="仿宋_GB2312" w:cs="仿宋_GB2312"/>
          <w:kern w:val="2"/>
          <w:sz w:val="32"/>
          <w:szCs w:val="32"/>
          <w:lang w:val="en-US" w:eastAsia="zh-CN" w:bidi="ar-SA"/>
        </w:rPr>
        <w:t>甘肃省高级人民法院</w:t>
      </w:r>
      <w:r>
        <w:rPr>
          <w:rFonts w:hint="eastAsia" w:ascii="仿宋_GB2312" w:hAnsi="仿宋_GB2312" w:eastAsia="仿宋_GB2312" w:cs="仿宋_GB2312"/>
          <w:kern w:val="2"/>
          <w:sz w:val="32"/>
          <w:szCs w:val="32"/>
          <w:lang w:val="en-US" w:eastAsia="zh-CN" w:bidi="ar-SA"/>
        </w:rPr>
        <w:t>通过政府采购平台，对不同金额的设备分别采取集</w:t>
      </w:r>
      <w:r>
        <w:rPr>
          <w:rFonts w:hint="eastAsia" w:ascii="仿宋_GB2312" w:hAnsi="仿宋_GB2312" w:cs="仿宋_GB2312"/>
          <w:kern w:val="2"/>
          <w:sz w:val="32"/>
          <w:szCs w:val="32"/>
          <w:lang w:val="en-US" w:eastAsia="zh-CN" w:bidi="ar-SA"/>
        </w:rPr>
        <w:t>中</w:t>
      </w:r>
      <w:r>
        <w:rPr>
          <w:rFonts w:hint="eastAsia" w:ascii="仿宋_GB2312" w:hAnsi="仿宋_GB2312" w:eastAsia="仿宋_GB2312" w:cs="仿宋_GB2312"/>
          <w:kern w:val="2"/>
          <w:sz w:val="32"/>
          <w:szCs w:val="32"/>
          <w:lang w:val="en-US" w:eastAsia="zh-CN" w:bidi="ar-SA"/>
        </w:rPr>
        <w:t>采购和分散采购的方式进行采购，并且及时签订了相关合同。项目招标文件、政府采购评标报告、中标公告、中标通知书资料齐全并及时归档，符合政府采购管理办法，项目采购流程规范。</w:t>
      </w:r>
    </w:p>
    <w:p w14:paraId="6066A954">
      <w:pPr>
        <w:overflowPunct w:val="0"/>
        <w:spacing w:line="560" w:lineRule="exact"/>
        <w:ind w:firstLine="643" w:firstLineChars="200"/>
        <w:outlineLvl w:val="1"/>
        <w:rPr>
          <w:rStyle w:val="31"/>
          <w:rFonts w:hint="eastAsia" w:ascii="楷体" w:hAnsi="楷体" w:eastAsia="楷体" w:cs="楷体"/>
          <w:szCs w:val="32"/>
          <w:highlight w:val="none"/>
          <w:lang w:val="en-US" w:eastAsia="zh-CN"/>
        </w:rPr>
      </w:pPr>
      <w:r>
        <w:rPr>
          <w:rStyle w:val="31"/>
          <w:rFonts w:hint="eastAsia" w:ascii="楷体" w:hAnsi="楷体" w:eastAsia="楷体" w:cs="楷体"/>
          <w:szCs w:val="32"/>
          <w:highlight w:val="none"/>
          <w:lang w:val="en-US" w:eastAsia="zh-CN"/>
        </w:rPr>
        <w:t>（二）项目管理制度健全，项目管理到位</w:t>
      </w:r>
    </w:p>
    <w:p w14:paraId="5F82AD1F">
      <w:pPr>
        <w:pStyle w:val="9"/>
        <w:numPr>
          <w:ilvl w:val="0"/>
          <w:numId w:val="0"/>
        </w:numPr>
        <w:overflowPunct w:val="0"/>
        <w:spacing w:line="560" w:lineRule="exact"/>
        <w:ind w:firstLine="640" w:firstLineChars="200"/>
        <w:outlineLvl w:val="0"/>
        <w:rPr>
          <w:rFonts w:hint="default" w:ascii="仿宋_GB2312" w:hAnsi="仿宋_GB2312" w:cs="仿宋_GB2312"/>
          <w:kern w:val="2"/>
          <w:sz w:val="32"/>
          <w:szCs w:val="32"/>
          <w:lang w:val="en-US" w:eastAsia="zh-CN" w:bidi="ar-SA"/>
        </w:rPr>
      </w:pPr>
      <w:r>
        <w:rPr>
          <w:rFonts w:hint="eastAsia" w:ascii="仿宋_GB2312" w:hAnsi="仿宋_GB2312" w:cs="仿宋_GB2312"/>
          <w:kern w:val="2"/>
          <w:sz w:val="32"/>
          <w:szCs w:val="32"/>
          <w:lang w:val="en-US" w:eastAsia="zh-CN" w:bidi="ar-SA"/>
        </w:rPr>
        <w:t>为加强执勤执法设备的制度化、规范化和科学化管理，提高设备完好率，保障业务工作需要，维护法院机关形象，甘肃省高级人民法院结合工作实际，制定了《甘肃省高级人民法院装备资产配置管理规程》从采购计划的制定、预算上报、设备采购验收、财务入账、设备维修维护等作了详细的规定。加强了甘肃省高级人民法院装备资产购置的计划管理，规范了采购行为，强化日常管理，提高资金使用效益。</w:t>
      </w:r>
    </w:p>
    <w:p w14:paraId="68623656">
      <w:pPr>
        <w:pStyle w:val="9"/>
        <w:overflowPunct w:val="0"/>
        <w:spacing w:line="560" w:lineRule="exact"/>
        <w:ind w:firstLine="640" w:firstLineChars="200"/>
        <w:outlineLvl w:val="0"/>
        <w:rPr>
          <w:rFonts w:ascii="黑体" w:hAnsi="黑体" w:eastAsia="黑体" w:cs="仿宋"/>
          <w:highlight w:val="yellow"/>
        </w:rPr>
      </w:pPr>
      <w:r>
        <w:rPr>
          <w:rFonts w:hint="eastAsia" w:ascii="黑体" w:hAnsi="黑体" w:eastAsia="黑体" w:cs="仿宋"/>
          <w:highlight w:val="none"/>
        </w:rPr>
        <w:t>七、存在的问题及原因分析</w:t>
      </w:r>
      <w:bookmarkEnd w:id="158"/>
      <w:bookmarkEnd w:id="159"/>
      <w:bookmarkEnd w:id="160"/>
    </w:p>
    <w:p w14:paraId="79E7515C">
      <w:pPr>
        <w:overflowPunct w:val="0"/>
        <w:spacing w:line="560" w:lineRule="exact"/>
        <w:ind w:firstLine="643" w:firstLineChars="200"/>
        <w:outlineLvl w:val="1"/>
        <w:rPr>
          <w:rStyle w:val="31"/>
          <w:rFonts w:hint="default" w:ascii="楷体" w:hAnsi="楷体" w:eastAsia="楷体" w:cs="楷体"/>
          <w:szCs w:val="32"/>
          <w:highlight w:val="yellow"/>
          <w:lang w:val="en-US" w:eastAsia="zh-CN"/>
        </w:rPr>
      </w:pPr>
      <w:bookmarkStart w:id="161" w:name="_Toc10454"/>
      <w:bookmarkStart w:id="162" w:name="_Toc2874"/>
      <w:bookmarkStart w:id="163" w:name="_Toc22417"/>
      <w:bookmarkStart w:id="164" w:name="_Toc31283"/>
      <w:bookmarkStart w:id="165" w:name="_Toc7160"/>
      <w:bookmarkStart w:id="166" w:name="_Toc27415"/>
      <w:bookmarkStart w:id="167" w:name="_Toc4102"/>
      <w:bookmarkStart w:id="168" w:name="_Toc18641"/>
      <w:bookmarkStart w:id="169" w:name="_Toc31893"/>
      <w:bookmarkStart w:id="170" w:name="_Toc29421"/>
      <w:bookmarkStart w:id="171" w:name="_Toc19507"/>
      <w:bookmarkStart w:id="172" w:name="_Toc14622"/>
      <w:r>
        <w:rPr>
          <w:rStyle w:val="31"/>
          <w:rFonts w:hint="eastAsia" w:ascii="楷体" w:hAnsi="楷体" w:eastAsia="楷体" w:cs="楷体"/>
          <w:szCs w:val="32"/>
          <w:highlight w:val="none"/>
        </w:rPr>
        <w:t>（一）</w:t>
      </w:r>
      <w:bookmarkEnd w:id="161"/>
      <w:bookmarkEnd w:id="162"/>
      <w:bookmarkEnd w:id="163"/>
      <w:bookmarkEnd w:id="164"/>
      <w:bookmarkEnd w:id="165"/>
      <w:bookmarkEnd w:id="166"/>
      <w:bookmarkEnd w:id="167"/>
      <w:bookmarkEnd w:id="168"/>
      <w:bookmarkEnd w:id="169"/>
      <w:bookmarkStart w:id="173" w:name="_Toc15618"/>
      <w:bookmarkStart w:id="174" w:name="_Toc12328"/>
      <w:bookmarkStart w:id="175" w:name="_Toc17195"/>
      <w:r>
        <w:rPr>
          <w:rStyle w:val="31"/>
          <w:rFonts w:hint="eastAsia" w:ascii="楷体" w:hAnsi="楷体" w:eastAsia="楷体" w:cs="楷体"/>
          <w:szCs w:val="32"/>
          <w:highlight w:val="none"/>
          <w:lang w:val="en-US" w:eastAsia="zh-CN"/>
        </w:rPr>
        <w:t>组织实施有待进一步完善</w:t>
      </w:r>
    </w:p>
    <w:p w14:paraId="76D0BE05">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sz w:val="32"/>
          <w:szCs w:val="32"/>
          <w:highlight w:val="yellow"/>
        </w:rPr>
      </w:pPr>
      <w:bookmarkStart w:id="176" w:name="_Toc1160"/>
      <w:bookmarkStart w:id="177" w:name="_Toc31354"/>
      <w:r>
        <w:rPr>
          <w:rFonts w:hint="eastAsia" w:ascii="仿宋_GB2312" w:hAnsi="仿宋_GB2312" w:eastAsia="仿宋_GB2312" w:cs="仿宋_GB2312"/>
          <w:sz w:val="32"/>
          <w:szCs w:val="32"/>
          <w:highlight w:val="none"/>
        </w:rPr>
        <w:t>1.</w:t>
      </w:r>
      <w:bookmarkEnd w:id="176"/>
      <w:bookmarkEnd w:id="177"/>
      <w:bookmarkStart w:id="178" w:name="_Toc17510"/>
      <w:r>
        <w:rPr>
          <w:rFonts w:hint="eastAsia" w:ascii="仿宋_GB2312" w:hAnsi="仿宋_GB2312" w:eastAsia="仿宋_GB2312" w:cs="仿宋_GB2312"/>
          <w:kern w:val="2"/>
          <w:sz w:val="32"/>
          <w:szCs w:val="32"/>
          <w:highlight w:val="none"/>
          <w:lang w:val="en-US" w:eastAsia="zh-CN" w:bidi="ar-SA"/>
        </w:rPr>
        <w:t>经查验甘肃省高级人民法院相关合同协议、会计凭证等资料，存在购置设备验收不规范的情况。如：2023年4月121号记账凭证，配置办公家具费用39,750.00元，甘肃省高级人民法院和甘肃兆贤家具有限公司签订的《采购合同》合同签订日期为2023年4月3日，后附验收单验收日期为2023年3月1日，验收日期早于合同签订日期；2023年7月125号记账凭证，食堂购买厨房设备费用48,600.00元，甘肃省高级人民法院与榆中东升酒店用品经营部签订《厨房设备购销合同》，合同约定付款方式及期限为：双方签署验收单后，甲方应在7个工作日内支付，未见验收单据。2023年9月119号记账凭证，甘肃省高级人民法院司法警察比武竞赛费用99,503.00元，甘肃省高级人民法院与城关区武都路顺祥安防器材经营部签订《采购合同》，后附验收单，未填写验收结论，验收不规范。不符合“甘肃省高级人民法院关于印发《省法院装备资产配置管理规程》的通知（甘高法〔2017〕353号）三、规范装备资产政府采购程序 （四）装备资产供应商按合同约定交货时，审核小组要组织正式验收，形成验收报告</w:t>
      </w:r>
      <w:r>
        <w:rPr>
          <w:rFonts w:hint="default" w:ascii="仿宋_GB2312" w:hAnsi="仿宋_GB2312" w:eastAsia="仿宋_GB2312" w:cs="仿宋_GB2312"/>
          <w:kern w:val="2"/>
          <w:sz w:val="32"/>
          <w:szCs w:val="32"/>
          <w:highlight w:val="none"/>
          <w:lang w:val="en-US" w:eastAsia="zh-CN" w:bidi="ar-SA"/>
        </w:rPr>
        <w:t>”</w:t>
      </w:r>
      <w:r>
        <w:rPr>
          <w:rFonts w:hint="eastAsia" w:ascii="仿宋_GB2312" w:hAnsi="仿宋_GB2312" w:eastAsia="仿宋_GB2312" w:cs="仿宋_GB2312"/>
          <w:kern w:val="2"/>
          <w:sz w:val="32"/>
          <w:szCs w:val="32"/>
          <w:highlight w:val="none"/>
          <w:lang w:val="en-US" w:eastAsia="zh-CN" w:bidi="ar-SA"/>
        </w:rPr>
        <w:t>相关管理规定。</w:t>
      </w:r>
      <w:bookmarkEnd w:id="178"/>
    </w:p>
    <w:p w14:paraId="004AF591">
      <w:pPr>
        <w:overflowPunct w:val="0"/>
        <w:spacing w:line="560" w:lineRule="exact"/>
        <w:ind w:firstLine="640" w:firstLineChars="200"/>
        <w:outlineLvl w:val="1"/>
        <w:rPr>
          <w:rFonts w:hint="default" w:ascii="仿宋_GB2312" w:hAnsi="仿宋_GB2312" w:eastAsia="仿宋_GB2312" w:cs="仿宋_GB2312"/>
          <w:sz w:val="32"/>
          <w:szCs w:val="32"/>
          <w:highlight w:val="none"/>
          <w:lang w:val="en-US" w:eastAsia="zh-CN"/>
        </w:rPr>
      </w:pPr>
      <w:bookmarkStart w:id="179" w:name="_Toc19359"/>
      <w:bookmarkStart w:id="180" w:name="_Toc5332"/>
      <w:r>
        <w:rPr>
          <w:rFonts w:hint="eastAsia" w:ascii="仿宋_GB2312" w:hAnsi="仿宋_GB2312" w:eastAsia="仿宋_GB2312" w:cs="仿宋_GB2312"/>
          <w:sz w:val="32"/>
          <w:szCs w:val="32"/>
          <w:highlight w:val="none"/>
        </w:rPr>
        <w:t>2.</w:t>
      </w:r>
      <w:bookmarkEnd w:id="179"/>
      <w:bookmarkEnd w:id="180"/>
      <w:bookmarkStart w:id="181" w:name="_Toc4788"/>
      <w:bookmarkStart w:id="182" w:name="_Toc7334"/>
      <w:r>
        <w:rPr>
          <w:rFonts w:hint="eastAsia" w:ascii="仿宋_GB2312" w:hAnsi="仿宋_GB2312" w:eastAsia="仿宋_GB2312" w:cs="仿宋_GB2312"/>
          <w:sz w:val="32"/>
          <w:szCs w:val="32"/>
          <w:highlight w:val="none"/>
          <w:lang w:val="en-US" w:eastAsia="zh-CN"/>
        </w:rPr>
        <w:t>存在个别询价采购报价单中未附供货商营业资质的问题。如2023年10月54号记账凭证，司法警察业务技能比武竞赛器材购买费37,803.00元，后附询价单无供货商相关资质。</w:t>
      </w:r>
    </w:p>
    <w:p w14:paraId="300B2DE6">
      <w:pPr>
        <w:overflowPunct w:val="0"/>
        <w:spacing w:line="560" w:lineRule="exact"/>
        <w:ind w:firstLine="640" w:firstLineChars="200"/>
        <w:outlineLvl w:val="1"/>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3.存在</w:t>
      </w:r>
      <w:r>
        <w:rPr>
          <w:rFonts w:hint="eastAsia" w:ascii="仿宋_GB2312" w:hAnsi="仿宋_GB2312" w:eastAsia="仿宋_GB2312" w:cs="仿宋_GB2312"/>
          <w:sz w:val="32"/>
          <w:szCs w:val="32"/>
          <w:highlight w:val="none"/>
          <w:lang w:val="en-US" w:eastAsia="zh-CN"/>
        </w:rPr>
        <w:t>采购合同</w:t>
      </w:r>
      <w:r>
        <w:rPr>
          <w:rFonts w:hint="eastAsia" w:ascii="仿宋_GB2312" w:hAnsi="仿宋_GB2312" w:eastAsia="仿宋_GB2312" w:cs="仿宋_GB2312"/>
          <w:sz w:val="32"/>
          <w:szCs w:val="32"/>
          <w:highlight w:val="none"/>
        </w:rPr>
        <w:t>内容不完整，</w:t>
      </w:r>
      <w:r>
        <w:rPr>
          <w:rFonts w:hint="eastAsia" w:ascii="仿宋_GB2312" w:hAnsi="仿宋_GB2312" w:eastAsia="仿宋_GB2312" w:cs="仿宋_GB2312"/>
          <w:sz w:val="32"/>
          <w:szCs w:val="32"/>
          <w:highlight w:val="none"/>
          <w:lang w:val="en-US" w:eastAsia="zh-CN"/>
        </w:rPr>
        <w:t>未填写合同签订日期</w:t>
      </w:r>
      <w:r>
        <w:rPr>
          <w:rFonts w:hint="eastAsia" w:ascii="仿宋_GB2312" w:hAnsi="仿宋_GB2312" w:eastAsia="仿宋_GB2312" w:cs="仿宋_GB2312"/>
          <w:sz w:val="32"/>
          <w:szCs w:val="32"/>
          <w:highlight w:val="none"/>
        </w:rPr>
        <w:t>的问题。</w:t>
      </w:r>
      <w:bookmarkEnd w:id="181"/>
      <w:bookmarkEnd w:id="182"/>
      <w:r>
        <w:rPr>
          <w:rFonts w:hint="eastAsia" w:ascii="仿宋_GB2312" w:hAnsi="仿宋_GB2312" w:eastAsia="仿宋_GB2312" w:cs="仿宋_GB2312"/>
          <w:sz w:val="32"/>
          <w:szCs w:val="32"/>
          <w:highlight w:val="none"/>
          <w:lang w:val="en-US" w:eastAsia="zh-CN"/>
        </w:rPr>
        <w:t>如：2023年2月173号记账凭证，购置手机屏蔽柜费用49,800.00元，甘肃省高级人民法院和广州国保科技有限公司签订的《采购合同》未签订合同签订日期；2023年5月121号记账凭证，2022年第三季度设备采购费341,200.00元，甘肃省高级人民法院与甘肃伟业电子技术有限公司签订的《网上商城采购合同》未签订日期；2023年10月92号记账凭证，第二季度办公设备（笔记本、台式机等）采购费用96,910.00元，甘肃省高级人民法院和甘肃乐天佳成电子科技有限公司、甘肃康普耐特科贸有限公司签订的《甘肃省政府采购网上商场合同》未签订日期。</w:t>
      </w:r>
    </w:p>
    <w:p w14:paraId="2FE1EDE4">
      <w:pPr>
        <w:overflowPunct w:val="0"/>
        <w:spacing w:line="560" w:lineRule="exact"/>
        <w:ind w:firstLine="643" w:firstLineChars="200"/>
        <w:outlineLvl w:val="1"/>
        <w:rPr>
          <w:rStyle w:val="31"/>
          <w:rFonts w:hint="default" w:ascii="楷体" w:hAnsi="楷体" w:eastAsia="楷体" w:cs="楷体"/>
          <w:szCs w:val="32"/>
          <w:highlight w:val="yellow"/>
          <w:lang w:val="en-US" w:eastAsia="zh-CN"/>
        </w:rPr>
      </w:pPr>
      <w:bookmarkStart w:id="183" w:name="_Toc18234"/>
      <w:bookmarkStart w:id="184" w:name="_Toc31150"/>
      <w:bookmarkStart w:id="185" w:name="_Toc2519"/>
      <w:bookmarkStart w:id="186" w:name="_Toc2868"/>
      <w:r>
        <w:rPr>
          <w:rStyle w:val="31"/>
          <w:rFonts w:hint="eastAsia" w:ascii="楷体" w:hAnsi="楷体" w:eastAsia="楷体" w:cs="楷体"/>
          <w:szCs w:val="32"/>
          <w:highlight w:val="none"/>
          <w:lang w:val="en-US" w:eastAsia="zh-CN"/>
        </w:rPr>
        <w:t>（二）</w:t>
      </w:r>
      <w:bookmarkEnd w:id="183"/>
      <w:bookmarkEnd w:id="184"/>
      <w:bookmarkEnd w:id="185"/>
      <w:bookmarkEnd w:id="186"/>
      <w:r>
        <w:rPr>
          <w:rStyle w:val="31"/>
          <w:rFonts w:hint="eastAsia" w:ascii="楷体" w:hAnsi="楷体" w:eastAsia="楷体" w:cs="楷体"/>
          <w:szCs w:val="32"/>
          <w:highlight w:val="none"/>
          <w:lang w:val="en-US" w:eastAsia="zh-CN"/>
        </w:rPr>
        <w:t>个别</w:t>
      </w:r>
      <w:r>
        <w:rPr>
          <w:rStyle w:val="31"/>
          <w:rFonts w:hint="eastAsia" w:ascii="楷体" w:hAnsi="楷体" w:eastAsia="楷体" w:cs="楷体"/>
          <w:szCs w:val="32"/>
          <w:highlight w:val="none"/>
        </w:rPr>
        <w:t>指标未</w:t>
      </w:r>
      <w:r>
        <w:rPr>
          <w:rStyle w:val="31"/>
          <w:rFonts w:hint="eastAsia" w:ascii="楷体" w:hAnsi="楷体" w:eastAsia="楷体" w:cs="楷体"/>
          <w:szCs w:val="32"/>
          <w:highlight w:val="none"/>
          <w:lang w:val="en-US" w:eastAsia="zh-CN"/>
        </w:rPr>
        <w:t>达到目标值</w:t>
      </w:r>
    </w:p>
    <w:bookmarkEnd w:id="170"/>
    <w:bookmarkEnd w:id="171"/>
    <w:bookmarkEnd w:id="172"/>
    <w:bookmarkEnd w:id="173"/>
    <w:bookmarkEnd w:id="174"/>
    <w:bookmarkEnd w:id="175"/>
    <w:p w14:paraId="7087BD48">
      <w:pPr>
        <w:pStyle w:val="9"/>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highlight w:val="none"/>
          <w:lang w:val="en-US" w:eastAsia="zh-CN"/>
        </w:rPr>
      </w:pPr>
      <w:bookmarkStart w:id="187" w:name="_Toc13907"/>
      <w:bookmarkStart w:id="188" w:name="_Toc28102"/>
      <w:bookmarkStart w:id="189" w:name="_Toc15596"/>
      <w:bookmarkStart w:id="190" w:name="_Toc15149"/>
      <w:bookmarkStart w:id="191" w:name="_Toc12534"/>
      <w:bookmarkStart w:id="192" w:name="_Toc20992"/>
      <w:r>
        <w:rPr>
          <w:rFonts w:hint="eastAsia" w:ascii="仿宋_GB2312" w:hAnsi="仿宋_GB2312" w:eastAsia="仿宋_GB2312" w:cs="仿宋_GB2312"/>
          <w:highlight w:val="none"/>
          <w:lang w:val="en-US" w:eastAsia="zh-CN"/>
        </w:rPr>
        <w:t>通用办公设备采购数量</w:t>
      </w:r>
      <w:r>
        <w:rPr>
          <w:rFonts w:hint="eastAsia" w:ascii="仿宋_GB2312" w:hAnsi="仿宋_GB2312" w:cs="仿宋_GB2312"/>
          <w:highlight w:val="none"/>
          <w:lang w:val="en-US" w:eastAsia="zh-CN"/>
        </w:rPr>
        <w:t>、专用办公设备采购数量指标未达到年度目标值。通用设备目标值680个</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完成采购376个，专用设备目标值58个，完成采购12个，均</w:t>
      </w:r>
      <w:r>
        <w:rPr>
          <w:rFonts w:hint="eastAsia" w:ascii="仿宋_GB2312" w:hAnsi="仿宋_GB2312" w:eastAsia="仿宋_GB2312" w:cs="仿宋_GB2312"/>
          <w:highlight w:val="none"/>
          <w:lang w:val="en-US" w:eastAsia="zh-CN"/>
        </w:rPr>
        <w:t>未达到年度计划目标。</w:t>
      </w:r>
      <w:r>
        <w:rPr>
          <w:rFonts w:hint="eastAsia" w:ascii="仿宋_GB2312" w:hAnsi="仿宋_GB2312" w:cs="仿宋_GB2312"/>
          <w:sz w:val="32"/>
          <w:szCs w:val="32"/>
          <w:lang w:val="en-US" w:eastAsia="zh-CN"/>
        </w:rPr>
        <w:t>甘肃省高级人民法院</w:t>
      </w:r>
      <w:r>
        <w:rPr>
          <w:rFonts w:hint="eastAsia" w:ascii="仿宋_GB2312" w:hAnsi="仿宋_GB2312" w:eastAsia="仿宋_GB2312" w:cs="仿宋_GB2312"/>
          <w:sz w:val="32"/>
          <w:szCs w:val="32"/>
          <w:lang w:eastAsia="zh-CN"/>
        </w:rPr>
        <w:t>认真贯彻落实省委、省政府“过紧日子”预算管理要求，践行节约型机关的理念，且大部分办公设备未达到报废年限，采购数量较少。</w:t>
      </w:r>
    </w:p>
    <w:bookmarkEnd w:id="187"/>
    <w:bookmarkEnd w:id="188"/>
    <w:bookmarkEnd w:id="189"/>
    <w:p w14:paraId="19D402F6">
      <w:pPr>
        <w:pStyle w:val="9"/>
        <w:overflowPunct w:val="0"/>
        <w:spacing w:line="560" w:lineRule="exact"/>
        <w:ind w:firstLine="640" w:firstLineChars="200"/>
        <w:outlineLvl w:val="0"/>
        <w:rPr>
          <w:rFonts w:ascii="黑体" w:hAnsi="黑体" w:eastAsia="黑体" w:cs="仿宋"/>
          <w:highlight w:val="none"/>
        </w:rPr>
      </w:pPr>
      <w:r>
        <w:rPr>
          <w:rFonts w:hint="eastAsia" w:ascii="黑体" w:hAnsi="黑体" w:eastAsia="黑体" w:cs="仿宋"/>
          <w:highlight w:val="none"/>
        </w:rPr>
        <w:t>八、有关建议</w:t>
      </w:r>
      <w:bookmarkEnd w:id="190"/>
      <w:bookmarkEnd w:id="191"/>
      <w:bookmarkEnd w:id="192"/>
    </w:p>
    <w:p w14:paraId="2FA970BE">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Style w:val="31"/>
          <w:rFonts w:hint="default" w:ascii="楷体" w:hAnsi="楷体" w:eastAsia="楷体" w:cs="楷体"/>
          <w:szCs w:val="32"/>
          <w:highlight w:val="yellow"/>
          <w:lang w:val="en-US" w:eastAsia="zh-CN"/>
        </w:rPr>
      </w:pPr>
      <w:bookmarkStart w:id="193" w:name="_Toc16358"/>
      <w:bookmarkStart w:id="194" w:name="_Toc10947"/>
      <w:bookmarkStart w:id="195" w:name="_Toc19471"/>
      <w:bookmarkStart w:id="196" w:name="_Toc14595"/>
      <w:bookmarkStart w:id="197" w:name="_Toc26519"/>
      <w:bookmarkStart w:id="198" w:name="_Toc12976"/>
      <w:bookmarkStart w:id="199" w:name="_Toc21313"/>
      <w:bookmarkStart w:id="200" w:name="_Toc5096"/>
      <w:bookmarkStart w:id="201" w:name="_Toc21811"/>
      <w:r>
        <w:rPr>
          <w:rStyle w:val="31"/>
          <w:rFonts w:hint="eastAsia" w:ascii="楷体" w:hAnsi="楷体" w:eastAsia="楷体" w:cs="楷体"/>
          <w:szCs w:val="32"/>
          <w:highlight w:val="none"/>
        </w:rPr>
        <w:t>（一）</w:t>
      </w:r>
      <w:bookmarkEnd w:id="193"/>
      <w:bookmarkEnd w:id="194"/>
      <w:bookmarkEnd w:id="195"/>
      <w:bookmarkEnd w:id="196"/>
      <w:bookmarkEnd w:id="197"/>
      <w:bookmarkEnd w:id="198"/>
      <w:bookmarkEnd w:id="199"/>
      <w:bookmarkEnd w:id="200"/>
      <w:bookmarkEnd w:id="201"/>
      <w:r>
        <w:rPr>
          <w:rStyle w:val="31"/>
          <w:rFonts w:hint="eastAsia" w:ascii="楷体" w:hAnsi="楷体" w:eastAsia="楷体" w:cs="楷体"/>
          <w:szCs w:val="32"/>
          <w:highlight w:val="none"/>
          <w:lang w:val="en-US" w:eastAsia="zh-CN"/>
        </w:rPr>
        <w:t>规范政府采购流程，提高资金使用效益</w:t>
      </w:r>
    </w:p>
    <w:p w14:paraId="60AF9E70">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default" w:ascii="仿宋_GB2312" w:hAnsi="仿宋_GB2312" w:cs="仿宋_GB2312"/>
          <w:highlight w:val="yellow"/>
          <w:lang w:val="en-US"/>
        </w:rPr>
      </w:pPr>
      <w:r>
        <w:rPr>
          <w:rFonts w:hint="eastAsia" w:ascii="仿宋_GB2312" w:hAnsi="仿宋_GB2312" w:cs="仿宋_GB2312"/>
          <w:highlight w:val="none"/>
          <w:lang w:val="en-US" w:eastAsia="zh-CN"/>
        </w:rPr>
        <w:t>一是完善履约验收流程。设备采购完成后采购方应组织相关工作人员组成验收组，对供应商</w:t>
      </w:r>
      <w:r>
        <w:rPr>
          <w:rFonts w:hint="eastAsia" w:ascii="仿宋_GB2312" w:hAnsi="仿宋_GB2312" w:eastAsia="仿宋_GB2312" w:cs="仿宋_GB2312"/>
          <w:highlight w:val="none"/>
          <w:lang w:val="en-US" w:eastAsia="zh-CN"/>
        </w:rPr>
        <w:t>实际向采购人提供的货物或者服务是否符合其</w:t>
      </w:r>
      <w:r>
        <w:rPr>
          <w:rFonts w:hint="eastAsia" w:ascii="仿宋_GB2312" w:hAnsi="仿宋_GB2312" w:cs="仿宋_GB2312"/>
          <w:highlight w:val="none"/>
          <w:lang w:val="en-US" w:eastAsia="zh-CN"/>
        </w:rPr>
        <w:t>采购人的要求、</w:t>
      </w:r>
      <w:r>
        <w:rPr>
          <w:rFonts w:hint="eastAsia" w:ascii="仿宋_GB2312" w:hAnsi="仿宋_GB2312" w:eastAsia="仿宋_GB2312" w:cs="仿宋_GB2312"/>
          <w:highlight w:val="none"/>
          <w:lang w:val="en-US" w:eastAsia="zh-CN"/>
        </w:rPr>
        <w:t>是否符合合同约定</w:t>
      </w:r>
      <w:r>
        <w:rPr>
          <w:rFonts w:hint="eastAsia" w:ascii="仿宋_GB2312" w:hAnsi="仿宋_GB2312" w:cs="仿宋_GB2312"/>
          <w:highlight w:val="none"/>
          <w:lang w:val="en-US" w:eastAsia="zh-CN"/>
        </w:rPr>
        <w:t>等进行验收</w:t>
      </w:r>
      <w:r>
        <w:rPr>
          <w:rFonts w:hint="eastAsia" w:ascii="仿宋_GB2312" w:hAnsi="仿宋_GB2312" w:eastAsia="仿宋_GB2312" w:cs="仿宋_GB2312"/>
          <w:highlight w:val="none"/>
          <w:lang w:val="en-US" w:eastAsia="zh-CN"/>
        </w:rPr>
        <w:t>，</w:t>
      </w:r>
      <w:r>
        <w:rPr>
          <w:rFonts w:hint="eastAsia" w:ascii="仿宋_GB2312" w:hAnsi="仿宋_GB2312" w:cs="仿宋_GB2312"/>
          <w:highlight w:val="none"/>
          <w:lang w:val="en-US" w:eastAsia="zh-CN"/>
        </w:rPr>
        <w:t>并留存纸质验收单，在</w:t>
      </w:r>
      <w:r>
        <w:rPr>
          <w:rFonts w:hint="eastAsia" w:ascii="仿宋_GB2312" w:hAnsi="仿宋_GB2312" w:eastAsia="仿宋_GB2312" w:cs="仿宋_GB2312"/>
          <w:highlight w:val="none"/>
          <w:lang w:val="en-US" w:eastAsia="zh-CN"/>
        </w:rPr>
        <w:t>日常工作中，不断规范履约验收程序，健全运行机制，确保政府采购效果落到实处。</w:t>
      </w:r>
      <w:r>
        <w:rPr>
          <w:rFonts w:hint="eastAsia" w:ascii="仿宋_GB2312" w:hAnsi="仿宋_GB2312" w:cs="仿宋_GB2312"/>
          <w:highlight w:val="none"/>
          <w:lang w:val="en-US" w:eastAsia="zh-CN"/>
        </w:rPr>
        <w:t>二是完善政府采购管理制度，加强对各个环节的控制，明确采购流程及相关要求，规范采购程序，降低采购成本；三是政府采购主管部门要严把采购审核关，定期对采购项目进行检查，发现问题及时督促整改。</w:t>
      </w:r>
    </w:p>
    <w:p w14:paraId="3CC2BBD2">
      <w:pPr>
        <w:pStyle w:val="9"/>
        <w:tabs>
          <w:tab w:val="left" w:pos="510"/>
          <w:tab w:val="left" w:pos="675"/>
        </w:tabs>
        <w:overflowPunct w:val="0"/>
        <w:spacing w:line="560" w:lineRule="exact"/>
        <w:ind w:firstLine="643" w:firstLineChars="200"/>
        <w:outlineLvl w:val="1"/>
        <w:rPr>
          <w:rFonts w:ascii="楷体" w:hAnsi="楷体" w:eastAsia="楷体" w:cs="楷体"/>
          <w:b/>
          <w:bCs/>
          <w:highlight w:val="yellow"/>
        </w:rPr>
      </w:pPr>
      <w:bookmarkStart w:id="202" w:name="_Toc13389"/>
      <w:bookmarkStart w:id="203" w:name="_Toc30693"/>
      <w:bookmarkStart w:id="204" w:name="_Toc7726"/>
      <w:bookmarkStart w:id="205" w:name="_Toc9088"/>
      <w:bookmarkStart w:id="206" w:name="_Toc16960"/>
      <w:bookmarkStart w:id="207" w:name="_Toc2427"/>
      <w:bookmarkStart w:id="208" w:name="_Toc22207"/>
      <w:bookmarkStart w:id="209" w:name="_Toc19966"/>
      <w:bookmarkStart w:id="210" w:name="_Toc26807"/>
      <w:r>
        <w:rPr>
          <w:rStyle w:val="31"/>
          <w:rFonts w:hint="eastAsia" w:ascii="楷体" w:hAnsi="楷体" w:eastAsia="楷体" w:cs="楷体"/>
          <w:szCs w:val="32"/>
          <w:highlight w:val="none"/>
        </w:rPr>
        <w:t>（二）</w:t>
      </w:r>
      <w:bookmarkEnd w:id="202"/>
      <w:bookmarkEnd w:id="203"/>
      <w:bookmarkEnd w:id="204"/>
      <w:bookmarkEnd w:id="205"/>
      <w:bookmarkEnd w:id="206"/>
      <w:r>
        <w:rPr>
          <w:rStyle w:val="31"/>
          <w:rFonts w:hint="eastAsia" w:ascii="楷体" w:hAnsi="楷体" w:eastAsia="楷体" w:cs="楷体"/>
          <w:kern w:val="2"/>
          <w:szCs w:val="32"/>
          <w:highlight w:val="none"/>
          <w:lang w:val="en-US" w:eastAsia="zh-CN" w:bidi="ar-SA"/>
        </w:rPr>
        <w:t>深化项目管理，加快项目实施进度</w:t>
      </w:r>
    </w:p>
    <w:bookmarkEnd w:id="207"/>
    <w:bookmarkEnd w:id="208"/>
    <w:bookmarkEnd w:id="209"/>
    <w:bookmarkEnd w:id="210"/>
    <w:p w14:paraId="071CDAD0">
      <w:pPr>
        <w:pStyle w:val="9"/>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lang w:val="en-US" w:eastAsia="zh-CN"/>
        </w:rPr>
      </w:pPr>
      <w:bookmarkStart w:id="211" w:name="_Toc8653"/>
      <w:bookmarkStart w:id="212" w:name="_Toc32689"/>
      <w:bookmarkStart w:id="213" w:name="_Toc14765"/>
      <w:r>
        <w:rPr>
          <w:rFonts w:hint="eastAsia" w:ascii="仿宋_GB2312" w:hAnsi="仿宋_GB2312" w:cs="仿宋_GB2312"/>
          <w:highlight w:val="none"/>
          <w:lang w:val="en-US" w:eastAsia="zh-CN"/>
        </w:rPr>
        <w:t>一是</w:t>
      </w:r>
      <w:r>
        <w:rPr>
          <w:rFonts w:hint="eastAsia" w:ascii="仿宋_GB2312" w:hAnsi="仿宋_GB2312" w:eastAsia="仿宋_GB2312" w:cs="仿宋_GB2312"/>
          <w:highlight w:val="none"/>
          <w:lang w:val="en-US" w:eastAsia="zh-CN"/>
        </w:rPr>
        <w:t>进一步规范绩效指标的设置，提高绩效指标编制的合理性、科学性、规范性，通过绩效指标更好</w:t>
      </w:r>
      <w:r>
        <w:rPr>
          <w:rFonts w:hint="eastAsia" w:ascii="仿宋_GB2312" w:hAnsi="仿宋_GB2312" w:cs="仿宋_GB2312"/>
          <w:highlight w:val="none"/>
          <w:lang w:val="en-US" w:eastAsia="zh-CN"/>
        </w:rPr>
        <w:t>地反映出</w:t>
      </w:r>
      <w:r>
        <w:rPr>
          <w:rFonts w:hint="eastAsia" w:ascii="仿宋_GB2312" w:hAnsi="仿宋_GB2312" w:eastAsia="仿宋_GB2312" w:cs="仿宋_GB2312"/>
          <w:highlight w:val="none"/>
          <w:lang w:val="en-US" w:eastAsia="zh-CN"/>
        </w:rPr>
        <w:t>资金支出产生的产出及效益。做好绩效指标编制、审核，及时根据实际情况调整绩效指标，确保绩效指标切实可行、如期实现。</w:t>
      </w:r>
      <w:r>
        <w:rPr>
          <w:rFonts w:hint="eastAsia" w:ascii="仿宋_GB2312" w:hAnsi="仿宋_GB2312" w:cs="仿宋_GB2312"/>
          <w:highlight w:val="none"/>
          <w:lang w:val="en-US" w:eastAsia="zh-CN"/>
        </w:rPr>
        <w:t>二是</w:t>
      </w:r>
      <w:r>
        <w:rPr>
          <w:rFonts w:hint="eastAsia" w:ascii="仿宋_GB2312" w:hAnsi="仿宋_GB2312" w:eastAsia="仿宋_GB2312" w:cs="仿宋_GB2312"/>
          <w:highlight w:val="none"/>
          <w:lang w:val="en-US" w:eastAsia="zh-CN"/>
        </w:rPr>
        <w:t>严格落实年度</w:t>
      </w:r>
      <w:r>
        <w:rPr>
          <w:rFonts w:hint="eastAsia" w:ascii="仿宋_GB2312" w:hAnsi="仿宋_GB2312" w:cs="仿宋_GB2312"/>
          <w:highlight w:val="none"/>
          <w:lang w:val="en-US" w:eastAsia="zh-CN"/>
        </w:rPr>
        <w:t>设备购置</w:t>
      </w:r>
      <w:r>
        <w:rPr>
          <w:rFonts w:hint="eastAsia" w:ascii="仿宋_GB2312" w:hAnsi="仿宋_GB2312" w:eastAsia="仿宋_GB2312" w:cs="仿宋_GB2312"/>
          <w:highlight w:val="none"/>
          <w:lang w:val="en-US" w:eastAsia="zh-CN"/>
        </w:rPr>
        <w:t>计划，加强部门沟通，督促相关处室加快进度，提升工作效率，尽快完成各指标年度目标。</w:t>
      </w:r>
    </w:p>
    <w:p w14:paraId="3F5D06AE">
      <w:pPr>
        <w:pStyle w:val="9"/>
        <w:overflowPunct w:val="0"/>
        <w:spacing w:line="560" w:lineRule="exact"/>
        <w:ind w:firstLine="640" w:firstLineChars="200"/>
        <w:outlineLvl w:val="0"/>
        <w:rPr>
          <w:rFonts w:ascii="黑体" w:hAnsi="黑体" w:eastAsia="黑体" w:cs="仿宋"/>
          <w:highlight w:val="none"/>
        </w:rPr>
      </w:pPr>
      <w:r>
        <w:rPr>
          <w:rFonts w:hint="eastAsia" w:ascii="黑体" w:hAnsi="黑体" w:eastAsia="黑体" w:cs="仿宋"/>
          <w:highlight w:val="none"/>
        </w:rPr>
        <w:t>九、需要说明的问题</w:t>
      </w:r>
      <w:bookmarkEnd w:id="211"/>
      <w:bookmarkEnd w:id="212"/>
      <w:bookmarkEnd w:id="213"/>
    </w:p>
    <w:p w14:paraId="1A211CF2">
      <w:pPr>
        <w:pStyle w:val="9"/>
        <w:overflowPunct w:val="0"/>
        <w:spacing w:line="560" w:lineRule="exact"/>
        <w:ind w:firstLine="640" w:firstLineChars="200"/>
        <w:rPr>
          <w:rFonts w:hint="eastAsia" w:ascii="仿宋_GB2312" w:hAnsi="仿宋_GB2312" w:cs="仿宋_GB2312"/>
          <w:highlight w:val="none"/>
        </w:rPr>
      </w:pPr>
      <w:r>
        <w:rPr>
          <w:rFonts w:hint="eastAsia" w:ascii="仿宋_GB2312" w:hAnsi="仿宋_GB2312" w:cs="仿宋_GB2312"/>
          <w:highlight w:val="none"/>
        </w:rPr>
        <w:t>无。</w:t>
      </w:r>
      <w:bookmarkStart w:id="214" w:name="_Toc28005"/>
    </w:p>
    <w:p w14:paraId="73CA5DDB">
      <w:pPr>
        <w:pStyle w:val="9"/>
        <w:keepNext w:val="0"/>
        <w:keepLines w:val="0"/>
        <w:pageBreakBefore w:val="0"/>
        <w:widowControl w:val="0"/>
        <w:kinsoku/>
        <w:wordWrap/>
        <w:overflowPunct w:val="0"/>
        <w:topLinePunct w:val="0"/>
        <w:autoSpaceDE/>
        <w:autoSpaceDN/>
        <w:bidi w:val="0"/>
        <w:adjustRightInd/>
        <w:snapToGrid/>
        <w:spacing w:line="560" w:lineRule="exact"/>
        <w:ind w:firstLine="0" w:firstLineChars="0"/>
        <w:jc w:val="left"/>
        <w:textAlignment w:val="auto"/>
        <w:rPr>
          <w:rFonts w:hint="eastAsia" w:ascii="仿宋_GB2312" w:hAnsi="仿宋_GB2312" w:cs="仿宋_GB2312"/>
          <w:highlight w:val="none"/>
        </w:rPr>
      </w:pPr>
    </w:p>
    <w:p w14:paraId="72EA5DAF">
      <w:pPr>
        <w:pStyle w:val="10"/>
        <w:rPr>
          <w:rFonts w:hint="eastAsia" w:ascii="仿宋_GB2312" w:hAnsi="仿宋_GB2312" w:cs="仿宋_GB2312"/>
          <w:highlight w:val="none"/>
        </w:rPr>
      </w:pPr>
    </w:p>
    <w:p w14:paraId="1CAD2DB1">
      <w:pPr>
        <w:pStyle w:val="10"/>
        <w:rPr>
          <w:rFonts w:hint="eastAsia" w:ascii="仿宋_GB2312" w:hAnsi="仿宋_GB2312" w:cs="仿宋_GB2312"/>
          <w:highlight w:val="none"/>
        </w:rPr>
      </w:pPr>
    </w:p>
    <w:p w14:paraId="51517125">
      <w:pPr>
        <w:pStyle w:val="10"/>
        <w:rPr>
          <w:rFonts w:hint="eastAsia" w:ascii="仿宋_GB2312" w:hAnsi="仿宋_GB2312" w:cs="仿宋_GB2312"/>
          <w:highlight w:val="none"/>
        </w:rPr>
      </w:pPr>
    </w:p>
    <w:p w14:paraId="20FB5794">
      <w:pPr>
        <w:pStyle w:val="10"/>
        <w:rPr>
          <w:rFonts w:hint="eastAsia" w:ascii="仿宋_GB2312" w:hAnsi="仿宋_GB2312" w:cs="仿宋_GB2312"/>
          <w:highlight w:val="none"/>
        </w:rPr>
      </w:pPr>
    </w:p>
    <w:p w14:paraId="641C91EB">
      <w:pPr>
        <w:pStyle w:val="10"/>
        <w:rPr>
          <w:rFonts w:hint="eastAsia" w:ascii="仿宋_GB2312" w:hAnsi="仿宋_GB2312" w:cs="仿宋_GB2312"/>
          <w:highlight w:val="none"/>
        </w:rPr>
      </w:pPr>
    </w:p>
    <w:p w14:paraId="1957C51A">
      <w:pPr>
        <w:pStyle w:val="10"/>
        <w:rPr>
          <w:rFonts w:hint="eastAsia" w:ascii="仿宋_GB2312" w:hAnsi="仿宋_GB2312" w:cs="仿宋_GB2312"/>
          <w:highlight w:val="none"/>
        </w:rPr>
      </w:pPr>
    </w:p>
    <w:p w14:paraId="6FB12AD7">
      <w:pPr>
        <w:pStyle w:val="10"/>
        <w:rPr>
          <w:rFonts w:hint="eastAsia" w:ascii="仿宋_GB2312" w:hAnsi="仿宋_GB2312" w:cs="仿宋_GB2312"/>
          <w:highlight w:val="none"/>
        </w:rPr>
      </w:pPr>
    </w:p>
    <w:p w14:paraId="00F0B7D4">
      <w:pPr>
        <w:pStyle w:val="10"/>
        <w:rPr>
          <w:rFonts w:hint="eastAsia" w:ascii="仿宋_GB2312" w:hAnsi="仿宋_GB2312" w:cs="仿宋_GB2312"/>
          <w:highlight w:val="none"/>
        </w:rPr>
      </w:pPr>
    </w:p>
    <w:p w14:paraId="57DB22EF">
      <w:pPr>
        <w:pStyle w:val="9"/>
        <w:keepNext w:val="0"/>
        <w:keepLines w:val="0"/>
        <w:pageBreakBefore w:val="0"/>
        <w:widowControl w:val="0"/>
        <w:kinsoku/>
        <w:wordWrap/>
        <w:overflowPunct w:val="0"/>
        <w:topLinePunct w:val="0"/>
        <w:autoSpaceDE/>
        <w:autoSpaceDN/>
        <w:bidi w:val="0"/>
        <w:adjustRightInd/>
        <w:snapToGrid/>
        <w:spacing w:line="560" w:lineRule="exact"/>
        <w:ind w:firstLine="0" w:firstLineChars="0"/>
        <w:jc w:val="left"/>
        <w:textAlignment w:val="auto"/>
        <w:rPr>
          <w:rFonts w:hint="eastAsia" w:ascii="仿宋_GB2312" w:hAnsi="仿宋_GB2312" w:cs="仿宋_GB2312"/>
          <w:highlight w:val="none"/>
        </w:rPr>
      </w:pPr>
    </w:p>
    <w:p w14:paraId="3CA870B6">
      <w:pPr>
        <w:pStyle w:val="9"/>
        <w:keepNext w:val="0"/>
        <w:keepLines w:val="0"/>
        <w:pageBreakBefore w:val="0"/>
        <w:widowControl w:val="0"/>
        <w:kinsoku/>
        <w:wordWrap/>
        <w:overflowPunct w:val="0"/>
        <w:topLinePunct w:val="0"/>
        <w:autoSpaceDE/>
        <w:autoSpaceDN/>
        <w:bidi w:val="0"/>
        <w:adjustRightInd/>
        <w:snapToGrid/>
        <w:spacing w:line="560" w:lineRule="exact"/>
        <w:ind w:firstLine="0" w:firstLineChars="0"/>
        <w:jc w:val="left"/>
        <w:textAlignment w:val="auto"/>
        <w:rPr>
          <w:rFonts w:ascii="仿宋_GB2312" w:hAnsi="仿宋_GB2312" w:cs="仿宋_GB2312"/>
          <w:highlight w:val="none"/>
        </w:rPr>
      </w:pPr>
      <w:r>
        <w:rPr>
          <w:rFonts w:hint="eastAsia" w:ascii="仿宋_GB2312" w:hAnsi="仿宋_GB2312" w:cs="仿宋_GB2312"/>
          <w:highlight w:val="none"/>
        </w:rPr>
        <w:t>附件：</w:t>
      </w:r>
    </w:p>
    <w:p w14:paraId="4CC251FE">
      <w:pPr>
        <w:pStyle w:val="9"/>
        <w:overflowPunct w:val="0"/>
        <w:spacing w:line="560" w:lineRule="exact"/>
        <w:ind w:firstLine="640" w:firstLineChars="200"/>
        <w:rPr>
          <w:rFonts w:ascii="仿宋_GB2312" w:hAnsi="仿宋_GB2312" w:cs="仿宋_GB2312"/>
          <w:highlight w:val="none"/>
        </w:rPr>
      </w:pPr>
      <w:r>
        <w:rPr>
          <w:rFonts w:hint="eastAsia" w:ascii="仿宋_GB2312" w:hAnsi="仿宋_GB2312" w:cs="仿宋_GB2312"/>
          <w:highlight w:val="none"/>
        </w:rPr>
        <w:t>1.</w:t>
      </w:r>
      <w:bookmarkEnd w:id="214"/>
      <w:r>
        <w:rPr>
          <w:rFonts w:hint="eastAsia" w:ascii="仿宋_GB2312" w:hAnsi="仿宋_GB2312" w:cs="仿宋_GB2312"/>
          <w:highlight w:val="none"/>
          <w:lang w:val="en-US" w:eastAsia="zh-CN"/>
        </w:rPr>
        <w:t>设备购置</w:t>
      </w:r>
      <w:r>
        <w:rPr>
          <w:rFonts w:hint="eastAsia" w:ascii="仿宋_GB2312" w:hAnsi="仿宋_GB2312" w:cs="仿宋_GB2312"/>
          <w:highlight w:val="none"/>
          <w:lang w:eastAsia="zh-CN"/>
        </w:rPr>
        <w:t>费</w:t>
      </w:r>
      <w:r>
        <w:rPr>
          <w:rFonts w:hint="eastAsia" w:ascii="仿宋_GB2312" w:hAnsi="仿宋_GB2312" w:cs="仿宋_GB2312"/>
          <w:highlight w:val="none"/>
        </w:rPr>
        <w:t>项目支出绩效评价评分表</w:t>
      </w:r>
    </w:p>
    <w:p w14:paraId="70ECE760">
      <w:pPr>
        <w:pStyle w:val="9"/>
        <w:overflowPunct w:val="0"/>
        <w:spacing w:line="560" w:lineRule="exact"/>
        <w:ind w:firstLine="640" w:firstLineChars="200"/>
        <w:rPr>
          <w:rFonts w:ascii="仿宋_GB2312" w:hAnsi="仿宋_GB2312" w:cs="仿宋_GB2312"/>
          <w:highlight w:val="none"/>
        </w:rPr>
      </w:pPr>
      <w:bookmarkStart w:id="215" w:name="_Toc15958"/>
      <w:r>
        <w:rPr>
          <w:rFonts w:hint="eastAsia" w:ascii="仿宋_GB2312" w:hAnsi="仿宋_GB2312" w:cs="仿宋_GB2312"/>
          <w:highlight w:val="none"/>
        </w:rPr>
        <w:t>2.</w:t>
      </w:r>
      <w:r>
        <w:rPr>
          <w:rFonts w:hint="eastAsia" w:ascii="仿宋_GB2312" w:hAnsi="仿宋_GB2312" w:cs="仿宋_GB2312"/>
          <w:highlight w:val="none"/>
          <w:lang w:val="en-US" w:eastAsia="zh-CN"/>
        </w:rPr>
        <w:t>设备购置</w:t>
      </w:r>
      <w:r>
        <w:rPr>
          <w:rFonts w:hint="eastAsia" w:ascii="仿宋_GB2312" w:hAnsi="仿宋_GB2312" w:cs="仿宋_GB2312"/>
          <w:highlight w:val="none"/>
          <w:lang w:eastAsia="zh-CN"/>
        </w:rPr>
        <w:t>费</w:t>
      </w:r>
      <w:r>
        <w:rPr>
          <w:rFonts w:hint="eastAsia" w:ascii="仿宋_GB2312" w:hAnsi="仿宋_GB2312" w:cs="仿宋_GB2312"/>
          <w:highlight w:val="none"/>
        </w:rPr>
        <w:t>项目问题清单</w:t>
      </w:r>
    </w:p>
    <w:bookmarkEnd w:id="215"/>
    <w:p w14:paraId="42442586">
      <w:pPr>
        <w:pStyle w:val="15"/>
        <w:overflowPunct w:val="0"/>
        <w:rPr>
          <w:rFonts w:ascii="仿宋" w:hAnsi="仿宋" w:eastAsia="仿宋" w:cs="仿宋"/>
          <w:sz w:val="32"/>
          <w:szCs w:val="32"/>
          <w:highlight w:val="none"/>
        </w:rPr>
      </w:pPr>
    </w:p>
    <w:p w14:paraId="415E079C">
      <w:pPr>
        <w:pStyle w:val="15"/>
        <w:overflowPunct w:val="0"/>
        <w:rPr>
          <w:rFonts w:ascii="仿宋_GB2312" w:hAnsi="仿宋_GB2312" w:eastAsia="仿宋_GB2312" w:cs="仿宋_GB2312"/>
          <w:sz w:val="32"/>
          <w:szCs w:val="32"/>
          <w:highlight w:val="none"/>
        </w:rPr>
      </w:pPr>
    </w:p>
    <w:p w14:paraId="4FA947CB">
      <w:pPr>
        <w:pStyle w:val="15"/>
        <w:overflowPunct w:val="0"/>
        <w:rPr>
          <w:rFonts w:ascii="仿宋_GB2312" w:hAnsi="仿宋_GB2312" w:eastAsia="仿宋_GB2312" w:cs="仿宋_GB2312"/>
          <w:sz w:val="32"/>
          <w:szCs w:val="32"/>
          <w:highlight w:val="none"/>
        </w:rPr>
      </w:pPr>
    </w:p>
    <w:p w14:paraId="1A158CAE">
      <w:pPr>
        <w:pStyle w:val="15"/>
        <w:overflowPunct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w:t>
      </w:r>
    </w:p>
    <w:p w14:paraId="7E867E6C">
      <w:pPr>
        <w:pStyle w:val="15"/>
        <w:overflowPunct w:val="0"/>
        <w:rPr>
          <w:rFonts w:ascii="仿宋_GB2312" w:hAnsi="仿宋_GB2312" w:eastAsia="仿宋_GB2312" w:cs="仿宋_GB2312"/>
          <w:sz w:val="32"/>
          <w:szCs w:val="32"/>
          <w:highlight w:val="none"/>
        </w:rPr>
      </w:pPr>
    </w:p>
    <w:p w14:paraId="01BB2A01">
      <w:pPr>
        <w:pStyle w:val="15"/>
        <w:overflowPunct w:val="0"/>
        <w:rPr>
          <w:rFonts w:ascii="仿宋_GB2312" w:hAnsi="仿宋_GB2312" w:eastAsia="仿宋_GB2312" w:cs="仿宋_GB2312"/>
          <w:sz w:val="32"/>
          <w:szCs w:val="32"/>
          <w:highlight w:val="none"/>
        </w:rPr>
      </w:pPr>
    </w:p>
    <w:p w14:paraId="2C1580B4">
      <w:pPr>
        <w:pStyle w:val="15"/>
        <w:overflowPunct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甘肃卓诚财务咨询有限公司</w:t>
      </w:r>
    </w:p>
    <w:p w14:paraId="5191540F">
      <w:pPr>
        <w:pStyle w:val="15"/>
        <w:overflowPunct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w:t>
      </w:r>
    </w:p>
    <w:p w14:paraId="32BBE5EF">
      <w:pPr>
        <w:pStyle w:val="15"/>
        <w:overflowPunct w:val="0"/>
        <w:ind w:firstLine="5120" w:firstLineChars="16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31日</w:t>
      </w:r>
    </w:p>
    <w:sectPr>
      <w:pgSz w:w="11906" w:h="16838"/>
      <w:pgMar w:top="1440" w:right="1803" w:bottom="1383" w:left="1633" w:header="851" w:footer="992" w:gutter="0"/>
      <w:pgBorders>
        <w:top w:val="none" w:sz="0" w:space="0"/>
        <w:left w:val="none" w:sz="0" w:space="0"/>
        <w:bottom w:val="none" w:sz="0" w:space="0"/>
        <w:right w:val="none" w:sz="0" w:space="0"/>
      </w:pgBorders>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7BB1E84-F7F9-436A-A705-20B17199740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318CAC4-49D2-4B85-8576-C81667C7C1FB}"/>
  </w:font>
  <w:font w:name="仿宋">
    <w:panose1 w:val="02010609060101010101"/>
    <w:charset w:val="86"/>
    <w:family w:val="modern"/>
    <w:pitch w:val="default"/>
    <w:sig w:usb0="800002BF" w:usb1="38CF7CFA" w:usb2="00000016" w:usb3="00000000" w:csb0="00040001" w:csb1="00000000"/>
    <w:embedRegular r:id="rId3" w:fontKey="{E948B686-EA84-4C86-A3F2-5B7F378CFCBE}"/>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4" w:fontKey="{ACC3464B-36F2-477D-B981-5767EE143BBE}"/>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5" w:fontKey="{98CFB2CA-81E6-4ADB-BD87-3AA9C4627DE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CFD09">
    <w:pPr>
      <w:pStyle w:val="10"/>
    </w:pPr>
    <w:r>
      <w:rPr>
        <w:rFonts w:hint="eastAsia" w:ascii="黑体" w:hAnsi="黑体" w:eastAsia="黑体" w:cs="黑体"/>
      </w:rPr>
      <w:t>地址：甘肃省兰州市城关区南滨河东路5148号名城广场1栋1单元20层2016室       电话：0931-2906259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9C942B">
    <w:pPr>
      <w:pStyle w:val="10"/>
      <w:pBdr>
        <w:top w:val="single" w:color="auto" w:sz="4" w:space="0"/>
      </w:pBdr>
      <w:jc w:val="center"/>
      <w:rPr>
        <w:rFonts w:ascii="黑体" w:hAnsi="黑体" w:eastAsia="黑体" w:cs="黑体"/>
      </w:rPr>
    </w:pPr>
    <w:r>
      <w:rPr>
        <w:rFonts w:hint="eastAsia" w:ascii="黑体" w:hAnsi="黑体" w:eastAsia="黑体" w:cs="黑体"/>
      </w:rPr>
      <w:t>地址：甘肃省兰州市城关区南滨河东路5148号名城广场1栋1单元20层2016室       电话：0931-2906259</w:t>
    </w:r>
  </w:p>
  <w:p w14:paraId="2FC5FDA6">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290BD">
    <w:pPr>
      <w:pStyle w:val="10"/>
      <w:pBdr>
        <w:top w:val="single" w:color="auto" w:sz="4" w:space="0"/>
      </w:pBdr>
      <w:jc w:val="center"/>
      <w:rPr>
        <w:rFonts w:ascii="黑体" w:hAnsi="黑体" w:eastAsia="黑体" w:cs="黑体"/>
      </w:rPr>
    </w:pPr>
    <w:r>
      <w:rPr>
        <w:rFonts w:hint="eastAsia" w:ascii="黑体" w:hAnsi="黑体" w:eastAsia="黑体" w:cs="黑体"/>
      </w:rPr>
      <w:t>地址：甘肃省兰州市城关区南滨河东路5148号名城广场1栋1单元20层2016室       电话：0931-2906259</w:t>
    </w:r>
  </w:p>
  <w:p w14:paraId="12E4032B">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C31AD9">
    <w:pPr>
      <w:pStyle w:val="10"/>
      <w:pBdr>
        <w:top w:val="single" w:color="auto" w:sz="4" w:space="0"/>
      </w:pBdr>
      <w:jc w:val="center"/>
      <w:rPr>
        <w:rFonts w:ascii="黑体" w:hAnsi="黑体" w:eastAsia="黑体" w:cs="黑体"/>
      </w:rPr>
    </w:pPr>
    <w:r>
      <w:rPr>
        <w:rFonts w:hint="eastAsia" w:ascii="黑体" w:hAnsi="黑体" w:eastAsia="黑体" w:cs="黑体"/>
      </w:rPr>
      <w:t>地址：甘肃省兰州市城关区南滨河东路5148号名城广场1栋1单元20层2016室       电话：0931-2906259</w:t>
    </w:r>
  </w:p>
  <w:p w14:paraId="2EE3FBD3">
    <w:pPr>
      <w:pStyle w:val="10"/>
    </w:pPr>
    <w:r>
      <mc:AlternateContent>
        <mc:Choice Requires="wps">
          <w:drawing>
            <wp:anchor distT="0" distB="0" distL="114300" distR="114300" simplePos="0" relativeHeight="251659264" behindDoc="0" locked="0" layoutInCell="1" allowOverlap="1">
              <wp:simplePos x="0" y="0"/>
              <wp:positionH relativeFrom="margin">
                <wp:posOffset>2573020</wp:posOffset>
              </wp:positionH>
              <wp:positionV relativeFrom="paragraph">
                <wp:posOffset>114300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4629BD">
                          <w:pPr>
                            <w:pStyle w:val="1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2.6pt;margin-top:9pt;height:144pt;width:144pt;mso-position-horizontal-relative:margin;mso-wrap-style:none;z-index:251659264;mso-width-relative:page;mso-height-relative:page;" filled="f" stroked="f" coordsize="21600,21600" o:gfxdata="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Fe1ZgdcAAAAKAQAADwAAAAAAAAABACAAAAAiAAAAZHJzL2Rvd25yZXYueG1sUEsBAhQA&#10;FAAAAAgAh07iQK9j2DAsAgAAVQQAAA4AAAAAAAAAAQAgAAAAJgEAAGRycy9lMm9Eb2MueG1sUEsF&#10;BgAAAAAGAAYAWQEAAMQFAAAAAA==&#10;">
              <v:fill on="f" focussize="0,0"/>
              <v:stroke on="f" weight="0.5pt"/>
              <v:imagedata o:title=""/>
              <o:lock v:ext="edit" aspectratio="f"/>
              <v:textbox inset="0mm,0mm,0mm,0mm" style="mso-fit-shape-to-text:t;">
                <w:txbxContent>
                  <w:p w14:paraId="3D4629BD">
                    <w:pPr>
                      <w:pStyle w:val="10"/>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595116">
    <w:pPr>
      <w:pStyle w:val="10"/>
      <w:pBdr>
        <w:top w:val="single" w:color="auto" w:sz="4" w:space="1"/>
        <w:left w:val="none" w:color="auto" w:sz="0" w:space="4"/>
        <w:bottom w:val="none" w:color="auto" w:sz="0" w:space="1"/>
        <w:right w:val="none" w:color="auto" w:sz="0" w:space="4"/>
      </w:pBdr>
      <w:spacing w:line="360" w:lineRule="auto"/>
      <w:jc w:val="both"/>
    </w:pPr>
    <w:r>
      <mc:AlternateContent>
        <mc:Choice Requires="wps">
          <w:drawing>
            <wp:anchor distT="0" distB="0" distL="114300" distR="114300" simplePos="0" relativeHeight="251660288" behindDoc="0" locked="0" layoutInCell="1" allowOverlap="1">
              <wp:simplePos x="0" y="0"/>
              <wp:positionH relativeFrom="margin">
                <wp:posOffset>2546985</wp:posOffset>
              </wp:positionH>
              <wp:positionV relativeFrom="paragraph">
                <wp:posOffset>229235</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4071AE">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0.55pt;margin-top:18.05pt;height:144pt;width:144pt;mso-position-horizontal-relative:margin;mso-wrap-style:none;z-index:251660288;mso-width-relative:page;mso-height-relative:page;" filled="f" stroked="f" coordsize="21600,21600" o:gfxdata="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9GUTBNYAAAAKAQAADwAAAAAAAAABACAAAAAiAAAAZHJzL2Rvd25yZXYueG1sUEsBAhQAFAAA&#10;AAgAh07iQCbVWnMqAgAAVQQAAA4AAAAAAAAAAQAgAAAAJQEAAGRycy9lMm9Eb2MueG1sUEsFBgAA&#10;AAAGAAYAWQEAAMEFAAAAAA==&#10;">
              <v:fill on="f" focussize="0,0"/>
              <v:stroke on="f" weight="0.5pt"/>
              <v:imagedata o:title=""/>
              <o:lock v:ext="edit" aspectratio="f"/>
              <v:textbox inset="0mm,0mm,0mm,0mm" style="mso-fit-shape-to-text:t;">
                <w:txbxContent>
                  <w:p w14:paraId="684071AE">
                    <w:pPr>
                      <w:pStyle w:val="10"/>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黑体" w:hAnsi="黑体" w:eastAsia="黑体" w:cs="黑体"/>
      </w:rPr>
      <w:t>地址：甘肃省兰州市城关区南滨河东路5148号名城广场1栋1单元20层2016室       电话：0931-2906259</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F5663">
    <w:pPr>
      <w:pStyle w:val="1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3D2FF6">
    <w:pPr>
      <w:pStyle w:val="15"/>
      <w:pBdr>
        <w:bottom w:val="none" w:color="auto" w:sz="0" w:space="0"/>
      </w:pBdr>
    </w:pPr>
    <w:r>
      <w:rPr>
        <w:rFonts w:ascii="仿宋" w:hAnsi="仿宋" w:eastAsia="仿宋" w:cs="仿宋"/>
        <w:b/>
        <w:color w:val="000000" w:themeColor="text1"/>
        <w:u w:val="single"/>
        <w14:textFill>
          <w14:solidFill>
            <w14:schemeClr w14:val="tx1"/>
          </w14:solidFill>
        </w14:textFill>
      </w:rPr>
      <w:drawing>
        <wp:inline distT="0" distB="0" distL="114300" distR="114300">
          <wp:extent cx="407035" cy="348615"/>
          <wp:effectExtent l="0" t="0" r="12065" b="6985"/>
          <wp:docPr id="1" name="图片 1"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hint="eastAsia" w:ascii="仿宋" w:hAnsi="仿宋" w:eastAsia="仿宋" w:cs="仿宋"/>
        <w:b/>
        <w:color w:val="000000" w:themeColor="text1"/>
        <w:u w:val="single"/>
        <w14:textFill>
          <w14:solidFill>
            <w14:schemeClr w14:val="tx1"/>
          </w14:solidFill>
        </w14:textFill>
      </w:rPr>
      <w:t xml:space="preserve">                                                                        绩效评价报告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D11E91">
    <w:pPr>
      <w:pStyle w:val="15"/>
      <w:pBdr>
        <w:bottom w:val="none" w:color="auto" w:sz="0" w:space="0"/>
      </w:pBdr>
    </w:pPr>
    <w:r>
      <w:rPr>
        <w:rFonts w:ascii="仿宋" w:hAnsi="仿宋" w:eastAsia="仿宋" w:cs="仿宋"/>
        <w:b/>
        <w:color w:val="000000" w:themeColor="text1"/>
        <w:u w:val="single"/>
        <w14:textFill>
          <w14:solidFill>
            <w14:schemeClr w14:val="tx1"/>
          </w14:solidFill>
        </w14:textFill>
      </w:rPr>
      <w:drawing>
        <wp:inline distT="0" distB="0" distL="114300" distR="114300">
          <wp:extent cx="407035" cy="348615"/>
          <wp:effectExtent l="0" t="0" r="12065" b="6985"/>
          <wp:docPr id="2" name="图片 2"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hint="eastAsia" w:ascii="仿宋" w:hAnsi="仿宋" w:eastAsia="仿宋" w:cs="仿宋"/>
        <w:b/>
        <w:color w:val="000000" w:themeColor="text1"/>
        <w:u w:val="single"/>
        <w14:textFill>
          <w14:solidFill>
            <w14:schemeClr w14:val="tx1"/>
          </w14:solidFill>
        </w14:textFill>
      </w:rPr>
      <w:t xml:space="preserve">                                                                        绩效评价报告</w:t>
    </w:r>
  </w:p>
  <w:p w14:paraId="6788A325">
    <w:pPr>
      <w:pStyle w:val="1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4307B4">
    <w:pPr>
      <w:pStyle w:val="15"/>
      <w:pBdr>
        <w:bottom w:val="none" w:color="auto" w:sz="0" w:space="0"/>
      </w:pBdr>
    </w:pPr>
    <w:r>
      <w:rPr>
        <w:rFonts w:ascii="仿宋" w:hAnsi="仿宋" w:eastAsia="仿宋" w:cs="仿宋"/>
        <w:b/>
        <w:color w:val="000000" w:themeColor="text1"/>
        <w:u w:val="single"/>
        <w14:textFill>
          <w14:solidFill>
            <w14:schemeClr w14:val="tx1"/>
          </w14:solidFill>
        </w14:textFill>
      </w:rPr>
      <w:drawing>
        <wp:inline distT="0" distB="0" distL="114300" distR="114300">
          <wp:extent cx="407035" cy="348615"/>
          <wp:effectExtent l="0" t="0" r="12065" b="6985"/>
          <wp:docPr id="3" name="图片 3"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hint="eastAsia" w:ascii="仿宋" w:hAnsi="仿宋" w:eastAsia="仿宋" w:cs="仿宋"/>
        <w:b/>
        <w:color w:val="000000" w:themeColor="text1"/>
        <w:u w:val="single"/>
        <w14:textFill>
          <w14:solidFill>
            <w14:schemeClr w14:val="tx1"/>
          </w14:solidFill>
        </w14:textFill>
      </w:rPr>
      <w:t xml:space="preserve">                                                                        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0B7F40"/>
    <w:multiLevelType w:val="singleLevel"/>
    <w:tmpl w:val="A40B7F40"/>
    <w:lvl w:ilvl="0" w:tentative="0">
      <w:start w:val="1"/>
      <w:numFmt w:val="decimal"/>
      <w:suff w:val="nothing"/>
      <w:lvlText w:val="（%1）"/>
      <w:lvlJc w:val="left"/>
    </w:lvl>
  </w:abstractNum>
  <w:abstractNum w:abstractNumId="1">
    <w:nsid w:val="7B6D6B77"/>
    <w:multiLevelType w:val="singleLevel"/>
    <w:tmpl w:val="7B6D6B77"/>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VlYmY1MTgwOGU5Yjc1ZjhiNGE5NWFhODQxN2YyNjIifQ=="/>
  </w:docVars>
  <w:rsids>
    <w:rsidRoot w:val="0F9473FE"/>
    <w:rsid w:val="0000216A"/>
    <w:rsid w:val="00024278"/>
    <w:rsid w:val="00037090"/>
    <w:rsid w:val="00046BCA"/>
    <w:rsid w:val="000518F6"/>
    <w:rsid w:val="00051C05"/>
    <w:rsid w:val="00064326"/>
    <w:rsid w:val="000643BA"/>
    <w:rsid w:val="00065073"/>
    <w:rsid w:val="000753A4"/>
    <w:rsid w:val="000A4E2C"/>
    <w:rsid w:val="000C1B1E"/>
    <w:rsid w:val="000F2060"/>
    <w:rsid w:val="000F34E0"/>
    <w:rsid w:val="00100C77"/>
    <w:rsid w:val="001104A4"/>
    <w:rsid w:val="001105B7"/>
    <w:rsid w:val="00112EEC"/>
    <w:rsid w:val="001318C8"/>
    <w:rsid w:val="00137C9D"/>
    <w:rsid w:val="00140940"/>
    <w:rsid w:val="00141CF0"/>
    <w:rsid w:val="0014363A"/>
    <w:rsid w:val="001531B6"/>
    <w:rsid w:val="0015398F"/>
    <w:rsid w:val="00170334"/>
    <w:rsid w:val="00172CD5"/>
    <w:rsid w:val="00172DFF"/>
    <w:rsid w:val="00194BF7"/>
    <w:rsid w:val="001B6342"/>
    <w:rsid w:val="001D19B7"/>
    <w:rsid w:val="00203DC9"/>
    <w:rsid w:val="0020515B"/>
    <w:rsid w:val="00232042"/>
    <w:rsid w:val="002324DF"/>
    <w:rsid w:val="00246D16"/>
    <w:rsid w:val="002555FD"/>
    <w:rsid w:val="00256EBC"/>
    <w:rsid w:val="00264411"/>
    <w:rsid w:val="00267454"/>
    <w:rsid w:val="0028698A"/>
    <w:rsid w:val="00290093"/>
    <w:rsid w:val="002967A9"/>
    <w:rsid w:val="00296D38"/>
    <w:rsid w:val="002A7299"/>
    <w:rsid w:val="002C6AED"/>
    <w:rsid w:val="002D1330"/>
    <w:rsid w:val="002D789A"/>
    <w:rsid w:val="002D79DD"/>
    <w:rsid w:val="002E3891"/>
    <w:rsid w:val="002E6422"/>
    <w:rsid w:val="002F33E7"/>
    <w:rsid w:val="00307F85"/>
    <w:rsid w:val="0031439E"/>
    <w:rsid w:val="00351E08"/>
    <w:rsid w:val="00353E30"/>
    <w:rsid w:val="00355885"/>
    <w:rsid w:val="00355CF4"/>
    <w:rsid w:val="003610F3"/>
    <w:rsid w:val="003631E5"/>
    <w:rsid w:val="00363DA7"/>
    <w:rsid w:val="0036744F"/>
    <w:rsid w:val="00375AD2"/>
    <w:rsid w:val="0038540D"/>
    <w:rsid w:val="003947F2"/>
    <w:rsid w:val="00395522"/>
    <w:rsid w:val="00395F53"/>
    <w:rsid w:val="003B223D"/>
    <w:rsid w:val="003B748F"/>
    <w:rsid w:val="003C0E0C"/>
    <w:rsid w:val="003D5C85"/>
    <w:rsid w:val="003F7310"/>
    <w:rsid w:val="003F742B"/>
    <w:rsid w:val="004001D5"/>
    <w:rsid w:val="00416B2C"/>
    <w:rsid w:val="00423018"/>
    <w:rsid w:val="00427FB9"/>
    <w:rsid w:val="00433725"/>
    <w:rsid w:val="004349C8"/>
    <w:rsid w:val="00436D4B"/>
    <w:rsid w:val="00440370"/>
    <w:rsid w:val="004617FB"/>
    <w:rsid w:val="004718C0"/>
    <w:rsid w:val="004731A6"/>
    <w:rsid w:val="00476AA1"/>
    <w:rsid w:val="0048717A"/>
    <w:rsid w:val="00495970"/>
    <w:rsid w:val="004C148D"/>
    <w:rsid w:val="004C24F5"/>
    <w:rsid w:val="004D25FD"/>
    <w:rsid w:val="004E55D3"/>
    <w:rsid w:val="004F1576"/>
    <w:rsid w:val="005004FB"/>
    <w:rsid w:val="005035F7"/>
    <w:rsid w:val="00504267"/>
    <w:rsid w:val="005047DE"/>
    <w:rsid w:val="00514103"/>
    <w:rsid w:val="00515E36"/>
    <w:rsid w:val="0053373A"/>
    <w:rsid w:val="00533BBE"/>
    <w:rsid w:val="005344A8"/>
    <w:rsid w:val="00536626"/>
    <w:rsid w:val="005530FC"/>
    <w:rsid w:val="00571249"/>
    <w:rsid w:val="00572A18"/>
    <w:rsid w:val="005862D0"/>
    <w:rsid w:val="00597E41"/>
    <w:rsid w:val="005B0FE6"/>
    <w:rsid w:val="005C019D"/>
    <w:rsid w:val="005C09A6"/>
    <w:rsid w:val="005C259C"/>
    <w:rsid w:val="005D164E"/>
    <w:rsid w:val="005E347C"/>
    <w:rsid w:val="005F3E31"/>
    <w:rsid w:val="0061647A"/>
    <w:rsid w:val="00620CB8"/>
    <w:rsid w:val="006303E4"/>
    <w:rsid w:val="00631C33"/>
    <w:rsid w:val="00637972"/>
    <w:rsid w:val="00641904"/>
    <w:rsid w:val="0064468F"/>
    <w:rsid w:val="0065294B"/>
    <w:rsid w:val="006704C2"/>
    <w:rsid w:val="00684C32"/>
    <w:rsid w:val="006A1158"/>
    <w:rsid w:val="006A4011"/>
    <w:rsid w:val="006A471F"/>
    <w:rsid w:val="006A5198"/>
    <w:rsid w:val="006A6FA3"/>
    <w:rsid w:val="006B6EB9"/>
    <w:rsid w:val="006C0F31"/>
    <w:rsid w:val="006C55BC"/>
    <w:rsid w:val="006C56EC"/>
    <w:rsid w:val="006C5913"/>
    <w:rsid w:val="006E2763"/>
    <w:rsid w:val="006F74A7"/>
    <w:rsid w:val="0070777E"/>
    <w:rsid w:val="00736A39"/>
    <w:rsid w:val="007406DE"/>
    <w:rsid w:val="00742474"/>
    <w:rsid w:val="007433B6"/>
    <w:rsid w:val="0074366E"/>
    <w:rsid w:val="00746793"/>
    <w:rsid w:val="0077156E"/>
    <w:rsid w:val="007777B8"/>
    <w:rsid w:val="007805A7"/>
    <w:rsid w:val="0078446E"/>
    <w:rsid w:val="007900CD"/>
    <w:rsid w:val="0079033E"/>
    <w:rsid w:val="007A100D"/>
    <w:rsid w:val="007C2CDD"/>
    <w:rsid w:val="007C7458"/>
    <w:rsid w:val="007D441F"/>
    <w:rsid w:val="007E3DA4"/>
    <w:rsid w:val="0080585C"/>
    <w:rsid w:val="00822FBE"/>
    <w:rsid w:val="00831664"/>
    <w:rsid w:val="00832BAA"/>
    <w:rsid w:val="00833033"/>
    <w:rsid w:val="008373D0"/>
    <w:rsid w:val="00843CDD"/>
    <w:rsid w:val="00852BC1"/>
    <w:rsid w:val="00866593"/>
    <w:rsid w:val="00867C57"/>
    <w:rsid w:val="00871FEC"/>
    <w:rsid w:val="008847BB"/>
    <w:rsid w:val="00885368"/>
    <w:rsid w:val="008954E9"/>
    <w:rsid w:val="008A4C06"/>
    <w:rsid w:val="008C1FAF"/>
    <w:rsid w:val="008C37C5"/>
    <w:rsid w:val="008C5384"/>
    <w:rsid w:val="008C7D70"/>
    <w:rsid w:val="008D2AEF"/>
    <w:rsid w:val="008D6707"/>
    <w:rsid w:val="008E3D21"/>
    <w:rsid w:val="008E68A7"/>
    <w:rsid w:val="008F2B1F"/>
    <w:rsid w:val="008F3CDC"/>
    <w:rsid w:val="0092595D"/>
    <w:rsid w:val="00951D57"/>
    <w:rsid w:val="009522FA"/>
    <w:rsid w:val="00952A97"/>
    <w:rsid w:val="009532AE"/>
    <w:rsid w:val="009556AA"/>
    <w:rsid w:val="00962C53"/>
    <w:rsid w:val="00984208"/>
    <w:rsid w:val="009A5F10"/>
    <w:rsid w:val="009C488C"/>
    <w:rsid w:val="009C7579"/>
    <w:rsid w:val="00A0647F"/>
    <w:rsid w:val="00A0735D"/>
    <w:rsid w:val="00A130AA"/>
    <w:rsid w:val="00A17548"/>
    <w:rsid w:val="00A4749D"/>
    <w:rsid w:val="00A50ACF"/>
    <w:rsid w:val="00A65C51"/>
    <w:rsid w:val="00A779D6"/>
    <w:rsid w:val="00A94859"/>
    <w:rsid w:val="00A95371"/>
    <w:rsid w:val="00A96209"/>
    <w:rsid w:val="00AA7F7A"/>
    <w:rsid w:val="00AE6EF7"/>
    <w:rsid w:val="00AF3AD7"/>
    <w:rsid w:val="00B0713C"/>
    <w:rsid w:val="00B07904"/>
    <w:rsid w:val="00B07C4B"/>
    <w:rsid w:val="00B14C20"/>
    <w:rsid w:val="00B2231F"/>
    <w:rsid w:val="00B31FF4"/>
    <w:rsid w:val="00B32DFF"/>
    <w:rsid w:val="00B548B6"/>
    <w:rsid w:val="00B570AE"/>
    <w:rsid w:val="00B61F9A"/>
    <w:rsid w:val="00B77331"/>
    <w:rsid w:val="00B9317B"/>
    <w:rsid w:val="00B95E7C"/>
    <w:rsid w:val="00BC1290"/>
    <w:rsid w:val="00BD3CCA"/>
    <w:rsid w:val="00BD632C"/>
    <w:rsid w:val="00C010A7"/>
    <w:rsid w:val="00C255E1"/>
    <w:rsid w:val="00C34C1C"/>
    <w:rsid w:val="00C4547F"/>
    <w:rsid w:val="00C549D0"/>
    <w:rsid w:val="00C63032"/>
    <w:rsid w:val="00C84D69"/>
    <w:rsid w:val="00CA5249"/>
    <w:rsid w:val="00CB64D6"/>
    <w:rsid w:val="00CD504A"/>
    <w:rsid w:val="00CE12D1"/>
    <w:rsid w:val="00D05F31"/>
    <w:rsid w:val="00D37060"/>
    <w:rsid w:val="00D40F23"/>
    <w:rsid w:val="00D42B30"/>
    <w:rsid w:val="00D71E50"/>
    <w:rsid w:val="00D71E6D"/>
    <w:rsid w:val="00D7279D"/>
    <w:rsid w:val="00D76F46"/>
    <w:rsid w:val="00D97669"/>
    <w:rsid w:val="00DC76C2"/>
    <w:rsid w:val="00DD0BB7"/>
    <w:rsid w:val="00DD753B"/>
    <w:rsid w:val="00DE6582"/>
    <w:rsid w:val="00E070C6"/>
    <w:rsid w:val="00E11E05"/>
    <w:rsid w:val="00E35CB0"/>
    <w:rsid w:val="00E64E11"/>
    <w:rsid w:val="00E67E6B"/>
    <w:rsid w:val="00E7278C"/>
    <w:rsid w:val="00EB0813"/>
    <w:rsid w:val="00EB3E1E"/>
    <w:rsid w:val="00ED264E"/>
    <w:rsid w:val="00ED2CC9"/>
    <w:rsid w:val="00ED629E"/>
    <w:rsid w:val="00EE1878"/>
    <w:rsid w:val="00EE1E54"/>
    <w:rsid w:val="00EE2984"/>
    <w:rsid w:val="00F1037C"/>
    <w:rsid w:val="00F12EF7"/>
    <w:rsid w:val="00F613D1"/>
    <w:rsid w:val="00F62C47"/>
    <w:rsid w:val="00F7424A"/>
    <w:rsid w:val="00F772C2"/>
    <w:rsid w:val="00F80F07"/>
    <w:rsid w:val="00F835CD"/>
    <w:rsid w:val="00F97680"/>
    <w:rsid w:val="00FA6867"/>
    <w:rsid w:val="00FD1277"/>
    <w:rsid w:val="00FD6444"/>
    <w:rsid w:val="01160F7B"/>
    <w:rsid w:val="024141DC"/>
    <w:rsid w:val="031318D1"/>
    <w:rsid w:val="03B94246"/>
    <w:rsid w:val="03C2759E"/>
    <w:rsid w:val="03E97283"/>
    <w:rsid w:val="045645C0"/>
    <w:rsid w:val="058A237B"/>
    <w:rsid w:val="06475B39"/>
    <w:rsid w:val="06CD5526"/>
    <w:rsid w:val="06E25862"/>
    <w:rsid w:val="07140A9A"/>
    <w:rsid w:val="07FE1FF0"/>
    <w:rsid w:val="083243D4"/>
    <w:rsid w:val="083329D8"/>
    <w:rsid w:val="087072CA"/>
    <w:rsid w:val="08AB0275"/>
    <w:rsid w:val="08C33641"/>
    <w:rsid w:val="08F22909"/>
    <w:rsid w:val="08F75C9D"/>
    <w:rsid w:val="096A282C"/>
    <w:rsid w:val="09B434E5"/>
    <w:rsid w:val="09F53119"/>
    <w:rsid w:val="0A4A5BF8"/>
    <w:rsid w:val="0AE76F27"/>
    <w:rsid w:val="0BD460C1"/>
    <w:rsid w:val="0BF17FA9"/>
    <w:rsid w:val="0C434FF4"/>
    <w:rsid w:val="0C890F59"/>
    <w:rsid w:val="0D9A262A"/>
    <w:rsid w:val="0E170E01"/>
    <w:rsid w:val="0F9473FE"/>
    <w:rsid w:val="0FF03D3B"/>
    <w:rsid w:val="10D92909"/>
    <w:rsid w:val="11205904"/>
    <w:rsid w:val="1133610C"/>
    <w:rsid w:val="116B653C"/>
    <w:rsid w:val="120073C8"/>
    <w:rsid w:val="125C110E"/>
    <w:rsid w:val="125D10BB"/>
    <w:rsid w:val="12694F68"/>
    <w:rsid w:val="12700720"/>
    <w:rsid w:val="12C51DA8"/>
    <w:rsid w:val="13071A5B"/>
    <w:rsid w:val="130F5021"/>
    <w:rsid w:val="13282DDB"/>
    <w:rsid w:val="132C6ADB"/>
    <w:rsid w:val="139D5005"/>
    <w:rsid w:val="142D5185"/>
    <w:rsid w:val="1430449D"/>
    <w:rsid w:val="14DF373A"/>
    <w:rsid w:val="1608508A"/>
    <w:rsid w:val="16A05998"/>
    <w:rsid w:val="16D572E4"/>
    <w:rsid w:val="17401E27"/>
    <w:rsid w:val="178E68E1"/>
    <w:rsid w:val="17B111EE"/>
    <w:rsid w:val="17D44FBD"/>
    <w:rsid w:val="17D86A90"/>
    <w:rsid w:val="187769F1"/>
    <w:rsid w:val="19654911"/>
    <w:rsid w:val="19871A5C"/>
    <w:rsid w:val="1A9E3225"/>
    <w:rsid w:val="1BAA299A"/>
    <w:rsid w:val="1C7E157C"/>
    <w:rsid w:val="1CA81C4F"/>
    <w:rsid w:val="1E9159EE"/>
    <w:rsid w:val="1EA571D7"/>
    <w:rsid w:val="1EA96F39"/>
    <w:rsid w:val="1F037124"/>
    <w:rsid w:val="1F673C24"/>
    <w:rsid w:val="20232D1B"/>
    <w:rsid w:val="20D203BB"/>
    <w:rsid w:val="21D60ED3"/>
    <w:rsid w:val="226D6F9C"/>
    <w:rsid w:val="22B834CC"/>
    <w:rsid w:val="22BA6C58"/>
    <w:rsid w:val="22F977E7"/>
    <w:rsid w:val="23A81459"/>
    <w:rsid w:val="23D30D7C"/>
    <w:rsid w:val="24B3368D"/>
    <w:rsid w:val="24CB3955"/>
    <w:rsid w:val="24DB6B7A"/>
    <w:rsid w:val="24FF4DBF"/>
    <w:rsid w:val="256D300D"/>
    <w:rsid w:val="258C32D8"/>
    <w:rsid w:val="25D9654E"/>
    <w:rsid w:val="26C47DB8"/>
    <w:rsid w:val="277C2B6C"/>
    <w:rsid w:val="277F117F"/>
    <w:rsid w:val="27EC7E96"/>
    <w:rsid w:val="28184F18"/>
    <w:rsid w:val="28BA659C"/>
    <w:rsid w:val="28CE23E5"/>
    <w:rsid w:val="2A7F50CE"/>
    <w:rsid w:val="2B277B63"/>
    <w:rsid w:val="2B322BF8"/>
    <w:rsid w:val="2B9B5117"/>
    <w:rsid w:val="2C4D184B"/>
    <w:rsid w:val="2CB02D9F"/>
    <w:rsid w:val="2CE52E0A"/>
    <w:rsid w:val="2D637948"/>
    <w:rsid w:val="2D684AB0"/>
    <w:rsid w:val="2DC51834"/>
    <w:rsid w:val="2DDA637C"/>
    <w:rsid w:val="2E3A29A3"/>
    <w:rsid w:val="2EC7583D"/>
    <w:rsid w:val="2EFC036B"/>
    <w:rsid w:val="2F0A59C4"/>
    <w:rsid w:val="30F027A5"/>
    <w:rsid w:val="32076F12"/>
    <w:rsid w:val="321E6765"/>
    <w:rsid w:val="32545E6A"/>
    <w:rsid w:val="32B1544F"/>
    <w:rsid w:val="32F075DE"/>
    <w:rsid w:val="336851BD"/>
    <w:rsid w:val="339B25AB"/>
    <w:rsid w:val="33CF0D98"/>
    <w:rsid w:val="348C146E"/>
    <w:rsid w:val="34F27CC6"/>
    <w:rsid w:val="35A95619"/>
    <w:rsid w:val="35F95F98"/>
    <w:rsid w:val="373B04F2"/>
    <w:rsid w:val="37820855"/>
    <w:rsid w:val="378C532A"/>
    <w:rsid w:val="38830D8A"/>
    <w:rsid w:val="38C45C47"/>
    <w:rsid w:val="3A0379ED"/>
    <w:rsid w:val="3A375EC4"/>
    <w:rsid w:val="3A49589C"/>
    <w:rsid w:val="3A5C534F"/>
    <w:rsid w:val="3A6B1ECF"/>
    <w:rsid w:val="3A906225"/>
    <w:rsid w:val="3BF42446"/>
    <w:rsid w:val="3C06542B"/>
    <w:rsid w:val="3C232A14"/>
    <w:rsid w:val="3C243C4B"/>
    <w:rsid w:val="3C6E1044"/>
    <w:rsid w:val="3CB054DF"/>
    <w:rsid w:val="3CD23946"/>
    <w:rsid w:val="3D261A25"/>
    <w:rsid w:val="3D2E2FD3"/>
    <w:rsid w:val="3E1D2536"/>
    <w:rsid w:val="3E5A3954"/>
    <w:rsid w:val="3E697A2D"/>
    <w:rsid w:val="3ED45096"/>
    <w:rsid w:val="40692574"/>
    <w:rsid w:val="40750F19"/>
    <w:rsid w:val="40B11F25"/>
    <w:rsid w:val="40B8336F"/>
    <w:rsid w:val="41011831"/>
    <w:rsid w:val="41476C40"/>
    <w:rsid w:val="42C321E3"/>
    <w:rsid w:val="42E54E83"/>
    <w:rsid w:val="435B2AD7"/>
    <w:rsid w:val="43E65A72"/>
    <w:rsid w:val="440C7F8D"/>
    <w:rsid w:val="4428109E"/>
    <w:rsid w:val="445F69EB"/>
    <w:rsid w:val="44CF424F"/>
    <w:rsid w:val="44FE7ACA"/>
    <w:rsid w:val="454F4568"/>
    <w:rsid w:val="4550785F"/>
    <w:rsid w:val="45706814"/>
    <w:rsid w:val="45AB4E37"/>
    <w:rsid w:val="45B707FB"/>
    <w:rsid w:val="45BE1574"/>
    <w:rsid w:val="46004CC6"/>
    <w:rsid w:val="463A607F"/>
    <w:rsid w:val="46B721AC"/>
    <w:rsid w:val="46CB1893"/>
    <w:rsid w:val="46E23F0F"/>
    <w:rsid w:val="46F63507"/>
    <w:rsid w:val="46F96E62"/>
    <w:rsid w:val="47207120"/>
    <w:rsid w:val="477B2FAE"/>
    <w:rsid w:val="483B5A4C"/>
    <w:rsid w:val="490002A0"/>
    <w:rsid w:val="494122E2"/>
    <w:rsid w:val="49F22E5E"/>
    <w:rsid w:val="4A133393"/>
    <w:rsid w:val="4A7A052A"/>
    <w:rsid w:val="4AB06881"/>
    <w:rsid w:val="4AB06E12"/>
    <w:rsid w:val="4AB32D0C"/>
    <w:rsid w:val="4AE96514"/>
    <w:rsid w:val="4B231CEA"/>
    <w:rsid w:val="4B286C8B"/>
    <w:rsid w:val="4BA64472"/>
    <w:rsid w:val="4CEC18C2"/>
    <w:rsid w:val="4DB115E5"/>
    <w:rsid w:val="4FCE631F"/>
    <w:rsid w:val="4FD5108C"/>
    <w:rsid w:val="4FDA4D75"/>
    <w:rsid w:val="512824DF"/>
    <w:rsid w:val="520B327F"/>
    <w:rsid w:val="52450A6B"/>
    <w:rsid w:val="530A5A72"/>
    <w:rsid w:val="531A233B"/>
    <w:rsid w:val="539C1B4C"/>
    <w:rsid w:val="540C51E5"/>
    <w:rsid w:val="54602A07"/>
    <w:rsid w:val="549728DF"/>
    <w:rsid w:val="54AA7074"/>
    <w:rsid w:val="54AF69C2"/>
    <w:rsid w:val="54B06A32"/>
    <w:rsid w:val="54E52762"/>
    <w:rsid w:val="54EA5CFF"/>
    <w:rsid w:val="55444E7D"/>
    <w:rsid w:val="55743D0D"/>
    <w:rsid w:val="55D622FA"/>
    <w:rsid w:val="55EB5D70"/>
    <w:rsid w:val="562A4E87"/>
    <w:rsid w:val="56314DDD"/>
    <w:rsid w:val="56841443"/>
    <w:rsid w:val="56AF292A"/>
    <w:rsid w:val="56BE6D1E"/>
    <w:rsid w:val="57114DA6"/>
    <w:rsid w:val="574330DD"/>
    <w:rsid w:val="576378C6"/>
    <w:rsid w:val="578E547B"/>
    <w:rsid w:val="57BA3C8B"/>
    <w:rsid w:val="587A4EC7"/>
    <w:rsid w:val="5A1C2DE0"/>
    <w:rsid w:val="5A605BC3"/>
    <w:rsid w:val="5B2801B6"/>
    <w:rsid w:val="5B337230"/>
    <w:rsid w:val="5B590DC3"/>
    <w:rsid w:val="5B6A103A"/>
    <w:rsid w:val="5B7250DA"/>
    <w:rsid w:val="5B7B6F90"/>
    <w:rsid w:val="5BC92176"/>
    <w:rsid w:val="5BCC5A39"/>
    <w:rsid w:val="5C0C22DA"/>
    <w:rsid w:val="5C4E644E"/>
    <w:rsid w:val="5CCF29EE"/>
    <w:rsid w:val="5D4D151D"/>
    <w:rsid w:val="5D5C1A81"/>
    <w:rsid w:val="5E215BF2"/>
    <w:rsid w:val="5E681402"/>
    <w:rsid w:val="5EF872DF"/>
    <w:rsid w:val="60A72DA9"/>
    <w:rsid w:val="61887833"/>
    <w:rsid w:val="61B32201"/>
    <w:rsid w:val="62894AA4"/>
    <w:rsid w:val="62D957B2"/>
    <w:rsid w:val="63005858"/>
    <w:rsid w:val="640115C4"/>
    <w:rsid w:val="65527A8B"/>
    <w:rsid w:val="65D06126"/>
    <w:rsid w:val="6604433E"/>
    <w:rsid w:val="6659611C"/>
    <w:rsid w:val="66A15EC8"/>
    <w:rsid w:val="66A851F0"/>
    <w:rsid w:val="66F75934"/>
    <w:rsid w:val="67746BAD"/>
    <w:rsid w:val="68807C45"/>
    <w:rsid w:val="69A41DA4"/>
    <w:rsid w:val="69FA2D97"/>
    <w:rsid w:val="6A10235D"/>
    <w:rsid w:val="6A3C4E7F"/>
    <w:rsid w:val="6AF80C0A"/>
    <w:rsid w:val="6B9D61A3"/>
    <w:rsid w:val="6BAA0FA6"/>
    <w:rsid w:val="6D2D3E5E"/>
    <w:rsid w:val="6DD8201C"/>
    <w:rsid w:val="6DEA788D"/>
    <w:rsid w:val="6E2C310F"/>
    <w:rsid w:val="6E433D4C"/>
    <w:rsid w:val="6E9E4594"/>
    <w:rsid w:val="6ED83431"/>
    <w:rsid w:val="6FC00ECA"/>
    <w:rsid w:val="6FCA5E2A"/>
    <w:rsid w:val="6FDA2167"/>
    <w:rsid w:val="70593D8C"/>
    <w:rsid w:val="705D2CAC"/>
    <w:rsid w:val="70D40212"/>
    <w:rsid w:val="71796A7B"/>
    <w:rsid w:val="71C34851"/>
    <w:rsid w:val="71E52F59"/>
    <w:rsid w:val="71EC2296"/>
    <w:rsid w:val="722D639D"/>
    <w:rsid w:val="723B19A6"/>
    <w:rsid w:val="72DB17DE"/>
    <w:rsid w:val="738B2CF1"/>
    <w:rsid w:val="73B73DD2"/>
    <w:rsid w:val="73EF3D7E"/>
    <w:rsid w:val="73FB02E9"/>
    <w:rsid w:val="74BB61F3"/>
    <w:rsid w:val="74E76ED0"/>
    <w:rsid w:val="7517271E"/>
    <w:rsid w:val="751E4025"/>
    <w:rsid w:val="760D4365"/>
    <w:rsid w:val="76651342"/>
    <w:rsid w:val="7705705D"/>
    <w:rsid w:val="770957CF"/>
    <w:rsid w:val="79050385"/>
    <w:rsid w:val="79976D4D"/>
    <w:rsid w:val="79AB0441"/>
    <w:rsid w:val="7AD419FF"/>
    <w:rsid w:val="7B5F3D7C"/>
    <w:rsid w:val="7BE944F5"/>
    <w:rsid w:val="7C220811"/>
    <w:rsid w:val="7C367028"/>
    <w:rsid w:val="7D0421BC"/>
    <w:rsid w:val="7D367A2D"/>
    <w:rsid w:val="7D635D0C"/>
    <w:rsid w:val="7F042647"/>
    <w:rsid w:val="7F3D0469"/>
    <w:rsid w:val="7F4719A2"/>
    <w:rsid w:val="7FE26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nhideWhenUsed="0"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0"/>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unhideWhenUsed/>
    <w:qFormat/>
    <w:uiPriority w:val="0"/>
    <w:pPr>
      <w:keepNext/>
      <w:keepLines/>
      <w:spacing w:line="360" w:lineRule="auto"/>
      <w:ind w:firstLine="200" w:firstLineChars="200"/>
      <w:outlineLvl w:val="1"/>
    </w:pPr>
    <w:rPr>
      <w:rFonts w:ascii="Arial" w:hAnsi="Arial" w:eastAsia="仿宋"/>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paragraph" w:styleId="5">
    <w:name w:val="heading 6"/>
    <w:basedOn w:val="1"/>
    <w:next w:val="1"/>
    <w:qFormat/>
    <w:uiPriority w:val="9"/>
    <w:pPr>
      <w:keepNext/>
      <w:keepLines/>
      <w:spacing w:line="360" w:lineRule="auto"/>
      <w:outlineLvl w:val="5"/>
    </w:pPr>
    <w:rPr>
      <w:rFonts w:ascii="Cambria" w:hAnsi="Cambria" w:cs="Times New Roman"/>
      <w:bCs/>
      <w:sz w:val="24"/>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6">
    <w:name w:val="Normal Indent"/>
    <w:basedOn w:val="1"/>
    <w:next w:val="1"/>
    <w:qFormat/>
    <w:uiPriority w:val="0"/>
    <w:pPr>
      <w:ind w:firstLine="420" w:firstLineChars="200"/>
    </w:pPr>
  </w:style>
  <w:style w:type="paragraph" w:styleId="7">
    <w:name w:val="annotation text"/>
    <w:basedOn w:val="1"/>
    <w:link w:val="34"/>
    <w:qFormat/>
    <w:uiPriority w:val="0"/>
    <w:pPr>
      <w:jc w:val="left"/>
    </w:pPr>
  </w:style>
  <w:style w:type="paragraph" w:styleId="8">
    <w:name w:val="index 6"/>
    <w:basedOn w:val="1"/>
    <w:next w:val="1"/>
    <w:semiHidden/>
    <w:qFormat/>
    <w:uiPriority w:val="0"/>
    <w:pPr>
      <w:ind w:firstLine="640"/>
    </w:pPr>
    <w:rPr>
      <w:rFonts w:cs="仿宋_GB2312"/>
      <w:color w:val="0000FF"/>
      <w:sz w:val="32"/>
      <w:szCs w:val="32"/>
    </w:rPr>
  </w:style>
  <w:style w:type="paragraph" w:styleId="9">
    <w:name w:val="Body Text"/>
    <w:basedOn w:val="1"/>
    <w:next w:val="10"/>
    <w:qFormat/>
    <w:uiPriority w:val="1"/>
    <w:rPr>
      <w:rFonts w:eastAsia="仿宋_GB2312"/>
      <w:sz w:val="32"/>
      <w:szCs w:val="32"/>
    </w:rPr>
  </w:style>
  <w:style w:type="paragraph" w:styleId="10">
    <w:name w:val="footer"/>
    <w:basedOn w:val="1"/>
    <w:link w:val="32"/>
    <w:qFormat/>
    <w:uiPriority w:val="99"/>
    <w:pPr>
      <w:tabs>
        <w:tab w:val="center" w:pos="4153"/>
        <w:tab w:val="right" w:pos="8306"/>
      </w:tabs>
      <w:snapToGrid w:val="0"/>
      <w:jc w:val="left"/>
    </w:pPr>
    <w:rPr>
      <w:sz w:val="18"/>
    </w:rPr>
  </w:style>
  <w:style w:type="paragraph" w:styleId="11">
    <w:name w:val="toc 3"/>
    <w:basedOn w:val="1"/>
    <w:next w:val="1"/>
    <w:qFormat/>
    <w:uiPriority w:val="0"/>
    <w:pPr>
      <w:ind w:left="840" w:leftChars="400"/>
    </w:pPr>
  </w:style>
  <w:style w:type="paragraph" w:styleId="12">
    <w:name w:val="Body Text Indent 2"/>
    <w:basedOn w:val="1"/>
    <w:next w:val="13"/>
    <w:qFormat/>
    <w:uiPriority w:val="0"/>
    <w:pPr>
      <w:spacing w:after="120" w:line="480" w:lineRule="auto"/>
      <w:ind w:left="420" w:leftChars="200"/>
    </w:pPr>
    <w:rPr>
      <w:rFonts w:ascii="Calibri" w:hAnsi="Calibri" w:eastAsia="宋体"/>
    </w:rPr>
  </w:style>
  <w:style w:type="paragraph" w:styleId="13">
    <w:name w:val="toc 9"/>
    <w:basedOn w:val="1"/>
    <w:next w:val="1"/>
    <w:qFormat/>
    <w:uiPriority w:val="0"/>
    <w:pPr>
      <w:wordWrap w:val="0"/>
      <w:ind w:left="2975"/>
      <w:jc w:val="both"/>
    </w:pPr>
    <w:rPr>
      <w:rFonts w:ascii="Calibri" w:hAnsi="Calibri" w:eastAsia="宋体" w:cs="Times New Roman"/>
      <w:sz w:val="21"/>
      <w:szCs w:val="22"/>
      <w:lang w:val="en-US" w:eastAsia="zh-CN" w:bidi="ar-SA"/>
    </w:rPr>
  </w:style>
  <w:style w:type="paragraph" w:styleId="14">
    <w:name w:val="Balloon Text"/>
    <w:basedOn w:val="1"/>
    <w:link w:val="36"/>
    <w:semiHidden/>
    <w:unhideWhenUsed/>
    <w:qFormat/>
    <w:uiPriority w:val="0"/>
    <w:rPr>
      <w:sz w:val="18"/>
      <w:szCs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1"/>
    <w:basedOn w:val="1"/>
    <w:next w:val="1"/>
    <w:qFormat/>
    <w:uiPriority w:val="0"/>
  </w:style>
  <w:style w:type="paragraph" w:styleId="17">
    <w:name w:val="toc 2"/>
    <w:basedOn w:val="1"/>
    <w:next w:val="1"/>
    <w:qFormat/>
    <w:uiPriority w:val="0"/>
    <w:pPr>
      <w:ind w:left="420" w:leftChars="200"/>
    </w:pPr>
  </w:style>
  <w:style w:type="paragraph" w:styleId="18">
    <w:name w:val="annotation subject"/>
    <w:basedOn w:val="7"/>
    <w:next w:val="7"/>
    <w:link w:val="35"/>
    <w:semiHidden/>
    <w:unhideWhenUsed/>
    <w:qFormat/>
    <w:uiPriority w:val="0"/>
    <w:rPr>
      <w:b/>
      <w:bCs/>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character" w:styleId="23">
    <w:name w:val="annotation reference"/>
    <w:basedOn w:val="21"/>
    <w:qFormat/>
    <w:uiPriority w:val="0"/>
    <w:rPr>
      <w:sz w:val="21"/>
      <w:szCs w:val="21"/>
    </w:rPr>
  </w:style>
  <w:style w:type="paragraph" w:customStyle="1" w:styleId="24">
    <w:name w:val="正文文本缩进 21"/>
    <w:basedOn w:val="1"/>
    <w:next w:val="15"/>
    <w:qFormat/>
    <w:uiPriority w:val="0"/>
    <w:pPr>
      <w:spacing w:line="480" w:lineRule="auto"/>
      <w:ind w:left="420" w:leftChars="200"/>
    </w:pPr>
  </w:style>
  <w:style w:type="paragraph" w:customStyle="1" w:styleId="25">
    <w:name w:val="样式  + 首行缩进:  2 字符"/>
    <w:basedOn w:val="1"/>
    <w:qFormat/>
    <w:uiPriority w:val="0"/>
    <w:pPr>
      <w:adjustRightInd w:val="0"/>
      <w:snapToGrid w:val="0"/>
      <w:ind w:firstLine="480"/>
    </w:pPr>
    <w:rPr>
      <w:kern w:val="0"/>
      <w:sz w:val="24"/>
    </w:rPr>
  </w:style>
  <w:style w:type="paragraph" w:styleId="26">
    <w:name w:val="List Paragraph"/>
    <w:basedOn w:val="1"/>
    <w:qFormat/>
    <w:uiPriority w:val="99"/>
    <w:pPr>
      <w:ind w:firstLine="420" w:firstLineChars="200"/>
    </w:pPr>
  </w:style>
  <w:style w:type="paragraph" w:customStyle="1" w:styleId="27">
    <w:name w:val="WPSOffice手动目录 1"/>
    <w:qFormat/>
    <w:uiPriority w:val="0"/>
    <w:rPr>
      <w:rFonts w:ascii="Times New Roman" w:hAnsi="Times New Roman" w:eastAsia="宋体" w:cs="Times New Roman"/>
      <w:lang w:val="en-US" w:eastAsia="zh-CN" w:bidi="ar-SA"/>
    </w:rPr>
  </w:style>
  <w:style w:type="paragraph" w:customStyle="1" w:styleId="28">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9">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30">
    <w:name w:val="标题 1 字符"/>
    <w:basedOn w:val="21"/>
    <w:link w:val="2"/>
    <w:qFormat/>
    <w:uiPriority w:val="0"/>
    <w:rPr>
      <w:rFonts w:asciiTheme="minorHAnsi" w:hAnsiTheme="minorHAnsi" w:eastAsiaTheme="minorEastAsia" w:cstheme="minorBidi"/>
      <w:b/>
      <w:bCs/>
      <w:kern w:val="44"/>
      <w:sz w:val="44"/>
      <w:szCs w:val="44"/>
    </w:rPr>
  </w:style>
  <w:style w:type="character" w:customStyle="1" w:styleId="31">
    <w:name w:val="标题 2 字符"/>
    <w:link w:val="3"/>
    <w:qFormat/>
    <w:uiPriority w:val="0"/>
    <w:rPr>
      <w:rFonts w:ascii="Arial" w:hAnsi="Arial" w:eastAsia="仿宋"/>
      <w:b/>
      <w:sz w:val="32"/>
    </w:rPr>
  </w:style>
  <w:style w:type="character" w:customStyle="1" w:styleId="32">
    <w:name w:val="页脚 字符"/>
    <w:basedOn w:val="21"/>
    <w:link w:val="10"/>
    <w:qFormat/>
    <w:uiPriority w:val="99"/>
    <w:rPr>
      <w:rFonts w:asciiTheme="minorHAnsi" w:hAnsiTheme="minorHAnsi" w:eastAsiaTheme="minorEastAsia" w:cstheme="minorBidi"/>
      <w:kern w:val="2"/>
      <w:sz w:val="18"/>
      <w:szCs w:val="22"/>
    </w:rPr>
  </w:style>
  <w:style w:type="character" w:customStyle="1" w:styleId="33">
    <w:name w:val="font11"/>
    <w:basedOn w:val="21"/>
    <w:qFormat/>
    <w:uiPriority w:val="0"/>
    <w:rPr>
      <w:rFonts w:hint="eastAsia" w:ascii="宋体" w:hAnsi="宋体" w:eastAsia="宋体" w:cs="宋体"/>
      <w:color w:val="000000"/>
      <w:sz w:val="20"/>
      <w:szCs w:val="20"/>
      <w:u w:val="none"/>
    </w:rPr>
  </w:style>
  <w:style w:type="character" w:customStyle="1" w:styleId="34">
    <w:name w:val="批注文字 字符"/>
    <w:basedOn w:val="21"/>
    <w:link w:val="7"/>
    <w:qFormat/>
    <w:uiPriority w:val="0"/>
    <w:rPr>
      <w:rFonts w:asciiTheme="minorHAnsi" w:hAnsiTheme="minorHAnsi" w:eastAsiaTheme="minorEastAsia" w:cstheme="minorBidi"/>
      <w:kern w:val="2"/>
      <w:sz w:val="21"/>
      <w:szCs w:val="22"/>
    </w:rPr>
  </w:style>
  <w:style w:type="character" w:customStyle="1" w:styleId="35">
    <w:name w:val="批注主题 字符"/>
    <w:basedOn w:val="34"/>
    <w:link w:val="18"/>
    <w:semiHidden/>
    <w:qFormat/>
    <w:uiPriority w:val="0"/>
    <w:rPr>
      <w:rFonts w:asciiTheme="minorHAnsi" w:hAnsiTheme="minorHAnsi" w:eastAsiaTheme="minorEastAsia" w:cstheme="minorBidi"/>
      <w:b/>
      <w:bCs/>
      <w:kern w:val="2"/>
      <w:sz w:val="21"/>
      <w:szCs w:val="22"/>
    </w:rPr>
  </w:style>
  <w:style w:type="character" w:customStyle="1" w:styleId="36">
    <w:name w:val="批注框文本 字符"/>
    <w:basedOn w:val="21"/>
    <w:link w:val="14"/>
    <w:semiHidden/>
    <w:qFormat/>
    <w:uiPriority w:val="0"/>
    <w:rPr>
      <w:rFonts w:asciiTheme="minorHAnsi" w:hAnsiTheme="minorHAnsi" w:eastAsiaTheme="minorEastAsia" w:cstheme="minorBidi"/>
      <w:kern w:val="2"/>
      <w:sz w:val="18"/>
      <w:szCs w:val="18"/>
    </w:rPr>
  </w:style>
  <w:style w:type="character" w:customStyle="1" w:styleId="37">
    <w:name w:val="font41"/>
    <w:basedOn w:val="21"/>
    <w:qFormat/>
    <w:uiPriority w:val="0"/>
    <w:rPr>
      <w:rFonts w:hint="default" w:ascii="Arial" w:hAnsi="Arial" w:cs="Arial"/>
      <w:color w:val="000000"/>
      <w:sz w:val="20"/>
      <w:szCs w:val="20"/>
      <w:u w:val="none"/>
    </w:rPr>
  </w:style>
  <w:style w:type="character" w:customStyle="1" w:styleId="38">
    <w:name w:val="font21"/>
    <w:basedOn w:val="21"/>
    <w:qFormat/>
    <w:uiPriority w:val="0"/>
    <w:rPr>
      <w:rFonts w:hint="eastAsia" w:ascii="宋体" w:hAnsi="宋体" w:eastAsia="宋体" w:cs="宋体"/>
      <w:color w:val="000000"/>
      <w:sz w:val="20"/>
      <w:szCs w:val="20"/>
      <w:u w:val="none"/>
    </w:rPr>
  </w:style>
  <w:style w:type="character" w:customStyle="1" w:styleId="39">
    <w:name w:val="标题 2 Char"/>
    <w:link w:val="3"/>
    <w:qFormat/>
    <w:uiPriority w:val="0"/>
    <w:rPr>
      <w:rFonts w:ascii="Arial" w:hAnsi="Arial" w:eastAsia="仿宋"/>
      <w:b/>
      <w:sz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chart" Target="charts/chart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t>       设备购置费项目绩效评价指标得分情况</a:t>
            </a:r>
            <a:endParaRPr lang="zh-CN"/>
          </a:p>
        </c:rich>
      </c:tx>
      <c:layout>
        <c:manualLayout>
          <c:xMode val="edge"/>
          <c:yMode val="edge"/>
          <c:x val="0.218101590418557"/>
          <c:y val="0.0201013120536981"/>
        </c:manualLayout>
      </c:layout>
      <c:overlay val="0"/>
      <c:spPr>
        <a:noFill/>
        <a:ln>
          <a:noFill/>
        </a:ln>
        <a:effectLst/>
      </c:spPr>
    </c:title>
    <c:autoTitleDeleted val="0"/>
    <c:plotArea>
      <c:layout>
        <c:manualLayout>
          <c:layoutTarget val="inner"/>
          <c:xMode val="edge"/>
          <c:yMode val="edge"/>
          <c:x val="0.125233904767623"/>
          <c:y val="0.124365532381998"/>
          <c:w val="0.8337"/>
          <c:h val="0.5763"/>
        </c:manualLayout>
      </c:layout>
      <c:barChart>
        <c:barDir val="col"/>
        <c:grouping val="clustered"/>
        <c:varyColors val="0"/>
        <c:ser>
          <c:idx val="0"/>
          <c:order val="0"/>
          <c:tx>
            <c:strRef>
              <c:f>Sheet1!$B$1</c:f>
              <c:strCache>
                <c:ptCount val="1"/>
                <c:pt idx="0">
                  <c:v>权重</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成本指标</c:v>
                </c:pt>
                <c:pt idx="3">
                  <c:v>产出指标</c:v>
                </c:pt>
                <c:pt idx="4">
                  <c:v>效益指标</c:v>
                </c:pt>
              </c:strCache>
            </c:strRef>
          </c:cat>
          <c:val>
            <c:numRef>
              <c:f>Sheet1!$B$2:$B$6</c:f>
              <c:numCache>
                <c:formatCode>General</c:formatCode>
                <c:ptCount val="5"/>
                <c:pt idx="0">
                  <c:v>20</c:v>
                </c:pt>
                <c:pt idx="1">
                  <c:v>20</c:v>
                </c:pt>
                <c:pt idx="2">
                  <c:v>10</c:v>
                </c:pt>
                <c:pt idx="3">
                  <c:v>30</c:v>
                </c:pt>
                <c:pt idx="4">
                  <c:v>20</c:v>
                </c:pt>
              </c:numCache>
            </c:numRef>
          </c:val>
        </c:ser>
        <c:ser>
          <c:idx val="1"/>
          <c:order val="1"/>
          <c:tx>
            <c:strRef>
              <c:f>Sheet1!$C$1</c:f>
              <c:strCache>
                <c:ptCount val="1"/>
                <c:pt idx="0">
                  <c:v>得分</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成本指标</c:v>
                </c:pt>
                <c:pt idx="3">
                  <c:v>产出指标</c:v>
                </c:pt>
                <c:pt idx="4">
                  <c:v>效益指标</c:v>
                </c:pt>
              </c:strCache>
            </c:strRef>
          </c:cat>
          <c:val>
            <c:numRef>
              <c:f>Sheet1!$C$2:$C$6</c:f>
              <c:numCache>
                <c:formatCode>General</c:formatCode>
                <c:ptCount val="5"/>
                <c:pt idx="0">
                  <c:v>20</c:v>
                </c:pt>
                <c:pt idx="1">
                  <c:v>17.09</c:v>
                </c:pt>
                <c:pt idx="2">
                  <c:v>10</c:v>
                </c:pt>
                <c:pt idx="3">
                  <c:v>23.78</c:v>
                </c:pt>
                <c:pt idx="4">
                  <c:v>20</c:v>
                </c:pt>
              </c:numCache>
            </c:numRef>
          </c:val>
        </c:ser>
        <c:ser>
          <c:idx val="2"/>
          <c:order val="2"/>
          <c:tx>
            <c:strRef>
              <c:f>Sheet1!$D$1</c:f>
              <c:strCache>
                <c:ptCount val="1"/>
                <c:pt idx="0">
                  <c:v>得分率</c:v>
                </c:pt>
              </c:strCache>
            </c:strRef>
          </c:tx>
          <c:spPr>
            <a:solidFill>
              <a:schemeClr val="accent3"/>
            </a:solidFill>
            <a:ln>
              <a:noFill/>
            </a:ln>
            <a:effectLst/>
          </c:spPr>
          <c:invertIfNegative val="0"/>
          <c:dLbls>
            <c:dLbl>
              <c:idx val="0"/>
              <c:layout>
                <c:manualLayout>
                  <c:x val="0.017531556802244"/>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245441795231417"/>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210378681626928"/>
                  <c:y val="0.0049350222075999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22791023842917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成本指标</c:v>
                </c:pt>
                <c:pt idx="3">
                  <c:v>产出指标</c:v>
                </c:pt>
                <c:pt idx="4">
                  <c:v>效益指标</c:v>
                </c:pt>
              </c:strCache>
            </c:strRef>
          </c:cat>
          <c:val>
            <c:numRef>
              <c:f>Sheet1!$D$2:$D$6</c:f>
              <c:numCache>
                <c:formatCode>0.00%</c:formatCode>
                <c:ptCount val="5"/>
                <c:pt idx="0">
                  <c:v>1</c:v>
                </c:pt>
                <c:pt idx="1">
                  <c:v>0.8545</c:v>
                </c:pt>
                <c:pt idx="2">
                  <c:v>1</c:v>
                </c:pt>
                <c:pt idx="3">
                  <c:v>0.792666666666667</c:v>
                </c:pt>
                <c:pt idx="4">
                  <c:v>1</c:v>
                </c:pt>
              </c:numCache>
            </c:numRef>
          </c:val>
        </c:ser>
        <c:dLbls>
          <c:showLegendKey val="0"/>
          <c:showVal val="1"/>
          <c:showCatName val="0"/>
          <c:showSerName val="0"/>
          <c:showPercent val="0"/>
          <c:showBubbleSize val="0"/>
        </c:dLbls>
        <c:gapWidth val="219"/>
        <c:overlap val="-27"/>
        <c:axId val="-1549276064"/>
        <c:axId val="-1549272256"/>
      </c:barChart>
      <c:catAx>
        <c:axId val="-1549276064"/>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549272256"/>
        <c:crosses val="autoZero"/>
        <c:auto val="1"/>
        <c:lblAlgn val="ctr"/>
        <c:lblOffset val="100"/>
        <c:noMultiLvlLbl val="0"/>
      </c:catAx>
      <c:valAx>
        <c:axId val="-15492722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54927606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FDBD11-1D92-48EC-A2E2-01E0962C9A49}">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34</Pages>
  <Words>14425</Words>
  <Characters>15465</Characters>
  <Lines>168</Lines>
  <Paragraphs>47</Paragraphs>
  <TotalTime>0</TotalTime>
  <ScaleCrop>false</ScaleCrop>
  <LinksUpToDate>false</LinksUpToDate>
  <CharactersWithSpaces>15747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2023-08-31T02:58:00Z</dcterms:created>
  <dc:creator>1129</dc:creator>
  <cp:lastModifiedBy>燕子 13893107503</cp:lastModifiedBy>
  <cp:lastPrinted>2024-07-09T08:19:00Z</cp:lastPrinted>
  <dcterms:modified xsi:type="dcterms:W3CDTF">2024-08-12T08:07:00Z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E9A59774F7974C598E008815C485F946_13</vt:lpwstr>
  </property>
</Properties>
</file>