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868FF" w:rsidRDefault="00B868FF">
      <w:pPr>
        <w:pStyle w:val="a6"/>
        <w:overflowPunct w:val="0"/>
        <w:spacing w:line="680" w:lineRule="exact"/>
        <w:rPr>
          <w:rFonts w:ascii="仿宋_GB2312"/>
        </w:rPr>
      </w:pPr>
    </w:p>
    <w:p w:rsidR="00B868FF" w:rsidRDefault="00B868FF">
      <w:pPr>
        <w:overflowPunct w:val="0"/>
        <w:spacing w:line="680" w:lineRule="exact"/>
        <w:ind w:left="6" w:right="4"/>
        <w:jc w:val="center"/>
        <w:rPr>
          <w:rFonts w:ascii="宋体" w:eastAsia="宋体" w:hAnsi="宋体" w:cs="Times New Roman" w:hint="eastAsia"/>
          <w:b/>
          <w:sz w:val="44"/>
          <w:szCs w:val="44"/>
        </w:rPr>
      </w:pPr>
    </w:p>
    <w:p w:rsidR="00B868FF" w:rsidRDefault="00B868FF">
      <w:pPr>
        <w:overflowPunct w:val="0"/>
        <w:spacing w:line="680" w:lineRule="exact"/>
        <w:ind w:left="6" w:right="4"/>
        <w:jc w:val="center"/>
        <w:rPr>
          <w:rFonts w:ascii="宋体" w:eastAsia="宋体" w:hAnsi="宋体" w:cs="Times New Roman" w:hint="eastAsia"/>
          <w:b/>
          <w:sz w:val="44"/>
          <w:szCs w:val="44"/>
        </w:rPr>
      </w:pPr>
    </w:p>
    <w:p w:rsidR="00B868FF" w:rsidRDefault="00000000">
      <w:pPr>
        <w:overflowPunct w:val="0"/>
        <w:spacing w:line="680" w:lineRule="exact"/>
        <w:ind w:left="6" w:right="4"/>
        <w:jc w:val="center"/>
        <w:rPr>
          <w:rFonts w:ascii="方正小标宋简体" w:eastAsia="方正小标宋简体" w:hAnsi="方正小标宋简体" w:cs="方正小标宋简体" w:hint="eastAsia"/>
          <w:b/>
          <w:bCs/>
          <w:sz w:val="44"/>
          <w:szCs w:val="44"/>
        </w:rPr>
      </w:pPr>
      <w:r>
        <w:rPr>
          <w:rFonts w:ascii="方正小标宋简体" w:eastAsia="方正小标宋简体" w:hAnsi="方正小标宋简体" w:cs="方正小标宋简体" w:hint="eastAsia"/>
          <w:sz w:val="44"/>
          <w:szCs w:val="44"/>
        </w:rPr>
        <w:t>2023年度甘肃省高级人民法院重点项目</w:t>
      </w:r>
    </w:p>
    <w:p w:rsidR="00B868FF" w:rsidRDefault="00000000">
      <w:pPr>
        <w:overflowPunct w:val="0"/>
        <w:spacing w:line="680" w:lineRule="exact"/>
        <w:ind w:left="6" w:right="4"/>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—文化建设宣传经费项目绩效评价报告</w:t>
      </w:r>
    </w:p>
    <w:p w:rsidR="00B868FF" w:rsidRDefault="00B868FF">
      <w:pPr>
        <w:pStyle w:val="a6"/>
        <w:overflowPunct w:val="0"/>
        <w:spacing w:line="680" w:lineRule="exact"/>
        <w:rPr>
          <w:sz w:val="56"/>
        </w:rPr>
      </w:pPr>
    </w:p>
    <w:p w:rsidR="00B868FF" w:rsidRDefault="00B868FF">
      <w:pPr>
        <w:pStyle w:val="aa"/>
      </w:pPr>
    </w:p>
    <w:p w:rsidR="00B868FF" w:rsidRDefault="00B868FF">
      <w:pPr>
        <w:pStyle w:val="a6"/>
        <w:overflowPunct w:val="0"/>
        <w:spacing w:line="680" w:lineRule="exact"/>
        <w:rPr>
          <w:sz w:val="56"/>
        </w:rPr>
      </w:pPr>
    </w:p>
    <w:p w:rsidR="00B868FF" w:rsidRDefault="00B868FF">
      <w:pPr>
        <w:pStyle w:val="aa"/>
        <w:rPr>
          <w:sz w:val="56"/>
        </w:rPr>
      </w:pPr>
    </w:p>
    <w:p w:rsidR="00B868FF" w:rsidRDefault="00000000">
      <w:pPr>
        <w:spacing w:line="578" w:lineRule="exact"/>
        <w:ind w:firstLineChars="100" w:firstLine="300"/>
        <w:rPr>
          <w:rFonts w:ascii="仿宋_GB2312" w:eastAsia="仿宋_GB2312" w:hAnsi="仿宋" w:cs="仿宋" w:hint="eastAsia"/>
          <w:sz w:val="30"/>
          <w:szCs w:val="32"/>
          <w:u w:val="single"/>
        </w:rPr>
      </w:pPr>
      <w:r>
        <w:rPr>
          <w:rFonts w:ascii="仿宋_GB2312" w:eastAsia="仿宋_GB2312" w:hAnsi="仿宋" w:cs="仿宋" w:hint="eastAsia"/>
          <w:sz w:val="30"/>
          <w:szCs w:val="32"/>
        </w:rPr>
        <w:t>评价类型：</w:t>
      </w:r>
      <w:r>
        <w:rPr>
          <w:rFonts w:ascii="仿宋_GB2312" w:eastAsia="仿宋_GB2312" w:hAnsi="仿宋" w:cs="仿宋" w:hint="eastAsia"/>
          <w:sz w:val="30"/>
          <w:szCs w:val="32"/>
          <w:u w:val="single"/>
        </w:rPr>
        <w:t>□实施过程评价</w:t>
      </w:r>
      <w:r>
        <w:rPr>
          <w:rFonts w:ascii="仿宋_GB2312" w:eastAsia="仿宋_GB2312" w:hAnsi="仿宋" w:cs="仿宋" w:hint="eastAsia"/>
          <w:sz w:val="30"/>
          <w:szCs w:val="32"/>
        </w:rPr>
        <w:t xml:space="preserve">          </w:t>
      </w:r>
      <w:r>
        <w:rPr>
          <w:rFonts w:ascii="仿宋_GB2312" w:eastAsia="仿宋_GB2312" w:hAnsi="仿宋" w:cs="仿宋" w:hint="eastAsia"/>
          <w:sz w:val="30"/>
          <w:szCs w:val="32"/>
          <w:u w:val="single"/>
        </w:rPr>
        <w:t>☑完成结果评价</w:t>
      </w:r>
    </w:p>
    <w:p w:rsidR="00B868FF" w:rsidRDefault="00000000">
      <w:pPr>
        <w:spacing w:line="578" w:lineRule="exact"/>
        <w:ind w:left="1800" w:rightChars="217" w:right="456" w:hangingChars="600" w:hanging="1800"/>
        <w:jc w:val="left"/>
        <w:rPr>
          <w:rFonts w:ascii="仿宋_GB2312" w:eastAsia="仿宋_GB2312" w:hAnsi="仿宋" w:cs="仿宋" w:hint="eastAsia"/>
          <w:sz w:val="30"/>
          <w:szCs w:val="32"/>
          <w:u w:val="single"/>
        </w:rPr>
      </w:pPr>
      <w:r>
        <w:rPr>
          <w:rFonts w:ascii="仿宋_GB2312" w:eastAsia="仿宋_GB2312" w:hAnsi="仿宋" w:cs="仿宋" w:hint="eastAsia"/>
          <w:sz w:val="30"/>
          <w:szCs w:val="32"/>
        </w:rPr>
        <w:t xml:space="preserve">  项目名称：</w:t>
      </w:r>
      <w:r>
        <w:rPr>
          <w:rFonts w:ascii="仿宋_GB2312" w:eastAsia="仿宋_GB2312" w:hAnsi="仿宋" w:cs="仿宋" w:hint="eastAsia"/>
          <w:sz w:val="30"/>
          <w:szCs w:val="32"/>
          <w:u w:val="single"/>
        </w:rPr>
        <w:t xml:space="preserve"> 2023年度甘肃省高级人民法院重点项目  </w:t>
      </w:r>
    </w:p>
    <w:p w:rsidR="00B868FF" w:rsidRDefault="00000000">
      <w:pPr>
        <w:spacing w:line="578" w:lineRule="exact"/>
        <w:ind w:leftChars="710" w:left="1791" w:rightChars="217" w:right="456" w:hangingChars="100" w:hanging="300"/>
        <w:jc w:val="left"/>
        <w:rPr>
          <w:rFonts w:ascii="仿宋_GB2312" w:eastAsia="仿宋_GB2312" w:hAnsi="仿宋" w:cs="仿宋" w:hint="eastAsia"/>
          <w:sz w:val="30"/>
          <w:szCs w:val="32"/>
        </w:rPr>
      </w:pPr>
      <w:r>
        <w:rPr>
          <w:rFonts w:ascii="仿宋_GB2312" w:eastAsia="仿宋_GB2312" w:hAnsi="仿宋" w:cs="仿宋" w:hint="eastAsia"/>
          <w:sz w:val="30"/>
          <w:szCs w:val="32"/>
        </w:rPr>
        <w:t xml:space="preserve">  </w:t>
      </w:r>
      <w:r>
        <w:rPr>
          <w:rFonts w:ascii="仿宋_GB2312" w:eastAsia="仿宋_GB2312" w:hAnsi="仿宋" w:cs="仿宋" w:hint="eastAsia"/>
          <w:sz w:val="30"/>
          <w:szCs w:val="32"/>
          <w:u w:val="single"/>
        </w:rPr>
        <w:t xml:space="preserve">——文化建设宣传经费项目                  </w:t>
      </w:r>
    </w:p>
    <w:p w:rsidR="00B868FF" w:rsidRDefault="00000000">
      <w:pPr>
        <w:spacing w:line="578" w:lineRule="exact"/>
        <w:ind w:left="1800" w:rightChars="217" w:right="456" w:hangingChars="600" w:hanging="1800"/>
        <w:jc w:val="left"/>
        <w:rPr>
          <w:rFonts w:ascii="仿宋_GB2312" w:eastAsia="仿宋_GB2312" w:hAnsi="仿宋" w:cs="仿宋" w:hint="eastAsia"/>
          <w:sz w:val="30"/>
          <w:szCs w:val="32"/>
        </w:rPr>
      </w:pPr>
      <w:r>
        <w:rPr>
          <w:rFonts w:ascii="仿宋_GB2312" w:eastAsia="仿宋_GB2312" w:hAnsi="仿宋" w:cs="仿宋" w:hint="eastAsia"/>
          <w:sz w:val="30"/>
          <w:szCs w:val="32"/>
        </w:rPr>
        <w:t xml:space="preserve">  主管部门：</w:t>
      </w:r>
      <w:r>
        <w:rPr>
          <w:rFonts w:ascii="仿宋_GB2312" w:eastAsia="仿宋_GB2312" w:hAnsi="仿宋" w:cs="仿宋" w:hint="eastAsia"/>
          <w:sz w:val="30"/>
          <w:szCs w:val="32"/>
          <w:u w:val="single"/>
        </w:rPr>
        <w:t xml:space="preserve"> 甘肃省高级人民法院                   </w:t>
      </w:r>
    </w:p>
    <w:p w:rsidR="00B868FF" w:rsidRDefault="00000000">
      <w:pPr>
        <w:spacing w:line="578" w:lineRule="exact"/>
        <w:ind w:left="1800" w:rightChars="217" w:right="456" w:hangingChars="600" w:hanging="1800"/>
        <w:jc w:val="left"/>
        <w:rPr>
          <w:rFonts w:ascii="仿宋_GB2312" w:eastAsia="仿宋_GB2312" w:hAnsi="仿宋" w:cs="仿宋" w:hint="eastAsia"/>
          <w:sz w:val="30"/>
          <w:szCs w:val="32"/>
          <w:u w:val="single"/>
        </w:rPr>
      </w:pPr>
      <w:r>
        <w:rPr>
          <w:rFonts w:ascii="仿宋_GB2312" w:eastAsia="仿宋_GB2312" w:hAnsi="仿宋" w:cs="仿宋" w:hint="eastAsia"/>
          <w:sz w:val="30"/>
          <w:szCs w:val="32"/>
        </w:rPr>
        <w:t xml:space="preserve">  评价时间： </w:t>
      </w:r>
      <w:r>
        <w:rPr>
          <w:rFonts w:ascii="仿宋_GB2312" w:eastAsia="仿宋_GB2312" w:hAnsi="仿宋" w:cs="仿宋" w:hint="eastAsia"/>
          <w:sz w:val="30"/>
          <w:szCs w:val="32"/>
          <w:u w:val="single"/>
        </w:rPr>
        <w:t>2023年01月01日至 2023年12月31日</w:t>
      </w:r>
    </w:p>
    <w:p w:rsidR="00B868FF" w:rsidRDefault="00000000">
      <w:pPr>
        <w:spacing w:line="578" w:lineRule="exact"/>
        <w:ind w:left="1800" w:rightChars="217" w:right="456" w:hangingChars="600" w:hanging="1800"/>
        <w:jc w:val="left"/>
        <w:rPr>
          <w:rFonts w:ascii="仿宋_GB2312" w:eastAsia="仿宋_GB2312" w:hAnsi="仿宋" w:cs="仿宋" w:hint="eastAsia"/>
          <w:sz w:val="30"/>
          <w:szCs w:val="32"/>
        </w:rPr>
      </w:pPr>
      <w:r>
        <w:rPr>
          <w:rFonts w:ascii="仿宋_GB2312" w:eastAsia="仿宋_GB2312" w:hAnsi="仿宋" w:cs="仿宋" w:hint="eastAsia"/>
          <w:sz w:val="30"/>
          <w:szCs w:val="32"/>
        </w:rPr>
        <w:t xml:space="preserve">  组织方式：</w:t>
      </w:r>
      <w:r>
        <w:rPr>
          <w:rFonts w:ascii="仿宋_GB2312" w:eastAsia="仿宋_GB2312" w:hAnsi="仿宋" w:cs="仿宋" w:hint="eastAsia"/>
          <w:sz w:val="30"/>
          <w:szCs w:val="32"/>
          <w:u w:val="single"/>
        </w:rPr>
        <w:t>□财政部门</w:t>
      </w:r>
      <w:r>
        <w:rPr>
          <w:rFonts w:ascii="仿宋_GB2312" w:eastAsia="仿宋_GB2312" w:hAnsi="仿宋" w:cs="仿宋" w:hint="eastAsia"/>
          <w:sz w:val="30"/>
          <w:szCs w:val="32"/>
        </w:rPr>
        <w:t xml:space="preserve">    </w:t>
      </w:r>
      <w:r>
        <w:rPr>
          <w:rFonts w:ascii="仿宋_GB2312" w:eastAsia="仿宋_GB2312" w:hAnsi="仿宋" w:cs="仿宋" w:hint="eastAsia"/>
          <w:sz w:val="30"/>
          <w:szCs w:val="32"/>
          <w:u w:val="single"/>
        </w:rPr>
        <w:t xml:space="preserve"> ☑主管部门</w:t>
      </w:r>
      <w:r>
        <w:rPr>
          <w:rFonts w:ascii="仿宋_GB2312" w:eastAsia="仿宋_GB2312" w:hAnsi="仿宋" w:cs="仿宋" w:hint="eastAsia"/>
          <w:sz w:val="30"/>
          <w:szCs w:val="32"/>
        </w:rPr>
        <w:t xml:space="preserve">     </w:t>
      </w:r>
      <w:r>
        <w:rPr>
          <w:rFonts w:ascii="仿宋_GB2312" w:eastAsia="仿宋_GB2312" w:hAnsi="仿宋" w:cs="仿宋" w:hint="eastAsia"/>
          <w:sz w:val="30"/>
          <w:szCs w:val="32"/>
          <w:u w:val="single"/>
        </w:rPr>
        <w:t>□项目单位</w:t>
      </w:r>
      <w:r>
        <w:rPr>
          <w:rFonts w:ascii="仿宋_GB2312" w:eastAsia="仿宋_GB2312" w:hAnsi="仿宋" w:cs="仿宋" w:hint="eastAsia"/>
          <w:sz w:val="30"/>
          <w:szCs w:val="32"/>
        </w:rPr>
        <w:t xml:space="preserve"> </w:t>
      </w:r>
    </w:p>
    <w:p w:rsidR="00B868FF" w:rsidRDefault="00000000">
      <w:pPr>
        <w:spacing w:line="578" w:lineRule="exact"/>
        <w:ind w:left="1800" w:rightChars="217" w:right="456" w:hangingChars="600" w:hanging="1800"/>
        <w:jc w:val="left"/>
        <w:rPr>
          <w:rFonts w:ascii="仿宋_GB2312" w:eastAsia="仿宋_GB2312" w:hAnsi="仿宋" w:cs="仿宋" w:hint="eastAsia"/>
          <w:sz w:val="30"/>
          <w:szCs w:val="32"/>
        </w:rPr>
      </w:pPr>
      <w:r>
        <w:rPr>
          <w:rFonts w:ascii="仿宋_GB2312" w:eastAsia="仿宋_GB2312" w:hAnsi="仿宋" w:cs="仿宋" w:hint="eastAsia"/>
          <w:sz w:val="30"/>
          <w:szCs w:val="32"/>
        </w:rPr>
        <w:t xml:space="preserve">  评价机构：</w:t>
      </w:r>
      <w:r>
        <w:rPr>
          <w:rFonts w:ascii="仿宋_GB2312" w:eastAsia="仿宋_GB2312" w:hAnsi="仿宋" w:cs="仿宋" w:hint="eastAsia"/>
          <w:sz w:val="30"/>
          <w:szCs w:val="32"/>
          <w:u w:val="single"/>
        </w:rPr>
        <w:t>☑中介机构</w:t>
      </w:r>
      <w:r>
        <w:rPr>
          <w:rFonts w:ascii="仿宋_GB2312" w:eastAsia="仿宋_GB2312" w:hAnsi="仿宋" w:cs="仿宋" w:hint="eastAsia"/>
          <w:sz w:val="30"/>
          <w:szCs w:val="32"/>
        </w:rPr>
        <w:t xml:space="preserve">    </w:t>
      </w:r>
      <w:r>
        <w:rPr>
          <w:rFonts w:ascii="仿宋_GB2312" w:eastAsia="仿宋_GB2312" w:hAnsi="仿宋" w:cs="仿宋" w:hint="eastAsia"/>
          <w:sz w:val="30"/>
          <w:szCs w:val="32"/>
          <w:u w:val="single"/>
        </w:rPr>
        <w:t>□专家组</w:t>
      </w:r>
      <w:r>
        <w:rPr>
          <w:rFonts w:ascii="仿宋_GB2312" w:eastAsia="仿宋_GB2312" w:hAnsi="仿宋" w:cs="仿宋" w:hint="eastAsia"/>
          <w:sz w:val="30"/>
          <w:szCs w:val="32"/>
        </w:rPr>
        <w:t xml:space="preserve">   </w:t>
      </w:r>
      <w:r>
        <w:rPr>
          <w:rFonts w:ascii="仿宋_GB2312" w:eastAsia="仿宋_GB2312" w:hAnsi="仿宋" w:cs="仿宋" w:hint="eastAsia"/>
          <w:sz w:val="30"/>
          <w:szCs w:val="32"/>
          <w:u w:val="single"/>
        </w:rPr>
        <w:t>□项目单位评价组</w:t>
      </w:r>
    </w:p>
    <w:p w:rsidR="00B868FF" w:rsidRDefault="00B868FF">
      <w:pPr>
        <w:spacing w:line="578" w:lineRule="exact"/>
        <w:rPr>
          <w:rFonts w:ascii="仿宋_GB2312" w:eastAsia="仿宋_GB2312" w:hAnsi="仿宋" w:cs="仿宋" w:hint="eastAsia"/>
          <w:sz w:val="30"/>
          <w:szCs w:val="32"/>
        </w:rPr>
      </w:pPr>
    </w:p>
    <w:p w:rsidR="00B868FF" w:rsidRDefault="00000000">
      <w:pPr>
        <w:spacing w:line="578" w:lineRule="exact"/>
        <w:ind w:left="4800" w:hangingChars="1600" w:hanging="4800"/>
        <w:rPr>
          <w:rFonts w:ascii="仿宋_GB2312" w:eastAsia="仿宋_GB2312" w:hAnsi="仿宋" w:cs="仿宋" w:hint="eastAsia"/>
          <w:sz w:val="30"/>
          <w:szCs w:val="32"/>
        </w:rPr>
      </w:pPr>
      <w:r>
        <w:rPr>
          <w:rFonts w:ascii="仿宋_GB2312" w:eastAsia="仿宋_GB2312" w:hAnsi="仿宋" w:cs="仿宋" w:hint="eastAsia"/>
          <w:sz w:val="30"/>
          <w:szCs w:val="32"/>
        </w:rPr>
        <w:t xml:space="preserve">           </w:t>
      </w:r>
    </w:p>
    <w:p w:rsidR="00B868FF" w:rsidRDefault="00000000">
      <w:pPr>
        <w:spacing w:line="578" w:lineRule="exact"/>
        <w:ind w:left="4800" w:hangingChars="1600" w:hanging="4800"/>
        <w:rPr>
          <w:rFonts w:ascii="仿宋_GB2312" w:eastAsia="仿宋_GB2312" w:hAnsi="仿宋" w:cs="仿宋" w:hint="eastAsia"/>
          <w:sz w:val="30"/>
          <w:szCs w:val="32"/>
        </w:rPr>
      </w:pPr>
      <w:r>
        <w:rPr>
          <w:rFonts w:ascii="仿宋_GB2312" w:eastAsia="仿宋_GB2312" w:hAnsi="仿宋" w:cs="仿宋" w:hint="eastAsia"/>
          <w:sz w:val="30"/>
          <w:szCs w:val="32"/>
        </w:rPr>
        <w:t xml:space="preserve">  </w:t>
      </w:r>
    </w:p>
    <w:p w:rsidR="00B868FF" w:rsidRDefault="00000000">
      <w:pPr>
        <w:spacing w:line="578" w:lineRule="exact"/>
        <w:ind w:rightChars="217" w:right="456" w:firstLineChars="100" w:firstLine="300"/>
        <w:jc w:val="center"/>
        <w:rPr>
          <w:rFonts w:ascii="宋体" w:eastAsia="宋体" w:hAnsi="宋体" w:cs="宋体" w:hint="eastAsia"/>
          <w:sz w:val="30"/>
          <w:szCs w:val="32"/>
        </w:rPr>
      </w:pPr>
      <w:r>
        <w:rPr>
          <w:rFonts w:ascii="宋体" w:eastAsia="宋体" w:hAnsi="宋体" w:cs="宋体" w:hint="eastAsia"/>
          <w:sz w:val="30"/>
          <w:szCs w:val="32"/>
        </w:rPr>
        <w:t>评价单位：甘肃卓诚财务咨询有限公司</w:t>
      </w:r>
    </w:p>
    <w:p w:rsidR="00B868FF" w:rsidRDefault="00000000">
      <w:pPr>
        <w:spacing w:line="578" w:lineRule="exact"/>
        <w:ind w:rightChars="217" w:right="456" w:firstLineChars="500" w:firstLine="1500"/>
        <w:rPr>
          <w:rFonts w:ascii="宋体" w:eastAsia="宋体" w:hAnsi="宋体" w:cs="宋体" w:hint="eastAsia"/>
          <w:sz w:val="30"/>
          <w:szCs w:val="32"/>
        </w:rPr>
        <w:sectPr w:rsidR="00B868FF">
          <w:headerReference w:type="default" r:id="rId9"/>
          <w:footerReference w:type="default" r:id="rId10"/>
          <w:pgSz w:w="11906" w:h="16838"/>
          <w:pgMar w:top="1440" w:right="1519" w:bottom="1440" w:left="1633" w:header="851" w:footer="992" w:gutter="0"/>
          <w:cols w:space="720"/>
          <w:titlePg/>
          <w:docGrid w:type="lines" w:linePitch="312"/>
        </w:sectPr>
      </w:pPr>
      <w:r>
        <w:rPr>
          <w:rFonts w:ascii="宋体" w:eastAsia="宋体" w:hAnsi="宋体" w:cs="宋体" w:hint="eastAsia"/>
          <w:sz w:val="30"/>
          <w:szCs w:val="32"/>
        </w:rPr>
        <w:t>编制日期：2024年7月31日</w:t>
      </w:r>
    </w:p>
    <w:sdt>
      <w:sdtPr>
        <w:rPr>
          <w:rFonts w:ascii="宋体" w:eastAsia="宋体" w:hAnsi="宋体" w:cs="宋体" w:hint="eastAsia"/>
          <w:color w:val="FF0000"/>
          <w:sz w:val="40"/>
          <w:szCs w:val="40"/>
        </w:rPr>
        <w:id w:val="147453237"/>
        <w15:color w:val="DBDBDB"/>
        <w:docPartObj>
          <w:docPartGallery w:val="Table of Contents"/>
          <w:docPartUnique/>
        </w:docPartObj>
      </w:sdtPr>
      <w:sdtEndPr>
        <w:rPr>
          <w:b/>
          <w:bCs/>
          <w:sz w:val="32"/>
          <w:szCs w:val="44"/>
          <w:highlight w:val="yellow"/>
        </w:rPr>
      </w:sdtEndPr>
      <w:sdtContent>
        <w:p w:rsidR="00B868FF" w:rsidRDefault="00000000">
          <w:pPr>
            <w:jc w:val="center"/>
            <w:rPr>
              <w:rFonts w:ascii="宋体" w:eastAsia="宋体" w:hAnsi="宋体" w:cs="宋体" w:hint="eastAsia"/>
              <w:b/>
              <w:bCs/>
              <w:sz w:val="36"/>
              <w:szCs w:val="36"/>
            </w:rPr>
          </w:pPr>
          <w:r>
            <w:rPr>
              <w:rFonts w:ascii="宋体" w:eastAsia="宋体" w:hAnsi="宋体" w:cs="宋体" w:hint="eastAsia"/>
              <w:b/>
              <w:bCs/>
              <w:sz w:val="36"/>
              <w:szCs w:val="36"/>
            </w:rPr>
            <w:t>目  录</w:t>
          </w:r>
        </w:p>
        <w:p w:rsidR="00D07D63" w:rsidRPr="00D07D63" w:rsidRDefault="00000000">
          <w:pPr>
            <w:pStyle w:val="TOC1"/>
            <w:tabs>
              <w:tab w:val="right" w:leader="dot" w:pos="8296"/>
            </w:tabs>
            <w:rPr>
              <w:rFonts w:ascii="宋体" w:eastAsia="宋体" w:hAnsi="宋体" w:cs="宋体" w:hint="eastAsia"/>
              <w:b/>
              <w:bCs/>
              <w:sz w:val="28"/>
              <w:szCs w:val="28"/>
            </w:rPr>
          </w:pPr>
          <w:r>
            <w:rPr>
              <w:rFonts w:ascii="宋体" w:eastAsia="宋体" w:hAnsi="宋体" w:cs="宋体" w:hint="eastAsia"/>
              <w:b/>
              <w:bCs/>
              <w:sz w:val="28"/>
              <w:szCs w:val="28"/>
              <w:highlight w:val="yellow"/>
            </w:rPr>
            <w:fldChar w:fldCharType="begin"/>
          </w:r>
          <w:r>
            <w:rPr>
              <w:rFonts w:ascii="宋体" w:eastAsia="宋体" w:hAnsi="宋体" w:cs="宋体" w:hint="eastAsia"/>
              <w:b/>
              <w:bCs/>
              <w:sz w:val="28"/>
              <w:szCs w:val="28"/>
              <w:highlight w:val="yellow"/>
            </w:rPr>
            <w:instrText xml:space="preserve">TOC \o "1-2" \h \u </w:instrText>
          </w:r>
          <w:r>
            <w:rPr>
              <w:rFonts w:ascii="宋体" w:eastAsia="宋体" w:hAnsi="宋体" w:cs="宋体" w:hint="eastAsia"/>
              <w:b/>
              <w:bCs/>
              <w:sz w:val="28"/>
              <w:szCs w:val="28"/>
              <w:highlight w:val="yellow"/>
            </w:rPr>
            <w:fldChar w:fldCharType="separate"/>
          </w:r>
          <w:hyperlink w:anchor="_Toc174374992" w:history="1">
            <w:r w:rsidR="00D07D63" w:rsidRPr="00D07D63">
              <w:rPr>
                <w:rFonts w:ascii="宋体" w:eastAsia="宋体" w:cs="宋体" w:hint="eastAsia"/>
                <w:b/>
                <w:bCs/>
                <w:sz w:val="28"/>
                <w:szCs w:val="28"/>
              </w:rPr>
              <w:t>摘   要</w:t>
            </w:r>
            <w:r w:rsidR="00D07D63" w:rsidRPr="00D07D63">
              <w:rPr>
                <w:rFonts w:ascii="宋体" w:eastAsia="宋体" w:hAnsi="宋体" w:cs="宋体" w:hint="eastAsia"/>
                <w:b/>
                <w:bCs/>
                <w:sz w:val="28"/>
                <w:szCs w:val="28"/>
              </w:rPr>
              <w:tab/>
            </w:r>
            <w:r w:rsidR="00D07D63" w:rsidRPr="00D07D63">
              <w:rPr>
                <w:rFonts w:ascii="宋体" w:eastAsia="宋体" w:hAnsi="宋体" w:cs="宋体" w:hint="eastAsia"/>
                <w:b/>
                <w:bCs/>
                <w:sz w:val="28"/>
                <w:szCs w:val="28"/>
              </w:rPr>
              <w:fldChar w:fldCharType="begin"/>
            </w:r>
            <w:r w:rsidR="00D07D63" w:rsidRPr="00D07D63">
              <w:rPr>
                <w:rFonts w:ascii="宋体" w:eastAsia="宋体" w:hAnsi="宋体" w:cs="宋体" w:hint="eastAsia"/>
                <w:b/>
                <w:bCs/>
                <w:sz w:val="28"/>
                <w:szCs w:val="28"/>
              </w:rPr>
              <w:instrText xml:space="preserve"> </w:instrText>
            </w:r>
            <w:r w:rsidR="00D07D63" w:rsidRPr="00D07D63">
              <w:rPr>
                <w:rFonts w:ascii="宋体" w:eastAsia="宋体" w:hAnsi="宋体" w:cs="宋体"/>
                <w:b/>
                <w:bCs/>
                <w:sz w:val="28"/>
                <w:szCs w:val="28"/>
              </w:rPr>
              <w:instrText>PAGEREF _Toc174374992 \h</w:instrText>
            </w:r>
            <w:r w:rsidR="00D07D63" w:rsidRPr="00D07D63">
              <w:rPr>
                <w:rFonts w:ascii="宋体" w:eastAsia="宋体" w:hAnsi="宋体" w:cs="宋体" w:hint="eastAsia"/>
                <w:b/>
                <w:bCs/>
                <w:sz w:val="28"/>
                <w:szCs w:val="28"/>
              </w:rPr>
              <w:instrText xml:space="preserve"> </w:instrText>
            </w:r>
            <w:r w:rsidR="00D07D63" w:rsidRPr="00D07D63">
              <w:rPr>
                <w:rFonts w:ascii="宋体" w:eastAsia="宋体" w:hAnsi="宋体" w:cs="宋体" w:hint="eastAsia"/>
                <w:b/>
                <w:bCs/>
                <w:sz w:val="28"/>
                <w:szCs w:val="28"/>
              </w:rPr>
            </w:r>
            <w:r w:rsidR="00D07D63" w:rsidRPr="00D07D63">
              <w:rPr>
                <w:rFonts w:ascii="宋体" w:eastAsia="宋体" w:hAnsi="宋体" w:cs="宋体"/>
                <w:b/>
                <w:bCs/>
                <w:sz w:val="28"/>
                <w:szCs w:val="28"/>
              </w:rPr>
              <w:fldChar w:fldCharType="separate"/>
            </w:r>
            <w:r w:rsidR="00D07D63" w:rsidRPr="00D07D63">
              <w:rPr>
                <w:rFonts w:ascii="宋体" w:eastAsia="宋体" w:hAnsi="宋体" w:cs="宋体"/>
                <w:b/>
                <w:bCs/>
                <w:sz w:val="28"/>
                <w:szCs w:val="28"/>
              </w:rPr>
              <w:t>1</w:t>
            </w:r>
            <w:r w:rsidR="00D07D63" w:rsidRPr="00D07D63">
              <w:rPr>
                <w:rFonts w:ascii="宋体" w:eastAsia="宋体" w:hAnsi="宋体" w:cs="宋体" w:hint="eastAsia"/>
                <w:b/>
                <w:bCs/>
                <w:sz w:val="28"/>
                <w:szCs w:val="28"/>
              </w:rPr>
              <w:fldChar w:fldCharType="end"/>
            </w:r>
          </w:hyperlink>
        </w:p>
        <w:p w:rsidR="00D07D63" w:rsidRPr="00D07D63" w:rsidRDefault="00D07D63">
          <w:pPr>
            <w:pStyle w:val="TOC1"/>
            <w:tabs>
              <w:tab w:val="right" w:leader="dot" w:pos="8296"/>
            </w:tabs>
            <w:rPr>
              <w:rFonts w:ascii="宋体" w:eastAsia="宋体" w:hAnsi="宋体" w:cs="宋体" w:hint="eastAsia"/>
              <w:sz w:val="28"/>
              <w:szCs w:val="28"/>
            </w:rPr>
          </w:pPr>
          <w:hyperlink w:anchor="_Toc174374993" w:history="1">
            <w:r w:rsidRPr="00D07D63">
              <w:rPr>
                <w:rFonts w:ascii="宋体" w:eastAsia="宋体" w:hAnsi="宋体" w:cs="宋体" w:hint="eastAsia"/>
                <w:sz w:val="28"/>
                <w:szCs w:val="28"/>
              </w:rPr>
              <w:t>一、 项目基本情况</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_Toc174374993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1</w:t>
            </w:r>
            <w:r w:rsidRPr="00D07D63">
              <w:rPr>
                <w:rFonts w:ascii="宋体" w:eastAsia="宋体" w:hAnsi="宋体" w:cs="宋体" w:hint="eastAsia"/>
                <w:sz w:val="28"/>
                <w:szCs w:val="28"/>
              </w:rPr>
              <w:fldChar w:fldCharType="end"/>
            </w:r>
          </w:hyperlink>
        </w:p>
        <w:p w:rsidR="00D07D63" w:rsidRPr="00D07D63" w:rsidRDefault="00D07D63">
          <w:pPr>
            <w:pStyle w:val="TOC2"/>
            <w:tabs>
              <w:tab w:val="right" w:leader="dot" w:pos="8296"/>
            </w:tabs>
            <w:rPr>
              <w:rFonts w:ascii="宋体" w:eastAsia="宋体" w:hAnsi="宋体" w:cs="宋体" w:hint="eastAsia"/>
              <w:sz w:val="28"/>
              <w:szCs w:val="28"/>
            </w:rPr>
          </w:pPr>
          <w:hyperlink w:anchor="_Toc174374994" w:history="1">
            <w:r w:rsidRPr="00D07D63">
              <w:rPr>
                <w:rFonts w:ascii="宋体" w:eastAsia="宋体" w:hAnsi="宋体" w:cs="宋体" w:hint="eastAsia"/>
                <w:sz w:val="28"/>
                <w:szCs w:val="28"/>
              </w:rPr>
              <w:t>（一）项目立项背景及实施目的</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_Toc174374994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1</w:t>
            </w:r>
            <w:r w:rsidRPr="00D07D63">
              <w:rPr>
                <w:rFonts w:ascii="宋体" w:eastAsia="宋体" w:hAnsi="宋体" w:cs="宋体" w:hint="eastAsia"/>
                <w:sz w:val="28"/>
                <w:szCs w:val="28"/>
              </w:rPr>
              <w:fldChar w:fldCharType="end"/>
            </w:r>
          </w:hyperlink>
        </w:p>
        <w:p w:rsidR="00D07D63" w:rsidRPr="00D07D63" w:rsidRDefault="00D07D63">
          <w:pPr>
            <w:pStyle w:val="TOC2"/>
            <w:tabs>
              <w:tab w:val="right" w:leader="dot" w:pos="8296"/>
            </w:tabs>
            <w:rPr>
              <w:rFonts w:ascii="宋体" w:eastAsia="宋体" w:hAnsi="宋体" w:cs="宋体" w:hint="eastAsia"/>
              <w:sz w:val="28"/>
              <w:szCs w:val="28"/>
            </w:rPr>
          </w:pPr>
          <w:hyperlink w:anchor="_Toc174374995" w:history="1">
            <w:r w:rsidRPr="00D07D63">
              <w:rPr>
                <w:rFonts w:ascii="宋体" w:eastAsia="宋体" w:hAnsi="宋体" w:cs="宋体" w:hint="eastAsia"/>
                <w:sz w:val="28"/>
                <w:szCs w:val="28"/>
              </w:rPr>
              <w:t>（二）项目预算安排和支出情况</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_Toc174374995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1</w:t>
            </w:r>
            <w:r w:rsidRPr="00D07D63">
              <w:rPr>
                <w:rFonts w:ascii="宋体" w:eastAsia="宋体" w:hAnsi="宋体" w:cs="宋体" w:hint="eastAsia"/>
                <w:sz w:val="28"/>
                <w:szCs w:val="28"/>
              </w:rPr>
              <w:fldChar w:fldCharType="end"/>
            </w:r>
          </w:hyperlink>
        </w:p>
        <w:p w:rsidR="00D07D63" w:rsidRPr="00D07D63" w:rsidRDefault="00D07D63">
          <w:pPr>
            <w:pStyle w:val="TOC2"/>
            <w:tabs>
              <w:tab w:val="right" w:leader="dot" w:pos="8296"/>
            </w:tabs>
            <w:rPr>
              <w:rFonts w:ascii="宋体" w:eastAsia="宋体" w:hAnsi="宋体" w:cs="宋体" w:hint="eastAsia"/>
              <w:sz w:val="28"/>
              <w:szCs w:val="28"/>
            </w:rPr>
          </w:pPr>
          <w:hyperlink w:anchor="_Toc174374996" w:history="1">
            <w:r w:rsidRPr="00D07D63">
              <w:rPr>
                <w:rFonts w:ascii="宋体" w:eastAsia="宋体" w:hAnsi="宋体" w:cs="宋体" w:hint="eastAsia"/>
                <w:sz w:val="28"/>
                <w:szCs w:val="28"/>
              </w:rPr>
              <w:t>（三）项目实施情况</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_Toc174374996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1</w:t>
            </w:r>
            <w:r w:rsidRPr="00D07D63">
              <w:rPr>
                <w:rFonts w:ascii="宋体" w:eastAsia="宋体" w:hAnsi="宋体" w:cs="宋体" w:hint="eastAsia"/>
                <w:sz w:val="28"/>
                <w:szCs w:val="28"/>
              </w:rPr>
              <w:fldChar w:fldCharType="end"/>
            </w:r>
          </w:hyperlink>
        </w:p>
        <w:p w:rsidR="00D07D63" w:rsidRPr="00D07D63" w:rsidRDefault="00D07D63">
          <w:pPr>
            <w:pStyle w:val="TOC1"/>
            <w:tabs>
              <w:tab w:val="right" w:leader="dot" w:pos="8296"/>
            </w:tabs>
            <w:rPr>
              <w:rFonts w:ascii="宋体" w:eastAsia="宋体" w:hAnsi="宋体" w:cs="宋体" w:hint="eastAsia"/>
              <w:sz w:val="28"/>
              <w:szCs w:val="28"/>
            </w:rPr>
          </w:pPr>
          <w:hyperlink w:anchor="_Toc174374997" w:history="1">
            <w:r w:rsidRPr="00D07D63">
              <w:rPr>
                <w:rFonts w:ascii="宋体" w:eastAsia="宋体" w:hAnsi="宋体" w:cs="宋体" w:hint="eastAsia"/>
                <w:sz w:val="28"/>
                <w:szCs w:val="28"/>
              </w:rPr>
              <w:t>二、评价结论和绩效分析</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_Toc174374997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1</w:t>
            </w:r>
            <w:r w:rsidRPr="00D07D63">
              <w:rPr>
                <w:rFonts w:ascii="宋体" w:eastAsia="宋体" w:hAnsi="宋体" w:cs="宋体" w:hint="eastAsia"/>
                <w:sz w:val="28"/>
                <w:szCs w:val="28"/>
              </w:rPr>
              <w:fldChar w:fldCharType="end"/>
            </w:r>
          </w:hyperlink>
        </w:p>
        <w:p w:rsidR="00D07D63" w:rsidRPr="00D07D63" w:rsidRDefault="00D07D63">
          <w:pPr>
            <w:pStyle w:val="TOC2"/>
            <w:tabs>
              <w:tab w:val="right" w:leader="dot" w:pos="8296"/>
            </w:tabs>
            <w:rPr>
              <w:rFonts w:ascii="宋体" w:eastAsia="宋体" w:hAnsi="宋体" w:cs="宋体" w:hint="eastAsia"/>
              <w:sz w:val="28"/>
              <w:szCs w:val="28"/>
            </w:rPr>
          </w:pPr>
          <w:hyperlink w:anchor="_Toc174374998" w:history="1">
            <w:r w:rsidRPr="00D07D63">
              <w:rPr>
                <w:rFonts w:ascii="宋体" w:eastAsia="宋体" w:hAnsi="宋体" w:cs="宋体" w:hint="eastAsia"/>
                <w:sz w:val="28"/>
                <w:szCs w:val="28"/>
              </w:rPr>
              <w:t>（一）综合评价结论</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_Toc174374998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1</w:t>
            </w:r>
            <w:r w:rsidRPr="00D07D63">
              <w:rPr>
                <w:rFonts w:ascii="宋体" w:eastAsia="宋体" w:hAnsi="宋体" w:cs="宋体" w:hint="eastAsia"/>
                <w:sz w:val="28"/>
                <w:szCs w:val="28"/>
              </w:rPr>
              <w:fldChar w:fldCharType="end"/>
            </w:r>
          </w:hyperlink>
        </w:p>
        <w:p w:rsidR="00D07D63" w:rsidRPr="00D07D63" w:rsidRDefault="00D07D63">
          <w:pPr>
            <w:pStyle w:val="TOC2"/>
            <w:tabs>
              <w:tab w:val="right" w:leader="dot" w:pos="8296"/>
            </w:tabs>
            <w:rPr>
              <w:rFonts w:ascii="宋体" w:eastAsia="宋体" w:hAnsi="宋体" w:cs="宋体" w:hint="eastAsia"/>
              <w:sz w:val="28"/>
              <w:szCs w:val="28"/>
            </w:rPr>
          </w:pPr>
          <w:hyperlink w:anchor="_Toc174374999" w:history="1">
            <w:r w:rsidRPr="00D07D63">
              <w:rPr>
                <w:rFonts w:ascii="宋体" w:eastAsia="宋体" w:hAnsi="宋体" w:cs="宋体" w:hint="eastAsia"/>
                <w:sz w:val="28"/>
                <w:szCs w:val="28"/>
              </w:rPr>
              <w:t>（二）绩效分析</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_Toc174374999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2</w:t>
            </w:r>
            <w:r w:rsidRPr="00D07D63">
              <w:rPr>
                <w:rFonts w:ascii="宋体" w:eastAsia="宋体" w:hAnsi="宋体" w:cs="宋体" w:hint="eastAsia"/>
                <w:sz w:val="28"/>
                <w:szCs w:val="28"/>
              </w:rPr>
              <w:fldChar w:fldCharType="end"/>
            </w:r>
          </w:hyperlink>
        </w:p>
        <w:p w:rsidR="00D07D63" w:rsidRPr="00D07D63" w:rsidRDefault="00D07D63">
          <w:pPr>
            <w:pStyle w:val="TOC1"/>
            <w:tabs>
              <w:tab w:val="right" w:leader="dot" w:pos="8296"/>
            </w:tabs>
            <w:rPr>
              <w:rFonts w:ascii="宋体" w:eastAsia="宋体" w:hAnsi="宋体" w:cs="宋体" w:hint="eastAsia"/>
              <w:sz w:val="28"/>
              <w:szCs w:val="28"/>
            </w:rPr>
          </w:pPr>
          <w:hyperlink w:anchor="_Toc174375000" w:history="1">
            <w:r w:rsidRPr="00D07D63">
              <w:rPr>
                <w:rFonts w:ascii="宋体" w:eastAsia="宋体" w:hAnsi="宋体" w:cs="宋体" w:hint="eastAsia"/>
                <w:sz w:val="28"/>
                <w:szCs w:val="28"/>
              </w:rPr>
              <w:t>三、存在问题</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_Toc174375000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2</w:t>
            </w:r>
            <w:r w:rsidRPr="00D07D63">
              <w:rPr>
                <w:rFonts w:ascii="宋体" w:eastAsia="宋体" w:hAnsi="宋体" w:cs="宋体" w:hint="eastAsia"/>
                <w:sz w:val="28"/>
                <w:szCs w:val="28"/>
              </w:rPr>
              <w:fldChar w:fldCharType="end"/>
            </w:r>
          </w:hyperlink>
        </w:p>
        <w:p w:rsidR="00D07D63" w:rsidRPr="00D07D63" w:rsidRDefault="00D07D63">
          <w:pPr>
            <w:pStyle w:val="TOC1"/>
            <w:tabs>
              <w:tab w:val="right" w:leader="dot" w:pos="8296"/>
            </w:tabs>
            <w:rPr>
              <w:rFonts w:ascii="宋体" w:eastAsia="宋体" w:hAnsi="宋体" w:cs="宋体" w:hint="eastAsia"/>
              <w:sz w:val="28"/>
              <w:szCs w:val="28"/>
            </w:rPr>
          </w:pPr>
          <w:hyperlink w:anchor="_Toc174375003" w:history="1">
            <w:r w:rsidRPr="00D07D63">
              <w:rPr>
                <w:rFonts w:ascii="宋体" w:eastAsia="宋体" w:hAnsi="宋体" w:cs="宋体" w:hint="eastAsia"/>
                <w:sz w:val="28"/>
                <w:szCs w:val="28"/>
              </w:rPr>
              <w:t>四、有关建议</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_Toc174375003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2</w:t>
            </w:r>
            <w:r w:rsidRPr="00D07D63">
              <w:rPr>
                <w:rFonts w:ascii="宋体" w:eastAsia="宋体" w:hAnsi="宋体" w:cs="宋体" w:hint="eastAsia"/>
                <w:sz w:val="28"/>
                <w:szCs w:val="28"/>
              </w:rPr>
              <w:fldChar w:fldCharType="end"/>
            </w:r>
          </w:hyperlink>
        </w:p>
        <w:p w:rsidR="00D07D63" w:rsidRPr="00D07D63" w:rsidRDefault="00D07D63">
          <w:pPr>
            <w:pStyle w:val="TOC1"/>
            <w:tabs>
              <w:tab w:val="right" w:leader="dot" w:pos="8296"/>
            </w:tabs>
            <w:rPr>
              <w:rFonts w:ascii="宋体" w:eastAsia="宋体" w:hAnsi="宋体" w:cs="宋体" w:hint="eastAsia"/>
              <w:b/>
              <w:bCs/>
              <w:sz w:val="28"/>
              <w:szCs w:val="28"/>
            </w:rPr>
          </w:pPr>
          <w:hyperlink w:anchor="_Toc174375004" w:history="1">
            <w:r w:rsidRPr="00D07D63">
              <w:rPr>
                <w:rFonts w:ascii="宋体" w:eastAsia="宋体" w:hAnsi="宋体" w:cs="宋体" w:hint="eastAsia"/>
                <w:b/>
                <w:bCs/>
                <w:sz w:val="28"/>
                <w:szCs w:val="28"/>
              </w:rPr>
              <w:t>2023年度甘肃省高级人民法院重点项目</w:t>
            </w:r>
            <w:r w:rsidRPr="00D07D63">
              <w:rPr>
                <w:rFonts w:ascii="宋体" w:eastAsia="宋体" w:hAnsi="宋体" w:cs="宋体" w:hint="eastAsia"/>
                <w:b/>
                <w:bCs/>
                <w:sz w:val="28"/>
                <w:szCs w:val="28"/>
              </w:rPr>
              <w:tab/>
            </w:r>
            <w:r w:rsidRPr="00D07D63">
              <w:rPr>
                <w:rFonts w:ascii="宋体" w:eastAsia="宋体" w:hAnsi="宋体" w:cs="宋体" w:hint="eastAsia"/>
                <w:b/>
                <w:bCs/>
                <w:sz w:val="28"/>
                <w:szCs w:val="28"/>
              </w:rPr>
              <w:fldChar w:fldCharType="begin"/>
            </w:r>
            <w:r w:rsidRPr="00D07D63">
              <w:rPr>
                <w:rFonts w:ascii="宋体" w:eastAsia="宋体" w:hAnsi="宋体" w:cs="宋体" w:hint="eastAsia"/>
                <w:b/>
                <w:bCs/>
                <w:sz w:val="28"/>
                <w:szCs w:val="28"/>
              </w:rPr>
              <w:instrText xml:space="preserve"> </w:instrText>
            </w:r>
            <w:r w:rsidRPr="00D07D63">
              <w:rPr>
                <w:rFonts w:ascii="宋体" w:eastAsia="宋体" w:hAnsi="宋体" w:cs="宋体"/>
                <w:b/>
                <w:bCs/>
                <w:sz w:val="28"/>
                <w:szCs w:val="28"/>
              </w:rPr>
              <w:instrText>PAGEREF _Toc174375004 \h</w:instrText>
            </w:r>
            <w:r w:rsidRPr="00D07D63">
              <w:rPr>
                <w:rFonts w:ascii="宋体" w:eastAsia="宋体" w:hAnsi="宋体" w:cs="宋体" w:hint="eastAsia"/>
                <w:b/>
                <w:bCs/>
                <w:sz w:val="28"/>
                <w:szCs w:val="28"/>
              </w:rPr>
              <w:instrText xml:space="preserve"> </w:instrText>
            </w:r>
            <w:r w:rsidRPr="00D07D63">
              <w:rPr>
                <w:rFonts w:ascii="宋体" w:eastAsia="宋体" w:hAnsi="宋体" w:cs="宋体" w:hint="eastAsia"/>
                <w:b/>
                <w:bCs/>
                <w:sz w:val="28"/>
                <w:szCs w:val="28"/>
              </w:rPr>
            </w:r>
            <w:r w:rsidRPr="00D07D63">
              <w:rPr>
                <w:rFonts w:ascii="宋体" w:eastAsia="宋体" w:hAnsi="宋体" w:cs="宋体"/>
                <w:b/>
                <w:bCs/>
                <w:sz w:val="28"/>
                <w:szCs w:val="28"/>
              </w:rPr>
              <w:fldChar w:fldCharType="separate"/>
            </w:r>
            <w:r w:rsidRPr="00D07D63">
              <w:rPr>
                <w:rFonts w:ascii="宋体" w:eastAsia="宋体" w:hAnsi="宋体" w:cs="宋体"/>
                <w:b/>
                <w:bCs/>
                <w:sz w:val="28"/>
                <w:szCs w:val="28"/>
              </w:rPr>
              <w:t>4</w:t>
            </w:r>
            <w:r w:rsidRPr="00D07D63">
              <w:rPr>
                <w:rFonts w:ascii="宋体" w:eastAsia="宋体" w:hAnsi="宋体" w:cs="宋体" w:hint="eastAsia"/>
                <w:b/>
                <w:bCs/>
                <w:sz w:val="28"/>
                <w:szCs w:val="28"/>
              </w:rPr>
              <w:fldChar w:fldCharType="end"/>
            </w:r>
          </w:hyperlink>
          <w:hyperlink w:anchor="_Toc174375005" w:history="1">
            <w:r w:rsidRPr="00D07D63">
              <w:rPr>
                <w:rFonts w:ascii="宋体" w:eastAsia="宋体" w:cs="宋体" w:hint="eastAsia"/>
                <w:b/>
                <w:bCs/>
                <w:sz w:val="28"/>
                <w:szCs w:val="28"/>
              </w:rPr>
              <w:t>—文化建设宣传经费绩效评价报告</w:t>
            </w:r>
            <w:r w:rsidRPr="00D07D63">
              <w:rPr>
                <w:rFonts w:ascii="宋体" w:eastAsia="宋体" w:hAnsi="宋体" w:cs="宋体" w:hint="eastAsia"/>
                <w:b/>
                <w:bCs/>
                <w:sz w:val="28"/>
                <w:szCs w:val="28"/>
              </w:rPr>
              <w:tab/>
            </w:r>
            <w:r w:rsidRPr="00D07D63">
              <w:rPr>
                <w:rFonts w:ascii="宋体" w:eastAsia="宋体" w:hAnsi="宋体" w:cs="宋体" w:hint="eastAsia"/>
                <w:b/>
                <w:bCs/>
                <w:sz w:val="28"/>
                <w:szCs w:val="28"/>
              </w:rPr>
              <w:fldChar w:fldCharType="begin"/>
            </w:r>
            <w:r w:rsidRPr="00D07D63">
              <w:rPr>
                <w:rFonts w:ascii="宋体" w:eastAsia="宋体" w:hAnsi="宋体" w:cs="宋体" w:hint="eastAsia"/>
                <w:b/>
                <w:bCs/>
                <w:sz w:val="28"/>
                <w:szCs w:val="28"/>
              </w:rPr>
              <w:instrText xml:space="preserve"> </w:instrText>
            </w:r>
            <w:r w:rsidRPr="00D07D63">
              <w:rPr>
                <w:rFonts w:ascii="宋体" w:eastAsia="宋体" w:hAnsi="宋体" w:cs="宋体"/>
                <w:b/>
                <w:bCs/>
                <w:sz w:val="28"/>
                <w:szCs w:val="28"/>
              </w:rPr>
              <w:instrText>PAGEREF _Toc174375005 \h</w:instrText>
            </w:r>
            <w:r w:rsidRPr="00D07D63">
              <w:rPr>
                <w:rFonts w:ascii="宋体" w:eastAsia="宋体" w:hAnsi="宋体" w:cs="宋体" w:hint="eastAsia"/>
                <w:b/>
                <w:bCs/>
                <w:sz w:val="28"/>
                <w:szCs w:val="28"/>
              </w:rPr>
              <w:instrText xml:space="preserve"> </w:instrText>
            </w:r>
            <w:r w:rsidRPr="00D07D63">
              <w:rPr>
                <w:rFonts w:ascii="宋体" w:eastAsia="宋体" w:hAnsi="宋体" w:cs="宋体" w:hint="eastAsia"/>
                <w:b/>
                <w:bCs/>
                <w:sz w:val="28"/>
                <w:szCs w:val="28"/>
              </w:rPr>
            </w:r>
            <w:r w:rsidRPr="00D07D63">
              <w:rPr>
                <w:rFonts w:ascii="宋体" w:eastAsia="宋体" w:hAnsi="宋体" w:cs="宋体"/>
                <w:b/>
                <w:bCs/>
                <w:sz w:val="28"/>
                <w:szCs w:val="28"/>
              </w:rPr>
              <w:fldChar w:fldCharType="separate"/>
            </w:r>
            <w:r w:rsidRPr="00D07D63">
              <w:rPr>
                <w:rFonts w:ascii="宋体" w:eastAsia="宋体" w:hAnsi="宋体" w:cs="宋体"/>
                <w:b/>
                <w:bCs/>
                <w:sz w:val="28"/>
                <w:szCs w:val="28"/>
              </w:rPr>
              <w:t>4</w:t>
            </w:r>
            <w:r w:rsidRPr="00D07D63">
              <w:rPr>
                <w:rFonts w:ascii="宋体" w:eastAsia="宋体" w:hAnsi="宋体" w:cs="宋体" w:hint="eastAsia"/>
                <w:b/>
                <w:bCs/>
                <w:sz w:val="28"/>
                <w:szCs w:val="28"/>
              </w:rPr>
              <w:fldChar w:fldCharType="end"/>
            </w:r>
          </w:hyperlink>
        </w:p>
        <w:p w:rsidR="00D07D63" w:rsidRPr="00D07D63" w:rsidRDefault="00D07D63">
          <w:pPr>
            <w:pStyle w:val="TOC1"/>
            <w:tabs>
              <w:tab w:val="right" w:leader="dot" w:pos="8296"/>
            </w:tabs>
            <w:rPr>
              <w:rFonts w:ascii="宋体" w:eastAsia="宋体" w:hAnsi="宋体" w:cs="宋体" w:hint="eastAsia"/>
              <w:sz w:val="28"/>
              <w:szCs w:val="28"/>
            </w:rPr>
          </w:pPr>
          <w:hyperlink w:anchor="_Toc174375006" w:history="1">
            <w:r w:rsidRPr="00D07D63">
              <w:rPr>
                <w:rFonts w:ascii="宋体" w:eastAsia="宋体" w:hAnsi="宋体" w:cs="宋体" w:hint="eastAsia"/>
                <w:sz w:val="28"/>
                <w:szCs w:val="28"/>
              </w:rPr>
              <w:t>一、项目基本情况</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_Toc174375006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4</w:t>
            </w:r>
            <w:r w:rsidRPr="00D07D63">
              <w:rPr>
                <w:rFonts w:ascii="宋体" w:eastAsia="宋体" w:hAnsi="宋体" w:cs="宋体" w:hint="eastAsia"/>
                <w:sz w:val="28"/>
                <w:szCs w:val="28"/>
              </w:rPr>
              <w:fldChar w:fldCharType="end"/>
            </w:r>
          </w:hyperlink>
        </w:p>
        <w:p w:rsidR="00D07D63" w:rsidRPr="00D07D63" w:rsidRDefault="00D07D63">
          <w:pPr>
            <w:pStyle w:val="TOC2"/>
            <w:tabs>
              <w:tab w:val="right" w:leader="dot" w:pos="8296"/>
            </w:tabs>
            <w:rPr>
              <w:rFonts w:ascii="宋体" w:eastAsia="宋体" w:hAnsi="宋体" w:cs="宋体" w:hint="eastAsia"/>
              <w:sz w:val="28"/>
              <w:szCs w:val="28"/>
            </w:rPr>
          </w:pPr>
          <w:hyperlink w:anchor="_Toc174375007" w:history="1">
            <w:r w:rsidRPr="00D07D63">
              <w:rPr>
                <w:rFonts w:ascii="宋体" w:eastAsia="宋体" w:hAnsi="宋体" w:cs="宋体" w:hint="eastAsia"/>
                <w:sz w:val="28"/>
                <w:szCs w:val="28"/>
              </w:rPr>
              <w:t>（一）项目立项背景</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_Toc174375007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4</w:t>
            </w:r>
            <w:r w:rsidRPr="00D07D63">
              <w:rPr>
                <w:rFonts w:ascii="宋体" w:eastAsia="宋体" w:hAnsi="宋体" w:cs="宋体" w:hint="eastAsia"/>
                <w:sz w:val="28"/>
                <w:szCs w:val="28"/>
              </w:rPr>
              <w:fldChar w:fldCharType="end"/>
            </w:r>
          </w:hyperlink>
        </w:p>
        <w:p w:rsidR="00D07D63" w:rsidRPr="00D07D63" w:rsidRDefault="00D07D63">
          <w:pPr>
            <w:pStyle w:val="TOC2"/>
            <w:tabs>
              <w:tab w:val="right" w:leader="dot" w:pos="8296"/>
            </w:tabs>
            <w:rPr>
              <w:rFonts w:ascii="宋体" w:eastAsia="宋体" w:hAnsi="宋体" w:cs="宋体" w:hint="eastAsia"/>
              <w:sz w:val="28"/>
              <w:szCs w:val="28"/>
            </w:rPr>
          </w:pPr>
          <w:hyperlink w:anchor="_Toc174375008" w:history="1">
            <w:r w:rsidRPr="00D07D63">
              <w:rPr>
                <w:rFonts w:ascii="宋体" w:eastAsia="宋体" w:hAnsi="宋体" w:cs="宋体" w:hint="eastAsia"/>
                <w:sz w:val="28"/>
                <w:szCs w:val="28"/>
              </w:rPr>
              <w:t>（二）项目预算安排及使用情况</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_Toc174375008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4</w:t>
            </w:r>
            <w:r w:rsidRPr="00D07D63">
              <w:rPr>
                <w:rFonts w:ascii="宋体" w:eastAsia="宋体" w:hAnsi="宋体" w:cs="宋体" w:hint="eastAsia"/>
                <w:sz w:val="28"/>
                <w:szCs w:val="28"/>
              </w:rPr>
              <w:fldChar w:fldCharType="end"/>
            </w:r>
          </w:hyperlink>
        </w:p>
        <w:p w:rsidR="00D07D63" w:rsidRPr="00D07D63" w:rsidRDefault="00D07D63">
          <w:pPr>
            <w:pStyle w:val="TOC2"/>
            <w:tabs>
              <w:tab w:val="right" w:leader="dot" w:pos="8296"/>
            </w:tabs>
            <w:rPr>
              <w:rFonts w:ascii="宋体" w:eastAsia="宋体" w:hAnsi="宋体" w:cs="宋体" w:hint="eastAsia"/>
              <w:sz w:val="28"/>
              <w:szCs w:val="28"/>
            </w:rPr>
          </w:pPr>
          <w:hyperlink w:anchor="_Toc174375009" w:history="1">
            <w:r w:rsidRPr="00D07D63">
              <w:rPr>
                <w:rFonts w:ascii="宋体" w:eastAsia="宋体" w:hAnsi="宋体" w:cs="宋体" w:hint="eastAsia"/>
                <w:sz w:val="28"/>
                <w:szCs w:val="28"/>
              </w:rPr>
              <w:t>（三）项目计划内容及实施情况</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_Toc174375009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5</w:t>
            </w:r>
            <w:r w:rsidRPr="00D07D63">
              <w:rPr>
                <w:rFonts w:ascii="宋体" w:eastAsia="宋体" w:hAnsi="宋体" w:cs="宋体" w:hint="eastAsia"/>
                <w:sz w:val="28"/>
                <w:szCs w:val="28"/>
              </w:rPr>
              <w:fldChar w:fldCharType="end"/>
            </w:r>
          </w:hyperlink>
        </w:p>
        <w:p w:rsidR="00D07D63" w:rsidRPr="00D07D63" w:rsidRDefault="00D07D63">
          <w:pPr>
            <w:pStyle w:val="TOC2"/>
            <w:tabs>
              <w:tab w:val="right" w:leader="dot" w:pos="8296"/>
            </w:tabs>
            <w:rPr>
              <w:rFonts w:ascii="宋体" w:eastAsia="宋体" w:hAnsi="宋体" w:cs="宋体" w:hint="eastAsia"/>
              <w:sz w:val="28"/>
              <w:szCs w:val="28"/>
            </w:rPr>
          </w:pPr>
          <w:hyperlink w:anchor="_Toc174375010" w:history="1">
            <w:r w:rsidRPr="00D07D63">
              <w:rPr>
                <w:rFonts w:ascii="宋体" w:eastAsia="宋体" w:hAnsi="宋体" w:cs="宋体" w:hint="eastAsia"/>
                <w:sz w:val="28"/>
                <w:szCs w:val="28"/>
              </w:rPr>
              <w:t>（四）项目组织管理</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_Toc174375010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5</w:t>
            </w:r>
            <w:r w:rsidRPr="00D07D63">
              <w:rPr>
                <w:rFonts w:ascii="宋体" w:eastAsia="宋体" w:hAnsi="宋体" w:cs="宋体" w:hint="eastAsia"/>
                <w:sz w:val="28"/>
                <w:szCs w:val="28"/>
              </w:rPr>
              <w:fldChar w:fldCharType="end"/>
            </w:r>
          </w:hyperlink>
        </w:p>
        <w:p w:rsidR="00D07D63" w:rsidRPr="00D07D63" w:rsidRDefault="00D07D63">
          <w:pPr>
            <w:pStyle w:val="TOC1"/>
            <w:tabs>
              <w:tab w:val="right" w:leader="dot" w:pos="8296"/>
            </w:tabs>
            <w:rPr>
              <w:rFonts w:ascii="宋体" w:eastAsia="宋体" w:hAnsi="宋体" w:cs="宋体" w:hint="eastAsia"/>
              <w:sz w:val="28"/>
              <w:szCs w:val="28"/>
            </w:rPr>
          </w:pPr>
          <w:hyperlink w:anchor="_Toc174375011" w:history="1">
            <w:r w:rsidRPr="00D07D63">
              <w:rPr>
                <w:rFonts w:ascii="宋体" w:eastAsia="宋体" w:hAnsi="宋体" w:cs="宋体" w:hint="eastAsia"/>
                <w:sz w:val="28"/>
                <w:szCs w:val="28"/>
              </w:rPr>
              <w:t>二、项目绩效目标</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_Toc174375011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7</w:t>
            </w:r>
            <w:r w:rsidRPr="00D07D63">
              <w:rPr>
                <w:rFonts w:ascii="宋体" w:eastAsia="宋体" w:hAnsi="宋体" w:cs="宋体" w:hint="eastAsia"/>
                <w:sz w:val="28"/>
                <w:szCs w:val="28"/>
              </w:rPr>
              <w:fldChar w:fldCharType="end"/>
            </w:r>
          </w:hyperlink>
        </w:p>
        <w:p w:rsidR="00D07D63" w:rsidRPr="00D07D63" w:rsidRDefault="00D07D63">
          <w:pPr>
            <w:pStyle w:val="TOC2"/>
            <w:tabs>
              <w:tab w:val="right" w:leader="dot" w:pos="8296"/>
            </w:tabs>
            <w:rPr>
              <w:rFonts w:ascii="宋体" w:eastAsia="宋体" w:hAnsi="宋体" w:cs="宋体" w:hint="eastAsia"/>
              <w:bCs/>
              <w:sz w:val="28"/>
              <w:szCs w:val="28"/>
            </w:rPr>
          </w:pPr>
          <w:hyperlink w:anchor="_Toc174375012" w:history="1">
            <w:r w:rsidRPr="00D07D63">
              <w:rPr>
                <w:rFonts w:ascii="宋体" w:eastAsia="宋体" w:hAnsi="宋体" w:cs="宋体" w:hint="eastAsia"/>
                <w:sz w:val="28"/>
                <w:szCs w:val="28"/>
              </w:rPr>
              <w:t>（一）总体目标</w:t>
            </w:r>
            <w:r w:rsidRPr="00D07D63">
              <w:rPr>
                <w:rFonts w:ascii="宋体" w:eastAsia="宋体" w:hAnsi="宋体" w:cs="宋体" w:hint="eastAsia"/>
                <w:bCs/>
                <w:sz w:val="28"/>
                <w:szCs w:val="28"/>
              </w:rPr>
              <w:tab/>
            </w:r>
            <w:r w:rsidRPr="00D07D63">
              <w:rPr>
                <w:rFonts w:ascii="宋体" w:eastAsia="宋体" w:hAnsi="宋体" w:cs="宋体" w:hint="eastAsia"/>
                <w:bCs/>
                <w:sz w:val="28"/>
                <w:szCs w:val="28"/>
              </w:rPr>
              <w:fldChar w:fldCharType="begin"/>
            </w:r>
            <w:r w:rsidRPr="00D07D63">
              <w:rPr>
                <w:rFonts w:ascii="宋体" w:eastAsia="宋体" w:hAnsi="宋体" w:cs="宋体" w:hint="eastAsia"/>
                <w:bCs/>
                <w:sz w:val="28"/>
                <w:szCs w:val="28"/>
              </w:rPr>
              <w:instrText xml:space="preserve"> </w:instrText>
            </w:r>
            <w:r w:rsidRPr="00D07D63">
              <w:rPr>
                <w:rFonts w:ascii="宋体" w:eastAsia="宋体" w:hAnsi="宋体" w:cs="宋体"/>
                <w:bCs/>
                <w:sz w:val="28"/>
                <w:szCs w:val="28"/>
              </w:rPr>
              <w:instrText>PAGEREF _Toc174375012 \h</w:instrText>
            </w:r>
            <w:r w:rsidRPr="00D07D63">
              <w:rPr>
                <w:rFonts w:ascii="宋体" w:eastAsia="宋体" w:hAnsi="宋体" w:cs="宋体" w:hint="eastAsia"/>
                <w:bCs/>
                <w:sz w:val="28"/>
                <w:szCs w:val="28"/>
              </w:rPr>
              <w:instrText xml:space="preserve"> </w:instrText>
            </w:r>
            <w:r w:rsidRPr="00D07D63">
              <w:rPr>
                <w:rFonts w:ascii="宋体" w:eastAsia="宋体" w:hAnsi="宋体" w:cs="宋体" w:hint="eastAsia"/>
                <w:bCs/>
                <w:sz w:val="28"/>
                <w:szCs w:val="28"/>
              </w:rPr>
            </w:r>
            <w:r w:rsidRPr="00D07D63">
              <w:rPr>
                <w:rFonts w:ascii="宋体" w:eastAsia="宋体" w:hAnsi="宋体" w:cs="宋体"/>
                <w:bCs/>
                <w:sz w:val="28"/>
                <w:szCs w:val="28"/>
              </w:rPr>
              <w:fldChar w:fldCharType="separate"/>
            </w:r>
            <w:r w:rsidRPr="00D07D63">
              <w:rPr>
                <w:rFonts w:ascii="宋体" w:eastAsia="宋体" w:hAnsi="宋体" w:cs="宋体"/>
                <w:bCs/>
                <w:sz w:val="28"/>
                <w:szCs w:val="28"/>
              </w:rPr>
              <w:t>7</w:t>
            </w:r>
            <w:r w:rsidRPr="00D07D63">
              <w:rPr>
                <w:rFonts w:ascii="宋体" w:eastAsia="宋体" w:hAnsi="宋体" w:cs="宋体" w:hint="eastAsia"/>
                <w:bCs/>
                <w:sz w:val="28"/>
                <w:szCs w:val="28"/>
              </w:rPr>
              <w:fldChar w:fldCharType="end"/>
            </w:r>
          </w:hyperlink>
        </w:p>
        <w:p w:rsidR="00D07D63" w:rsidRPr="00D07D63" w:rsidRDefault="00D07D63">
          <w:pPr>
            <w:pStyle w:val="TOC2"/>
            <w:tabs>
              <w:tab w:val="right" w:leader="dot" w:pos="8296"/>
            </w:tabs>
            <w:rPr>
              <w:rFonts w:ascii="宋体" w:eastAsia="宋体" w:hAnsi="宋体" w:cs="宋体" w:hint="eastAsia"/>
              <w:bCs/>
              <w:sz w:val="28"/>
              <w:szCs w:val="28"/>
            </w:rPr>
          </w:pPr>
          <w:hyperlink w:anchor="_Toc174375013" w:history="1">
            <w:r w:rsidRPr="00D07D63">
              <w:rPr>
                <w:rFonts w:ascii="宋体" w:eastAsia="宋体" w:hAnsi="宋体" w:cs="宋体" w:hint="eastAsia"/>
                <w:sz w:val="28"/>
                <w:szCs w:val="28"/>
              </w:rPr>
              <w:t>（二）年度目标</w:t>
            </w:r>
            <w:r w:rsidRPr="00D07D63">
              <w:rPr>
                <w:rFonts w:ascii="宋体" w:eastAsia="宋体" w:hAnsi="宋体" w:cs="宋体" w:hint="eastAsia"/>
                <w:bCs/>
                <w:sz w:val="28"/>
                <w:szCs w:val="28"/>
              </w:rPr>
              <w:tab/>
            </w:r>
            <w:r w:rsidRPr="00D07D63">
              <w:rPr>
                <w:rFonts w:ascii="宋体" w:eastAsia="宋体" w:hAnsi="宋体" w:cs="宋体" w:hint="eastAsia"/>
                <w:bCs/>
                <w:sz w:val="28"/>
                <w:szCs w:val="28"/>
              </w:rPr>
              <w:fldChar w:fldCharType="begin"/>
            </w:r>
            <w:r w:rsidRPr="00D07D63">
              <w:rPr>
                <w:rFonts w:ascii="宋体" w:eastAsia="宋体" w:hAnsi="宋体" w:cs="宋体" w:hint="eastAsia"/>
                <w:bCs/>
                <w:sz w:val="28"/>
                <w:szCs w:val="28"/>
              </w:rPr>
              <w:instrText xml:space="preserve"> </w:instrText>
            </w:r>
            <w:r w:rsidRPr="00D07D63">
              <w:rPr>
                <w:rFonts w:ascii="宋体" w:eastAsia="宋体" w:hAnsi="宋体" w:cs="宋体"/>
                <w:bCs/>
                <w:sz w:val="28"/>
                <w:szCs w:val="28"/>
              </w:rPr>
              <w:instrText>PAGEREF _Toc174375013 \h</w:instrText>
            </w:r>
            <w:r w:rsidRPr="00D07D63">
              <w:rPr>
                <w:rFonts w:ascii="宋体" w:eastAsia="宋体" w:hAnsi="宋体" w:cs="宋体" w:hint="eastAsia"/>
                <w:bCs/>
                <w:sz w:val="28"/>
                <w:szCs w:val="28"/>
              </w:rPr>
              <w:instrText xml:space="preserve"> </w:instrText>
            </w:r>
            <w:r w:rsidRPr="00D07D63">
              <w:rPr>
                <w:rFonts w:ascii="宋体" w:eastAsia="宋体" w:hAnsi="宋体" w:cs="宋体" w:hint="eastAsia"/>
                <w:bCs/>
                <w:sz w:val="28"/>
                <w:szCs w:val="28"/>
              </w:rPr>
            </w:r>
            <w:r w:rsidRPr="00D07D63">
              <w:rPr>
                <w:rFonts w:ascii="宋体" w:eastAsia="宋体" w:hAnsi="宋体" w:cs="宋体"/>
                <w:bCs/>
                <w:sz w:val="28"/>
                <w:szCs w:val="28"/>
              </w:rPr>
              <w:fldChar w:fldCharType="separate"/>
            </w:r>
            <w:r w:rsidRPr="00D07D63">
              <w:rPr>
                <w:rFonts w:ascii="宋体" w:eastAsia="宋体" w:hAnsi="宋体" w:cs="宋体"/>
                <w:bCs/>
                <w:sz w:val="28"/>
                <w:szCs w:val="28"/>
              </w:rPr>
              <w:t>7</w:t>
            </w:r>
            <w:r w:rsidRPr="00D07D63">
              <w:rPr>
                <w:rFonts w:ascii="宋体" w:eastAsia="宋体" w:hAnsi="宋体" w:cs="宋体" w:hint="eastAsia"/>
                <w:bCs/>
                <w:sz w:val="28"/>
                <w:szCs w:val="28"/>
              </w:rPr>
              <w:fldChar w:fldCharType="end"/>
            </w:r>
          </w:hyperlink>
        </w:p>
        <w:p w:rsidR="00D07D63" w:rsidRPr="00D07D63" w:rsidRDefault="00D07D63">
          <w:pPr>
            <w:pStyle w:val="TOC1"/>
            <w:tabs>
              <w:tab w:val="right" w:leader="dot" w:pos="8296"/>
            </w:tabs>
            <w:rPr>
              <w:rFonts w:ascii="宋体" w:eastAsia="宋体" w:hAnsi="宋体" w:cs="宋体" w:hint="eastAsia"/>
              <w:sz w:val="28"/>
              <w:szCs w:val="28"/>
            </w:rPr>
          </w:pPr>
          <w:hyperlink w:anchor="_Toc174375014" w:history="1">
            <w:r w:rsidRPr="00D07D63">
              <w:rPr>
                <w:rFonts w:ascii="宋体" w:eastAsia="宋体" w:hAnsi="宋体" w:cs="宋体" w:hint="eastAsia"/>
                <w:sz w:val="28"/>
                <w:szCs w:val="28"/>
              </w:rPr>
              <w:t>三、评价基本情况</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_Toc174375014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8</w:t>
            </w:r>
            <w:r w:rsidRPr="00D07D63">
              <w:rPr>
                <w:rFonts w:ascii="宋体" w:eastAsia="宋体" w:hAnsi="宋体" w:cs="宋体" w:hint="eastAsia"/>
                <w:sz w:val="28"/>
                <w:szCs w:val="28"/>
              </w:rPr>
              <w:fldChar w:fldCharType="end"/>
            </w:r>
          </w:hyperlink>
        </w:p>
        <w:p w:rsidR="00D07D63" w:rsidRPr="00D07D63" w:rsidRDefault="00D07D63" w:rsidP="00D07D63">
          <w:pPr>
            <w:pStyle w:val="TOC1"/>
            <w:tabs>
              <w:tab w:val="right" w:leader="dot" w:pos="8296"/>
            </w:tabs>
            <w:rPr>
              <w:rFonts w:ascii="宋体" w:eastAsia="宋体" w:hAnsi="宋体" w:cs="宋体" w:hint="eastAsia"/>
              <w:sz w:val="28"/>
              <w:szCs w:val="28"/>
            </w:rPr>
          </w:pPr>
          <w:hyperlink w:anchor="_Toc174375015" w:history="1">
            <w:r w:rsidRPr="00D07D63">
              <w:rPr>
                <w:rFonts w:ascii="宋体" w:eastAsia="宋体" w:hAnsi="宋体" w:cs="宋体" w:hint="eastAsia"/>
                <w:sz w:val="28"/>
                <w:szCs w:val="28"/>
              </w:rPr>
              <w:t>（一）评价目的</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_Toc174375015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8</w:t>
            </w:r>
            <w:r w:rsidRPr="00D07D63">
              <w:rPr>
                <w:rFonts w:ascii="宋体" w:eastAsia="宋体" w:hAnsi="宋体" w:cs="宋体" w:hint="eastAsia"/>
                <w:sz w:val="28"/>
                <w:szCs w:val="28"/>
              </w:rPr>
              <w:fldChar w:fldCharType="end"/>
            </w:r>
          </w:hyperlink>
        </w:p>
        <w:p w:rsidR="00D07D63" w:rsidRPr="00D07D63" w:rsidRDefault="00D07D63">
          <w:pPr>
            <w:pStyle w:val="TOC2"/>
            <w:tabs>
              <w:tab w:val="right" w:leader="dot" w:pos="8296"/>
            </w:tabs>
            <w:rPr>
              <w:rFonts w:ascii="宋体" w:eastAsia="宋体" w:hAnsi="宋体" w:cs="宋体" w:hint="eastAsia"/>
              <w:sz w:val="28"/>
              <w:szCs w:val="28"/>
            </w:rPr>
          </w:pPr>
          <w:hyperlink w:anchor="_Toc174375016" w:history="1">
            <w:r w:rsidRPr="00D07D63">
              <w:rPr>
                <w:rFonts w:ascii="宋体" w:eastAsia="宋体" w:hAnsi="宋体" w:cs="宋体" w:hint="eastAsia"/>
                <w:sz w:val="28"/>
                <w:szCs w:val="28"/>
              </w:rPr>
              <w:t>（二）评价对象与范围</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_Toc174375016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9</w:t>
            </w:r>
            <w:r w:rsidRPr="00D07D63">
              <w:rPr>
                <w:rFonts w:ascii="宋体" w:eastAsia="宋体" w:hAnsi="宋体" w:cs="宋体" w:hint="eastAsia"/>
                <w:sz w:val="28"/>
                <w:szCs w:val="28"/>
              </w:rPr>
              <w:fldChar w:fldCharType="end"/>
            </w:r>
          </w:hyperlink>
        </w:p>
        <w:p w:rsidR="00D07D63" w:rsidRPr="00D07D63" w:rsidRDefault="00D07D63">
          <w:pPr>
            <w:pStyle w:val="TOC2"/>
            <w:tabs>
              <w:tab w:val="right" w:leader="dot" w:pos="8296"/>
            </w:tabs>
            <w:rPr>
              <w:rFonts w:ascii="宋体" w:eastAsia="宋体" w:hAnsi="宋体" w:cs="宋体" w:hint="eastAsia"/>
              <w:sz w:val="28"/>
              <w:szCs w:val="28"/>
            </w:rPr>
          </w:pPr>
          <w:hyperlink w:anchor="_Toc174375017" w:history="1">
            <w:r w:rsidRPr="00D07D63">
              <w:rPr>
                <w:rFonts w:ascii="宋体" w:eastAsia="宋体" w:hAnsi="宋体" w:cs="宋体" w:hint="eastAsia"/>
                <w:sz w:val="28"/>
                <w:szCs w:val="28"/>
              </w:rPr>
              <w:t>（三）评价依据</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_Toc174375017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9</w:t>
            </w:r>
            <w:r w:rsidRPr="00D07D63">
              <w:rPr>
                <w:rFonts w:ascii="宋体" w:eastAsia="宋体" w:hAnsi="宋体" w:cs="宋体" w:hint="eastAsia"/>
                <w:sz w:val="28"/>
                <w:szCs w:val="28"/>
              </w:rPr>
              <w:fldChar w:fldCharType="end"/>
            </w:r>
          </w:hyperlink>
        </w:p>
        <w:p w:rsidR="00D07D63" w:rsidRPr="00D07D63" w:rsidRDefault="00D07D63">
          <w:pPr>
            <w:pStyle w:val="TOC2"/>
            <w:tabs>
              <w:tab w:val="right" w:leader="dot" w:pos="8296"/>
            </w:tabs>
            <w:rPr>
              <w:rFonts w:ascii="宋体" w:eastAsia="宋体" w:hAnsi="宋体" w:cs="宋体" w:hint="eastAsia"/>
              <w:sz w:val="28"/>
              <w:szCs w:val="28"/>
            </w:rPr>
          </w:pPr>
          <w:hyperlink w:anchor="_Toc174375018" w:history="1">
            <w:r w:rsidRPr="00D07D63">
              <w:rPr>
                <w:rFonts w:ascii="宋体" w:eastAsia="宋体" w:hAnsi="宋体" w:cs="宋体" w:hint="eastAsia"/>
                <w:sz w:val="28"/>
                <w:szCs w:val="28"/>
              </w:rPr>
              <w:t>（四）评价原则、评价方法</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_Toc174375018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10</w:t>
            </w:r>
            <w:r w:rsidRPr="00D07D63">
              <w:rPr>
                <w:rFonts w:ascii="宋体" w:eastAsia="宋体" w:hAnsi="宋体" w:cs="宋体" w:hint="eastAsia"/>
                <w:sz w:val="28"/>
                <w:szCs w:val="28"/>
              </w:rPr>
              <w:fldChar w:fldCharType="end"/>
            </w:r>
          </w:hyperlink>
        </w:p>
        <w:p w:rsidR="00D07D63" w:rsidRPr="00D07D63" w:rsidRDefault="00D07D63">
          <w:pPr>
            <w:pStyle w:val="TOC2"/>
            <w:tabs>
              <w:tab w:val="right" w:leader="dot" w:pos="8296"/>
            </w:tabs>
            <w:rPr>
              <w:rFonts w:ascii="宋体" w:eastAsia="宋体" w:hAnsi="宋体" w:cs="宋体" w:hint="eastAsia"/>
              <w:sz w:val="28"/>
              <w:szCs w:val="28"/>
            </w:rPr>
          </w:pPr>
          <w:hyperlink w:anchor="_Toc174375019" w:history="1">
            <w:r w:rsidRPr="00D07D63">
              <w:rPr>
                <w:rFonts w:ascii="宋体" w:eastAsia="宋体" w:hAnsi="宋体" w:cs="宋体" w:hint="eastAsia"/>
                <w:sz w:val="28"/>
                <w:szCs w:val="28"/>
              </w:rPr>
              <w:t>（五）绩效评价指标体系</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_Toc174375019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12</w:t>
            </w:r>
            <w:r w:rsidRPr="00D07D63">
              <w:rPr>
                <w:rFonts w:ascii="宋体" w:eastAsia="宋体" w:hAnsi="宋体" w:cs="宋体" w:hint="eastAsia"/>
                <w:sz w:val="28"/>
                <w:szCs w:val="28"/>
              </w:rPr>
              <w:fldChar w:fldCharType="end"/>
            </w:r>
          </w:hyperlink>
        </w:p>
        <w:p w:rsidR="00D07D63" w:rsidRPr="00D07D63" w:rsidRDefault="00D07D63">
          <w:pPr>
            <w:pStyle w:val="TOC2"/>
            <w:tabs>
              <w:tab w:val="right" w:leader="dot" w:pos="8296"/>
            </w:tabs>
            <w:rPr>
              <w:rFonts w:ascii="宋体" w:eastAsia="宋体" w:hAnsi="宋体" w:cs="宋体" w:hint="eastAsia"/>
              <w:sz w:val="28"/>
              <w:szCs w:val="28"/>
            </w:rPr>
          </w:pPr>
          <w:hyperlink w:anchor="_Toc174375020" w:history="1">
            <w:r w:rsidRPr="00D07D63">
              <w:rPr>
                <w:rFonts w:ascii="宋体" w:eastAsia="宋体" w:hAnsi="宋体" w:cs="宋体" w:hint="eastAsia"/>
                <w:sz w:val="28"/>
                <w:szCs w:val="28"/>
              </w:rPr>
              <w:t>（六）绩效评价工作过程</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_Toc174375020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14</w:t>
            </w:r>
            <w:r w:rsidRPr="00D07D63">
              <w:rPr>
                <w:rFonts w:ascii="宋体" w:eastAsia="宋体" w:hAnsi="宋体" w:cs="宋体" w:hint="eastAsia"/>
                <w:sz w:val="28"/>
                <w:szCs w:val="28"/>
              </w:rPr>
              <w:fldChar w:fldCharType="end"/>
            </w:r>
          </w:hyperlink>
        </w:p>
        <w:p w:rsidR="00D07D63" w:rsidRPr="00D07D63" w:rsidRDefault="00D07D63">
          <w:pPr>
            <w:pStyle w:val="TOC1"/>
            <w:tabs>
              <w:tab w:val="right" w:leader="dot" w:pos="8296"/>
            </w:tabs>
            <w:rPr>
              <w:rFonts w:ascii="宋体" w:eastAsia="宋体" w:hAnsi="宋体" w:cs="宋体" w:hint="eastAsia"/>
              <w:sz w:val="28"/>
              <w:szCs w:val="28"/>
            </w:rPr>
          </w:pPr>
          <w:hyperlink w:anchor="_Toc174375021" w:history="1">
            <w:r w:rsidRPr="00D07D63">
              <w:rPr>
                <w:rFonts w:ascii="宋体" w:eastAsia="宋体" w:hAnsi="宋体" w:cs="宋体" w:hint="eastAsia"/>
                <w:sz w:val="28"/>
                <w:szCs w:val="28"/>
              </w:rPr>
              <w:t>四、评价结论及分析</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_Toc174375021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17</w:t>
            </w:r>
            <w:r w:rsidRPr="00D07D63">
              <w:rPr>
                <w:rFonts w:ascii="宋体" w:eastAsia="宋体" w:hAnsi="宋体" w:cs="宋体" w:hint="eastAsia"/>
                <w:sz w:val="28"/>
                <w:szCs w:val="28"/>
              </w:rPr>
              <w:fldChar w:fldCharType="end"/>
            </w:r>
          </w:hyperlink>
        </w:p>
        <w:p w:rsidR="00D07D63" w:rsidRPr="00D07D63" w:rsidRDefault="00D07D63">
          <w:pPr>
            <w:pStyle w:val="TOC1"/>
            <w:tabs>
              <w:tab w:val="right" w:leader="dot" w:pos="8296"/>
            </w:tabs>
            <w:rPr>
              <w:rFonts w:ascii="宋体" w:eastAsia="宋体" w:hAnsi="宋体" w:cs="宋体" w:hint="eastAsia"/>
              <w:sz w:val="28"/>
              <w:szCs w:val="28"/>
            </w:rPr>
          </w:pPr>
          <w:hyperlink w:anchor="_Toc174375022" w:history="1">
            <w:r w:rsidRPr="00D07D63">
              <w:rPr>
                <w:rFonts w:ascii="宋体" w:eastAsia="宋体" w:hAnsi="宋体" w:cs="宋体" w:hint="eastAsia"/>
                <w:sz w:val="28"/>
                <w:szCs w:val="28"/>
              </w:rPr>
              <w:t>五、绩效评价指标分析</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_Toc174375022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18</w:t>
            </w:r>
            <w:r w:rsidRPr="00D07D63">
              <w:rPr>
                <w:rFonts w:ascii="宋体" w:eastAsia="宋体" w:hAnsi="宋体" w:cs="宋体" w:hint="eastAsia"/>
                <w:sz w:val="28"/>
                <w:szCs w:val="28"/>
              </w:rPr>
              <w:fldChar w:fldCharType="end"/>
            </w:r>
          </w:hyperlink>
        </w:p>
        <w:p w:rsidR="00D07D63" w:rsidRPr="00D07D63" w:rsidRDefault="00D07D63">
          <w:pPr>
            <w:pStyle w:val="TOC2"/>
            <w:tabs>
              <w:tab w:val="right" w:leader="dot" w:pos="8296"/>
            </w:tabs>
            <w:rPr>
              <w:rFonts w:ascii="宋体" w:eastAsia="宋体" w:hAnsi="宋体" w:cs="宋体" w:hint="eastAsia"/>
              <w:bCs/>
              <w:sz w:val="28"/>
              <w:szCs w:val="28"/>
            </w:rPr>
          </w:pPr>
          <w:hyperlink w:anchor="_Toc174375023" w:history="1">
            <w:r w:rsidRPr="00D07D63">
              <w:rPr>
                <w:rFonts w:ascii="宋体" w:eastAsia="宋体" w:hAnsi="宋体" w:cs="宋体" w:hint="eastAsia"/>
                <w:sz w:val="28"/>
                <w:szCs w:val="28"/>
              </w:rPr>
              <w:t>（一）项目决策情况</w:t>
            </w:r>
            <w:r w:rsidRPr="00D07D63">
              <w:rPr>
                <w:rFonts w:ascii="宋体" w:eastAsia="宋体" w:hAnsi="宋体" w:cs="宋体" w:hint="eastAsia"/>
                <w:bCs/>
                <w:sz w:val="28"/>
                <w:szCs w:val="28"/>
              </w:rPr>
              <w:tab/>
            </w:r>
            <w:r w:rsidRPr="00D07D63">
              <w:rPr>
                <w:rFonts w:ascii="宋体" w:eastAsia="宋体" w:hAnsi="宋体" w:cs="宋体" w:hint="eastAsia"/>
                <w:bCs/>
                <w:sz w:val="28"/>
                <w:szCs w:val="28"/>
              </w:rPr>
              <w:fldChar w:fldCharType="begin"/>
            </w:r>
            <w:r w:rsidRPr="00D07D63">
              <w:rPr>
                <w:rFonts w:ascii="宋体" w:eastAsia="宋体" w:hAnsi="宋体" w:cs="宋体" w:hint="eastAsia"/>
                <w:bCs/>
                <w:sz w:val="28"/>
                <w:szCs w:val="28"/>
              </w:rPr>
              <w:instrText xml:space="preserve"> </w:instrText>
            </w:r>
            <w:r w:rsidRPr="00D07D63">
              <w:rPr>
                <w:rFonts w:ascii="宋体" w:eastAsia="宋体" w:hAnsi="宋体" w:cs="宋体"/>
                <w:bCs/>
                <w:sz w:val="28"/>
                <w:szCs w:val="28"/>
              </w:rPr>
              <w:instrText>PAGEREF _Toc174375023 \h</w:instrText>
            </w:r>
            <w:r w:rsidRPr="00D07D63">
              <w:rPr>
                <w:rFonts w:ascii="宋体" w:eastAsia="宋体" w:hAnsi="宋体" w:cs="宋体" w:hint="eastAsia"/>
                <w:bCs/>
                <w:sz w:val="28"/>
                <w:szCs w:val="28"/>
              </w:rPr>
              <w:instrText xml:space="preserve"> </w:instrText>
            </w:r>
            <w:r w:rsidRPr="00D07D63">
              <w:rPr>
                <w:rFonts w:ascii="宋体" w:eastAsia="宋体" w:hAnsi="宋体" w:cs="宋体" w:hint="eastAsia"/>
                <w:bCs/>
                <w:sz w:val="28"/>
                <w:szCs w:val="28"/>
              </w:rPr>
            </w:r>
            <w:r w:rsidRPr="00D07D63">
              <w:rPr>
                <w:rFonts w:ascii="宋体" w:eastAsia="宋体" w:hAnsi="宋体" w:cs="宋体"/>
                <w:bCs/>
                <w:sz w:val="28"/>
                <w:szCs w:val="28"/>
              </w:rPr>
              <w:fldChar w:fldCharType="separate"/>
            </w:r>
            <w:r w:rsidRPr="00D07D63">
              <w:rPr>
                <w:rFonts w:ascii="宋体" w:eastAsia="宋体" w:hAnsi="宋体" w:cs="宋体"/>
                <w:bCs/>
                <w:sz w:val="28"/>
                <w:szCs w:val="28"/>
              </w:rPr>
              <w:t>19</w:t>
            </w:r>
            <w:r w:rsidRPr="00D07D63">
              <w:rPr>
                <w:rFonts w:ascii="宋体" w:eastAsia="宋体" w:hAnsi="宋体" w:cs="宋体" w:hint="eastAsia"/>
                <w:bCs/>
                <w:sz w:val="28"/>
                <w:szCs w:val="28"/>
              </w:rPr>
              <w:fldChar w:fldCharType="end"/>
            </w:r>
          </w:hyperlink>
        </w:p>
        <w:p w:rsidR="00D07D63" w:rsidRPr="00D07D63" w:rsidRDefault="00D07D63">
          <w:pPr>
            <w:pStyle w:val="TOC2"/>
            <w:tabs>
              <w:tab w:val="right" w:leader="dot" w:pos="8296"/>
            </w:tabs>
            <w:rPr>
              <w:rFonts w:ascii="宋体" w:eastAsia="宋体" w:hAnsi="宋体" w:cs="宋体" w:hint="eastAsia"/>
              <w:bCs/>
              <w:sz w:val="28"/>
              <w:szCs w:val="28"/>
            </w:rPr>
          </w:pPr>
          <w:hyperlink w:anchor="_Toc174375024" w:history="1">
            <w:r w:rsidRPr="00D07D63">
              <w:rPr>
                <w:rFonts w:ascii="宋体" w:eastAsia="宋体" w:hAnsi="宋体" w:cs="宋体" w:hint="eastAsia"/>
                <w:sz w:val="28"/>
                <w:szCs w:val="28"/>
              </w:rPr>
              <w:t>（二）项目过程情况</w:t>
            </w:r>
            <w:r w:rsidRPr="00D07D63">
              <w:rPr>
                <w:rFonts w:ascii="宋体" w:eastAsia="宋体" w:hAnsi="宋体" w:cs="宋体" w:hint="eastAsia"/>
                <w:bCs/>
                <w:sz w:val="28"/>
                <w:szCs w:val="28"/>
              </w:rPr>
              <w:tab/>
            </w:r>
            <w:r w:rsidRPr="00D07D63">
              <w:rPr>
                <w:rFonts w:ascii="宋体" w:eastAsia="宋体" w:hAnsi="宋体" w:cs="宋体" w:hint="eastAsia"/>
                <w:bCs/>
                <w:sz w:val="28"/>
                <w:szCs w:val="28"/>
              </w:rPr>
              <w:fldChar w:fldCharType="begin"/>
            </w:r>
            <w:r w:rsidRPr="00D07D63">
              <w:rPr>
                <w:rFonts w:ascii="宋体" w:eastAsia="宋体" w:hAnsi="宋体" w:cs="宋体" w:hint="eastAsia"/>
                <w:bCs/>
                <w:sz w:val="28"/>
                <w:szCs w:val="28"/>
              </w:rPr>
              <w:instrText xml:space="preserve"> </w:instrText>
            </w:r>
            <w:r w:rsidRPr="00D07D63">
              <w:rPr>
                <w:rFonts w:ascii="宋体" w:eastAsia="宋体" w:hAnsi="宋体" w:cs="宋体"/>
                <w:bCs/>
                <w:sz w:val="28"/>
                <w:szCs w:val="28"/>
              </w:rPr>
              <w:instrText>PAGEREF _Toc174375024 \h</w:instrText>
            </w:r>
            <w:r w:rsidRPr="00D07D63">
              <w:rPr>
                <w:rFonts w:ascii="宋体" w:eastAsia="宋体" w:hAnsi="宋体" w:cs="宋体" w:hint="eastAsia"/>
                <w:bCs/>
                <w:sz w:val="28"/>
                <w:szCs w:val="28"/>
              </w:rPr>
              <w:instrText xml:space="preserve"> </w:instrText>
            </w:r>
            <w:r w:rsidRPr="00D07D63">
              <w:rPr>
                <w:rFonts w:ascii="宋体" w:eastAsia="宋体" w:hAnsi="宋体" w:cs="宋体" w:hint="eastAsia"/>
                <w:bCs/>
                <w:sz w:val="28"/>
                <w:szCs w:val="28"/>
              </w:rPr>
            </w:r>
            <w:r w:rsidRPr="00D07D63">
              <w:rPr>
                <w:rFonts w:ascii="宋体" w:eastAsia="宋体" w:hAnsi="宋体" w:cs="宋体"/>
                <w:bCs/>
                <w:sz w:val="28"/>
                <w:szCs w:val="28"/>
              </w:rPr>
              <w:fldChar w:fldCharType="separate"/>
            </w:r>
            <w:r w:rsidRPr="00D07D63">
              <w:rPr>
                <w:rFonts w:ascii="宋体" w:eastAsia="宋体" w:hAnsi="宋体" w:cs="宋体"/>
                <w:bCs/>
                <w:sz w:val="28"/>
                <w:szCs w:val="28"/>
              </w:rPr>
              <w:t>22</w:t>
            </w:r>
            <w:r w:rsidRPr="00D07D63">
              <w:rPr>
                <w:rFonts w:ascii="宋体" w:eastAsia="宋体" w:hAnsi="宋体" w:cs="宋体" w:hint="eastAsia"/>
                <w:bCs/>
                <w:sz w:val="28"/>
                <w:szCs w:val="28"/>
              </w:rPr>
              <w:fldChar w:fldCharType="end"/>
            </w:r>
          </w:hyperlink>
        </w:p>
        <w:p w:rsidR="00D07D63" w:rsidRPr="00D07D63" w:rsidRDefault="00D07D63">
          <w:pPr>
            <w:pStyle w:val="TOC2"/>
            <w:tabs>
              <w:tab w:val="right" w:leader="dot" w:pos="8296"/>
            </w:tabs>
            <w:rPr>
              <w:rFonts w:ascii="宋体" w:eastAsia="宋体" w:hAnsi="宋体" w:cs="宋体" w:hint="eastAsia"/>
              <w:bCs/>
              <w:sz w:val="28"/>
              <w:szCs w:val="28"/>
            </w:rPr>
          </w:pPr>
          <w:hyperlink w:anchor="_Toc174375025" w:history="1">
            <w:r w:rsidRPr="00D07D63">
              <w:rPr>
                <w:rFonts w:ascii="宋体" w:eastAsia="宋体" w:hAnsi="宋体" w:cs="宋体" w:hint="eastAsia"/>
                <w:bCs/>
                <w:sz w:val="28"/>
                <w:szCs w:val="28"/>
              </w:rPr>
              <w:t>（三）项目成本情况</w:t>
            </w:r>
            <w:r w:rsidRPr="00D07D63">
              <w:rPr>
                <w:rFonts w:ascii="宋体" w:eastAsia="宋体" w:hAnsi="宋体" w:cs="宋体" w:hint="eastAsia"/>
                <w:bCs/>
                <w:sz w:val="28"/>
                <w:szCs w:val="28"/>
              </w:rPr>
              <w:tab/>
            </w:r>
            <w:r w:rsidRPr="00D07D63">
              <w:rPr>
                <w:rFonts w:ascii="宋体" w:eastAsia="宋体" w:hAnsi="宋体" w:cs="宋体" w:hint="eastAsia"/>
                <w:bCs/>
                <w:sz w:val="28"/>
                <w:szCs w:val="28"/>
              </w:rPr>
              <w:fldChar w:fldCharType="begin"/>
            </w:r>
            <w:r w:rsidRPr="00D07D63">
              <w:rPr>
                <w:rFonts w:ascii="宋体" w:eastAsia="宋体" w:hAnsi="宋体" w:cs="宋体" w:hint="eastAsia"/>
                <w:bCs/>
                <w:sz w:val="28"/>
                <w:szCs w:val="28"/>
              </w:rPr>
              <w:instrText xml:space="preserve"> </w:instrText>
            </w:r>
            <w:r w:rsidRPr="00D07D63">
              <w:rPr>
                <w:rFonts w:ascii="宋体" w:eastAsia="宋体" w:hAnsi="宋体" w:cs="宋体"/>
                <w:bCs/>
                <w:sz w:val="28"/>
                <w:szCs w:val="28"/>
              </w:rPr>
              <w:instrText>PAGEREF _Toc174375025 \h</w:instrText>
            </w:r>
            <w:r w:rsidRPr="00D07D63">
              <w:rPr>
                <w:rFonts w:ascii="宋体" w:eastAsia="宋体" w:hAnsi="宋体" w:cs="宋体" w:hint="eastAsia"/>
                <w:bCs/>
                <w:sz w:val="28"/>
                <w:szCs w:val="28"/>
              </w:rPr>
              <w:instrText xml:space="preserve"> </w:instrText>
            </w:r>
            <w:r w:rsidRPr="00D07D63">
              <w:rPr>
                <w:rFonts w:ascii="宋体" w:eastAsia="宋体" w:hAnsi="宋体" w:cs="宋体" w:hint="eastAsia"/>
                <w:bCs/>
                <w:sz w:val="28"/>
                <w:szCs w:val="28"/>
              </w:rPr>
            </w:r>
            <w:r w:rsidRPr="00D07D63">
              <w:rPr>
                <w:rFonts w:ascii="宋体" w:eastAsia="宋体" w:hAnsi="宋体" w:cs="宋体"/>
                <w:bCs/>
                <w:sz w:val="28"/>
                <w:szCs w:val="28"/>
              </w:rPr>
              <w:fldChar w:fldCharType="separate"/>
            </w:r>
            <w:r w:rsidRPr="00D07D63">
              <w:rPr>
                <w:rFonts w:ascii="宋体" w:eastAsia="宋体" w:hAnsi="宋体" w:cs="宋体"/>
                <w:bCs/>
                <w:sz w:val="28"/>
                <w:szCs w:val="28"/>
              </w:rPr>
              <w:t>25</w:t>
            </w:r>
            <w:r w:rsidRPr="00D07D63">
              <w:rPr>
                <w:rFonts w:ascii="宋体" w:eastAsia="宋体" w:hAnsi="宋体" w:cs="宋体" w:hint="eastAsia"/>
                <w:bCs/>
                <w:sz w:val="28"/>
                <w:szCs w:val="28"/>
              </w:rPr>
              <w:fldChar w:fldCharType="end"/>
            </w:r>
          </w:hyperlink>
        </w:p>
        <w:p w:rsidR="00D07D63" w:rsidRPr="00D07D63" w:rsidRDefault="00D07D63">
          <w:pPr>
            <w:pStyle w:val="TOC2"/>
            <w:tabs>
              <w:tab w:val="right" w:leader="dot" w:pos="8296"/>
            </w:tabs>
            <w:rPr>
              <w:rFonts w:ascii="宋体" w:eastAsia="宋体" w:hAnsi="宋体" w:cs="宋体" w:hint="eastAsia"/>
              <w:bCs/>
              <w:sz w:val="28"/>
              <w:szCs w:val="28"/>
            </w:rPr>
          </w:pPr>
          <w:hyperlink w:anchor="_Toc174375026" w:history="1">
            <w:r w:rsidRPr="00D07D63">
              <w:rPr>
                <w:rFonts w:ascii="宋体" w:eastAsia="宋体" w:hAnsi="宋体" w:cs="宋体" w:hint="eastAsia"/>
                <w:bCs/>
                <w:sz w:val="28"/>
                <w:szCs w:val="28"/>
              </w:rPr>
              <w:t>（四）项目产出情况</w:t>
            </w:r>
            <w:r w:rsidRPr="00D07D63">
              <w:rPr>
                <w:rFonts w:ascii="宋体" w:eastAsia="宋体" w:hAnsi="宋体" w:cs="宋体" w:hint="eastAsia"/>
                <w:bCs/>
                <w:sz w:val="28"/>
                <w:szCs w:val="28"/>
              </w:rPr>
              <w:tab/>
            </w:r>
            <w:r w:rsidRPr="00D07D63">
              <w:rPr>
                <w:rFonts w:ascii="宋体" w:eastAsia="宋体" w:hAnsi="宋体" w:cs="宋体" w:hint="eastAsia"/>
                <w:bCs/>
                <w:sz w:val="28"/>
                <w:szCs w:val="28"/>
              </w:rPr>
              <w:fldChar w:fldCharType="begin"/>
            </w:r>
            <w:r w:rsidRPr="00D07D63">
              <w:rPr>
                <w:rFonts w:ascii="宋体" w:eastAsia="宋体" w:hAnsi="宋体" w:cs="宋体" w:hint="eastAsia"/>
                <w:bCs/>
                <w:sz w:val="28"/>
                <w:szCs w:val="28"/>
              </w:rPr>
              <w:instrText xml:space="preserve"> </w:instrText>
            </w:r>
            <w:r w:rsidRPr="00D07D63">
              <w:rPr>
                <w:rFonts w:ascii="宋体" w:eastAsia="宋体" w:hAnsi="宋体" w:cs="宋体"/>
                <w:bCs/>
                <w:sz w:val="28"/>
                <w:szCs w:val="28"/>
              </w:rPr>
              <w:instrText>PAGEREF _Toc174375026 \h</w:instrText>
            </w:r>
            <w:r w:rsidRPr="00D07D63">
              <w:rPr>
                <w:rFonts w:ascii="宋体" w:eastAsia="宋体" w:hAnsi="宋体" w:cs="宋体" w:hint="eastAsia"/>
                <w:bCs/>
                <w:sz w:val="28"/>
                <w:szCs w:val="28"/>
              </w:rPr>
              <w:instrText xml:space="preserve"> </w:instrText>
            </w:r>
            <w:r w:rsidRPr="00D07D63">
              <w:rPr>
                <w:rFonts w:ascii="宋体" w:eastAsia="宋体" w:hAnsi="宋体" w:cs="宋体" w:hint="eastAsia"/>
                <w:bCs/>
                <w:sz w:val="28"/>
                <w:szCs w:val="28"/>
              </w:rPr>
            </w:r>
            <w:r w:rsidRPr="00D07D63">
              <w:rPr>
                <w:rFonts w:ascii="宋体" w:eastAsia="宋体" w:hAnsi="宋体" w:cs="宋体"/>
                <w:bCs/>
                <w:sz w:val="28"/>
                <w:szCs w:val="28"/>
              </w:rPr>
              <w:fldChar w:fldCharType="separate"/>
            </w:r>
            <w:r w:rsidRPr="00D07D63">
              <w:rPr>
                <w:rFonts w:ascii="宋体" w:eastAsia="宋体" w:hAnsi="宋体" w:cs="宋体"/>
                <w:bCs/>
                <w:sz w:val="28"/>
                <w:szCs w:val="28"/>
              </w:rPr>
              <w:t>25</w:t>
            </w:r>
            <w:r w:rsidRPr="00D07D63">
              <w:rPr>
                <w:rFonts w:ascii="宋体" w:eastAsia="宋体" w:hAnsi="宋体" w:cs="宋体" w:hint="eastAsia"/>
                <w:bCs/>
                <w:sz w:val="28"/>
                <w:szCs w:val="28"/>
              </w:rPr>
              <w:fldChar w:fldCharType="end"/>
            </w:r>
          </w:hyperlink>
        </w:p>
        <w:p w:rsidR="00D07D63" w:rsidRPr="00D07D63" w:rsidRDefault="00D07D63">
          <w:pPr>
            <w:pStyle w:val="TOC2"/>
            <w:tabs>
              <w:tab w:val="right" w:leader="dot" w:pos="8296"/>
            </w:tabs>
            <w:rPr>
              <w:rFonts w:ascii="宋体" w:eastAsia="宋体" w:hAnsi="宋体" w:cs="宋体" w:hint="eastAsia"/>
              <w:bCs/>
              <w:sz w:val="28"/>
              <w:szCs w:val="28"/>
            </w:rPr>
          </w:pPr>
          <w:hyperlink w:anchor="_Toc174375027" w:history="1">
            <w:r w:rsidRPr="00D07D63">
              <w:rPr>
                <w:rFonts w:ascii="宋体" w:eastAsia="宋体" w:hAnsi="宋体" w:cs="宋体" w:hint="eastAsia"/>
                <w:sz w:val="28"/>
                <w:szCs w:val="28"/>
              </w:rPr>
              <w:t>（五）项目效益情况</w:t>
            </w:r>
            <w:r w:rsidRPr="00D07D63">
              <w:rPr>
                <w:rFonts w:ascii="宋体" w:eastAsia="宋体" w:hAnsi="宋体" w:cs="宋体" w:hint="eastAsia"/>
                <w:bCs/>
                <w:sz w:val="28"/>
                <w:szCs w:val="28"/>
              </w:rPr>
              <w:tab/>
            </w:r>
            <w:r w:rsidRPr="00D07D63">
              <w:rPr>
                <w:rFonts w:ascii="宋体" w:eastAsia="宋体" w:hAnsi="宋体" w:cs="宋体" w:hint="eastAsia"/>
                <w:bCs/>
                <w:sz w:val="28"/>
                <w:szCs w:val="28"/>
              </w:rPr>
              <w:fldChar w:fldCharType="begin"/>
            </w:r>
            <w:r w:rsidRPr="00D07D63">
              <w:rPr>
                <w:rFonts w:ascii="宋体" w:eastAsia="宋体" w:hAnsi="宋体" w:cs="宋体" w:hint="eastAsia"/>
                <w:bCs/>
                <w:sz w:val="28"/>
                <w:szCs w:val="28"/>
              </w:rPr>
              <w:instrText xml:space="preserve"> </w:instrText>
            </w:r>
            <w:r w:rsidRPr="00D07D63">
              <w:rPr>
                <w:rFonts w:ascii="宋体" w:eastAsia="宋体" w:hAnsi="宋体" w:cs="宋体"/>
                <w:bCs/>
                <w:sz w:val="28"/>
                <w:szCs w:val="28"/>
              </w:rPr>
              <w:instrText>PAGEREF _Toc174375027 \h</w:instrText>
            </w:r>
            <w:r w:rsidRPr="00D07D63">
              <w:rPr>
                <w:rFonts w:ascii="宋体" w:eastAsia="宋体" w:hAnsi="宋体" w:cs="宋体" w:hint="eastAsia"/>
                <w:bCs/>
                <w:sz w:val="28"/>
                <w:szCs w:val="28"/>
              </w:rPr>
              <w:instrText xml:space="preserve"> </w:instrText>
            </w:r>
            <w:r w:rsidRPr="00D07D63">
              <w:rPr>
                <w:rFonts w:ascii="宋体" w:eastAsia="宋体" w:hAnsi="宋体" w:cs="宋体" w:hint="eastAsia"/>
                <w:bCs/>
                <w:sz w:val="28"/>
                <w:szCs w:val="28"/>
              </w:rPr>
            </w:r>
            <w:r w:rsidRPr="00D07D63">
              <w:rPr>
                <w:rFonts w:ascii="宋体" w:eastAsia="宋体" w:hAnsi="宋体" w:cs="宋体"/>
                <w:bCs/>
                <w:sz w:val="28"/>
                <w:szCs w:val="28"/>
              </w:rPr>
              <w:fldChar w:fldCharType="separate"/>
            </w:r>
            <w:r w:rsidRPr="00D07D63">
              <w:rPr>
                <w:rFonts w:ascii="宋体" w:eastAsia="宋体" w:hAnsi="宋体" w:cs="宋体"/>
                <w:bCs/>
                <w:sz w:val="28"/>
                <w:szCs w:val="28"/>
              </w:rPr>
              <w:t>27</w:t>
            </w:r>
            <w:r w:rsidRPr="00D07D63">
              <w:rPr>
                <w:rFonts w:ascii="宋体" w:eastAsia="宋体" w:hAnsi="宋体" w:cs="宋体" w:hint="eastAsia"/>
                <w:bCs/>
                <w:sz w:val="28"/>
                <w:szCs w:val="28"/>
              </w:rPr>
              <w:fldChar w:fldCharType="end"/>
            </w:r>
          </w:hyperlink>
        </w:p>
        <w:p w:rsidR="00D07D63" w:rsidRPr="00D07D63" w:rsidRDefault="00D07D63">
          <w:pPr>
            <w:pStyle w:val="TOC1"/>
            <w:tabs>
              <w:tab w:val="right" w:leader="dot" w:pos="8296"/>
            </w:tabs>
            <w:rPr>
              <w:rFonts w:ascii="宋体" w:eastAsia="宋体" w:hAnsi="宋体" w:cs="宋体" w:hint="eastAsia"/>
              <w:sz w:val="28"/>
              <w:szCs w:val="28"/>
            </w:rPr>
          </w:pPr>
          <w:hyperlink w:anchor="_Toc174375028" w:history="1">
            <w:r w:rsidRPr="00D07D63">
              <w:rPr>
                <w:rFonts w:ascii="宋体" w:eastAsia="宋体" w:hAnsi="宋体" w:cs="宋体" w:hint="eastAsia"/>
                <w:sz w:val="28"/>
                <w:szCs w:val="28"/>
              </w:rPr>
              <w:t>六、项目主要经验及做法</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_Toc174375028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28</w:t>
            </w:r>
            <w:r w:rsidRPr="00D07D63">
              <w:rPr>
                <w:rFonts w:ascii="宋体" w:eastAsia="宋体" w:hAnsi="宋体" w:cs="宋体" w:hint="eastAsia"/>
                <w:sz w:val="28"/>
                <w:szCs w:val="28"/>
              </w:rPr>
              <w:fldChar w:fldCharType="end"/>
            </w:r>
          </w:hyperlink>
        </w:p>
        <w:p w:rsidR="00D07D63" w:rsidRPr="00D07D63" w:rsidRDefault="00D07D63">
          <w:pPr>
            <w:pStyle w:val="TOC1"/>
            <w:tabs>
              <w:tab w:val="right" w:leader="dot" w:pos="8296"/>
            </w:tabs>
            <w:rPr>
              <w:rFonts w:ascii="宋体" w:eastAsia="宋体" w:hAnsi="宋体" w:cs="宋体" w:hint="eastAsia"/>
              <w:sz w:val="28"/>
              <w:szCs w:val="28"/>
            </w:rPr>
          </w:pPr>
          <w:hyperlink w:anchor="_Toc174375029" w:history="1">
            <w:r w:rsidRPr="00D07D63">
              <w:rPr>
                <w:rFonts w:ascii="宋体" w:eastAsia="宋体" w:hAnsi="宋体" w:cs="宋体" w:hint="eastAsia"/>
                <w:sz w:val="28"/>
                <w:szCs w:val="28"/>
              </w:rPr>
              <w:t>七、存在的问题及原因分析</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_Toc174375029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29</w:t>
            </w:r>
            <w:r w:rsidRPr="00D07D63">
              <w:rPr>
                <w:rFonts w:ascii="宋体" w:eastAsia="宋体" w:hAnsi="宋体" w:cs="宋体" w:hint="eastAsia"/>
                <w:sz w:val="28"/>
                <w:szCs w:val="28"/>
              </w:rPr>
              <w:fldChar w:fldCharType="end"/>
            </w:r>
          </w:hyperlink>
        </w:p>
        <w:p w:rsidR="00D07D63" w:rsidRPr="00D07D63" w:rsidRDefault="00D07D63">
          <w:pPr>
            <w:pStyle w:val="TOC1"/>
            <w:tabs>
              <w:tab w:val="right" w:leader="dot" w:pos="8296"/>
            </w:tabs>
            <w:rPr>
              <w:rFonts w:ascii="宋体" w:eastAsia="宋体" w:hAnsi="宋体" w:cs="宋体" w:hint="eastAsia"/>
              <w:sz w:val="28"/>
              <w:szCs w:val="28"/>
            </w:rPr>
          </w:pPr>
          <w:hyperlink w:anchor="_Toc174375032" w:history="1">
            <w:r w:rsidRPr="00D07D63">
              <w:rPr>
                <w:rFonts w:ascii="宋体" w:eastAsia="宋体" w:hAnsi="宋体" w:cs="宋体" w:hint="eastAsia"/>
                <w:sz w:val="28"/>
                <w:szCs w:val="28"/>
              </w:rPr>
              <w:t>八、有关建议</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_Toc174375032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30</w:t>
            </w:r>
            <w:r w:rsidRPr="00D07D63">
              <w:rPr>
                <w:rFonts w:ascii="宋体" w:eastAsia="宋体" w:hAnsi="宋体" w:cs="宋体" w:hint="eastAsia"/>
                <w:sz w:val="28"/>
                <w:szCs w:val="28"/>
              </w:rPr>
              <w:fldChar w:fldCharType="end"/>
            </w:r>
          </w:hyperlink>
        </w:p>
        <w:p w:rsidR="00D07D63" w:rsidRPr="00D07D63" w:rsidRDefault="00D07D63">
          <w:pPr>
            <w:pStyle w:val="TOC1"/>
            <w:tabs>
              <w:tab w:val="right" w:leader="dot" w:pos="8296"/>
            </w:tabs>
            <w:rPr>
              <w:rFonts w:ascii="宋体" w:eastAsia="宋体" w:hAnsi="宋体" w:cs="宋体" w:hint="eastAsia"/>
              <w:sz w:val="28"/>
              <w:szCs w:val="28"/>
            </w:rPr>
          </w:pPr>
          <w:hyperlink w:anchor="_Toc174375036" w:history="1">
            <w:r w:rsidRPr="00D07D63">
              <w:rPr>
                <w:rFonts w:ascii="宋体" w:eastAsia="宋体" w:hAnsi="宋体" w:cs="宋体" w:hint="eastAsia"/>
                <w:sz w:val="28"/>
                <w:szCs w:val="28"/>
              </w:rPr>
              <w:t>九、需要说明的问题</w:t>
            </w:r>
            <w:r w:rsidRPr="00D07D63">
              <w:rPr>
                <w:rFonts w:ascii="宋体" w:eastAsia="宋体" w:hAnsi="宋体" w:cs="宋体" w:hint="eastAsia"/>
                <w:sz w:val="28"/>
                <w:szCs w:val="28"/>
              </w:rPr>
              <w:tab/>
            </w:r>
            <w:r w:rsidRPr="00D07D63">
              <w:rPr>
                <w:rFonts w:ascii="宋体" w:eastAsia="宋体" w:hAnsi="宋体" w:cs="宋体" w:hint="eastAsia"/>
                <w:sz w:val="28"/>
                <w:szCs w:val="28"/>
              </w:rPr>
              <w:fldChar w:fldCharType="begin"/>
            </w:r>
            <w:r w:rsidRPr="00D07D63">
              <w:rPr>
                <w:rFonts w:ascii="宋体" w:eastAsia="宋体" w:hAnsi="宋体" w:cs="宋体" w:hint="eastAsia"/>
                <w:sz w:val="28"/>
                <w:szCs w:val="28"/>
              </w:rPr>
              <w:instrText xml:space="preserve"> </w:instrText>
            </w:r>
            <w:r w:rsidRPr="00D07D63">
              <w:rPr>
                <w:rFonts w:ascii="宋体" w:eastAsia="宋体" w:hAnsi="宋体" w:cs="宋体"/>
                <w:sz w:val="28"/>
                <w:szCs w:val="28"/>
              </w:rPr>
              <w:instrText>PAGEREF _Toc174375036 \h</w:instrText>
            </w:r>
            <w:r w:rsidRPr="00D07D63">
              <w:rPr>
                <w:rFonts w:ascii="宋体" w:eastAsia="宋体" w:hAnsi="宋体" w:cs="宋体" w:hint="eastAsia"/>
                <w:sz w:val="28"/>
                <w:szCs w:val="28"/>
              </w:rPr>
              <w:instrText xml:space="preserve"> </w:instrText>
            </w:r>
            <w:r w:rsidRPr="00D07D63">
              <w:rPr>
                <w:rFonts w:ascii="宋体" w:eastAsia="宋体" w:hAnsi="宋体" w:cs="宋体" w:hint="eastAsia"/>
                <w:sz w:val="28"/>
                <w:szCs w:val="28"/>
              </w:rPr>
            </w:r>
            <w:r w:rsidRPr="00D07D63">
              <w:rPr>
                <w:rFonts w:ascii="宋体" w:eastAsia="宋体" w:hAnsi="宋体" w:cs="宋体"/>
                <w:sz w:val="28"/>
                <w:szCs w:val="28"/>
              </w:rPr>
              <w:fldChar w:fldCharType="separate"/>
            </w:r>
            <w:r w:rsidRPr="00D07D63">
              <w:rPr>
                <w:rFonts w:ascii="宋体" w:eastAsia="宋体" w:hAnsi="宋体" w:cs="宋体"/>
                <w:sz w:val="28"/>
                <w:szCs w:val="28"/>
              </w:rPr>
              <w:t>31</w:t>
            </w:r>
            <w:r w:rsidRPr="00D07D63">
              <w:rPr>
                <w:rFonts w:ascii="宋体" w:eastAsia="宋体" w:hAnsi="宋体" w:cs="宋体" w:hint="eastAsia"/>
                <w:sz w:val="28"/>
                <w:szCs w:val="28"/>
              </w:rPr>
              <w:fldChar w:fldCharType="end"/>
            </w:r>
          </w:hyperlink>
        </w:p>
        <w:p w:rsidR="00B868FF" w:rsidRDefault="00000000">
          <w:pPr>
            <w:pStyle w:val="a6"/>
            <w:overflowPunct w:val="0"/>
            <w:spacing w:line="560" w:lineRule="exact"/>
            <w:rPr>
              <w:rFonts w:ascii="宋体" w:eastAsia="宋体" w:hAnsi="宋体" w:hint="eastAsia"/>
              <w:b/>
              <w:bCs/>
              <w:szCs w:val="44"/>
              <w:highlight w:val="yellow"/>
            </w:rPr>
            <w:sectPr w:rsidR="00B868FF">
              <w:headerReference w:type="default" r:id="rId11"/>
              <w:footerReference w:type="default" r:id="rId12"/>
              <w:headerReference w:type="first" r:id="rId13"/>
              <w:footerReference w:type="first" r:id="rId14"/>
              <w:pgSz w:w="11906" w:h="16838"/>
              <w:pgMar w:top="1440" w:right="1800" w:bottom="1440" w:left="1800" w:header="851" w:footer="992" w:gutter="0"/>
              <w:pgNumType w:start="1"/>
              <w:cols w:space="425"/>
              <w:titlePg/>
              <w:docGrid w:type="lines" w:linePitch="312"/>
            </w:sectPr>
          </w:pPr>
          <w:r>
            <w:rPr>
              <w:rFonts w:ascii="宋体" w:eastAsia="宋体" w:hAnsi="宋体" w:cs="宋体" w:hint="eastAsia"/>
              <w:bCs/>
              <w:sz w:val="28"/>
              <w:szCs w:val="28"/>
              <w:highlight w:val="yellow"/>
            </w:rPr>
            <w:fldChar w:fldCharType="end"/>
          </w:r>
        </w:p>
      </w:sdtContent>
    </w:sdt>
    <w:p w:rsidR="00B868FF" w:rsidRDefault="00000000">
      <w:pPr>
        <w:pStyle w:val="a6"/>
        <w:overflowPunct w:val="0"/>
        <w:spacing w:line="560" w:lineRule="exact"/>
        <w:jc w:val="center"/>
        <w:outlineLvl w:val="0"/>
        <w:rPr>
          <w:rFonts w:ascii="方正小标宋简体" w:eastAsia="方正小标宋简体" w:hAnsi="宋体" w:hint="eastAsia"/>
          <w:sz w:val="44"/>
          <w:szCs w:val="44"/>
        </w:rPr>
      </w:pPr>
      <w:bookmarkStart w:id="0" w:name="_Toc174374992"/>
      <w:r>
        <w:rPr>
          <w:rFonts w:ascii="方正小标宋简体" w:eastAsia="方正小标宋简体" w:hAnsi="宋体" w:hint="eastAsia"/>
          <w:sz w:val="44"/>
          <w:szCs w:val="44"/>
        </w:rPr>
        <w:lastRenderedPageBreak/>
        <w:t xml:space="preserve">摘 </w:t>
      </w:r>
      <w:r>
        <w:rPr>
          <w:rFonts w:ascii="方正小标宋简体" w:eastAsia="方正小标宋简体" w:hAnsi="宋体"/>
          <w:sz w:val="44"/>
          <w:szCs w:val="44"/>
        </w:rPr>
        <w:t xml:space="preserve">  </w:t>
      </w:r>
      <w:r>
        <w:rPr>
          <w:rFonts w:ascii="方正小标宋简体" w:eastAsia="方正小标宋简体" w:hAnsi="宋体" w:hint="eastAsia"/>
          <w:sz w:val="44"/>
          <w:szCs w:val="44"/>
        </w:rPr>
        <w:t>要</w:t>
      </w:r>
      <w:bookmarkEnd w:id="0"/>
    </w:p>
    <w:p w:rsidR="00B868FF" w:rsidRDefault="00B868FF">
      <w:pPr>
        <w:overflowPunct w:val="0"/>
        <w:spacing w:line="560" w:lineRule="exact"/>
        <w:ind w:firstLineChars="200" w:firstLine="420"/>
        <w:jc w:val="center"/>
        <w:rPr>
          <w:highlight w:val="yellow"/>
        </w:rPr>
      </w:pPr>
    </w:p>
    <w:p w:rsidR="00B868FF" w:rsidRPr="00FC578B" w:rsidRDefault="00000000">
      <w:pPr>
        <w:numPr>
          <w:ilvl w:val="0"/>
          <w:numId w:val="1"/>
        </w:numPr>
        <w:tabs>
          <w:tab w:val="left" w:pos="849"/>
        </w:tabs>
        <w:spacing w:line="556" w:lineRule="exact"/>
        <w:ind w:firstLineChars="200" w:firstLine="640"/>
        <w:outlineLvl w:val="0"/>
        <w:rPr>
          <w:rFonts w:ascii="黑体" w:eastAsia="黑体" w:hAnsi="黑体" w:cs="黑体" w:hint="eastAsia"/>
          <w:sz w:val="32"/>
          <w:szCs w:val="32"/>
        </w:rPr>
      </w:pPr>
      <w:bookmarkStart w:id="1" w:name="_Toc3638"/>
      <w:bookmarkStart w:id="2" w:name="_Toc13873"/>
      <w:bookmarkStart w:id="3" w:name="_Toc174374993"/>
      <w:r w:rsidRPr="00FC578B">
        <w:rPr>
          <w:rFonts w:ascii="黑体" w:eastAsia="黑体" w:hAnsi="黑体" w:cs="黑体" w:hint="eastAsia"/>
          <w:sz w:val="32"/>
          <w:szCs w:val="32"/>
        </w:rPr>
        <w:t>项目基本情况</w:t>
      </w:r>
      <w:bookmarkEnd w:id="1"/>
      <w:bookmarkEnd w:id="2"/>
      <w:bookmarkEnd w:id="3"/>
    </w:p>
    <w:p w:rsidR="00B868FF" w:rsidRDefault="00000000">
      <w:pPr>
        <w:pStyle w:val="a6"/>
        <w:spacing w:line="556" w:lineRule="exact"/>
        <w:ind w:firstLineChars="200" w:firstLine="643"/>
        <w:outlineLvl w:val="1"/>
        <w:rPr>
          <w:rFonts w:ascii="楷体" w:eastAsia="楷体" w:hAnsi="楷体" w:cs="楷体" w:hint="eastAsia"/>
          <w:b/>
          <w:bCs/>
        </w:rPr>
      </w:pPr>
      <w:bookmarkStart w:id="4" w:name="_Toc4031"/>
      <w:bookmarkStart w:id="5" w:name="_Toc30374"/>
      <w:bookmarkStart w:id="6" w:name="_Toc174374994"/>
      <w:r>
        <w:rPr>
          <w:rFonts w:ascii="楷体" w:eastAsia="楷体" w:hAnsi="楷体" w:cs="楷体" w:hint="eastAsia"/>
          <w:b/>
          <w:bCs/>
        </w:rPr>
        <w:t>（一）项目立项背景及实施目的</w:t>
      </w:r>
      <w:bookmarkEnd w:id="4"/>
      <w:bookmarkEnd w:id="5"/>
      <w:bookmarkEnd w:id="6"/>
    </w:p>
    <w:p w:rsidR="00B868FF" w:rsidRDefault="00000000">
      <w:pPr>
        <w:pStyle w:val="af4"/>
        <w:ind w:firstLine="640"/>
        <w:rPr>
          <w:rFonts w:hint="eastAsia"/>
        </w:rPr>
      </w:pPr>
      <w:bookmarkStart w:id="7" w:name="_Toc24239"/>
      <w:r>
        <w:rPr>
          <w:rFonts w:hint="eastAsia"/>
        </w:rPr>
        <w:t>近年来，</w:t>
      </w:r>
      <w:r w:rsidR="00533019">
        <w:rPr>
          <w:rFonts w:hint="eastAsia"/>
        </w:rPr>
        <w:t>甘肃省高级人民法院</w:t>
      </w:r>
      <w:r>
        <w:rPr>
          <w:rFonts w:hint="eastAsia"/>
        </w:rPr>
        <w:t>大力推行以案释法工作，在办案过程中主动向案件当事人和社会公众宣讲法律，解答有关法律问题，努力把每一个案件、每一次庭审、每一份裁判文书都打造</w:t>
      </w:r>
      <w:proofErr w:type="gramStart"/>
      <w:r>
        <w:rPr>
          <w:rFonts w:hint="eastAsia"/>
        </w:rPr>
        <w:t>成法制</w:t>
      </w:r>
      <w:proofErr w:type="gramEnd"/>
      <w:r>
        <w:rPr>
          <w:rFonts w:hint="eastAsia"/>
        </w:rPr>
        <w:t>宣传教育的载体。同时，通过举办法制活动和宣传活动等举措，回应社会关切、普及法律知识，发挥大要案的示范引领作用，促进全社会形成崇尚法治的良好氛围。</w:t>
      </w:r>
    </w:p>
    <w:p w:rsidR="00B868FF" w:rsidRDefault="00000000">
      <w:pPr>
        <w:pStyle w:val="a6"/>
        <w:spacing w:line="556" w:lineRule="exact"/>
        <w:ind w:firstLineChars="200" w:firstLine="643"/>
        <w:outlineLvl w:val="1"/>
        <w:rPr>
          <w:rFonts w:ascii="楷体" w:eastAsia="楷体" w:hAnsi="楷体" w:cs="楷体" w:hint="eastAsia"/>
          <w:b/>
          <w:bCs/>
        </w:rPr>
      </w:pPr>
      <w:bookmarkStart w:id="8" w:name="_Toc15128"/>
      <w:bookmarkStart w:id="9" w:name="_Toc174374995"/>
      <w:r>
        <w:rPr>
          <w:rFonts w:ascii="楷体" w:eastAsia="楷体" w:hAnsi="楷体" w:cs="楷体" w:hint="eastAsia"/>
          <w:b/>
          <w:bCs/>
        </w:rPr>
        <w:t>（二）项目预算安排和支出情况</w:t>
      </w:r>
      <w:bookmarkEnd w:id="7"/>
      <w:bookmarkEnd w:id="8"/>
      <w:bookmarkEnd w:id="9"/>
    </w:p>
    <w:p w:rsidR="00B868FF" w:rsidRDefault="00000000">
      <w:pPr>
        <w:pStyle w:val="a6"/>
        <w:overflowPunct w:val="0"/>
        <w:spacing w:line="560" w:lineRule="exact"/>
        <w:ind w:firstLineChars="200" w:firstLine="640"/>
        <w:rPr>
          <w:rFonts w:ascii="仿宋_GB2312" w:hAnsi="仿宋_GB2312" w:cs="仿宋_GB2312" w:hint="eastAsia"/>
        </w:rPr>
      </w:pPr>
      <w:r>
        <w:rPr>
          <w:rFonts w:ascii="仿宋_GB2312" w:hAnsi="仿宋_GB2312" w:cs="仿宋_GB2312" w:hint="eastAsia"/>
        </w:rPr>
        <w:t>2023年甘肃省高级人民法院文化建设宣传经费全年预算</w:t>
      </w:r>
      <w:r w:rsidR="00337BB2">
        <w:rPr>
          <w:rFonts w:ascii="仿宋_GB2312" w:hAnsi="仿宋_GB2312" w:cs="仿宋_GB2312" w:hint="eastAsia"/>
        </w:rPr>
        <w:t>数</w:t>
      </w:r>
      <w:r>
        <w:rPr>
          <w:rFonts w:ascii="仿宋_GB2312" w:hAnsi="仿宋_GB2312" w:cs="仿宋_GB2312" w:hint="eastAsia"/>
        </w:rPr>
        <w:t>220.93万元。</w:t>
      </w:r>
    </w:p>
    <w:p w:rsidR="00B868FF" w:rsidRDefault="00000000">
      <w:pPr>
        <w:pStyle w:val="a6"/>
        <w:spacing w:line="556" w:lineRule="exact"/>
        <w:ind w:firstLineChars="200" w:firstLine="640"/>
        <w:rPr>
          <w:rFonts w:ascii="仿宋_GB2312" w:hAnsi="仿宋_GB2312" w:cs="仿宋_GB2312" w:hint="eastAsia"/>
        </w:rPr>
      </w:pPr>
      <w:r>
        <w:rPr>
          <w:rFonts w:ascii="仿宋_GB2312" w:hAnsi="仿宋_GB2312" w:cs="仿宋_GB2312" w:hint="eastAsia"/>
        </w:rPr>
        <w:t>截至2023年12月31日，文化建设宣传经费项目实际支出</w:t>
      </w:r>
      <w:r w:rsidR="00337BB2">
        <w:rPr>
          <w:rFonts w:ascii="仿宋_GB2312" w:hAnsi="仿宋_GB2312" w:cs="仿宋_GB2312" w:hint="eastAsia"/>
        </w:rPr>
        <w:t>数</w:t>
      </w:r>
      <w:r>
        <w:rPr>
          <w:rFonts w:ascii="仿宋_GB2312" w:hAnsi="仿宋_GB2312" w:cs="仿宋_GB2312" w:hint="eastAsia"/>
        </w:rPr>
        <w:t>100.37万元，预算执行率45.43%。</w:t>
      </w:r>
    </w:p>
    <w:p w:rsidR="00B868FF" w:rsidRDefault="00000000">
      <w:pPr>
        <w:pStyle w:val="a6"/>
        <w:spacing w:line="556" w:lineRule="exact"/>
        <w:ind w:firstLineChars="200" w:firstLine="643"/>
        <w:outlineLvl w:val="1"/>
        <w:rPr>
          <w:rFonts w:ascii="楷体" w:eastAsia="楷体" w:hAnsi="楷体" w:cs="楷体" w:hint="eastAsia"/>
          <w:b/>
          <w:bCs/>
        </w:rPr>
      </w:pPr>
      <w:bookmarkStart w:id="10" w:name="_Toc174374996"/>
      <w:r>
        <w:rPr>
          <w:rFonts w:ascii="楷体" w:eastAsia="楷体" w:hAnsi="楷体" w:cs="楷体" w:hint="eastAsia"/>
          <w:b/>
          <w:bCs/>
        </w:rPr>
        <w:t>（三）项目实施情况</w:t>
      </w:r>
      <w:bookmarkEnd w:id="10"/>
    </w:p>
    <w:p w:rsidR="00B868FF" w:rsidRDefault="00000000">
      <w:pPr>
        <w:pStyle w:val="af4"/>
        <w:ind w:firstLine="640"/>
        <w:rPr>
          <w:rFonts w:hint="eastAsia"/>
        </w:rPr>
      </w:pPr>
      <w:bookmarkStart w:id="11" w:name="_Toc29824"/>
      <w:bookmarkStart w:id="12" w:name="_Toc26463"/>
      <w:r>
        <w:rPr>
          <w:rFonts w:hint="eastAsia"/>
        </w:rPr>
        <w:t>2023年甘肃省高级人民法院宣传工作坚持</w:t>
      </w:r>
      <w:r w:rsidR="00337BB2">
        <w:rPr>
          <w:rFonts w:hint="eastAsia"/>
        </w:rPr>
        <w:t>以</w:t>
      </w:r>
      <w:r>
        <w:rPr>
          <w:rFonts w:hint="eastAsia"/>
        </w:rPr>
        <w:t>团结稳定、正面宣传为主，共印制1500套法治文化宣传资料，8500人参与法治文化活动，对</w:t>
      </w:r>
      <w:r w:rsidR="00337BB2">
        <w:rPr>
          <w:rFonts w:hint="eastAsia"/>
        </w:rPr>
        <w:t>甘肃省高级</w:t>
      </w:r>
      <w:r>
        <w:rPr>
          <w:rFonts w:hint="eastAsia"/>
        </w:rPr>
        <w:t>人民法院法制建设进行宣传，引导人民知法、懂法、用法，回应社会关切、普及法律知识，发挥大要案的示范引领作用，促进全社会形成崇尚法治的良好氛围。</w:t>
      </w:r>
    </w:p>
    <w:p w:rsidR="00B868FF" w:rsidRPr="00FC578B" w:rsidRDefault="00000000">
      <w:pPr>
        <w:pStyle w:val="a6"/>
        <w:spacing w:line="556" w:lineRule="exact"/>
        <w:ind w:firstLineChars="200" w:firstLine="640"/>
        <w:outlineLvl w:val="0"/>
        <w:rPr>
          <w:rFonts w:ascii="仿宋" w:eastAsia="仿宋" w:hAnsi="仿宋" w:cs="仿宋" w:hint="eastAsia"/>
        </w:rPr>
      </w:pPr>
      <w:bookmarkStart w:id="13" w:name="_Toc174374997"/>
      <w:r w:rsidRPr="00FC578B">
        <w:rPr>
          <w:rFonts w:ascii="黑体" w:eastAsia="黑体" w:hAnsi="黑体" w:cs="黑体" w:hint="eastAsia"/>
        </w:rPr>
        <w:t>二、评价结论和绩效分析</w:t>
      </w:r>
      <w:bookmarkEnd w:id="11"/>
      <w:bookmarkEnd w:id="12"/>
      <w:bookmarkEnd w:id="13"/>
    </w:p>
    <w:p w:rsidR="00B868FF" w:rsidRDefault="00000000">
      <w:pPr>
        <w:pStyle w:val="a6"/>
        <w:spacing w:line="556" w:lineRule="exact"/>
        <w:ind w:firstLineChars="200" w:firstLine="643"/>
        <w:outlineLvl w:val="1"/>
        <w:rPr>
          <w:rFonts w:ascii="楷体" w:eastAsia="楷体" w:hAnsi="楷体" w:cs="楷体" w:hint="eastAsia"/>
          <w:b/>
          <w:bCs/>
        </w:rPr>
      </w:pPr>
      <w:bookmarkStart w:id="14" w:name="_Toc11898"/>
      <w:bookmarkStart w:id="15" w:name="_Toc3082"/>
      <w:bookmarkStart w:id="16" w:name="_Toc174374998"/>
      <w:r>
        <w:rPr>
          <w:rFonts w:ascii="楷体" w:eastAsia="楷体" w:hAnsi="楷体" w:cs="楷体" w:hint="eastAsia"/>
          <w:b/>
          <w:bCs/>
        </w:rPr>
        <w:t>（一）综合评价结论</w:t>
      </w:r>
      <w:bookmarkEnd w:id="14"/>
      <w:bookmarkEnd w:id="15"/>
      <w:bookmarkEnd w:id="16"/>
    </w:p>
    <w:p w:rsidR="00B868FF" w:rsidRDefault="00000000">
      <w:pPr>
        <w:pStyle w:val="af4"/>
        <w:ind w:firstLine="640"/>
        <w:rPr>
          <w:rFonts w:hint="eastAsia"/>
        </w:rPr>
      </w:pPr>
      <w:r>
        <w:rPr>
          <w:rFonts w:hint="eastAsia"/>
        </w:rPr>
        <w:lastRenderedPageBreak/>
        <w:t>评价小组根据项目实际，运用事先设置的评价指标体系及评分标准，对本次绩效评价指标体系进行适当调整，并经过数据采集、问卷调查及访谈、专家论证等</w:t>
      </w:r>
      <w:r w:rsidR="00845741">
        <w:rPr>
          <w:rFonts w:hint="eastAsia"/>
        </w:rPr>
        <w:t>评价方法</w:t>
      </w:r>
      <w:r>
        <w:rPr>
          <w:rFonts w:hint="eastAsia"/>
        </w:rPr>
        <w:t>，客观公正地评价，评定2023年度文化建设宣传经费项目综合评价得分为96.54分，评价等级为“优”。</w:t>
      </w:r>
    </w:p>
    <w:p w:rsidR="00B868FF" w:rsidRDefault="00000000">
      <w:pPr>
        <w:pStyle w:val="a6"/>
        <w:spacing w:line="556" w:lineRule="exact"/>
        <w:ind w:firstLineChars="200" w:firstLine="643"/>
        <w:outlineLvl w:val="1"/>
        <w:rPr>
          <w:rFonts w:ascii="楷体" w:eastAsia="楷体" w:hAnsi="楷体" w:cs="楷体" w:hint="eastAsia"/>
          <w:b/>
          <w:bCs/>
        </w:rPr>
      </w:pPr>
      <w:bookmarkStart w:id="17" w:name="_Toc14316"/>
      <w:bookmarkStart w:id="18" w:name="_Toc24181"/>
      <w:bookmarkStart w:id="19" w:name="_Toc174374999"/>
      <w:r>
        <w:rPr>
          <w:rFonts w:ascii="楷体" w:eastAsia="楷体" w:hAnsi="楷体" w:cs="楷体" w:hint="eastAsia"/>
          <w:b/>
          <w:bCs/>
        </w:rPr>
        <w:t>（二）绩效分析</w:t>
      </w:r>
      <w:bookmarkEnd w:id="17"/>
      <w:bookmarkEnd w:id="18"/>
      <w:bookmarkEnd w:id="19"/>
    </w:p>
    <w:p w:rsidR="00B868FF" w:rsidRDefault="00000000">
      <w:pPr>
        <w:pStyle w:val="af4"/>
        <w:ind w:firstLine="640"/>
        <w:rPr>
          <w:rFonts w:hint="eastAsia"/>
        </w:rPr>
      </w:pPr>
      <w:r>
        <w:rPr>
          <w:rFonts w:hint="eastAsia"/>
        </w:rPr>
        <w:t>评价认为，文化建设宣传经费项目立项程序规范，依据充分，项目实施必要。在专项资金统一保障下，项目顺利开展，项目实施流程严谨，执行管理到位，资金使用效果良好。项目总体组织规范，通过项目实施，引导人民知法、懂法、用法，回应社会关切、普及法律知识，发挥大要案的示范引领作用，促进全社会形成崇尚法治的良好氛围。但该项目也存在预算执行</w:t>
      </w:r>
      <w:r w:rsidR="00763E75">
        <w:rPr>
          <w:rFonts w:hint="eastAsia"/>
        </w:rPr>
        <w:t>有待提高</w:t>
      </w:r>
      <w:r>
        <w:rPr>
          <w:rFonts w:hint="eastAsia"/>
        </w:rPr>
        <w:t>，合同管理不</w:t>
      </w:r>
      <w:r w:rsidR="00337BB2">
        <w:rPr>
          <w:rFonts w:hint="eastAsia"/>
        </w:rPr>
        <w:t>规范</w:t>
      </w:r>
      <w:r w:rsidR="00763E75">
        <w:rPr>
          <w:rFonts w:hint="eastAsia"/>
        </w:rPr>
        <w:t>的</w:t>
      </w:r>
      <w:r>
        <w:rPr>
          <w:rFonts w:hint="eastAsia"/>
        </w:rPr>
        <w:t>问题。</w:t>
      </w:r>
    </w:p>
    <w:p w:rsidR="00B868FF" w:rsidRPr="00FC578B" w:rsidRDefault="00000000">
      <w:pPr>
        <w:pStyle w:val="1"/>
        <w:keepNext w:val="0"/>
        <w:keepLines w:val="0"/>
        <w:spacing w:before="0" w:after="0" w:line="556" w:lineRule="exact"/>
        <w:ind w:firstLineChars="200" w:firstLine="640"/>
        <w:rPr>
          <w:rFonts w:ascii="黑体" w:eastAsia="黑体" w:hAnsi="黑体" w:cs="黑体" w:hint="eastAsia"/>
          <w:b w:val="0"/>
          <w:sz w:val="32"/>
          <w:szCs w:val="32"/>
        </w:rPr>
      </w:pPr>
      <w:bookmarkStart w:id="20" w:name="_Toc26660"/>
      <w:bookmarkStart w:id="21" w:name="_Toc16038"/>
      <w:bookmarkStart w:id="22" w:name="_Toc174375000"/>
      <w:r w:rsidRPr="00FC578B">
        <w:rPr>
          <w:rFonts w:ascii="黑体" w:eastAsia="黑体" w:hAnsi="黑体" w:cs="黑体" w:hint="eastAsia"/>
          <w:b w:val="0"/>
          <w:sz w:val="32"/>
          <w:szCs w:val="32"/>
        </w:rPr>
        <w:t>三、存在问题</w:t>
      </w:r>
      <w:bookmarkEnd w:id="20"/>
      <w:bookmarkEnd w:id="21"/>
      <w:bookmarkEnd w:id="22"/>
    </w:p>
    <w:p w:rsidR="00B868FF" w:rsidRDefault="00000000">
      <w:pPr>
        <w:overflowPunct w:val="0"/>
        <w:spacing w:line="560" w:lineRule="exact"/>
        <w:ind w:firstLineChars="200" w:firstLine="643"/>
        <w:outlineLvl w:val="1"/>
        <w:rPr>
          <w:rStyle w:val="23"/>
          <w:rFonts w:ascii="楷体" w:eastAsia="楷体" w:hAnsi="楷体" w:cs="楷体" w:hint="eastAsia"/>
          <w:szCs w:val="32"/>
        </w:rPr>
      </w:pPr>
      <w:bookmarkStart w:id="23" w:name="_Toc174276598"/>
      <w:bookmarkStart w:id="24" w:name="_Toc174274617"/>
      <w:bookmarkStart w:id="25" w:name="_Toc7706"/>
      <w:bookmarkStart w:id="26" w:name="_Toc174375001"/>
      <w:r>
        <w:rPr>
          <w:rStyle w:val="23"/>
          <w:rFonts w:ascii="楷体" w:eastAsia="楷体" w:hAnsi="楷体" w:cs="楷体" w:hint="eastAsia"/>
          <w:szCs w:val="32"/>
        </w:rPr>
        <w:t>（一）项目支出预算执行率有待提高</w:t>
      </w:r>
      <w:bookmarkEnd w:id="23"/>
      <w:bookmarkEnd w:id="24"/>
      <w:bookmarkEnd w:id="26"/>
    </w:p>
    <w:p w:rsidR="00B868FF" w:rsidRDefault="00000000">
      <w:pPr>
        <w:pStyle w:val="af4"/>
        <w:ind w:firstLine="640"/>
        <w:rPr>
          <w:rFonts w:hint="eastAsia"/>
        </w:rPr>
      </w:pPr>
      <w:r>
        <w:rPr>
          <w:rFonts w:hint="eastAsia"/>
        </w:rPr>
        <w:t>文化建设宣传经费项目专项资金全年预算</w:t>
      </w:r>
      <w:r w:rsidR="00337BB2">
        <w:rPr>
          <w:rFonts w:hint="eastAsia"/>
        </w:rPr>
        <w:t>数</w:t>
      </w:r>
      <w:r>
        <w:rPr>
          <w:rFonts w:hint="eastAsia"/>
        </w:rPr>
        <w:t>220.93万元，截</w:t>
      </w:r>
      <w:r w:rsidR="00337BB2">
        <w:rPr>
          <w:rFonts w:hint="eastAsia"/>
        </w:rPr>
        <w:t>至</w:t>
      </w:r>
      <w:r>
        <w:rPr>
          <w:rFonts w:hint="eastAsia"/>
        </w:rPr>
        <w:t>2023年12月31日，该项目全年实际支出</w:t>
      </w:r>
      <w:r w:rsidR="00337BB2">
        <w:rPr>
          <w:rFonts w:hint="eastAsia"/>
        </w:rPr>
        <w:t>数</w:t>
      </w:r>
      <w:r>
        <w:rPr>
          <w:rFonts w:hint="eastAsia"/>
        </w:rPr>
        <w:t>100.37万元，预算执行率为45.43%。</w:t>
      </w:r>
    </w:p>
    <w:p w:rsidR="00B868FF" w:rsidRDefault="00000000">
      <w:pPr>
        <w:overflowPunct w:val="0"/>
        <w:spacing w:line="560" w:lineRule="exact"/>
        <w:ind w:firstLineChars="200" w:firstLine="643"/>
        <w:outlineLvl w:val="1"/>
        <w:rPr>
          <w:rStyle w:val="23"/>
          <w:rFonts w:ascii="楷体" w:eastAsia="楷体" w:hAnsi="楷体" w:cs="楷体" w:hint="eastAsia"/>
          <w:szCs w:val="32"/>
        </w:rPr>
      </w:pPr>
      <w:bookmarkStart w:id="27" w:name="_Toc174276599"/>
      <w:bookmarkStart w:id="28" w:name="_Toc174274618"/>
      <w:bookmarkStart w:id="29" w:name="_Toc174375002"/>
      <w:r>
        <w:rPr>
          <w:rStyle w:val="23"/>
          <w:rFonts w:ascii="楷体" w:eastAsia="楷体" w:hAnsi="楷体" w:cs="楷体" w:hint="eastAsia"/>
          <w:szCs w:val="32"/>
        </w:rPr>
        <w:t>（二）合同管理有待</w:t>
      </w:r>
      <w:bookmarkEnd w:id="27"/>
      <w:bookmarkEnd w:id="28"/>
      <w:r w:rsidR="00337BB2">
        <w:rPr>
          <w:rStyle w:val="23"/>
          <w:rFonts w:ascii="楷体" w:eastAsia="楷体" w:hAnsi="楷体" w:cs="楷体" w:hint="eastAsia"/>
          <w:szCs w:val="32"/>
        </w:rPr>
        <w:t>规范</w:t>
      </w:r>
      <w:bookmarkEnd w:id="29"/>
    </w:p>
    <w:p w:rsidR="00B868FF" w:rsidRDefault="00000000">
      <w:pPr>
        <w:overflowPunct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经查验甘肃省高级人民法院相关合同协议、会计凭证等资料，存在个别合同签订不及时的问题。</w:t>
      </w:r>
    </w:p>
    <w:p w:rsidR="00B868FF" w:rsidRPr="00FC578B" w:rsidRDefault="00000000">
      <w:pPr>
        <w:pStyle w:val="1"/>
        <w:keepNext w:val="0"/>
        <w:keepLines w:val="0"/>
        <w:spacing w:before="0" w:after="0" w:line="556" w:lineRule="exact"/>
        <w:ind w:firstLineChars="200" w:firstLine="640"/>
        <w:rPr>
          <w:rFonts w:ascii="黑体" w:eastAsia="黑体" w:hAnsi="黑体" w:cs="黑体" w:hint="eastAsia"/>
          <w:b w:val="0"/>
          <w:sz w:val="32"/>
          <w:szCs w:val="32"/>
        </w:rPr>
      </w:pPr>
      <w:bookmarkStart w:id="30" w:name="_Toc174375003"/>
      <w:r w:rsidRPr="00FC578B">
        <w:rPr>
          <w:rFonts w:ascii="黑体" w:eastAsia="黑体" w:hAnsi="黑体" w:cs="黑体" w:hint="eastAsia"/>
          <w:b w:val="0"/>
          <w:sz w:val="32"/>
          <w:szCs w:val="32"/>
        </w:rPr>
        <w:t>四、有关建议</w:t>
      </w:r>
      <w:bookmarkEnd w:id="25"/>
      <w:bookmarkEnd w:id="30"/>
    </w:p>
    <w:p w:rsidR="006D5722" w:rsidRPr="006D5722" w:rsidRDefault="006D5722" w:rsidP="006D5722">
      <w:pPr>
        <w:pStyle w:val="af4"/>
        <w:ind w:firstLine="643"/>
        <w:rPr>
          <w:rStyle w:val="23"/>
          <w:rFonts w:ascii="仿宋_GB2312" w:eastAsia="仿宋_GB2312" w:hAnsi="仿宋_GB2312" w:hint="eastAsia"/>
          <w:b w:val="0"/>
        </w:rPr>
      </w:pPr>
      <w:bookmarkStart w:id="31" w:name="_Toc1784"/>
      <w:bookmarkStart w:id="32" w:name="_Toc2283"/>
      <w:r w:rsidRPr="006D5722">
        <w:rPr>
          <w:rStyle w:val="23"/>
          <w:rFonts w:ascii="楷体" w:eastAsia="楷体" w:hAnsi="楷体" w:cs="楷体" w:hint="eastAsia"/>
        </w:rPr>
        <w:t>（一）加快资金执行进度，提高项目实施效益</w:t>
      </w:r>
    </w:p>
    <w:p w:rsidR="006D5722" w:rsidRPr="006D5722" w:rsidRDefault="006D5722" w:rsidP="006D5722">
      <w:pPr>
        <w:pStyle w:val="af4"/>
        <w:ind w:firstLine="640"/>
        <w:rPr>
          <w:rStyle w:val="23"/>
          <w:rFonts w:ascii="仿宋_GB2312" w:eastAsia="仿宋_GB2312" w:hAnsi="仿宋_GB2312" w:hint="eastAsia"/>
          <w:b w:val="0"/>
        </w:rPr>
      </w:pPr>
      <w:r w:rsidRPr="006D5722">
        <w:rPr>
          <w:rStyle w:val="23"/>
          <w:rFonts w:ascii="仿宋_GB2312" w:eastAsia="仿宋_GB2312" w:hAnsi="仿宋_GB2312" w:hint="eastAsia"/>
          <w:b w:val="0"/>
        </w:rPr>
        <w:t>一是建议</w:t>
      </w:r>
      <w:r w:rsidR="00337BB2">
        <w:rPr>
          <w:rStyle w:val="23"/>
          <w:rFonts w:ascii="仿宋_GB2312" w:eastAsia="仿宋_GB2312" w:hAnsi="仿宋_GB2312" w:hint="eastAsia"/>
          <w:b w:val="0"/>
        </w:rPr>
        <w:t>甘肃省高级人民</w:t>
      </w:r>
      <w:r w:rsidRPr="006D5722">
        <w:rPr>
          <w:rStyle w:val="23"/>
          <w:rFonts w:ascii="仿宋_GB2312" w:eastAsia="仿宋_GB2312" w:hAnsi="仿宋_GB2312" w:hint="eastAsia"/>
          <w:b w:val="0"/>
        </w:rPr>
        <w:t>法院细化、明确项目的计划安</w:t>
      </w:r>
      <w:r w:rsidRPr="006D5722">
        <w:rPr>
          <w:rStyle w:val="23"/>
          <w:rFonts w:ascii="仿宋_GB2312" w:eastAsia="仿宋_GB2312" w:hAnsi="仿宋_GB2312" w:hint="eastAsia"/>
          <w:b w:val="0"/>
        </w:rPr>
        <w:lastRenderedPageBreak/>
        <w:t>排，对项目的预算以及产出、效果、效益等方面进行综合</w:t>
      </w:r>
      <w:proofErr w:type="gramStart"/>
      <w:r w:rsidRPr="006D5722">
        <w:rPr>
          <w:rStyle w:val="23"/>
          <w:rFonts w:ascii="仿宋_GB2312" w:eastAsia="仿宋_GB2312" w:hAnsi="仿宋_GB2312" w:hint="eastAsia"/>
          <w:b w:val="0"/>
        </w:rPr>
        <w:t>考量</w:t>
      </w:r>
      <w:proofErr w:type="gramEnd"/>
      <w:r w:rsidRPr="006D5722">
        <w:rPr>
          <w:rStyle w:val="23"/>
          <w:rFonts w:ascii="仿宋_GB2312" w:eastAsia="仿宋_GB2312" w:hAnsi="仿宋_GB2312" w:hint="eastAsia"/>
          <w:b w:val="0"/>
        </w:rPr>
        <w:t>，严格按项目进度执行预算，增强预算的约束力。二是落实预算执行分析，及时了解预算执行差异，合理调整、纠正预算执行偏差，切实提高部门预算收支管理水平。</w:t>
      </w:r>
    </w:p>
    <w:p w:rsidR="006D5722" w:rsidRPr="006D5722" w:rsidRDefault="006D5722" w:rsidP="006D5722">
      <w:pPr>
        <w:pStyle w:val="af4"/>
        <w:ind w:firstLine="643"/>
        <w:rPr>
          <w:rStyle w:val="23"/>
          <w:rFonts w:ascii="楷体" w:eastAsia="楷体" w:hAnsi="楷体" w:cs="楷体" w:hint="eastAsia"/>
        </w:rPr>
      </w:pPr>
      <w:r w:rsidRPr="006D5722">
        <w:rPr>
          <w:rStyle w:val="23"/>
          <w:rFonts w:ascii="楷体" w:eastAsia="楷体" w:hAnsi="楷体" w:cs="楷体" w:hint="eastAsia"/>
        </w:rPr>
        <w:t>（二）加强合同管理的</w:t>
      </w:r>
      <w:r w:rsidR="00337BB2">
        <w:rPr>
          <w:rStyle w:val="23"/>
          <w:rFonts w:ascii="楷体" w:eastAsia="楷体" w:hAnsi="楷体" w:cs="楷体" w:hint="eastAsia"/>
        </w:rPr>
        <w:t>规范</w:t>
      </w:r>
      <w:r w:rsidRPr="006D5722">
        <w:rPr>
          <w:rStyle w:val="23"/>
          <w:rFonts w:ascii="楷体" w:eastAsia="楷体" w:hAnsi="楷体" w:cs="楷体" w:hint="eastAsia"/>
        </w:rPr>
        <w:t>性</w:t>
      </w:r>
    </w:p>
    <w:p w:rsidR="00B868FF" w:rsidRDefault="006D5722" w:rsidP="006D5722">
      <w:pPr>
        <w:pStyle w:val="af4"/>
        <w:ind w:firstLine="640"/>
        <w:rPr>
          <w:rFonts w:hint="eastAsia"/>
          <w:highlight w:val="yellow"/>
        </w:rPr>
      </w:pPr>
      <w:r w:rsidRPr="006D5722">
        <w:rPr>
          <w:rStyle w:val="23"/>
          <w:rFonts w:ascii="仿宋_GB2312" w:eastAsia="仿宋_GB2312" w:hAnsi="仿宋_GB2312" w:hint="eastAsia"/>
          <w:b w:val="0"/>
        </w:rPr>
        <w:t>规范合同签订管理，先开展招标工作后签订合同，避免先开展服务后补签合同情况的发生，确保合同内容符合有关规章制度的规定</w:t>
      </w:r>
      <w:r w:rsidR="00337BB2">
        <w:rPr>
          <w:rStyle w:val="23"/>
          <w:rFonts w:ascii="仿宋_GB2312" w:eastAsia="仿宋_GB2312" w:hAnsi="仿宋_GB2312" w:hint="eastAsia"/>
          <w:b w:val="0"/>
        </w:rPr>
        <w:t>。</w:t>
      </w:r>
    </w:p>
    <w:p w:rsidR="00B868FF" w:rsidRDefault="00B868FF">
      <w:pPr>
        <w:overflowPunct w:val="0"/>
        <w:spacing w:line="560" w:lineRule="exact"/>
        <w:jc w:val="center"/>
        <w:rPr>
          <w:rFonts w:ascii="方正小标宋简体" w:eastAsia="方正小标宋简体" w:hAnsi="宋体" w:hint="eastAsia"/>
          <w:sz w:val="44"/>
          <w:szCs w:val="44"/>
          <w:highlight w:val="yellow"/>
        </w:rPr>
        <w:sectPr w:rsidR="00B868FF">
          <w:footerReference w:type="default" r:id="rId15"/>
          <w:headerReference w:type="first" r:id="rId16"/>
          <w:footerReference w:type="first" r:id="rId17"/>
          <w:pgSz w:w="11906" w:h="16838"/>
          <w:pgMar w:top="1440" w:right="1803" w:bottom="1440" w:left="1633" w:header="851" w:footer="992" w:gutter="0"/>
          <w:pgNumType w:start="1"/>
          <w:cols w:space="0"/>
          <w:titlePg/>
          <w:docGrid w:type="lines" w:linePitch="312"/>
        </w:sectPr>
      </w:pPr>
    </w:p>
    <w:p w:rsidR="00B868FF" w:rsidRDefault="00000000">
      <w:pPr>
        <w:overflowPunct w:val="0"/>
        <w:spacing w:line="560" w:lineRule="exact"/>
        <w:jc w:val="center"/>
        <w:outlineLvl w:val="0"/>
        <w:rPr>
          <w:rFonts w:ascii="方正小标宋简体" w:eastAsia="方正小标宋简体" w:hAnsi="宋体" w:hint="eastAsia"/>
          <w:sz w:val="44"/>
          <w:szCs w:val="44"/>
        </w:rPr>
      </w:pPr>
      <w:bookmarkStart w:id="33" w:name="_Toc2289"/>
      <w:bookmarkStart w:id="34" w:name="_Toc174375004"/>
      <w:r>
        <w:rPr>
          <w:rFonts w:ascii="方正小标宋简体" w:eastAsia="方正小标宋简体" w:hAnsi="宋体" w:hint="eastAsia"/>
          <w:sz w:val="44"/>
          <w:szCs w:val="44"/>
        </w:rPr>
        <w:lastRenderedPageBreak/>
        <w:t>2023年度甘肃省高级人民法院重点项目</w:t>
      </w:r>
      <w:bookmarkEnd w:id="33"/>
      <w:bookmarkEnd w:id="34"/>
    </w:p>
    <w:p w:rsidR="00B868FF" w:rsidRDefault="00000000">
      <w:pPr>
        <w:overflowPunct w:val="0"/>
        <w:spacing w:line="560" w:lineRule="exact"/>
        <w:jc w:val="center"/>
        <w:outlineLvl w:val="0"/>
        <w:rPr>
          <w:rFonts w:ascii="方正小标宋简体" w:eastAsia="方正小标宋简体" w:hAnsi="宋体" w:hint="eastAsia"/>
          <w:sz w:val="44"/>
          <w:szCs w:val="44"/>
        </w:rPr>
      </w:pPr>
      <w:bookmarkStart w:id="35" w:name="_Toc7337"/>
      <w:bookmarkStart w:id="36" w:name="_Toc174375005"/>
      <w:r>
        <w:rPr>
          <w:rFonts w:ascii="方正小标宋简体" w:eastAsia="方正小标宋简体" w:hAnsi="宋体" w:hint="eastAsia"/>
          <w:sz w:val="44"/>
          <w:szCs w:val="44"/>
        </w:rPr>
        <w:t>—文化建设宣传经费</w:t>
      </w:r>
      <w:bookmarkStart w:id="37" w:name="_Toc13609"/>
      <w:r>
        <w:rPr>
          <w:rFonts w:ascii="方正小标宋简体" w:eastAsia="方正小标宋简体" w:hAnsi="宋体" w:hint="eastAsia"/>
          <w:sz w:val="44"/>
          <w:szCs w:val="44"/>
        </w:rPr>
        <w:t>绩效评价报告</w:t>
      </w:r>
      <w:bookmarkEnd w:id="35"/>
      <w:bookmarkEnd w:id="36"/>
      <w:bookmarkEnd w:id="37"/>
    </w:p>
    <w:p w:rsidR="00B868FF" w:rsidRDefault="00000000">
      <w:pPr>
        <w:pStyle w:val="a6"/>
        <w:overflowPunct w:val="0"/>
        <w:spacing w:beforeLines="50" w:before="156" w:afterLines="50" w:after="156" w:line="560" w:lineRule="exact"/>
        <w:ind w:firstLineChars="200" w:firstLine="560"/>
        <w:jc w:val="right"/>
        <w:rPr>
          <w:rFonts w:ascii="黑体" w:eastAsia="黑体"/>
          <w:sz w:val="28"/>
          <w:szCs w:val="28"/>
        </w:rPr>
      </w:pPr>
      <w:bookmarkStart w:id="38" w:name="_Toc20544"/>
      <w:bookmarkStart w:id="39" w:name="_Toc13825"/>
      <w:bookmarkStart w:id="40" w:name="_Toc26720"/>
      <w:bookmarkStart w:id="41" w:name="_Toc11834"/>
      <w:bookmarkStart w:id="42" w:name="_Toc9789"/>
      <w:bookmarkStart w:id="43" w:name="_Toc28166"/>
      <w:proofErr w:type="gramStart"/>
      <w:r>
        <w:rPr>
          <w:rFonts w:ascii="楷体" w:eastAsia="楷体" w:hAnsi="楷体" w:cs="楷体" w:hint="eastAsia"/>
          <w:sz w:val="28"/>
          <w:szCs w:val="28"/>
        </w:rPr>
        <w:t>甘卓诚咨</w:t>
      </w:r>
      <w:proofErr w:type="gramEnd"/>
      <w:r>
        <w:rPr>
          <w:rFonts w:ascii="楷体" w:eastAsia="楷体" w:hAnsi="楷体" w:cs="楷体" w:hint="eastAsia"/>
          <w:sz w:val="28"/>
          <w:szCs w:val="28"/>
        </w:rPr>
        <w:t>字【2024】第197号</w:t>
      </w:r>
      <w:bookmarkEnd w:id="38"/>
      <w:bookmarkEnd w:id="39"/>
      <w:bookmarkEnd w:id="40"/>
      <w:bookmarkEnd w:id="41"/>
      <w:bookmarkEnd w:id="42"/>
    </w:p>
    <w:p w:rsidR="00B868FF" w:rsidRDefault="00000000">
      <w:pPr>
        <w:pStyle w:val="11"/>
        <w:ind w:firstLine="640"/>
      </w:pPr>
      <w:bookmarkStart w:id="44" w:name="_Toc174375006"/>
      <w:r>
        <w:rPr>
          <w:rFonts w:hint="eastAsia"/>
        </w:rPr>
        <w:t>一、项目基本情况</w:t>
      </w:r>
      <w:bookmarkEnd w:id="31"/>
      <w:bookmarkEnd w:id="32"/>
      <w:bookmarkEnd w:id="43"/>
      <w:bookmarkEnd w:id="44"/>
    </w:p>
    <w:p w:rsidR="00B868FF" w:rsidRDefault="00000000">
      <w:pPr>
        <w:pStyle w:val="24"/>
        <w:ind w:firstLine="643"/>
        <w:rPr>
          <w:rFonts w:hint="eastAsia"/>
        </w:rPr>
      </w:pPr>
      <w:bookmarkStart w:id="45" w:name="_Toc11404"/>
      <w:bookmarkStart w:id="46" w:name="_Toc21843"/>
      <w:bookmarkStart w:id="47" w:name="_Toc174375007"/>
      <w:r>
        <w:rPr>
          <w:rFonts w:hint="eastAsia"/>
        </w:rPr>
        <w:t>（一）项目立项背景</w:t>
      </w:r>
      <w:bookmarkEnd w:id="45"/>
      <w:bookmarkEnd w:id="46"/>
      <w:bookmarkEnd w:id="47"/>
    </w:p>
    <w:p w:rsidR="00B868FF" w:rsidRDefault="00000000">
      <w:pPr>
        <w:pStyle w:val="af4"/>
        <w:ind w:firstLine="640"/>
        <w:rPr>
          <w:rFonts w:hint="eastAsia"/>
        </w:rPr>
      </w:pPr>
      <w:bookmarkStart w:id="48" w:name="_Hlk174210330"/>
      <w:bookmarkStart w:id="49" w:name="_Toc10699"/>
      <w:bookmarkStart w:id="50" w:name="_Toc27159"/>
      <w:r>
        <w:rPr>
          <w:rFonts w:hint="eastAsia"/>
        </w:rPr>
        <w:t>近年来，甘肃省高级人民法院大力推行以案释法工作，在办案过程中主动向案件当事人和社会公众宣讲法律，解答有关法律问题，努力把每一个案件、每一次庭审、每一份裁判文书都打造</w:t>
      </w:r>
      <w:proofErr w:type="gramStart"/>
      <w:r>
        <w:rPr>
          <w:rFonts w:hint="eastAsia"/>
        </w:rPr>
        <w:t>成法制</w:t>
      </w:r>
      <w:proofErr w:type="gramEnd"/>
      <w:r>
        <w:rPr>
          <w:rFonts w:hint="eastAsia"/>
        </w:rPr>
        <w:t>宣传教育的载体。同时，通过举办法制活动和宣传活动等举措，回应社会关切、普及法律知识，发挥大要案的示范引领作用，促进全社会形成崇尚法治的良好氛围。</w:t>
      </w:r>
    </w:p>
    <w:p w:rsidR="00B868FF" w:rsidRDefault="00000000">
      <w:pPr>
        <w:pStyle w:val="a6"/>
        <w:overflowPunct w:val="0"/>
        <w:spacing w:line="560" w:lineRule="exact"/>
        <w:ind w:firstLineChars="200" w:firstLine="640"/>
        <w:rPr>
          <w:rFonts w:ascii="仿宋_GB2312" w:hAnsi="仿宋_GB2312" w:cs="仿宋_GB2312" w:hint="eastAsia"/>
        </w:rPr>
      </w:pPr>
      <w:r>
        <w:rPr>
          <w:rFonts w:ascii="仿宋_GB2312" w:hAnsi="仿宋_GB2312" w:cs="仿宋_GB2312" w:hint="eastAsia"/>
        </w:rPr>
        <w:t>加强人民法院文化建设，是更好发挥审判职能的要求，也是全面提升队伍素质，实现法院工作科学发展的要求。把文化建设作为推动法院整体工作的重要抓手，与审判执行等工作有机结合起来，实现文化建设与审判执行工作的相互促进，相得益彰。大力弘扬“公正、廉洁、为民”的司法核心价值观，充分发挥先进文化的教育、引导、示范和激励作用，营造积极向上的文化氛围，增强凝聚力和向心力。坚持与时俱进，体现法院的鲜明特色，体现自己的风格与特色，创</w:t>
      </w:r>
      <w:r w:rsidR="00545DBB">
        <w:rPr>
          <w:rFonts w:ascii="仿宋_GB2312" w:hAnsi="仿宋_GB2312" w:cs="仿宋_GB2312" w:hint="eastAsia"/>
        </w:rPr>
        <w:t>造</w:t>
      </w:r>
      <w:r>
        <w:rPr>
          <w:rFonts w:ascii="仿宋_GB2312" w:hAnsi="仿宋_GB2312" w:cs="仿宋_GB2312" w:hint="eastAsia"/>
        </w:rPr>
        <w:t>自己的品牌，使之成为推进法院工作科学发展的精神支柱。</w:t>
      </w:r>
    </w:p>
    <w:p w:rsidR="00B868FF" w:rsidRDefault="00000000">
      <w:pPr>
        <w:pStyle w:val="24"/>
        <w:ind w:firstLine="643"/>
        <w:rPr>
          <w:rFonts w:hint="eastAsia"/>
        </w:rPr>
      </w:pPr>
      <w:bookmarkStart w:id="51" w:name="_Toc174375008"/>
      <w:bookmarkEnd w:id="48"/>
      <w:r>
        <w:rPr>
          <w:rFonts w:hint="eastAsia"/>
        </w:rPr>
        <w:t>（二）项目预算安排及使用情况</w:t>
      </w:r>
      <w:bookmarkEnd w:id="49"/>
      <w:bookmarkEnd w:id="50"/>
      <w:bookmarkEnd w:id="51"/>
    </w:p>
    <w:p w:rsidR="00B868FF" w:rsidRDefault="00000000">
      <w:pPr>
        <w:pStyle w:val="30"/>
        <w:rPr>
          <w:rFonts w:hint="eastAsia"/>
        </w:rPr>
      </w:pPr>
      <w:r>
        <w:rPr>
          <w:rFonts w:hint="eastAsia"/>
        </w:rPr>
        <w:t>1.预算安排情况</w:t>
      </w:r>
    </w:p>
    <w:p w:rsidR="00B868FF" w:rsidRDefault="00000000">
      <w:pPr>
        <w:pStyle w:val="af4"/>
        <w:ind w:firstLine="640"/>
        <w:rPr>
          <w:rFonts w:hint="eastAsia"/>
        </w:rPr>
      </w:pPr>
      <w:r>
        <w:rPr>
          <w:rFonts w:hint="eastAsia"/>
        </w:rPr>
        <w:t>文化建设宣传经费主要用于</w:t>
      </w:r>
      <w:bookmarkStart w:id="52" w:name="_Hlk174273985"/>
      <w:r>
        <w:rPr>
          <w:rFonts w:hint="eastAsia"/>
        </w:rPr>
        <w:t>法院文化建设、法制宣传支出</w:t>
      </w:r>
      <w:bookmarkEnd w:id="52"/>
      <w:r>
        <w:rPr>
          <w:rFonts w:hint="eastAsia"/>
        </w:rPr>
        <w:t>。根据甘肃省高级人民法院2023年度预算安排，该项目全</w:t>
      </w:r>
      <w:r>
        <w:rPr>
          <w:rFonts w:hint="eastAsia"/>
        </w:rPr>
        <w:lastRenderedPageBreak/>
        <w:t>年预算资金220.93万元，其中当年财政拨款220.00万元，上年结转</w:t>
      </w:r>
      <w:r w:rsidR="00337BB2">
        <w:rPr>
          <w:rFonts w:hint="eastAsia"/>
        </w:rPr>
        <w:t>结余</w:t>
      </w:r>
      <w:r>
        <w:rPr>
          <w:rFonts w:hint="eastAsia"/>
        </w:rPr>
        <w:t>资金0.93万元。</w:t>
      </w:r>
    </w:p>
    <w:p w:rsidR="00B868FF" w:rsidRDefault="00000000">
      <w:pPr>
        <w:pStyle w:val="30"/>
        <w:rPr>
          <w:rFonts w:hint="eastAsia"/>
        </w:rPr>
      </w:pPr>
      <w:r>
        <w:rPr>
          <w:rFonts w:hint="eastAsia"/>
        </w:rPr>
        <w:t>2.资金使用情况</w:t>
      </w:r>
    </w:p>
    <w:p w:rsidR="00B868FF" w:rsidRDefault="00000000">
      <w:pPr>
        <w:pStyle w:val="af4"/>
        <w:ind w:firstLine="640"/>
        <w:rPr>
          <w:rFonts w:hint="eastAsia"/>
        </w:rPr>
      </w:pPr>
      <w:r>
        <w:rPr>
          <w:rFonts w:hint="eastAsia"/>
        </w:rPr>
        <w:t>截至2023年12月31日，</w:t>
      </w:r>
      <w:r w:rsidR="007B69F5">
        <w:rPr>
          <w:rFonts w:hint="eastAsia"/>
        </w:rPr>
        <w:t>文化建设宣传经费</w:t>
      </w:r>
      <w:r>
        <w:rPr>
          <w:rFonts w:hint="eastAsia"/>
        </w:rPr>
        <w:t>项目实际支出</w:t>
      </w:r>
      <w:r w:rsidR="00337BB2">
        <w:rPr>
          <w:rFonts w:hint="eastAsia"/>
        </w:rPr>
        <w:t>数</w:t>
      </w:r>
      <w:r>
        <w:rPr>
          <w:rFonts w:hint="eastAsia"/>
        </w:rPr>
        <w:t>100.37万元，预算执行率45.43%。</w:t>
      </w:r>
    </w:p>
    <w:p w:rsidR="00B868FF" w:rsidRDefault="00000000">
      <w:pPr>
        <w:pStyle w:val="24"/>
        <w:ind w:firstLine="643"/>
        <w:rPr>
          <w:rFonts w:hint="eastAsia"/>
        </w:rPr>
      </w:pPr>
      <w:bookmarkStart w:id="53" w:name="_Toc15106"/>
      <w:bookmarkStart w:id="54" w:name="_Toc32586"/>
      <w:bookmarkStart w:id="55" w:name="_Toc174375009"/>
      <w:r>
        <w:rPr>
          <w:rFonts w:hint="eastAsia"/>
        </w:rPr>
        <w:t>（三）项目计划内容及实施情况</w:t>
      </w:r>
      <w:bookmarkEnd w:id="53"/>
      <w:bookmarkEnd w:id="54"/>
      <w:bookmarkEnd w:id="55"/>
    </w:p>
    <w:p w:rsidR="00B868FF" w:rsidRDefault="00000000">
      <w:pPr>
        <w:pStyle w:val="30"/>
        <w:rPr>
          <w:rFonts w:hint="eastAsia"/>
        </w:rPr>
      </w:pPr>
      <w:r>
        <w:rPr>
          <w:rFonts w:hint="eastAsia"/>
        </w:rPr>
        <w:t>1.项目计划内容</w:t>
      </w:r>
    </w:p>
    <w:p w:rsidR="00B868FF" w:rsidRDefault="00000000">
      <w:pPr>
        <w:pStyle w:val="af4"/>
        <w:ind w:firstLine="640"/>
        <w:rPr>
          <w:rFonts w:hint="eastAsia"/>
        </w:rPr>
      </w:pPr>
      <w:r>
        <w:rPr>
          <w:rFonts w:hint="eastAsia"/>
        </w:rPr>
        <w:t>通过举办法制活动和宣传活动等举措，回应社会关切、普及法律知识，发挥大要案的示范引领作用，促进全社会形成崇尚法治的良好氛围；通过印刷法治文化宣传材料等方式，全年举办法治文化参与人次达8000人次，引导人民知法、懂法、用法，圆满完成本年度文化建设宣传工作。</w:t>
      </w:r>
    </w:p>
    <w:p w:rsidR="00B868FF" w:rsidRDefault="00000000">
      <w:pPr>
        <w:pStyle w:val="30"/>
        <w:rPr>
          <w:rFonts w:hint="eastAsia"/>
        </w:rPr>
      </w:pPr>
      <w:r>
        <w:rPr>
          <w:rFonts w:hint="eastAsia"/>
        </w:rPr>
        <w:t>2.项目实施情况</w:t>
      </w:r>
    </w:p>
    <w:p w:rsidR="00B868FF" w:rsidRDefault="00000000">
      <w:pPr>
        <w:pStyle w:val="af4"/>
        <w:ind w:firstLine="640"/>
        <w:rPr>
          <w:rFonts w:hint="eastAsia"/>
        </w:rPr>
      </w:pPr>
      <w:r>
        <w:rPr>
          <w:rFonts w:hint="eastAsia"/>
        </w:rPr>
        <w:t>2023年法院宣传工作坚持团结稳定、正面宣传为主，共印制1500套法治文化宣传资料，8500人参与法治文化活动，对人民法院法制建设进行宣传，引导人民知法、懂法、用法，回应社会关切、普及法律知识，发挥大要案的示范引领作用，促进全社会形成崇尚法治的良好氛围。</w:t>
      </w:r>
    </w:p>
    <w:p w:rsidR="00B868FF" w:rsidRDefault="00000000">
      <w:pPr>
        <w:pStyle w:val="24"/>
        <w:ind w:firstLine="643"/>
        <w:rPr>
          <w:rFonts w:hint="eastAsia"/>
        </w:rPr>
      </w:pPr>
      <w:bookmarkStart w:id="56" w:name="_Toc25356"/>
      <w:bookmarkStart w:id="57" w:name="_Toc4490"/>
      <w:bookmarkStart w:id="58" w:name="_Toc174375010"/>
      <w:r>
        <w:rPr>
          <w:rFonts w:hint="eastAsia"/>
        </w:rPr>
        <w:t>（四）项目组织管理</w:t>
      </w:r>
      <w:bookmarkEnd w:id="56"/>
      <w:bookmarkEnd w:id="57"/>
      <w:bookmarkEnd w:id="58"/>
    </w:p>
    <w:p w:rsidR="00B868FF" w:rsidRDefault="00000000">
      <w:pPr>
        <w:pStyle w:val="a6"/>
        <w:overflowPunct w:val="0"/>
        <w:spacing w:line="560" w:lineRule="exact"/>
        <w:ind w:firstLineChars="200" w:firstLine="643"/>
        <w:rPr>
          <w:rFonts w:ascii="仿宋_GB2312" w:hAnsi="仿宋_GB2312" w:cs="仿宋_GB2312" w:hint="eastAsia"/>
          <w:b/>
          <w:bCs/>
        </w:rPr>
      </w:pPr>
      <w:r>
        <w:rPr>
          <w:rFonts w:ascii="仿宋_GB2312" w:hAnsi="仿宋_GB2312" w:cs="仿宋_GB2312" w:hint="eastAsia"/>
          <w:b/>
          <w:bCs/>
        </w:rPr>
        <w:t>1.项目组织流程</w:t>
      </w:r>
    </w:p>
    <w:p w:rsidR="00B868FF" w:rsidRDefault="00000000">
      <w:pPr>
        <w:pStyle w:val="af4"/>
        <w:ind w:firstLine="640"/>
        <w:rPr>
          <w:rFonts w:hint="eastAsia"/>
        </w:rPr>
      </w:pPr>
      <w:r>
        <w:rPr>
          <w:rFonts w:hint="eastAsia"/>
        </w:rPr>
        <w:t>预算资金拨付单位：甘肃省财政厅是项目预算资金的拨付单位，负责项目预算的审核批复，保证文化建设宣传经费项目资金及时、足额拨付到位。</w:t>
      </w:r>
    </w:p>
    <w:p w:rsidR="00B868FF" w:rsidRDefault="00000000">
      <w:pPr>
        <w:pStyle w:val="af4"/>
        <w:ind w:firstLine="640"/>
        <w:rPr>
          <w:rFonts w:hint="eastAsia"/>
        </w:rPr>
      </w:pPr>
      <w:r>
        <w:rPr>
          <w:rFonts w:hint="eastAsia"/>
        </w:rPr>
        <w:t>项目主管部门：甘肃省高级人民法院是项目的主管部门，</w:t>
      </w:r>
      <w:r>
        <w:rPr>
          <w:rFonts w:hint="eastAsia"/>
        </w:rPr>
        <w:lastRenderedPageBreak/>
        <w:t>负责开展监督管理和绩效考评等工作，并对资金使用的全过程进行监督、检查、评估、考核及奖惩，保证资金有效使用等。</w:t>
      </w:r>
    </w:p>
    <w:p w:rsidR="00B868FF" w:rsidRDefault="00545DBB">
      <w:pPr>
        <w:pStyle w:val="af4"/>
        <w:ind w:firstLine="640"/>
        <w:rPr>
          <w:rFonts w:hint="eastAsia"/>
        </w:rPr>
      </w:pPr>
      <w:r>
        <w:rPr>
          <w:rFonts w:hint="eastAsia"/>
        </w:rPr>
        <w:t>预算执行单位：甘肃省高级人民法院宣传处是项目的组织实施部门，负责文化建设宣传经费项目具体实施。</w:t>
      </w:r>
    </w:p>
    <w:p w:rsidR="00B868FF" w:rsidRDefault="00000000">
      <w:pPr>
        <w:pStyle w:val="a6"/>
        <w:overflowPunct w:val="0"/>
        <w:spacing w:line="600" w:lineRule="exact"/>
        <w:ind w:firstLineChars="200" w:firstLine="643"/>
        <w:rPr>
          <w:rFonts w:ascii="仿宋_GB2312" w:hAnsi="仿宋_GB2312" w:cs="仿宋_GB2312" w:hint="eastAsia"/>
          <w:b/>
          <w:bCs/>
        </w:rPr>
      </w:pPr>
      <w:r>
        <w:rPr>
          <w:rFonts w:ascii="仿宋_GB2312" w:hAnsi="仿宋_GB2312" w:cs="仿宋_GB2312" w:hint="eastAsia"/>
          <w:b/>
          <w:bCs/>
        </w:rPr>
        <w:t>2.项目实施流程</w:t>
      </w:r>
    </w:p>
    <w:p w:rsidR="00B868FF" w:rsidRDefault="00000000">
      <w:pPr>
        <w:pStyle w:val="af4"/>
        <w:ind w:firstLine="640"/>
        <w:rPr>
          <w:rFonts w:hint="eastAsia"/>
        </w:rPr>
      </w:pPr>
      <w:r>
        <w:rPr>
          <w:rFonts w:hint="eastAsia"/>
        </w:rPr>
        <w:t>文化建设宣传经费项目的实施大体分为制定年度工作计划、项目执行和资金支付三个阶段。</w:t>
      </w:r>
    </w:p>
    <w:p w:rsidR="00B868FF" w:rsidRDefault="00000000">
      <w:pPr>
        <w:pStyle w:val="af4"/>
        <w:ind w:firstLine="640"/>
        <w:rPr>
          <w:rFonts w:hint="eastAsia"/>
        </w:rPr>
      </w:pPr>
      <w:r>
        <w:rPr>
          <w:rFonts w:hint="eastAsia"/>
        </w:rPr>
        <w:t>（1）制定年度工作计划。甘肃省高级人民法院制定年度工作计划，编制项目预算和绩效目标。在编制下一年度项目预算之前，首先制定下一年度的文化建设宣传相关工作及相应的资金使用计划，在初步明确下一年度工作计划和资金使用计划的基础上，依据工作计划和资金使用计划、有关年度预算编制要求以及往年项目预算和经费支出情况合理测算和编制项目经费预算和绩效目标，经审核通过后报省财政厅审批，省财政厅按规定程序批复下达项目预算。</w:t>
      </w:r>
    </w:p>
    <w:p w:rsidR="00B868FF" w:rsidRDefault="00000000">
      <w:pPr>
        <w:pStyle w:val="af4"/>
        <w:ind w:firstLine="640"/>
        <w:rPr>
          <w:rFonts w:hint="eastAsia"/>
        </w:rPr>
      </w:pPr>
      <w:r>
        <w:rPr>
          <w:rFonts w:hint="eastAsia"/>
        </w:rPr>
        <w:t>（2）项目执行。项目预算和绩效目标批复下达以后，甘肃省高级人民法院按照工作计划、项目预算以及绩效目标组织开展采购服务等工作，完成年初制定的工作计划。</w:t>
      </w:r>
    </w:p>
    <w:p w:rsidR="00B868FF" w:rsidRDefault="00000000">
      <w:pPr>
        <w:pStyle w:val="af4"/>
        <w:ind w:firstLine="640"/>
        <w:rPr>
          <w:rFonts w:hint="eastAsia"/>
        </w:rPr>
      </w:pPr>
      <w:r>
        <w:rPr>
          <w:rFonts w:hint="eastAsia"/>
        </w:rPr>
        <w:t>（3）资金支付。在组织正常开展项目实施工作的基础上，严格按照项目预算、内部管理制度流程以及项目进度要求完成项目经费支付以及相应的会计核算工作。</w:t>
      </w:r>
    </w:p>
    <w:p w:rsidR="00B868FF" w:rsidRDefault="00000000">
      <w:pPr>
        <w:pStyle w:val="a6"/>
        <w:overflowPunct w:val="0"/>
        <w:spacing w:line="600" w:lineRule="exact"/>
        <w:ind w:firstLineChars="200" w:firstLine="643"/>
        <w:rPr>
          <w:rFonts w:ascii="仿宋_GB2312" w:hAnsi="仿宋_GB2312" w:cs="仿宋_GB2312" w:hint="eastAsia"/>
          <w:b/>
          <w:bCs/>
        </w:rPr>
      </w:pPr>
      <w:r>
        <w:rPr>
          <w:rFonts w:ascii="仿宋_GB2312" w:hAnsi="仿宋_GB2312" w:cs="仿宋_GB2312" w:hint="eastAsia"/>
          <w:b/>
          <w:bCs/>
        </w:rPr>
        <w:t>3.资金管理流程</w:t>
      </w:r>
    </w:p>
    <w:p w:rsidR="00B868FF" w:rsidRDefault="00000000">
      <w:pPr>
        <w:pStyle w:val="af4"/>
        <w:ind w:firstLine="640"/>
        <w:rPr>
          <w:rFonts w:hint="eastAsia"/>
        </w:rPr>
      </w:pPr>
      <w:bookmarkStart w:id="59" w:name="_Toc29508"/>
      <w:bookmarkStart w:id="60" w:name="_Toc319"/>
      <w:r>
        <w:rPr>
          <w:rFonts w:hint="eastAsia"/>
        </w:rPr>
        <w:t>《甘肃省高级人民法院机关财务经费管理的规定》明确规定了经费报销实行统一审核，分级审批，基本原则是执行国</w:t>
      </w:r>
      <w:r>
        <w:rPr>
          <w:rFonts w:hint="eastAsia"/>
        </w:rPr>
        <w:lastRenderedPageBreak/>
        <w:t>家有关法律、法规和财务规章制度遵守政府会计准则，厉行节约，量入为出，保证重点，兼顾一般为中心，充分发挥资金的使用效益。</w:t>
      </w:r>
    </w:p>
    <w:p w:rsidR="00B868FF" w:rsidRDefault="00000000">
      <w:pPr>
        <w:pStyle w:val="a6"/>
        <w:overflowPunct w:val="0"/>
        <w:spacing w:line="600" w:lineRule="exact"/>
        <w:ind w:firstLineChars="200" w:firstLine="640"/>
        <w:outlineLvl w:val="0"/>
        <w:rPr>
          <w:rFonts w:ascii="黑体" w:eastAsia="黑体"/>
        </w:rPr>
      </w:pPr>
      <w:bookmarkStart w:id="61" w:name="_Toc174375011"/>
      <w:r>
        <w:rPr>
          <w:rFonts w:ascii="黑体" w:eastAsia="黑体" w:hint="eastAsia"/>
        </w:rPr>
        <w:t>二、项目绩效目标</w:t>
      </w:r>
      <w:bookmarkEnd w:id="59"/>
      <w:bookmarkEnd w:id="60"/>
      <w:bookmarkEnd w:id="61"/>
    </w:p>
    <w:p w:rsidR="00B868FF" w:rsidRDefault="00000000">
      <w:pPr>
        <w:pStyle w:val="a6"/>
        <w:overflowPunct w:val="0"/>
        <w:spacing w:line="600" w:lineRule="exact"/>
        <w:ind w:firstLineChars="200" w:firstLine="643"/>
        <w:outlineLvl w:val="1"/>
        <w:rPr>
          <w:rFonts w:ascii="楷体" w:eastAsia="楷体" w:hAnsi="楷体" w:cs="楷体" w:hint="eastAsia"/>
          <w:b/>
          <w:bCs/>
        </w:rPr>
      </w:pPr>
      <w:bookmarkStart w:id="62" w:name="_Toc28577"/>
      <w:bookmarkStart w:id="63" w:name="_Toc21140"/>
      <w:bookmarkStart w:id="64" w:name="_Toc174375012"/>
      <w:r>
        <w:rPr>
          <w:rFonts w:ascii="楷体" w:eastAsia="楷体" w:hAnsi="楷体" w:cs="楷体" w:hint="eastAsia"/>
          <w:b/>
          <w:bCs/>
        </w:rPr>
        <w:t>（一）总体目标</w:t>
      </w:r>
      <w:bookmarkEnd w:id="62"/>
      <w:bookmarkEnd w:id="63"/>
      <w:bookmarkEnd w:id="64"/>
    </w:p>
    <w:p w:rsidR="00B868FF" w:rsidRDefault="00000000">
      <w:pPr>
        <w:pStyle w:val="af4"/>
        <w:ind w:firstLine="640"/>
        <w:rPr>
          <w:rFonts w:hint="eastAsia"/>
        </w:rPr>
      </w:pPr>
      <w:bookmarkStart w:id="65" w:name="_Toc26047"/>
      <w:bookmarkStart w:id="66" w:name="_Toc32085"/>
      <w:r>
        <w:rPr>
          <w:rFonts w:hint="eastAsia"/>
        </w:rPr>
        <w:t>及时做好法治宣传工作，加强甘肃省高级人民法院文化建设，全面提升队伍素质，实现法院工作科学发展。大力弘扬“公正、廉洁、为民”的司法核心价值观，充分发挥先进文化的教育、引导、示范和激励作用，营造积极向上的文化氛围，增强凝聚力和向心力。坚持与时俱进，体现法院的鲜明特色，体现自己的风格与特色，创</w:t>
      </w:r>
      <w:r w:rsidR="00A96F78">
        <w:rPr>
          <w:rFonts w:hint="eastAsia"/>
        </w:rPr>
        <w:t>造</w:t>
      </w:r>
      <w:r>
        <w:rPr>
          <w:rFonts w:hint="eastAsia"/>
        </w:rPr>
        <w:t>自己的品牌，使之成为推进法院工作科学发展的精神支柱。</w:t>
      </w:r>
    </w:p>
    <w:p w:rsidR="00B868FF" w:rsidRDefault="00000000">
      <w:pPr>
        <w:pStyle w:val="a6"/>
        <w:overflowPunct w:val="0"/>
        <w:spacing w:line="600" w:lineRule="exact"/>
        <w:ind w:firstLineChars="200" w:firstLine="643"/>
        <w:outlineLvl w:val="1"/>
        <w:rPr>
          <w:rFonts w:ascii="楷体" w:eastAsia="楷体" w:hAnsi="楷体" w:cs="楷体" w:hint="eastAsia"/>
          <w:b/>
          <w:bCs/>
        </w:rPr>
      </w:pPr>
      <w:bookmarkStart w:id="67" w:name="_Toc174375013"/>
      <w:r>
        <w:rPr>
          <w:rFonts w:ascii="楷体" w:eastAsia="楷体" w:hAnsi="楷体" w:cs="楷体" w:hint="eastAsia"/>
          <w:b/>
          <w:bCs/>
        </w:rPr>
        <w:t>（二）年度目标</w:t>
      </w:r>
      <w:bookmarkEnd w:id="65"/>
      <w:bookmarkEnd w:id="66"/>
      <w:bookmarkEnd w:id="67"/>
    </w:p>
    <w:p w:rsidR="00B868FF" w:rsidRDefault="00000000">
      <w:pPr>
        <w:pStyle w:val="af4"/>
        <w:ind w:firstLine="640"/>
        <w:rPr>
          <w:rFonts w:hint="eastAsia"/>
        </w:rPr>
      </w:pPr>
      <w:bookmarkStart w:id="68" w:name="_Toc11613"/>
      <w:bookmarkStart w:id="69" w:name="_Toc7330"/>
      <w:r>
        <w:rPr>
          <w:rFonts w:hint="eastAsia"/>
        </w:rPr>
        <w:t>1.通过举办法制活动和宣传活动等举措，回应社会关切、普及法律知识，发挥大要案的示范引领作用，促进全社会形成崇尚法治的良好氛围；2.通过印刷法治文化宣传材料等方式，全年举办法治文化参与人次达8000人次，引导人民知法、懂法、用法，圆满完成本年度文化建设宣传工作。具体指标详见下表：</w:t>
      </w:r>
      <w:bookmarkEnd w:id="68"/>
      <w:bookmarkEnd w:id="69"/>
    </w:p>
    <w:tbl>
      <w:tblPr>
        <w:tblpPr w:leftFromText="180" w:rightFromText="180" w:vertAnchor="text" w:horzAnchor="page" w:tblpX="1736" w:tblpY="28"/>
        <w:tblOverlap w:val="never"/>
        <w:tblW w:w="4895" w:type="pct"/>
        <w:tblLook w:val="04A0" w:firstRow="1" w:lastRow="0" w:firstColumn="1" w:lastColumn="0" w:noHBand="0" w:noVBand="1"/>
      </w:tblPr>
      <w:tblGrid>
        <w:gridCol w:w="1585"/>
        <w:gridCol w:w="1731"/>
        <w:gridCol w:w="3157"/>
        <w:gridCol w:w="1809"/>
      </w:tblGrid>
      <w:tr w:rsidR="00B868FF" w:rsidTr="00D07D63">
        <w:trPr>
          <w:trHeight w:val="567"/>
        </w:trPr>
        <w:tc>
          <w:tcPr>
            <w:tcW w:w="957" w:type="pct"/>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000000">
            <w:pPr>
              <w:widowControl/>
              <w:jc w:val="center"/>
              <w:textAlignment w:val="center"/>
              <w:rPr>
                <w:rFonts w:ascii="宋体" w:eastAsia="宋体" w:hAnsi="宋体" w:cs="宋体" w:hint="eastAsia"/>
                <w:b/>
                <w:bCs/>
                <w:kern w:val="0"/>
                <w:sz w:val="20"/>
                <w:szCs w:val="20"/>
                <w:lang w:bidi="ar"/>
              </w:rPr>
            </w:pPr>
            <w:bookmarkStart w:id="70" w:name="_Toc11016"/>
            <w:bookmarkStart w:id="71" w:name="_Toc24688"/>
            <w:r w:rsidRPr="00D07D63">
              <w:rPr>
                <w:rFonts w:ascii="宋体" w:eastAsia="宋体" w:hAnsi="宋体" w:cs="宋体" w:hint="eastAsia"/>
                <w:b/>
                <w:bCs/>
                <w:kern w:val="0"/>
                <w:sz w:val="20"/>
                <w:szCs w:val="20"/>
                <w:lang w:bidi="ar"/>
              </w:rPr>
              <w:t>一级指标</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000000">
            <w:pPr>
              <w:widowControl/>
              <w:jc w:val="center"/>
              <w:textAlignment w:val="center"/>
              <w:rPr>
                <w:rFonts w:ascii="宋体" w:eastAsia="宋体" w:hAnsi="宋体" w:cs="宋体" w:hint="eastAsia"/>
                <w:b/>
                <w:bCs/>
                <w:kern w:val="0"/>
                <w:sz w:val="20"/>
                <w:szCs w:val="20"/>
                <w:lang w:bidi="ar"/>
              </w:rPr>
            </w:pPr>
            <w:r w:rsidRPr="00D07D63">
              <w:rPr>
                <w:rFonts w:ascii="宋体" w:eastAsia="宋体" w:hAnsi="宋体" w:cs="宋体" w:hint="eastAsia"/>
                <w:b/>
                <w:bCs/>
                <w:kern w:val="0"/>
                <w:sz w:val="20"/>
                <w:szCs w:val="20"/>
                <w:lang w:bidi="ar"/>
              </w:rPr>
              <w:t>二级指标</w:t>
            </w:r>
          </w:p>
        </w:tc>
        <w:tc>
          <w:tcPr>
            <w:tcW w:w="1906" w:type="pct"/>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000000">
            <w:pPr>
              <w:widowControl/>
              <w:jc w:val="center"/>
              <w:textAlignment w:val="center"/>
              <w:rPr>
                <w:rFonts w:ascii="宋体" w:eastAsia="宋体" w:hAnsi="宋体" w:cs="宋体" w:hint="eastAsia"/>
                <w:b/>
                <w:bCs/>
                <w:kern w:val="0"/>
                <w:sz w:val="20"/>
                <w:szCs w:val="20"/>
                <w:lang w:bidi="ar"/>
              </w:rPr>
            </w:pPr>
            <w:r w:rsidRPr="00D07D63">
              <w:rPr>
                <w:rFonts w:ascii="宋体" w:eastAsia="宋体" w:hAnsi="宋体" w:cs="宋体" w:hint="eastAsia"/>
                <w:b/>
                <w:bCs/>
                <w:kern w:val="0"/>
                <w:sz w:val="20"/>
                <w:szCs w:val="20"/>
                <w:lang w:bidi="ar"/>
              </w:rPr>
              <w:t>三级指标</w:t>
            </w:r>
          </w:p>
        </w:tc>
        <w:tc>
          <w:tcPr>
            <w:tcW w:w="1092" w:type="pct"/>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000000">
            <w:pPr>
              <w:widowControl/>
              <w:jc w:val="center"/>
              <w:textAlignment w:val="center"/>
              <w:rPr>
                <w:rFonts w:ascii="宋体" w:eastAsia="宋体" w:hAnsi="宋体" w:cs="宋体" w:hint="eastAsia"/>
                <w:b/>
                <w:bCs/>
                <w:kern w:val="0"/>
                <w:sz w:val="20"/>
                <w:szCs w:val="20"/>
                <w:lang w:bidi="ar"/>
              </w:rPr>
            </w:pPr>
            <w:r w:rsidRPr="00D07D63">
              <w:rPr>
                <w:rFonts w:ascii="宋体" w:eastAsia="宋体" w:hAnsi="宋体" w:cs="宋体" w:hint="eastAsia"/>
                <w:b/>
                <w:bCs/>
                <w:kern w:val="0"/>
                <w:sz w:val="20"/>
                <w:szCs w:val="20"/>
                <w:lang w:bidi="ar"/>
              </w:rPr>
              <w:t>目标值</w:t>
            </w:r>
          </w:p>
        </w:tc>
      </w:tr>
      <w:tr w:rsidR="00B868FF" w:rsidTr="00D07D63">
        <w:trPr>
          <w:trHeight w:val="567"/>
        </w:trPr>
        <w:tc>
          <w:tcPr>
            <w:tcW w:w="957" w:type="pct"/>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000000">
            <w:pPr>
              <w:spacing w:line="320" w:lineRule="exact"/>
              <w:jc w:val="center"/>
              <w:rPr>
                <w:rFonts w:ascii="宋体" w:eastAsia="宋体" w:hAnsi="宋体" w:cs="宋体" w:hint="eastAsia"/>
                <w:sz w:val="20"/>
                <w:szCs w:val="20"/>
              </w:rPr>
            </w:pPr>
            <w:r w:rsidRPr="00D07D63">
              <w:rPr>
                <w:rFonts w:ascii="宋体" w:eastAsia="宋体" w:hAnsi="宋体" w:cs="宋体" w:hint="eastAsia"/>
                <w:sz w:val="20"/>
                <w:szCs w:val="20"/>
              </w:rPr>
              <w:t>成本指标</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000000">
            <w:pPr>
              <w:spacing w:line="320" w:lineRule="exact"/>
              <w:jc w:val="center"/>
              <w:rPr>
                <w:rFonts w:ascii="宋体" w:eastAsia="宋体" w:hAnsi="宋体" w:cs="宋体" w:hint="eastAsia"/>
                <w:sz w:val="20"/>
                <w:szCs w:val="20"/>
              </w:rPr>
            </w:pPr>
            <w:r w:rsidRPr="00D07D63">
              <w:rPr>
                <w:rFonts w:ascii="宋体" w:eastAsia="宋体" w:hAnsi="宋体" w:cs="宋体" w:hint="eastAsia"/>
                <w:sz w:val="20"/>
                <w:szCs w:val="20"/>
              </w:rPr>
              <w:t>经济成本指标</w:t>
            </w:r>
          </w:p>
        </w:tc>
        <w:tc>
          <w:tcPr>
            <w:tcW w:w="1906" w:type="pct"/>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000000">
            <w:pPr>
              <w:widowControl/>
              <w:jc w:val="center"/>
              <w:textAlignment w:val="center"/>
              <w:rPr>
                <w:rFonts w:ascii="宋体" w:eastAsia="宋体" w:hAnsi="宋体" w:cs="宋体" w:hint="eastAsia"/>
                <w:color w:val="000000"/>
                <w:kern w:val="0"/>
                <w:sz w:val="20"/>
                <w:szCs w:val="20"/>
                <w:lang w:bidi="ar"/>
              </w:rPr>
            </w:pPr>
            <w:r w:rsidRPr="00D07D63">
              <w:rPr>
                <w:rFonts w:ascii="宋体" w:eastAsia="宋体" w:hAnsi="宋体" w:cs="宋体" w:hint="eastAsia"/>
                <w:color w:val="000000"/>
                <w:kern w:val="0"/>
                <w:sz w:val="20"/>
                <w:szCs w:val="20"/>
                <w:lang w:bidi="ar"/>
              </w:rPr>
              <w:t>成本控制情况</w:t>
            </w:r>
          </w:p>
        </w:tc>
        <w:tc>
          <w:tcPr>
            <w:tcW w:w="1092" w:type="pct"/>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000000">
            <w:pPr>
              <w:widowControl/>
              <w:jc w:val="center"/>
              <w:textAlignment w:val="center"/>
              <w:rPr>
                <w:rFonts w:ascii="宋体" w:eastAsia="宋体" w:hAnsi="宋体" w:cs="宋体" w:hint="eastAsia"/>
                <w:color w:val="000000"/>
                <w:kern w:val="0"/>
                <w:sz w:val="20"/>
                <w:szCs w:val="20"/>
                <w:lang w:bidi="ar"/>
              </w:rPr>
            </w:pPr>
            <w:r w:rsidRPr="00D07D63">
              <w:rPr>
                <w:rFonts w:ascii="宋体" w:eastAsia="宋体" w:hAnsi="宋体" w:cs="宋体" w:hint="eastAsia"/>
                <w:color w:val="000000"/>
                <w:kern w:val="0"/>
                <w:sz w:val="20"/>
                <w:szCs w:val="20"/>
                <w:lang w:bidi="ar"/>
              </w:rPr>
              <w:t>预算内</w:t>
            </w:r>
          </w:p>
        </w:tc>
      </w:tr>
      <w:tr w:rsidR="00B868FF" w:rsidTr="00D07D63">
        <w:trPr>
          <w:trHeight w:val="567"/>
        </w:trPr>
        <w:tc>
          <w:tcPr>
            <w:tcW w:w="95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000000">
            <w:pPr>
              <w:spacing w:line="320" w:lineRule="exact"/>
              <w:jc w:val="center"/>
              <w:rPr>
                <w:rFonts w:ascii="宋体" w:eastAsia="宋体" w:hAnsi="宋体" w:cs="宋体" w:hint="eastAsia"/>
                <w:sz w:val="20"/>
                <w:szCs w:val="20"/>
              </w:rPr>
            </w:pPr>
            <w:r w:rsidRPr="00D07D63">
              <w:rPr>
                <w:rFonts w:ascii="宋体" w:eastAsia="宋体" w:hAnsi="宋体" w:cs="宋体" w:hint="eastAsia"/>
                <w:sz w:val="20"/>
                <w:szCs w:val="20"/>
              </w:rPr>
              <w:t>产出指标</w:t>
            </w:r>
          </w:p>
        </w:tc>
        <w:tc>
          <w:tcPr>
            <w:tcW w:w="104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000000">
            <w:pPr>
              <w:spacing w:line="320" w:lineRule="exact"/>
              <w:jc w:val="center"/>
              <w:rPr>
                <w:rFonts w:ascii="宋体" w:eastAsia="宋体" w:hAnsi="宋体" w:cs="宋体" w:hint="eastAsia"/>
                <w:sz w:val="20"/>
                <w:szCs w:val="20"/>
              </w:rPr>
            </w:pPr>
            <w:r w:rsidRPr="00D07D63">
              <w:rPr>
                <w:rFonts w:ascii="宋体" w:eastAsia="宋体" w:hAnsi="宋体" w:cs="宋体" w:hint="eastAsia"/>
                <w:sz w:val="20"/>
                <w:szCs w:val="20"/>
              </w:rPr>
              <w:t>数量指标</w:t>
            </w:r>
          </w:p>
        </w:tc>
        <w:tc>
          <w:tcPr>
            <w:tcW w:w="1906" w:type="pct"/>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000000">
            <w:pPr>
              <w:widowControl/>
              <w:jc w:val="center"/>
              <w:textAlignment w:val="center"/>
              <w:rPr>
                <w:rFonts w:ascii="宋体" w:eastAsia="宋体" w:hAnsi="宋体" w:cs="宋体" w:hint="eastAsia"/>
                <w:sz w:val="20"/>
                <w:szCs w:val="20"/>
              </w:rPr>
            </w:pPr>
            <w:r w:rsidRPr="00D07D63">
              <w:rPr>
                <w:rFonts w:ascii="宋体" w:eastAsia="宋体" w:hAnsi="宋体" w:cs="宋体" w:hint="eastAsia"/>
                <w:color w:val="000000"/>
                <w:kern w:val="0"/>
                <w:sz w:val="20"/>
                <w:szCs w:val="20"/>
                <w:lang w:bidi="ar"/>
              </w:rPr>
              <w:t>法治文化宣传材料印刷套数</w:t>
            </w:r>
          </w:p>
        </w:tc>
        <w:tc>
          <w:tcPr>
            <w:tcW w:w="1092" w:type="pct"/>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0615AA">
            <w:pPr>
              <w:widowControl/>
              <w:jc w:val="center"/>
              <w:textAlignment w:val="center"/>
              <w:rPr>
                <w:rFonts w:ascii="宋体" w:eastAsia="宋体" w:hAnsi="宋体" w:cs="宋体" w:hint="eastAsia"/>
                <w:kern w:val="0"/>
                <w:sz w:val="20"/>
                <w:szCs w:val="20"/>
                <w:lang w:bidi="ar"/>
              </w:rPr>
            </w:pPr>
            <w:r w:rsidRPr="00D07D63">
              <w:rPr>
                <w:rFonts w:ascii="宋体" w:eastAsia="宋体" w:hAnsi="宋体" w:cs="宋体" w:hint="eastAsia"/>
                <w:color w:val="000000"/>
                <w:kern w:val="0"/>
                <w:sz w:val="20"/>
                <w:szCs w:val="20"/>
                <w:lang w:bidi="ar"/>
              </w:rPr>
              <w:t>≥100套</w:t>
            </w:r>
          </w:p>
        </w:tc>
      </w:tr>
      <w:tr w:rsidR="00B868FF" w:rsidTr="00D07D63">
        <w:trPr>
          <w:trHeight w:val="567"/>
        </w:trPr>
        <w:tc>
          <w:tcPr>
            <w:tcW w:w="957"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B868FF">
            <w:pPr>
              <w:tabs>
                <w:tab w:val="left" w:pos="104"/>
              </w:tabs>
              <w:spacing w:line="320" w:lineRule="exact"/>
              <w:jc w:val="center"/>
              <w:rPr>
                <w:rFonts w:ascii="宋体" w:eastAsia="宋体" w:hAnsi="宋体" w:cs="宋体" w:hint="eastAsia"/>
                <w:sz w:val="20"/>
                <w:szCs w:val="20"/>
              </w:rPr>
            </w:pPr>
          </w:p>
        </w:tc>
        <w:tc>
          <w:tcPr>
            <w:tcW w:w="104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B868FF">
            <w:pPr>
              <w:tabs>
                <w:tab w:val="left" w:pos="104"/>
              </w:tabs>
              <w:spacing w:line="320" w:lineRule="exact"/>
              <w:jc w:val="center"/>
              <w:rPr>
                <w:rFonts w:ascii="宋体" w:eastAsia="宋体" w:hAnsi="宋体" w:cs="宋体" w:hint="eastAsia"/>
                <w:sz w:val="20"/>
                <w:szCs w:val="20"/>
              </w:rPr>
            </w:pPr>
          </w:p>
        </w:tc>
        <w:tc>
          <w:tcPr>
            <w:tcW w:w="1906" w:type="pct"/>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000000">
            <w:pPr>
              <w:widowControl/>
              <w:jc w:val="center"/>
              <w:textAlignment w:val="center"/>
              <w:rPr>
                <w:rFonts w:ascii="宋体" w:eastAsia="宋体" w:hAnsi="宋体" w:cs="宋体" w:hint="eastAsia"/>
                <w:sz w:val="20"/>
                <w:szCs w:val="20"/>
              </w:rPr>
            </w:pPr>
            <w:r w:rsidRPr="00D07D63">
              <w:rPr>
                <w:rFonts w:ascii="宋体" w:eastAsia="宋体" w:hAnsi="宋体" w:cs="宋体" w:hint="eastAsia"/>
                <w:color w:val="000000"/>
                <w:kern w:val="0"/>
                <w:sz w:val="20"/>
                <w:szCs w:val="20"/>
                <w:lang w:bidi="ar"/>
              </w:rPr>
              <w:t>全年举办法治文化活动参与人次</w:t>
            </w:r>
          </w:p>
        </w:tc>
        <w:tc>
          <w:tcPr>
            <w:tcW w:w="1092" w:type="pct"/>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0615AA">
            <w:pPr>
              <w:widowControl/>
              <w:jc w:val="center"/>
              <w:textAlignment w:val="center"/>
              <w:rPr>
                <w:rFonts w:ascii="宋体" w:eastAsia="宋体" w:hAnsi="宋体" w:cs="宋体" w:hint="eastAsia"/>
                <w:kern w:val="0"/>
                <w:sz w:val="20"/>
                <w:szCs w:val="20"/>
                <w:lang w:bidi="ar"/>
              </w:rPr>
            </w:pPr>
            <w:r w:rsidRPr="00D07D63">
              <w:rPr>
                <w:rFonts w:ascii="宋体" w:eastAsia="宋体" w:hAnsi="宋体" w:cs="宋体" w:hint="eastAsia"/>
                <w:color w:val="000000"/>
                <w:kern w:val="0"/>
                <w:sz w:val="20"/>
                <w:szCs w:val="20"/>
                <w:lang w:bidi="ar"/>
              </w:rPr>
              <w:t>≥8000人次</w:t>
            </w:r>
          </w:p>
        </w:tc>
      </w:tr>
      <w:tr w:rsidR="00B868FF" w:rsidTr="00D07D63">
        <w:trPr>
          <w:trHeight w:val="567"/>
        </w:trPr>
        <w:tc>
          <w:tcPr>
            <w:tcW w:w="957"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B868FF">
            <w:pPr>
              <w:tabs>
                <w:tab w:val="left" w:pos="104"/>
              </w:tabs>
              <w:spacing w:line="320" w:lineRule="exact"/>
              <w:jc w:val="center"/>
              <w:rPr>
                <w:rFonts w:ascii="宋体" w:eastAsia="宋体" w:hAnsi="宋体" w:cs="宋体" w:hint="eastAsia"/>
                <w:sz w:val="20"/>
                <w:szCs w:val="20"/>
              </w:rPr>
            </w:pPr>
          </w:p>
        </w:tc>
        <w:tc>
          <w:tcPr>
            <w:tcW w:w="104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B868FF">
            <w:pPr>
              <w:tabs>
                <w:tab w:val="left" w:pos="104"/>
              </w:tabs>
              <w:spacing w:line="320" w:lineRule="exact"/>
              <w:jc w:val="center"/>
              <w:rPr>
                <w:rFonts w:ascii="宋体" w:eastAsia="宋体" w:hAnsi="宋体" w:cs="宋体" w:hint="eastAsia"/>
                <w:sz w:val="20"/>
                <w:szCs w:val="20"/>
              </w:rPr>
            </w:pPr>
          </w:p>
        </w:tc>
        <w:tc>
          <w:tcPr>
            <w:tcW w:w="1906" w:type="pct"/>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000000">
            <w:pPr>
              <w:widowControl/>
              <w:jc w:val="center"/>
              <w:textAlignment w:val="center"/>
              <w:rPr>
                <w:rFonts w:ascii="宋体" w:eastAsia="宋体" w:hAnsi="宋体" w:cs="宋体" w:hint="eastAsia"/>
                <w:sz w:val="20"/>
                <w:szCs w:val="20"/>
              </w:rPr>
            </w:pPr>
            <w:r w:rsidRPr="00D07D63">
              <w:rPr>
                <w:rFonts w:ascii="宋体" w:eastAsia="宋体" w:hAnsi="宋体" w:cs="宋体" w:hint="eastAsia"/>
                <w:color w:val="000000"/>
                <w:kern w:val="0"/>
                <w:sz w:val="20"/>
                <w:szCs w:val="20"/>
                <w:lang w:bidi="ar"/>
              </w:rPr>
              <w:t>举办法治宣传活动次数</w:t>
            </w:r>
          </w:p>
        </w:tc>
        <w:tc>
          <w:tcPr>
            <w:tcW w:w="1092" w:type="pct"/>
            <w:tcBorders>
              <w:top w:val="single" w:sz="4" w:space="0" w:color="auto"/>
              <w:left w:val="single" w:sz="4" w:space="0" w:color="auto"/>
              <w:bottom w:val="single" w:sz="4" w:space="0" w:color="auto"/>
              <w:right w:val="single" w:sz="4" w:space="0" w:color="auto"/>
            </w:tcBorders>
            <w:shd w:val="clear" w:color="auto" w:fill="auto"/>
            <w:vAlign w:val="center"/>
          </w:tcPr>
          <w:p w:rsidR="00B868FF" w:rsidRPr="00D07D63" w:rsidRDefault="000615AA">
            <w:pPr>
              <w:widowControl/>
              <w:jc w:val="center"/>
              <w:textAlignment w:val="center"/>
              <w:rPr>
                <w:rFonts w:ascii="宋体" w:eastAsia="宋体" w:hAnsi="宋体" w:cs="宋体" w:hint="eastAsia"/>
                <w:kern w:val="0"/>
                <w:sz w:val="20"/>
                <w:szCs w:val="20"/>
                <w:lang w:bidi="ar"/>
              </w:rPr>
            </w:pPr>
            <w:r w:rsidRPr="00D07D63">
              <w:rPr>
                <w:rFonts w:ascii="宋体" w:eastAsia="宋体" w:hAnsi="宋体" w:cs="宋体" w:hint="eastAsia"/>
                <w:color w:val="000000"/>
                <w:kern w:val="0"/>
                <w:sz w:val="20"/>
                <w:szCs w:val="20"/>
                <w:lang w:bidi="ar"/>
              </w:rPr>
              <w:t>≥1500次</w:t>
            </w:r>
          </w:p>
        </w:tc>
      </w:tr>
      <w:tr w:rsidR="00B868FF" w:rsidTr="00D07D63">
        <w:trPr>
          <w:trHeight w:val="567"/>
        </w:trPr>
        <w:tc>
          <w:tcPr>
            <w:tcW w:w="957"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B868FF">
            <w:pPr>
              <w:spacing w:line="320" w:lineRule="exact"/>
              <w:jc w:val="center"/>
              <w:rPr>
                <w:rFonts w:ascii="宋体" w:eastAsia="宋体" w:hAnsi="宋体" w:cs="宋体" w:hint="eastAsia"/>
                <w:sz w:val="20"/>
                <w:szCs w:val="20"/>
              </w:rPr>
            </w:pPr>
          </w:p>
        </w:tc>
        <w:tc>
          <w:tcPr>
            <w:tcW w:w="1045" w:type="pct"/>
            <w:vMerge w:val="restart"/>
            <w:tcBorders>
              <w:top w:val="single" w:sz="4" w:space="0" w:color="auto"/>
              <w:left w:val="single" w:sz="4" w:space="0" w:color="auto"/>
              <w:bottom w:val="single" w:sz="4" w:space="0" w:color="auto"/>
              <w:right w:val="single" w:sz="4" w:space="0" w:color="000000"/>
            </w:tcBorders>
            <w:shd w:val="clear" w:color="auto" w:fill="auto"/>
            <w:vAlign w:val="center"/>
          </w:tcPr>
          <w:p w:rsidR="00B868FF" w:rsidRDefault="00000000">
            <w:pPr>
              <w:spacing w:line="320" w:lineRule="exact"/>
              <w:jc w:val="center"/>
              <w:rPr>
                <w:rFonts w:ascii="宋体" w:eastAsia="宋体" w:hAnsi="宋体" w:cs="宋体" w:hint="eastAsia"/>
                <w:sz w:val="20"/>
                <w:szCs w:val="20"/>
              </w:rPr>
            </w:pPr>
            <w:r>
              <w:rPr>
                <w:rFonts w:ascii="宋体" w:eastAsia="宋体" w:hAnsi="宋体" w:cs="宋体" w:hint="eastAsia"/>
                <w:sz w:val="20"/>
                <w:szCs w:val="20"/>
              </w:rPr>
              <w:t>质量指标</w:t>
            </w:r>
          </w:p>
        </w:tc>
        <w:tc>
          <w:tcPr>
            <w:tcW w:w="1906" w:type="pct"/>
            <w:tcBorders>
              <w:top w:val="single" w:sz="4" w:space="0" w:color="auto"/>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法治文化宣传覆盖率</w:t>
            </w:r>
          </w:p>
        </w:tc>
        <w:tc>
          <w:tcPr>
            <w:tcW w:w="1092" w:type="pct"/>
            <w:tcBorders>
              <w:top w:val="single" w:sz="4" w:space="0" w:color="auto"/>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Style w:val="font41"/>
                <w:rFonts w:ascii="宋体" w:eastAsia="宋体" w:hAnsi="宋体" w:cs="宋体" w:hint="eastAsia"/>
                <w:lang w:bidi="ar"/>
              </w:rPr>
            </w:pPr>
            <w:r>
              <w:rPr>
                <w:rFonts w:ascii="宋体" w:eastAsia="宋体" w:hAnsi="宋体" w:cs="宋体"/>
                <w:color w:val="000000"/>
                <w:kern w:val="0"/>
                <w:sz w:val="20"/>
                <w:szCs w:val="20"/>
                <w:lang w:bidi="ar"/>
              </w:rPr>
              <w:t>=</w:t>
            </w:r>
            <w:r w:rsidR="00C93B37">
              <w:rPr>
                <w:rFonts w:ascii="宋体" w:eastAsia="宋体" w:hAnsi="宋体" w:cs="宋体"/>
                <w:color w:val="000000"/>
                <w:kern w:val="0"/>
                <w:sz w:val="20"/>
                <w:szCs w:val="20"/>
                <w:lang w:bidi="ar"/>
              </w:rPr>
              <w:t>100.00%</w:t>
            </w:r>
          </w:p>
        </w:tc>
      </w:tr>
      <w:tr w:rsidR="00B868FF" w:rsidTr="00D07D63">
        <w:trPr>
          <w:trHeight w:val="567"/>
        </w:trPr>
        <w:tc>
          <w:tcPr>
            <w:tcW w:w="957"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B868FF">
            <w:pPr>
              <w:spacing w:line="320" w:lineRule="exact"/>
              <w:jc w:val="center"/>
              <w:rPr>
                <w:rFonts w:ascii="宋体" w:eastAsia="宋体" w:hAnsi="宋体" w:cs="宋体" w:hint="eastAsia"/>
                <w:sz w:val="20"/>
                <w:szCs w:val="20"/>
              </w:rPr>
            </w:pPr>
          </w:p>
        </w:tc>
        <w:tc>
          <w:tcPr>
            <w:tcW w:w="1045" w:type="pct"/>
            <w:vMerge/>
            <w:tcBorders>
              <w:top w:val="single" w:sz="4" w:space="0" w:color="auto"/>
              <w:left w:val="single" w:sz="4" w:space="0" w:color="auto"/>
              <w:bottom w:val="single" w:sz="4" w:space="0" w:color="auto"/>
              <w:right w:val="single" w:sz="4" w:space="0" w:color="000000"/>
            </w:tcBorders>
            <w:shd w:val="clear" w:color="auto" w:fill="auto"/>
            <w:vAlign w:val="center"/>
          </w:tcPr>
          <w:p w:rsidR="00B868FF" w:rsidRDefault="00B868FF">
            <w:pPr>
              <w:spacing w:line="320" w:lineRule="exact"/>
              <w:jc w:val="center"/>
              <w:rPr>
                <w:rFonts w:ascii="宋体" w:eastAsia="宋体" w:hAnsi="宋体" w:cs="宋体" w:hint="eastAsia"/>
                <w:sz w:val="20"/>
                <w:szCs w:val="20"/>
              </w:rPr>
            </w:pPr>
          </w:p>
        </w:tc>
        <w:tc>
          <w:tcPr>
            <w:tcW w:w="19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spacing w:line="320" w:lineRule="exact"/>
              <w:jc w:val="center"/>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法制宣传材料印刷合格率</w:t>
            </w:r>
          </w:p>
        </w:tc>
        <w:tc>
          <w:tcPr>
            <w:tcW w:w="109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spacing w:line="320" w:lineRule="exact"/>
              <w:jc w:val="center"/>
              <w:rPr>
                <w:rStyle w:val="font41"/>
                <w:rFonts w:ascii="宋体" w:eastAsia="宋体" w:hAnsi="宋体" w:cs="宋体" w:hint="eastAsia"/>
                <w:lang w:bidi="ar"/>
              </w:rPr>
            </w:pPr>
            <w:r>
              <w:rPr>
                <w:rFonts w:ascii="宋体" w:eastAsia="宋体" w:hAnsi="宋体" w:cs="宋体"/>
                <w:color w:val="000000"/>
                <w:kern w:val="0"/>
                <w:sz w:val="20"/>
                <w:szCs w:val="20"/>
                <w:lang w:bidi="ar"/>
              </w:rPr>
              <w:t>=</w:t>
            </w:r>
            <w:r w:rsidR="00C93B37">
              <w:rPr>
                <w:rFonts w:ascii="宋体" w:eastAsia="宋体" w:hAnsi="宋体" w:cs="宋体"/>
                <w:color w:val="000000"/>
                <w:kern w:val="0"/>
                <w:sz w:val="20"/>
                <w:szCs w:val="20"/>
                <w:lang w:bidi="ar"/>
              </w:rPr>
              <w:t>100.00%</w:t>
            </w:r>
          </w:p>
        </w:tc>
      </w:tr>
      <w:tr w:rsidR="00B868FF" w:rsidTr="00D07D63">
        <w:trPr>
          <w:trHeight w:val="567"/>
        </w:trPr>
        <w:tc>
          <w:tcPr>
            <w:tcW w:w="957"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B868FF">
            <w:pPr>
              <w:spacing w:line="320" w:lineRule="exact"/>
              <w:jc w:val="center"/>
              <w:rPr>
                <w:rFonts w:ascii="宋体" w:eastAsia="宋体" w:hAnsi="宋体" w:cs="宋体" w:hint="eastAsia"/>
                <w:sz w:val="20"/>
                <w:szCs w:val="20"/>
              </w:rPr>
            </w:pPr>
          </w:p>
        </w:tc>
        <w:tc>
          <w:tcPr>
            <w:tcW w:w="1045" w:type="pct"/>
            <w:tcBorders>
              <w:top w:val="single" w:sz="4" w:space="0" w:color="auto"/>
              <w:left w:val="single" w:sz="4" w:space="0" w:color="auto"/>
              <w:bottom w:val="single" w:sz="4" w:space="0" w:color="000000"/>
              <w:right w:val="single" w:sz="4" w:space="0" w:color="000000"/>
            </w:tcBorders>
            <w:shd w:val="clear" w:color="auto" w:fill="auto"/>
            <w:vAlign w:val="center"/>
          </w:tcPr>
          <w:p w:rsidR="00B868FF" w:rsidRDefault="00000000">
            <w:pPr>
              <w:spacing w:line="320" w:lineRule="exact"/>
              <w:jc w:val="center"/>
              <w:rPr>
                <w:rFonts w:ascii="宋体" w:eastAsia="宋体" w:hAnsi="宋体" w:cs="宋体" w:hint="eastAsia"/>
                <w:sz w:val="20"/>
                <w:szCs w:val="20"/>
              </w:rPr>
            </w:pPr>
            <w:r>
              <w:rPr>
                <w:rFonts w:ascii="宋体" w:eastAsia="宋体" w:hAnsi="宋体" w:cs="宋体" w:hint="eastAsia"/>
                <w:sz w:val="20"/>
                <w:szCs w:val="20"/>
              </w:rPr>
              <w:t>时效指标</w:t>
            </w:r>
          </w:p>
        </w:tc>
        <w:tc>
          <w:tcPr>
            <w:tcW w:w="19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法治宣传工作开展及时性</w:t>
            </w:r>
          </w:p>
        </w:tc>
        <w:tc>
          <w:tcPr>
            <w:tcW w:w="109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及时</w:t>
            </w:r>
          </w:p>
        </w:tc>
      </w:tr>
      <w:tr w:rsidR="00B868FF" w:rsidTr="00D07D63">
        <w:trPr>
          <w:trHeight w:val="567"/>
        </w:trPr>
        <w:tc>
          <w:tcPr>
            <w:tcW w:w="95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spacing w:line="320" w:lineRule="exact"/>
              <w:jc w:val="center"/>
              <w:rPr>
                <w:rFonts w:ascii="宋体" w:eastAsia="宋体" w:hAnsi="宋体" w:cs="宋体" w:hint="eastAsia"/>
                <w:sz w:val="20"/>
                <w:szCs w:val="20"/>
              </w:rPr>
            </w:pPr>
            <w:r>
              <w:rPr>
                <w:rFonts w:ascii="宋体" w:eastAsia="宋体" w:hAnsi="宋体" w:cs="宋体" w:hint="eastAsia"/>
                <w:sz w:val="20"/>
                <w:szCs w:val="20"/>
              </w:rPr>
              <w:t>效益指标</w:t>
            </w:r>
          </w:p>
        </w:tc>
        <w:tc>
          <w:tcPr>
            <w:tcW w:w="1045" w:type="pct"/>
            <w:vMerge w:val="restart"/>
            <w:tcBorders>
              <w:top w:val="single" w:sz="4" w:space="0" w:color="000000"/>
              <w:left w:val="single" w:sz="4" w:space="0" w:color="auto"/>
              <w:bottom w:val="single" w:sz="4" w:space="0" w:color="000000"/>
              <w:right w:val="single" w:sz="4" w:space="0" w:color="000000"/>
            </w:tcBorders>
            <w:shd w:val="clear" w:color="auto" w:fill="auto"/>
            <w:vAlign w:val="center"/>
          </w:tcPr>
          <w:p w:rsidR="00B868FF" w:rsidRDefault="00000000">
            <w:pPr>
              <w:spacing w:line="320" w:lineRule="exact"/>
              <w:jc w:val="center"/>
              <w:rPr>
                <w:rFonts w:ascii="宋体" w:eastAsia="宋体" w:hAnsi="宋体" w:cs="宋体" w:hint="eastAsia"/>
                <w:sz w:val="20"/>
                <w:szCs w:val="20"/>
              </w:rPr>
            </w:pPr>
            <w:r>
              <w:rPr>
                <w:rFonts w:ascii="宋体" w:eastAsia="宋体" w:hAnsi="宋体" w:cs="宋体" w:hint="eastAsia"/>
                <w:sz w:val="20"/>
                <w:szCs w:val="20"/>
              </w:rPr>
              <w:t>社会效益</w:t>
            </w:r>
          </w:p>
        </w:tc>
        <w:tc>
          <w:tcPr>
            <w:tcW w:w="19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spacing w:line="320" w:lineRule="exact"/>
              <w:ind w:firstLineChars="200" w:firstLine="400"/>
              <w:jc w:val="left"/>
              <w:rPr>
                <w:rFonts w:ascii="宋体" w:eastAsia="宋体" w:hAnsi="宋体" w:cs="宋体" w:hint="eastAsia"/>
                <w:color w:val="000000"/>
                <w:kern w:val="0"/>
                <w:sz w:val="20"/>
                <w:szCs w:val="20"/>
                <w:lang w:bidi="ar"/>
              </w:rPr>
            </w:pPr>
            <w:r>
              <w:rPr>
                <w:rFonts w:ascii="宋体" w:eastAsia="宋体" w:hAnsi="宋体" w:cs="宋体" w:hint="eastAsia"/>
                <w:sz w:val="20"/>
                <w:szCs w:val="20"/>
              </w:rPr>
              <w:t>普法宣传教育效果</w:t>
            </w:r>
          </w:p>
        </w:tc>
        <w:tc>
          <w:tcPr>
            <w:tcW w:w="109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spacing w:line="320" w:lineRule="exact"/>
              <w:jc w:val="center"/>
              <w:rPr>
                <w:rFonts w:ascii="宋体" w:eastAsia="宋体" w:hAnsi="宋体" w:cs="宋体" w:hint="eastAsia"/>
                <w:color w:val="000000"/>
                <w:kern w:val="0"/>
                <w:sz w:val="20"/>
                <w:szCs w:val="20"/>
                <w:lang w:bidi="ar"/>
              </w:rPr>
            </w:pPr>
            <w:r>
              <w:rPr>
                <w:rFonts w:ascii="宋体" w:eastAsia="宋体" w:hAnsi="宋体" w:cs="宋体" w:hint="eastAsia"/>
                <w:sz w:val="20"/>
                <w:szCs w:val="20"/>
              </w:rPr>
              <w:t>明显</w:t>
            </w:r>
          </w:p>
        </w:tc>
      </w:tr>
      <w:tr w:rsidR="00B868FF" w:rsidTr="00D07D63">
        <w:trPr>
          <w:trHeight w:val="567"/>
        </w:trPr>
        <w:tc>
          <w:tcPr>
            <w:tcW w:w="957"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B868FF">
            <w:pPr>
              <w:spacing w:line="320" w:lineRule="exact"/>
              <w:jc w:val="center"/>
              <w:rPr>
                <w:rFonts w:ascii="宋体" w:eastAsia="宋体" w:hAnsi="宋体" w:cs="宋体" w:hint="eastAsia"/>
                <w:sz w:val="20"/>
                <w:szCs w:val="20"/>
              </w:rPr>
            </w:pPr>
          </w:p>
        </w:tc>
        <w:tc>
          <w:tcPr>
            <w:tcW w:w="1045" w:type="pct"/>
            <w:vMerge/>
            <w:tcBorders>
              <w:top w:val="single" w:sz="4" w:space="0" w:color="000000"/>
              <w:left w:val="single" w:sz="4" w:space="0" w:color="auto"/>
              <w:bottom w:val="single" w:sz="4" w:space="0" w:color="000000"/>
              <w:right w:val="single" w:sz="4" w:space="0" w:color="000000"/>
            </w:tcBorders>
            <w:shd w:val="clear" w:color="auto" w:fill="auto"/>
            <w:vAlign w:val="center"/>
          </w:tcPr>
          <w:p w:rsidR="00B868FF" w:rsidRDefault="00B868FF">
            <w:pPr>
              <w:spacing w:line="320" w:lineRule="exact"/>
              <w:jc w:val="center"/>
              <w:rPr>
                <w:rFonts w:ascii="宋体" w:eastAsia="宋体" w:hAnsi="宋体" w:cs="宋体" w:hint="eastAsia"/>
                <w:sz w:val="20"/>
                <w:szCs w:val="20"/>
              </w:rPr>
            </w:pPr>
          </w:p>
        </w:tc>
        <w:tc>
          <w:tcPr>
            <w:tcW w:w="19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spacing w:line="320" w:lineRule="exact"/>
              <w:ind w:firstLineChars="200" w:firstLine="400"/>
              <w:jc w:val="left"/>
              <w:rPr>
                <w:rFonts w:ascii="宋体" w:eastAsia="宋体" w:hAnsi="宋体" w:cs="宋体" w:hint="eastAsia"/>
                <w:color w:val="000000"/>
                <w:kern w:val="0"/>
                <w:sz w:val="20"/>
                <w:szCs w:val="20"/>
                <w:lang w:bidi="ar"/>
              </w:rPr>
            </w:pPr>
            <w:r>
              <w:rPr>
                <w:rFonts w:ascii="宋体" w:eastAsia="宋体" w:hAnsi="宋体" w:cs="宋体" w:hint="eastAsia"/>
                <w:sz w:val="20"/>
                <w:szCs w:val="20"/>
              </w:rPr>
              <w:t>提高人民法治意识</w:t>
            </w:r>
          </w:p>
        </w:tc>
        <w:tc>
          <w:tcPr>
            <w:tcW w:w="109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spacing w:line="320" w:lineRule="exact"/>
              <w:jc w:val="center"/>
              <w:rPr>
                <w:rFonts w:ascii="宋体" w:eastAsia="宋体" w:hAnsi="宋体" w:cs="宋体" w:hint="eastAsia"/>
                <w:color w:val="000000"/>
                <w:kern w:val="0"/>
                <w:sz w:val="20"/>
                <w:szCs w:val="20"/>
                <w:lang w:bidi="ar"/>
              </w:rPr>
            </w:pPr>
            <w:r>
              <w:rPr>
                <w:rFonts w:ascii="宋体" w:eastAsia="宋体" w:hAnsi="宋体" w:cs="宋体" w:hint="eastAsia"/>
                <w:sz w:val="20"/>
                <w:szCs w:val="20"/>
              </w:rPr>
              <w:t>提高</w:t>
            </w:r>
          </w:p>
        </w:tc>
      </w:tr>
      <w:tr w:rsidR="00B868FF" w:rsidTr="00D07D63">
        <w:trPr>
          <w:trHeight w:val="567"/>
        </w:trPr>
        <w:tc>
          <w:tcPr>
            <w:tcW w:w="957" w:type="pct"/>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spacing w:line="320" w:lineRule="exact"/>
              <w:jc w:val="center"/>
              <w:rPr>
                <w:rFonts w:ascii="宋体" w:eastAsia="宋体" w:hAnsi="宋体" w:cs="宋体" w:hint="eastAsia"/>
                <w:sz w:val="20"/>
                <w:szCs w:val="20"/>
              </w:rPr>
            </w:pPr>
            <w:r>
              <w:rPr>
                <w:rFonts w:ascii="宋体" w:eastAsia="宋体" w:hAnsi="宋体" w:cs="宋体" w:hint="eastAsia"/>
                <w:sz w:val="20"/>
                <w:szCs w:val="20"/>
              </w:rPr>
              <w:t>满意度指标</w:t>
            </w:r>
          </w:p>
        </w:tc>
        <w:tc>
          <w:tcPr>
            <w:tcW w:w="1045" w:type="pct"/>
            <w:tcBorders>
              <w:top w:val="single" w:sz="4" w:space="0" w:color="000000"/>
              <w:left w:val="single" w:sz="4" w:space="0" w:color="auto"/>
              <w:bottom w:val="single" w:sz="4" w:space="0" w:color="000000"/>
              <w:right w:val="single" w:sz="4" w:space="0" w:color="000000"/>
            </w:tcBorders>
            <w:shd w:val="clear" w:color="auto" w:fill="auto"/>
            <w:vAlign w:val="center"/>
          </w:tcPr>
          <w:p w:rsidR="00B868FF" w:rsidRDefault="00000000">
            <w:pPr>
              <w:spacing w:line="320" w:lineRule="exact"/>
              <w:jc w:val="center"/>
              <w:rPr>
                <w:rFonts w:ascii="宋体" w:eastAsia="宋体" w:hAnsi="宋体" w:cs="宋体" w:hint="eastAsia"/>
                <w:sz w:val="20"/>
                <w:szCs w:val="20"/>
              </w:rPr>
            </w:pPr>
            <w:r>
              <w:rPr>
                <w:rFonts w:ascii="宋体" w:eastAsia="宋体" w:hAnsi="宋体" w:cs="宋体" w:hint="eastAsia"/>
                <w:sz w:val="20"/>
                <w:szCs w:val="20"/>
              </w:rPr>
              <w:t>服务对象满意度指标</w:t>
            </w:r>
          </w:p>
        </w:tc>
        <w:tc>
          <w:tcPr>
            <w:tcW w:w="19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spacing w:line="320" w:lineRule="exact"/>
              <w:ind w:firstLineChars="200" w:firstLine="400"/>
              <w:jc w:val="left"/>
              <w:rPr>
                <w:rFonts w:ascii="宋体" w:eastAsia="宋体" w:hAnsi="宋体" w:cs="宋体" w:hint="eastAsia"/>
                <w:sz w:val="20"/>
                <w:szCs w:val="20"/>
              </w:rPr>
            </w:pPr>
            <w:r>
              <w:rPr>
                <w:rFonts w:ascii="宋体" w:eastAsia="宋体" w:hAnsi="宋体" w:cs="宋体" w:hint="eastAsia"/>
                <w:sz w:val="20"/>
                <w:szCs w:val="20"/>
              </w:rPr>
              <w:t>受宣传人员满意度</w:t>
            </w:r>
          </w:p>
        </w:tc>
        <w:tc>
          <w:tcPr>
            <w:tcW w:w="109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615AA">
            <w:pPr>
              <w:spacing w:line="320" w:lineRule="exact"/>
              <w:jc w:val="center"/>
              <w:rPr>
                <w:rFonts w:ascii="宋体" w:eastAsia="宋体" w:hAnsi="宋体" w:cs="宋体" w:hint="eastAsia"/>
                <w:sz w:val="20"/>
                <w:szCs w:val="20"/>
              </w:rPr>
            </w:pPr>
            <w:r>
              <w:rPr>
                <w:rFonts w:ascii="宋体" w:eastAsia="宋体" w:hAnsi="宋体" w:cs="宋体"/>
                <w:sz w:val="20"/>
                <w:szCs w:val="20"/>
              </w:rPr>
              <w:t>≥85%</w:t>
            </w:r>
          </w:p>
        </w:tc>
      </w:tr>
    </w:tbl>
    <w:p w:rsidR="00B868FF" w:rsidRDefault="00000000">
      <w:pPr>
        <w:pStyle w:val="a6"/>
        <w:overflowPunct w:val="0"/>
        <w:spacing w:line="600" w:lineRule="exact"/>
        <w:ind w:firstLineChars="200" w:firstLine="640"/>
        <w:outlineLvl w:val="0"/>
        <w:rPr>
          <w:rFonts w:ascii="黑体" w:eastAsia="黑体"/>
        </w:rPr>
      </w:pPr>
      <w:bookmarkStart w:id="72" w:name="_Toc174375014"/>
      <w:r>
        <w:rPr>
          <w:rFonts w:ascii="黑体" w:eastAsia="黑体" w:hint="eastAsia"/>
        </w:rPr>
        <w:t>三、评价基本情况</w:t>
      </w:r>
      <w:bookmarkEnd w:id="70"/>
      <w:bookmarkEnd w:id="71"/>
      <w:bookmarkEnd w:id="72"/>
    </w:p>
    <w:p w:rsidR="00B868FF" w:rsidRDefault="00000000">
      <w:pPr>
        <w:pStyle w:val="a6"/>
        <w:overflowPunct w:val="0"/>
        <w:spacing w:line="600" w:lineRule="exact"/>
        <w:ind w:firstLineChars="200" w:firstLine="643"/>
        <w:outlineLvl w:val="1"/>
        <w:rPr>
          <w:rFonts w:ascii="楷体" w:eastAsia="楷体" w:hAnsi="楷体" w:cs="楷体" w:hint="eastAsia"/>
          <w:b/>
          <w:bCs/>
        </w:rPr>
      </w:pPr>
      <w:bookmarkStart w:id="73" w:name="_Toc5301"/>
      <w:bookmarkStart w:id="74" w:name="_Toc174375015"/>
      <w:r>
        <w:rPr>
          <w:rFonts w:ascii="楷体" w:eastAsia="楷体" w:hAnsi="楷体" w:cs="楷体" w:hint="eastAsia"/>
          <w:b/>
          <w:bCs/>
        </w:rPr>
        <w:t>（一）评价目的</w:t>
      </w:r>
      <w:bookmarkEnd w:id="73"/>
      <w:bookmarkEnd w:id="74"/>
    </w:p>
    <w:p w:rsidR="00B868FF" w:rsidRDefault="00000000">
      <w:pPr>
        <w:pStyle w:val="af4"/>
        <w:ind w:firstLine="640"/>
        <w:rPr>
          <w:rFonts w:hint="eastAsia"/>
        </w:rPr>
      </w:pPr>
      <w:r>
        <w:rPr>
          <w:rFonts w:hint="eastAsia"/>
        </w:rPr>
        <w:t>本次绩效评价工作通过运用规范的绩效评价指标体系和科学的绩效评价方法，引入第三方开展绩效评价，客观公正地核查甘肃省高级人民法院2023年重点绩效评价项目目标的完成情况。第三方通过对项目资料的审阅、现场核查、问卷调查等方式，了解该项目从决策到实施全过程，查验项目资金支出及项目实施的合</w:t>
      </w:r>
      <w:proofErr w:type="gramStart"/>
      <w:r>
        <w:rPr>
          <w:rFonts w:hint="eastAsia"/>
        </w:rPr>
        <w:t>规</w:t>
      </w:r>
      <w:proofErr w:type="gramEnd"/>
      <w:r>
        <w:rPr>
          <w:rFonts w:hint="eastAsia"/>
        </w:rPr>
        <w:t>性，考评资金分配的合理性、资金支出效率、效益和综合效果，及时总结项目管理经验，分析存在的问题及原因，提出切实可行的改进措施，规范项目和资金管理行为，从而进一步规范财政资金支出管理，加强财政资金全方位监督，杜绝违纪违规行为发生。评价结果将作为下一年资金分配的重要参考依据，同时协助甘肃省高级人民法院重新梳理项目绩效目标，切实提高财政资金使用效益。</w:t>
      </w:r>
    </w:p>
    <w:p w:rsidR="00B868FF" w:rsidRDefault="00000000">
      <w:pPr>
        <w:pStyle w:val="af4"/>
        <w:ind w:firstLine="640"/>
        <w:rPr>
          <w:rFonts w:hint="eastAsia"/>
        </w:rPr>
      </w:pPr>
      <w:r>
        <w:rPr>
          <w:rFonts w:hint="eastAsia"/>
        </w:rPr>
        <w:t>本次绩效评价的侧重点和切入点：</w:t>
      </w:r>
    </w:p>
    <w:p w:rsidR="00B868FF" w:rsidRDefault="00000000">
      <w:pPr>
        <w:pStyle w:val="af4"/>
        <w:ind w:firstLine="640"/>
        <w:rPr>
          <w:rFonts w:hint="eastAsia"/>
        </w:rPr>
      </w:pPr>
      <w:r>
        <w:rPr>
          <w:rFonts w:hint="eastAsia"/>
        </w:rPr>
        <w:t>1.重点关注项目资金使用管理以及保障项目预期绩效目</w:t>
      </w:r>
      <w:r>
        <w:rPr>
          <w:rFonts w:hint="eastAsia"/>
        </w:rPr>
        <w:lastRenderedPageBreak/>
        <w:t>标实现的相关措施；</w:t>
      </w:r>
    </w:p>
    <w:p w:rsidR="00B868FF" w:rsidRDefault="00000000">
      <w:pPr>
        <w:pStyle w:val="af4"/>
        <w:ind w:firstLine="640"/>
        <w:rPr>
          <w:rFonts w:hint="eastAsia"/>
        </w:rPr>
      </w:pPr>
      <w:r>
        <w:rPr>
          <w:rFonts w:hint="eastAsia"/>
        </w:rPr>
        <w:t>2.重点关注采购流程规范性、资金使用合</w:t>
      </w:r>
      <w:proofErr w:type="gramStart"/>
      <w:r>
        <w:rPr>
          <w:rFonts w:hint="eastAsia"/>
        </w:rPr>
        <w:t>规</w:t>
      </w:r>
      <w:proofErr w:type="gramEnd"/>
      <w:r>
        <w:rPr>
          <w:rFonts w:hint="eastAsia"/>
        </w:rPr>
        <w:t>性、项目合同管理的有效性以及通过项目的实施为甘肃省高级人民法院带来的产出与效益。</w:t>
      </w:r>
      <w:bookmarkStart w:id="75" w:name="_Toc2071"/>
    </w:p>
    <w:p w:rsidR="00B868FF" w:rsidRDefault="00000000">
      <w:pPr>
        <w:pStyle w:val="a6"/>
        <w:overflowPunct w:val="0"/>
        <w:spacing w:line="560" w:lineRule="exact"/>
        <w:ind w:firstLineChars="200" w:firstLine="643"/>
        <w:outlineLvl w:val="1"/>
        <w:rPr>
          <w:rFonts w:ascii="楷体" w:eastAsia="楷体" w:hAnsi="楷体" w:cs="楷体" w:hint="eastAsia"/>
          <w:b/>
          <w:bCs/>
        </w:rPr>
      </w:pPr>
      <w:bookmarkStart w:id="76" w:name="_Toc174375016"/>
      <w:r>
        <w:rPr>
          <w:rFonts w:ascii="楷体" w:eastAsia="楷体" w:hAnsi="楷体" w:cs="楷体" w:hint="eastAsia"/>
          <w:b/>
          <w:bCs/>
        </w:rPr>
        <w:t>（二）评价对象与范围</w:t>
      </w:r>
      <w:bookmarkEnd w:id="75"/>
      <w:bookmarkEnd w:id="76"/>
    </w:p>
    <w:p w:rsidR="00B868FF" w:rsidRDefault="00000000">
      <w:pPr>
        <w:pStyle w:val="af4"/>
        <w:ind w:firstLine="640"/>
        <w:rPr>
          <w:rFonts w:hint="eastAsia"/>
        </w:rPr>
      </w:pPr>
      <w:r>
        <w:rPr>
          <w:rFonts w:hint="eastAsia"/>
        </w:rPr>
        <w:t>本次评价对象为甘肃省高级人民法院2023年绩效评价重点项目</w:t>
      </w:r>
      <w:r w:rsidR="00F35254">
        <w:rPr>
          <w:rFonts w:hint="eastAsia"/>
        </w:rPr>
        <w:t>—</w:t>
      </w:r>
      <w:r>
        <w:rPr>
          <w:rFonts w:hint="eastAsia"/>
        </w:rPr>
        <w:t>文化建设宣传经费。</w:t>
      </w:r>
    </w:p>
    <w:p w:rsidR="00B868FF" w:rsidRDefault="00000000">
      <w:pPr>
        <w:pStyle w:val="af4"/>
        <w:ind w:firstLine="640"/>
        <w:rPr>
          <w:rFonts w:hint="eastAsia"/>
        </w:rPr>
      </w:pPr>
      <w:r>
        <w:rPr>
          <w:rFonts w:hint="eastAsia"/>
        </w:rPr>
        <w:t>评价范围为文化建设宣传经费项目预算资金220.93万元的资金使用和项目实施效益情况，评价基准日为2023年12月31日。</w:t>
      </w:r>
    </w:p>
    <w:p w:rsidR="00B868FF" w:rsidRDefault="00000000">
      <w:pPr>
        <w:pStyle w:val="a6"/>
        <w:overflowPunct w:val="0"/>
        <w:spacing w:line="560" w:lineRule="exact"/>
        <w:ind w:firstLineChars="200" w:firstLine="643"/>
        <w:outlineLvl w:val="1"/>
        <w:rPr>
          <w:rFonts w:ascii="楷体" w:eastAsia="楷体" w:hAnsi="楷体" w:cs="楷体" w:hint="eastAsia"/>
          <w:b/>
          <w:bCs/>
        </w:rPr>
      </w:pPr>
      <w:bookmarkStart w:id="77" w:name="_Toc17041"/>
      <w:bookmarkStart w:id="78" w:name="_Toc174375017"/>
      <w:r>
        <w:rPr>
          <w:rFonts w:ascii="楷体" w:eastAsia="楷体" w:hAnsi="楷体" w:cs="楷体" w:hint="eastAsia"/>
          <w:b/>
          <w:bCs/>
        </w:rPr>
        <w:t>（三）评价依据</w:t>
      </w:r>
      <w:bookmarkEnd w:id="77"/>
      <w:bookmarkEnd w:id="78"/>
    </w:p>
    <w:p w:rsidR="00B868FF" w:rsidRDefault="00000000">
      <w:pPr>
        <w:pStyle w:val="af4"/>
        <w:ind w:firstLine="640"/>
        <w:rPr>
          <w:rFonts w:hint="eastAsia"/>
        </w:rPr>
      </w:pPr>
      <w:bookmarkStart w:id="79" w:name="_Toc17840"/>
      <w:r>
        <w:rPr>
          <w:rFonts w:hint="eastAsia"/>
        </w:rPr>
        <w:t>1.《中华人民共和国预算法》；</w:t>
      </w:r>
    </w:p>
    <w:p w:rsidR="00B868FF" w:rsidRDefault="00000000">
      <w:pPr>
        <w:pStyle w:val="af4"/>
        <w:ind w:firstLine="640"/>
        <w:rPr>
          <w:rFonts w:hint="eastAsia"/>
        </w:rPr>
      </w:pPr>
      <w:r>
        <w:rPr>
          <w:rFonts w:hint="eastAsia"/>
        </w:rPr>
        <w:t>2.《中华人民共和国预算法实施条例》；</w:t>
      </w:r>
    </w:p>
    <w:p w:rsidR="00B868FF" w:rsidRDefault="00000000">
      <w:pPr>
        <w:pStyle w:val="af4"/>
        <w:ind w:firstLine="640"/>
        <w:rPr>
          <w:rFonts w:hint="eastAsia"/>
        </w:rPr>
      </w:pPr>
      <w:r>
        <w:rPr>
          <w:rFonts w:hint="eastAsia"/>
        </w:rPr>
        <w:t>3.《中共中央 国务院关于全面实施预算绩效管理的意见》（中发〔2018〕34号）；</w:t>
      </w:r>
    </w:p>
    <w:p w:rsidR="00B868FF" w:rsidRDefault="00000000">
      <w:pPr>
        <w:pStyle w:val="af4"/>
        <w:ind w:firstLine="640"/>
        <w:rPr>
          <w:rFonts w:hint="eastAsia"/>
        </w:rPr>
      </w:pPr>
      <w:r>
        <w:rPr>
          <w:rFonts w:hint="eastAsia"/>
        </w:rPr>
        <w:t>4.《财政部关于印发〈项目支出绩效评价管理办法〉的通知》（财预〔2021〕10号）；</w:t>
      </w:r>
    </w:p>
    <w:p w:rsidR="00B868FF" w:rsidRDefault="00000000">
      <w:pPr>
        <w:pStyle w:val="af4"/>
        <w:ind w:firstLine="640"/>
        <w:rPr>
          <w:rFonts w:hint="eastAsia"/>
        </w:rPr>
      </w:pPr>
      <w:r>
        <w:rPr>
          <w:rFonts w:hint="eastAsia"/>
        </w:rPr>
        <w:t>5.《财政部关于委托第三方机构参与预算绩效管理的指导意见》（财预〔2021〕6号）；</w:t>
      </w:r>
    </w:p>
    <w:p w:rsidR="00B868FF" w:rsidRDefault="00000000">
      <w:pPr>
        <w:pStyle w:val="af4"/>
        <w:ind w:firstLine="640"/>
        <w:rPr>
          <w:rFonts w:hint="eastAsia"/>
        </w:rPr>
      </w:pPr>
      <w:r>
        <w:rPr>
          <w:rFonts w:hint="eastAsia"/>
        </w:rPr>
        <w:t>6.《财政部关于印发第三方机构预算绩效评价业务监督管理暂行办法的通知》（</w:t>
      </w:r>
      <w:proofErr w:type="gramStart"/>
      <w:r>
        <w:rPr>
          <w:rFonts w:hint="eastAsia"/>
        </w:rPr>
        <w:t>财监〔2021〕</w:t>
      </w:r>
      <w:proofErr w:type="gramEnd"/>
      <w:r>
        <w:rPr>
          <w:rFonts w:hint="eastAsia"/>
        </w:rPr>
        <w:t>4号）；</w:t>
      </w:r>
    </w:p>
    <w:p w:rsidR="00B868FF" w:rsidRDefault="00000000">
      <w:pPr>
        <w:pStyle w:val="af4"/>
        <w:ind w:firstLine="640"/>
        <w:rPr>
          <w:rFonts w:hint="eastAsia"/>
        </w:rPr>
      </w:pPr>
      <w:r>
        <w:rPr>
          <w:rFonts w:hint="eastAsia"/>
        </w:rPr>
        <w:t>7.《中共甘肃省委 甘肃省人民政府关于全面实施预算绩效管理的实施意见》（</w:t>
      </w:r>
      <w:proofErr w:type="gramStart"/>
      <w:r>
        <w:rPr>
          <w:rFonts w:hint="eastAsia"/>
        </w:rPr>
        <w:t>甘发〔2018〕</w:t>
      </w:r>
      <w:proofErr w:type="gramEnd"/>
      <w:r>
        <w:rPr>
          <w:rFonts w:hint="eastAsia"/>
        </w:rPr>
        <w:t>32号）；</w:t>
      </w:r>
    </w:p>
    <w:p w:rsidR="00B868FF" w:rsidRDefault="00000000">
      <w:pPr>
        <w:pStyle w:val="af4"/>
        <w:ind w:firstLine="640"/>
        <w:rPr>
          <w:rFonts w:hint="eastAsia"/>
        </w:rPr>
      </w:pPr>
      <w:r>
        <w:rPr>
          <w:rFonts w:hint="eastAsia"/>
        </w:rPr>
        <w:t>8.《甘肃省财政厅关于印发甘肃省省级预算绩效管理办</w:t>
      </w:r>
      <w:r>
        <w:rPr>
          <w:rFonts w:hint="eastAsia"/>
        </w:rPr>
        <w:lastRenderedPageBreak/>
        <w:t>法等6个办法和规程的通知》（</w:t>
      </w:r>
      <w:proofErr w:type="gramStart"/>
      <w:r>
        <w:rPr>
          <w:rFonts w:hint="eastAsia"/>
        </w:rPr>
        <w:t>甘财绩</w:t>
      </w:r>
      <w:proofErr w:type="gramEnd"/>
      <w:r>
        <w:rPr>
          <w:rFonts w:hint="eastAsia"/>
        </w:rPr>
        <w:t>〔2020〕5号）；</w:t>
      </w:r>
    </w:p>
    <w:p w:rsidR="00B868FF" w:rsidRDefault="00000000">
      <w:pPr>
        <w:pStyle w:val="af4"/>
        <w:ind w:firstLine="640"/>
        <w:rPr>
          <w:rFonts w:hint="eastAsia"/>
        </w:rPr>
      </w:pPr>
      <w:r>
        <w:rPr>
          <w:rFonts w:hint="eastAsia"/>
        </w:rPr>
        <w:t>9.《甘肃省省级项目支出绩效部门评价和财政评价工作规程》（</w:t>
      </w:r>
      <w:proofErr w:type="gramStart"/>
      <w:r>
        <w:rPr>
          <w:rFonts w:hint="eastAsia"/>
        </w:rPr>
        <w:t>甘财绩</w:t>
      </w:r>
      <w:proofErr w:type="gramEnd"/>
      <w:r>
        <w:rPr>
          <w:rFonts w:hint="eastAsia"/>
        </w:rPr>
        <w:t>〔2021〕5号）；</w:t>
      </w:r>
    </w:p>
    <w:p w:rsidR="00B868FF" w:rsidRDefault="00000000">
      <w:pPr>
        <w:pStyle w:val="af4"/>
        <w:ind w:firstLine="640"/>
        <w:rPr>
          <w:rFonts w:hint="eastAsia"/>
        </w:rPr>
      </w:pPr>
      <w:r>
        <w:rPr>
          <w:rFonts w:hint="eastAsia"/>
        </w:rPr>
        <w:t>10.甘肃省高级人民法院职责相关规定；</w:t>
      </w:r>
    </w:p>
    <w:p w:rsidR="00B868FF" w:rsidRDefault="00000000">
      <w:pPr>
        <w:pStyle w:val="af4"/>
        <w:ind w:firstLine="640"/>
        <w:rPr>
          <w:rFonts w:hint="eastAsia"/>
        </w:rPr>
      </w:pPr>
      <w:r>
        <w:rPr>
          <w:rFonts w:hint="eastAsia"/>
        </w:rPr>
        <w:t>11.行业相关政策、行业标准及专业技术规范；</w:t>
      </w:r>
    </w:p>
    <w:p w:rsidR="00B868FF" w:rsidRDefault="00000000">
      <w:pPr>
        <w:pStyle w:val="af4"/>
        <w:ind w:firstLine="640"/>
        <w:rPr>
          <w:rFonts w:hint="eastAsia"/>
        </w:rPr>
      </w:pPr>
      <w:r>
        <w:rPr>
          <w:rFonts w:hint="eastAsia"/>
        </w:rPr>
        <w:t>12.被评价单位提供的立项背景、实施方案、预算批复相关文件、绩效目标、</w:t>
      </w:r>
      <w:proofErr w:type="gramStart"/>
      <w:r>
        <w:rPr>
          <w:rFonts w:hint="eastAsia"/>
        </w:rPr>
        <w:t>自评价</w:t>
      </w:r>
      <w:proofErr w:type="gramEnd"/>
      <w:r>
        <w:rPr>
          <w:rFonts w:hint="eastAsia"/>
        </w:rPr>
        <w:t>相关资料、财政资金拨付凭证、项目全过程资料和项目实施效果等资料；</w:t>
      </w:r>
    </w:p>
    <w:p w:rsidR="00B868FF" w:rsidRDefault="00000000">
      <w:pPr>
        <w:pStyle w:val="af4"/>
        <w:ind w:firstLine="640"/>
        <w:rPr>
          <w:rFonts w:hint="eastAsia"/>
        </w:rPr>
      </w:pPr>
      <w:r>
        <w:rPr>
          <w:rFonts w:hint="eastAsia"/>
        </w:rPr>
        <w:t>13.</w:t>
      </w:r>
      <w:proofErr w:type="gramStart"/>
      <w:r>
        <w:rPr>
          <w:rFonts w:hint="eastAsia"/>
        </w:rPr>
        <w:t>评价组</w:t>
      </w:r>
      <w:proofErr w:type="gramEnd"/>
      <w:r>
        <w:rPr>
          <w:rFonts w:hint="eastAsia"/>
        </w:rPr>
        <w:t>收集、调研、访谈、问卷调查获取的其他相关资料。</w:t>
      </w:r>
    </w:p>
    <w:p w:rsidR="00B868FF" w:rsidRDefault="00000000">
      <w:pPr>
        <w:pStyle w:val="a6"/>
        <w:overflowPunct w:val="0"/>
        <w:spacing w:line="560" w:lineRule="exact"/>
        <w:ind w:firstLineChars="200" w:firstLine="643"/>
        <w:outlineLvl w:val="1"/>
        <w:rPr>
          <w:rFonts w:ascii="楷体" w:eastAsia="楷体" w:hAnsi="楷体" w:cs="楷体" w:hint="eastAsia"/>
          <w:b/>
          <w:bCs/>
        </w:rPr>
      </w:pPr>
      <w:bookmarkStart w:id="80" w:name="_Toc174375018"/>
      <w:r>
        <w:rPr>
          <w:rFonts w:ascii="楷体" w:eastAsia="楷体" w:hAnsi="楷体" w:cs="楷体" w:hint="eastAsia"/>
          <w:b/>
          <w:bCs/>
        </w:rPr>
        <w:t>（四）评价原则、评价方法</w:t>
      </w:r>
      <w:bookmarkEnd w:id="79"/>
      <w:bookmarkEnd w:id="80"/>
    </w:p>
    <w:p w:rsidR="00B868FF" w:rsidRDefault="00000000">
      <w:pPr>
        <w:overflowPunct w:val="0"/>
        <w:spacing w:line="560" w:lineRule="exact"/>
        <w:ind w:firstLineChars="200" w:firstLine="643"/>
        <w:outlineLvl w:val="2"/>
        <w:rPr>
          <w:rFonts w:ascii="仿宋_GB2312" w:eastAsia="仿宋_GB2312" w:hAnsi="仿宋_GB2312" w:cs="仿宋_GB2312" w:hint="eastAsia"/>
          <w:b/>
          <w:sz w:val="32"/>
          <w:szCs w:val="32"/>
        </w:rPr>
      </w:pPr>
      <w:bookmarkStart w:id="81" w:name="_Toc28403"/>
      <w:bookmarkStart w:id="82" w:name="_Toc25746"/>
      <w:bookmarkStart w:id="83" w:name="_Toc3229"/>
      <w:bookmarkStart w:id="84" w:name="_Toc5841"/>
      <w:bookmarkStart w:id="85" w:name="_Toc32314"/>
      <w:bookmarkStart w:id="86" w:name="_Toc7306"/>
      <w:bookmarkStart w:id="87" w:name="_Toc32216"/>
      <w:bookmarkStart w:id="88" w:name="_Toc2871"/>
      <w:bookmarkStart w:id="89" w:name="_Toc15543"/>
      <w:bookmarkStart w:id="90" w:name="_Toc17493"/>
      <w:r>
        <w:rPr>
          <w:rStyle w:val="23"/>
          <w:rFonts w:ascii="仿宋_GB2312" w:eastAsia="仿宋_GB2312" w:hAnsi="仿宋_GB2312" w:cs="仿宋_GB2312" w:hint="eastAsia"/>
          <w:szCs w:val="32"/>
        </w:rPr>
        <w:t>1.评价原则</w:t>
      </w:r>
      <w:bookmarkEnd w:id="81"/>
      <w:bookmarkEnd w:id="82"/>
      <w:bookmarkEnd w:id="83"/>
      <w:bookmarkEnd w:id="84"/>
      <w:bookmarkEnd w:id="85"/>
      <w:bookmarkEnd w:id="86"/>
      <w:bookmarkEnd w:id="87"/>
      <w:bookmarkEnd w:id="88"/>
      <w:bookmarkEnd w:id="89"/>
      <w:bookmarkEnd w:id="90"/>
    </w:p>
    <w:p w:rsidR="00B868FF" w:rsidRDefault="00000000">
      <w:pPr>
        <w:pStyle w:val="af4"/>
        <w:ind w:firstLine="640"/>
        <w:rPr>
          <w:rFonts w:hint="eastAsia"/>
        </w:rPr>
      </w:pPr>
      <w:r>
        <w:rPr>
          <w:rFonts w:hint="eastAsia"/>
        </w:rPr>
        <w:t>（1）科学规范。严格执行规定的流程步骤，做到指标合理、标准科学、方法适当、结果可信，严格执行规定程序和工作流程，科学设定评价标准和指标体系，坚持定量与定性分析相结合，客观准确地反映财政资金绩效情况，提高全过程预算绩效管理质量。</w:t>
      </w:r>
    </w:p>
    <w:p w:rsidR="00B868FF" w:rsidRDefault="00000000">
      <w:pPr>
        <w:pStyle w:val="af4"/>
        <w:ind w:firstLine="640"/>
        <w:rPr>
          <w:rFonts w:hint="eastAsia"/>
        </w:rPr>
      </w:pPr>
      <w:r>
        <w:rPr>
          <w:rFonts w:hint="eastAsia"/>
        </w:rPr>
        <w:t>（2）绩效相关。评价结果应当清晰反映绩效目标的</w:t>
      </w:r>
      <w:r w:rsidR="00544F03" w:rsidRPr="00544F03">
        <w:rPr>
          <w:rFonts w:hint="eastAsia"/>
        </w:rPr>
        <w:t>完成</w:t>
      </w:r>
      <w:r>
        <w:rPr>
          <w:rFonts w:hint="eastAsia"/>
        </w:rPr>
        <w:t>情况以及预算支出和绩效之间的对应关系。以绩效为核心导向，将事前绩效评估、绩效目标管理、绩效运行监控、绩效评价、评价结果反馈及应用深度融入预算管理的全过程，实现财政资金使用效益最大化。</w:t>
      </w:r>
    </w:p>
    <w:p w:rsidR="00B868FF" w:rsidRDefault="00000000">
      <w:pPr>
        <w:pStyle w:val="af4"/>
        <w:ind w:firstLine="640"/>
        <w:rPr>
          <w:rFonts w:hint="eastAsia"/>
        </w:rPr>
      </w:pPr>
      <w:r>
        <w:rPr>
          <w:rFonts w:hint="eastAsia"/>
        </w:rPr>
        <w:t>（3）公开透明。评价结果应当符合真实、客观、公正的要求，依法依规公开并接受监督。预算绩效管理主体应按照政</w:t>
      </w:r>
      <w:r>
        <w:rPr>
          <w:rFonts w:hint="eastAsia"/>
        </w:rPr>
        <w:lastRenderedPageBreak/>
        <w:t>府信息公开有关规定，主动向同级人大报告、向社会公开相关绩效信息和评价结果，自觉接受各方监督，不断提高财政资金使用的透明度。</w:t>
      </w:r>
    </w:p>
    <w:p w:rsidR="00B868FF" w:rsidRDefault="00000000">
      <w:pPr>
        <w:pStyle w:val="af4"/>
        <w:ind w:firstLine="640"/>
        <w:rPr>
          <w:rFonts w:hint="eastAsia"/>
        </w:rPr>
      </w:pPr>
      <w:r>
        <w:rPr>
          <w:rFonts w:hint="eastAsia"/>
        </w:rPr>
        <w:t>（4）激励约束。评价结果与项目的设立、保留、整合、调整和退出相挂钩，作为完善政策、改进管理、安排预算的重要依据。建立健全预算绩效管理激励约束机制，体现奖优罚劣和激励相容导向，切实做到花钱必问效、无效必问责。</w:t>
      </w:r>
    </w:p>
    <w:p w:rsidR="00B868FF" w:rsidRDefault="00000000">
      <w:pPr>
        <w:overflowPunct w:val="0"/>
        <w:spacing w:line="560" w:lineRule="exact"/>
        <w:ind w:firstLineChars="200" w:firstLine="643"/>
        <w:outlineLvl w:val="2"/>
        <w:rPr>
          <w:rStyle w:val="23"/>
          <w:rFonts w:ascii="仿宋_GB2312" w:eastAsia="仿宋_GB2312" w:hAnsi="仿宋_GB2312" w:cs="仿宋_GB2312" w:hint="eastAsia"/>
          <w:szCs w:val="32"/>
        </w:rPr>
      </w:pPr>
      <w:bookmarkStart w:id="91" w:name="_Toc15034"/>
      <w:bookmarkStart w:id="92" w:name="_Toc1742"/>
      <w:bookmarkStart w:id="93" w:name="_Toc24950"/>
      <w:bookmarkStart w:id="94" w:name="_Toc15129"/>
      <w:bookmarkStart w:id="95" w:name="_Toc15552"/>
      <w:bookmarkStart w:id="96" w:name="_Toc11918"/>
      <w:bookmarkStart w:id="97" w:name="_Toc7156"/>
      <w:bookmarkStart w:id="98" w:name="_Toc12173"/>
      <w:bookmarkStart w:id="99" w:name="_Toc1839"/>
      <w:r>
        <w:rPr>
          <w:rStyle w:val="23"/>
          <w:rFonts w:ascii="仿宋_GB2312" w:eastAsia="仿宋_GB2312" w:hAnsi="仿宋_GB2312" w:cs="仿宋_GB2312" w:hint="eastAsia"/>
          <w:szCs w:val="32"/>
        </w:rPr>
        <w:t>2.评价方法</w:t>
      </w:r>
      <w:bookmarkEnd w:id="91"/>
    </w:p>
    <w:bookmarkEnd w:id="92"/>
    <w:bookmarkEnd w:id="93"/>
    <w:bookmarkEnd w:id="94"/>
    <w:bookmarkEnd w:id="95"/>
    <w:bookmarkEnd w:id="96"/>
    <w:bookmarkEnd w:id="97"/>
    <w:bookmarkEnd w:id="98"/>
    <w:bookmarkEnd w:id="99"/>
    <w:p w:rsidR="00B868FF" w:rsidRDefault="00000000">
      <w:pPr>
        <w:pStyle w:val="af4"/>
        <w:ind w:firstLine="640"/>
        <w:rPr>
          <w:rFonts w:hint="eastAsia"/>
        </w:rPr>
      </w:pPr>
      <w:r>
        <w:rPr>
          <w:rFonts w:hint="eastAsia"/>
        </w:rPr>
        <w:t>本次绩效评价按照规范、科学、合理的要求，采用定量和定性分析相结合，第三方评价机构现场核实、资料评审相结合，综合运用比较法、因素分析法和公众评判法等方法进行评价，对项目预算执行情况的经济性、效率性、效益性进行客观公正的分析评价，确保评价结论公正客观，评价意见有效可用。</w:t>
      </w:r>
    </w:p>
    <w:p w:rsidR="00B868FF" w:rsidRDefault="00000000">
      <w:pPr>
        <w:pStyle w:val="af4"/>
        <w:ind w:firstLine="640"/>
        <w:rPr>
          <w:rFonts w:hint="eastAsia"/>
        </w:rPr>
      </w:pPr>
      <w:r>
        <w:rPr>
          <w:rFonts w:hint="eastAsia"/>
        </w:rPr>
        <w:t>（1）比较法。是指通过对绩效目标与实际实施效果的对比，综合分析绩效目标实现程度。</w:t>
      </w:r>
    </w:p>
    <w:p w:rsidR="00B868FF" w:rsidRDefault="00000000">
      <w:pPr>
        <w:pStyle w:val="af4"/>
        <w:ind w:firstLine="640"/>
        <w:rPr>
          <w:rFonts w:hint="eastAsia"/>
        </w:rPr>
      </w:pPr>
      <w:r>
        <w:rPr>
          <w:rFonts w:hint="eastAsia"/>
        </w:rPr>
        <w:t>（2）因素分析法。将影响投入和产出</w:t>
      </w:r>
      <w:r w:rsidR="00544F03">
        <w:rPr>
          <w:rFonts w:hint="eastAsia"/>
        </w:rPr>
        <w:t>的</w:t>
      </w:r>
      <w:r>
        <w:rPr>
          <w:rFonts w:hint="eastAsia"/>
        </w:rPr>
        <w:t>各项因素罗列出来进行分析，通过不同因素的权重评比，进行综合评分，最终确定项目的效率性和效益性。</w:t>
      </w:r>
    </w:p>
    <w:p w:rsidR="00B868FF" w:rsidRDefault="00000000">
      <w:pPr>
        <w:pStyle w:val="af4"/>
        <w:ind w:firstLine="640"/>
        <w:rPr>
          <w:rFonts w:hint="eastAsia"/>
        </w:rPr>
      </w:pPr>
      <w:r>
        <w:rPr>
          <w:rFonts w:hint="eastAsia"/>
        </w:rPr>
        <w:t>（3）</w:t>
      </w:r>
      <w:r>
        <w:rPr>
          <w:rFonts w:hint="eastAsia"/>
          <w:kern w:val="0"/>
          <w:lang w:bidi="ar"/>
        </w:rPr>
        <w:t>公众评判</w:t>
      </w:r>
      <w:r>
        <w:rPr>
          <w:rFonts w:hint="eastAsia"/>
        </w:rPr>
        <w:t>法。是指通过专家评估、公众问卷对财政支出效果进行评判，评价绩效目标实现程度。</w:t>
      </w:r>
    </w:p>
    <w:p w:rsidR="00B868FF" w:rsidRDefault="00000000">
      <w:pPr>
        <w:pStyle w:val="af4"/>
        <w:ind w:firstLine="640"/>
        <w:rPr>
          <w:rFonts w:hint="eastAsia"/>
          <w:kern w:val="0"/>
          <w:lang w:bidi="ar"/>
        </w:rPr>
      </w:pPr>
      <w:r>
        <w:rPr>
          <w:rFonts w:hint="eastAsia"/>
          <w:kern w:val="0"/>
          <w:lang w:bidi="ar"/>
        </w:rPr>
        <w:t>（4）成本效益分析法。是将投入与产出、效益进行关联性分析的方法。</w:t>
      </w:r>
    </w:p>
    <w:p w:rsidR="00B868FF" w:rsidRDefault="00000000">
      <w:pPr>
        <w:pStyle w:val="af4"/>
        <w:ind w:firstLine="640"/>
        <w:rPr>
          <w:rFonts w:hint="eastAsia"/>
          <w:kern w:val="0"/>
          <w:lang w:bidi="ar"/>
        </w:rPr>
      </w:pPr>
      <w:r>
        <w:rPr>
          <w:rFonts w:hint="eastAsia"/>
          <w:kern w:val="0"/>
          <w:lang w:bidi="ar"/>
        </w:rPr>
        <w:t>（5）访谈法。评价小组现场访谈相关专业人员，根据被</w:t>
      </w:r>
      <w:r>
        <w:rPr>
          <w:rFonts w:hint="eastAsia"/>
          <w:kern w:val="0"/>
          <w:lang w:bidi="ar"/>
        </w:rPr>
        <w:lastRenderedPageBreak/>
        <w:t>询问者的答复收集客观的、不带偏见的事实材料。</w:t>
      </w:r>
    </w:p>
    <w:p w:rsidR="00B868FF" w:rsidRDefault="00000000">
      <w:pPr>
        <w:pStyle w:val="a6"/>
        <w:overflowPunct w:val="0"/>
        <w:spacing w:line="560" w:lineRule="exact"/>
        <w:ind w:firstLineChars="200" w:firstLine="643"/>
        <w:outlineLvl w:val="1"/>
        <w:rPr>
          <w:rFonts w:ascii="楷体" w:eastAsia="楷体" w:hAnsi="楷体" w:cs="楷体" w:hint="eastAsia"/>
          <w:b/>
          <w:bCs/>
        </w:rPr>
      </w:pPr>
      <w:bookmarkStart w:id="100" w:name="_Toc4958"/>
      <w:bookmarkStart w:id="101" w:name="_Toc174375019"/>
      <w:r>
        <w:rPr>
          <w:rFonts w:ascii="楷体" w:eastAsia="楷体" w:hAnsi="楷体" w:cs="楷体" w:hint="eastAsia"/>
          <w:b/>
          <w:bCs/>
        </w:rPr>
        <w:t>（五）绩效评价指标体系</w:t>
      </w:r>
      <w:bookmarkEnd w:id="100"/>
      <w:bookmarkEnd w:id="101"/>
    </w:p>
    <w:p w:rsidR="00B868FF" w:rsidRDefault="00000000">
      <w:pPr>
        <w:pStyle w:val="a6"/>
        <w:tabs>
          <w:tab w:val="left" w:pos="510"/>
          <w:tab w:val="left" w:pos="675"/>
        </w:tabs>
        <w:overflowPunct w:val="0"/>
        <w:spacing w:line="560" w:lineRule="exact"/>
        <w:ind w:firstLineChars="200" w:firstLine="643"/>
        <w:rPr>
          <w:rFonts w:ascii="仿宋_GB2312" w:hAnsi="仿宋_GB2312" w:cs="仿宋_GB2312" w:hint="eastAsia"/>
          <w:b/>
          <w:bCs/>
          <w:szCs w:val="28"/>
        </w:rPr>
      </w:pPr>
      <w:r>
        <w:rPr>
          <w:rFonts w:ascii="仿宋_GB2312" w:hAnsi="仿宋_GB2312" w:cs="仿宋_GB2312" w:hint="eastAsia"/>
          <w:b/>
          <w:bCs/>
          <w:szCs w:val="28"/>
        </w:rPr>
        <w:t>1.指标体系设计的总体思路</w:t>
      </w:r>
    </w:p>
    <w:p w:rsidR="00B868FF" w:rsidRDefault="00000000">
      <w:pPr>
        <w:pStyle w:val="af4"/>
        <w:ind w:firstLine="640"/>
        <w:rPr>
          <w:rFonts w:hint="eastAsia"/>
          <w:lang w:bidi="ar"/>
        </w:rPr>
      </w:pPr>
      <w:r>
        <w:rPr>
          <w:rFonts w:hint="eastAsia"/>
          <w:lang w:bidi="ar"/>
        </w:rPr>
        <w:t>根据</w:t>
      </w:r>
      <w:r>
        <w:rPr>
          <w:rFonts w:hint="eastAsia"/>
        </w:rPr>
        <w:t>《甘肃省省级项目支出绩效部门评价和财政评价工作规程》</w:t>
      </w:r>
      <w:r>
        <w:rPr>
          <w:rFonts w:hint="eastAsia"/>
          <w:lang w:bidi="ar"/>
        </w:rPr>
        <w:t>要求，从</w:t>
      </w:r>
      <w:r w:rsidR="007B69F5">
        <w:rPr>
          <w:rFonts w:hint="eastAsia"/>
          <w:lang w:bidi="ar"/>
        </w:rPr>
        <w:t>文化建设宣传经费</w:t>
      </w:r>
      <w:r>
        <w:rPr>
          <w:rFonts w:hint="eastAsia"/>
          <w:lang w:bidi="ar"/>
        </w:rPr>
        <w:t>项目预算、立项、批复、实施、资金申请、拨付以及使用是否遵守规定、是否真实、是否及时，以结果为导向，根据指标类型设定定性与定量标准，决策、过程、</w:t>
      </w:r>
      <w:r>
        <w:rPr>
          <w:rFonts w:hint="eastAsia"/>
        </w:rPr>
        <w:t>成本、</w:t>
      </w:r>
      <w:r>
        <w:rPr>
          <w:rFonts w:hint="eastAsia"/>
          <w:lang w:bidi="ar"/>
        </w:rPr>
        <w:t>产出、效益分配比例为15:21:10:24:30。本次评价侧重项目产出与效益方面，产出和效益指标权重</w:t>
      </w:r>
      <w:r w:rsidR="00544F03">
        <w:rPr>
          <w:rFonts w:hint="eastAsia"/>
          <w:lang w:bidi="ar"/>
        </w:rPr>
        <w:t>占比</w:t>
      </w:r>
      <w:r>
        <w:rPr>
          <w:rFonts w:hint="eastAsia"/>
          <w:lang w:bidi="ar"/>
        </w:rPr>
        <w:t>54%。</w:t>
      </w:r>
    </w:p>
    <w:p w:rsidR="00B868FF" w:rsidRDefault="00000000">
      <w:pPr>
        <w:pStyle w:val="a6"/>
        <w:tabs>
          <w:tab w:val="left" w:pos="510"/>
          <w:tab w:val="left" w:pos="675"/>
        </w:tabs>
        <w:overflowPunct w:val="0"/>
        <w:spacing w:line="560" w:lineRule="exact"/>
        <w:ind w:firstLineChars="200" w:firstLine="643"/>
        <w:rPr>
          <w:rFonts w:ascii="仿宋_GB2312" w:hAnsi="仿宋_GB2312" w:cs="仿宋_GB2312" w:hint="eastAsia"/>
          <w:b/>
          <w:bCs/>
          <w:szCs w:val="28"/>
        </w:rPr>
      </w:pPr>
      <w:r>
        <w:rPr>
          <w:rFonts w:ascii="仿宋_GB2312" w:hAnsi="仿宋_GB2312" w:cs="仿宋_GB2312" w:hint="eastAsia"/>
          <w:b/>
          <w:bCs/>
          <w:szCs w:val="28"/>
        </w:rPr>
        <w:t>2.绩效评价指标体系</w:t>
      </w:r>
    </w:p>
    <w:p w:rsidR="00B868FF" w:rsidRDefault="00000000">
      <w:pPr>
        <w:pStyle w:val="af4"/>
        <w:ind w:firstLine="640"/>
        <w:rPr>
          <w:rFonts w:hint="eastAsia"/>
        </w:rPr>
      </w:pPr>
      <w:r>
        <w:rPr>
          <w:rFonts w:hint="eastAsia"/>
        </w:rPr>
        <w:t>项目评价指标划分为三级，综合评价一级指标包括项目决策指标、过程指标、成本指标、产出指标、效益指标。二、三级评价指标根据项目实际情况制定了可量化、可操作的细化绩效目标，指标分值根据项目指标重要程度、项目实施阶段等因素综合确定（项目评价指标体系详见附表1）。</w:t>
      </w:r>
    </w:p>
    <w:p w:rsidR="00B868FF" w:rsidRDefault="00000000">
      <w:pPr>
        <w:pStyle w:val="af4"/>
        <w:ind w:firstLine="640"/>
        <w:rPr>
          <w:rFonts w:hint="eastAsia"/>
        </w:rPr>
      </w:pPr>
      <w:r>
        <w:rPr>
          <w:rFonts w:hint="eastAsia"/>
        </w:rPr>
        <w:t>（1）项目决策指标为一级指标，权重15分。重点关注项目立项的政策依据是否充分，是否符合国家相关法律法规、部门规章、发展规划及职能；立项流程是否合</w:t>
      </w:r>
      <w:proofErr w:type="gramStart"/>
      <w:r>
        <w:rPr>
          <w:rFonts w:hint="eastAsia"/>
        </w:rPr>
        <w:t>规</w:t>
      </w:r>
      <w:proofErr w:type="gramEnd"/>
      <w:r>
        <w:rPr>
          <w:rFonts w:hint="eastAsia"/>
        </w:rPr>
        <w:t>，项目申请设立过程是否符合相关要求；项目是否设定绩效目标，设定的绩效目标依据是否充分、符合客观实际，是否能做到细化、量化和</w:t>
      </w:r>
      <w:proofErr w:type="gramStart"/>
      <w:r>
        <w:rPr>
          <w:rFonts w:hint="eastAsia"/>
        </w:rPr>
        <w:t>可</w:t>
      </w:r>
      <w:proofErr w:type="gramEnd"/>
      <w:r>
        <w:rPr>
          <w:rFonts w:hint="eastAsia"/>
        </w:rPr>
        <w:t>衡量；项目预算编制是否经过科学论证，预算额度与年度目标是否相适应；资金安排依据是否充分，安排额度是否与项目相适应。</w:t>
      </w:r>
    </w:p>
    <w:p w:rsidR="00B868FF" w:rsidRDefault="00000000">
      <w:pPr>
        <w:pStyle w:val="af4"/>
        <w:ind w:firstLine="640"/>
        <w:rPr>
          <w:rFonts w:hint="eastAsia"/>
        </w:rPr>
      </w:pPr>
      <w:r>
        <w:rPr>
          <w:rFonts w:hint="eastAsia"/>
        </w:rPr>
        <w:lastRenderedPageBreak/>
        <w:t>（2）项目过程指标为一级指标，权重21分。重点关注专项资金是否及时到位，保障项目执行；项目资金是否按照预算执行；资金使用范围和方向是否符合专项资金管理规定；甘肃省高级人民法院专项资金和业务管理制度是否健全，是否符合相关法律法规并得到有效执行；项目是否按照规定实施；是否遵守相关法律法规和相关管理规定，按时向社会公告项目实施情况。</w:t>
      </w:r>
    </w:p>
    <w:p w:rsidR="00B868FF" w:rsidRDefault="00000000">
      <w:pPr>
        <w:pStyle w:val="af4"/>
        <w:ind w:firstLine="640"/>
        <w:rPr>
          <w:rFonts w:hint="eastAsia"/>
        </w:rPr>
      </w:pPr>
      <w:r>
        <w:rPr>
          <w:rFonts w:hint="eastAsia"/>
        </w:rPr>
        <w:t>（3）项目成本指标为一级指标，权重10分。</w:t>
      </w:r>
      <w:r w:rsidR="009A35EF">
        <w:rPr>
          <w:rFonts w:hint="eastAsia"/>
        </w:rPr>
        <w:t>重点关注</w:t>
      </w:r>
      <w:r>
        <w:rPr>
          <w:rFonts w:hint="eastAsia"/>
        </w:rPr>
        <w:t>项目经济成本，项目实际支出是否超出预算，用以反映和考核项目的成本节约程度。</w:t>
      </w:r>
    </w:p>
    <w:p w:rsidR="00B868FF" w:rsidRDefault="00000000">
      <w:pPr>
        <w:pStyle w:val="af4"/>
        <w:ind w:firstLine="640"/>
        <w:rPr>
          <w:rFonts w:hint="eastAsia"/>
        </w:rPr>
      </w:pPr>
      <w:r>
        <w:rPr>
          <w:rFonts w:hint="eastAsia"/>
        </w:rPr>
        <w:t>（4）项目产出指标为一级指标，权重24分。从数量、质量、时效四个方面分析项目的产出情况，重点关注项目实施的实际产出数与计划产出数的比率。</w:t>
      </w:r>
    </w:p>
    <w:p w:rsidR="00B868FF" w:rsidRDefault="00000000">
      <w:pPr>
        <w:pStyle w:val="af4"/>
        <w:ind w:firstLine="640"/>
        <w:rPr>
          <w:rFonts w:hint="eastAsia"/>
        </w:rPr>
      </w:pPr>
      <w:r>
        <w:rPr>
          <w:rFonts w:hint="eastAsia"/>
        </w:rPr>
        <w:t>（5）项目效益指标为一级指标，权重30分。从社会效益、满意度指标两个方面分析项目实施产生的效益，重点项目的实施产生效益是否达到预期。</w:t>
      </w:r>
    </w:p>
    <w:p w:rsidR="00B868FF" w:rsidRDefault="00000000">
      <w:pPr>
        <w:pStyle w:val="a6"/>
        <w:tabs>
          <w:tab w:val="left" w:pos="510"/>
          <w:tab w:val="left" w:pos="675"/>
        </w:tabs>
        <w:overflowPunct w:val="0"/>
        <w:spacing w:line="560" w:lineRule="exact"/>
        <w:ind w:firstLineChars="200" w:firstLine="643"/>
        <w:rPr>
          <w:rFonts w:ascii="仿宋_GB2312" w:hAnsi="仿宋_GB2312" w:cs="仿宋_GB2312" w:hint="eastAsia"/>
          <w:b/>
          <w:bCs/>
          <w:szCs w:val="28"/>
        </w:rPr>
      </w:pPr>
      <w:r>
        <w:rPr>
          <w:rFonts w:ascii="仿宋_GB2312" w:hAnsi="仿宋_GB2312" w:cs="仿宋_GB2312" w:hint="eastAsia"/>
          <w:b/>
          <w:bCs/>
          <w:szCs w:val="28"/>
        </w:rPr>
        <w:t>3.评价标准</w:t>
      </w:r>
    </w:p>
    <w:p w:rsidR="00B868FF" w:rsidRDefault="00000000">
      <w:pPr>
        <w:pStyle w:val="af4"/>
        <w:ind w:firstLine="640"/>
        <w:rPr>
          <w:rFonts w:hint="eastAsia"/>
        </w:rPr>
      </w:pPr>
      <w:r>
        <w:rPr>
          <w:rFonts w:hint="eastAsia"/>
        </w:rPr>
        <w:t xml:space="preserve">本次绩效评价结果采取评分与评级相结合的形式。 </w:t>
      </w:r>
    </w:p>
    <w:p w:rsidR="00B868FF" w:rsidRDefault="00000000">
      <w:pPr>
        <w:pStyle w:val="af4"/>
        <w:ind w:firstLine="640"/>
        <w:rPr>
          <w:rFonts w:hint="eastAsia"/>
        </w:rPr>
      </w:pPr>
      <w:r>
        <w:rPr>
          <w:rFonts w:hint="eastAsia"/>
        </w:rPr>
        <w:t>（</w:t>
      </w:r>
      <w:r>
        <w:t>1</w:t>
      </w:r>
      <w:r>
        <w:rPr>
          <w:rFonts w:hint="eastAsia"/>
        </w:rPr>
        <w:t>）评价评分。采用定性与定量评价相结合的方法，对定性评价指标采</w:t>
      </w:r>
      <w:r w:rsidR="009A35EF">
        <w:rPr>
          <w:rFonts w:hint="eastAsia"/>
        </w:rPr>
        <w:t>用</w:t>
      </w:r>
      <w:r>
        <w:rPr>
          <w:rFonts w:hint="eastAsia"/>
        </w:rPr>
        <w:t>分析打分，对定量评价指标采用量化打分，评价综合得分采用百分制，满分为</w:t>
      </w:r>
      <w:r>
        <w:t>100</w:t>
      </w:r>
      <w:r>
        <w:rPr>
          <w:rFonts w:hint="eastAsia"/>
        </w:rPr>
        <w:t>分。</w:t>
      </w:r>
    </w:p>
    <w:p w:rsidR="00B868FF" w:rsidRDefault="00000000">
      <w:pPr>
        <w:pStyle w:val="af4"/>
        <w:ind w:firstLine="640"/>
        <w:rPr>
          <w:rFonts w:hint="eastAsia"/>
        </w:rPr>
      </w:pPr>
      <w:r>
        <w:rPr>
          <w:rFonts w:hint="eastAsia"/>
        </w:rPr>
        <w:t>（2）评价等级。依据财政部《关于印发〈项目支出绩效评价管理办法〉的通知》（财预</w:t>
      </w:r>
      <w:r>
        <w:rPr>
          <w:rFonts w:ascii="宋体" w:eastAsia="宋体" w:hAnsi="宋体" w:cs="宋体" w:hint="eastAsia"/>
        </w:rPr>
        <w:t>〔</w:t>
      </w:r>
      <w:r>
        <w:t>2020</w:t>
      </w:r>
      <w:r>
        <w:rPr>
          <w:rFonts w:ascii="宋体" w:eastAsia="宋体" w:hAnsi="宋体" w:cs="宋体" w:hint="eastAsia"/>
        </w:rPr>
        <w:t>〕</w:t>
      </w:r>
      <w:r>
        <w:t>10</w:t>
      </w:r>
      <w:r>
        <w:rPr>
          <w:rFonts w:hint="eastAsia"/>
        </w:rPr>
        <w:t>号），绩效评价结果评分分值与评价等级的对应关系如下：</w:t>
      </w:r>
    </w:p>
    <w:p w:rsidR="00B868FF" w:rsidRDefault="00000000">
      <w:pPr>
        <w:widowControl/>
        <w:jc w:val="center"/>
      </w:pPr>
      <w:r>
        <w:rPr>
          <w:rFonts w:ascii="宋体" w:eastAsia="宋体" w:hAnsi="宋体" w:cs="宋体" w:hint="eastAsia"/>
          <w:color w:val="000000"/>
          <w:kern w:val="0"/>
          <w:sz w:val="28"/>
          <w:szCs w:val="28"/>
          <w:lang w:bidi="ar"/>
        </w:rPr>
        <w:lastRenderedPageBreak/>
        <w:t>绩效评价结果评分分值与评价等级表</w:t>
      </w:r>
    </w:p>
    <w:tbl>
      <w:tblPr>
        <w:tblStyle w:val="af"/>
        <w:tblW w:w="4875" w:type="pct"/>
        <w:tblInd w:w="109" w:type="dxa"/>
        <w:tblLook w:val="04A0" w:firstRow="1" w:lastRow="0" w:firstColumn="1" w:lastColumn="0" w:noHBand="0" w:noVBand="1"/>
      </w:tblPr>
      <w:tblGrid>
        <w:gridCol w:w="1585"/>
        <w:gridCol w:w="1692"/>
        <w:gridCol w:w="1692"/>
        <w:gridCol w:w="1691"/>
        <w:gridCol w:w="1589"/>
      </w:tblGrid>
      <w:tr w:rsidR="00B868FF">
        <w:trPr>
          <w:trHeight w:val="567"/>
        </w:trPr>
        <w:tc>
          <w:tcPr>
            <w:tcW w:w="960" w:type="pct"/>
            <w:vAlign w:val="center"/>
          </w:tcPr>
          <w:p w:rsidR="00B868FF" w:rsidRDefault="00000000">
            <w:pPr>
              <w:pStyle w:val="a6"/>
              <w:tabs>
                <w:tab w:val="left" w:pos="510"/>
                <w:tab w:val="left" w:pos="675"/>
              </w:tabs>
              <w:overflowPunct w:val="0"/>
              <w:jc w:val="center"/>
              <w:rPr>
                <w:rFonts w:ascii="宋体" w:eastAsia="宋体" w:hAnsi="宋体" w:cs="宋体" w:hint="eastAsia"/>
                <w:sz w:val="24"/>
                <w:szCs w:val="24"/>
              </w:rPr>
            </w:pPr>
            <w:r>
              <w:rPr>
                <w:rFonts w:ascii="宋体" w:eastAsia="宋体" w:hAnsi="宋体" w:cs="宋体" w:hint="eastAsia"/>
                <w:sz w:val="24"/>
                <w:szCs w:val="24"/>
              </w:rPr>
              <w:t>评价等级</w:t>
            </w:r>
          </w:p>
        </w:tc>
        <w:tc>
          <w:tcPr>
            <w:tcW w:w="1025" w:type="pct"/>
            <w:vAlign w:val="center"/>
          </w:tcPr>
          <w:p w:rsidR="00B868FF" w:rsidRDefault="00000000">
            <w:pPr>
              <w:pStyle w:val="a6"/>
              <w:tabs>
                <w:tab w:val="left" w:pos="510"/>
                <w:tab w:val="left" w:pos="675"/>
              </w:tabs>
              <w:overflowPunct w:val="0"/>
              <w:jc w:val="center"/>
              <w:rPr>
                <w:rFonts w:ascii="宋体" w:eastAsia="宋体" w:hAnsi="宋体" w:cs="宋体" w:hint="eastAsia"/>
                <w:sz w:val="24"/>
                <w:szCs w:val="24"/>
              </w:rPr>
            </w:pPr>
            <w:r>
              <w:rPr>
                <w:rFonts w:ascii="宋体" w:eastAsia="宋体" w:hAnsi="宋体" w:cs="宋体" w:hint="eastAsia"/>
                <w:sz w:val="24"/>
                <w:szCs w:val="24"/>
              </w:rPr>
              <w:t>优</w:t>
            </w:r>
          </w:p>
        </w:tc>
        <w:tc>
          <w:tcPr>
            <w:tcW w:w="1025" w:type="pct"/>
            <w:vAlign w:val="center"/>
          </w:tcPr>
          <w:p w:rsidR="00B868FF" w:rsidRDefault="00000000">
            <w:pPr>
              <w:pStyle w:val="a6"/>
              <w:tabs>
                <w:tab w:val="left" w:pos="510"/>
                <w:tab w:val="left" w:pos="675"/>
              </w:tabs>
              <w:overflowPunct w:val="0"/>
              <w:jc w:val="center"/>
              <w:rPr>
                <w:rFonts w:ascii="宋体" w:eastAsia="宋体" w:hAnsi="宋体" w:cs="宋体" w:hint="eastAsia"/>
                <w:sz w:val="24"/>
                <w:szCs w:val="24"/>
              </w:rPr>
            </w:pPr>
            <w:r>
              <w:rPr>
                <w:rFonts w:ascii="宋体" w:eastAsia="宋体" w:hAnsi="宋体" w:cs="宋体" w:hint="eastAsia"/>
                <w:sz w:val="24"/>
                <w:szCs w:val="24"/>
              </w:rPr>
              <w:t>良</w:t>
            </w:r>
          </w:p>
        </w:tc>
        <w:tc>
          <w:tcPr>
            <w:tcW w:w="1025" w:type="pct"/>
            <w:vAlign w:val="center"/>
          </w:tcPr>
          <w:p w:rsidR="00B868FF" w:rsidRDefault="00000000">
            <w:pPr>
              <w:pStyle w:val="a6"/>
              <w:tabs>
                <w:tab w:val="left" w:pos="510"/>
                <w:tab w:val="left" w:pos="675"/>
              </w:tabs>
              <w:overflowPunct w:val="0"/>
              <w:jc w:val="center"/>
              <w:rPr>
                <w:rFonts w:ascii="宋体" w:eastAsia="宋体" w:hAnsi="宋体" w:cs="宋体" w:hint="eastAsia"/>
                <w:sz w:val="24"/>
                <w:szCs w:val="24"/>
              </w:rPr>
            </w:pPr>
            <w:r>
              <w:rPr>
                <w:rFonts w:ascii="宋体" w:eastAsia="宋体" w:hAnsi="宋体" w:cs="宋体" w:hint="eastAsia"/>
                <w:sz w:val="24"/>
                <w:szCs w:val="24"/>
              </w:rPr>
              <w:t>中</w:t>
            </w:r>
          </w:p>
        </w:tc>
        <w:tc>
          <w:tcPr>
            <w:tcW w:w="963" w:type="pct"/>
            <w:vAlign w:val="center"/>
          </w:tcPr>
          <w:p w:rsidR="00B868FF" w:rsidRDefault="00000000">
            <w:pPr>
              <w:pStyle w:val="a6"/>
              <w:tabs>
                <w:tab w:val="left" w:pos="510"/>
                <w:tab w:val="left" w:pos="675"/>
              </w:tabs>
              <w:overflowPunct w:val="0"/>
              <w:jc w:val="center"/>
              <w:rPr>
                <w:rFonts w:ascii="宋体" w:eastAsia="宋体" w:hAnsi="宋体" w:cs="宋体" w:hint="eastAsia"/>
                <w:sz w:val="24"/>
                <w:szCs w:val="24"/>
              </w:rPr>
            </w:pPr>
            <w:r>
              <w:rPr>
                <w:rFonts w:ascii="宋体" w:eastAsia="宋体" w:hAnsi="宋体" w:cs="宋体" w:hint="eastAsia"/>
                <w:sz w:val="24"/>
                <w:szCs w:val="24"/>
              </w:rPr>
              <w:t>差</w:t>
            </w:r>
          </w:p>
        </w:tc>
      </w:tr>
      <w:tr w:rsidR="00B868FF">
        <w:trPr>
          <w:trHeight w:val="567"/>
        </w:trPr>
        <w:tc>
          <w:tcPr>
            <w:tcW w:w="960" w:type="pct"/>
            <w:vAlign w:val="center"/>
          </w:tcPr>
          <w:p w:rsidR="00B868FF" w:rsidRDefault="00000000">
            <w:pPr>
              <w:pStyle w:val="a6"/>
              <w:tabs>
                <w:tab w:val="left" w:pos="510"/>
                <w:tab w:val="left" w:pos="675"/>
              </w:tabs>
              <w:overflowPunct w:val="0"/>
              <w:jc w:val="center"/>
              <w:rPr>
                <w:rFonts w:ascii="宋体" w:eastAsia="宋体" w:hAnsi="宋体" w:cs="宋体" w:hint="eastAsia"/>
                <w:sz w:val="24"/>
                <w:szCs w:val="24"/>
              </w:rPr>
            </w:pPr>
            <w:r>
              <w:rPr>
                <w:rFonts w:ascii="宋体" w:eastAsia="宋体" w:hAnsi="宋体" w:cs="宋体" w:hint="eastAsia"/>
                <w:sz w:val="24"/>
                <w:szCs w:val="24"/>
              </w:rPr>
              <w:t>评分分值</w:t>
            </w:r>
          </w:p>
        </w:tc>
        <w:tc>
          <w:tcPr>
            <w:tcW w:w="1025" w:type="pct"/>
            <w:vAlign w:val="center"/>
          </w:tcPr>
          <w:p w:rsidR="00B868FF" w:rsidRDefault="00000000">
            <w:pPr>
              <w:pStyle w:val="a6"/>
              <w:tabs>
                <w:tab w:val="left" w:pos="510"/>
                <w:tab w:val="left" w:pos="675"/>
              </w:tabs>
              <w:overflowPunct w:val="0"/>
              <w:jc w:val="center"/>
              <w:rPr>
                <w:rFonts w:ascii="宋体" w:eastAsia="宋体" w:hAnsi="宋体" w:cs="宋体" w:hint="eastAsia"/>
                <w:sz w:val="24"/>
                <w:szCs w:val="24"/>
              </w:rPr>
            </w:pPr>
            <w:r>
              <w:rPr>
                <w:rFonts w:ascii="宋体" w:eastAsia="宋体" w:hAnsi="宋体" w:cs="宋体" w:hint="eastAsia"/>
                <w:sz w:val="24"/>
                <w:szCs w:val="24"/>
              </w:rPr>
              <w:t>≥90</w:t>
            </w:r>
          </w:p>
        </w:tc>
        <w:tc>
          <w:tcPr>
            <w:tcW w:w="1025" w:type="pct"/>
            <w:vAlign w:val="center"/>
          </w:tcPr>
          <w:p w:rsidR="00B868FF" w:rsidRDefault="00000000">
            <w:pPr>
              <w:pStyle w:val="a6"/>
              <w:tabs>
                <w:tab w:val="left" w:pos="510"/>
                <w:tab w:val="left" w:pos="675"/>
              </w:tabs>
              <w:overflowPunct w:val="0"/>
              <w:jc w:val="center"/>
              <w:rPr>
                <w:rFonts w:ascii="宋体" w:eastAsia="宋体" w:hAnsi="宋体" w:cs="宋体" w:hint="eastAsia"/>
                <w:sz w:val="24"/>
                <w:szCs w:val="24"/>
              </w:rPr>
            </w:pPr>
            <w:r>
              <w:rPr>
                <w:rFonts w:ascii="宋体" w:eastAsia="宋体" w:hAnsi="宋体" w:cs="宋体" w:hint="eastAsia"/>
                <w:sz w:val="24"/>
                <w:szCs w:val="24"/>
              </w:rPr>
              <w:t>＜90，≥80</w:t>
            </w:r>
          </w:p>
        </w:tc>
        <w:tc>
          <w:tcPr>
            <w:tcW w:w="1025" w:type="pct"/>
            <w:vAlign w:val="center"/>
          </w:tcPr>
          <w:p w:rsidR="00B868FF" w:rsidRDefault="00000000">
            <w:pPr>
              <w:pStyle w:val="a6"/>
              <w:tabs>
                <w:tab w:val="left" w:pos="510"/>
                <w:tab w:val="left" w:pos="675"/>
              </w:tabs>
              <w:overflowPunct w:val="0"/>
              <w:jc w:val="center"/>
              <w:rPr>
                <w:rFonts w:ascii="宋体" w:eastAsia="宋体" w:hAnsi="宋体" w:cs="宋体" w:hint="eastAsia"/>
                <w:sz w:val="24"/>
                <w:szCs w:val="24"/>
              </w:rPr>
            </w:pPr>
            <w:r>
              <w:rPr>
                <w:rFonts w:ascii="宋体" w:eastAsia="宋体" w:hAnsi="宋体" w:cs="宋体" w:hint="eastAsia"/>
                <w:sz w:val="24"/>
                <w:szCs w:val="24"/>
              </w:rPr>
              <w:t>＜80，≥60</w:t>
            </w:r>
          </w:p>
        </w:tc>
        <w:tc>
          <w:tcPr>
            <w:tcW w:w="963" w:type="pct"/>
            <w:vAlign w:val="center"/>
          </w:tcPr>
          <w:p w:rsidR="00B868FF" w:rsidRDefault="00000000">
            <w:pPr>
              <w:pStyle w:val="a6"/>
              <w:tabs>
                <w:tab w:val="left" w:pos="510"/>
                <w:tab w:val="left" w:pos="675"/>
              </w:tabs>
              <w:overflowPunct w:val="0"/>
              <w:jc w:val="center"/>
              <w:rPr>
                <w:rFonts w:ascii="宋体" w:eastAsia="宋体" w:hAnsi="宋体" w:cs="宋体" w:hint="eastAsia"/>
                <w:sz w:val="24"/>
                <w:szCs w:val="24"/>
              </w:rPr>
            </w:pPr>
            <w:r>
              <w:rPr>
                <w:rFonts w:ascii="宋体" w:eastAsia="宋体" w:hAnsi="宋体" w:cs="宋体" w:hint="eastAsia"/>
                <w:sz w:val="24"/>
                <w:szCs w:val="24"/>
              </w:rPr>
              <w:t>＜60</w:t>
            </w:r>
          </w:p>
        </w:tc>
      </w:tr>
    </w:tbl>
    <w:p w:rsidR="00B868FF" w:rsidRDefault="00000000">
      <w:pPr>
        <w:pStyle w:val="a6"/>
        <w:tabs>
          <w:tab w:val="left" w:pos="510"/>
          <w:tab w:val="left" w:pos="675"/>
        </w:tabs>
        <w:overflowPunct w:val="0"/>
        <w:spacing w:line="560" w:lineRule="exact"/>
        <w:ind w:firstLineChars="200" w:firstLine="643"/>
        <w:rPr>
          <w:rFonts w:ascii="仿宋_GB2312" w:hAnsi="仿宋_GB2312" w:cs="仿宋_GB2312" w:hint="eastAsia"/>
          <w:b/>
          <w:bCs/>
          <w:szCs w:val="28"/>
        </w:rPr>
      </w:pPr>
      <w:r>
        <w:rPr>
          <w:rFonts w:ascii="仿宋_GB2312" w:hAnsi="仿宋_GB2312" w:cs="仿宋_GB2312" w:hint="eastAsia"/>
          <w:b/>
          <w:bCs/>
          <w:szCs w:val="28"/>
        </w:rPr>
        <w:t>4.数据来源及证据收集方式</w:t>
      </w:r>
    </w:p>
    <w:p w:rsidR="00B868FF" w:rsidRDefault="00000000">
      <w:pPr>
        <w:pStyle w:val="af4"/>
        <w:ind w:firstLine="640"/>
        <w:rPr>
          <w:rFonts w:hint="eastAsia"/>
        </w:rPr>
      </w:pPr>
      <w:r>
        <w:rPr>
          <w:rFonts w:hint="eastAsia"/>
        </w:rPr>
        <w:t>本次绩效评价的证据收集途径主要有：</w:t>
      </w:r>
    </w:p>
    <w:p w:rsidR="00B868FF" w:rsidRDefault="00000000">
      <w:pPr>
        <w:pStyle w:val="af4"/>
        <w:ind w:firstLine="640"/>
        <w:rPr>
          <w:rFonts w:hint="eastAsia"/>
        </w:rPr>
      </w:pPr>
      <w:r>
        <w:rPr>
          <w:rFonts w:hint="eastAsia"/>
        </w:rPr>
        <w:t>（1）由甘肃省高级人民法院根据资料清单提供基础数据资料；</w:t>
      </w:r>
    </w:p>
    <w:p w:rsidR="00B868FF" w:rsidRDefault="00000000">
      <w:pPr>
        <w:pStyle w:val="af4"/>
        <w:ind w:firstLine="640"/>
        <w:rPr>
          <w:rFonts w:hint="eastAsia"/>
        </w:rPr>
      </w:pPr>
      <w:r>
        <w:rPr>
          <w:rFonts w:hint="eastAsia"/>
        </w:rPr>
        <w:t>（2）通过与甘肃省高级人民法院相关工作人员交流，获取信息，了解项目的成效；</w:t>
      </w:r>
    </w:p>
    <w:p w:rsidR="00B868FF" w:rsidRDefault="00000000">
      <w:pPr>
        <w:pStyle w:val="af4"/>
        <w:ind w:firstLine="640"/>
        <w:rPr>
          <w:rFonts w:hint="eastAsia"/>
        </w:rPr>
      </w:pPr>
      <w:r>
        <w:rPr>
          <w:rFonts w:hint="eastAsia"/>
        </w:rPr>
        <w:t>（3）对受益对象进行问卷调查，获取满意度数据。</w:t>
      </w:r>
    </w:p>
    <w:p w:rsidR="00B868FF" w:rsidRDefault="00000000">
      <w:pPr>
        <w:pStyle w:val="a6"/>
        <w:overflowPunct w:val="0"/>
        <w:spacing w:line="560" w:lineRule="exact"/>
        <w:ind w:firstLineChars="200" w:firstLine="643"/>
        <w:outlineLvl w:val="1"/>
        <w:rPr>
          <w:rFonts w:ascii="楷体" w:eastAsia="楷体" w:hAnsi="楷体" w:cs="楷体" w:hint="eastAsia"/>
          <w:b/>
          <w:bCs/>
        </w:rPr>
      </w:pPr>
      <w:bookmarkStart w:id="102" w:name="_Toc8104"/>
      <w:bookmarkStart w:id="103" w:name="_Toc174375020"/>
      <w:r>
        <w:rPr>
          <w:rFonts w:ascii="楷体" w:eastAsia="楷体" w:hAnsi="楷体" w:cs="楷体" w:hint="eastAsia"/>
          <w:b/>
          <w:bCs/>
        </w:rPr>
        <w:t>（六）绩效评价工作过程</w:t>
      </w:r>
      <w:bookmarkEnd w:id="102"/>
      <w:bookmarkEnd w:id="103"/>
    </w:p>
    <w:p w:rsidR="00B868FF" w:rsidRDefault="00000000">
      <w:pPr>
        <w:pStyle w:val="af4"/>
        <w:ind w:firstLine="640"/>
        <w:rPr>
          <w:rFonts w:hint="eastAsia"/>
        </w:rPr>
      </w:pPr>
      <w:bookmarkStart w:id="104" w:name="_Toc31135"/>
      <w:bookmarkStart w:id="105" w:name="_Toc1946"/>
      <w:bookmarkStart w:id="106" w:name="_Toc19094"/>
      <w:bookmarkStart w:id="107" w:name="_Toc30609"/>
      <w:bookmarkStart w:id="108" w:name="_Toc27041"/>
      <w:bookmarkStart w:id="109" w:name="_Toc10150"/>
      <w:bookmarkStart w:id="110" w:name="_Toc3172"/>
      <w:bookmarkStart w:id="111" w:name="_Toc95"/>
      <w:r>
        <w:rPr>
          <w:rFonts w:hint="eastAsia"/>
        </w:rPr>
        <w:t>绩效评价工作过程主要包括准备阶段、实施阶段、撰写报告阶段三个阶段。</w:t>
      </w:r>
      <w:bookmarkEnd w:id="104"/>
      <w:bookmarkEnd w:id="105"/>
      <w:bookmarkEnd w:id="106"/>
      <w:bookmarkEnd w:id="107"/>
      <w:bookmarkEnd w:id="108"/>
      <w:bookmarkEnd w:id="109"/>
      <w:bookmarkEnd w:id="110"/>
      <w:bookmarkEnd w:id="111"/>
    </w:p>
    <w:p w:rsidR="00B868FF" w:rsidRDefault="00000000">
      <w:pPr>
        <w:pStyle w:val="3"/>
        <w:keepNext w:val="0"/>
        <w:keepLines w:val="0"/>
        <w:overflowPunct w:val="0"/>
        <w:spacing w:before="0" w:after="0" w:line="560" w:lineRule="exact"/>
        <w:ind w:firstLineChars="200" w:firstLine="643"/>
        <w:rPr>
          <w:rFonts w:ascii="仿宋_GB2312" w:eastAsia="仿宋_GB2312" w:hAnsi="仿宋_GB2312" w:cs="仿宋_GB2312" w:hint="eastAsia"/>
          <w:color w:val="000000" w:themeColor="text1"/>
          <w:szCs w:val="32"/>
        </w:rPr>
      </w:pPr>
      <w:r>
        <w:rPr>
          <w:rFonts w:ascii="仿宋_GB2312" w:eastAsia="仿宋_GB2312" w:hAnsi="仿宋_GB2312" w:cs="仿宋_GB2312" w:hint="eastAsia"/>
          <w:color w:val="000000" w:themeColor="text1"/>
          <w:szCs w:val="32"/>
        </w:rPr>
        <w:t>1.准备阶段</w:t>
      </w:r>
    </w:p>
    <w:p w:rsidR="00B868FF" w:rsidRDefault="00000000">
      <w:pPr>
        <w:pStyle w:val="af4"/>
        <w:ind w:firstLine="640"/>
        <w:rPr>
          <w:rFonts w:hint="eastAsia"/>
        </w:rPr>
      </w:pPr>
      <w:r>
        <w:rPr>
          <w:rFonts w:hint="eastAsia"/>
        </w:rPr>
        <w:t>（1）确定绩效评价组</w:t>
      </w:r>
    </w:p>
    <w:p w:rsidR="00B868FF" w:rsidRDefault="00000000">
      <w:pPr>
        <w:pStyle w:val="af4"/>
        <w:ind w:firstLine="640"/>
        <w:rPr>
          <w:rFonts w:hint="eastAsia"/>
          <w:szCs w:val="28"/>
        </w:rPr>
      </w:pPr>
      <w:r>
        <w:rPr>
          <w:rFonts w:hint="eastAsia"/>
        </w:rPr>
        <w:t>甘肃省高级人民法院安排部署本次绩效评价工作，我公司及时确定绩效评价对象和范围、成立评价工作组、开展前期调研、研究制定绩效评价工作方案、组织专家论证，明确工作范围和职责，组织</w:t>
      </w:r>
      <w:proofErr w:type="gramStart"/>
      <w:r>
        <w:rPr>
          <w:rFonts w:hint="eastAsia"/>
        </w:rPr>
        <w:t>评价组</w:t>
      </w:r>
      <w:proofErr w:type="gramEnd"/>
      <w:r>
        <w:rPr>
          <w:rFonts w:hint="eastAsia"/>
        </w:rPr>
        <w:t>人员进行业务培训，认真组织学习了相关政策法规制度、评价指标体系和评价方案，明确评价工作程序及要求，解析评价指标体系，使各参评人员对绩效评价情况做进一步了解。</w:t>
      </w:r>
      <w:r>
        <w:rPr>
          <w:rFonts w:hint="eastAsia"/>
          <w:szCs w:val="28"/>
        </w:rPr>
        <w:t>评价工作组人员名单及职责分工情况见下表：</w:t>
      </w:r>
    </w:p>
    <w:tbl>
      <w:tblPr>
        <w:tblStyle w:val="af"/>
        <w:tblW w:w="4960" w:type="pct"/>
        <w:tblInd w:w="94" w:type="dxa"/>
        <w:tblLook w:val="04A0" w:firstRow="1" w:lastRow="0" w:firstColumn="1" w:lastColumn="0" w:noHBand="0" w:noVBand="1"/>
      </w:tblPr>
      <w:tblGrid>
        <w:gridCol w:w="862"/>
        <w:gridCol w:w="1165"/>
        <w:gridCol w:w="1477"/>
        <w:gridCol w:w="2093"/>
        <w:gridCol w:w="2795"/>
      </w:tblGrid>
      <w:tr w:rsidR="00B868FF">
        <w:trPr>
          <w:trHeight w:val="582"/>
          <w:tblHeader/>
        </w:trPr>
        <w:tc>
          <w:tcPr>
            <w:tcW w:w="514"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b/>
                <w:bCs/>
                <w:sz w:val="24"/>
                <w:szCs w:val="24"/>
                <w:shd w:val="clear" w:color="auto" w:fill="FFFFFF"/>
              </w:rPr>
            </w:pPr>
            <w:r>
              <w:rPr>
                <w:rFonts w:ascii="宋体" w:eastAsia="宋体" w:hAnsi="宋体" w:cs="Times New Roman" w:hint="eastAsia"/>
                <w:b/>
                <w:bCs/>
                <w:sz w:val="24"/>
                <w:szCs w:val="24"/>
                <w:shd w:val="clear" w:color="auto" w:fill="FFFFFF"/>
              </w:rPr>
              <w:lastRenderedPageBreak/>
              <w:t>序号</w:t>
            </w:r>
          </w:p>
        </w:tc>
        <w:tc>
          <w:tcPr>
            <w:tcW w:w="694"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b/>
                <w:bCs/>
                <w:sz w:val="24"/>
                <w:szCs w:val="24"/>
                <w:shd w:val="clear" w:color="auto" w:fill="FFFFFF"/>
              </w:rPr>
            </w:pPr>
            <w:r>
              <w:rPr>
                <w:rFonts w:ascii="宋体" w:eastAsia="宋体" w:hAnsi="宋体" w:cs="Times New Roman" w:hint="eastAsia"/>
                <w:b/>
                <w:bCs/>
                <w:sz w:val="24"/>
                <w:szCs w:val="24"/>
                <w:shd w:val="clear" w:color="auto" w:fill="FFFFFF"/>
              </w:rPr>
              <w:t>姓名</w:t>
            </w:r>
          </w:p>
        </w:tc>
        <w:tc>
          <w:tcPr>
            <w:tcW w:w="880"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b/>
                <w:bCs/>
                <w:sz w:val="24"/>
                <w:szCs w:val="24"/>
                <w:shd w:val="clear" w:color="auto" w:fill="FFFFFF"/>
              </w:rPr>
            </w:pPr>
            <w:r>
              <w:rPr>
                <w:rFonts w:ascii="宋体" w:eastAsia="宋体" w:hAnsi="宋体" w:cs="Times New Roman" w:hint="eastAsia"/>
                <w:b/>
                <w:bCs/>
                <w:sz w:val="24"/>
                <w:szCs w:val="24"/>
                <w:shd w:val="clear" w:color="auto" w:fill="FFFFFF"/>
              </w:rPr>
              <w:t>职务</w:t>
            </w:r>
          </w:p>
        </w:tc>
        <w:tc>
          <w:tcPr>
            <w:tcW w:w="1247"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b/>
                <w:bCs/>
                <w:sz w:val="24"/>
                <w:szCs w:val="24"/>
                <w:shd w:val="clear" w:color="auto" w:fill="FFFFFF"/>
              </w:rPr>
            </w:pPr>
            <w:r>
              <w:rPr>
                <w:rFonts w:ascii="宋体" w:eastAsia="宋体" w:hAnsi="宋体" w:cs="Times New Roman" w:hint="eastAsia"/>
                <w:b/>
                <w:bCs/>
                <w:sz w:val="24"/>
                <w:szCs w:val="24"/>
                <w:shd w:val="clear" w:color="auto" w:fill="FFFFFF"/>
              </w:rPr>
              <w:t>职称和职业资格</w:t>
            </w:r>
          </w:p>
        </w:tc>
        <w:tc>
          <w:tcPr>
            <w:tcW w:w="1665" w:type="pct"/>
            <w:shd w:val="clear" w:color="auto" w:fill="auto"/>
          </w:tcPr>
          <w:p w:rsidR="00B868FF" w:rsidRDefault="00000000">
            <w:pPr>
              <w:pStyle w:val="a6"/>
              <w:overflowPunct w:val="0"/>
              <w:spacing w:line="360" w:lineRule="auto"/>
              <w:jc w:val="center"/>
              <w:rPr>
                <w:rFonts w:ascii="宋体" w:eastAsia="宋体" w:hAnsi="宋体" w:cs="Times New Roman" w:hint="eastAsia"/>
                <w:b/>
                <w:bCs/>
                <w:sz w:val="24"/>
                <w:szCs w:val="24"/>
                <w:shd w:val="clear" w:color="auto" w:fill="FFFFFF"/>
              </w:rPr>
            </w:pPr>
            <w:r>
              <w:rPr>
                <w:rFonts w:ascii="宋体" w:eastAsia="宋体" w:hAnsi="宋体" w:cs="Times New Roman" w:hint="eastAsia"/>
                <w:b/>
                <w:bCs/>
                <w:sz w:val="24"/>
                <w:szCs w:val="24"/>
                <w:shd w:val="clear" w:color="auto" w:fill="FFFFFF"/>
              </w:rPr>
              <w:t>工作内容</w:t>
            </w:r>
          </w:p>
        </w:tc>
      </w:tr>
      <w:tr w:rsidR="00B868FF">
        <w:trPr>
          <w:trHeight w:val="480"/>
        </w:trPr>
        <w:tc>
          <w:tcPr>
            <w:tcW w:w="514"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1</w:t>
            </w:r>
          </w:p>
        </w:tc>
        <w:tc>
          <w:tcPr>
            <w:tcW w:w="694"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郑生伟</w:t>
            </w:r>
          </w:p>
        </w:tc>
        <w:tc>
          <w:tcPr>
            <w:tcW w:w="880"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审核人</w:t>
            </w:r>
          </w:p>
        </w:tc>
        <w:tc>
          <w:tcPr>
            <w:tcW w:w="1247"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绩效评价师</w:t>
            </w:r>
          </w:p>
        </w:tc>
        <w:tc>
          <w:tcPr>
            <w:tcW w:w="1665"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绩效评价指导、复核</w:t>
            </w:r>
          </w:p>
        </w:tc>
      </w:tr>
      <w:tr w:rsidR="00B868FF">
        <w:trPr>
          <w:trHeight w:val="1442"/>
        </w:trPr>
        <w:tc>
          <w:tcPr>
            <w:tcW w:w="514"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2</w:t>
            </w:r>
          </w:p>
        </w:tc>
        <w:tc>
          <w:tcPr>
            <w:tcW w:w="694"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刘燕</w:t>
            </w:r>
          </w:p>
        </w:tc>
        <w:tc>
          <w:tcPr>
            <w:tcW w:w="880"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主评人</w:t>
            </w:r>
          </w:p>
        </w:tc>
        <w:tc>
          <w:tcPr>
            <w:tcW w:w="1247"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绩效评价师</w:t>
            </w:r>
          </w:p>
        </w:tc>
        <w:tc>
          <w:tcPr>
            <w:tcW w:w="1665"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制定评价方案、评价报告撰写、现场及非现场评价</w:t>
            </w:r>
          </w:p>
        </w:tc>
      </w:tr>
      <w:tr w:rsidR="00B868FF">
        <w:trPr>
          <w:trHeight w:val="480"/>
        </w:trPr>
        <w:tc>
          <w:tcPr>
            <w:tcW w:w="514"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3</w:t>
            </w:r>
          </w:p>
        </w:tc>
        <w:tc>
          <w:tcPr>
            <w:tcW w:w="694"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向文霞</w:t>
            </w:r>
          </w:p>
        </w:tc>
        <w:tc>
          <w:tcPr>
            <w:tcW w:w="880" w:type="pc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组长</w:t>
            </w:r>
          </w:p>
        </w:tc>
        <w:tc>
          <w:tcPr>
            <w:tcW w:w="1247" w:type="pct"/>
            <w:shd w:val="clear" w:color="auto" w:fill="auto"/>
            <w:vAlign w:val="center"/>
          </w:tcPr>
          <w:p w:rsidR="00B868FF" w:rsidRDefault="00000000">
            <w:pPr>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助理会计师</w:t>
            </w:r>
          </w:p>
        </w:tc>
        <w:tc>
          <w:tcPr>
            <w:tcW w:w="1665" w:type="pct"/>
            <w:vMerge w:val="restart"/>
            <w:shd w:val="clear" w:color="auto" w:fill="auto"/>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资料收集、审核、整理分析、现场及非现场评价</w:t>
            </w:r>
          </w:p>
        </w:tc>
      </w:tr>
      <w:tr w:rsidR="00B868FF">
        <w:trPr>
          <w:trHeight w:val="480"/>
        </w:trPr>
        <w:tc>
          <w:tcPr>
            <w:tcW w:w="514" w:type="pct"/>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4</w:t>
            </w:r>
          </w:p>
        </w:tc>
        <w:tc>
          <w:tcPr>
            <w:tcW w:w="694" w:type="pct"/>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吕晓芳</w:t>
            </w:r>
          </w:p>
        </w:tc>
        <w:tc>
          <w:tcPr>
            <w:tcW w:w="880" w:type="pct"/>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组长</w:t>
            </w:r>
          </w:p>
        </w:tc>
        <w:tc>
          <w:tcPr>
            <w:tcW w:w="1247" w:type="pct"/>
            <w:vAlign w:val="center"/>
          </w:tcPr>
          <w:p w:rsidR="00B868FF" w:rsidRDefault="00000000">
            <w:pPr>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助理会计师</w:t>
            </w:r>
          </w:p>
        </w:tc>
        <w:tc>
          <w:tcPr>
            <w:tcW w:w="1665" w:type="pct"/>
            <w:vMerge/>
            <w:shd w:val="clear" w:color="auto" w:fill="auto"/>
          </w:tcPr>
          <w:p w:rsidR="00B868FF" w:rsidRDefault="00B868FF">
            <w:pPr>
              <w:overflowPunct w:val="0"/>
              <w:spacing w:line="360" w:lineRule="auto"/>
              <w:rPr>
                <w:rFonts w:ascii="宋体" w:eastAsia="宋体" w:hAnsi="宋体" w:cs="Times New Roman" w:hint="eastAsia"/>
                <w:sz w:val="24"/>
                <w:szCs w:val="24"/>
                <w:highlight w:val="yellow"/>
                <w:shd w:val="clear" w:color="auto" w:fill="FFFFFF"/>
              </w:rPr>
            </w:pPr>
          </w:p>
        </w:tc>
      </w:tr>
      <w:tr w:rsidR="00B868FF">
        <w:trPr>
          <w:trHeight w:val="480"/>
        </w:trPr>
        <w:tc>
          <w:tcPr>
            <w:tcW w:w="514" w:type="pct"/>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5</w:t>
            </w:r>
          </w:p>
        </w:tc>
        <w:tc>
          <w:tcPr>
            <w:tcW w:w="694" w:type="pct"/>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proofErr w:type="gramStart"/>
            <w:r>
              <w:rPr>
                <w:rFonts w:ascii="宋体" w:eastAsia="宋体" w:hAnsi="宋体" w:cs="Times New Roman" w:hint="eastAsia"/>
                <w:sz w:val="24"/>
                <w:szCs w:val="24"/>
                <w:shd w:val="clear" w:color="auto" w:fill="FFFFFF"/>
              </w:rPr>
              <w:t>赵悦江</w:t>
            </w:r>
            <w:proofErr w:type="gramEnd"/>
          </w:p>
        </w:tc>
        <w:tc>
          <w:tcPr>
            <w:tcW w:w="880" w:type="pct"/>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组员</w:t>
            </w:r>
          </w:p>
        </w:tc>
        <w:tc>
          <w:tcPr>
            <w:tcW w:w="1247" w:type="pct"/>
            <w:vAlign w:val="center"/>
          </w:tcPr>
          <w:p w:rsidR="00B868FF" w:rsidRDefault="00000000">
            <w:pPr>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助理会计师</w:t>
            </w:r>
          </w:p>
        </w:tc>
        <w:tc>
          <w:tcPr>
            <w:tcW w:w="1665" w:type="pct"/>
            <w:vMerge/>
            <w:shd w:val="clear" w:color="auto" w:fill="auto"/>
          </w:tcPr>
          <w:p w:rsidR="00B868FF" w:rsidRDefault="00B868FF">
            <w:pPr>
              <w:overflowPunct w:val="0"/>
              <w:spacing w:line="360" w:lineRule="auto"/>
              <w:rPr>
                <w:rFonts w:ascii="宋体" w:eastAsia="宋体" w:hAnsi="宋体" w:cs="Times New Roman" w:hint="eastAsia"/>
                <w:sz w:val="24"/>
                <w:szCs w:val="24"/>
                <w:highlight w:val="yellow"/>
                <w:shd w:val="clear" w:color="auto" w:fill="FFFFFF"/>
              </w:rPr>
            </w:pPr>
          </w:p>
        </w:tc>
      </w:tr>
      <w:tr w:rsidR="00B868FF">
        <w:trPr>
          <w:trHeight w:val="480"/>
        </w:trPr>
        <w:tc>
          <w:tcPr>
            <w:tcW w:w="514" w:type="pct"/>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6</w:t>
            </w:r>
          </w:p>
        </w:tc>
        <w:tc>
          <w:tcPr>
            <w:tcW w:w="694" w:type="pct"/>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杨</w:t>
            </w:r>
            <w:proofErr w:type="gramStart"/>
            <w:r>
              <w:rPr>
                <w:rFonts w:ascii="宋体" w:eastAsia="宋体" w:hAnsi="宋体" w:cs="Times New Roman" w:hint="eastAsia"/>
                <w:sz w:val="24"/>
                <w:szCs w:val="24"/>
                <w:shd w:val="clear" w:color="auto" w:fill="FFFFFF"/>
              </w:rPr>
              <w:t>世</w:t>
            </w:r>
            <w:proofErr w:type="gramEnd"/>
            <w:r>
              <w:rPr>
                <w:rFonts w:ascii="宋体" w:eastAsia="宋体" w:hAnsi="宋体" w:cs="Times New Roman" w:hint="eastAsia"/>
                <w:sz w:val="24"/>
                <w:szCs w:val="24"/>
                <w:shd w:val="clear" w:color="auto" w:fill="FFFFFF"/>
              </w:rPr>
              <w:t>勋</w:t>
            </w:r>
          </w:p>
        </w:tc>
        <w:tc>
          <w:tcPr>
            <w:tcW w:w="880" w:type="pct"/>
            <w:vAlign w:val="center"/>
          </w:tcPr>
          <w:p w:rsidR="00B868FF" w:rsidRDefault="00000000">
            <w:pPr>
              <w:pStyle w:val="a6"/>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组员</w:t>
            </w:r>
          </w:p>
        </w:tc>
        <w:tc>
          <w:tcPr>
            <w:tcW w:w="1247" w:type="pct"/>
            <w:vAlign w:val="center"/>
          </w:tcPr>
          <w:p w:rsidR="00B868FF" w:rsidRDefault="00000000">
            <w:pPr>
              <w:overflowPunct w:val="0"/>
              <w:spacing w:line="360" w:lineRule="auto"/>
              <w:jc w:val="center"/>
              <w:rPr>
                <w:rFonts w:ascii="宋体" w:eastAsia="宋体" w:hAnsi="宋体" w:cs="Times New Roman" w:hint="eastAsia"/>
                <w:sz w:val="24"/>
                <w:szCs w:val="24"/>
                <w:shd w:val="clear" w:color="auto" w:fill="FFFFFF"/>
              </w:rPr>
            </w:pPr>
            <w:r>
              <w:rPr>
                <w:rFonts w:ascii="宋体" w:eastAsia="宋体" w:hAnsi="宋体" w:cs="Times New Roman" w:hint="eastAsia"/>
                <w:sz w:val="24"/>
                <w:szCs w:val="24"/>
                <w:shd w:val="clear" w:color="auto" w:fill="FFFFFF"/>
              </w:rPr>
              <w:t>助理会计师</w:t>
            </w:r>
          </w:p>
        </w:tc>
        <w:tc>
          <w:tcPr>
            <w:tcW w:w="1665" w:type="pct"/>
            <w:vMerge/>
            <w:shd w:val="clear" w:color="auto" w:fill="auto"/>
          </w:tcPr>
          <w:p w:rsidR="00B868FF" w:rsidRDefault="00B868FF">
            <w:pPr>
              <w:overflowPunct w:val="0"/>
              <w:spacing w:line="360" w:lineRule="auto"/>
              <w:rPr>
                <w:rFonts w:ascii="宋体" w:eastAsia="宋体" w:hAnsi="宋体" w:cs="Times New Roman" w:hint="eastAsia"/>
                <w:sz w:val="24"/>
                <w:szCs w:val="24"/>
                <w:highlight w:val="yellow"/>
                <w:shd w:val="clear" w:color="auto" w:fill="FFFFFF"/>
              </w:rPr>
            </w:pPr>
          </w:p>
        </w:tc>
      </w:tr>
    </w:tbl>
    <w:p w:rsidR="00B868FF" w:rsidRDefault="00000000">
      <w:pPr>
        <w:pStyle w:val="af4"/>
        <w:ind w:firstLine="640"/>
        <w:rPr>
          <w:rFonts w:hint="eastAsia"/>
        </w:rPr>
      </w:pPr>
      <w:r>
        <w:rPr>
          <w:rFonts w:hint="eastAsia"/>
        </w:rPr>
        <w:t>（2）评价时间安排</w:t>
      </w:r>
    </w:p>
    <w:p w:rsidR="00B868FF" w:rsidRDefault="00000000">
      <w:pPr>
        <w:pStyle w:val="af4"/>
        <w:ind w:firstLine="640"/>
        <w:rPr>
          <w:rFonts w:hint="eastAsia"/>
        </w:rPr>
      </w:pPr>
      <w:r>
        <w:rPr>
          <w:rFonts w:hint="eastAsia"/>
        </w:rPr>
        <w:t>根据甘肃省高级人民法院要求，确定评价时间为2024年7月1日—2024年7月31日。</w:t>
      </w:r>
    </w:p>
    <w:p w:rsidR="00B868FF" w:rsidRDefault="00000000">
      <w:pPr>
        <w:pStyle w:val="3"/>
        <w:keepNext w:val="0"/>
        <w:keepLines w:val="0"/>
        <w:overflowPunct w:val="0"/>
        <w:spacing w:before="0" w:after="0" w:line="560" w:lineRule="exact"/>
        <w:ind w:firstLineChars="200" w:firstLine="643"/>
        <w:rPr>
          <w:rFonts w:ascii="仿宋_GB2312" w:eastAsia="仿宋_GB2312" w:hAnsi="仿宋_GB2312" w:cs="仿宋_GB2312" w:hint="eastAsia"/>
          <w:color w:val="000000" w:themeColor="text1"/>
          <w:szCs w:val="32"/>
        </w:rPr>
      </w:pPr>
      <w:r>
        <w:rPr>
          <w:rFonts w:ascii="仿宋_GB2312" w:eastAsia="仿宋_GB2312" w:hAnsi="仿宋_GB2312" w:cs="仿宋_GB2312" w:hint="eastAsia"/>
          <w:color w:val="000000" w:themeColor="text1"/>
          <w:szCs w:val="32"/>
        </w:rPr>
        <w:t>2.实施阶段</w:t>
      </w:r>
    </w:p>
    <w:p w:rsidR="00B868FF" w:rsidRDefault="00000000">
      <w:pPr>
        <w:pStyle w:val="af4"/>
        <w:ind w:firstLine="640"/>
        <w:rPr>
          <w:rFonts w:hint="eastAsia"/>
        </w:rPr>
      </w:pPr>
      <w:r>
        <w:rPr>
          <w:rFonts w:hint="eastAsia"/>
        </w:rPr>
        <w:t>（1）递交资料清单</w:t>
      </w:r>
    </w:p>
    <w:p w:rsidR="00B868FF" w:rsidRDefault="00000000">
      <w:pPr>
        <w:pStyle w:val="af4"/>
        <w:ind w:firstLine="640"/>
        <w:rPr>
          <w:rFonts w:hint="eastAsia"/>
        </w:rPr>
      </w:pPr>
      <w:r>
        <w:rPr>
          <w:rFonts w:hint="eastAsia"/>
        </w:rPr>
        <w:t>绩效评价组在拟开展现场评价的5个工作日前向甘肃省高级人民法院递交资料清单，提前准备评价资料。</w:t>
      </w:r>
    </w:p>
    <w:p w:rsidR="00B868FF" w:rsidRDefault="00000000">
      <w:pPr>
        <w:pStyle w:val="af4"/>
        <w:ind w:firstLine="640"/>
        <w:rPr>
          <w:rFonts w:hint="eastAsia"/>
        </w:rPr>
      </w:pPr>
      <w:r>
        <w:rPr>
          <w:rFonts w:hint="eastAsia"/>
        </w:rPr>
        <w:t>（2）进驻评价单位</w:t>
      </w:r>
    </w:p>
    <w:p w:rsidR="00B868FF" w:rsidRDefault="00000000">
      <w:pPr>
        <w:pStyle w:val="af4"/>
        <w:ind w:firstLine="640"/>
        <w:rPr>
          <w:rFonts w:hint="eastAsia"/>
        </w:rPr>
      </w:pPr>
      <w:proofErr w:type="gramStart"/>
      <w:r>
        <w:rPr>
          <w:rFonts w:hint="eastAsia"/>
        </w:rPr>
        <w:t>评价组</w:t>
      </w:r>
      <w:proofErr w:type="gramEnd"/>
      <w:r>
        <w:rPr>
          <w:rFonts w:hint="eastAsia"/>
        </w:rPr>
        <w:t>按时进驻甘肃省高级人民法院，根据工作方案，对相关工作人员进行了访谈，本次访谈旨在通过与相关工作人员进行沟通，了解项目基本情况以及重点工作任务完成情况，听取项目的目标设定及完成程度、组织管理制度建立健全及落实情况、预算支出执行情况、财务管理状况、资产管理情况和项目实施产生的效益效果等情况介绍。</w:t>
      </w:r>
    </w:p>
    <w:p w:rsidR="00B868FF" w:rsidRDefault="00000000">
      <w:pPr>
        <w:pStyle w:val="af4"/>
        <w:ind w:firstLine="640"/>
        <w:rPr>
          <w:rFonts w:hint="eastAsia"/>
        </w:rPr>
      </w:pPr>
      <w:r>
        <w:rPr>
          <w:rFonts w:hint="eastAsia"/>
        </w:rPr>
        <w:t>（3）资料分析及复核</w:t>
      </w:r>
    </w:p>
    <w:p w:rsidR="00B868FF" w:rsidRDefault="00000000">
      <w:pPr>
        <w:pStyle w:val="af4"/>
        <w:ind w:firstLine="640"/>
        <w:rPr>
          <w:rFonts w:hint="eastAsia"/>
        </w:rPr>
      </w:pPr>
      <w:r>
        <w:rPr>
          <w:rFonts w:hint="eastAsia"/>
        </w:rPr>
        <w:t>根据访谈了解情况对甘肃省高级人民法院提供的资料进</w:t>
      </w:r>
      <w:r>
        <w:rPr>
          <w:rFonts w:hint="eastAsia"/>
        </w:rPr>
        <w:lastRenderedPageBreak/>
        <w:t>行核对，核实其真实性。结合资料进行现场查看，核实甘肃省高级人民法院各项重点工作任务的完成情况的真实性和规范性。</w:t>
      </w:r>
    </w:p>
    <w:p w:rsidR="00B868FF" w:rsidRDefault="00000000">
      <w:pPr>
        <w:pStyle w:val="af4"/>
        <w:ind w:firstLine="640"/>
        <w:rPr>
          <w:rFonts w:hint="eastAsia"/>
        </w:rPr>
      </w:pPr>
      <w:r>
        <w:rPr>
          <w:rFonts w:hint="eastAsia"/>
        </w:rPr>
        <w:t>（4）进行现场评分</w:t>
      </w:r>
    </w:p>
    <w:p w:rsidR="00B868FF" w:rsidRDefault="00000000">
      <w:pPr>
        <w:pStyle w:val="af4"/>
        <w:ind w:firstLine="640"/>
        <w:rPr>
          <w:rFonts w:hint="eastAsia"/>
        </w:rPr>
      </w:pPr>
      <w:r>
        <w:rPr>
          <w:rFonts w:hint="eastAsia"/>
        </w:rPr>
        <w:t>针对评价中发现的问题与甘肃省高级人民法院及时沟通，对各项评价指标进行分析讨论，经反复分析、研究，按设计的评价指标体系进行现场评价打分。</w:t>
      </w:r>
    </w:p>
    <w:p w:rsidR="00B868FF" w:rsidRDefault="00000000">
      <w:pPr>
        <w:pStyle w:val="af4"/>
        <w:ind w:firstLine="640"/>
        <w:rPr>
          <w:rFonts w:hint="eastAsia"/>
        </w:rPr>
      </w:pPr>
      <w:r>
        <w:rPr>
          <w:rFonts w:hint="eastAsia"/>
        </w:rPr>
        <w:t>（5）开展社会调查</w:t>
      </w:r>
    </w:p>
    <w:p w:rsidR="00B868FF" w:rsidRDefault="00000000">
      <w:pPr>
        <w:pStyle w:val="af4"/>
        <w:ind w:firstLine="640"/>
        <w:rPr>
          <w:rFonts w:hint="eastAsia"/>
        </w:rPr>
      </w:pPr>
      <w:r>
        <w:rPr>
          <w:rFonts w:hint="eastAsia"/>
        </w:rPr>
        <w:t>根据绩效评价方案中确定的调查对象、调查内容，随机抽取项目受益对象进行调查，发放并收回调查问卷，对调查问卷进行统计分析。</w:t>
      </w:r>
    </w:p>
    <w:p w:rsidR="00B868FF" w:rsidRDefault="00000000">
      <w:pPr>
        <w:pStyle w:val="3"/>
        <w:keepNext w:val="0"/>
        <w:keepLines w:val="0"/>
        <w:overflowPunct w:val="0"/>
        <w:spacing w:before="0" w:after="0" w:line="560" w:lineRule="exact"/>
        <w:ind w:firstLineChars="200" w:firstLine="643"/>
        <w:rPr>
          <w:rFonts w:ascii="仿宋_GB2312" w:eastAsia="仿宋_GB2312" w:hAnsi="仿宋_GB2312" w:cs="仿宋_GB2312" w:hint="eastAsia"/>
          <w:color w:val="000000" w:themeColor="text1"/>
          <w:szCs w:val="32"/>
        </w:rPr>
      </w:pPr>
      <w:r>
        <w:rPr>
          <w:rFonts w:ascii="仿宋_GB2312" w:eastAsia="仿宋_GB2312" w:hAnsi="仿宋_GB2312" w:cs="仿宋_GB2312" w:hint="eastAsia"/>
          <w:color w:val="000000" w:themeColor="text1"/>
          <w:szCs w:val="32"/>
        </w:rPr>
        <w:t>3.撰写报告阶段</w:t>
      </w:r>
    </w:p>
    <w:p w:rsidR="00B868FF" w:rsidRDefault="00000000">
      <w:pPr>
        <w:pStyle w:val="af4"/>
        <w:ind w:firstLine="640"/>
        <w:rPr>
          <w:rFonts w:hint="eastAsia"/>
        </w:rPr>
      </w:pPr>
      <w:r>
        <w:rPr>
          <w:rFonts w:hint="eastAsia"/>
        </w:rPr>
        <w:t>（1）撰写绩效评价报告</w:t>
      </w:r>
    </w:p>
    <w:p w:rsidR="00B868FF" w:rsidRDefault="00000000">
      <w:pPr>
        <w:pStyle w:val="af4"/>
        <w:ind w:firstLine="640"/>
        <w:rPr>
          <w:rFonts w:hint="eastAsia"/>
        </w:rPr>
      </w:pPr>
      <w:r>
        <w:rPr>
          <w:rFonts w:hint="eastAsia"/>
        </w:rPr>
        <w:t>评价小组根据现场评价收集的资料，运用科学、合理的绩效评价指标、评价标准和评价方法，对项目支出的经济性、效率性和效益性进行客观、公正地评价，及时撰写绩效评价报告，并做到依据充分、数据真实、内容完整、客观公正、结论明确、建议可行。</w:t>
      </w:r>
    </w:p>
    <w:p w:rsidR="00B868FF" w:rsidRDefault="00000000">
      <w:pPr>
        <w:pStyle w:val="af4"/>
        <w:ind w:firstLine="640"/>
        <w:rPr>
          <w:rFonts w:hint="eastAsia"/>
        </w:rPr>
      </w:pPr>
      <w:r>
        <w:rPr>
          <w:rFonts w:hint="eastAsia"/>
        </w:rPr>
        <w:t>（2）绩效评价报告征求意见</w:t>
      </w:r>
    </w:p>
    <w:p w:rsidR="00B868FF" w:rsidRDefault="00000000">
      <w:pPr>
        <w:pStyle w:val="af4"/>
        <w:ind w:firstLine="640"/>
        <w:rPr>
          <w:rFonts w:hint="eastAsia"/>
        </w:rPr>
      </w:pPr>
      <w:r>
        <w:rPr>
          <w:rFonts w:hint="eastAsia"/>
        </w:rPr>
        <w:t>绩效评价报告初稿完成后，征求甘肃省高级人民法院的意见，根据反馈的有效意见对评价报告进行修改。</w:t>
      </w:r>
    </w:p>
    <w:p w:rsidR="00B868FF" w:rsidRDefault="00000000">
      <w:pPr>
        <w:pStyle w:val="af4"/>
        <w:ind w:firstLine="640"/>
        <w:rPr>
          <w:rFonts w:hint="eastAsia"/>
        </w:rPr>
      </w:pPr>
      <w:r>
        <w:rPr>
          <w:rFonts w:hint="eastAsia"/>
        </w:rPr>
        <w:t>（3）提交绩效评价报告</w:t>
      </w:r>
    </w:p>
    <w:p w:rsidR="00B868FF" w:rsidRDefault="00000000">
      <w:pPr>
        <w:pStyle w:val="af4"/>
        <w:ind w:firstLine="640"/>
        <w:rPr>
          <w:rFonts w:hint="eastAsia"/>
        </w:rPr>
      </w:pPr>
      <w:r>
        <w:rPr>
          <w:rFonts w:hint="eastAsia"/>
        </w:rPr>
        <w:t>绩效评价报告及评价数据资料经绩效评价负责人和被评价单位确定，在规定时间内按照规定的格式、要求，提交甘肃</w:t>
      </w:r>
      <w:r>
        <w:rPr>
          <w:rFonts w:hint="eastAsia"/>
        </w:rPr>
        <w:lastRenderedPageBreak/>
        <w:t>省高级人民法院。</w:t>
      </w:r>
    </w:p>
    <w:p w:rsidR="00B868FF" w:rsidRDefault="00000000">
      <w:pPr>
        <w:pStyle w:val="a6"/>
        <w:overflowPunct w:val="0"/>
        <w:spacing w:line="560" w:lineRule="exact"/>
        <w:ind w:firstLineChars="200" w:firstLine="640"/>
        <w:outlineLvl w:val="0"/>
        <w:rPr>
          <w:rFonts w:ascii="黑体" w:eastAsia="黑体"/>
        </w:rPr>
      </w:pPr>
      <w:bookmarkStart w:id="112" w:name="_Toc22550"/>
      <w:bookmarkStart w:id="113" w:name="_Toc6529"/>
      <w:bookmarkStart w:id="114" w:name="_Toc174375021"/>
      <w:r>
        <w:rPr>
          <w:rFonts w:ascii="黑体" w:eastAsia="黑体" w:hint="eastAsia"/>
        </w:rPr>
        <w:t>四、评价结论及分析</w:t>
      </w:r>
      <w:bookmarkEnd w:id="112"/>
      <w:bookmarkEnd w:id="113"/>
      <w:bookmarkEnd w:id="114"/>
    </w:p>
    <w:p w:rsidR="00B868FF" w:rsidRDefault="00000000">
      <w:pPr>
        <w:pStyle w:val="af4"/>
        <w:ind w:firstLine="640"/>
        <w:rPr>
          <w:rFonts w:hint="eastAsia"/>
        </w:rPr>
      </w:pPr>
      <w:r>
        <w:rPr>
          <w:rFonts w:hint="eastAsia"/>
        </w:rPr>
        <w:t>评价小组根据项目实际，运用事先设置的评价指标体系及评分标准，对本次绩效评价指标体系进行适当调整，并经过数据采集、问卷调查及访谈、专家论证等</w:t>
      </w:r>
      <w:r w:rsidR="00AF7B2A">
        <w:rPr>
          <w:rFonts w:hint="eastAsia"/>
        </w:rPr>
        <w:t>评价方式</w:t>
      </w:r>
      <w:r>
        <w:rPr>
          <w:rFonts w:hint="eastAsia"/>
        </w:rPr>
        <w:t>，客观公正地评价，评定2023年度文化建设宣传经费项目综合评价得分为96.54分，评价等级为“优”。指标具体得分情况见下表：</w:t>
      </w:r>
    </w:p>
    <w:tbl>
      <w:tblPr>
        <w:tblW w:w="8588" w:type="dxa"/>
        <w:tblInd w:w="96" w:type="dxa"/>
        <w:tblLook w:val="04A0" w:firstRow="1" w:lastRow="0" w:firstColumn="1" w:lastColumn="0" w:noHBand="0" w:noVBand="1"/>
      </w:tblPr>
      <w:tblGrid>
        <w:gridCol w:w="1116"/>
        <w:gridCol w:w="1113"/>
        <w:gridCol w:w="2662"/>
        <w:gridCol w:w="1223"/>
        <w:gridCol w:w="1222"/>
        <w:gridCol w:w="1252"/>
      </w:tblGrid>
      <w:tr w:rsidR="00B868FF">
        <w:trPr>
          <w:trHeight w:val="454"/>
          <w:tblHeader/>
        </w:trPr>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一级指标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二级指标</w:t>
            </w:r>
          </w:p>
        </w:tc>
        <w:tc>
          <w:tcPr>
            <w:tcW w:w="2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三级指标</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分值</w:t>
            </w:r>
          </w:p>
        </w:tc>
        <w:tc>
          <w:tcPr>
            <w:tcW w:w="1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得分</w:t>
            </w:r>
          </w:p>
        </w:tc>
        <w:tc>
          <w:tcPr>
            <w:tcW w:w="1252" w:type="dxa"/>
            <w:tcBorders>
              <w:top w:val="single" w:sz="4" w:space="0" w:color="000000"/>
              <w:left w:val="single" w:sz="4" w:space="0" w:color="000000"/>
              <w:bottom w:val="single" w:sz="4" w:space="0" w:color="auto"/>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得分率</w:t>
            </w:r>
          </w:p>
        </w:tc>
      </w:tr>
      <w:tr w:rsidR="00B868FF">
        <w:trPr>
          <w:trHeight w:val="454"/>
        </w:trPr>
        <w:tc>
          <w:tcPr>
            <w:tcW w:w="1116" w:type="dxa"/>
            <w:vMerge w:val="restart"/>
            <w:tcBorders>
              <w:top w:val="single" w:sz="4" w:space="0" w:color="000000"/>
              <w:left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决策指标</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项目立项</w:t>
            </w:r>
          </w:p>
        </w:tc>
        <w:tc>
          <w:tcPr>
            <w:tcW w:w="266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 xml:space="preserve">立项依据充分性    </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2.5</w:t>
            </w:r>
          </w:p>
        </w:tc>
        <w:tc>
          <w:tcPr>
            <w:tcW w:w="1222" w:type="dxa"/>
            <w:tcBorders>
              <w:top w:val="single" w:sz="4" w:space="0" w:color="000000"/>
              <w:left w:val="single" w:sz="4" w:space="0" w:color="000000"/>
              <w:bottom w:val="single" w:sz="4" w:space="0" w:color="000000"/>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2.5</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left w:val="single" w:sz="4" w:space="0" w:color="000000"/>
              <w:right w:val="single" w:sz="4" w:space="0" w:color="000000"/>
            </w:tcBorders>
            <w:shd w:val="clear" w:color="auto" w:fill="auto"/>
            <w:vAlign w:val="center"/>
          </w:tcPr>
          <w:p w:rsidR="00B868FF" w:rsidRDefault="00B868FF">
            <w:pPr>
              <w:jc w:val="center"/>
              <w:rPr>
                <w:rFonts w:ascii="宋体" w:eastAsia="宋体" w:hAnsi="宋体" w:cs="宋体" w:hint="eastAsia"/>
                <w:kern w:val="0"/>
                <w:sz w:val="20"/>
                <w:szCs w:val="20"/>
                <w:lang w:bidi="ar"/>
              </w:rPr>
            </w:pPr>
          </w:p>
        </w:tc>
        <w:tc>
          <w:tcPr>
            <w:tcW w:w="1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B868FF">
            <w:pPr>
              <w:jc w:val="center"/>
              <w:rPr>
                <w:rFonts w:ascii="宋体" w:eastAsia="宋体" w:hAnsi="宋体" w:cs="宋体" w:hint="eastAsia"/>
                <w:kern w:val="0"/>
                <w:sz w:val="20"/>
                <w:szCs w:val="20"/>
                <w:lang w:bidi="ar"/>
              </w:rPr>
            </w:pP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 xml:space="preserve">立项程序规范性    </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2.5</w:t>
            </w:r>
          </w:p>
        </w:tc>
        <w:tc>
          <w:tcPr>
            <w:tcW w:w="1222" w:type="dxa"/>
            <w:tcBorders>
              <w:top w:val="single" w:sz="4" w:space="0" w:color="000000"/>
              <w:left w:val="single" w:sz="4" w:space="0" w:color="000000"/>
              <w:bottom w:val="single" w:sz="4" w:space="0" w:color="000000"/>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2.5</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left w:val="single" w:sz="4" w:space="0" w:color="000000"/>
              <w:right w:val="single" w:sz="4" w:space="0" w:color="000000"/>
            </w:tcBorders>
            <w:shd w:val="clear" w:color="auto" w:fill="auto"/>
            <w:vAlign w:val="center"/>
          </w:tcPr>
          <w:p w:rsidR="00B868FF" w:rsidRDefault="00B868FF">
            <w:pPr>
              <w:jc w:val="center"/>
              <w:rPr>
                <w:rFonts w:ascii="宋体" w:eastAsia="宋体" w:hAnsi="宋体" w:cs="宋体" w:hint="eastAsia"/>
                <w:kern w:val="0"/>
                <w:sz w:val="20"/>
                <w:szCs w:val="20"/>
                <w:lang w:bidi="ar"/>
              </w:rPr>
            </w:pPr>
          </w:p>
        </w:tc>
        <w:tc>
          <w:tcPr>
            <w:tcW w:w="1113" w:type="dxa"/>
            <w:vMerge w:val="restart"/>
            <w:tcBorders>
              <w:top w:val="single" w:sz="4" w:space="0" w:color="000000"/>
              <w:left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绩效目标</w:t>
            </w: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 xml:space="preserve">绩效目标合理性    </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2.5</w:t>
            </w:r>
          </w:p>
        </w:tc>
        <w:tc>
          <w:tcPr>
            <w:tcW w:w="1222" w:type="dxa"/>
            <w:tcBorders>
              <w:top w:val="single" w:sz="4" w:space="0" w:color="000000"/>
              <w:left w:val="single" w:sz="4" w:space="0" w:color="000000"/>
              <w:bottom w:val="single" w:sz="4" w:space="0" w:color="000000"/>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2.5</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left w:val="single" w:sz="4" w:space="0" w:color="000000"/>
              <w:right w:val="single" w:sz="4" w:space="0" w:color="000000"/>
            </w:tcBorders>
            <w:shd w:val="clear" w:color="auto" w:fill="auto"/>
            <w:vAlign w:val="center"/>
          </w:tcPr>
          <w:p w:rsidR="00B868FF" w:rsidRDefault="00B868FF">
            <w:pPr>
              <w:widowControl/>
              <w:jc w:val="center"/>
              <w:textAlignment w:val="center"/>
              <w:rPr>
                <w:rFonts w:ascii="宋体" w:eastAsia="宋体" w:hAnsi="宋体" w:cs="宋体" w:hint="eastAsia"/>
                <w:kern w:val="0"/>
                <w:sz w:val="20"/>
                <w:szCs w:val="20"/>
                <w:lang w:bidi="ar"/>
              </w:rPr>
            </w:pPr>
          </w:p>
        </w:tc>
        <w:tc>
          <w:tcPr>
            <w:tcW w:w="1113" w:type="dxa"/>
            <w:vMerge/>
            <w:tcBorders>
              <w:left w:val="single" w:sz="4" w:space="0" w:color="000000"/>
              <w:bottom w:val="single" w:sz="4" w:space="0" w:color="000000"/>
              <w:right w:val="single" w:sz="4" w:space="0" w:color="000000"/>
            </w:tcBorders>
            <w:shd w:val="clear" w:color="auto" w:fill="auto"/>
            <w:vAlign w:val="center"/>
          </w:tcPr>
          <w:p w:rsidR="00B868FF" w:rsidRDefault="00B868FF">
            <w:pPr>
              <w:widowControl/>
              <w:jc w:val="center"/>
              <w:textAlignment w:val="center"/>
              <w:rPr>
                <w:rFonts w:ascii="宋体" w:eastAsia="宋体" w:hAnsi="宋体" w:cs="宋体" w:hint="eastAsia"/>
                <w:kern w:val="0"/>
                <w:sz w:val="20"/>
                <w:szCs w:val="20"/>
                <w:lang w:bidi="ar"/>
              </w:rPr>
            </w:pP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 xml:space="preserve">绩效指标明确性     </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2.5</w:t>
            </w:r>
          </w:p>
        </w:tc>
        <w:tc>
          <w:tcPr>
            <w:tcW w:w="1222" w:type="dxa"/>
            <w:tcBorders>
              <w:top w:val="single" w:sz="4" w:space="0" w:color="000000"/>
              <w:left w:val="single" w:sz="4" w:space="0" w:color="000000"/>
              <w:bottom w:val="single" w:sz="4" w:space="0" w:color="000000"/>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2.5</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left w:val="single" w:sz="4" w:space="0" w:color="000000"/>
              <w:right w:val="single" w:sz="4" w:space="0" w:color="000000"/>
            </w:tcBorders>
            <w:shd w:val="clear" w:color="auto" w:fill="auto"/>
            <w:vAlign w:val="center"/>
          </w:tcPr>
          <w:p w:rsidR="00B868FF" w:rsidRDefault="00B868FF">
            <w:pPr>
              <w:jc w:val="center"/>
              <w:rPr>
                <w:rFonts w:ascii="宋体" w:eastAsia="宋体" w:hAnsi="宋体" w:cs="宋体" w:hint="eastAsia"/>
                <w:kern w:val="0"/>
                <w:sz w:val="20"/>
                <w:szCs w:val="20"/>
                <w:lang w:bidi="ar"/>
              </w:rPr>
            </w:pP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 xml:space="preserve">资金投入  </w:t>
            </w: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 xml:space="preserve">预算编制科学性    </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2.5</w:t>
            </w:r>
          </w:p>
        </w:tc>
        <w:tc>
          <w:tcPr>
            <w:tcW w:w="1222" w:type="dxa"/>
            <w:tcBorders>
              <w:top w:val="single" w:sz="4" w:space="0" w:color="000000"/>
              <w:left w:val="single" w:sz="4" w:space="0" w:color="000000"/>
              <w:bottom w:val="single" w:sz="4" w:space="0" w:color="000000"/>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2.5</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left w:val="single" w:sz="4" w:space="0" w:color="000000"/>
              <w:bottom w:val="single" w:sz="4" w:space="0" w:color="000000"/>
              <w:right w:val="single" w:sz="4" w:space="0" w:color="000000"/>
            </w:tcBorders>
            <w:shd w:val="clear" w:color="auto" w:fill="auto"/>
            <w:vAlign w:val="center"/>
          </w:tcPr>
          <w:p w:rsidR="00B868FF" w:rsidRDefault="00B868FF">
            <w:pPr>
              <w:jc w:val="center"/>
              <w:rPr>
                <w:rFonts w:ascii="宋体" w:eastAsia="宋体" w:hAnsi="宋体" w:cs="宋体" w:hint="eastAsia"/>
                <w:kern w:val="0"/>
                <w:sz w:val="20"/>
                <w:szCs w:val="20"/>
                <w:lang w:bidi="ar"/>
              </w:rPr>
            </w:pPr>
          </w:p>
        </w:tc>
        <w:tc>
          <w:tcPr>
            <w:tcW w:w="1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B868FF">
            <w:pPr>
              <w:jc w:val="center"/>
              <w:rPr>
                <w:rFonts w:ascii="宋体" w:eastAsia="宋体" w:hAnsi="宋体" w:cs="宋体" w:hint="eastAsia"/>
                <w:kern w:val="0"/>
                <w:sz w:val="20"/>
                <w:szCs w:val="20"/>
                <w:lang w:bidi="ar"/>
              </w:rPr>
            </w:pP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 xml:space="preserve">资金分配合理性    </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2.5</w:t>
            </w:r>
          </w:p>
        </w:tc>
        <w:tc>
          <w:tcPr>
            <w:tcW w:w="1222" w:type="dxa"/>
            <w:tcBorders>
              <w:top w:val="single" w:sz="4" w:space="0" w:color="000000"/>
              <w:left w:val="single" w:sz="4" w:space="0" w:color="000000"/>
              <w:bottom w:val="single" w:sz="4" w:space="0" w:color="000000"/>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2.5</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val="restart"/>
            <w:tcBorders>
              <w:top w:val="single" w:sz="4" w:space="0" w:color="000000"/>
              <w:left w:val="single" w:sz="4" w:space="0" w:color="000000"/>
              <w:right w:val="single" w:sz="4" w:space="0" w:color="000000"/>
            </w:tcBorders>
            <w:shd w:val="clear" w:color="auto" w:fill="auto"/>
            <w:vAlign w:val="center"/>
          </w:tcPr>
          <w:p w:rsidR="00B868FF" w:rsidRDefault="00000000">
            <w:pP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过程指标</w:t>
            </w:r>
          </w:p>
        </w:tc>
        <w:tc>
          <w:tcPr>
            <w:tcW w:w="1113" w:type="dxa"/>
            <w:vMerge w:val="restart"/>
            <w:tcBorders>
              <w:top w:val="single" w:sz="4" w:space="0" w:color="000000"/>
              <w:left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资金管理</w:t>
            </w: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 xml:space="preserve">资金到位率        </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3</w:t>
            </w:r>
          </w:p>
        </w:tc>
        <w:tc>
          <w:tcPr>
            <w:tcW w:w="1222" w:type="dxa"/>
            <w:tcBorders>
              <w:top w:val="single" w:sz="4" w:space="0" w:color="000000"/>
              <w:left w:val="single" w:sz="4" w:space="0" w:color="000000"/>
              <w:bottom w:val="single" w:sz="4" w:space="0" w:color="000000"/>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3</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left w:val="single" w:sz="4" w:space="0" w:color="000000"/>
              <w:right w:val="single" w:sz="4" w:space="0" w:color="000000"/>
            </w:tcBorders>
            <w:shd w:val="clear" w:color="auto" w:fill="auto"/>
            <w:vAlign w:val="center"/>
          </w:tcPr>
          <w:p w:rsidR="00B868FF" w:rsidRDefault="00B868FF">
            <w:pPr>
              <w:widowControl/>
              <w:textAlignment w:val="center"/>
              <w:rPr>
                <w:rFonts w:ascii="宋体" w:eastAsia="宋体" w:hAnsi="宋体" w:cs="宋体" w:hint="eastAsia"/>
                <w:kern w:val="0"/>
                <w:sz w:val="20"/>
                <w:szCs w:val="20"/>
                <w:lang w:bidi="ar"/>
              </w:rPr>
            </w:pPr>
          </w:p>
        </w:tc>
        <w:tc>
          <w:tcPr>
            <w:tcW w:w="1113" w:type="dxa"/>
            <w:vMerge/>
            <w:tcBorders>
              <w:left w:val="single" w:sz="4" w:space="0" w:color="000000"/>
              <w:right w:val="single" w:sz="4" w:space="0" w:color="000000"/>
            </w:tcBorders>
            <w:shd w:val="clear" w:color="auto" w:fill="auto"/>
            <w:vAlign w:val="center"/>
          </w:tcPr>
          <w:p w:rsidR="00B868FF" w:rsidRDefault="00B868FF">
            <w:pPr>
              <w:widowControl/>
              <w:jc w:val="center"/>
              <w:textAlignment w:val="center"/>
              <w:rPr>
                <w:rFonts w:ascii="宋体" w:eastAsia="宋体" w:hAnsi="宋体" w:cs="宋体" w:hint="eastAsia"/>
                <w:kern w:val="0"/>
                <w:sz w:val="20"/>
                <w:szCs w:val="20"/>
                <w:lang w:bidi="ar"/>
              </w:rPr>
            </w:pP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预算执行率</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3</w:t>
            </w:r>
          </w:p>
        </w:tc>
        <w:tc>
          <w:tcPr>
            <w:tcW w:w="1222" w:type="dxa"/>
            <w:tcBorders>
              <w:top w:val="single" w:sz="4" w:space="0" w:color="000000"/>
              <w:left w:val="single" w:sz="4" w:space="0" w:color="000000"/>
              <w:bottom w:val="single" w:sz="4" w:space="0" w:color="000000"/>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0.54</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18.00%</w:t>
            </w:r>
          </w:p>
        </w:tc>
      </w:tr>
      <w:tr w:rsidR="00B868FF">
        <w:trPr>
          <w:trHeight w:val="454"/>
        </w:trPr>
        <w:tc>
          <w:tcPr>
            <w:tcW w:w="1116" w:type="dxa"/>
            <w:vMerge/>
            <w:tcBorders>
              <w:left w:val="single" w:sz="4" w:space="0" w:color="000000"/>
              <w:right w:val="single" w:sz="4" w:space="0" w:color="000000"/>
            </w:tcBorders>
            <w:shd w:val="clear" w:color="auto" w:fill="auto"/>
            <w:vAlign w:val="center"/>
          </w:tcPr>
          <w:p w:rsidR="00B868FF" w:rsidRDefault="00B868FF">
            <w:pPr>
              <w:jc w:val="center"/>
              <w:rPr>
                <w:rFonts w:ascii="宋体" w:eastAsia="宋体" w:hAnsi="宋体" w:cs="宋体" w:hint="eastAsia"/>
                <w:kern w:val="0"/>
                <w:sz w:val="20"/>
                <w:szCs w:val="20"/>
                <w:lang w:bidi="ar"/>
              </w:rPr>
            </w:pPr>
          </w:p>
        </w:tc>
        <w:tc>
          <w:tcPr>
            <w:tcW w:w="1113" w:type="dxa"/>
            <w:vMerge/>
            <w:tcBorders>
              <w:left w:val="single" w:sz="4" w:space="0" w:color="000000"/>
              <w:bottom w:val="single" w:sz="4" w:space="0" w:color="auto"/>
              <w:right w:val="single" w:sz="4" w:space="0" w:color="000000"/>
            </w:tcBorders>
            <w:shd w:val="clear" w:color="auto" w:fill="auto"/>
            <w:vAlign w:val="center"/>
          </w:tcPr>
          <w:p w:rsidR="00B868FF" w:rsidRDefault="00B868FF">
            <w:pPr>
              <w:jc w:val="center"/>
              <w:rPr>
                <w:rFonts w:ascii="宋体" w:eastAsia="宋体" w:hAnsi="宋体" w:cs="宋体" w:hint="eastAsia"/>
                <w:kern w:val="0"/>
                <w:sz w:val="20"/>
                <w:szCs w:val="20"/>
                <w:lang w:bidi="ar"/>
              </w:rPr>
            </w:pP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资金使用合</w:t>
            </w:r>
            <w:proofErr w:type="gramStart"/>
            <w:r>
              <w:rPr>
                <w:rFonts w:ascii="宋体" w:eastAsia="宋体" w:hAnsi="宋体" w:cs="宋体" w:hint="eastAsia"/>
                <w:kern w:val="0"/>
                <w:sz w:val="20"/>
                <w:szCs w:val="20"/>
                <w:lang w:bidi="ar"/>
              </w:rPr>
              <w:t>规</w:t>
            </w:r>
            <w:proofErr w:type="gramEnd"/>
            <w:r>
              <w:rPr>
                <w:rFonts w:ascii="宋体" w:eastAsia="宋体" w:hAnsi="宋体" w:cs="宋体" w:hint="eastAsia"/>
                <w:kern w:val="0"/>
                <w:sz w:val="20"/>
                <w:szCs w:val="20"/>
                <w:lang w:bidi="ar"/>
              </w:rPr>
              <w:t xml:space="preserve">性     </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3</w:t>
            </w:r>
          </w:p>
        </w:tc>
        <w:tc>
          <w:tcPr>
            <w:tcW w:w="1222" w:type="dxa"/>
            <w:tcBorders>
              <w:top w:val="single" w:sz="4" w:space="0" w:color="000000"/>
              <w:left w:val="single" w:sz="4" w:space="0" w:color="000000"/>
              <w:bottom w:val="single" w:sz="4" w:space="0" w:color="000000"/>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3</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left w:val="single" w:sz="4" w:space="0" w:color="000000"/>
              <w:right w:val="single" w:sz="4" w:space="0" w:color="000000"/>
            </w:tcBorders>
            <w:shd w:val="clear" w:color="auto" w:fill="auto"/>
            <w:vAlign w:val="center"/>
          </w:tcPr>
          <w:p w:rsidR="00B868FF" w:rsidRDefault="00B868FF">
            <w:pPr>
              <w:jc w:val="center"/>
              <w:rPr>
                <w:rFonts w:ascii="宋体" w:eastAsia="宋体" w:hAnsi="宋体" w:cs="宋体" w:hint="eastAsia"/>
                <w:kern w:val="0"/>
                <w:sz w:val="20"/>
                <w:szCs w:val="20"/>
                <w:lang w:bidi="ar"/>
              </w:rPr>
            </w:pPr>
          </w:p>
        </w:tc>
        <w:tc>
          <w:tcPr>
            <w:tcW w:w="1113"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 xml:space="preserve">组织实施      </w:t>
            </w: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 xml:space="preserve">管理制度健全性    </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3</w:t>
            </w:r>
          </w:p>
        </w:tc>
        <w:tc>
          <w:tcPr>
            <w:tcW w:w="1222" w:type="dxa"/>
            <w:tcBorders>
              <w:top w:val="single" w:sz="4" w:space="0" w:color="000000"/>
              <w:left w:val="single" w:sz="4" w:space="0" w:color="000000"/>
              <w:bottom w:val="single" w:sz="4" w:space="0" w:color="000000"/>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3</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left w:val="single" w:sz="4" w:space="0" w:color="000000"/>
              <w:right w:val="single" w:sz="4" w:space="0" w:color="000000"/>
            </w:tcBorders>
            <w:shd w:val="clear" w:color="auto" w:fill="auto"/>
            <w:vAlign w:val="center"/>
          </w:tcPr>
          <w:p w:rsidR="00B868FF" w:rsidRDefault="00B868FF">
            <w:pPr>
              <w:jc w:val="center"/>
              <w:rPr>
                <w:rFonts w:ascii="宋体" w:eastAsia="宋体" w:hAnsi="宋体" w:cs="宋体" w:hint="eastAsia"/>
                <w:kern w:val="0"/>
                <w:sz w:val="20"/>
                <w:szCs w:val="20"/>
                <w:lang w:bidi="ar"/>
              </w:rPr>
            </w:pPr>
          </w:p>
        </w:tc>
        <w:tc>
          <w:tcPr>
            <w:tcW w:w="1113"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B868FF" w:rsidRDefault="00B868FF">
            <w:pPr>
              <w:jc w:val="center"/>
              <w:rPr>
                <w:rStyle w:val="font11"/>
                <w:rFonts w:hint="default"/>
                <w:color w:val="auto"/>
                <w:lang w:bidi="ar"/>
              </w:rPr>
            </w:pP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 xml:space="preserve">制度执行有效性    </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3</w:t>
            </w:r>
          </w:p>
        </w:tc>
        <w:tc>
          <w:tcPr>
            <w:tcW w:w="1222" w:type="dxa"/>
            <w:tcBorders>
              <w:top w:val="single" w:sz="4" w:space="0" w:color="000000"/>
              <w:left w:val="single" w:sz="4" w:space="0" w:color="000000"/>
              <w:bottom w:val="single" w:sz="4" w:space="0" w:color="000000"/>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3</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left w:val="single" w:sz="4" w:space="0" w:color="000000"/>
              <w:bottom w:val="single" w:sz="4" w:space="0" w:color="auto"/>
              <w:right w:val="single" w:sz="4" w:space="0" w:color="000000"/>
            </w:tcBorders>
            <w:shd w:val="clear" w:color="auto" w:fill="auto"/>
            <w:vAlign w:val="center"/>
          </w:tcPr>
          <w:p w:rsidR="00B868FF" w:rsidRDefault="00B868FF">
            <w:pPr>
              <w:jc w:val="center"/>
              <w:rPr>
                <w:rFonts w:ascii="宋体" w:eastAsia="宋体" w:hAnsi="宋体" w:cs="宋体" w:hint="eastAsia"/>
                <w:kern w:val="0"/>
                <w:sz w:val="20"/>
                <w:szCs w:val="20"/>
                <w:lang w:bidi="ar"/>
              </w:rPr>
            </w:pPr>
          </w:p>
        </w:tc>
        <w:tc>
          <w:tcPr>
            <w:tcW w:w="1113"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B868FF" w:rsidRDefault="00B868FF">
            <w:pPr>
              <w:jc w:val="center"/>
              <w:rPr>
                <w:rFonts w:ascii="宋体" w:eastAsia="宋体" w:hAnsi="宋体" w:cs="宋体" w:hint="eastAsia"/>
                <w:kern w:val="0"/>
                <w:sz w:val="20"/>
                <w:szCs w:val="20"/>
                <w:lang w:bidi="ar"/>
              </w:rPr>
            </w:pP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采购管理规范性</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3</w:t>
            </w:r>
          </w:p>
        </w:tc>
        <w:tc>
          <w:tcPr>
            <w:tcW w:w="1222" w:type="dxa"/>
            <w:tcBorders>
              <w:top w:val="single" w:sz="4" w:space="0" w:color="000000"/>
              <w:left w:val="single" w:sz="4" w:space="0" w:color="000000"/>
              <w:bottom w:val="single" w:sz="4" w:space="0" w:color="000000"/>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3</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left w:val="single" w:sz="4" w:space="0" w:color="000000"/>
              <w:bottom w:val="single" w:sz="4" w:space="0" w:color="auto"/>
              <w:right w:val="single" w:sz="4" w:space="0" w:color="000000"/>
            </w:tcBorders>
            <w:shd w:val="clear" w:color="auto" w:fill="auto"/>
            <w:vAlign w:val="center"/>
          </w:tcPr>
          <w:p w:rsidR="00B868FF" w:rsidRDefault="00B868FF">
            <w:pPr>
              <w:jc w:val="center"/>
              <w:rPr>
                <w:rFonts w:ascii="宋体" w:eastAsia="宋体" w:hAnsi="宋体" w:cs="宋体" w:hint="eastAsia"/>
                <w:kern w:val="0"/>
                <w:sz w:val="20"/>
                <w:szCs w:val="20"/>
                <w:lang w:bidi="ar"/>
              </w:rPr>
            </w:pPr>
          </w:p>
        </w:tc>
        <w:tc>
          <w:tcPr>
            <w:tcW w:w="1113"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B868FF" w:rsidRDefault="00B868FF">
            <w:pPr>
              <w:jc w:val="center"/>
              <w:rPr>
                <w:rFonts w:ascii="宋体" w:eastAsia="宋体" w:hAnsi="宋体" w:cs="宋体" w:hint="eastAsia"/>
                <w:kern w:val="0"/>
                <w:sz w:val="20"/>
                <w:szCs w:val="20"/>
                <w:lang w:bidi="ar"/>
              </w:rPr>
            </w:pP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合同管理完备性</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3</w:t>
            </w:r>
          </w:p>
        </w:tc>
        <w:tc>
          <w:tcPr>
            <w:tcW w:w="1222" w:type="dxa"/>
            <w:tcBorders>
              <w:top w:val="single" w:sz="4" w:space="0" w:color="000000"/>
              <w:left w:val="single" w:sz="4" w:space="0" w:color="000000"/>
              <w:bottom w:val="single" w:sz="4" w:space="0" w:color="000000"/>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66.66%</w:t>
            </w:r>
          </w:p>
        </w:tc>
      </w:tr>
      <w:tr w:rsidR="00B868FF">
        <w:trPr>
          <w:trHeight w:val="454"/>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成本指标</w:t>
            </w:r>
          </w:p>
        </w:tc>
        <w:tc>
          <w:tcPr>
            <w:tcW w:w="1113" w:type="dxa"/>
            <w:tcBorders>
              <w:top w:val="single" w:sz="4" w:space="0" w:color="auto"/>
              <w:left w:val="single" w:sz="4" w:space="0" w:color="auto"/>
              <w:bottom w:val="single" w:sz="4" w:space="0" w:color="auto"/>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经济成本指标</w:t>
            </w: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成本控制情况</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10</w:t>
            </w:r>
          </w:p>
        </w:tc>
        <w:tc>
          <w:tcPr>
            <w:tcW w:w="1222" w:type="dxa"/>
            <w:tcBorders>
              <w:top w:val="single" w:sz="4" w:space="0" w:color="000000"/>
              <w:left w:val="single" w:sz="4" w:space="0" w:color="000000"/>
              <w:bottom w:val="single" w:sz="4" w:space="0" w:color="000000"/>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10</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Style w:val="font11"/>
                <w:rFonts w:hint="default"/>
                <w:color w:val="auto"/>
                <w:lang w:bidi="ar"/>
              </w:rPr>
            </w:pPr>
            <w:r>
              <w:rPr>
                <w:rFonts w:ascii="宋体" w:eastAsia="宋体" w:hAnsi="宋体" w:cs="宋体" w:hint="eastAsia"/>
                <w:kern w:val="0"/>
                <w:sz w:val="20"/>
                <w:szCs w:val="20"/>
                <w:lang w:bidi="ar"/>
              </w:rPr>
              <w:t>产出指标</w:t>
            </w:r>
          </w:p>
        </w:tc>
        <w:tc>
          <w:tcPr>
            <w:tcW w:w="1113" w:type="dxa"/>
            <w:vMerge w:val="restart"/>
            <w:tcBorders>
              <w:top w:val="single" w:sz="4" w:space="0" w:color="auto"/>
              <w:left w:val="single" w:sz="4" w:space="0" w:color="auto"/>
              <w:bottom w:val="single" w:sz="4" w:space="0" w:color="auto"/>
              <w:right w:val="single" w:sz="4" w:space="0" w:color="000000"/>
            </w:tcBorders>
            <w:shd w:val="clear" w:color="auto" w:fill="auto"/>
            <w:vAlign w:val="center"/>
          </w:tcPr>
          <w:p w:rsidR="00B868FF" w:rsidRDefault="00000000">
            <w:pPr>
              <w:widowControl/>
              <w:jc w:val="center"/>
              <w:textAlignment w:val="center"/>
              <w:rPr>
                <w:rStyle w:val="font11"/>
                <w:rFonts w:hint="default"/>
                <w:color w:val="auto"/>
                <w:lang w:bidi="ar"/>
              </w:rPr>
            </w:pPr>
            <w:r>
              <w:rPr>
                <w:rFonts w:ascii="宋体" w:eastAsia="宋体" w:hAnsi="宋体" w:cs="宋体" w:hint="eastAsia"/>
                <w:kern w:val="0"/>
                <w:sz w:val="20"/>
                <w:szCs w:val="20"/>
                <w:lang w:bidi="ar"/>
              </w:rPr>
              <w:t>数量指标</w:t>
            </w: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法治文化宣传材料印刷套数</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4</w:t>
            </w:r>
          </w:p>
        </w:tc>
        <w:tc>
          <w:tcPr>
            <w:tcW w:w="1222" w:type="dxa"/>
            <w:tcBorders>
              <w:top w:val="single" w:sz="4" w:space="0" w:color="000000"/>
              <w:left w:val="single" w:sz="4" w:space="0" w:color="000000"/>
              <w:bottom w:val="single" w:sz="4" w:space="0" w:color="000000"/>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4</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B868FF">
            <w:pPr>
              <w:jc w:val="center"/>
              <w:rPr>
                <w:rStyle w:val="font11"/>
                <w:rFonts w:hint="default"/>
                <w:color w:val="auto"/>
                <w:lang w:bidi="ar"/>
              </w:rPr>
            </w:pPr>
          </w:p>
        </w:tc>
        <w:tc>
          <w:tcPr>
            <w:tcW w:w="1113"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B868FF" w:rsidRDefault="00B868FF">
            <w:pPr>
              <w:jc w:val="center"/>
              <w:rPr>
                <w:rStyle w:val="font11"/>
                <w:rFonts w:hint="default"/>
                <w:color w:val="auto"/>
                <w:lang w:bidi="ar"/>
              </w:rPr>
            </w:pP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全年举办法治文化活动参与人次</w:t>
            </w:r>
          </w:p>
        </w:tc>
        <w:tc>
          <w:tcPr>
            <w:tcW w:w="1223" w:type="dxa"/>
            <w:tcBorders>
              <w:top w:val="single" w:sz="4" w:space="0" w:color="auto"/>
              <w:left w:val="single" w:sz="4" w:space="0" w:color="auto"/>
              <w:bottom w:val="nil"/>
              <w:right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4</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4</w:t>
            </w:r>
          </w:p>
        </w:tc>
        <w:tc>
          <w:tcPr>
            <w:tcW w:w="1252" w:type="dxa"/>
            <w:tcBorders>
              <w:top w:val="single" w:sz="4" w:space="0" w:color="auto"/>
              <w:left w:val="nil"/>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B868FF">
            <w:pPr>
              <w:jc w:val="center"/>
              <w:rPr>
                <w:rStyle w:val="font11"/>
                <w:rFonts w:hint="default"/>
                <w:color w:val="auto"/>
                <w:lang w:bidi="ar"/>
              </w:rPr>
            </w:pPr>
          </w:p>
        </w:tc>
        <w:tc>
          <w:tcPr>
            <w:tcW w:w="1113"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B868FF" w:rsidRDefault="00B868FF">
            <w:pPr>
              <w:jc w:val="center"/>
              <w:rPr>
                <w:rStyle w:val="font11"/>
                <w:rFonts w:hint="default"/>
                <w:color w:val="auto"/>
                <w:lang w:bidi="ar"/>
              </w:rPr>
            </w:pP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举办法治宣传活动次数</w:t>
            </w:r>
          </w:p>
        </w:tc>
        <w:tc>
          <w:tcPr>
            <w:tcW w:w="1223" w:type="dxa"/>
            <w:tcBorders>
              <w:top w:val="single" w:sz="4" w:space="0" w:color="auto"/>
              <w:left w:val="single" w:sz="4" w:space="0" w:color="auto"/>
              <w:bottom w:val="nil"/>
              <w:right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4</w:t>
            </w:r>
          </w:p>
        </w:tc>
        <w:tc>
          <w:tcPr>
            <w:tcW w:w="122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4</w:t>
            </w:r>
          </w:p>
        </w:tc>
        <w:tc>
          <w:tcPr>
            <w:tcW w:w="1252" w:type="dxa"/>
            <w:tcBorders>
              <w:top w:val="single" w:sz="4" w:space="0" w:color="auto"/>
              <w:left w:val="nil"/>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B868FF">
            <w:pPr>
              <w:jc w:val="center"/>
              <w:rPr>
                <w:rStyle w:val="font11"/>
                <w:rFonts w:hint="default"/>
                <w:color w:val="auto"/>
                <w:lang w:bidi="ar"/>
              </w:rPr>
            </w:pPr>
          </w:p>
        </w:tc>
        <w:tc>
          <w:tcPr>
            <w:tcW w:w="1113" w:type="dxa"/>
            <w:vMerge w:val="restart"/>
            <w:tcBorders>
              <w:top w:val="single" w:sz="4" w:space="0" w:color="auto"/>
              <w:left w:val="single" w:sz="4" w:space="0" w:color="auto"/>
              <w:bottom w:val="single" w:sz="4" w:space="0" w:color="auto"/>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质量指标</w:t>
            </w: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法治文化宣传覆盖率</w:t>
            </w:r>
          </w:p>
        </w:tc>
        <w:tc>
          <w:tcPr>
            <w:tcW w:w="1223" w:type="dxa"/>
            <w:tcBorders>
              <w:top w:val="single" w:sz="4" w:space="0" w:color="auto"/>
              <w:left w:val="single" w:sz="4" w:space="0" w:color="auto"/>
              <w:bottom w:val="nil"/>
              <w:right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4</w:t>
            </w:r>
          </w:p>
        </w:tc>
        <w:tc>
          <w:tcPr>
            <w:tcW w:w="122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4</w:t>
            </w:r>
          </w:p>
        </w:tc>
        <w:tc>
          <w:tcPr>
            <w:tcW w:w="1252" w:type="dxa"/>
            <w:tcBorders>
              <w:top w:val="single" w:sz="4" w:space="0" w:color="auto"/>
              <w:left w:val="nil"/>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B868FF">
            <w:pPr>
              <w:jc w:val="center"/>
              <w:rPr>
                <w:rStyle w:val="font11"/>
                <w:rFonts w:hint="default"/>
                <w:color w:val="auto"/>
                <w:lang w:bidi="ar"/>
              </w:rPr>
            </w:pPr>
          </w:p>
        </w:tc>
        <w:tc>
          <w:tcPr>
            <w:tcW w:w="1113"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B868FF" w:rsidRDefault="00B868FF">
            <w:pPr>
              <w:jc w:val="center"/>
              <w:rPr>
                <w:rStyle w:val="font11"/>
                <w:rFonts w:hint="default"/>
                <w:color w:val="auto"/>
                <w:lang w:bidi="ar"/>
              </w:rPr>
            </w:pP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法制宣传材料印刷合格率</w:t>
            </w:r>
          </w:p>
        </w:tc>
        <w:tc>
          <w:tcPr>
            <w:tcW w:w="1223" w:type="dxa"/>
            <w:tcBorders>
              <w:top w:val="single" w:sz="4" w:space="0" w:color="auto"/>
              <w:left w:val="single" w:sz="4" w:space="0" w:color="auto"/>
              <w:bottom w:val="single" w:sz="4" w:space="0" w:color="auto"/>
              <w:right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4</w:t>
            </w:r>
          </w:p>
        </w:tc>
        <w:tc>
          <w:tcPr>
            <w:tcW w:w="122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4</w:t>
            </w:r>
          </w:p>
        </w:tc>
        <w:tc>
          <w:tcPr>
            <w:tcW w:w="1252" w:type="dxa"/>
            <w:tcBorders>
              <w:top w:val="single" w:sz="4" w:space="0" w:color="auto"/>
              <w:left w:val="nil"/>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868FF" w:rsidRDefault="00B868FF">
            <w:pPr>
              <w:jc w:val="center"/>
              <w:rPr>
                <w:rStyle w:val="font11"/>
                <w:rFonts w:hint="default"/>
                <w:color w:val="auto"/>
                <w:lang w:bidi="ar"/>
              </w:rPr>
            </w:pPr>
          </w:p>
        </w:tc>
        <w:tc>
          <w:tcPr>
            <w:tcW w:w="1113" w:type="dxa"/>
            <w:tcBorders>
              <w:top w:val="single" w:sz="4" w:space="0" w:color="auto"/>
              <w:left w:val="single" w:sz="4" w:space="0" w:color="auto"/>
              <w:right w:val="single" w:sz="4" w:space="0" w:color="000000"/>
            </w:tcBorders>
            <w:shd w:val="clear" w:color="auto" w:fill="auto"/>
            <w:vAlign w:val="center"/>
          </w:tcPr>
          <w:p w:rsidR="00B868FF" w:rsidRDefault="00000000">
            <w:pPr>
              <w:widowControl/>
              <w:jc w:val="center"/>
              <w:textAlignment w:val="center"/>
              <w:rPr>
                <w:rStyle w:val="font11"/>
                <w:rFonts w:hint="default"/>
                <w:color w:val="auto"/>
                <w:lang w:bidi="ar"/>
              </w:rPr>
            </w:pPr>
            <w:r>
              <w:rPr>
                <w:rFonts w:ascii="宋体" w:eastAsia="宋体" w:hAnsi="宋体" w:cs="宋体" w:hint="eastAsia"/>
                <w:kern w:val="0"/>
                <w:sz w:val="20"/>
                <w:szCs w:val="20"/>
                <w:lang w:bidi="ar"/>
              </w:rPr>
              <w:t>时效指标</w:t>
            </w:r>
          </w:p>
        </w:tc>
        <w:tc>
          <w:tcPr>
            <w:tcW w:w="266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法治宣传工作开展及时性</w:t>
            </w:r>
          </w:p>
        </w:tc>
        <w:tc>
          <w:tcPr>
            <w:tcW w:w="1223" w:type="dxa"/>
            <w:tcBorders>
              <w:top w:val="single" w:sz="4" w:space="0" w:color="auto"/>
              <w:left w:val="single" w:sz="4" w:space="0" w:color="auto"/>
              <w:bottom w:val="nil"/>
              <w:right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4</w:t>
            </w:r>
          </w:p>
        </w:tc>
        <w:tc>
          <w:tcPr>
            <w:tcW w:w="122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4</w:t>
            </w:r>
          </w:p>
        </w:tc>
        <w:tc>
          <w:tcPr>
            <w:tcW w:w="1252" w:type="dxa"/>
            <w:tcBorders>
              <w:top w:val="single" w:sz="4" w:space="0" w:color="auto"/>
              <w:left w:val="nil"/>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val="restart"/>
            <w:tcBorders>
              <w:top w:val="single" w:sz="4" w:space="0" w:color="auto"/>
              <w:left w:val="single" w:sz="4" w:space="0" w:color="000000"/>
              <w:right w:val="single" w:sz="4" w:space="0" w:color="000000"/>
            </w:tcBorders>
            <w:shd w:val="clear" w:color="auto" w:fill="auto"/>
            <w:vAlign w:val="center"/>
          </w:tcPr>
          <w:p w:rsidR="00B868FF" w:rsidRDefault="00000000">
            <w:pPr>
              <w:widowControl/>
              <w:jc w:val="center"/>
              <w:textAlignment w:val="center"/>
              <w:rPr>
                <w:rStyle w:val="font11"/>
                <w:rFonts w:hint="default"/>
                <w:color w:val="auto"/>
                <w:lang w:bidi="ar"/>
              </w:rPr>
            </w:pPr>
            <w:r>
              <w:rPr>
                <w:rFonts w:ascii="宋体" w:eastAsia="宋体" w:hAnsi="宋体" w:cs="宋体" w:hint="eastAsia"/>
                <w:kern w:val="0"/>
                <w:sz w:val="20"/>
                <w:szCs w:val="20"/>
                <w:lang w:bidi="ar"/>
              </w:rPr>
              <w:t>效益指标</w:t>
            </w:r>
          </w:p>
        </w:tc>
        <w:tc>
          <w:tcPr>
            <w:tcW w:w="1113" w:type="dxa"/>
            <w:vMerge w:val="restart"/>
            <w:tcBorders>
              <w:top w:val="single" w:sz="4" w:space="0" w:color="auto"/>
              <w:left w:val="single" w:sz="4" w:space="0" w:color="000000"/>
              <w:right w:val="single" w:sz="4" w:space="0" w:color="000000"/>
            </w:tcBorders>
            <w:shd w:val="clear" w:color="auto" w:fill="auto"/>
            <w:vAlign w:val="center"/>
          </w:tcPr>
          <w:p w:rsidR="00B868FF" w:rsidRDefault="00000000">
            <w:pPr>
              <w:widowControl/>
              <w:jc w:val="center"/>
              <w:textAlignment w:val="center"/>
              <w:rPr>
                <w:rStyle w:val="font11"/>
                <w:rFonts w:hint="default"/>
                <w:color w:val="auto"/>
                <w:lang w:bidi="ar"/>
              </w:rPr>
            </w:pPr>
            <w:r>
              <w:rPr>
                <w:rFonts w:ascii="宋体" w:eastAsia="宋体" w:hAnsi="宋体" w:cs="宋体" w:hint="eastAsia"/>
                <w:kern w:val="0"/>
                <w:sz w:val="20"/>
                <w:szCs w:val="20"/>
                <w:lang w:bidi="ar"/>
              </w:rPr>
              <w:t>社会效益指标</w:t>
            </w:r>
          </w:p>
        </w:tc>
        <w:tc>
          <w:tcPr>
            <w:tcW w:w="2662" w:type="dxa"/>
            <w:tcBorders>
              <w:top w:val="single" w:sz="4" w:space="0" w:color="auto"/>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普法宣传教育效果</w:t>
            </w:r>
          </w:p>
        </w:tc>
        <w:tc>
          <w:tcPr>
            <w:tcW w:w="1223" w:type="dxa"/>
            <w:tcBorders>
              <w:top w:val="single" w:sz="4" w:space="0" w:color="auto"/>
              <w:left w:val="single" w:sz="4" w:space="0" w:color="auto"/>
              <w:bottom w:val="nil"/>
              <w:right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10</w:t>
            </w:r>
          </w:p>
        </w:tc>
        <w:tc>
          <w:tcPr>
            <w:tcW w:w="122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10</w:t>
            </w:r>
          </w:p>
        </w:tc>
        <w:tc>
          <w:tcPr>
            <w:tcW w:w="1252" w:type="dxa"/>
            <w:tcBorders>
              <w:top w:val="single" w:sz="4" w:space="0" w:color="auto"/>
              <w:left w:val="nil"/>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left w:val="single" w:sz="4" w:space="0" w:color="000000"/>
              <w:right w:val="single" w:sz="4" w:space="0" w:color="000000"/>
            </w:tcBorders>
            <w:shd w:val="clear" w:color="auto" w:fill="auto"/>
            <w:vAlign w:val="center"/>
          </w:tcPr>
          <w:p w:rsidR="00B868FF" w:rsidRDefault="00B868FF">
            <w:pPr>
              <w:jc w:val="center"/>
              <w:rPr>
                <w:rStyle w:val="font11"/>
                <w:rFonts w:hint="default"/>
                <w:color w:val="auto"/>
                <w:lang w:bidi="ar"/>
              </w:rPr>
            </w:pPr>
          </w:p>
        </w:tc>
        <w:tc>
          <w:tcPr>
            <w:tcW w:w="1113" w:type="dxa"/>
            <w:vMerge/>
            <w:tcBorders>
              <w:top w:val="single" w:sz="4" w:space="0" w:color="auto"/>
              <w:left w:val="single" w:sz="4" w:space="0" w:color="000000"/>
              <w:right w:val="single" w:sz="4" w:space="0" w:color="000000"/>
            </w:tcBorders>
            <w:shd w:val="clear" w:color="auto" w:fill="auto"/>
            <w:vAlign w:val="center"/>
          </w:tcPr>
          <w:p w:rsidR="00B868FF" w:rsidRDefault="00B868FF">
            <w:pPr>
              <w:jc w:val="center"/>
              <w:rPr>
                <w:rStyle w:val="font11"/>
                <w:rFonts w:hint="default"/>
                <w:color w:val="auto"/>
                <w:lang w:bidi="ar"/>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提高人民法治意识</w:t>
            </w:r>
          </w:p>
        </w:tc>
        <w:tc>
          <w:tcPr>
            <w:tcW w:w="1223" w:type="dxa"/>
            <w:tcBorders>
              <w:top w:val="single" w:sz="4" w:space="0" w:color="auto"/>
              <w:left w:val="single" w:sz="4" w:space="0" w:color="auto"/>
              <w:bottom w:val="nil"/>
              <w:right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10</w:t>
            </w:r>
          </w:p>
        </w:tc>
        <w:tc>
          <w:tcPr>
            <w:tcW w:w="122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10</w:t>
            </w:r>
          </w:p>
        </w:tc>
        <w:tc>
          <w:tcPr>
            <w:tcW w:w="1252" w:type="dxa"/>
            <w:tcBorders>
              <w:top w:val="single" w:sz="4" w:space="0" w:color="auto"/>
              <w:left w:val="nil"/>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1116" w:type="dxa"/>
            <w:vMerge/>
            <w:tcBorders>
              <w:left w:val="single" w:sz="4" w:space="0" w:color="000000"/>
              <w:right w:val="single" w:sz="4" w:space="0" w:color="000000"/>
            </w:tcBorders>
            <w:shd w:val="clear" w:color="auto" w:fill="auto"/>
            <w:vAlign w:val="center"/>
          </w:tcPr>
          <w:p w:rsidR="00B868FF" w:rsidRDefault="00B868FF">
            <w:pPr>
              <w:jc w:val="center"/>
              <w:rPr>
                <w:rStyle w:val="font11"/>
                <w:rFonts w:hint="default"/>
                <w:color w:val="auto"/>
                <w:lang w:bidi="ar"/>
              </w:rPr>
            </w:pPr>
          </w:p>
        </w:tc>
        <w:tc>
          <w:tcPr>
            <w:tcW w:w="1113" w:type="dxa"/>
            <w:tcBorders>
              <w:top w:val="single" w:sz="4" w:space="0" w:color="auto"/>
              <w:left w:val="single" w:sz="4" w:space="0" w:color="000000"/>
              <w:right w:val="single" w:sz="4" w:space="0" w:color="000000"/>
            </w:tcBorders>
            <w:shd w:val="clear" w:color="auto" w:fill="auto"/>
            <w:vAlign w:val="center"/>
          </w:tcPr>
          <w:p w:rsidR="00B868FF" w:rsidRDefault="00000000">
            <w:pPr>
              <w:widowControl/>
              <w:jc w:val="center"/>
              <w:textAlignment w:val="center"/>
              <w:rPr>
                <w:rStyle w:val="font11"/>
                <w:rFonts w:hint="default"/>
                <w:color w:val="auto"/>
                <w:lang w:bidi="ar"/>
              </w:rPr>
            </w:pPr>
            <w:r>
              <w:rPr>
                <w:rFonts w:ascii="宋体" w:eastAsia="宋体" w:hAnsi="宋体" w:cs="宋体" w:hint="eastAsia"/>
                <w:kern w:val="0"/>
                <w:sz w:val="20"/>
                <w:szCs w:val="20"/>
                <w:lang w:bidi="ar"/>
              </w:rPr>
              <w:t>服务对象满意度指标</w:t>
            </w:r>
          </w:p>
        </w:tc>
        <w:tc>
          <w:tcPr>
            <w:tcW w:w="2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受宣传人员满意度</w:t>
            </w:r>
          </w:p>
        </w:tc>
        <w:tc>
          <w:tcPr>
            <w:tcW w:w="1223" w:type="dxa"/>
            <w:tcBorders>
              <w:top w:val="single" w:sz="4" w:space="0" w:color="auto"/>
              <w:left w:val="single" w:sz="4" w:space="0" w:color="auto"/>
              <w:bottom w:val="nil"/>
              <w:right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10</w:t>
            </w:r>
          </w:p>
        </w:tc>
        <w:tc>
          <w:tcPr>
            <w:tcW w:w="1222" w:type="dxa"/>
            <w:tcBorders>
              <w:top w:val="nil"/>
              <w:left w:val="single" w:sz="4" w:space="0" w:color="auto"/>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10</w:t>
            </w:r>
          </w:p>
        </w:tc>
        <w:tc>
          <w:tcPr>
            <w:tcW w:w="1252" w:type="dxa"/>
            <w:tcBorders>
              <w:top w:val="single" w:sz="4" w:space="0" w:color="auto"/>
              <w:left w:val="nil"/>
              <w:bottom w:val="single" w:sz="4" w:space="0" w:color="auto"/>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100.00%</w:t>
            </w:r>
          </w:p>
        </w:tc>
      </w:tr>
      <w:tr w:rsidR="00B868FF">
        <w:trPr>
          <w:trHeight w:val="454"/>
        </w:trPr>
        <w:tc>
          <w:tcPr>
            <w:tcW w:w="4891"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合计</w:t>
            </w:r>
          </w:p>
        </w:tc>
        <w:tc>
          <w:tcPr>
            <w:tcW w:w="1223" w:type="dxa"/>
            <w:tcBorders>
              <w:top w:val="single" w:sz="4" w:space="0" w:color="000000"/>
              <w:left w:val="single" w:sz="4" w:space="0" w:color="auto"/>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100</w:t>
            </w:r>
          </w:p>
        </w:tc>
        <w:tc>
          <w:tcPr>
            <w:tcW w:w="1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color w:val="000000"/>
                <w:kern w:val="0"/>
                <w:sz w:val="20"/>
                <w:szCs w:val="20"/>
                <w:lang w:bidi="ar"/>
              </w:rPr>
              <w:t>96.54</w:t>
            </w:r>
          </w:p>
        </w:tc>
        <w:tc>
          <w:tcPr>
            <w:tcW w:w="1252" w:type="dxa"/>
            <w:tcBorders>
              <w:top w:val="single" w:sz="4" w:space="0" w:color="auto"/>
              <w:left w:val="single" w:sz="4" w:space="0" w:color="000000"/>
              <w:bottom w:val="single" w:sz="4" w:space="0" w:color="000000"/>
              <w:right w:val="single" w:sz="4" w:space="0" w:color="000000"/>
            </w:tcBorders>
            <w:shd w:val="clear" w:color="auto" w:fill="auto"/>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color w:val="000000"/>
                <w:kern w:val="0"/>
                <w:sz w:val="20"/>
                <w:szCs w:val="20"/>
                <w:lang w:bidi="ar"/>
              </w:rPr>
              <w:t>96.54%</w:t>
            </w:r>
          </w:p>
        </w:tc>
      </w:tr>
    </w:tbl>
    <w:p w:rsidR="00B868FF" w:rsidRDefault="00000000">
      <w:pPr>
        <w:pStyle w:val="af4"/>
        <w:ind w:firstLine="640"/>
        <w:rPr>
          <w:rFonts w:hint="eastAsia"/>
        </w:rPr>
      </w:pPr>
      <w:bookmarkStart w:id="115" w:name="_Toc10740"/>
      <w:r w:rsidRPr="00D07D63">
        <w:rPr>
          <w:rFonts w:hint="eastAsia"/>
        </w:rPr>
        <w:t>评价认为，文化建</w:t>
      </w:r>
      <w:r>
        <w:rPr>
          <w:rFonts w:hint="eastAsia"/>
        </w:rPr>
        <w:t>设宣传经费项目立项程序规范，依据充分，项目实施必要。在专项资金统一保障下，项目顺利开展，项目实施流程严谨，执行管理到位，资金使用效果良好。项目总体组织规范，通过项目实施，引导人民知法、懂法、用法，回应社会关切、普及法律知识，发挥大要案的示范引领作用，促进全社会形成崇尚法治的良好氛围。</w:t>
      </w:r>
      <w:bookmarkStart w:id="116" w:name="_Hlk174210233"/>
      <w:r>
        <w:rPr>
          <w:rFonts w:hint="eastAsia"/>
        </w:rPr>
        <w:t>但该项目也存在预算执行率低，合同管理不</w:t>
      </w:r>
      <w:r w:rsidR="00B1109C">
        <w:rPr>
          <w:rFonts w:hint="eastAsia"/>
        </w:rPr>
        <w:t>规范的</w:t>
      </w:r>
      <w:r>
        <w:rPr>
          <w:rFonts w:hint="eastAsia"/>
        </w:rPr>
        <w:t>问题。</w:t>
      </w:r>
      <w:bookmarkEnd w:id="115"/>
    </w:p>
    <w:p w:rsidR="00B868FF" w:rsidRDefault="00000000">
      <w:pPr>
        <w:pStyle w:val="a6"/>
        <w:tabs>
          <w:tab w:val="left" w:pos="3780"/>
        </w:tabs>
        <w:overflowPunct w:val="0"/>
        <w:spacing w:line="560" w:lineRule="exact"/>
        <w:ind w:firstLineChars="200" w:firstLine="640"/>
        <w:outlineLvl w:val="0"/>
        <w:rPr>
          <w:rFonts w:ascii="黑体" w:eastAsia="黑体"/>
        </w:rPr>
      </w:pPr>
      <w:bookmarkStart w:id="117" w:name="_Toc30293"/>
      <w:bookmarkStart w:id="118" w:name="_Toc25412"/>
      <w:bookmarkStart w:id="119" w:name="_Toc174375022"/>
      <w:bookmarkEnd w:id="116"/>
      <w:r>
        <w:rPr>
          <w:rFonts w:ascii="黑体" w:eastAsia="黑体" w:hint="eastAsia"/>
        </w:rPr>
        <w:t>五、绩效评价指标分析</w:t>
      </w:r>
      <w:bookmarkEnd w:id="117"/>
      <w:bookmarkEnd w:id="118"/>
      <w:bookmarkEnd w:id="119"/>
    </w:p>
    <w:p w:rsidR="00B868FF" w:rsidRDefault="00000000">
      <w:pPr>
        <w:tabs>
          <w:tab w:val="left" w:pos="3780"/>
        </w:tabs>
        <w:overflowPunct w:val="0"/>
        <w:spacing w:line="560" w:lineRule="exact"/>
        <w:ind w:firstLineChars="200" w:firstLine="640"/>
        <w:rPr>
          <w:rStyle w:val="af5"/>
          <w:rFonts w:hint="eastAsia"/>
        </w:rPr>
      </w:pPr>
      <w:r>
        <w:rPr>
          <w:rStyle w:val="af5"/>
          <w:rFonts w:hint="eastAsia"/>
        </w:rPr>
        <w:t>文化建设宣传经费项目绩效评价分级设计项目决策、过程、成本、产出、效益五个一级指标，一级指标具体得分情况见下表：</w:t>
      </w:r>
    </w:p>
    <w:p w:rsidR="00B868FF" w:rsidRDefault="00000000">
      <w:pPr>
        <w:overflowPunct w:val="0"/>
        <w:spacing w:beforeLines="50" w:before="156" w:afterLines="50" w:after="156"/>
        <w:jc w:val="left"/>
        <w:rPr>
          <w:rFonts w:asciiTheme="minorEastAsia" w:hAnsiTheme="minorEastAsia" w:cs="黑体" w:hint="eastAsia"/>
          <w:sz w:val="28"/>
          <w:szCs w:val="24"/>
          <w:highlight w:val="yellow"/>
        </w:rPr>
      </w:pPr>
      <w:r>
        <w:rPr>
          <w:rFonts w:asciiTheme="minorEastAsia" w:hAnsiTheme="minorEastAsia" w:cstheme="minorEastAsia" w:hint="eastAsia"/>
          <w:noProof/>
          <w:kern w:val="0"/>
          <w:sz w:val="28"/>
          <w:szCs w:val="28"/>
        </w:rPr>
        <w:lastRenderedPageBreak/>
        <w:drawing>
          <wp:inline distT="0" distB="0" distL="114300" distR="114300">
            <wp:extent cx="5433060" cy="3860165"/>
            <wp:effectExtent l="0" t="0" r="15240" b="698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868FF" w:rsidRDefault="00000000">
      <w:pPr>
        <w:pStyle w:val="a6"/>
        <w:overflowPunct w:val="0"/>
        <w:spacing w:line="560" w:lineRule="exact"/>
        <w:ind w:firstLineChars="200" w:firstLine="643"/>
        <w:outlineLvl w:val="1"/>
        <w:rPr>
          <w:rFonts w:ascii="楷体" w:eastAsia="楷体" w:hAnsi="楷体" w:cs="楷体" w:hint="eastAsia"/>
          <w:b/>
          <w:bCs/>
        </w:rPr>
      </w:pPr>
      <w:bookmarkStart w:id="120" w:name="_Toc30072"/>
      <w:bookmarkStart w:id="121" w:name="_Toc23689"/>
      <w:bookmarkStart w:id="122" w:name="_Toc174375023"/>
      <w:r>
        <w:rPr>
          <w:rFonts w:ascii="楷体" w:eastAsia="楷体" w:hAnsi="楷体" w:cs="楷体" w:hint="eastAsia"/>
          <w:b/>
          <w:bCs/>
        </w:rPr>
        <w:t>（一）项目决策情况</w:t>
      </w:r>
      <w:bookmarkEnd w:id="120"/>
      <w:bookmarkEnd w:id="121"/>
      <w:bookmarkEnd w:id="122"/>
    </w:p>
    <w:p w:rsidR="00B868FF" w:rsidRDefault="00000000">
      <w:pPr>
        <w:pStyle w:val="af4"/>
        <w:ind w:firstLine="640"/>
        <w:rPr>
          <w:rFonts w:hint="eastAsia"/>
        </w:rPr>
      </w:pPr>
      <w:r>
        <w:rPr>
          <w:rFonts w:hint="eastAsia"/>
        </w:rPr>
        <w:t>项目决策指标包括项目立项、绩效目标、资金投入三个二级指标，项目立项指标包括立项依据充分性、立项程序规范性两个三级指标，绩效目标指标包括绩效目标合理性、绩效指标明确性两个三级指标，资金投入指标包括预算编制科学性、资金分配合理性两个三级指标。指标分值15分，评价得分15分，得分率100.00%。</w:t>
      </w:r>
    </w:p>
    <w:tbl>
      <w:tblPr>
        <w:tblStyle w:val="af"/>
        <w:tblW w:w="8686" w:type="dxa"/>
        <w:tblLayout w:type="fixed"/>
        <w:tblLook w:val="04A0" w:firstRow="1" w:lastRow="0" w:firstColumn="1" w:lastColumn="0" w:noHBand="0" w:noVBand="1"/>
      </w:tblPr>
      <w:tblGrid>
        <w:gridCol w:w="1240"/>
        <w:gridCol w:w="2198"/>
        <w:gridCol w:w="835"/>
        <w:gridCol w:w="1186"/>
        <w:gridCol w:w="1181"/>
        <w:gridCol w:w="805"/>
        <w:gridCol w:w="1241"/>
      </w:tblGrid>
      <w:tr w:rsidR="00B868FF">
        <w:trPr>
          <w:trHeight w:val="454"/>
          <w:tblHeader/>
        </w:trPr>
        <w:tc>
          <w:tcPr>
            <w:tcW w:w="1240" w:type="dxa"/>
            <w:tcBorders>
              <w:top w:val="single" w:sz="12" w:space="0" w:color="auto"/>
              <w:left w:val="nil"/>
              <w:bottom w:val="dotted" w:sz="4" w:space="0" w:color="auto"/>
              <w:right w:val="dotted" w:sz="4" w:space="0" w:color="auto"/>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二级指标</w:t>
            </w:r>
          </w:p>
        </w:tc>
        <w:tc>
          <w:tcPr>
            <w:tcW w:w="2198" w:type="dxa"/>
            <w:tcBorders>
              <w:top w:val="single" w:sz="12" w:space="0" w:color="auto"/>
              <w:left w:val="dotted" w:sz="4" w:space="0" w:color="auto"/>
              <w:bottom w:val="dotted" w:sz="4" w:space="0" w:color="auto"/>
              <w:right w:val="dotted" w:sz="4" w:space="0" w:color="auto"/>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三级指标</w:t>
            </w:r>
          </w:p>
        </w:tc>
        <w:tc>
          <w:tcPr>
            <w:tcW w:w="835" w:type="dxa"/>
            <w:tcBorders>
              <w:top w:val="single" w:sz="12" w:space="0" w:color="auto"/>
              <w:left w:val="dotted" w:sz="4" w:space="0" w:color="auto"/>
              <w:bottom w:val="dotted" w:sz="4" w:space="0" w:color="auto"/>
              <w:right w:val="dotted" w:sz="4" w:space="0" w:color="auto"/>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分值</w:t>
            </w:r>
          </w:p>
        </w:tc>
        <w:tc>
          <w:tcPr>
            <w:tcW w:w="1186" w:type="dxa"/>
            <w:tcBorders>
              <w:top w:val="single" w:sz="12" w:space="0" w:color="auto"/>
              <w:left w:val="dotted" w:sz="4" w:space="0" w:color="auto"/>
              <w:bottom w:val="dotted" w:sz="4" w:space="0" w:color="auto"/>
              <w:right w:val="dotted" w:sz="4" w:space="0" w:color="auto"/>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目标值</w:t>
            </w:r>
          </w:p>
        </w:tc>
        <w:tc>
          <w:tcPr>
            <w:tcW w:w="1181" w:type="dxa"/>
            <w:tcBorders>
              <w:top w:val="single" w:sz="12" w:space="0" w:color="auto"/>
              <w:left w:val="dotted" w:sz="4" w:space="0" w:color="auto"/>
              <w:bottom w:val="dotted" w:sz="4" w:space="0" w:color="auto"/>
              <w:right w:val="dotted" w:sz="4" w:space="0" w:color="auto"/>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业绩值</w:t>
            </w:r>
          </w:p>
        </w:tc>
        <w:tc>
          <w:tcPr>
            <w:tcW w:w="805" w:type="dxa"/>
            <w:tcBorders>
              <w:top w:val="single" w:sz="12" w:space="0" w:color="auto"/>
              <w:left w:val="dotted" w:sz="4" w:space="0" w:color="auto"/>
              <w:bottom w:val="dotted" w:sz="4" w:space="0" w:color="auto"/>
              <w:right w:val="dotted" w:sz="4" w:space="0" w:color="auto"/>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得分</w:t>
            </w:r>
          </w:p>
        </w:tc>
        <w:tc>
          <w:tcPr>
            <w:tcW w:w="1241" w:type="dxa"/>
            <w:tcBorders>
              <w:top w:val="single" w:sz="12" w:space="0" w:color="auto"/>
              <w:left w:val="dotted" w:sz="4" w:space="0" w:color="auto"/>
              <w:bottom w:val="dotted" w:sz="4" w:space="0" w:color="auto"/>
              <w:right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得分率</w:t>
            </w:r>
          </w:p>
        </w:tc>
      </w:tr>
      <w:tr w:rsidR="00B868FF">
        <w:trPr>
          <w:trHeight w:val="454"/>
        </w:trPr>
        <w:tc>
          <w:tcPr>
            <w:tcW w:w="1240" w:type="dxa"/>
            <w:vMerge w:val="restart"/>
            <w:tcBorders>
              <w:top w:val="dotted" w:sz="4" w:space="0" w:color="auto"/>
              <w:left w:val="nil"/>
              <w:bottom w:val="dotted" w:sz="4" w:space="0" w:color="auto"/>
              <w:right w:val="dotted" w:sz="4" w:space="0" w:color="auto"/>
            </w:tcBorders>
            <w:vAlign w:val="center"/>
          </w:tcPr>
          <w:p w:rsidR="00B868FF" w:rsidRDefault="00000000">
            <w:pPr>
              <w:widowControl/>
              <w:jc w:val="center"/>
              <w:textAlignment w:val="center"/>
              <w:rPr>
                <w:rFonts w:ascii="宋体" w:eastAsia="宋体" w:hAnsi="宋体" w:cs="宋体" w:hint="eastAsia"/>
                <w:bCs/>
                <w:sz w:val="20"/>
                <w:szCs w:val="20"/>
              </w:rPr>
            </w:pPr>
            <w:r>
              <w:rPr>
                <w:rFonts w:ascii="宋体" w:eastAsia="宋体" w:hAnsi="宋体" w:cs="宋体" w:hint="eastAsia"/>
                <w:kern w:val="0"/>
                <w:sz w:val="20"/>
                <w:szCs w:val="20"/>
                <w:lang w:bidi="ar"/>
              </w:rPr>
              <w:t>项目立项</w:t>
            </w:r>
          </w:p>
        </w:tc>
        <w:tc>
          <w:tcPr>
            <w:tcW w:w="2198" w:type="dxa"/>
            <w:tcBorders>
              <w:top w:val="dotted" w:sz="4" w:space="0" w:color="auto"/>
              <w:left w:val="dotted" w:sz="4" w:space="0" w:color="auto"/>
              <w:bottom w:val="dotted" w:sz="4" w:space="0" w:color="auto"/>
              <w:right w:val="dotted" w:sz="4" w:space="0" w:color="auto"/>
            </w:tcBorders>
            <w:vAlign w:val="center"/>
          </w:tcPr>
          <w:p w:rsidR="00B868FF" w:rsidRDefault="00000000">
            <w:pPr>
              <w:widowControl/>
              <w:jc w:val="center"/>
              <w:textAlignment w:val="center"/>
              <w:rPr>
                <w:rFonts w:ascii="宋体" w:eastAsia="宋体" w:hAnsi="宋体" w:cs="宋体" w:hint="eastAsia"/>
                <w:bCs/>
                <w:sz w:val="20"/>
                <w:szCs w:val="20"/>
              </w:rPr>
            </w:pPr>
            <w:r>
              <w:rPr>
                <w:rFonts w:ascii="宋体" w:eastAsia="宋体" w:hAnsi="宋体" w:cs="宋体" w:hint="eastAsia"/>
                <w:kern w:val="0"/>
                <w:sz w:val="20"/>
                <w:szCs w:val="20"/>
                <w:lang w:bidi="ar"/>
              </w:rPr>
              <w:t>立项依据充分性</w:t>
            </w:r>
          </w:p>
        </w:tc>
        <w:tc>
          <w:tcPr>
            <w:tcW w:w="835"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2.5</w:t>
            </w:r>
          </w:p>
        </w:tc>
        <w:tc>
          <w:tcPr>
            <w:tcW w:w="1186"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充分</w:t>
            </w:r>
          </w:p>
        </w:tc>
        <w:tc>
          <w:tcPr>
            <w:tcW w:w="1181"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充分</w:t>
            </w:r>
          </w:p>
        </w:tc>
        <w:tc>
          <w:tcPr>
            <w:tcW w:w="805"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2.5</w:t>
            </w:r>
          </w:p>
        </w:tc>
        <w:tc>
          <w:tcPr>
            <w:tcW w:w="1241" w:type="dxa"/>
            <w:tcBorders>
              <w:top w:val="dotted" w:sz="4" w:space="0" w:color="auto"/>
              <w:left w:val="dotted" w:sz="4" w:space="0" w:color="auto"/>
              <w:bottom w:val="dotted" w:sz="4" w:space="0" w:color="auto"/>
              <w:right w:val="nil"/>
            </w:tcBorders>
            <w:shd w:val="clear" w:color="auto" w:fill="auto"/>
            <w:vAlign w:val="center"/>
          </w:tcPr>
          <w:p w:rsidR="00B868FF" w:rsidRDefault="00000000">
            <w:pPr>
              <w:widowControl/>
              <w:jc w:val="right"/>
              <w:textAlignment w:val="center"/>
              <w:rPr>
                <w:rFonts w:ascii="宋体" w:eastAsia="宋体" w:hAnsi="宋体" w:cs="宋体" w:hint="eastAsia"/>
                <w:kern w:val="0"/>
                <w:sz w:val="20"/>
                <w:szCs w:val="20"/>
              </w:rPr>
            </w:pPr>
            <w:r>
              <w:rPr>
                <w:rFonts w:ascii="宋体" w:eastAsia="宋体" w:hAnsi="宋体" w:cs="宋体" w:hint="eastAsia"/>
                <w:color w:val="000000"/>
                <w:kern w:val="0"/>
                <w:sz w:val="20"/>
                <w:szCs w:val="20"/>
                <w:lang w:bidi="ar"/>
              </w:rPr>
              <w:t>100.00%</w:t>
            </w:r>
          </w:p>
        </w:tc>
      </w:tr>
      <w:tr w:rsidR="00B868FF">
        <w:trPr>
          <w:trHeight w:val="454"/>
        </w:trPr>
        <w:tc>
          <w:tcPr>
            <w:tcW w:w="1240" w:type="dxa"/>
            <w:vMerge/>
            <w:tcBorders>
              <w:top w:val="dotted" w:sz="4" w:space="0" w:color="auto"/>
              <w:left w:val="nil"/>
              <w:bottom w:val="dotted" w:sz="4" w:space="0" w:color="auto"/>
              <w:right w:val="dotted" w:sz="4" w:space="0" w:color="auto"/>
            </w:tcBorders>
            <w:vAlign w:val="center"/>
          </w:tcPr>
          <w:p w:rsidR="00B868FF" w:rsidRDefault="00B868FF">
            <w:pPr>
              <w:jc w:val="center"/>
              <w:rPr>
                <w:rFonts w:ascii="宋体" w:eastAsia="宋体" w:hAnsi="宋体" w:cs="宋体" w:hint="eastAsia"/>
                <w:bCs/>
                <w:sz w:val="20"/>
                <w:szCs w:val="20"/>
              </w:rPr>
            </w:pPr>
          </w:p>
        </w:tc>
        <w:tc>
          <w:tcPr>
            <w:tcW w:w="2198" w:type="dxa"/>
            <w:tcBorders>
              <w:top w:val="dotted" w:sz="4" w:space="0" w:color="auto"/>
              <w:left w:val="dotted" w:sz="4" w:space="0" w:color="auto"/>
              <w:bottom w:val="dotted" w:sz="4" w:space="0" w:color="auto"/>
              <w:right w:val="dotted" w:sz="4" w:space="0" w:color="auto"/>
            </w:tcBorders>
            <w:vAlign w:val="center"/>
          </w:tcPr>
          <w:p w:rsidR="00B868FF" w:rsidRDefault="00000000">
            <w:pPr>
              <w:widowControl/>
              <w:jc w:val="center"/>
              <w:textAlignment w:val="center"/>
              <w:rPr>
                <w:rFonts w:ascii="宋体" w:eastAsia="宋体" w:hAnsi="宋体" w:cs="宋体" w:hint="eastAsia"/>
                <w:bCs/>
                <w:sz w:val="20"/>
                <w:szCs w:val="20"/>
              </w:rPr>
            </w:pPr>
            <w:r>
              <w:rPr>
                <w:rFonts w:ascii="宋体" w:eastAsia="宋体" w:hAnsi="宋体" w:cs="宋体" w:hint="eastAsia"/>
                <w:kern w:val="0"/>
                <w:sz w:val="20"/>
                <w:szCs w:val="20"/>
                <w:lang w:bidi="ar"/>
              </w:rPr>
              <w:t>立项程序规范性</w:t>
            </w:r>
          </w:p>
        </w:tc>
        <w:tc>
          <w:tcPr>
            <w:tcW w:w="835"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2.5</w:t>
            </w:r>
          </w:p>
        </w:tc>
        <w:tc>
          <w:tcPr>
            <w:tcW w:w="1186"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规范</w:t>
            </w:r>
          </w:p>
        </w:tc>
        <w:tc>
          <w:tcPr>
            <w:tcW w:w="1181"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规范</w:t>
            </w:r>
          </w:p>
        </w:tc>
        <w:tc>
          <w:tcPr>
            <w:tcW w:w="805"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2.5</w:t>
            </w:r>
          </w:p>
        </w:tc>
        <w:tc>
          <w:tcPr>
            <w:tcW w:w="1241" w:type="dxa"/>
            <w:tcBorders>
              <w:top w:val="dotted" w:sz="4" w:space="0" w:color="auto"/>
              <w:left w:val="dotted" w:sz="4" w:space="0" w:color="auto"/>
              <w:bottom w:val="dotted" w:sz="4" w:space="0" w:color="auto"/>
              <w:right w:val="nil"/>
            </w:tcBorders>
            <w:shd w:val="clear" w:color="auto" w:fill="auto"/>
            <w:vAlign w:val="center"/>
          </w:tcPr>
          <w:p w:rsidR="00B868FF" w:rsidRDefault="00000000">
            <w:pPr>
              <w:widowControl/>
              <w:jc w:val="right"/>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100.00%</w:t>
            </w:r>
          </w:p>
        </w:tc>
      </w:tr>
      <w:tr w:rsidR="00B868FF">
        <w:trPr>
          <w:trHeight w:val="454"/>
        </w:trPr>
        <w:tc>
          <w:tcPr>
            <w:tcW w:w="1240" w:type="dxa"/>
            <w:vMerge w:val="restart"/>
            <w:tcBorders>
              <w:top w:val="dotted" w:sz="4" w:space="0" w:color="auto"/>
              <w:left w:val="nil"/>
              <w:bottom w:val="dotted" w:sz="4" w:space="0" w:color="auto"/>
              <w:right w:val="dotted" w:sz="4" w:space="0" w:color="auto"/>
            </w:tcBorders>
            <w:vAlign w:val="center"/>
          </w:tcPr>
          <w:p w:rsidR="00B868FF" w:rsidRDefault="00000000">
            <w:pPr>
              <w:widowControl/>
              <w:jc w:val="center"/>
              <w:textAlignment w:val="center"/>
              <w:rPr>
                <w:rFonts w:ascii="宋体" w:eastAsia="宋体" w:hAnsi="宋体" w:cs="宋体" w:hint="eastAsia"/>
                <w:bCs/>
                <w:sz w:val="20"/>
                <w:szCs w:val="20"/>
              </w:rPr>
            </w:pPr>
            <w:r>
              <w:rPr>
                <w:rFonts w:ascii="宋体" w:eastAsia="宋体" w:hAnsi="宋体" w:cs="宋体" w:hint="eastAsia"/>
                <w:kern w:val="0"/>
                <w:sz w:val="20"/>
                <w:szCs w:val="20"/>
                <w:lang w:bidi="ar"/>
              </w:rPr>
              <w:t>绩效目标</w:t>
            </w:r>
          </w:p>
        </w:tc>
        <w:tc>
          <w:tcPr>
            <w:tcW w:w="2198" w:type="dxa"/>
            <w:tcBorders>
              <w:top w:val="dotted" w:sz="4" w:space="0" w:color="auto"/>
              <w:left w:val="dotted" w:sz="4" w:space="0" w:color="auto"/>
              <w:bottom w:val="dotted" w:sz="4" w:space="0" w:color="auto"/>
              <w:right w:val="dotted" w:sz="4" w:space="0" w:color="auto"/>
            </w:tcBorders>
            <w:vAlign w:val="center"/>
          </w:tcPr>
          <w:p w:rsidR="00B868FF" w:rsidRDefault="00000000">
            <w:pPr>
              <w:widowControl/>
              <w:jc w:val="center"/>
              <w:textAlignment w:val="center"/>
              <w:rPr>
                <w:rFonts w:ascii="宋体" w:eastAsia="宋体" w:hAnsi="宋体" w:cs="宋体" w:hint="eastAsia"/>
                <w:bCs/>
                <w:sz w:val="20"/>
                <w:szCs w:val="20"/>
              </w:rPr>
            </w:pPr>
            <w:r>
              <w:rPr>
                <w:rFonts w:ascii="宋体" w:eastAsia="宋体" w:hAnsi="宋体" w:cs="宋体" w:hint="eastAsia"/>
                <w:kern w:val="0"/>
                <w:sz w:val="20"/>
                <w:szCs w:val="20"/>
                <w:lang w:bidi="ar"/>
              </w:rPr>
              <w:t>绩效目标合理性</w:t>
            </w:r>
          </w:p>
        </w:tc>
        <w:tc>
          <w:tcPr>
            <w:tcW w:w="835"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2.5</w:t>
            </w:r>
          </w:p>
        </w:tc>
        <w:tc>
          <w:tcPr>
            <w:tcW w:w="1186"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合理</w:t>
            </w:r>
          </w:p>
        </w:tc>
        <w:tc>
          <w:tcPr>
            <w:tcW w:w="1181"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合理</w:t>
            </w:r>
          </w:p>
        </w:tc>
        <w:tc>
          <w:tcPr>
            <w:tcW w:w="805"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2.5</w:t>
            </w:r>
          </w:p>
        </w:tc>
        <w:tc>
          <w:tcPr>
            <w:tcW w:w="1241" w:type="dxa"/>
            <w:tcBorders>
              <w:top w:val="dotted" w:sz="4" w:space="0" w:color="auto"/>
              <w:left w:val="dotted" w:sz="4" w:space="0" w:color="auto"/>
              <w:bottom w:val="dotted" w:sz="4" w:space="0" w:color="auto"/>
              <w:right w:val="nil"/>
            </w:tcBorders>
            <w:shd w:val="clear" w:color="auto" w:fill="auto"/>
            <w:vAlign w:val="center"/>
          </w:tcPr>
          <w:p w:rsidR="00B868FF" w:rsidRDefault="00000000">
            <w:pPr>
              <w:widowControl/>
              <w:jc w:val="right"/>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100.00%</w:t>
            </w:r>
          </w:p>
        </w:tc>
      </w:tr>
      <w:tr w:rsidR="00B868FF">
        <w:trPr>
          <w:trHeight w:val="454"/>
        </w:trPr>
        <w:tc>
          <w:tcPr>
            <w:tcW w:w="1240" w:type="dxa"/>
            <w:vMerge/>
            <w:tcBorders>
              <w:top w:val="dotted" w:sz="4" w:space="0" w:color="auto"/>
              <w:left w:val="nil"/>
              <w:bottom w:val="dotted" w:sz="4" w:space="0" w:color="auto"/>
              <w:right w:val="dotted" w:sz="4" w:space="0" w:color="auto"/>
            </w:tcBorders>
            <w:vAlign w:val="center"/>
          </w:tcPr>
          <w:p w:rsidR="00B868FF" w:rsidRDefault="00B868FF">
            <w:pPr>
              <w:jc w:val="center"/>
              <w:rPr>
                <w:rFonts w:ascii="宋体" w:eastAsia="宋体" w:hAnsi="宋体" w:cs="宋体" w:hint="eastAsia"/>
                <w:bCs/>
                <w:sz w:val="20"/>
                <w:szCs w:val="20"/>
              </w:rPr>
            </w:pPr>
          </w:p>
        </w:tc>
        <w:tc>
          <w:tcPr>
            <w:tcW w:w="2198" w:type="dxa"/>
            <w:tcBorders>
              <w:top w:val="dotted" w:sz="4" w:space="0" w:color="auto"/>
              <w:left w:val="dotted" w:sz="4" w:space="0" w:color="auto"/>
              <w:bottom w:val="dotted" w:sz="4" w:space="0" w:color="auto"/>
              <w:right w:val="dotted" w:sz="4" w:space="0" w:color="auto"/>
            </w:tcBorders>
            <w:vAlign w:val="center"/>
          </w:tcPr>
          <w:p w:rsidR="00B868FF" w:rsidRDefault="00000000">
            <w:pPr>
              <w:widowControl/>
              <w:jc w:val="center"/>
              <w:textAlignment w:val="center"/>
              <w:rPr>
                <w:rFonts w:ascii="宋体" w:eastAsia="宋体" w:hAnsi="宋体" w:cs="宋体" w:hint="eastAsia"/>
                <w:bCs/>
                <w:sz w:val="20"/>
                <w:szCs w:val="20"/>
              </w:rPr>
            </w:pPr>
            <w:r>
              <w:rPr>
                <w:rFonts w:ascii="宋体" w:eastAsia="宋体" w:hAnsi="宋体" w:cs="宋体" w:hint="eastAsia"/>
                <w:kern w:val="0"/>
                <w:sz w:val="20"/>
                <w:szCs w:val="20"/>
                <w:lang w:bidi="ar"/>
              </w:rPr>
              <w:t>绩效指标明确性</w:t>
            </w:r>
          </w:p>
        </w:tc>
        <w:tc>
          <w:tcPr>
            <w:tcW w:w="835"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2.5</w:t>
            </w:r>
          </w:p>
        </w:tc>
        <w:tc>
          <w:tcPr>
            <w:tcW w:w="1186"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明确</w:t>
            </w:r>
          </w:p>
        </w:tc>
        <w:tc>
          <w:tcPr>
            <w:tcW w:w="1181"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明确</w:t>
            </w:r>
          </w:p>
        </w:tc>
        <w:tc>
          <w:tcPr>
            <w:tcW w:w="805"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2.5</w:t>
            </w:r>
          </w:p>
        </w:tc>
        <w:tc>
          <w:tcPr>
            <w:tcW w:w="1241" w:type="dxa"/>
            <w:tcBorders>
              <w:top w:val="dotted" w:sz="4" w:space="0" w:color="auto"/>
              <w:left w:val="dotted" w:sz="4" w:space="0" w:color="auto"/>
              <w:bottom w:val="dotted" w:sz="4" w:space="0" w:color="auto"/>
              <w:right w:val="nil"/>
            </w:tcBorders>
            <w:shd w:val="clear" w:color="auto" w:fill="auto"/>
            <w:vAlign w:val="center"/>
          </w:tcPr>
          <w:p w:rsidR="00B868FF" w:rsidRDefault="00000000">
            <w:pPr>
              <w:widowControl/>
              <w:jc w:val="right"/>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100.00%</w:t>
            </w:r>
          </w:p>
        </w:tc>
      </w:tr>
      <w:tr w:rsidR="00B868FF">
        <w:trPr>
          <w:trHeight w:val="454"/>
        </w:trPr>
        <w:tc>
          <w:tcPr>
            <w:tcW w:w="1240" w:type="dxa"/>
            <w:vMerge w:val="restart"/>
            <w:tcBorders>
              <w:top w:val="dotted" w:sz="4" w:space="0" w:color="auto"/>
              <w:left w:val="nil"/>
              <w:bottom w:val="dotted" w:sz="4" w:space="0" w:color="auto"/>
              <w:right w:val="dotted" w:sz="4" w:space="0" w:color="auto"/>
            </w:tcBorders>
            <w:vAlign w:val="center"/>
          </w:tcPr>
          <w:p w:rsidR="00B868FF" w:rsidRDefault="00000000">
            <w:pPr>
              <w:widowControl/>
              <w:jc w:val="center"/>
              <w:textAlignment w:val="center"/>
              <w:rPr>
                <w:rFonts w:ascii="宋体" w:eastAsia="宋体" w:hAnsi="宋体" w:cs="宋体" w:hint="eastAsia"/>
                <w:bCs/>
                <w:sz w:val="20"/>
                <w:szCs w:val="20"/>
              </w:rPr>
            </w:pPr>
            <w:r>
              <w:rPr>
                <w:rFonts w:ascii="宋体" w:eastAsia="宋体" w:hAnsi="宋体" w:cs="宋体" w:hint="eastAsia"/>
                <w:kern w:val="0"/>
                <w:sz w:val="20"/>
                <w:szCs w:val="20"/>
                <w:lang w:bidi="ar"/>
              </w:rPr>
              <w:t>资金投入</w:t>
            </w:r>
          </w:p>
        </w:tc>
        <w:tc>
          <w:tcPr>
            <w:tcW w:w="2198" w:type="dxa"/>
            <w:tcBorders>
              <w:top w:val="dotted" w:sz="4" w:space="0" w:color="auto"/>
              <w:left w:val="dotted" w:sz="4" w:space="0" w:color="auto"/>
              <w:bottom w:val="dotted" w:sz="4" w:space="0" w:color="auto"/>
              <w:right w:val="dotted" w:sz="4" w:space="0" w:color="auto"/>
            </w:tcBorders>
            <w:vAlign w:val="center"/>
          </w:tcPr>
          <w:p w:rsidR="00B868FF" w:rsidRDefault="00000000">
            <w:pPr>
              <w:widowControl/>
              <w:jc w:val="center"/>
              <w:textAlignment w:val="center"/>
              <w:rPr>
                <w:rFonts w:ascii="宋体" w:eastAsia="宋体" w:hAnsi="宋体" w:cs="宋体" w:hint="eastAsia"/>
                <w:bCs/>
                <w:sz w:val="20"/>
                <w:szCs w:val="20"/>
              </w:rPr>
            </w:pPr>
            <w:r>
              <w:rPr>
                <w:rFonts w:ascii="宋体" w:eastAsia="宋体" w:hAnsi="宋体" w:cs="宋体" w:hint="eastAsia"/>
                <w:kern w:val="0"/>
                <w:sz w:val="20"/>
                <w:szCs w:val="20"/>
                <w:lang w:bidi="ar"/>
              </w:rPr>
              <w:t>预算编制科学性</w:t>
            </w:r>
          </w:p>
        </w:tc>
        <w:tc>
          <w:tcPr>
            <w:tcW w:w="835"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2.5</w:t>
            </w:r>
          </w:p>
        </w:tc>
        <w:tc>
          <w:tcPr>
            <w:tcW w:w="1186"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科学</w:t>
            </w:r>
          </w:p>
        </w:tc>
        <w:tc>
          <w:tcPr>
            <w:tcW w:w="1181"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科学</w:t>
            </w:r>
          </w:p>
        </w:tc>
        <w:tc>
          <w:tcPr>
            <w:tcW w:w="805"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2.5</w:t>
            </w:r>
          </w:p>
        </w:tc>
        <w:tc>
          <w:tcPr>
            <w:tcW w:w="1241" w:type="dxa"/>
            <w:tcBorders>
              <w:top w:val="dotted" w:sz="4" w:space="0" w:color="auto"/>
              <w:left w:val="dotted" w:sz="4" w:space="0" w:color="auto"/>
              <w:bottom w:val="dotted" w:sz="4" w:space="0" w:color="auto"/>
              <w:right w:val="nil"/>
            </w:tcBorders>
            <w:shd w:val="clear" w:color="auto" w:fill="auto"/>
            <w:vAlign w:val="center"/>
          </w:tcPr>
          <w:p w:rsidR="00B868FF" w:rsidRDefault="00000000">
            <w:pPr>
              <w:widowControl/>
              <w:jc w:val="right"/>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100.00%</w:t>
            </w:r>
          </w:p>
        </w:tc>
      </w:tr>
      <w:tr w:rsidR="00B868FF">
        <w:trPr>
          <w:trHeight w:val="454"/>
        </w:trPr>
        <w:tc>
          <w:tcPr>
            <w:tcW w:w="1240" w:type="dxa"/>
            <w:vMerge/>
            <w:tcBorders>
              <w:top w:val="dotted" w:sz="4" w:space="0" w:color="auto"/>
              <w:left w:val="nil"/>
              <w:bottom w:val="dotted" w:sz="4" w:space="0" w:color="auto"/>
              <w:right w:val="dotted" w:sz="4" w:space="0" w:color="auto"/>
            </w:tcBorders>
            <w:vAlign w:val="center"/>
          </w:tcPr>
          <w:p w:rsidR="00B868FF" w:rsidRDefault="00B868FF">
            <w:pPr>
              <w:jc w:val="center"/>
              <w:rPr>
                <w:rFonts w:ascii="宋体" w:eastAsia="宋体" w:hAnsi="宋体" w:cs="宋体" w:hint="eastAsia"/>
                <w:bCs/>
                <w:sz w:val="20"/>
                <w:szCs w:val="20"/>
              </w:rPr>
            </w:pPr>
          </w:p>
        </w:tc>
        <w:tc>
          <w:tcPr>
            <w:tcW w:w="2198" w:type="dxa"/>
            <w:tcBorders>
              <w:top w:val="dotted" w:sz="4" w:space="0" w:color="auto"/>
              <w:left w:val="dotted" w:sz="4" w:space="0" w:color="auto"/>
              <w:bottom w:val="dotted" w:sz="4" w:space="0" w:color="auto"/>
              <w:right w:val="dotted" w:sz="4" w:space="0" w:color="auto"/>
            </w:tcBorders>
            <w:vAlign w:val="center"/>
          </w:tcPr>
          <w:p w:rsidR="00B868FF" w:rsidRDefault="00000000">
            <w:pPr>
              <w:widowControl/>
              <w:jc w:val="center"/>
              <w:textAlignment w:val="center"/>
              <w:rPr>
                <w:rFonts w:ascii="宋体" w:eastAsia="宋体" w:hAnsi="宋体" w:cs="宋体" w:hint="eastAsia"/>
                <w:bCs/>
                <w:sz w:val="20"/>
                <w:szCs w:val="20"/>
              </w:rPr>
            </w:pPr>
            <w:r>
              <w:rPr>
                <w:rFonts w:ascii="宋体" w:eastAsia="宋体" w:hAnsi="宋体" w:cs="宋体" w:hint="eastAsia"/>
                <w:kern w:val="0"/>
                <w:sz w:val="20"/>
                <w:szCs w:val="20"/>
                <w:lang w:bidi="ar"/>
              </w:rPr>
              <w:t>资金分配合理性</w:t>
            </w:r>
          </w:p>
        </w:tc>
        <w:tc>
          <w:tcPr>
            <w:tcW w:w="835"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2.5</w:t>
            </w:r>
          </w:p>
        </w:tc>
        <w:tc>
          <w:tcPr>
            <w:tcW w:w="1186"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合理</w:t>
            </w:r>
          </w:p>
        </w:tc>
        <w:tc>
          <w:tcPr>
            <w:tcW w:w="1181"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合理</w:t>
            </w:r>
          </w:p>
        </w:tc>
        <w:tc>
          <w:tcPr>
            <w:tcW w:w="805" w:type="dxa"/>
            <w:tcBorders>
              <w:top w:val="dotted" w:sz="4" w:space="0" w:color="auto"/>
              <w:left w:val="dotted" w:sz="4" w:space="0" w:color="auto"/>
              <w:bottom w:val="dotted" w:sz="4" w:space="0" w:color="auto"/>
              <w:right w:val="dotted" w:sz="4" w:space="0" w:color="auto"/>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color w:val="000000"/>
                <w:kern w:val="0"/>
                <w:sz w:val="20"/>
                <w:szCs w:val="20"/>
                <w:lang w:bidi="ar"/>
              </w:rPr>
              <w:t>2.5</w:t>
            </w:r>
          </w:p>
        </w:tc>
        <w:tc>
          <w:tcPr>
            <w:tcW w:w="1241" w:type="dxa"/>
            <w:tcBorders>
              <w:top w:val="dotted" w:sz="4" w:space="0" w:color="auto"/>
              <w:left w:val="dotted" w:sz="4" w:space="0" w:color="auto"/>
              <w:bottom w:val="dotted" w:sz="4" w:space="0" w:color="auto"/>
              <w:right w:val="nil"/>
            </w:tcBorders>
            <w:shd w:val="clear" w:color="auto" w:fill="auto"/>
            <w:vAlign w:val="center"/>
          </w:tcPr>
          <w:p w:rsidR="00B868FF" w:rsidRDefault="00000000">
            <w:pPr>
              <w:widowControl/>
              <w:jc w:val="right"/>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100.00%</w:t>
            </w:r>
          </w:p>
        </w:tc>
      </w:tr>
      <w:tr w:rsidR="00B868FF">
        <w:trPr>
          <w:trHeight w:val="454"/>
        </w:trPr>
        <w:tc>
          <w:tcPr>
            <w:tcW w:w="3438" w:type="dxa"/>
            <w:gridSpan w:val="2"/>
            <w:tcBorders>
              <w:top w:val="dotted" w:sz="4" w:space="0" w:color="auto"/>
              <w:left w:val="nil"/>
              <w:bottom w:val="single" w:sz="12" w:space="0" w:color="auto"/>
              <w:right w:val="dotted" w:sz="4" w:space="0" w:color="auto"/>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lastRenderedPageBreak/>
              <w:t>合计</w:t>
            </w:r>
          </w:p>
        </w:tc>
        <w:tc>
          <w:tcPr>
            <w:tcW w:w="835" w:type="dxa"/>
            <w:tcBorders>
              <w:top w:val="dotted" w:sz="4" w:space="0" w:color="auto"/>
              <w:left w:val="dotted" w:sz="4" w:space="0" w:color="auto"/>
              <w:bottom w:val="single" w:sz="12" w:space="0" w:color="auto"/>
              <w:right w:val="dotted" w:sz="4" w:space="0" w:color="auto"/>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15</w:t>
            </w:r>
          </w:p>
        </w:tc>
        <w:tc>
          <w:tcPr>
            <w:tcW w:w="1186" w:type="dxa"/>
            <w:tcBorders>
              <w:top w:val="dotted" w:sz="4" w:space="0" w:color="auto"/>
              <w:left w:val="dotted" w:sz="4" w:space="0" w:color="auto"/>
              <w:bottom w:val="single" w:sz="12" w:space="0" w:color="auto"/>
              <w:right w:val="dotted" w:sz="4" w:space="0" w:color="auto"/>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w:t>
            </w:r>
          </w:p>
        </w:tc>
        <w:tc>
          <w:tcPr>
            <w:tcW w:w="1181" w:type="dxa"/>
            <w:tcBorders>
              <w:top w:val="dotted" w:sz="4" w:space="0" w:color="auto"/>
              <w:left w:val="dotted" w:sz="4" w:space="0" w:color="auto"/>
              <w:bottom w:val="single" w:sz="12" w:space="0" w:color="auto"/>
              <w:right w:val="dotted" w:sz="4" w:space="0" w:color="auto"/>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w:t>
            </w:r>
          </w:p>
        </w:tc>
        <w:tc>
          <w:tcPr>
            <w:tcW w:w="805" w:type="dxa"/>
            <w:tcBorders>
              <w:top w:val="dotted" w:sz="4" w:space="0" w:color="auto"/>
              <w:left w:val="dotted" w:sz="4" w:space="0" w:color="auto"/>
              <w:bottom w:val="single" w:sz="12" w:space="0" w:color="auto"/>
              <w:right w:val="dotted" w:sz="4" w:space="0" w:color="auto"/>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color w:val="000000"/>
                <w:kern w:val="0"/>
                <w:sz w:val="20"/>
                <w:szCs w:val="20"/>
                <w:lang w:bidi="ar"/>
              </w:rPr>
              <w:t>15</w:t>
            </w:r>
          </w:p>
        </w:tc>
        <w:tc>
          <w:tcPr>
            <w:tcW w:w="1241" w:type="dxa"/>
            <w:tcBorders>
              <w:top w:val="dotted" w:sz="4" w:space="0" w:color="auto"/>
              <w:left w:val="dotted" w:sz="4" w:space="0" w:color="auto"/>
              <w:bottom w:val="single" w:sz="12" w:space="0" w:color="auto"/>
              <w:right w:val="nil"/>
            </w:tcBorders>
            <w:shd w:val="clear" w:color="auto" w:fill="BDD6EE" w:themeFill="accent1" w:themeFillTint="66"/>
            <w:vAlign w:val="center"/>
          </w:tcPr>
          <w:p w:rsidR="00B868FF" w:rsidRDefault="00000000">
            <w:pPr>
              <w:widowControl/>
              <w:jc w:val="right"/>
              <w:textAlignment w:val="center"/>
              <w:rPr>
                <w:rFonts w:ascii="宋体" w:eastAsia="宋体" w:hAnsi="宋体" w:cs="宋体" w:hint="eastAsia"/>
                <w:b/>
                <w:bCs/>
                <w:kern w:val="0"/>
                <w:sz w:val="20"/>
                <w:szCs w:val="20"/>
                <w:lang w:bidi="ar"/>
              </w:rPr>
            </w:pPr>
            <w:r>
              <w:rPr>
                <w:rFonts w:ascii="宋体" w:eastAsia="宋体" w:hAnsi="宋体" w:cs="宋体" w:hint="eastAsia"/>
                <w:b/>
                <w:bCs/>
                <w:color w:val="000000"/>
                <w:kern w:val="0"/>
                <w:sz w:val="20"/>
                <w:szCs w:val="20"/>
                <w:lang w:bidi="ar"/>
              </w:rPr>
              <w:t>100.00%</w:t>
            </w:r>
          </w:p>
        </w:tc>
      </w:tr>
    </w:tbl>
    <w:p w:rsidR="00B868FF" w:rsidRDefault="00000000">
      <w:pPr>
        <w:pStyle w:val="3"/>
        <w:spacing w:before="0" w:after="0" w:line="560" w:lineRule="exact"/>
        <w:ind w:firstLineChars="200" w:firstLine="643"/>
        <w:rPr>
          <w:rFonts w:ascii="仿宋_GB2312" w:eastAsia="仿宋_GB2312" w:hAnsi="仿宋_GB2312" w:cs="仿宋_GB2312" w:hint="eastAsia"/>
          <w:b w:val="0"/>
          <w:bCs/>
          <w:szCs w:val="32"/>
        </w:rPr>
      </w:pPr>
      <w:r>
        <w:rPr>
          <w:rFonts w:ascii="仿宋_GB2312" w:eastAsia="仿宋_GB2312" w:hAnsi="仿宋_GB2312" w:cs="仿宋_GB2312" w:hint="eastAsia"/>
          <w:bCs/>
          <w:szCs w:val="32"/>
        </w:rPr>
        <w:t>1.项目立项</w:t>
      </w:r>
    </w:p>
    <w:p w:rsidR="00B868FF" w:rsidRDefault="00000000">
      <w:pPr>
        <w:pStyle w:val="af4"/>
        <w:ind w:firstLine="640"/>
        <w:rPr>
          <w:rFonts w:hint="eastAsia"/>
        </w:rPr>
      </w:pPr>
      <w:r>
        <w:rPr>
          <w:rFonts w:hint="eastAsia"/>
        </w:rPr>
        <w:t>文化建设宣传经费项目严格按照预算绩效制度管理流程履行了项目立项手续，项目立项依据充分、立项程序规范，立项工作达到预期目标。</w:t>
      </w:r>
    </w:p>
    <w:p w:rsidR="00B868FF" w:rsidRDefault="00000000">
      <w:pPr>
        <w:pStyle w:val="af4"/>
        <w:ind w:firstLine="640"/>
        <w:rPr>
          <w:rFonts w:hint="eastAsia"/>
        </w:rPr>
      </w:pPr>
      <w:r>
        <w:rPr>
          <w:rFonts w:hint="eastAsia"/>
        </w:rPr>
        <w:t>（1）立项依据充分性</w:t>
      </w:r>
    </w:p>
    <w:p w:rsidR="00B868FF" w:rsidRDefault="00000000">
      <w:pPr>
        <w:pStyle w:val="af4"/>
        <w:ind w:firstLine="640"/>
        <w:rPr>
          <w:rFonts w:hint="eastAsia"/>
        </w:rPr>
      </w:pPr>
      <w:r>
        <w:rPr>
          <w:rFonts w:hint="eastAsia"/>
        </w:rPr>
        <w:t>立项依据充分性：指标分</w:t>
      </w:r>
      <w:r w:rsidR="00A96F78">
        <w:rPr>
          <w:rFonts w:hint="eastAsia"/>
        </w:rPr>
        <w:t>值</w:t>
      </w:r>
      <w:r>
        <w:rPr>
          <w:rFonts w:hint="eastAsia"/>
        </w:rPr>
        <w:t>2.5分，评价得分为2.5分。为引导人民知法、懂法、用法，回应社会关切、普及法律知识，发挥大要案的示范引领作用，促进全社会形成崇尚法治的良好氛围，特设立此项目。</w:t>
      </w:r>
      <w:r w:rsidR="00B1109C" w:rsidRPr="00B1109C">
        <w:rPr>
          <w:rFonts w:hint="eastAsia"/>
        </w:rPr>
        <w:t>项目设立符合国家发展规划和党政决策；项目与甘肃省高级人民法院的主要职能相符，属于甘肃省高级人民法院的职责范围；项目属于财政支持范围，符合中央、地方事权支出责任划分原则；项目与甘肃省高级人民法院其他相关项目不重复。</w:t>
      </w:r>
      <w:r>
        <w:rPr>
          <w:rFonts w:hint="eastAsia"/>
        </w:rPr>
        <w:t>评价认为，项目立项依据充分，立项符合法规政策。</w:t>
      </w:r>
    </w:p>
    <w:p w:rsidR="00B868FF" w:rsidRDefault="00000000">
      <w:pPr>
        <w:pStyle w:val="af4"/>
        <w:ind w:firstLine="640"/>
        <w:rPr>
          <w:rFonts w:hint="eastAsia"/>
        </w:rPr>
      </w:pPr>
      <w:r>
        <w:rPr>
          <w:rFonts w:hint="eastAsia"/>
        </w:rPr>
        <w:t>（2）立项程序规范性</w:t>
      </w:r>
    </w:p>
    <w:p w:rsidR="00B868FF" w:rsidRDefault="00000000">
      <w:pPr>
        <w:pStyle w:val="af4"/>
        <w:ind w:firstLine="640"/>
        <w:rPr>
          <w:rFonts w:hint="eastAsia"/>
        </w:rPr>
      </w:pPr>
      <w:r>
        <w:rPr>
          <w:rFonts w:hint="eastAsia"/>
        </w:rPr>
        <w:t>立项程序规范性：指标分值2.5分，评价得分2.5分。文化建设宣传经费主要用于法院文化建设、法制宣传支出。项目根据《关于认真学习宣传贯彻党的十八大精神进一步加强甘肃省高级人民法院文化建设的意见》《甘肃省人民政府办公厅关于印发甘肃省加快文化大省建设若干政策规定的通知》等政策依据设立。评价认为，项目立项依据充分，立项符合相关法规政策，属于专项资金支持范围。</w:t>
      </w:r>
    </w:p>
    <w:p w:rsidR="00B868FF" w:rsidRDefault="00000000">
      <w:pPr>
        <w:pStyle w:val="af3"/>
        <w:overflowPunct w:val="0"/>
        <w:spacing w:line="560" w:lineRule="exact"/>
        <w:ind w:firstLine="643"/>
        <w:outlineLvl w:val="2"/>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lastRenderedPageBreak/>
        <w:t>2.绩效目标</w:t>
      </w:r>
    </w:p>
    <w:p w:rsidR="00B868FF" w:rsidRDefault="00000000">
      <w:pPr>
        <w:pStyle w:val="af4"/>
        <w:ind w:firstLine="640"/>
        <w:rPr>
          <w:rFonts w:hint="eastAsia"/>
        </w:rPr>
      </w:pPr>
      <w:r>
        <w:rPr>
          <w:rFonts w:hint="eastAsia"/>
        </w:rPr>
        <w:t>（1）绩效目标合理性</w:t>
      </w:r>
    </w:p>
    <w:p w:rsidR="00B868FF" w:rsidRDefault="00000000">
      <w:pPr>
        <w:pStyle w:val="af4"/>
        <w:ind w:firstLine="640"/>
        <w:rPr>
          <w:rFonts w:hint="eastAsia"/>
        </w:rPr>
      </w:pPr>
      <w:r>
        <w:rPr>
          <w:rFonts w:hint="eastAsia"/>
        </w:rPr>
        <w:t>绩效目标合理性：指标分值2.5分，评价得分2.5分。甘肃省高级人民法院严格按照《甘肃省省级预算绩效目标管理办法》要求，编制了《文化建设宣传经费项目支出绩效目标表》，绩效目标与实际工作具有相关性；与预算确定的投资额相匹配。评价认为，项目绩效目标编制合理。</w:t>
      </w:r>
    </w:p>
    <w:p w:rsidR="00B868FF" w:rsidRDefault="00000000">
      <w:pPr>
        <w:pStyle w:val="af4"/>
        <w:ind w:firstLine="640"/>
        <w:rPr>
          <w:rFonts w:hint="eastAsia"/>
        </w:rPr>
      </w:pPr>
      <w:r>
        <w:rPr>
          <w:rFonts w:hint="eastAsia"/>
        </w:rPr>
        <w:t>（2）绩效指标明确性</w:t>
      </w:r>
    </w:p>
    <w:p w:rsidR="00B868FF" w:rsidRDefault="00000000">
      <w:pPr>
        <w:pStyle w:val="af4"/>
        <w:ind w:firstLine="640"/>
        <w:rPr>
          <w:rFonts w:hint="eastAsia"/>
        </w:rPr>
      </w:pPr>
      <w:r>
        <w:rPr>
          <w:rFonts w:hint="eastAsia"/>
        </w:rPr>
        <w:t>绩效指标明确性：指标分值2.5分，评价得分2.5分。</w:t>
      </w:r>
      <w:r>
        <w:t>经核查</w:t>
      </w:r>
      <w:r>
        <w:rPr>
          <w:rFonts w:hint="eastAsia"/>
        </w:rPr>
        <w:t>甘肃省高级人民法院年初制定的</w:t>
      </w:r>
      <w:r>
        <w:t>《</w:t>
      </w:r>
      <w:r>
        <w:rPr>
          <w:rFonts w:hint="eastAsia"/>
        </w:rPr>
        <w:t>文化建设宣传经费项目支出绩效目标表</w:t>
      </w:r>
      <w:r>
        <w:t>》，设置的绩效指标能够将项目绩效目标细化分解为具体的绩效指标，指标目标值清晰、可衡量</w:t>
      </w:r>
      <w:r>
        <w:rPr>
          <w:rFonts w:hint="eastAsia"/>
        </w:rPr>
        <w:t>；与项目年度计划相对应；与预算确定的项目投资额或资金量相匹配。评价认为，项目绩效指标编制明确。</w:t>
      </w:r>
    </w:p>
    <w:p w:rsidR="00B868FF" w:rsidRDefault="00000000">
      <w:pPr>
        <w:pStyle w:val="af3"/>
        <w:overflowPunct w:val="0"/>
        <w:spacing w:line="560" w:lineRule="exact"/>
        <w:ind w:firstLine="643"/>
        <w:outlineLvl w:val="2"/>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3.资金投入</w:t>
      </w:r>
    </w:p>
    <w:p w:rsidR="00B868FF" w:rsidRDefault="007B69F5">
      <w:pPr>
        <w:pStyle w:val="af4"/>
        <w:ind w:firstLine="640"/>
        <w:rPr>
          <w:rFonts w:hint="eastAsia"/>
        </w:rPr>
      </w:pPr>
      <w:r>
        <w:rPr>
          <w:rFonts w:hint="eastAsia"/>
        </w:rPr>
        <w:t>文化建设宣传经费项目资金投入方向符合政策规定，按照年度预算合理分配。</w:t>
      </w:r>
    </w:p>
    <w:p w:rsidR="00B868FF" w:rsidRPr="00D07D63" w:rsidRDefault="00000000">
      <w:pPr>
        <w:pStyle w:val="af4"/>
        <w:ind w:firstLine="640"/>
      </w:pPr>
      <w:r w:rsidRPr="00D07D63">
        <w:rPr>
          <w:rFonts w:hint="eastAsia"/>
        </w:rPr>
        <w:t>（1）预算编制科学性</w:t>
      </w:r>
    </w:p>
    <w:p w:rsidR="00B868FF" w:rsidRDefault="00000000" w:rsidP="00E01F7F">
      <w:pPr>
        <w:pStyle w:val="af4"/>
        <w:ind w:firstLine="640"/>
        <w:rPr>
          <w:rFonts w:hint="eastAsia"/>
        </w:rPr>
      </w:pPr>
      <w:r w:rsidRPr="00D07D63">
        <w:rPr>
          <w:rFonts w:hint="eastAsia"/>
        </w:rPr>
        <w:t>预算编制科学性：指标分值2.5分，评价得分2.5分。</w:t>
      </w:r>
      <w:r w:rsidR="007B69F5" w:rsidRPr="00D07D63">
        <w:rPr>
          <w:rFonts w:hint="eastAsia"/>
        </w:rPr>
        <w:t>文化建设宣传经费</w:t>
      </w:r>
      <w:r w:rsidRPr="00D07D63">
        <w:rPr>
          <w:rFonts w:hint="eastAsia"/>
        </w:rPr>
        <w:t>项目实施前，甘</w:t>
      </w:r>
      <w:r>
        <w:rPr>
          <w:rFonts w:hint="eastAsia"/>
        </w:rPr>
        <w:t>肃省高级人民法院严格按照预算管理制度，分析研究并制定项目专项资金使用计划，项目实施中专项资金严格按照预算执行。评价认为，项目预算编制科学、合理、规范。</w:t>
      </w:r>
      <w:r w:rsidR="00E01F7F" w:rsidRPr="00E01F7F">
        <w:rPr>
          <w:rFonts w:hint="eastAsia"/>
        </w:rPr>
        <w:t>预算明细如下：</w:t>
      </w:r>
    </w:p>
    <w:tbl>
      <w:tblPr>
        <w:tblStyle w:val="af"/>
        <w:tblpPr w:leftFromText="180" w:rightFromText="180" w:vertAnchor="text" w:horzAnchor="margin" w:tblpY="-42"/>
        <w:tblW w:w="0" w:type="auto"/>
        <w:tblLook w:val="04A0" w:firstRow="1" w:lastRow="0" w:firstColumn="1" w:lastColumn="0" w:noHBand="0" w:noVBand="1"/>
      </w:tblPr>
      <w:tblGrid>
        <w:gridCol w:w="1632"/>
        <w:gridCol w:w="2597"/>
        <w:gridCol w:w="2530"/>
        <w:gridCol w:w="1701"/>
      </w:tblGrid>
      <w:tr w:rsidR="00E01F7F" w:rsidTr="00E01F7F">
        <w:trPr>
          <w:trHeight w:val="454"/>
        </w:trPr>
        <w:tc>
          <w:tcPr>
            <w:tcW w:w="1632" w:type="dxa"/>
            <w:vAlign w:val="bottom"/>
          </w:tcPr>
          <w:p w:rsidR="00E01F7F" w:rsidRDefault="00E01F7F" w:rsidP="00E01F7F">
            <w:pPr>
              <w:widowControl/>
              <w:ind w:firstLine="402"/>
              <w:jc w:val="center"/>
              <w:textAlignment w:val="bottom"/>
              <w:rPr>
                <w:rFonts w:ascii="仿宋_GB2312" w:eastAsia="仿宋_GB2312" w:hAnsi="仿宋_GB2312" w:cs="仿宋_GB2312" w:hint="eastAsia"/>
                <w:sz w:val="20"/>
                <w:szCs w:val="20"/>
              </w:rPr>
            </w:pPr>
            <w:bookmarkStart w:id="123" w:name="_Toc10475"/>
            <w:r>
              <w:rPr>
                <w:rFonts w:ascii="宋体" w:eastAsia="宋体" w:hAnsi="宋体" w:cs="宋体" w:hint="eastAsia"/>
                <w:b/>
                <w:bCs/>
                <w:color w:val="000000"/>
                <w:kern w:val="0"/>
                <w:sz w:val="20"/>
                <w:szCs w:val="20"/>
                <w:lang w:bidi="ar"/>
              </w:rPr>
              <w:lastRenderedPageBreak/>
              <w:t>当前年度</w:t>
            </w:r>
          </w:p>
        </w:tc>
        <w:tc>
          <w:tcPr>
            <w:tcW w:w="2597" w:type="dxa"/>
            <w:vAlign w:val="bottom"/>
          </w:tcPr>
          <w:p w:rsidR="00E01F7F" w:rsidRDefault="00E01F7F" w:rsidP="00E01F7F">
            <w:pPr>
              <w:widowControl/>
              <w:ind w:firstLine="402"/>
              <w:jc w:val="center"/>
              <w:textAlignment w:val="bottom"/>
              <w:rPr>
                <w:rFonts w:ascii="仿宋_GB2312" w:eastAsia="仿宋_GB2312" w:hAnsi="仿宋_GB2312" w:cs="仿宋_GB2312" w:hint="eastAsia"/>
                <w:sz w:val="20"/>
                <w:szCs w:val="20"/>
              </w:rPr>
            </w:pPr>
            <w:r>
              <w:rPr>
                <w:rFonts w:ascii="宋体" w:eastAsia="宋体" w:hAnsi="宋体" w:cs="宋体" w:hint="eastAsia"/>
                <w:b/>
                <w:bCs/>
                <w:color w:val="000000"/>
                <w:kern w:val="0"/>
                <w:sz w:val="20"/>
                <w:szCs w:val="20"/>
                <w:lang w:bidi="ar"/>
              </w:rPr>
              <w:t>支出功能分类</w:t>
            </w:r>
          </w:p>
        </w:tc>
        <w:tc>
          <w:tcPr>
            <w:tcW w:w="2530" w:type="dxa"/>
            <w:vAlign w:val="bottom"/>
          </w:tcPr>
          <w:p w:rsidR="00E01F7F" w:rsidRDefault="00E01F7F" w:rsidP="00E01F7F">
            <w:pPr>
              <w:widowControl/>
              <w:ind w:firstLine="402"/>
              <w:jc w:val="center"/>
              <w:textAlignment w:val="bottom"/>
              <w:rPr>
                <w:rFonts w:ascii="仿宋_GB2312" w:eastAsia="仿宋_GB2312" w:hAnsi="仿宋_GB2312" w:cs="仿宋_GB2312" w:hint="eastAsia"/>
                <w:sz w:val="20"/>
                <w:szCs w:val="20"/>
              </w:rPr>
            </w:pPr>
            <w:r>
              <w:rPr>
                <w:rFonts w:ascii="宋体" w:eastAsia="宋体" w:hAnsi="宋体" w:cs="宋体" w:hint="eastAsia"/>
                <w:b/>
                <w:bCs/>
                <w:color w:val="000000"/>
                <w:kern w:val="0"/>
                <w:sz w:val="20"/>
                <w:szCs w:val="20"/>
                <w:lang w:bidi="ar"/>
              </w:rPr>
              <w:t>支出经济科目</w:t>
            </w:r>
          </w:p>
        </w:tc>
        <w:tc>
          <w:tcPr>
            <w:tcW w:w="1701" w:type="dxa"/>
            <w:vAlign w:val="bottom"/>
          </w:tcPr>
          <w:p w:rsidR="00E01F7F" w:rsidRDefault="00E01F7F" w:rsidP="00E01F7F">
            <w:pPr>
              <w:widowControl/>
              <w:ind w:firstLine="402"/>
              <w:jc w:val="center"/>
              <w:textAlignment w:val="bottom"/>
              <w:rPr>
                <w:rFonts w:ascii="仿宋_GB2312" w:eastAsia="仿宋_GB2312" w:hAnsi="仿宋_GB2312" w:cs="仿宋_GB2312" w:hint="eastAsia"/>
                <w:sz w:val="20"/>
                <w:szCs w:val="20"/>
              </w:rPr>
            </w:pPr>
            <w:r>
              <w:rPr>
                <w:rFonts w:ascii="宋体" w:eastAsia="宋体" w:hAnsi="宋体" w:cs="宋体" w:hint="eastAsia"/>
                <w:b/>
                <w:bCs/>
                <w:color w:val="000000"/>
                <w:kern w:val="0"/>
                <w:sz w:val="20"/>
                <w:szCs w:val="20"/>
                <w:lang w:bidi="ar"/>
              </w:rPr>
              <w:t>总计</w:t>
            </w:r>
          </w:p>
        </w:tc>
      </w:tr>
      <w:tr w:rsidR="00E01F7F" w:rsidTr="00E01F7F">
        <w:trPr>
          <w:trHeight w:val="454"/>
        </w:trPr>
        <w:tc>
          <w:tcPr>
            <w:tcW w:w="1632" w:type="dxa"/>
            <w:vAlign w:val="bottom"/>
          </w:tcPr>
          <w:p w:rsidR="00E01F7F" w:rsidRDefault="00E01F7F" w:rsidP="00E01F7F">
            <w:pPr>
              <w:widowControl/>
              <w:ind w:firstLine="400"/>
              <w:jc w:val="center"/>
              <w:textAlignment w:val="bottom"/>
              <w:rPr>
                <w:rFonts w:ascii="仿宋_GB2312" w:eastAsia="仿宋_GB2312" w:hAnsi="仿宋_GB2312" w:cs="仿宋_GB2312" w:hint="eastAsia"/>
                <w:sz w:val="20"/>
                <w:szCs w:val="20"/>
              </w:rPr>
            </w:pPr>
            <w:r>
              <w:rPr>
                <w:rFonts w:ascii="宋体" w:eastAsia="宋体" w:hAnsi="宋体" w:cs="宋体" w:hint="eastAsia"/>
                <w:color w:val="000000"/>
                <w:kern w:val="0"/>
                <w:sz w:val="20"/>
                <w:szCs w:val="20"/>
                <w:lang w:bidi="ar"/>
              </w:rPr>
              <w:t>2023</w:t>
            </w:r>
          </w:p>
        </w:tc>
        <w:tc>
          <w:tcPr>
            <w:tcW w:w="2597" w:type="dxa"/>
            <w:vAlign w:val="bottom"/>
          </w:tcPr>
          <w:p w:rsidR="00E01F7F" w:rsidRDefault="00E01F7F" w:rsidP="00E01F7F">
            <w:pPr>
              <w:widowControl/>
              <w:ind w:firstLine="400"/>
              <w:jc w:val="left"/>
              <w:textAlignment w:val="bottom"/>
              <w:rPr>
                <w:rFonts w:ascii="仿宋_GB2312" w:eastAsia="仿宋_GB2312" w:hAnsi="仿宋_GB2312" w:cs="仿宋_GB2312" w:hint="eastAsia"/>
                <w:sz w:val="20"/>
                <w:szCs w:val="20"/>
              </w:rPr>
            </w:pPr>
            <w:r w:rsidRPr="00E01F7F">
              <w:rPr>
                <w:rFonts w:ascii="宋体" w:eastAsia="宋体" w:hAnsi="宋体" w:cs="宋体" w:hint="eastAsia"/>
                <w:color w:val="000000"/>
                <w:kern w:val="0"/>
                <w:sz w:val="20"/>
                <w:szCs w:val="20"/>
                <w:lang w:bidi="ar"/>
              </w:rPr>
              <w:t>[2040504]案件审判</w:t>
            </w:r>
          </w:p>
        </w:tc>
        <w:tc>
          <w:tcPr>
            <w:tcW w:w="2530" w:type="dxa"/>
            <w:vAlign w:val="bottom"/>
          </w:tcPr>
          <w:p w:rsidR="00E01F7F" w:rsidRDefault="00E01F7F" w:rsidP="00E01F7F">
            <w:pPr>
              <w:widowControl/>
              <w:ind w:firstLine="400"/>
              <w:jc w:val="left"/>
              <w:textAlignment w:val="bottom"/>
              <w:rPr>
                <w:rFonts w:ascii="仿宋_GB2312" w:eastAsia="仿宋_GB2312" w:hAnsi="仿宋_GB2312" w:cs="仿宋_GB2312" w:hint="eastAsia"/>
                <w:sz w:val="20"/>
                <w:szCs w:val="20"/>
              </w:rPr>
            </w:pPr>
            <w:r w:rsidRPr="00E01F7F">
              <w:rPr>
                <w:rFonts w:ascii="宋体" w:eastAsia="宋体" w:hAnsi="宋体" w:cs="宋体" w:hint="eastAsia"/>
                <w:color w:val="000000"/>
                <w:kern w:val="0"/>
                <w:sz w:val="20"/>
                <w:szCs w:val="20"/>
                <w:lang w:bidi="ar"/>
              </w:rPr>
              <w:t>[30202]印刷费</w:t>
            </w:r>
          </w:p>
        </w:tc>
        <w:tc>
          <w:tcPr>
            <w:tcW w:w="1701" w:type="dxa"/>
            <w:vAlign w:val="bottom"/>
          </w:tcPr>
          <w:p w:rsidR="00E01F7F" w:rsidRDefault="00E01F7F" w:rsidP="00E01F7F">
            <w:pPr>
              <w:widowControl/>
              <w:ind w:firstLine="400"/>
              <w:jc w:val="center"/>
              <w:textAlignment w:val="bottom"/>
              <w:rPr>
                <w:rFonts w:ascii="仿宋_GB2312" w:eastAsia="仿宋_GB2312" w:hAnsi="仿宋_GB2312" w:cs="仿宋_GB2312" w:hint="eastAsia"/>
                <w:sz w:val="20"/>
                <w:szCs w:val="20"/>
              </w:rPr>
            </w:pPr>
            <w:r>
              <w:rPr>
                <w:rFonts w:ascii="宋体" w:eastAsia="宋体" w:hAnsi="宋体" w:cs="宋体" w:hint="eastAsia"/>
                <w:color w:val="000000"/>
                <w:kern w:val="0"/>
                <w:sz w:val="20"/>
                <w:szCs w:val="20"/>
                <w:lang w:bidi="ar"/>
              </w:rPr>
              <w:t>20.00</w:t>
            </w:r>
          </w:p>
        </w:tc>
      </w:tr>
      <w:tr w:rsidR="00E01F7F" w:rsidTr="00E01F7F">
        <w:trPr>
          <w:trHeight w:val="454"/>
        </w:trPr>
        <w:tc>
          <w:tcPr>
            <w:tcW w:w="1632" w:type="dxa"/>
            <w:vAlign w:val="bottom"/>
          </w:tcPr>
          <w:p w:rsidR="00E01F7F" w:rsidRDefault="00E01F7F" w:rsidP="00E01F7F">
            <w:pPr>
              <w:widowControl/>
              <w:ind w:firstLine="400"/>
              <w:jc w:val="center"/>
              <w:textAlignment w:val="bottom"/>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2023</w:t>
            </w:r>
          </w:p>
        </w:tc>
        <w:tc>
          <w:tcPr>
            <w:tcW w:w="2597" w:type="dxa"/>
            <w:vAlign w:val="bottom"/>
          </w:tcPr>
          <w:p w:rsidR="00E01F7F" w:rsidRPr="00E01F7F" w:rsidRDefault="00E01F7F" w:rsidP="00E01F7F">
            <w:pPr>
              <w:widowControl/>
              <w:ind w:firstLine="400"/>
              <w:jc w:val="left"/>
              <w:textAlignment w:val="bottom"/>
              <w:rPr>
                <w:rFonts w:ascii="宋体" w:eastAsia="宋体" w:hAnsi="宋体" w:cs="宋体" w:hint="eastAsia"/>
                <w:color w:val="000000"/>
                <w:kern w:val="0"/>
                <w:sz w:val="20"/>
                <w:szCs w:val="20"/>
                <w:lang w:bidi="ar"/>
              </w:rPr>
            </w:pPr>
            <w:r w:rsidRPr="00E01F7F">
              <w:rPr>
                <w:rFonts w:ascii="宋体" w:eastAsia="宋体" w:hAnsi="宋体" w:cs="宋体" w:hint="eastAsia"/>
                <w:color w:val="000000"/>
                <w:kern w:val="0"/>
                <w:sz w:val="20"/>
                <w:szCs w:val="20"/>
                <w:lang w:bidi="ar"/>
              </w:rPr>
              <w:t>[2040504]案件审判</w:t>
            </w:r>
          </w:p>
        </w:tc>
        <w:tc>
          <w:tcPr>
            <w:tcW w:w="2530" w:type="dxa"/>
            <w:vAlign w:val="bottom"/>
          </w:tcPr>
          <w:p w:rsidR="00E01F7F" w:rsidRPr="00E01F7F" w:rsidRDefault="00E01F7F" w:rsidP="00E01F7F">
            <w:pPr>
              <w:widowControl/>
              <w:ind w:firstLine="400"/>
              <w:jc w:val="left"/>
              <w:textAlignment w:val="bottom"/>
              <w:rPr>
                <w:rFonts w:ascii="宋体" w:eastAsia="宋体" w:hAnsi="宋体" w:cs="宋体" w:hint="eastAsia"/>
                <w:color w:val="000000"/>
                <w:kern w:val="0"/>
                <w:sz w:val="20"/>
                <w:szCs w:val="20"/>
                <w:lang w:bidi="ar"/>
              </w:rPr>
            </w:pPr>
            <w:r w:rsidRPr="00E01F7F">
              <w:rPr>
                <w:rFonts w:ascii="宋体" w:eastAsia="宋体" w:hAnsi="宋体" w:cs="宋体" w:hint="eastAsia"/>
                <w:color w:val="000000"/>
                <w:kern w:val="0"/>
                <w:sz w:val="20"/>
                <w:szCs w:val="20"/>
                <w:lang w:bidi="ar"/>
              </w:rPr>
              <w:t>[30201]办公费</w:t>
            </w:r>
          </w:p>
        </w:tc>
        <w:tc>
          <w:tcPr>
            <w:tcW w:w="1701" w:type="dxa"/>
            <w:vAlign w:val="bottom"/>
          </w:tcPr>
          <w:p w:rsidR="00E01F7F" w:rsidRDefault="00E01F7F" w:rsidP="00E01F7F">
            <w:pPr>
              <w:widowControl/>
              <w:ind w:firstLine="400"/>
              <w:jc w:val="center"/>
              <w:textAlignment w:val="bottom"/>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200.00</w:t>
            </w:r>
          </w:p>
        </w:tc>
      </w:tr>
    </w:tbl>
    <w:p w:rsidR="00E01F7F" w:rsidRDefault="00E01F7F">
      <w:pPr>
        <w:pStyle w:val="af4"/>
        <w:ind w:firstLine="640"/>
      </w:pPr>
      <w:r>
        <w:rPr>
          <w:rFonts w:hint="eastAsia"/>
        </w:rPr>
        <w:t>（2）资金分配合理性</w:t>
      </w:r>
    </w:p>
    <w:p w:rsidR="00B868FF" w:rsidRDefault="00000000">
      <w:pPr>
        <w:pStyle w:val="af4"/>
        <w:ind w:firstLine="640"/>
        <w:rPr>
          <w:rFonts w:hint="eastAsia"/>
        </w:rPr>
      </w:pPr>
      <w:r>
        <w:rPr>
          <w:rFonts w:hint="eastAsia"/>
        </w:rPr>
        <w:t>资金分配合理性：指标分值2.5分，评价得分2.5分。</w:t>
      </w:r>
      <w:bookmarkStart w:id="124" w:name="_Toc22593"/>
      <w:bookmarkStart w:id="125" w:name="_Toc5353"/>
      <w:bookmarkEnd w:id="123"/>
      <w:r w:rsidR="00FC280E" w:rsidRPr="00FC280E">
        <w:rPr>
          <w:rFonts w:hint="eastAsia"/>
        </w:rPr>
        <w:t>项目预算内容与项目内容匹配，预算编制经过科学论证，预算额度测算依据充分，按照标准编制，确定的项目资金量与工作任务相匹配</w:t>
      </w:r>
      <w:r>
        <w:rPr>
          <w:rFonts w:hint="eastAsia"/>
        </w:rPr>
        <w:t>，不存在无依据支出和虚列支出等情况。评价认为，项目资金分配合理，与项目实际相适应。</w:t>
      </w:r>
    </w:p>
    <w:p w:rsidR="00B868FF" w:rsidRDefault="00000000">
      <w:pPr>
        <w:pStyle w:val="a6"/>
        <w:overflowPunct w:val="0"/>
        <w:spacing w:line="560" w:lineRule="exact"/>
        <w:ind w:firstLineChars="200" w:firstLine="643"/>
        <w:outlineLvl w:val="1"/>
        <w:rPr>
          <w:rFonts w:ascii="楷体" w:eastAsia="楷体" w:hAnsi="楷体" w:cs="楷体" w:hint="eastAsia"/>
          <w:b/>
          <w:bCs/>
        </w:rPr>
      </w:pPr>
      <w:bookmarkStart w:id="126" w:name="_Toc174375024"/>
      <w:r>
        <w:rPr>
          <w:rFonts w:ascii="楷体" w:eastAsia="楷体" w:hAnsi="楷体" w:cs="楷体" w:hint="eastAsia"/>
          <w:b/>
          <w:bCs/>
        </w:rPr>
        <w:t>（二）项目过程情况</w:t>
      </w:r>
      <w:bookmarkEnd w:id="124"/>
      <w:bookmarkEnd w:id="125"/>
      <w:bookmarkEnd w:id="126"/>
    </w:p>
    <w:p w:rsidR="00B868FF" w:rsidRDefault="00000000">
      <w:pPr>
        <w:pStyle w:val="af4"/>
        <w:ind w:firstLine="640"/>
        <w:rPr>
          <w:rFonts w:hint="eastAsia"/>
        </w:rPr>
      </w:pPr>
      <w:r>
        <w:rPr>
          <w:rFonts w:hint="eastAsia"/>
        </w:rPr>
        <w:t>项目过程指标包括资金管理、组织实施两个二级指标。资金管理指标包括资金到位率、预算执行率、资金使用合</w:t>
      </w:r>
      <w:proofErr w:type="gramStart"/>
      <w:r>
        <w:rPr>
          <w:rFonts w:hint="eastAsia"/>
        </w:rPr>
        <w:t>规</w:t>
      </w:r>
      <w:proofErr w:type="gramEnd"/>
      <w:r>
        <w:rPr>
          <w:rFonts w:hint="eastAsia"/>
        </w:rPr>
        <w:t>性三个三级指标，组织实施指标包括管理制度健全性、制度执行有效性、采购管理规范性、合同管理完备性四个三级指标。指标分值21分，评价得分17.54分，得分率83.52%。</w:t>
      </w:r>
    </w:p>
    <w:tbl>
      <w:tblPr>
        <w:tblStyle w:val="af"/>
        <w:tblW w:w="0" w:type="auto"/>
        <w:tblBorders>
          <w:top w:val="single" w:sz="12" w:space="0" w:color="auto"/>
          <w:left w:val="none" w:sz="0" w:space="0" w:color="auto"/>
          <w:bottom w:val="single" w:sz="12" w:space="0" w:color="auto"/>
          <w:right w:val="none" w:sz="0" w:space="0" w:color="auto"/>
          <w:insideH w:val="dotted" w:sz="4" w:space="0" w:color="auto"/>
          <w:insideV w:val="dotted" w:sz="4" w:space="0" w:color="auto"/>
        </w:tblBorders>
        <w:tblLook w:val="04A0" w:firstRow="1" w:lastRow="0" w:firstColumn="1" w:lastColumn="0" w:noHBand="0" w:noVBand="1"/>
      </w:tblPr>
      <w:tblGrid>
        <w:gridCol w:w="1201"/>
        <w:gridCol w:w="1836"/>
        <w:gridCol w:w="999"/>
        <w:gridCol w:w="1151"/>
        <w:gridCol w:w="1170"/>
        <w:gridCol w:w="1048"/>
        <w:gridCol w:w="1065"/>
      </w:tblGrid>
      <w:tr w:rsidR="00B868FF">
        <w:trPr>
          <w:trHeight w:val="454"/>
          <w:tblHeader/>
        </w:trPr>
        <w:tc>
          <w:tcPr>
            <w:tcW w:w="1201"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bookmarkStart w:id="127" w:name="_Hlk167346931"/>
            <w:r>
              <w:rPr>
                <w:rFonts w:ascii="宋体" w:eastAsia="宋体" w:hAnsi="宋体" w:cs="宋体" w:hint="eastAsia"/>
                <w:b/>
                <w:bCs/>
                <w:kern w:val="0"/>
                <w:sz w:val="20"/>
                <w:szCs w:val="20"/>
                <w:lang w:bidi="ar"/>
              </w:rPr>
              <w:t>二级指标</w:t>
            </w:r>
          </w:p>
        </w:tc>
        <w:tc>
          <w:tcPr>
            <w:tcW w:w="1836"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三级指标</w:t>
            </w:r>
          </w:p>
        </w:tc>
        <w:tc>
          <w:tcPr>
            <w:tcW w:w="999"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分值</w:t>
            </w:r>
          </w:p>
        </w:tc>
        <w:tc>
          <w:tcPr>
            <w:tcW w:w="1151"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目标值</w:t>
            </w:r>
          </w:p>
        </w:tc>
        <w:tc>
          <w:tcPr>
            <w:tcW w:w="1170"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业绩值</w:t>
            </w:r>
          </w:p>
        </w:tc>
        <w:tc>
          <w:tcPr>
            <w:tcW w:w="1048"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得分</w:t>
            </w:r>
          </w:p>
        </w:tc>
        <w:tc>
          <w:tcPr>
            <w:tcW w:w="1065"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得分率</w:t>
            </w:r>
          </w:p>
        </w:tc>
      </w:tr>
      <w:tr w:rsidR="00B868FF">
        <w:trPr>
          <w:trHeight w:val="454"/>
        </w:trPr>
        <w:tc>
          <w:tcPr>
            <w:tcW w:w="1201" w:type="dxa"/>
            <w:vMerge w:val="restart"/>
            <w:tcBorders>
              <w:tl2br w:val="nil"/>
              <w:tr2bl w:val="nil"/>
            </w:tcBorders>
            <w:vAlign w:val="center"/>
          </w:tcPr>
          <w:p w:rsidR="00B868FF" w:rsidRDefault="00000000">
            <w:pPr>
              <w:widowControl/>
              <w:jc w:val="center"/>
              <w:textAlignment w:val="center"/>
              <w:rPr>
                <w:rFonts w:ascii="宋体" w:eastAsia="宋体" w:hAnsi="宋体" w:cs="宋体" w:hint="eastAsia"/>
                <w:b/>
                <w:bCs/>
                <w:sz w:val="20"/>
                <w:szCs w:val="20"/>
              </w:rPr>
            </w:pPr>
            <w:r>
              <w:rPr>
                <w:rFonts w:ascii="宋体" w:eastAsia="宋体" w:hAnsi="宋体" w:cs="宋体" w:hint="eastAsia"/>
                <w:kern w:val="0"/>
                <w:sz w:val="20"/>
                <w:szCs w:val="20"/>
                <w:lang w:bidi="ar"/>
              </w:rPr>
              <w:t>资金管理</w:t>
            </w:r>
          </w:p>
        </w:tc>
        <w:tc>
          <w:tcPr>
            <w:tcW w:w="1836" w:type="dxa"/>
            <w:tcBorders>
              <w:tl2br w:val="nil"/>
              <w:tr2bl w:val="nil"/>
            </w:tcBorders>
            <w:vAlign w:val="center"/>
          </w:tcPr>
          <w:p w:rsidR="00B868FF" w:rsidRDefault="00000000">
            <w:pPr>
              <w:widowControl/>
              <w:jc w:val="center"/>
              <w:textAlignment w:val="center"/>
              <w:rPr>
                <w:rFonts w:ascii="宋体" w:eastAsia="宋体" w:hAnsi="宋体" w:cs="宋体" w:hint="eastAsia"/>
                <w:b/>
                <w:bCs/>
                <w:sz w:val="20"/>
                <w:szCs w:val="20"/>
              </w:rPr>
            </w:pPr>
            <w:r>
              <w:rPr>
                <w:rFonts w:ascii="宋体" w:eastAsia="宋体" w:hAnsi="宋体" w:cs="宋体" w:hint="eastAsia"/>
                <w:kern w:val="0"/>
                <w:sz w:val="20"/>
                <w:szCs w:val="20"/>
                <w:lang w:bidi="ar"/>
              </w:rPr>
              <w:t>资金到位率</w:t>
            </w:r>
          </w:p>
        </w:tc>
        <w:tc>
          <w:tcPr>
            <w:tcW w:w="999"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rPr>
            </w:pPr>
            <w:r>
              <w:rPr>
                <w:rFonts w:ascii="宋体" w:eastAsia="宋体" w:hAnsi="宋体" w:cs="宋体" w:hint="eastAsia"/>
                <w:kern w:val="0"/>
                <w:sz w:val="20"/>
                <w:szCs w:val="20"/>
              </w:rPr>
              <w:t>3</w:t>
            </w:r>
          </w:p>
        </w:tc>
        <w:tc>
          <w:tcPr>
            <w:tcW w:w="1151"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sz w:val="20"/>
                <w:szCs w:val="20"/>
              </w:rPr>
              <w:t>=</w:t>
            </w:r>
            <w:r w:rsidR="00C93B37">
              <w:rPr>
                <w:rFonts w:ascii="宋体" w:eastAsia="宋体" w:hAnsi="宋体" w:cs="宋体" w:hint="eastAsia"/>
                <w:sz w:val="20"/>
                <w:szCs w:val="20"/>
              </w:rPr>
              <w:t>100.00%</w:t>
            </w:r>
          </w:p>
        </w:tc>
        <w:tc>
          <w:tcPr>
            <w:tcW w:w="1170" w:type="dxa"/>
            <w:tcBorders>
              <w:tl2br w:val="nil"/>
              <w:tr2bl w:val="nil"/>
            </w:tcBorders>
            <w:shd w:val="clear" w:color="auto" w:fill="auto"/>
            <w:vAlign w:val="center"/>
          </w:tcPr>
          <w:p w:rsidR="00B868FF" w:rsidRDefault="00C93B37">
            <w:pPr>
              <w:widowControl/>
              <w:jc w:val="center"/>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100.00%</w:t>
            </w:r>
          </w:p>
        </w:tc>
        <w:tc>
          <w:tcPr>
            <w:tcW w:w="1048"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sz w:val="20"/>
                <w:szCs w:val="20"/>
              </w:rPr>
              <w:t>3</w:t>
            </w:r>
          </w:p>
        </w:tc>
        <w:tc>
          <w:tcPr>
            <w:tcW w:w="1065" w:type="dxa"/>
            <w:tcBorders>
              <w:tl2br w:val="nil"/>
              <w:tr2bl w:val="nil"/>
            </w:tcBorders>
            <w:shd w:val="clear" w:color="auto" w:fill="auto"/>
            <w:vAlign w:val="center"/>
          </w:tcPr>
          <w:p w:rsidR="00B868FF" w:rsidRDefault="00000000">
            <w:pPr>
              <w:widowControl/>
              <w:jc w:val="right"/>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100.00%</w:t>
            </w:r>
          </w:p>
        </w:tc>
      </w:tr>
      <w:tr w:rsidR="00B868FF">
        <w:trPr>
          <w:trHeight w:val="454"/>
        </w:trPr>
        <w:tc>
          <w:tcPr>
            <w:tcW w:w="1201" w:type="dxa"/>
            <w:vMerge/>
            <w:tcBorders>
              <w:tl2br w:val="nil"/>
              <w:tr2bl w:val="nil"/>
            </w:tcBorders>
            <w:vAlign w:val="center"/>
          </w:tcPr>
          <w:p w:rsidR="00B868FF" w:rsidRDefault="00B868FF">
            <w:pPr>
              <w:jc w:val="center"/>
              <w:rPr>
                <w:rFonts w:ascii="宋体" w:eastAsia="宋体" w:hAnsi="宋体" w:cs="宋体" w:hint="eastAsia"/>
                <w:b/>
                <w:bCs/>
                <w:sz w:val="20"/>
                <w:szCs w:val="20"/>
              </w:rPr>
            </w:pPr>
          </w:p>
        </w:tc>
        <w:tc>
          <w:tcPr>
            <w:tcW w:w="1836" w:type="dxa"/>
            <w:tcBorders>
              <w:tl2br w:val="nil"/>
              <w:tr2bl w:val="nil"/>
            </w:tcBorders>
            <w:vAlign w:val="center"/>
          </w:tcPr>
          <w:p w:rsidR="00B868FF" w:rsidRDefault="00000000">
            <w:pPr>
              <w:widowControl/>
              <w:jc w:val="center"/>
              <w:textAlignment w:val="center"/>
              <w:rPr>
                <w:rFonts w:ascii="宋体" w:eastAsia="宋体" w:hAnsi="宋体" w:cs="宋体" w:hint="eastAsia"/>
                <w:b/>
                <w:bCs/>
                <w:sz w:val="20"/>
                <w:szCs w:val="20"/>
              </w:rPr>
            </w:pPr>
            <w:r>
              <w:rPr>
                <w:rFonts w:ascii="宋体" w:eastAsia="宋体" w:hAnsi="宋体" w:cs="宋体" w:hint="eastAsia"/>
                <w:kern w:val="0"/>
                <w:sz w:val="20"/>
                <w:szCs w:val="20"/>
                <w:lang w:bidi="ar"/>
              </w:rPr>
              <w:t>预算执行率</w:t>
            </w:r>
          </w:p>
        </w:tc>
        <w:tc>
          <w:tcPr>
            <w:tcW w:w="999"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sz w:val="20"/>
                <w:szCs w:val="20"/>
              </w:rPr>
              <w:t>3</w:t>
            </w:r>
          </w:p>
        </w:tc>
        <w:tc>
          <w:tcPr>
            <w:tcW w:w="1151"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sz w:val="20"/>
                <w:szCs w:val="20"/>
              </w:rPr>
              <w:t>=</w:t>
            </w:r>
            <w:r w:rsidR="00C93B37">
              <w:rPr>
                <w:rFonts w:ascii="宋体" w:eastAsia="宋体" w:hAnsi="宋体" w:cs="宋体" w:hint="eastAsia"/>
                <w:sz w:val="20"/>
                <w:szCs w:val="20"/>
              </w:rPr>
              <w:t>100.00%</w:t>
            </w:r>
          </w:p>
        </w:tc>
        <w:tc>
          <w:tcPr>
            <w:tcW w:w="1170"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45.43%</w:t>
            </w:r>
          </w:p>
        </w:tc>
        <w:tc>
          <w:tcPr>
            <w:tcW w:w="1048"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sz w:val="20"/>
                <w:szCs w:val="20"/>
              </w:rPr>
              <w:t>0.54</w:t>
            </w:r>
          </w:p>
        </w:tc>
        <w:tc>
          <w:tcPr>
            <w:tcW w:w="1065" w:type="dxa"/>
            <w:tcBorders>
              <w:tl2br w:val="nil"/>
              <w:tr2bl w:val="nil"/>
            </w:tcBorders>
            <w:shd w:val="clear" w:color="auto" w:fill="auto"/>
            <w:vAlign w:val="center"/>
          </w:tcPr>
          <w:p w:rsidR="00B868FF" w:rsidRDefault="00000000">
            <w:pPr>
              <w:widowControl/>
              <w:jc w:val="right"/>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45.43%</w:t>
            </w:r>
          </w:p>
        </w:tc>
      </w:tr>
      <w:tr w:rsidR="00B868FF">
        <w:trPr>
          <w:trHeight w:val="454"/>
        </w:trPr>
        <w:tc>
          <w:tcPr>
            <w:tcW w:w="1201" w:type="dxa"/>
            <w:vMerge/>
            <w:tcBorders>
              <w:tl2br w:val="nil"/>
              <w:tr2bl w:val="nil"/>
            </w:tcBorders>
            <w:vAlign w:val="center"/>
          </w:tcPr>
          <w:p w:rsidR="00B868FF" w:rsidRDefault="00B868FF">
            <w:pPr>
              <w:jc w:val="center"/>
              <w:rPr>
                <w:rFonts w:ascii="宋体" w:eastAsia="宋体" w:hAnsi="宋体" w:cs="宋体" w:hint="eastAsia"/>
                <w:b/>
                <w:bCs/>
                <w:sz w:val="20"/>
                <w:szCs w:val="20"/>
              </w:rPr>
            </w:pPr>
          </w:p>
        </w:tc>
        <w:tc>
          <w:tcPr>
            <w:tcW w:w="1836" w:type="dxa"/>
            <w:tcBorders>
              <w:tl2br w:val="nil"/>
              <w:tr2bl w:val="nil"/>
            </w:tcBorders>
            <w:vAlign w:val="center"/>
          </w:tcPr>
          <w:p w:rsidR="00B868FF" w:rsidRDefault="00000000">
            <w:pPr>
              <w:widowControl/>
              <w:jc w:val="center"/>
              <w:textAlignment w:val="center"/>
              <w:rPr>
                <w:rFonts w:ascii="宋体" w:eastAsia="宋体" w:hAnsi="宋体" w:cs="宋体" w:hint="eastAsia"/>
                <w:b/>
                <w:bCs/>
                <w:sz w:val="20"/>
                <w:szCs w:val="20"/>
              </w:rPr>
            </w:pPr>
            <w:r>
              <w:rPr>
                <w:rFonts w:ascii="宋体" w:eastAsia="宋体" w:hAnsi="宋体" w:cs="宋体" w:hint="eastAsia"/>
                <w:kern w:val="0"/>
                <w:sz w:val="20"/>
                <w:szCs w:val="20"/>
                <w:lang w:bidi="ar"/>
              </w:rPr>
              <w:t>资金使用合</w:t>
            </w:r>
            <w:proofErr w:type="gramStart"/>
            <w:r>
              <w:rPr>
                <w:rFonts w:ascii="宋体" w:eastAsia="宋体" w:hAnsi="宋体" w:cs="宋体" w:hint="eastAsia"/>
                <w:kern w:val="0"/>
                <w:sz w:val="20"/>
                <w:szCs w:val="20"/>
                <w:lang w:bidi="ar"/>
              </w:rPr>
              <w:t>规</w:t>
            </w:r>
            <w:proofErr w:type="gramEnd"/>
            <w:r>
              <w:rPr>
                <w:rFonts w:ascii="宋体" w:eastAsia="宋体" w:hAnsi="宋体" w:cs="宋体" w:hint="eastAsia"/>
                <w:kern w:val="0"/>
                <w:sz w:val="20"/>
                <w:szCs w:val="20"/>
                <w:lang w:bidi="ar"/>
              </w:rPr>
              <w:t>性</w:t>
            </w:r>
          </w:p>
        </w:tc>
        <w:tc>
          <w:tcPr>
            <w:tcW w:w="999"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sz w:val="20"/>
                <w:szCs w:val="20"/>
              </w:rPr>
              <w:t>3</w:t>
            </w:r>
          </w:p>
        </w:tc>
        <w:tc>
          <w:tcPr>
            <w:tcW w:w="1151"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合</w:t>
            </w:r>
            <w:proofErr w:type="gramStart"/>
            <w:r>
              <w:rPr>
                <w:rFonts w:ascii="宋体" w:eastAsia="宋体" w:hAnsi="宋体" w:cs="宋体" w:hint="eastAsia"/>
                <w:color w:val="000000"/>
                <w:kern w:val="0"/>
                <w:sz w:val="20"/>
                <w:szCs w:val="20"/>
                <w:lang w:bidi="ar"/>
              </w:rPr>
              <w:t>规</w:t>
            </w:r>
            <w:proofErr w:type="gramEnd"/>
          </w:p>
        </w:tc>
        <w:tc>
          <w:tcPr>
            <w:tcW w:w="1170"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合</w:t>
            </w:r>
            <w:proofErr w:type="gramStart"/>
            <w:r>
              <w:rPr>
                <w:rFonts w:ascii="宋体" w:eastAsia="宋体" w:hAnsi="宋体" w:cs="宋体" w:hint="eastAsia"/>
                <w:color w:val="000000"/>
                <w:kern w:val="0"/>
                <w:sz w:val="20"/>
                <w:szCs w:val="20"/>
                <w:lang w:bidi="ar"/>
              </w:rPr>
              <w:t>规</w:t>
            </w:r>
            <w:proofErr w:type="gramEnd"/>
          </w:p>
        </w:tc>
        <w:tc>
          <w:tcPr>
            <w:tcW w:w="1048"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sz w:val="20"/>
                <w:szCs w:val="20"/>
              </w:rPr>
              <w:t>3</w:t>
            </w:r>
          </w:p>
        </w:tc>
        <w:tc>
          <w:tcPr>
            <w:tcW w:w="1065" w:type="dxa"/>
            <w:tcBorders>
              <w:tl2br w:val="nil"/>
              <w:tr2bl w:val="nil"/>
            </w:tcBorders>
            <w:shd w:val="clear" w:color="auto" w:fill="auto"/>
            <w:vAlign w:val="center"/>
          </w:tcPr>
          <w:p w:rsidR="00B868FF" w:rsidRDefault="00000000">
            <w:pPr>
              <w:widowControl/>
              <w:jc w:val="right"/>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100.00%</w:t>
            </w:r>
          </w:p>
        </w:tc>
      </w:tr>
      <w:tr w:rsidR="00B868FF">
        <w:trPr>
          <w:trHeight w:val="454"/>
        </w:trPr>
        <w:tc>
          <w:tcPr>
            <w:tcW w:w="1201" w:type="dxa"/>
            <w:vMerge w:val="restart"/>
            <w:tcBorders>
              <w:tl2br w:val="nil"/>
              <w:tr2bl w:val="nil"/>
            </w:tcBorders>
            <w:vAlign w:val="center"/>
          </w:tcPr>
          <w:p w:rsidR="00B868FF" w:rsidRDefault="00000000">
            <w:pPr>
              <w:widowControl/>
              <w:jc w:val="center"/>
              <w:textAlignment w:val="center"/>
              <w:rPr>
                <w:rFonts w:ascii="宋体" w:eastAsia="宋体" w:hAnsi="宋体" w:cs="宋体" w:hint="eastAsia"/>
                <w:b/>
                <w:bCs/>
                <w:sz w:val="20"/>
                <w:szCs w:val="20"/>
              </w:rPr>
            </w:pPr>
            <w:r>
              <w:rPr>
                <w:rFonts w:ascii="宋体" w:eastAsia="宋体" w:hAnsi="宋体" w:cs="宋体" w:hint="eastAsia"/>
                <w:kern w:val="0"/>
                <w:sz w:val="20"/>
                <w:szCs w:val="20"/>
                <w:lang w:bidi="ar"/>
              </w:rPr>
              <w:t>组织实施</w:t>
            </w:r>
          </w:p>
        </w:tc>
        <w:tc>
          <w:tcPr>
            <w:tcW w:w="1836" w:type="dxa"/>
            <w:tcBorders>
              <w:tl2br w:val="nil"/>
              <w:tr2bl w:val="nil"/>
            </w:tcBorders>
            <w:vAlign w:val="center"/>
          </w:tcPr>
          <w:p w:rsidR="00B868FF" w:rsidRDefault="00000000">
            <w:pPr>
              <w:widowControl/>
              <w:jc w:val="center"/>
              <w:textAlignment w:val="center"/>
              <w:rPr>
                <w:rFonts w:ascii="宋体" w:eastAsia="宋体" w:hAnsi="宋体" w:cs="宋体" w:hint="eastAsia"/>
                <w:b/>
                <w:bCs/>
                <w:sz w:val="20"/>
                <w:szCs w:val="20"/>
              </w:rPr>
            </w:pPr>
            <w:r>
              <w:rPr>
                <w:rFonts w:ascii="宋体" w:eastAsia="宋体" w:hAnsi="宋体" w:cs="宋体" w:hint="eastAsia"/>
                <w:kern w:val="0"/>
                <w:sz w:val="20"/>
                <w:szCs w:val="20"/>
                <w:lang w:bidi="ar"/>
              </w:rPr>
              <w:t>管理制度健全性</w:t>
            </w:r>
          </w:p>
        </w:tc>
        <w:tc>
          <w:tcPr>
            <w:tcW w:w="999"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sz w:val="20"/>
                <w:szCs w:val="20"/>
              </w:rPr>
              <w:t>3</w:t>
            </w:r>
          </w:p>
        </w:tc>
        <w:tc>
          <w:tcPr>
            <w:tcW w:w="1151"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健全</w:t>
            </w:r>
          </w:p>
        </w:tc>
        <w:tc>
          <w:tcPr>
            <w:tcW w:w="1170"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健全</w:t>
            </w:r>
          </w:p>
        </w:tc>
        <w:tc>
          <w:tcPr>
            <w:tcW w:w="1048"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sz w:val="20"/>
                <w:szCs w:val="20"/>
              </w:rPr>
              <w:t>3</w:t>
            </w:r>
          </w:p>
        </w:tc>
        <w:tc>
          <w:tcPr>
            <w:tcW w:w="1065" w:type="dxa"/>
            <w:tcBorders>
              <w:tl2br w:val="nil"/>
              <w:tr2bl w:val="nil"/>
            </w:tcBorders>
            <w:shd w:val="clear" w:color="auto" w:fill="auto"/>
            <w:vAlign w:val="center"/>
          </w:tcPr>
          <w:p w:rsidR="00B868FF" w:rsidRDefault="00000000">
            <w:pPr>
              <w:widowControl/>
              <w:jc w:val="right"/>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100.00%</w:t>
            </w:r>
          </w:p>
        </w:tc>
      </w:tr>
      <w:tr w:rsidR="00B868FF">
        <w:trPr>
          <w:trHeight w:val="454"/>
        </w:trPr>
        <w:tc>
          <w:tcPr>
            <w:tcW w:w="1201" w:type="dxa"/>
            <w:vMerge/>
            <w:tcBorders>
              <w:tl2br w:val="nil"/>
              <w:tr2bl w:val="nil"/>
            </w:tcBorders>
            <w:vAlign w:val="center"/>
          </w:tcPr>
          <w:p w:rsidR="00B868FF" w:rsidRDefault="00B868FF">
            <w:pPr>
              <w:widowControl/>
              <w:jc w:val="center"/>
              <w:textAlignment w:val="center"/>
              <w:rPr>
                <w:rFonts w:ascii="宋体" w:eastAsia="宋体" w:hAnsi="宋体" w:cs="宋体" w:hint="eastAsia"/>
                <w:kern w:val="0"/>
                <w:sz w:val="20"/>
                <w:szCs w:val="20"/>
                <w:lang w:bidi="ar"/>
              </w:rPr>
            </w:pPr>
          </w:p>
        </w:tc>
        <w:tc>
          <w:tcPr>
            <w:tcW w:w="1836" w:type="dxa"/>
            <w:tcBorders>
              <w:tl2br w:val="nil"/>
              <w:tr2bl w:val="nil"/>
            </w:tcBorders>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制度执行有效性</w:t>
            </w:r>
          </w:p>
        </w:tc>
        <w:tc>
          <w:tcPr>
            <w:tcW w:w="999"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3</w:t>
            </w:r>
          </w:p>
        </w:tc>
        <w:tc>
          <w:tcPr>
            <w:tcW w:w="1151"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有效</w:t>
            </w:r>
          </w:p>
        </w:tc>
        <w:tc>
          <w:tcPr>
            <w:tcW w:w="1170"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有效</w:t>
            </w:r>
          </w:p>
        </w:tc>
        <w:tc>
          <w:tcPr>
            <w:tcW w:w="1048"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sz w:val="20"/>
                <w:szCs w:val="20"/>
              </w:rPr>
              <w:t>3</w:t>
            </w:r>
          </w:p>
        </w:tc>
        <w:tc>
          <w:tcPr>
            <w:tcW w:w="1065" w:type="dxa"/>
            <w:tcBorders>
              <w:tl2br w:val="nil"/>
              <w:tr2bl w:val="nil"/>
            </w:tcBorders>
            <w:shd w:val="clear" w:color="auto" w:fill="auto"/>
            <w:vAlign w:val="center"/>
          </w:tcPr>
          <w:p w:rsidR="00B868FF" w:rsidRDefault="00000000">
            <w:pPr>
              <w:widowControl/>
              <w:jc w:val="right"/>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100.00%</w:t>
            </w:r>
          </w:p>
        </w:tc>
      </w:tr>
      <w:tr w:rsidR="00B868FF">
        <w:trPr>
          <w:trHeight w:val="454"/>
        </w:trPr>
        <w:tc>
          <w:tcPr>
            <w:tcW w:w="1201" w:type="dxa"/>
            <w:vMerge/>
            <w:tcBorders>
              <w:tl2br w:val="nil"/>
              <w:tr2bl w:val="nil"/>
            </w:tcBorders>
            <w:vAlign w:val="center"/>
          </w:tcPr>
          <w:p w:rsidR="00B868FF" w:rsidRDefault="00B868FF">
            <w:pPr>
              <w:jc w:val="center"/>
              <w:rPr>
                <w:rFonts w:ascii="宋体" w:eastAsia="宋体" w:hAnsi="宋体" w:cs="宋体" w:hint="eastAsia"/>
                <w:b/>
                <w:bCs/>
                <w:sz w:val="20"/>
                <w:szCs w:val="20"/>
              </w:rPr>
            </w:pPr>
          </w:p>
        </w:tc>
        <w:tc>
          <w:tcPr>
            <w:tcW w:w="1836" w:type="dxa"/>
            <w:tcBorders>
              <w:tl2br w:val="nil"/>
              <w:tr2bl w:val="nil"/>
            </w:tcBorders>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采购管理规范性</w:t>
            </w:r>
          </w:p>
        </w:tc>
        <w:tc>
          <w:tcPr>
            <w:tcW w:w="999"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3</w:t>
            </w:r>
          </w:p>
        </w:tc>
        <w:tc>
          <w:tcPr>
            <w:tcW w:w="1151"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规范</w:t>
            </w:r>
          </w:p>
        </w:tc>
        <w:tc>
          <w:tcPr>
            <w:tcW w:w="1170"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规范</w:t>
            </w:r>
          </w:p>
        </w:tc>
        <w:tc>
          <w:tcPr>
            <w:tcW w:w="1048"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3</w:t>
            </w:r>
          </w:p>
        </w:tc>
        <w:tc>
          <w:tcPr>
            <w:tcW w:w="1065" w:type="dxa"/>
            <w:tcBorders>
              <w:tl2br w:val="nil"/>
              <w:tr2bl w:val="nil"/>
            </w:tcBorders>
            <w:shd w:val="clear" w:color="auto" w:fill="auto"/>
            <w:vAlign w:val="center"/>
          </w:tcPr>
          <w:p w:rsidR="00B868FF" w:rsidRDefault="00000000">
            <w:pPr>
              <w:widowControl/>
              <w:jc w:val="right"/>
              <w:textAlignment w:val="center"/>
              <w:rPr>
                <w:rFonts w:ascii="宋体" w:eastAsia="宋体" w:hAnsi="宋体" w:cs="宋体" w:hint="eastAsia"/>
                <w:color w:val="000000"/>
                <w:kern w:val="0"/>
                <w:sz w:val="20"/>
                <w:szCs w:val="20"/>
                <w:lang w:bidi="ar"/>
              </w:rPr>
            </w:pPr>
            <w:r>
              <w:rPr>
                <w:rFonts w:ascii="宋体" w:eastAsia="宋体" w:hAnsi="宋体" w:cs="宋体" w:hint="eastAsia"/>
                <w:kern w:val="0"/>
                <w:sz w:val="20"/>
                <w:szCs w:val="20"/>
                <w:lang w:bidi="ar"/>
              </w:rPr>
              <w:t>100.00%</w:t>
            </w:r>
          </w:p>
        </w:tc>
      </w:tr>
      <w:tr w:rsidR="00B868FF">
        <w:trPr>
          <w:trHeight w:val="454"/>
        </w:trPr>
        <w:tc>
          <w:tcPr>
            <w:tcW w:w="1201" w:type="dxa"/>
            <w:vMerge/>
            <w:tcBorders>
              <w:tl2br w:val="nil"/>
              <w:tr2bl w:val="nil"/>
            </w:tcBorders>
            <w:vAlign w:val="center"/>
          </w:tcPr>
          <w:p w:rsidR="00B868FF" w:rsidRDefault="00B868FF">
            <w:pPr>
              <w:jc w:val="center"/>
              <w:rPr>
                <w:rFonts w:ascii="宋体" w:eastAsia="宋体" w:hAnsi="宋体" w:cs="宋体" w:hint="eastAsia"/>
                <w:b/>
                <w:bCs/>
                <w:sz w:val="20"/>
                <w:szCs w:val="20"/>
              </w:rPr>
            </w:pPr>
          </w:p>
        </w:tc>
        <w:tc>
          <w:tcPr>
            <w:tcW w:w="1836" w:type="dxa"/>
            <w:tcBorders>
              <w:tl2br w:val="nil"/>
              <w:tr2bl w:val="nil"/>
            </w:tcBorders>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合同管理完备性</w:t>
            </w:r>
          </w:p>
        </w:tc>
        <w:tc>
          <w:tcPr>
            <w:tcW w:w="999"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3</w:t>
            </w:r>
          </w:p>
        </w:tc>
        <w:tc>
          <w:tcPr>
            <w:tcW w:w="1151"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完备</w:t>
            </w:r>
          </w:p>
        </w:tc>
        <w:tc>
          <w:tcPr>
            <w:tcW w:w="1170"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较完备</w:t>
            </w:r>
          </w:p>
        </w:tc>
        <w:tc>
          <w:tcPr>
            <w:tcW w:w="1048"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2</w:t>
            </w:r>
          </w:p>
        </w:tc>
        <w:tc>
          <w:tcPr>
            <w:tcW w:w="1065" w:type="dxa"/>
            <w:tcBorders>
              <w:tl2br w:val="nil"/>
              <w:tr2bl w:val="nil"/>
            </w:tcBorders>
            <w:shd w:val="clear" w:color="auto" w:fill="auto"/>
            <w:vAlign w:val="center"/>
          </w:tcPr>
          <w:p w:rsidR="00B868FF" w:rsidRDefault="00000000">
            <w:pPr>
              <w:widowControl/>
              <w:jc w:val="right"/>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66.67%</w:t>
            </w:r>
          </w:p>
        </w:tc>
      </w:tr>
      <w:tr w:rsidR="00B868FF">
        <w:trPr>
          <w:trHeight w:val="454"/>
        </w:trPr>
        <w:tc>
          <w:tcPr>
            <w:tcW w:w="3037" w:type="dxa"/>
            <w:gridSpan w:val="2"/>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合计</w:t>
            </w:r>
          </w:p>
        </w:tc>
        <w:tc>
          <w:tcPr>
            <w:tcW w:w="999"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color w:val="000000"/>
                <w:kern w:val="0"/>
                <w:sz w:val="20"/>
                <w:szCs w:val="20"/>
                <w:lang w:bidi="ar"/>
              </w:rPr>
              <w:t>21</w:t>
            </w:r>
          </w:p>
        </w:tc>
        <w:tc>
          <w:tcPr>
            <w:tcW w:w="1151"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color w:val="000000"/>
                <w:kern w:val="0"/>
                <w:sz w:val="20"/>
                <w:szCs w:val="20"/>
                <w:lang w:bidi="ar"/>
              </w:rPr>
              <w:t>-</w:t>
            </w:r>
          </w:p>
        </w:tc>
        <w:tc>
          <w:tcPr>
            <w:tcW w:w="1170"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color w:val="000000"/>
                <w:kern w:val="0"/>
                <w:sz w:val="20"/>
                <w:szCs w:val="20"/>
                <w:lang w:bidi="ar"/>
              </w:rPr>
              <w:t>-</w:t>
            </w:r>
          </w:p>
        </w:tc>
        <w:tc>
          <w:tcPr>
            <w:tcW w:w="1048"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color w:val="000000"/>
                <w:kern w:val="0"/>
                <w:sz w:val="20"/>
                <w:szCs w:val="20"/>
                <w:lang w:bidi="ar"/>
              </w:rPr>
              <w:t>17.54</w:t>
            </w:r>
          </w:p>
        </w:tc>
        <w:tc>
          <w:tcPr>
            <w:tcW w:w="1065" w:type="dxa"/>
            <w:tcBorders>
              <w:tl2br w:val="nil"/>
              <w:tr2bl w:val="nil"/>
            </w:tcBorders>
            <w:shd w:val="clear" w:color="auto" w:fill="BDD6EE" w:themeFill="accent1" w:themeFillTint="66"/>
            <w:vAlign w:val="center"/>
          </w:tcPr>
          <w:p w:rsidR="00B868FF" w:rsidRDefault="00000000">
            <w:pPr>
              <w:widowControl/>
              <w:jc w:val="right"/>
              <w:textAlignment w:val="center"/>
              <w:rPr>
                <w:rFonts w:ascii="宋体" w:eastAsia="宋体" w:hAnsi="宋体" w:cs="宋体" w:hint="eastAsia"/>
                <w:b/>
                <w:bCs/>
                <w:kern w:val="0"/>
                <w:sz w:val="20"/>
                <w:szCs w:val="20"/>
                <w:lang w:bidi="ar"/>
              </w:rPr>
            </w:pPr>
            <w:r>
              <w:rPr>
                <w:rFonts w:ascii="宋体" w:eastAsia="宋体" w:hAnsi="宋体" w:cs="宋体" w:hint="eastAsia"/>
                <w:b/>
                <w:bCs/>
                <w:color w:val="000000"/>
                <w:kern w:val="0"/>
                <w:sz w:val="20"/>
                <w:szCs w:val="20"/>
                <w:lang w:bidi="ar"/>
              </w:rPr>
              <w:t>83.52%</w:t>
            </w:r>
          </w:p>
        </w:tc>
      </w:tr>
    </w:tbl>
    <w:bookmarkEnd w:id="127"/>
    <w:p w:rsidR="00B868FF" w:rsidRDefault="00000000">
      <w:pPr>
        <w:pStyle w:val="a6"/>
        <w:tabs>
          <w:tab w:val="left" w:pos="0"/>
        </w:tabs>
        <w:overflowPunct w:val="0"/>
        <w:spacing w:line="560" w:lineRule="exact"/>
        <w:ind w:firstLineChars="200" w:firstLine="643"/>
        <w:outlineLvl w:val="2"/>
        <w:rPr>
          <w:rFonts w:ascii="仿宋_GB2312" w:hAnsi="仿宋_GB2312" w:cs="仿宋_GB2312" w:hint="eastAsia"/>
          <w:b/>
          <w:bCs/>
        </w:rPr>
      </w:pPr>
      <w:r>
        <w:rPr>
          <w:rFonts w:ascii="仿宋_GB2312" w:hAnsi="仿宋_GB2312" w:cs="仿宋_GB2312" w:hint="eastAsia"/>
          <w:b/>
          <w:bCs/>
        </w:rPr>
        <w:t>1.资金管理</w:t>
      </w:r>
    </w:p>
    <w:p w:rsidR="00B868FF" w:rsidRDefault="00000000">
      <w:pPr>
        <w:pStyle w:val="af4"/>
        <w:ind w:firstLine="640"/>
        <w:rPr>
          <w:rFonts w:hint="eastAsia"/>
        </w:rPr>
      </w:pPr>
      <w:r>
        <w:rPr>
          <w:rFonts w:hint="eastAsia"/>
        </w:rPr>
        <w:t>（1）资金到位率</w:t>
      </w:r>
    </w:p>
    <w:p w:rsidR="00B868FF" w:rsidRDefault="00000000">
      <w:pPr>
        <w:pStyle w:val="af4"/>
        <w:ind w:firstLine="640"/>
        <w:rPr>
          <w:rFonts w:hint="eastAsia"/>
        </w:rPr>
      </w:pPr>
      <w:r>
        <w:rPr>
          <w:rFonts w:hint="eastAsia"/>
        </w:rPr>
        <w:lastRenderedPageBreak/>
        <w:t>资金到位率：指标分值3分，评价得分3分。</w:t>
      </w:r>
      <w:r w:rsidR="007B69F5">
        <w:rPr>
          <w:rFonts w:hint="eastAsia"/>
        </w:rPr>
        <w:t>文化建设宣传经费</w:t>
      </w:r>
      <w:r>
        <w:rPr>
          <w:rFonts w:hint="eastAsia"/>
        </w:rPr>
        <w:t>项目资金随甘肃省高级人民法院部门预算一同下达，截</w:t>
      </w:r>
      <w:r w:rsidR="009A37B0">
        <w:rPr>
          <w:rFonts w:hint="eastAsia"/>
        </w:rPr>
        <w:t>至</w:t>
      </w:r>
      <w:r>
        <w:rPr>
          <w:rFonts w:hint="eastAsia"/>
        </w:rPr>
        <w:t>2023年12月3</w:t>
      </w:r>
      <w:r w:rsidR="009A37B0">
        <w:rPr>
          <w:rFonts w:hint="eastAsia"/>
        </w:rPr>
        <w:t>1</w:t>
      </w:r>
      <w:r>
        <w:rPr>
          <w:rFonts w:hint="eastAsia"/>
        </w:rPr>
        <w:t>日文化建设宣传经费共到位220.</w:t>
      </w:r>
      <w:r w:rsidR="009A37B0">
        <w:rPr>
          <w:rFonts w:hint="eastAsia"/>
        </w:rPr>
        <w:t>00</w:t>
      </w:r>
      <w:r>
        <w:rPr>
          <w:rFonts w:hint="eastAsia"/>
        </w:rPr>
        <w:t>万元，专项资金及时足额到位，到位率100</w:t>
      </w:r>
      <w:r w:rsidR="00E6730A">
        <w:rPr>
          <w:rFonts w:hint="eastAsia"/>
        </w:rPr>
        <w:t>.00</w:t>
      </w:r>
      <w:r>
        <w:rPr>
          <w:rFonts w:hint="eastAsia"/>
        </w:rPr>
        <w:t>%。</w:t>
      </w:r>
    </w:p>
    <w:p w:rsidR="00B868FF" w:rsidRDefault="00000000">
      <w:pPr>
        <w:pStyle w:val="af4"/>
        <w:ind w:firstLine="640"/>
        <w:rPr>
          <w:rFonts w:hint="eastAsia"/>
        </w:rPr>
      </w:pPr>
      <w:r>
        <w:rPr>
          <w:rFonts w:hint="eastAsia"/>
        </w:rPr>
        <w:t>（2）预算执行率</w:t>
      </w:r>
    </w:p>
    <w:p w:rsidR="00B868FF" w:rsidRDefault="00000000">
      <w:pPr>
        <w:pStyle w:val="af4"/>
        <w:ind w:firstLine="640"/>
        <w:rPr>
          <w:rFonts w:hint="eastAsia"/>
        </w:rPr>
      </w:pPr>
      <w:r>
        <w:rPr>
          <w:rFonts w:hint="eastAsia"/>
        </w:rPr>
        <w:t>预算执行率：指标分值3分，评价得分0.54分。</w:t>
      </w:r>
      <w:bookmarkStart w:id="128" w:name="_Hlk174200770"/>
      <w:r w:rsidR="007B69F5">
        <w:rPr>
          <w:rFonts w:hint="eastAsia"/>
        </w:rPr>
        <w:t>文化建设宣传经费</w:t>
      </w:r>
      <w:r>
        <w:rPr>
          <w:rFonts w:hint="eastAsia"/>
        </w:rPr>
        <w:t>项目全年预算数220.93万元，全年执行数100.37万元，年末结</w:t>
      </w:r>
      <w:r w:rsidR="009A37B0">
        <w:rPr>
          <w:rFonts w:hint="eastAsia"/>
        </w:rPr>
        <w:t>转结</w:t>
      </w:r>
      <w:r>
        <w:rPr>
          <w:rFonts w:hint="eastAsia"/>
        </w:rPr>
        <w:t>余资金120.56万元，专项经费预算执行率45.43%。</w:t>
      </w:r>
      <w:r w:rsidR="000615AA">
        <w:rPr>
          <w:rFonts w:hint="eastAsia"/>
        </w:rPr>
        <w:t>扣2.46分。</w:t>
      </w:r>
    </w:p>
    <w:bookmarkEnd w:id="128"/>
    <w:p w:rsidR="00B868FF" w:rsidRDefault="00000000">
      <w:pPr>
        <w:pStyle w:val="af4"/>
        <w:ind w:firstLine="640"/>
        <w:rPr>
          <w:rFonts w:hint="eastAsia"/>
        </w:rPr>
      </w:pPr>
      <w:r>
        <w:rPr>
          <w:rFonts w:hint="eastAsia"/>
        </w:rPr>
        <w:t>（3）资金使用合</w:t>
      </w:r>
      <w:proofErr w:type="gramStart"/>
      <w:r>
        <w:rPr>
          <w:rFonts w:hint="eastAsia"/>
        </w:rPr>
        <w:t>规</w:t>
      </w:r>
      <w:proofErr w:type="gramEnd"/>
      <w:r>
        <w:rPr>
          <w:rFonts w:hint="eastAsia"/>
        </w:rPr>
        <w:t>性</w:t>
      </w:r>
    </w:p>
    <w:p w:rsidR="00B868FF" w:rsidRDefault="00000000">
      <w:pPr>
        <w:pStyle w:val="af4"/>
        <w:ind w:firstLine="640"/>
        <w:rPr>
          <w:rFonts w:hint="eastAsia"/>
        </w:rPr>
      </w:pPr>
      <w:r>
        <w:rPr>
          <w:rFonts w:hint="eastAsia"/>
        </w:rPr>
        <w:t>资金使用合</w:t>
      </w:r>
      <w:proofErr w:type="gramStart"/>
      <w:r>
        <w:rPr>
          <w:rFonts w:hint="eastAsia"/>
        </w:rPr>
        <w:t>规</w:t>
      </w:r>
      <w:proofErr w:type="gramEnd"/>
      <w:r>
        <w:rPr>
          <w:rFonts w:hint="eastAsia"/>
        </w:rPr>
        <w:t>性：指标分值3分，评价得分3分。</w:t>
      </w:r>
      <w:proofErr w:type="gramStart"/>
      <w:r>
        <w:rPr>
          <w:rFonts w:hint="eastAsia"/>
        </w:rPr>
        <w:t>评价组</w:t>
      </w:r>
      <w:proofErr w:type="gramEnd"/>
      <w:r>
        <w:rPr>
          <w:rFonts w:hint="eastAsia"/>
        </w:rPr>
        <w:t>通过查阅国家及地方财务法规及文件办法，对比分析项目实施单位财务制度办法，经查看财务凭证及附件，比较分析资金落实情况、资金使用情况及财务监控情况</w:t>
      </w:r>
      <w:r w:rsidR="00E6730A">
        <w:rPr>
          <w:rFonts w:hint="eastAsia"/>
        </w:rPr>
        <w:t>。</w:t>
      </w:r>
      <w:r>
        <w:rPr>
          <w:rFonts w:hint="eastAsia"/>
        </w:rPr>
        <w:t>评价认为</w:t>
      </w:r>
      <w:r w:rsidR="00E6730A">
        <w:rPr>
          <w:rFonts w:hint="eastAsia"/>
        </w:rPr>
        <w:t>，</w:t>
      </w:r>
      <w:r>
        <w:rPr>
          <w:rFonts w:hint="eastAsia"/>
        </w:rPr>
        <w:t>专项资金的使用基本符合国家财经法规和财务管理制度以及《甘肃省高级人民法院机关财务经费管理规定》等制度要求，资金支出的审批程序完整，符合项目预算批复或合同规定的用途，未发现截留、虚列支出情况，按规定实施政府采购和政府购买服务。</w:t>
      </w:r>
    </w:p>
    <w:p w:rsidR="00B868FF" w:rsidRDefault="00000000">
      <w:pPr>
        <w:pStyle w:val="a6"/>
        <w:tabs>
          <w:tab w:val="left" w:pos="0"/>
        </w:tabs>
        <w:overflowPunct w:val="0"/>
        <w:spacing w:line="560" w:lineRule="exact"/>
        <w:ind w:firstLineChars="200" w:firstLine="643"/>
        <w:outlineLvl w:val="2"/>
        <w:rPr>
          <w:rFonts w:ascii="仿宋_GB2312" w:hAnsi="仿宋_GB2312" w:cs="仿宋_GB2312" w:hint="eastAsia"/>
          <w:b/>
          <w:bCs/>
        </w:rPr>
      </w:pPr>
      <w:r>
        <w:rPr>
          <w:rFonts w:ascii="仿宋_GB2312" w:hAnsi="仿宋_GB2312" w:cs="仿宋_GB2312" w:hint="eastAsia"/>
          <w:b/>
          <w:bCs/>
        </w:rPr>
        <w:t>2.组织实施</w:t>
      </w:r>
    </w:p>
    <w:p w:rsidR="00B868FF" w:rsidRDefault="00000000">
      <w:pPr>
        <w:pStyle w:val="af4"/>
        <w:ind w:firstLine="640"/>
        <w:rPr>
          <w:rFonts w:hint="eastAsia"/>
        </w:rPr>
      </w:pPr>
      <w:r>
        <w:rPr>
          <w:rFonts w:hint="eastAsia"/>
        </w:rPr>
        <w:t>（1）管理制度健全性</w:t>
      </w:r>
    </w:p>
    <w:p w:rsidR="00B868FF" w:rsidRDefault="00000000">
      <w:pPr>
        <w:pStyle w:val="af4"/>
        <w:ind w:firstLine="640"/>
        <w:rPr>
          <w:rFonts w:hint="eastAsia"/>
        </w:rPr>
      </w:pPr>
      <w:r>
        <w:rPr>
          <w:rFonts w:hint="eastAsia"/>
        </w:rPr>
        <w:t>管理制度健全性：指标分值3分，评价得分3分。为加强和规范省级预算项目经费管理，提高项目工作质量和资金效益，甘肃省委宣传部和甘肃省高级人民法院共同下发《关于认</w:t>
      </w:r>
      <w:r>
        <w:rPr>
          <w:rFonts w:hint="eastAsia"/>
        </w:rPr>
        <w:lastRenderedPageBreak/>
        <w:t>真学习宣传贯彻党的十八大精神进一步加强全甘肃省高级人民法院文化建设的意见》《甘肃省人民政府办公厅关于印发甘肃省加快文化大省建设若干政策规定的通知》，明确了文化建设宣传经费主要用于法院文化建设、法制宣传支出。《甘肃省高级人民法院系统财物统管制度汇编》《甘肃省高级人民法院收支管理制度》《甘肃省高级人民法院财务管理制度》《甘肃省高级人民法院合同管理制度》对于</w:t>
      </w:r>
      <w:r w:rsidR="009A37B0">
        <w:rPr>
          <w:rFonts w:hint="eastAsia"/>
        </w:rPr>
        <w:t>甘肃省高级人民</w:t>
      </w:r>
      <w:r>
        <w:rPr>
          <w:rFonts w:hint="eastAsia"/>
        </w:rPr>
        <w:t>法院系统内各项</w:t>
      </w:r>
      <w:r w:rsidR="009A37B0">
        <w:rPr>
          <w:rFonts w:hint="eastAsia"/>
        </w:rPr>
        <w:t>宣传</w:t>
      </w:r>
      <w:r>
        <w:rPr>
          <w:rFonts w:hint="eastAsia"/>
        </w:rPr>
        <w:t>工作的实施提供了强有力的政策制度支撑。评价认为，甘肃省高级人民法院制定了适用于本项目的财务管理制度及业务管理制度，且符合相关财务及业务制度的规定，制度健全。</w:t>
      </w:r>
    </w:p>
    <w:p w:rsidR="00B868FF" w:rsidRDefault="00000000">
      <w:pPr>
        <w:pStyle w:val="af4"/>
        <w:ind w:firstLine="640"/>
        <w:rPr>
          <w:rFonts w:hint="eastAsia"/>
        </w:rPr>
      </w:pPr>
      <w:r>
        <w:rPr>
          <w:rFonts w:hint="eastAsia"/>
        </w:rPr>
        <w:t>（2）制度执行有效性</w:t>
      </w:r>
    </w:p>
    <w:p w:rsidR="00B868FF" w:rsidRDefault="00000000">
      <w:pPr>
        <w:pStyle w:val="af4"/>
        <w:ind w:firstLine="640"/>
        <w:rPr>
          <w:rFonts w:hint="eastAsia"/>
        </w:rPr>
      </w:pPr>
      <w:r>
        <w:rPr>
          <w:rFonts w:hint="eastAsia"/>
        </w:rPr>
        <w:t>制度执行有效性：指标分值3分，评价得分3分。甘肃省高级人民法院宣传处严格按照项目计划实施，项目的执行遵守相关法律法规和相关管理规定，项目资料齐全并及时归档，项目实施过程中，基本能够严格按照制度管理进行资金申请和下达、使用、监督。资金发放符合相关法律法规的管理规定，符合制度执行有效性要求，项目所需手续符合要求。</w:t>
      </w:r>
    </w:p>
    <w:p w:rsidR="00B868FF" w:rsidRDefault="00000000">
      <w:pPr>
        <w:pStyle w:val="af4"/>
        <w:ind w:firstLine="640"/>
        <w:rPr>
          <w:rFonts w:hint="eastAsia"/>
        </w:rPr>
      </w:pPr>
      <w:r>
        <w:rPr>
          <w:rFonts w:hint="eastAsia"/>
        </w:rPr>
        <w:t>（3）采购管理规范性</w:t>
      </w:r>
    </w:p>
    <w:p w:rsidR="00B868FF" w:rsidRDefault="00000000">
      <w:pPr>
        <w:pStyle w:val="af4"/>
        <w:ind w:firstLine="640"/>
        <w:rPr>
          <w:rFonts w:hint="eastAsia"/>
        </w:rPr>
      </w:pPr>
      <w:r>
        <w:rPr>
          <w:rFonts w:hint="eastAsia"/>
        </w:rPr>
        <w:t>采购管理规范性：指标分值3分，评价得分3分。经核查采购合同、采购工作会议记录等资料，甘肃省高级人民法院采购方式符合《甘肃省招标投标条例》等要求。</w:t>
      </w:r>
      <w:r w:rsidR="009A37B0">
        <w:rPr>
          <w:rFonts w:hint="eastAsia"/>
        </w:rPr>
        <w:t>评价认为，采购管理规范。</w:t>
      </w:r>
    </w:p>
    <w:p w:rsidR="00B868FF" w:rsidRDefault="00000000">
      <w:pPr>
        <w:pStyle w:val="af4"/>
        <w:ind w:firstLine="640"/>
        <w:rPr>
          <w:rFonts w:hint="eastAsia"/>
        </w:rPr>
      </w:pPr>
      <w:r>
        <w:rPr>
          <w:rFonts w:hint="eastAsia"/>
        </w:rPr>
        <w:t>（4）合同管理完备性</w:t>
      </w:r>
    </w:p>
    <w:p w:rsidR="00B868FF" w:rsidRDefault="00000000">
      <w:pPr>
        <w:pStyle w:val="af4"/>
        <w:ind w:firstLine="640"/>
        <w:rPr>
          <w:rFonts w:hint="eastAsia"/>
        </w:rPr>
      </w:pPr>
      <w:r>
        <w:rPr>
          <w:rFonts w:hint="eastAsia"/>
        </w:rPr>
        <w:lastRenderedPageBreak/>
        <w:t>合同管理完备性：指标分值3分，评价得分2分。经查验该项目签订的各项合同，合同中有明确、清晰、完整的质量标准、付款方式和履约期限，且合同由专人保管，资料管理完备。</w:t>
      </w:r>
      <w:bookmarkStart w:id="129" w:name="_Hlk174288847"/>
      <w:r>
        <w:rPr>
          <w:rFonts w:hint="eastAsia"/>
        </w:rPr>
        <w:t>但个别合同服务起始日期早于合同签订日期，存在先开工后补签合同情况</w:t>
      </w:r>
      <w:r w:rsidR="009A37B0">
        <w:rPr>
          <w:rFonts w:hint="eastAsia"/>
        </w:rPr>
        <w:t>，</w:t>
      </w:r>
      <w:r w:rsidR="000615AA">
        <w:rPr>
          <w:rFonts w:hint="eastAsia"/>
        </w:rPr>
        <w:t>扣1分。</w:t>
      </w:r>
    </w:p>
    <w:p w:rsidR="00B868FF" w:rsidRDefault="00000000">
      <w:pPr>
        <w:pStyle w:val="24"/>
        <w:ind w:firstLine="643"/>
        <w:rPr>
          <w:rFonts w:hint="eastAsia"/>
        </w:rPr>
      </w:pPr>
      <w:bookmarkStart w:id="130" w:name="_Toc20113"/>
      <w:bookmarkStart w:id="131" w:name="_Toc3677"/>
      <w:bookmarkStart w:id="132" w:name="_Toc174375025"/>
      <w:bookmarkEnd w:id="129"/>
      <w:r>
        <w:rPr>
          <w:rFonts w:hint="eastAsia"/>
        </w:rPr>
        <w:t>（三）项目成本情况</w:t>
      </w:r>
      <w:bookmarkEnd w:id="132"/>
    </w:p>
    <w:p w:rsidR="00D9389B" w:rsidRDefault="00000000">
      <w:pPr>
        <w:pStyle w:val="af4"/>
        <w:ind w:firstLine="640"/>
        <w:rPr>
          <w:rFonts w:hint="eastAsia"/>
        </w:rPr>
      </w:pPr>
      <w:r>
        <w:rPr>
          <w:rFonts w:hint="eastAsia"/>
        </w:rPr>
        <w:t>项目成本指标包括经济成本指标一个二级指标，下设一个三级指标，指标分值10分，评价得分10分，得分率</w:t>
      </w:r>
      <w:r w:rsidR="00C93B37">
        <w:rPr>
          <w:rFonts w:hint="eastAsia"/>
        </w:rPr>
        <w:t>100.00%</w:t>
      </w:r>
      <w:r>
        <w:rPr>
          <w:rFonts w:hint="eastAsia"/>
        </w:rPr>
        <w:t>。</w:t>
      </w:r>
    </w:p>
    <w:tbl>
      <w:tblPr>
        <w:tblStyle w:val="af"/>
        <w:tblW w:w="8647" w:type="dxa"/>
        <w:tblBorders>
          <w:top w:val="single" w:sz="12" w:space="0" w:color="auto"/>
          <w:left w:val="none" w:sz="0" w:space="0" w:color="auto"/>
          <w:bottom w:val="single" w:sz="12" w:space="0" w:color="auto"/>
          <w:right w:val="none" w:sz="0" w:space="0" w:color="auto"/>
          <w:insideH w:val="dotted" w:sz="4" w:space="0" w:color="auto"/>
          <w:insideV w:val="dotted" w:sz="4" w:space="0" w:color="auto"/>
        </w:tblBorders>
        <w:tblLayout w:type="fixed"/>
        <w:tblLook w:val="04A0" w:firstRow="1" w:lastRow="0" w:firstColumn="1" w:lastColumn="0" w:noHBand="0" w:noVBand="1"/>
      </w:tblPr>
      <w:tblGrid>
        <w:gridCol w:w="1114"/>
        <w:gridCol w:w="2217"/>
        <w:gridCol w:w="831"/>
        <w:gridCol w:w="1225"/>
        <w:gridCol w:w="1204"/>
        <w:gridCol w:w="946"/>
        <w:gridCol w:w="1110"/>
      </w:tblGrid>
      <w:tr w:rsidR="00D9389B" w:rsidTr="00670C4F">
        <w:trPr>
          <w:trHeight w:val="454"/>
          <w:tblHeader/>
        </w:trPr>
        <w:tc>
          <w:tcPr>
            <w:tcW w:w="1114" w:type="dxa"/>
            <w:tcBorders>
              <w:tl2br w:val="nil"/>
              <w:tr2bl w:val="nil"/>
            </w:tcBorders>
            <w:shd w:val="clear" w:color="auto" w:fill="BDD6EE" w:themeFill="accent1" w:themeFillTint="66"/>
            <w:vAlign w:val="center"/>
          </w:tcPr>
          <w:p w:rsidR="00D9389B" w:rsidRDefault="00D9389B" w:rsidP="00670C4F">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二级指标</w:t>
            </w:r>
          </w:p>
        </w:tc>
        <w:tc>
          <w:tcPr>
            <w:tcW w:w="2217" w:type="dxa"/>
            <w:tcBorders>
              <w:tl2br w:val="nil"/>
              <w:tr2bl w:val="nil"/>
            </w:tcBorders>
            <w:shd w:val="clear" w:color="auto" w:fill="BDD6EE" w:themeFill="accent1" w:themeFillTint="66"/>
            <w:vAlign w:val="center"/>
          </w:tcPr>
          <w:p w:rsidR="00D9389B" w:rsidRDefault="00D9389B" w:rsidP="00670C4F">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三级指标</w:t>
            </w:r>
          </w:p>
        </w:tc>
        <w:tc>
          <w:tcPr>
            <w:tcW w:w="831" w:type="dxa"/>
            <w:tcBorders>
              <w:tl2br w:val="nil"/>
              <w:tr2bl w:val="nil"/>
            </w:tcBorders>
            <w:shd w:val="clear" w:color="auto" w:fill="BDD6EE" w:themeFill="accent1" w:themeFillTint="66"/>
            <w:vAlign w:val="center"/>
          </w:tcPr>
          <w:p w:rsidR="00D9389B" w:rsidRDefault="00D9389B" w:rsidP="00670C4F">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分值</w:t>
            </w:r>
          </w:p>
        </w:tc>
        <w:tc>
          <w:tcPr>
            <w:tcW w:w="1225" w:type="dxa"/>
            <w:tcBorders>
              <w:tl2br w:val="nil"/>
              <w:tr2bl w:val="nil"/>
            </w:tcBorders>
            <w:shd w:val="clear" w:color="auto" w:fill="BDD6EE" w:themeFill="accent1" w:themeFillTint="66"/>
            <w:vAlign w:val="center"/>
          </w:tcPr>
          <w:p w:rsidR="00D9389B" w:rsidRDefault="00D9389B" w:rsidP="00670C4F">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目标值</w:t>
            </w:r>
          </w:p>
        </w:tc>
        <w:tc>
          <w:tcPr>
            <w:tcW w:w="1204" w:type="dxa"/>
            <w:tcBorders>
              <w:tl2br w:val="nil"/>
              <w:tr2bl w:val="nil"/>
            </w:tcBorders>
            <w:shd w:val="clear" w:color="auto" w:fill="BDD6EE" w:themeFill="accent1" w:themeFillTint="66"/>
            <w:vAlign w:val="center"/>
          </w:tcPr>
          <w:p w:rsidR="00D9389B" w:rsidRDefault="00D9389B" w:rsidP="00670C4F">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业绩值</w:t>
            </w:r>
          </w:p>
        </w:tc>
        <w:tc>
          <w:tcPr>
            <w:tcW w:w="946" w:type="dxa"/>
            <w:tcBorders>
              <w:tl2br w:val="nil"/>
              <w:tr2bl w:val="nil"/>
            </w:tcBorders>
            <w:shd w:val="clear" w:color="auto" w:fill="BDD6EE" w:themeFill="accent1" w:themeFillTint="66"/>
            <w:vAlign w:val="center"/>
          </w:tcPr>
          <w:p w:rsidR="00D9389B" w:rsidRDefault="00D9389B" w:rsidP="00670C4F">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得分</w:t>
            </w:r>
          </w:p>
        </w:tc>
        <w:tc>
          <w:tcPr>
            <w:tcW w:w="1110" w:type="dxa"/>
            <w:tcBorders>
              <w:tl2br w:val="nil"/>
              <w:tr2bl w:val="nil"/>
            </w:tcBorders>
            <w:shd w:val="clear" w:color="auto" w:fill="BDD6EE" w:themeFill="accent1" w:themeFillTint="66"/>
            <w:vAlign w:val="center"/>
          </w:tcPr>
          <w:p w:rsidR="00D9389B" w:rsidRDefault="00D9389B" w:rsidP="00670C4F">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得分率</w:t>
            </w:r>
          </w:p>
        </w:tc>
      </w:tr>
      <w:tr w:rsidR="00D9389B" w:rsidTr="00670C4F">
        <w:trPr>
          <w:trHeight w:val="454"/>
        </w:trPr>
        <w:tc>
          <w:tcPr>
            <w:tcW w:w="1114" w:type="dxa"/>
            <w:tcBorders>
              <w:tl2br w:val="nil"/>
              <w:tr2bl w:val="nil"/>
            </w:tcBorders>
            <w:vAlign w:val="center"/>
          </w:tcPr>
          <w:p w:rsidR="00D9389B" w:rsidRDefault="00D9389B" w:rsidP="00670C4F">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经济成本指标</w:t>
            </w:r>
          </w:p>
        </w:tc>
        <w:tc>
          <w:tcPr>
            <w:tcW w:w="2217" w:type="dxa"/>
            <w:tcBorders>
              <w:tl2br w:val="nil"/>
              <w:tr2bl w:val="nil"/>
            </w:tcBorders>
            <w:shd w:val="clear" w:color="auto" w:fill="auto"/>
            <w:vAlign w:val="center"/>
          </w:tcPr>
          <w:p w:rsidR="00D9389B" w:rsidRDefault="00D9389B" w:rsidP="00670C4F">
            <w:pPr>
              <w:widowControl/>
              <w:jc w:val="left"/>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成本控制情况</w:t>
            </w:r>
          </w:p>
        </w:tc>
        <w:tc>
          <w:tcPr>
            <w:tcW w:w="831" w:type="dxa"/>
            <w:tcBorders>
              <w:tl2br w:val="nil"/>
              <w:tr2bl w:val="nil"/>
            </w:tcBorders>
            <w:shd w:val="clear" w:color="auto" w:fill="auto"/>
            <w:vAlign w:val="center"/>
          </w:tcPr>
          <w:p w:rsidR="00D9389B" w:rsidRDefault="00D9389B" w:rsidP="00670C4F">
            <w:pPr>
              <w:widowControl/>
              <w:jc w:val="center"/>
              <w:textAlignment w:val="center"/>
              <w:rPr>
                <w:rFonts w:ascii="宋体" w:eastAsia="宋体" w:hAnsi="宋体" w:cs="宋体" w:hint="eastAsia"/>
                <w:sz w:val="20"/>
                <w:szCs w:val="20"/>
              </w:rPr>
            </w:pPr>
            <w:r>
              <w:rPr>
                <w:rFonts w:ascii="宋体" w:eastAsia="宋体" w:hAnsi="宋体" w:cs="宋体" w:hint="eastAsia"/>
                <w:kern w:val="0"/>
                <w:sz w:val="20"/>
                <w:szCs w:val="20"/>
                <w:lang w:bidi="ar"/>
              </w:rPr>
              <w:t>10</w:t>
            </w:r>
          </w:p>
        </w:tc>
        <w:tc>
          <w:tcPr>
            <w:tcW w:w="1225" w:type="dxa"/>
            <w:tcBorders>
              <w:tl2br w:val="nil"/>
              <w:tr2bl w:val="nil"/>
            </w:tcBorders>
            <w:shd w:val="clear" w:color="auto" w:fill="auto"/>
            <w:vAlign w:val="center"/>
          </w:tcPr>
          <w:p w:rsidR="00D9389B" w:rsidRDefault="00D9389B" w:rsidP="00670C4F">
            <w:pPr>
              <w:widowControl/>
              <w:jc w:val="center"/>
              <w:textAlignment w:val="center"/>
              <w:rPr>
                <w:rFonts w:ascii="宋体" w:eastAsia="宋体" w:hAnsi="宋体" w:cs="宋体" w:hint="eastAsia"/>
                <w:sz w:val="20"/>
                <w:szCs w:val="20"/>
              </w:rPr>
            </w:pPr>
            <w:r>
              <w:rPr>
                <w:rFonts w:ascii="宋体" w:eastAsia="宋体" w:hAnsi="宋体" w:cs="宋体" w:hint="eastAsia"/>
                <w:kern w:val="0"/>
                <w:sz w:val="20"/>
                <w:szCs w:val="20"/>
                <w:lang w:bidi="ar"/>
              </w:rPr>
              <w:t>预算内</w:t>
            </w:r>
          </w:p>
        </w:tc>
        <w:tc>
          <w:tcPr>
            <w:tcW w:w="1204" w:type="dxa"/>
            <w:tcBorders>
              <w:tl2br w:val="nil"/>
              <w:tr2bl w:val="nil"/>
            </w:tcBorders>
            <w:shd w:val="clear" w:color="auto" w:fill="auto"/>
            <w:vAlign w:val="center"/>
          </w:tcPr>
          <w:p w:rsidR="00D9389B" w:rsidRDefault="00D9389B" w:rsidP="00670C4F">
            <w:pPr>
              <w:widowControl/>
              <w:jc w:val="center"/>
              <w:textAlignment w:val="center"/>
              <w:rPr>
                <w:rFonts w:ascii="宋体" w:eastAsia="宋体" w:hAnsi="宋体" w:cs="宋体" w:hint="eastAsia"/>
                <w:sz w:val="20"/>
                <w:szCs w:val="20"/>
              </w:rPr>
            </w:pPr>
            <w:r>
              <w:rPr>
                <w:rFonts w:ascii="宋体" w:eastAsia="宋体" w:hAnsi="宋体" w:cs="宋体" w:hint="eastAsia"/>
                <w:kern w:val="0"/>
                <w:sz w:val="20"/>
                <w:szCs w:val="20"/>
                <w:lang w:bidi="ar"/>
              </w:rPr>
              <w:t>预算内</w:t>
            </w:r>
          </w:p>
        </w:tc>
        <w:tc>
          <w:tcPr>
            <w:tcW w:w="946" w:type="dxa"/>
            <w:tcBorders>
              <w:tl2br w:val="nil"/>
              <w:tr2bl w:val="nil"/>
            </w:tcBorders>
            <w:shd w:val="clear" w:color="auto" w:fill="auto"/>
            <w:vAlign w:val="center"/>
          </w:tcPr>
          <w:p w:rsidR="00D9389B" w:rsidRDefault="00D9389B" w:rsidP="00670C4F">
            <w:pPr>
              <w:widowControl/>
              <w:jc w:val="center"/>
              <w:textAlignment w:val="center"/>
              <w:rPr>
                <w:rFonts w:ascii="宋体" w:eastAsia="宋体" w:hAnsi="宋体" w:cs="宋体" w:hint="eastAsia"/>
                <w:sz w:val="20"/>
                <w:szCs w:val="20"/>
              </w:rPr>
            </w:pPr>
            <w:r>
              <w:rPr>
                <w:rFonts w:ascii="宋体" w:eastAsia="宋体" w:hAnsi="宋体" w:cs="宋体" w:hint="eastAsia"/>
                <w:kern w:val="0"/>
                <w:sz w:val="20"/>
                <w:szCs w:val="20"/>
                <w:lang w:bidi="ar"/>
              </w:rPr>
              <w:t>10</w:t>
            </w:r>
          </w:p>
        </w:tc>
        <w:tc>
          <w:tcPr>
            <w:tcW w:w="1110" w:type="dxa"/>
            <w:tcBorders>
              <w:tl2br w:val="nil"/>
              <w:tr2bl w:val="nil"/>
            </w:tcBorders>
            <w:shd w:val="clear" w:color="auto" w:fill="auto"/>
            <w:vAlign w:val="center"/>
          </w:tcPr>
          <w:p w:rsidR="00D9389B" w:rsidRDefault="00D9389B" w:rsidP="00670C4F">
            <w:pPr>
              <w:widowControl/>
              <w:jc w:val="right"/>
              <w:textAlignment w:val="center"/>
              <w:rPr>
                <w:rFonts w:ascii="宋体" w:eastAsia="宋体" w:hAnsi="宋体" w:cs="宋体" w:hint="eastAsia"/>
                <w:sz w:val="20"/>
                <w:szCs w:val="20"/>
              </w:rPr>
            </w:pPr>
            <w:r>
              <w:rPr>
                <w:rFonts w:ascii="宋体" w:eastAsia="宋体" w:hAnsi="宋体" w:cs="宋体" w:hint="eastAsia"/>
                <w:color w:val="000000"/>
                <w:kern w:val="0"/>
                <w:sz w:val="20"/>
                <w:szCs w:val="20"/>
                <w:lang w:bidi="ar"/>
              </w:rPr>
              <w:t>100.00%</w:t>
            </w:r>
          </w:p>
        </w:tc>
      </w:tr>
      <w:tr w:rsidR="00D9389B" w:rsidTr="00670C4F">
        <w:trPr>
          <w:trHeight w:val="454"/>
        </w:trPr>
        <w:tc>
          <w:tcPr>
            <w:tcW w:w="3331" w:type="dxa"/>
            <w:gridSpan w:val="2"/>
            <w:tcBorders>
              <w:tl2br w:val="nil"/>
              <w:tr2bl w:val="nil"/>
            </w:tcBorders>
            <w:shd w:val="clear" w:color="auto" w:fill="BDD6EE" w:themeFill="accent1" w:themeFillTint="66"/>
            <w:vAlign w:val="center"/>
          </w:tcPr>
          <w:p w:rsidR="00D9389B" w:rsidRDefault="00D9389B" w:rsidP="00670C4F">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合计</w:t>
            </w:r>
          </w:p>
        </w:tc>
        <w:tc>
          <w:tcPr>
            <w:tcW w:w="831" w:type="dxa"/>
            <w:tcBorders>
              <w:tl2br w:val="nil"/>
              <w:tr2bl w:val="nil"/>
            </w:tcBorders>
            <w:shd w:val="clear" w:color="auto" w:fill="BDD6EE" w:themeFill="accent1" w:themeFillTint="66"/>
            <w:vAlign w:val="center"/>
          </w:tcPr>
          <w:p w:rsidR="00D9389B" w:rsidRDefault="00D9389B" w:rsidP="00670C4F">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10</w:t>
            </w:r>
          </w:p>
        </w:tc>
        <w:tc>
          <w:tcPr>
            <w:tcW w:w="1225" w:type="dxa"/>
            <w:tcBorders>
              <w:tl2br w:val="nil"/>
              <w:tr2bl w:val="nil"/>
            </w:tcBorders>
            <w:shd w:val="clear" w:color="auto" w:fill="BDD6EE" w:themeFill="accent1" w:themeFillTint="66"/>
            <w:vAlign w:val="center"/>
          </w:tcPr>
          <w:p w:rsidR="00D9389B" w:rsidRDefault="00D9389B" w:rsidP="00670C4F">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w:t>
            </w:r>
          </w:p>
        </w:tc>
        <w:tc>
          <w:tcPr>
            <w:tcW w:w="1204" w:type="dxa"/>
            <w:tcBorders>
              <w:tl2br w:val="nil"/>
              <w:tr2bl w:val="nil"/>
            </w:tcBorders>
            <w:shd w:val="clear" w:color="auto" w:fill="BDD6EE" w:themeFill="accent1" w:themeFillTint="66"/>
            <w:vAlign w:val="center"/>
          </w:tcPr>
          <w:p w:rsidR="00D9389B" w:rsidRDefault="00D9389B" w:rsidP="00670C4F">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w:t>
            </w:r>
          </w:p>
        </w:tc>
        <w:tc>
          <w:tcPr>
            <w:tcW w:w="946" w:type="dxa"/>
            <w:tcBorders>
              <w:tl2br w:val="nil"/>
              <w:tr2bl w:val="nil"/>
            </w:tcBorders>
            <w:shd w:val="clear" w:color="auto" w:fill="BDD6EE" w:themeFill="accent1" w:themeFillTint="66"/>
            <w:vAlign w:val="center"/>
          </w:tcPr>
          <w:p w:rsidR="00D9389B" w:rsidRDefault="00D9389B" w:rsidP="00670C4F">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10</w:t>
            </w:r>
          </w:p>
        </w:tc>
        <w:tc>
          <w:tcPr>
            <w:tcW w:w="1110" w:type="dxa"/>
            <w:tcBorders>
              <w:tl2br w:val="nil"/>
              <w:tr2bl w:val="nil"/>
            </w:tcBorders>
            <w:shd w:val="clear" w:color="auto" w:fill="BDD6EE" w:themeFill="accent1" w:themeFillTint="66"/>
            <w:vAlign w:val="center"/>
          </w:tcPr>
          <w:p w:rsidR="00D9389B" w:rsidRDefault="00D9389B" w:rsidP="00670C4F">
            <w:pPr>
              <w:widowControl/>
              <w:jc w:val="right"/>
              <w:textAlignment w:val="center"/>
              <w:rPr>
                <w:rFonts w:ascii="宋体" w:eastAsia="宋体" w:hAnsi="宋体" w:cs="宋体" w:hint="eastAsia"/>
                <w:b/>
                <w:bCs/>
                <w:kern w:val="0"/>
                <w:sz w:val="20"/>
                <w:szCs w:val="20"/>
                <w:lang w:bidi="ar"/>
              </w:rPr>
            </w:pPr>
            <w:r>
              <w:rPr>
                <w:rFonts w:ascii="宋体" w:eastAsia="宋体" w:hAnsi="宋体" w:cs="宋体" w:hint="eastAsia"/>
                <w:b/>
                <w:bCs/>
                <w:color w:val="000000"/>
                <w:kern w:val="0"/>
                <w:sz w:val="20"/>
                <w:szCs w:val="20"/>
                <w:lang w:bidi="ar"/>
              </w:rPr>
              <w:t>100.00%</w:t>
            </w:r>
          </w:p>
        </w:tc>
      </w:tr>
    </w:tbl>
    <w:p w:rsidR="00B868FF" w:rsidRDefault="00D9389B">
      <w:pPr>
        <w:pStyle w:val="af4"/>
        <w:ind w:firstLine="640"/>
        <w:rPr>
          <w:rFonts w:hint="eastAsia"/>
        </w:rPr>
      </w:pPr>
      <w:r w:rsidRPr="00D9389B">
        <w:rPr>
          <w:rFonts w:hint="eastAsia"/>
        </w:rPr>
        <w:t>成本控制情况：</w:t>
      </w:r>
      <w:r>
        <w:rPr>
          <w:rFonts w:hint="eastAsia"/>
        </w:rPr>
        <w:t>甘肃省高级人民法院积极响应国家相关政策，坚持节约资金的原则，严格控制项目预算金额，在提高服务质量水平的同时，降低成本开支，文化建设宣传经费项目成本控制在预算范围以内，未超预算。</w:t>
      </w:r>
    </w:p>
    <w:p w:rsidR="00B868FF" w:rsidRDefault="00000000">
      <w:pPr>
        <w:pStyle w:val="24"/>
        <w:ind w:firstLine="643"/>
        <w:rPr>
          <w:rFonts w:hint="eastAsia"/>
        </w:rPr>
      </w:pPr>
      <w:bookmarkStart w:id="133" w:name="_Toc174375026"/>
      <w:r>
        <w:rPr>
          <w:rFonts w:hint="eastAsia"/>
        </w:rPr>
        <w:t>（四）项目产出情况</w:t>
      </w:r>
      <w:bookmarkEnd w:id="130"/>
      <w:bookmarkEnd w:id="131"/>
      <w:bookmarkEnd w:id="133"/>
    </w:p>
    <w:p w:rsidR="00B868FF" w:rsidRDefault="00000000">
      <w:pPr>
        <w:pStyle w:val="af4"/>
        <w:ind w:firstLine="640"/>
        <w:rPr>
          <w:rFonts w:hint="eastAsia"/>
        </w:rPr>
      </w:pPr>
      <w:r>
        <w:rPr>
          <w:rFonts w:hint="eastAsia"/>
        </w:rPr>
        <w:t>项目产出指标包括产出数量、产出质量、产出时效三个二级指标，指标分值24分，评价得分24分，得分率</w:t>
      </w:r>
      <w:r w:rsidR="00C93B37">
        <w:rPr>
          <w:rFonts w:hint="eastAsia"/>
        </w:rPr>
        <w:t>100.00%</w:t>
      </w:r>
      <w:r>
        <w:rPr>
          <w:rFonts w:hint="eastAsia"/>
        </w:rPr>
        <w:t>。</w:t>
      </w:r>
    </w:p>
    <w:tbl>
      <w:tblPr>
        <w:tblStyle w:val="af"/>
        <w:tblW w:w="8647" w:type="dxa"/>
        <w:tblBorders>
          <w:top w:val="single" w:sz="12" w:space="0" w:color="auto"/>
          <w:left w:val="none" w:sz="0" w:space="0" w:color="auto"/>
          <w:bottom w:val="single" w:sz="12" w:space="0" w:color="auto"/>
          <w:right w:val="none" w:sz="0" w:space="0" w:color="auto"/>
          <w:insideH w:val="dotted" w:sz="4" w:space="0" w:color="auto"/>
          <w:insideV w:val="dotted" w:sz="4" w:space="0" w:color="auto"/>
        </w:tblBorders>
        <w:tblLayout w:type="fixed"/>
        <w:tblLook w:val="04A0" w:firstRow="1" w:lastRow="0" w:firstColumn="1" w:lastColumn="0" w:noHBand="0" w:noVBand="1"/>
      </w:tblPr>
      <w:tblGrid>
        <w:gridCol w:w="1114"/>
        <w:gridCol w:w="2217"/>
        <w:gridCol w:w="831"/>
        <w:gridCol w:w="1225"/>
        <w:gridCol w:w="1204"/>
        <w:gridCol w:w="946"/>
        <w:gridCol w:w="1110"/>
      </w:tblGrid>
      <w:tr w:rsidR="00B868FF">
        <w:trPr>
          <w:trHeight w:val="454"/>
          <w:tblHeader/>
        </w:trPr>
        <w:tc>
          <w:tcPr>
            <w:tcW w:w="1114"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二级指标</w:t>
            </w:r>
          </w:p>
        </w:tc>
        <w:tc>
          <w:tcPr>
            <w:tcW w:w="2217"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三级指标</w:t>
            </w:r>
          </w:p>
        </w:tc>
        <w:tc>
          <w:tcPr>
            <w:tcW w:w="831"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分值</w:t>
            </w:r>
          </w:p>
        </w:tc>
        <w:tc>
          <w:tcPr>
            <w:tcW w:w="1225"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目标值</w:t>
            </w:r>
          </w:p>
        </w:tc>
        <w:tc>
          <w:tcPr>
            <w:tcW w:w="1204"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业绩值</w:t>
            </w:r>
          </w:p>
        </w:tc>
        <w:tc>
          <w:tcPr>
            <w:tcW w:w="946"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得分</w:t>
            </w:r>
          </w:p>
        </w:tc>
        <w:tc>
          <w:tcPr>
            <w:tcW w:w="1110"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得分率</w:t>
            </w:r>
          </w:p>
        </w:tc>
      </w:tr>
      <w:tr w:rsidR="00B868FF">
        <w:trPr>
          <w:trHeight w:val="454"/>
        </w:trPr>
        <w:tc>
          <w:tcPr>
            <w:tcW w:w="1114" w:type="dxa"/>
            <w:vMerge w:val="restart"/>
            <w:tcBorders>
              <w:tl2br w:val="nil"/>
              <w:tr2bl w:val="nil"/>
            </w:tcBorders>
            <w:vAlign w:val="center"/>
          </w:tcPr>
          <w:p w:rsidR="00B868FF" w:rsidRPr="009A37B0" w:rsidRDefault="00000000">
            <w:pPr>
              <w:widowControl/>
              <w:jc w:val="center"/>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kern w:val="0"/>
                <w:sz w:val="20"/>
                <w:szCs w:val="20"/>
                <w:lang w:bidi="ar"/>
              </w:rPr>
              <w:t>数量指标</w:t>
            </w:r>
          </w:p>
        </w:tc>
        <w:tc>
          <w:tcPr>
            <w:tcW w:w="2217" w:type="dxa"/>
            <w:tcBorders>
              <w:tl2br w:val="nil"/>
              <w:tr2bl w:val="nil"/>
            </w:tcBorders>
            <w:shd w:val="clear" w:color="auto" w:fill="auto"/>
          </w:tcPr>
          <w:p w:rsidR="00B868FF" w:rsidRPr="009A37B0" w:rsidRDefault="00000000">
            <w:pPr>
              <w:rPr>
                <w:rFonts w:asciiTheme="minorEastAsia" w:hAnsiTheme="minorEastAsia" w:hint="eastAsia"/>
                <w:sz w:val="20"/>
                <w:szCs w:val="20"/>
              </w:rPr>
            </w:pPr>
            <w:r w:rsidRPr="009A37B0">
              <w:rPr>
                <w:rFonts w:asciiTheme="minorEastAsia" w:hAnsiTheme="minorEastAsia" w:hint="eastAsia"/>
                <w:sz w:val="20"/>
                <w:szCs w:val="20"/>
              </w:rPr>
              <w:t>法治文化宣传材料印刷套数</w:t>
            </w:r>
          </w:p>
        </w:tc>
        <w:tc>
          <w:tcPr>
            <w:tcW w:w="831" w:type="dxa"/>
            <w:tcBorders>
              <w:tl2br w:val="nil"/>
              <w:tr2bl w:val="nil"/>
            </w:tcBorders>
            <w:shd w:val="clear" w:color="auto" w:fill="auto"/>
            <w:vAlign w:val="center"/>
          </w:tcPr>
          <w:p w:rsidR="00B868FF" w:rsidRPr="009A37B0" w:rsidRDefault="00000000">
            <w:pPr>
              <w:widowControl/>
              <w:jc w:val="center"/>
              <w:textAlignment w:val="center"/>
              <w:rPr>
                <w:rFonts w:asciiTheme="minorEastAsia" w:hAnsiTheme="minorEastAsia" w:cs="宋体" w:hint="eastAsia"/>
                <w:sz w:val="20"/>
                <w:szCs w:val="20"/>
              </w:rPr>
            </w:pPr>
            <w:r w:rsidRPr="009A37B0">
              <w:rPr>
                <w:rFonts w:asciiTheme="minorEastAsia" w:hAnsiTheme="minorEastAsia" w:cs="宋体" w:hint="eastAsia"/>
                <w:kern w:val="0"/>
                <w:sz w:val="20"/>
                <w:szCs w:val="20"/>
                <w:lang w:bidi="ar"/>
              </w:rPr>
              <w:t>4</w:t>
            </w:r>
          </w:p>
        </w:tc>
        <w:tc>
          <w:tcPr>
            <w:tcW w:w="1225" w:type="dxa"/>
            <w:tcBorders>
              <w:tl2br w:val="nil"/>
              <w:tr2bl w:val="nil"/>
            </w:tcBorders>
            <w:shd w:val="clear" w:color="auto" w:fill="auto"/>
            <w:vAlign w:val="center"/>
          </w:tcPr>
          <w:p w:rsidR="00B868FF" w:rsidRPr="009A37B0" w:rsidRDefault="000615AA">
            <w:pPr>
              <w:jc w:val="center"/>
              <w:rPr>
                <w:rFonts w:asciiTheme="minorEastAsia" w:hAnsiTheme="minorEastAsia" w:hint="eastAsia"/>
                <w:sz w:val="20"/>
                <w:szCs w:val="20"/>
              </w:rPr>
            </w:pPr>
            <w:r w:rsidRPr="009A37B0">
              <w:rPr>
                <w:rFonts w:asciiTheme="minorEastAsia" w:hAnsiTheme="minorEastAsia" w:hint="eastAsia"/>
                <w:sz w:val="20"/>
                <w:szCs w:val="20"/>
              </w:rPr>
              <w:t>≥100套</w:t>
            </w:r>
          </w:p>
        </w:tc>
        <w:tc>
          <w:tcPr>
            <w:tcW w:w="1204" w:type="dxa"/>
            <w:tcBorders>
              <w:tl2br w:val="nil"/>
              <w:tr2bl w:val="nil"/>
            </w:tcBorders>
            <w:shd w:val="clear" w:color="auto" w:fill="auto"/>
            <w:vAlign w:val="center"/>
          </w:tcPr>
          <w:p w:rsidR="00B868FF" w:rsidRPr="009A37B0" w:rsidRDefault="00000000">
            <w:pPr>
              <w:jc w:val="center"/>
              <w:rPr>
                <w:rFonts w:asciiTheme="minorEastAsia" w:hAnsiTheme="minorEastAsia" w:hint="eastAsia"/>
                <w:sz w:val="20"/>
                <w:szCs w:val="20"/>
              </w:rPr>
            </w:pPr>
            <w:r w:rsidRPr="009A37B0">
              <w:rPr>
                <w:rFonts w:asciiTheme="minorEastAsia" w:hAnsiTheme="minorEastAsia" w:hint="eastAsia"/>
                <w:sz w:val="20"/>
                <w:szCs w:val="20"/>
              </w:rPr>
              <w:t>100套</w:t>
            </w:r>
          </w:p>
        </w:tc>
        <w:tc>
          <w:tcPr>
            <w:tcW w:w="946" w:type="dxa"/>
            <w:tcBorders>
              <w:tl2br w:val="nil"/>
              <w:tr2bl w:val="nil"/>
            </w:tcBorders>
            <w:shd w:val="clear" w:color="auto" w:fill="auto"/>
            <w:vAlign w:val="center"/>
          </w:tcPr>
          <w:p w:rsidR="00B868FF" w:rsidRPr="009A37B0" w:rsidRDefault="00000000">
            <w:pPr>
              <w:widowControl/>
              <w:jc w:val="center"/>
              <w:textAlignment w:val="center"/>
              <w:rPr>
                <w:rFonts w:asciiTheme="minorEastAsia" w:hAnsiTheme="minorEastAsia" w:cs="宋体" w:hint="eastAsia"/>
                <w:sz w:val="20"/>
                <w:szCs w:val="20"/>
              </w:rPr>
            </w:pPr>
            <w:r w:rsidRPr="009A37B0">
              <w:rPr>
                <w:rFonts w:asciiTheme="minorEastAsia" w:hAnsiTheme="minorEastAsia" w:cs="宋体" w:hint="eastAsia"/>
                <w:kern w:val="0"/>
                <w:sz w:val="20"/>
                <w:szCs w:val="20"/>
                <w:lang w:bidi="ar"/>
              </w:rPr>
              <w:t>4</w:t>
            </w:r>
          </w:p>
        </w:tc>
        <w:tc>
          <w:tcPr>
            <w:tcW w:w="1110" w:type="dxa"/>
            <w:tcBorders>
              <w:tl2br w:val="nil"/>
              <w:tr2bl w:val="nil"/>
            </w:tcBorders>
            <w:shd w:val="clear" w:color="auto" w:fill="auto"/>
            <w:vAlign w:val="center"/>
          </w:tcPr>
          <w:p w:rsidR="00B868FF" w:rsidRPr="009A37B0" w:rsidRDefault="00000000">
            <w:pPr>
              <w:widowControl/>
              <w:jc w:val="right"/>
              <w:textAlignment w:val="center"/>
              <w:rPr>
                <w:rFonts w:asciiTheme="minorEastAsia" w:hAnsiTheme="minorEastAsia" w:cs="宋体" w:hint="eastAsia"/>
                <w:sz w:val="20"/>
                <w:szCs w:val="20"/>
              </w:rPr>
            </w:pPr>
            <w:r w:rsidRPr="009A37B0">
              <w:rPr>
                <w:rFonts w:asciiTheme="minorEastAsia" w:hAnsiTheme="minorEastAsia" w:cs="宋体" w:hint="eastAsia"/>
                <w:color w:val="000000"/>
                <w:kern w:val="0"/>
                <w:sz w:val="20"/>
                <w:szCs w:val="20"/>
                <w:lang w:bidi="ar"/>
              </w:rPr>
              <w:t>100.00%</w:t>
            </w:r>
          </w:p>
        </w:tc>
      </w:tr>
      <w:tr w:rsidR="00B868FF">
        <w:trPr>
          <w:trHeight w:val="454"/>
        </w:trPr>
        <w:tc>
          <w:tcPr>
            <w:tcW w:w="1114" w:type="dxa"/>
            <w:vMerge/>
            <w:tcBorders>
              <w:tl2br w:val="nil"/>
              <w:tr2bl w:val="nil"/>
            </w:tcBorders>
            <w:vAlign w:val="center"/>
          </w:tcPr>
          <w:p w:rsidR="00B868FF" w:rsidRPr="009A37B0" w:rsidRDefault="00B868FF">
            <w:pPr>
              <w:jc w:val="center"/>
              <w:rPr>
                <w:rFonts w:asciiTheme="minorEastAsia" w:hAnsiTheme="minorEastAsia" w:cs="宋体" w:hint="eastAsia"/>
                <w:kern w:val="0"/>
                <w:sz w:val="20"/>
                <w:szCs w:val="20"/>
                <w:lang w:bidi="ar"/>
              </w:rPr>
            </w:pPr>
          </w:p>
        </w:tc>
        <w:tc>
          <w:tcPr>
            <w:tcW w:w="2217" w:type="dxa"/>
            <w:tcBorders>
              <w:tl2br w:val="nil"/>
              <w:tr2bl w:val="nil"/>
            </w:tcBorders>
            <w:shd w:val="clear" w:color="auto" w:fill="auto"/>
          </w:tcPr>
          <w:p w:rsidR="00B868FF" w:rsidRPr="009A37B0" w:rsidRDefault="00000000">
            <w:pPr>
              <w:rPr>
                <w:rFonts w:asciiTheme="minorEastAsia" w:hAnsiTheme="minorEastAsia" w:hint="eastAsia"/>
                <w:sz w:val="20"/>
                <w:szCs w:val="20"/>
              </w:rPr>
            </w:pPr>
            <w:r w:rsidRPr="009A37B0">
              <w:rPr>
                <w:rFonts w:asciiTheme="minorEastAsia" w:hAnsiTheme="minorEastAsia" w:hint="eastAsia"/>
                <w:sz w:val="20"/>
                <w:szCs w:val="20"/>
              </w:rPr>
              <w:t>全年举办法治文化活动参与人次</w:t>
            </w:r>
          </w:p>
        </w:tc>
        <w:tc>
          <w:tcPr>
            <w:tcW w:w="831" w:type="dxa"/>
            <w:tcBorders>
              <w:tl2br w:val="nil"/>
              <w:tr2bl w:val="nil"/>
            </w:tcBorders>
            <w:shd w:val="clear" w:color="auto" w:fill="auto"/>
            <w:vAlign w:val="center"/>
          </w:tcPr>
          <w:p w:rsidR="00B868FF" w:rsidRPr="009A37B0" w:rsidRDefault="00000000">
            <w:pPr>
              <w:widowControl/>
              <w:jc w:val="center"/>
              <w:textAlignment w:val="center"/>
              <w:rPr>
                <w:rFonts w:asciiTheme="minorEastAsia" w:hAnsiTheme="minorEastAsia" w:cs="宋体" w:hint="eastAsia"/>
                <w:sz w:val="20"/>
                <w:szCs w:val="20"/>
              </w:rPr>
            </w:pPr>
            <w:r w:rsidRPr="009A37B0">
              <w:rPr>
                <w:rFonts w:asciiTheme="minorEastAsia" w:hAnsiTheme="minorEastAsia" w:cs="宋体" w:hint="eastAsia"/>
                <w:kern w:val="0"/>
                <w:sz w:val="20"/>
                <w:szCs w:val="20"/>
                <w:lang w:bidi="ar"/>
              </w:rPr>
              <w:t>4</w:t>
            </w:r>
          </w:p>
        </w:tc>
        <w:tc>
          <w:tcPr>
            <w:tcW w:w="1225" w:type="dxa"/>
            <w:tcBorders>
              <w:tl2br w:val="nil"/>
              <w:tr2bl w:val="nil"/>
            </w:tcBorders>
            <w:shd w:val="clear" w:color="auto" w:fill="auto"/>
            <w:vAlign w:val="center"/>
          </w:tcPr>
          <w:p w:rsidR="00B868FF" w:rsidRPr="009A37B0" w:rsidRDefault="000615AA">
            <w:pPr>
              <w:jc w:val="center"/>
              <w:rPr>
                <w:rFonts w:asciiTheme="minorEastAsia" w:hAnsiTheme="minorEastAsia" w:hint="eastAsia"/>
                <w:sz w:val="20"/>
                <w:szCs w:val="20"/>
              </w:rPr>
            </w:pPr>
            <w:r w:rsidRPr="009A37B0">
              <w:rPr>
                <w:rFonts w:asciiTheme="minorEastAsia" w:hAnsiTheme="minorEastAsia" w:hint="eastAsia"/>
                <w:sz w:val="20"/>
                <w:szCs w:val="20"/>
              </w:rPr>
              <w:t>≥8000人次</w:t>
            </w:r>
          </w:p>
        </w:tc>
        <w:tc>
          <w:tcPr>
            <w:tcW w:w="1204" w:type="dxa"/>
            <w:tcBorders>
              <w:tl2br w:val="nil"/>
              <w:tr2bl w:val="nil"/>
            </w:tcBorders>
            <w:shd w:val="clear" w:color="auto" w:fill="auto"/>
            <w:vAlign w:val="center"/>
          </w:tcPr>
          <w:p w:rsidR="00B868FF" w:rsidRPr="009A37B0" w:rsidRDefault="00000000">
            <w:pPr>
              <w:jc w:val="center"/>
              <w:rPr>
                <w:rFonts w:asciiTheme="minorEastAsia" w:hAnsiTheme="minorEastAsia" w:hint="eastAsia"/>
                <w:sz w:val="20"/>
                <w:szCs w:val="20"/>
              </w:rPr>
            </w:pPr>
            <w:r w:rsidRPr="009A37B0">
              <w:rPr>
                <w:rFonts w:asciiTheme="minorEastAsia" w:hAnsiTheme="minorEastAsia" w:hint="eastAsia"/>
                <w:sz w:val="20"/>
                <w:szCs w:val="20"/>
              </w:rPr>
              <w:t>8500人次</w:t>
            </w:r>
          </w:p>
        </w:tc>
        <w:tc>
          <w:tcPr>
            <w:tcW w:w="946" w:type="dxa"/>
            <w:tcBorders>
              <w:tl2br w:val="nil"/>
              <w:tr2bl w:val="nil"/>
            </w:tcBorders>
            <w:shd w:val="clear" w:color="auto" w:fill="auto"/>
            <w:vAlign w:val="center"/>
          </w:tcPr>
          <w:p w:rsidR="00B868FF" w:rsidRPr="009A37B0" w:rsidRDefault="00000000">
            <w:pPr>
              <w:widowControl/>
              <w:jc w:val="center"/>
              <w:textAlignment w:val="center"/>
              <w:rPr>
                <w:rFonts w:asciiTheme="minorEastAsia" w:hAnsiTheme="minorEastAsia" w:cs="宋体" w:hint="eastAsia"/>
                <w:sz w:val="20"/>
                <w:szCs w:val="20"/>
              </w:rPr>
            </w:pPr>
            <w:r w:rsidRPr="009A37B0">
              <w:rPr>
                <w:rFonts w:asciiTheme="minorEastAsia" w:hAnsiTheme="minorEastAsia" w:cs="宋体" w:hint="eastAsia"/>
                <w:kern w:val="0"/>
                <w:sz w:val="20"/>
                <w:szCs w:val="20"/>
                <w:lang w:bidi="ar"/>
              </w:rPr>
              <w:t>4</w:t>
            </w:r>
          </w:p>
        </w:tc>
        <w:tc>
          <w:tcPr>
            <w:tcW w:w="1110" w:type="dxa"/>
            <w:tcBorders>
              <w:tl2br w:val="nil"/>
              <w:tr2bl w:val="nil"/>
            </w:tcBorders>
            <w:shd w:val="clear" w:color="auto" w:fill="auto"/>
            <w:vAlign w:val="center"/>
          </w:tcPr>
          <w:p w:rsidR="00B868FF" w:rsidRPr="009A37B0" w:rsidRDefault="00000000">
            <w:pPr>
              <w:widowControl/>
              <w:jc w:val="right"/>
              <w:textAlignment w:val="center"/>
              <w:rPr>
                <w:rFonts w:asciiTheme="minorEastAsia" w:hAnsiTheme="minorEastAsia" w:cs="宋体" w:hint="eastAsia"/>
                <w:sz w:val="20"/>
                <w:szCs w:val="20"/>
              </w:rPr>
            </w:pPr>
            <w:r w:rsidRPr="009A37B0">
              <w:rPr>
                <w:rFonts w:asciiTheme="minorEastAsia" w:hAnsiTheme="minorEastAsia" w:cs="宋体" w:hint="eastAsia"/>
                <w:color w:val="000000"/>
                <w:kern w:val="0"/>
                <w:sz w:val="20"/>
                <w:szCs w:val="20"/>
                <w:lang w:bidi="ar"/>
              </w:rPr>
              <w:t>100.00%</w:t>
            </w:r>
          </w:p>
        </w:tc>
      </w:tr>
      <w:tr w:rsidR="00B868FF">
        <w:trPr>
          <w:trHeight w:val="454"/>
        </w:trPr>
        <w:tc>
          <w:tcPr>
            <w:tcW w:w="1114" w:type="dxa"/>
            <w:vMerge/>
            <w:tcBorders>
              <w:tl2br w:val="nil"/>
              <w:tr2bl w:val="nil"/>
            </w:tcBorders>
            <w:vAlign w:val="center"/>
          </w:tcPr>
          <w:p w:rsidR="00B868FF" w:rsidRPr="009A37B0" w:rsidRDefault="00B868FF">
            <w:pPr>
              <w:jc w:val="center"/>
              <w:rPr>
                <w:rFonts w:asciiTheme="minorEastAsia" w:hAnsiTheme="minorEastAsia" w:cs="宋体" w:hint="eastAsia"/>
                <w:kern w:val="0"/>
                <w:sz w:val="20"/>
                <w:szCs w:val="20"/>
                <w:lang w:bidi="ar"/>
              </w:rPr>
            </w:pPr>
          </w:p>
        </w:tc>
        <w:tc>
          <w:tcPr>
            <w:tcW w:w="2217" w:type="dxa"/>
            <w:tcBorders>
              <w:tl2br w:val="nil"/>
              <w:tr2bl w:val="nil"/>
            </w:tcBorders>
            <w:shd w:val="clear" w:color="auto" w:fill="auto"/>
          </w:tcPr>
          <w:p w:rsidR="00B868FF" w:rsidRPr="009A37B0" w:rsidRDefault="00000000">
            <w:pPr>
              <w:rPr>
                <w:rFonts w:asciiTheme="minorEastAsia" w:hAnsiTheme="minorEastAsia" w:hint="eastAsia"/>
                <w:sz w:val="20"/>
                <w:szCs w:val="20"/>
              </w:rPr>
            </w:pPr>
            <w:r w:rsidRPr="009A37B0">
              <w:rPr>
                <w:rFonts w:asciiTheme="minorEastAsia" w:hAnsiTheme="minorEastAsia" w:hint="eastAsia"/>
                <w:sz w:val="20"/>
                <w:szCs w:val="20"/>
              </w:rPr>
              <w:t>举办法治宣传活动次数</w:t>
            </w:r>
          </w:p>
        </w:tc>
        <w:tc>
          <w:tcPr>
            <w:tcW w:w="831" w:type="dxa"/>
            <w:tcBorders>
              <w:tl2br w:val="nil"/>
              <w:tr2bl w:val="nil"/>
            </w:tcBorders>
            <w:shd w:val="clear" w:color="auto" w:fill="auto"/>
            <w:vAlign w:val="center"/>
          </w:tcPr>
          <w:p w:rsidR="00B868FF" w:rsidRPr="009A37B0" w:rsidRDefault="00000000">
            <w:pPr>
              <w:widowControl/>
              <w:jc w:val="center"/>
              <w:textAlignment w:val="center"/>
              <w:rPr>
                <w:rFonts w:asciiTheme="minorEastAsia" w:hAnsiTheme="minorEastAsia" w:cs="宋体" w:hint="eastAsia"/>
                <w:sz w:val="20"/>
                <w:szCs w:val="20"/>
              </w:rPr>
            </w:pPr>
            <w:r w:rsidRPr="009A37B0">
              <w:rPr>
                <w:rFonts w:asciiTheme="minorEastAsia" w:hAnsiTheme="minorEastAsia" w:cs="宋体" w:hint="eastAsia"/>
                <w:kern w:val="0"/>
                <w:sz w:val="20"/>
                <w:szCs w:val="20"/>
                <w:lang w:bidi="ar"/>
              </w:rPr>
              <w:t>4</w:t>
            </w:r>
          </w:p>
        </w:tc>
        <w:tc>
          <w:tcPr>
            <w:tcW w:w="1225" w:type="dxa"/>
            <w:tcBorders>
              <w:tl2br w:val="nil"/>
              <w:tr2bl w:val="nil"/>
            </w:tcBorders>
            <w:shd w:val="clear" w:color="auto" w:fill="auto"/>
            <w:vAlign w:val="center"/>
          </w:tcPr>
          <w:p w:rsidR="00B868FF" w:rsidRPr="009A37B0" w:rsidRDefault="000615AA">
            <w:pPr>
              <w:jc w:val="center"/>
              <w:rPr>
                <w:rFonts w:asciiTheme="minorEastAsia" w:hAnsiTheme="minorEastAsia" w:hint="eastAsia"/>
                <w:sz w:val="20"/>
                <w:szCs w:val="20"/>
              </w:rPr>
            </w:pPr>
            <w:r w:rsidRPr="009A37B0">
              <w:rPr>
                <w:rFonts w:asciiTheme="minorEastAsia" w:hAnsiTheme="minorEastAsia" w:hint="eastAsia"/>
                <w:sz w:val="20"/>
                <w:szCs w:val="20"/>
              </w:rPr>
              <w:t>≥1500次</w:t>
            </w:r>
          </w:p>
        </w:tc>
        <w:tc>
          <w:tcPr>
            <w:tcW w:w="1204" w:type="dxa"/>
            <w:tcBorders>
              <w:tl2br w:val="nil"/>
              <w:tr2bl w:val="nil"/>
            </w:tcBorders>
            <w:shd w:val="clear" w:color="auto" w:fill="auto"/>
            <w:vAlign w:val="center"/>
          </w:tcPr>
          <w:p w:rsidR="00B868FF" w:rsidRPr="009A37B0" w:rsidRDefault="00000000">
            <w:pPr>
              <w:jc w:val="center"/>
              <w:rPr>
                <w:rFonts w:asciiTheme="minorEastAsia" w:hAnsiTheme="minorEastAsia" w:hint="eastAsia"/>
                <w:sz w:val="20"/>
                <w:szCs w:val="20"/>
              </w:rPr>
            </w:pPr>
            <w:r w:rsidRPr="009A37B0">
              <w:rPr>
                <w:rFonts w:asciiTheme="minorEastAsia" w:hAnsiTheme="minorEastAsia" w:hint="eastAsia"/>
                <w:sz w:val="20"/>
                <w:szCs w:val="20"/>
              </w:rPr>
              <w:t>1500次</w:t>
            </w:r>
          </w:p>
        </w:tc>
        <w:tc>
          <w:tcPr>
            <w:tcW w:w="946" w:type="dxa"/>
            <w:tcBorders>
              <w:tl2br w:val="nil"/>
              <w:tr2bl w:val="nil"/>
            </w:tcBorders>
            <w:shd w:val="clear" w:color="auto" w:fill="auto"/>
            <w:vAlign w:val="center"/>
          </w:tcPr>
          <w:p w:rsidR="00B868FF" w:rsidRPr="009A37B0" w:rsidRDefault="00000000">
            <w:pPr>
              <w:widowControl/>
              <w:jc w:val="center"/>
              <w:textAlignment w:val="center"/>
              <w:rPr>
                <w:rFonts w:asciiTheme="minorEastAsia" w:hAnsiTheme="minorEastAsia" w:cs="宋体" w:hint="eastAsia"/>
                <w:sz w:val="20"/>
                <w:szCs w:val="20"/>
              </w:rPr>
            </w:pPr>
            <w:r w:rsidRPr="009A37B0">
              <w:rPr>
                <w:rFonts w:asciiTheme="minorEastAsia" w:hAnsiTheme="minorEastAsia" w:cs="宋体" w:hint="eastAsia"/>
                <w:kern w:val="0"/>
                <w:sz w:val="20"/>
                <w:szCs w:val="20"/>
                <w:lang w:bidi="ar"/>
              </w:rPr>
              <w:t>4</w:t>
            </w:r>
          </w:p>
        </w:tc>
        <w:tc>
          <w:tcPr>
            <w:tcW w:w="1110" w:type="dxa"/>
            <w:tcBorders>
              <w:tl2br w:val="nil"/>
              <w:tr2bl w:val="nil"/>
            </w:tcBorders>
            <w:shd w:val="clear" w:color="auto" w:fill="auto"/>
            <w:vAlign w:val="center"/>
          </w:tcPr>
          <w:p w:rsidR="00B868FF" w:rsidRPr="009A37B0" w:rsidRDefault="00000000">
            <w:pPr>
              <w:widowControl/>
              <w:jc w:val="right"/>
              <w:textAlignment w:val="center"/>
              <w:rPr>
                <w:rFonts w:asciiTheme="minorEastAsia" w:hAnsiTheme="minorEastAsia" w:cs="宋体" w:hint="eastAsia"/>
                <w:sz w:val="20"/>
                <w:szCs w:val="20"/>
              </w:rPr>
            </w:pPr>
            <w:r w:rsidRPr="009A37B0">
              <w:rPr>
                <w:rFonts w:asciiTheme="minorEastAsia" w:hAnsiTheme="minorEastAsia" w:cs="宋体" w:hint="eastAsia"/>
                <w:color w:val="000000"/>
                <w:kern w:val="0"/>
                <w:sz w:val="20"/>
                <w:szCs w:val="20"/>
                <w:lang w:bidi="ar"/>
              </w:rPr>
              <w:t>100.00%</w:t>
            </w:r>
          </w:p>
        </w:tc>
      </w:tr>
      <w:tr w:rsidR="00B868FF">
        <w:trPr>
          <w:trHeight w:val="454"/>
        </w:trPr>
        <w:tc>
          <w:tcPr>
            <w:tcW w:w="1114" w:type="dxa"/>
            <w:vMerge w:val="restart"/>
            <w:tcBorders>
              <w:tl2br w:val="nil"/>
              <w:tr2bl w:val="nil"/>
            </w:tcBorders>
            <w:vAlign w:val="center"/>
          </w:tcPr>
          <w:p w:rsidR="00B868FF" w:rsidRPr="009A37B0" w:rsidRDefault="00000000">
            <w:pPr>
              <w:widowControl/>
              <w:jc w:val="center"/>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kern w:val="0"/>
                <w:sz w:val="20"/>
                <w:szCs w:val="20"/>
                <w:lang w:bidi="ar"/>
              </w:rPr>
              <w:t>质量指标</w:t>
            </w:r>
          </w:p>
        </w:tc>
        <w:tc>
          <w:tcPr>
            <w:tcW w:w="2217" w:type="dxa"/>
            <w:tcBorders>
              <w:tl2br w:val="nil"/>
              <w:tr2bl w:val="nil"/>
            </w:tcBorders>
            <w:shd w:val="clear" w:color="auto" w:fill="auto"/>
          </w:tcPr>
          <w:p w:rsidR="00B868FF" w:rsidRPr="009A37B0" w:rsidRDefault="00000000">
            <w:pPr>
              <w:rPr>
                <w:rFonts w:asciiTheme="minorEastAsia" w:hAnsiTheme="minorEastAsia" w:hint="eastAsia"/>
                <w:sz w:val="20"/>
                <w:szCs w:val="20"/>
              </w:rPr>
            </w:pPr>
            <w:r w:rsidRPr="009A37B0">
              <w:rPr>
                <w:rFonts w:asciiTheme="minorEastAsia" w:hAnsiTheme="minorEastAsia" w:hint="eastAsia"/>
                <w:sz w:val="20"/>
                <w:szCs w:val="20"/>
              </w:rPr>
              <w:t>法治文化宣传覆盖率</w:t>
            </w:r>
          </w:p>
        </w:tc>
        <w:tc>
          <w:tcPr>
            <w:tcW w:w="831" w:type="dxa"/>
            <w:tcBorders>
              <w:tl2br w:val="nil"/>
              <w:tr2bl w:val="nil"/>
            </w:tcBorders>
            <w:shd w:val="clear" w:color="auto" w:fill="auto"/>
            <w:vAlign w:val="center"/>
          </w:tcPr>
          <w:p w:rsidR="00B868FF" w:rsidRPr="009A37B0" w:rsidRDefault="00000000">
            <w:pPr>
              <w:widowControl/>
              <w:jc w:val="center"/>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kern w:val="0"/>
                <w:sz w:val="20"/>
                <w:szCs w:val="20"/>
                <w:lang w:bidi="ar"/>
              </w:rPr>
              <w:t>4</w:t>
            </w:r>
          </w:p>
        </w:tc>
        <w:tc>
          <w:tcPr>
            <w:tcW w:w="1225" w:type="dxa"/>
            <w:tcBorders>
              <w:tl2br w:val="nil"/>
              <w:tr2bl w:val="nil"/>
            </w:tcBorders>
            <w:shd w:val="clear" w:color="auto" w:fill="auto"/>
            <w:vAlign w:val="center"/>
          </w:tcPr>
          <w:p w:rsidR="00B868FF" w:rsidRPr="009A37B0" w:rsidRDefault="00000000">
            <w:pPr>
              <w:widowControl/>
              <w:jc w:val="center"/>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kern w:val="0"/>
                <w:sz w:val="20"/>
                <w:szCs w:val="20"/>
                <w:lang w:bidi="ar"/>
              </w:rPr>
              <w:t xml:space="preserve"> =</w:t>
            </w:r>
            <w:r w:rsidR="00C93B37" w:rsidRPr="009A37B0">
              <w:rPr>
                <w:rFonts w:asciiTheme="minorEastAsia" w:hAnsiTheme="minorEastAsia" w:cs="宋体" w:hint="eastAsia"/>
                <w:kern w:val="0"/>
                <w:sz w:val="20"/>
                <w:szCs w:val="20"/>
                <w:lang w:bidi="ar"/>
              </w:rPr>
              <w:t>100.00%</w:t>
            </w:r>
          </w:p>
        </w:tc>
        <w:tc>
          <w:tcPr>
            <w:tcW w:w="1204" w:type="dxa"/>
            <w:tcBorders>
              <w:tl2br w:val="nil"/>
              <w:tr2bl w:val="nil"/>
            </w:tcBorders>
            <w:shd w:val="clear" w:color="auto" w:fill="auto"/>
            <w:vAlign w:val="center"/>
          </w:tcPr>
          <w:p w:rsidR="00B868FF" w:rsidRPr="009A37B0" w:rsidRDefault="00C93B37">
            <w:pPr>
              <w:widowControl/>
              <w:jc w:val="center"/>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kern w:val="0"/>
                <w:sz w:val="20"/>
                <w:szCs w:val="20"/>
                <w:lang w:bidi="ar"/>
              </w:rPr>
              <w:t>100.00%</w:t>
            </w:r>
          </w:p>
        </w:tc>
        <w:tc>
          <w:tcPr>
            <w:tcW w:w="946" w:type="dxa"/>
            <w:tcBorders>
              <w:tl2br w:val="nil"/>
              <w:tr2bl w:val="nil"/>
            </w:tcBorders>
            <w:shd w:val="clear" w:color="auto" w:fill="auto"/>
            <w:vAlign w:val="center"/>
          </w:tcPr>
          <w:p w:rsidR="00B868FF" w:rsidRPr="009A37B0" w:rsidRDefault="00000000">
            <w:pPr>
              <w:widowControl/>
              <w:jc w:val="center"/>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kern w:val="0"/>
                <w:sz w:val="20"/>
                <w:szCs w:val="20"/>
                <w:lang w:bidi="ar"/>
              </w:rPr>
              <w:t>4</w:t>
            </w:r>
          </w:p>
        </w:tc>
        <w:tc>
          <w:tcPr>
            <w:tcW w:w="1110" w:type="dxa"/>
            <w:tcBorders>
              <w:tl2br w:val="nil"/>
              <w:tr2bl w:val="nil"/>
            </w:tcBorders>
            <w:shd w:val="clear" w:color="auto" w:fill="auto"/>
            <w:vAlign w:val="center"/>
          </w:tcPr>
          <w:p w:rsidR="00B868FF" w:rsidRPr="009A37B0" w:rsidRDefault="00000000">
            <w:pPr>
              <w:widowControl/>
              <w:jc w:val="right"/>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color w:val="000000"/>
                <w:kern w:val="0"/>
                <w:sz w:val="20"/>
                <w:szCs w:val="20"/>
                <w:lang w:bidi="ar"/>
              </w:rPr>
              <w:t>100.00%</w:t>
            </w:r>
          </w:p>
        </w:tc>
      </w:tr>
      <w:tr w:rsidR="00B868FF">
        <w:trPr>
          <w:trHeight w:val="454"/>
        </w:trPr>
        <w:tc>
          <w:tcPr>
            <w:tcW w:w="1114" w:type="dxa"/>
            <w:vMerge/>
            <w:tcBorders>
              <w:tl2br w:val="nil"/>
              <w:tr2bl w:val="nil"/>
            </w:tcBorders>
            <w:vAlign w:val="center"/>
          </w:tcPr>
          <w:p w:rsidR="00B868FF" w:rsidRPr="009A37B0" w:rsidRDefault="00B868FF">
            <w:pPr>
              <w:jc w:val="center"/>
              <w:rPr>
                <w:rFonts w:asciiTheme="minorEastAsia" w:hAnsiTheme="minorEastAsia" w:cs="宋体" w:hint="eastAsia"/>
                <w:kern w:val="0"/>
                <w:sz w:val="20"/>
                <w:szCs w:val="20"/>
                <w:lang w:bidi="ar"/>
              </w:rPr>
            </w:pPr>
          </w:p>
        </w:tc>
        <w:tc>
          <w:tcPr>
            <w:tcW w:w="2217" w:type="dxa"/>
            <w:tcBorders>
              <w:tl2br w:val="nil"/>
              <w:tr2bl w:val="nil"/>
            </w:tcBorders>
            <w:shd w:val="clear" w:color="auto" w:fill="auto"/>
          </w:tcPr>
          <w:p w:rsidR="00B868FF" w:rsidRPr="009A37B0" w:rsidRDefault="00000000">
            <w:pPr>
              <w:rPr>
                <w:rFonts w:asciiTheme="minorEastAsia" w:hAnsiTheme="minorEastAsia" w:hint="eastAsia"/>
                <w:sz w:val="20"/>
                <w:szCs w:val="20"/>
              </w:rPr>
            </w:pPr>
            <w:r w:rsidRPr="009A37B0">
              <w:rPr>
                <w:rFonts w:asciiTheme="minorEastAsia" w:hAnsiTheme="minorEastAsia" w:hint="eastAsia"/>
                <w:sz w:val="20"/>
                <w:szCs w:val="20"/>
              </w:rPr>
              <w:t>法制宣传材料印刷合格率</w:t>
            </w:r>
          </w:p>
        </w:tc>
        <w:tc>
          <w:tcPr>
            <w:tcW w:w="831" w:type="dxa"/>
            <w:tcBorders>
              <w:tl2br w:val="nil"/>
              <w:tr2bl w:val="nil"/>
            </w:tcBorders>
            <w:shd w:val="clear" w:color="auto" w:fill="auto"/>
            <w:vAlign w:val="center"/>
          </w:tcPr>
          <w:p w:rsidR="00B868FF" w:rsidRPr="009A37B0" w:rsidRDefault="00000000">
            <w:pPr>
              <w:widowControl/>
              <w:jc w:val="center"/>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kern w:val="0"/>
                <w:sz w:val="20"/>
                <w:szCs w:val="20"/>
                <w:lang w:bidi="ar"/>
              </w:rPr>
              <w:t>4</w:t>
            </w:r>
          </w:p>
        </w:tc>
        <w:tc>
          <w:tcPr>
            <w:tcW w:w="1225" w:type="dxa"/>
            <w:tcBorders>
              <w:tl2br w:val="nil"/>
              <w:tr2bl w:val="nil"/>
            </w:tcBorders>
            <w:shd w:val="clear" w:color="auto" w:fill="auto"/>
            <w:vAlign w:val="center"/>
          </w:tcPr>
          <w:p w:rsidR="00B868FF" w:rsidRPr="009A37B0" w:rsidRDefault="00000000">
            <w:pPr>
              <w:widowControl/>
              <w:jc w:val="center"/>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kern w:val="0"/>
                <w:sz w:val="20"/>
                <w:szCs w:val="20"/>
                <w:lang w:bidi="ar"/>
              </w:rPr>
              <w:t xml:space="preserve"> =</w:t>
            </w:r>
            <w:r w:rsidR="00C93B37" w:rsidRPr="009A37B0">
              <w:rPr>
                <w:rFonts w:asciiTheme="minorEastAsia" w:hAnsiTheme="minorEastAsia" w:cs="宋体" w:hint="eastAsia"/>
                <w:kern w:val="0"/>
                <w:sz w:val="20"/>
                <w:szCs w:val="20"/>
                <w:lang w:bidi="ar"/>
              </w:rPr>
              <w:t>100.00%</w:t>
            </w:r>
          </w:p>
        </w:tc>
        <w:tc>
          <w:tcPr>
            <w:tcW w:w="1204" w:type="dxa"/>
            <w:tcBorders>
              <w:tl2br w:val="nil"/>
              <w:tr2bl w:val="nil"/>
            </w:tcBorders>
            <w:shd w:val="clear" w:color="auto" w:fill="auto"/>
            <w:vAlign w:val="center"/>
          </w:tcPr>
          <w:p w:rsidR="00B868FF" w:rsidRPr="009A37B0" w:rsidRDefault="00C93B37">
            <w:pPr>
              <w:widowControl/>
              <w:jc w:val="center"/>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kern w:val="0"/>
                <w:sz w:val="20"/>
                <w:szCs w:val="20"/>
                <w:lang w:bidi="ar"/>
              </w:rPr>
              <w:t>100.00%</w:t>
            </w:r>
          </w:p>
        </w:tc>
        <w:tc>
          <w:tcPr>
            <w:tcW w:w="946" w:type="dxa"/>
            <w:tcBorders>
              <w:tl2br w:val="nil"/>
              <w:tr2bl w:val="nil"/>
            </w:tcBorders>
            <w:shd w:val="clear" w:color="auto" w:fill="auto"/>
            <w:vAlign w:val="center"/>
          </w:tcPr>
          <w:p w:rsidR="00B868FF" w:rsidRPr="009A37B0" w:rsidRDefault="00000000">
            <w:pPr>
              <w:widowControl/>
              <w:jc w:val="center"/>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kern w:val="0"/>
                <w:sz w:val="20"/>
                <w:szCs w:val="20"/>
                <w:lang w:bidi="ar"/>
              </w:rPr>
              <w:t>4</w:t>
            </w:r>
          </w:p>
        </w:tc>
        <w:tc>
          <w:tcPr>
            <w:tcW w:w="1110" w:type="dxa"/>
            <w:tcBorders>
              <w:tl2br w:val="nil"/>
              <w:tr2bl w:val="nil"/>
            </w:tcBorders>
            <w:shd w:val="clear" w:color="auto" w:fill="auto"/>
            <w:vAlign w:val="center"/>
          </w:tcPr>
          <w:p w:rsidR="00B868FF" w:rsidRPr="009A37B0" w:rsidRDefault="00000000">
            <w:pPr>
              <w:widowControl/>
              <w:jc w:val="right"/>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color w:val="000000"/>
                <w:kern w:val="0"/>
                <w:sz w:val="20"/>
                <w:szCs w:val="20"/>
                <w:lang w:bidi="ar"/>
              </w:rPr>
              <w:t>100.00%</w:t>
            </w:r>
          </w:p>
        </w:tc>
      </w:tr>
      <w:tr w:rsidR="00B868FF">
        <w:trPr>
          <w:trHeight w:val="454"/>
        </w:trPr>
        <w:tc>
          <w:tcPr>
            <w:tcW w:w="1114" w:type="dxa"/>
            <w:tcBorders>
              <w:tl2br w:val="nil"/>
              <w:tr2bl w:val="nil"/>
            </w:tcBorders>
            <w:vAlign w:val="center"/>
          </w:tcPr>
          <w:p w:rsidR="00B868FF" w:rsidRPr="009A37B0" w:rsidRDefault="00000000">
            <w:pPr>
              <w:widowControl/>
              <w:jc w:val="center"/>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kern w:val="0"/>
                <w:sz w:val="20"/>
                <w:szCs w:val="20"/>
                <w:lang w:bidi="ar"/>
              </w:rPr>
              <w:lastRenderedPageBreak/>
              <w:t>时效指标</w:t>
            </w:r>
          </w:p>
        </w:tc>
        <w:tc>
          <w:tcPr>
            <w:tcW w:w="2217" w:type="dxa"/>
            <w:tcBorders>
              <w:tl2br w:val="nil"/>
              <w:tr2bl w:val="nil"/>
            </w:tcBorders>
            <w:shd w:val="clear" w:color="auto" w:fill="auto"/>
            <w:vAlign w:val="center"/>
          </w:tcPr>
          <w:p w:rsidR="00B868FF" w:rsidRPr="009A37B0" w:rsidRDefault="00000000">
            <w:pPr>
              <w:widowControl/>
              <w:jc w:val="left"/>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kern w:val="0"/>
                <w:sz w:val="20"/>
                <w:szCs w:val="20"/>
                <w:lang w:bidi="ar"/>
              </w:rPr>
              <w:t>法治宣传工作开展及时性</w:t>
            </w:r>
          </w:p>
        </w:tc>
        <w:tc>
          <w:tcPr>
            <w:tcW w:w="831" w:type="dxa"/>
            <w:tcBorders>
              <w:tl2br w:val="nil"/>
              <w:tr2bl w:val="nil"/>
            </w:tcBorders>
            <w:shd w:val="clear" w:color="auto" w:fill="auto"/>
            <w:vAlign w:val="center"/>
          </w:tcPr>
          <w:p w:rsidR="00B868FF" w:rsidRPr="009A37B0" w:rsidRDefault="00000000">
            <w:pPr>
              <w:widowControl/>
              <w:jc w:val="center"/>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kern w:val="0"/>
                <w:sz w:val="20"/>
                <w:szCs w:val="20"/>
                <w:lang w:bidi="ar"/>
              </w:rPr>
              <w:t>4</w:t>
            </w:r>
          </w:p>
        </w:tc>
        <w:tc>
          <w:tcPr>
            <w:tcW w:w="1225" w:type="dxa"/>
            <w:tcBorders>
              <w:tl2br w:val="nil"/>
              <w:tr2bl w:val="nil"/>
            </w:tcBorders>
            <w:shd w:val="clear" w:color="auto" w:fill="auto"/>
            <w:vAlign w:val="center"/>
          </w:tcPr>
          <w:p w:rsidR="00B868FF" w:rsidRPr="009A37B0" w:rsidRDefault="00000000">
            <w:pPr>
              <w:widowControl/>
              <w:jc w:val="center"/>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kern w:val="0"/>
                <w:sz w:val="20"/>
                <w:szCs w:val="20"/>
                <w:lang w:bidi="ar"/>
              </w:rPr>
              <w:t>及时</w:t>
            </w:r>
          </w:p>
        </w:tc>
        <w:tc>
          <w:tcPr>
            <w:tcW w:w="1204" w:type="dxa"/>
            <w:tcBorders>
              <w:tl2br w:val="nil"/>
              <w:tr2bl w:val="nil"/>
            </w:tcBorders>
            <w:shd w:val="clear" w:color="auto" w:fill="auto"/>
            <w:vAlign w:val="center"/>
          </w:tcPr>
          <w:p w:rsidR="00B868FF" w:rsidRPr="009A37B0" w:rsidRDefault="00000000">
            <w:pPr>
              <w:widowControl/>
              <w:jc w:val="center"/>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kern w:val="0"/>
                <w:sz w:val="20"/>
                <w:szCs w:val="20"/>
                <w:lang w:bidi="ar"/>
              </w:rPr>
              <w:t>及时</w:t>
            </w:r>
          </w:p>
        </w:tc>
        <w:tc>
          <w:tcPr>
            <w:tcW w:w="946" w:type="dxa"/>
            <w:tcBorders>
              <w:tl2br w:val="nil"/>
              <w:tr2bl w:val="nil"/>
            </w:tcBorders>
            <w:shd w:val="clear" w:color="auto" w:fill="auto"/>
            <w:vAlign w:val="center"/>
          </w:tcPr>
          <w:p w:rsidR="00B868FF" w:rsidRPr="009A37B0" w:rsidRDefault="00000000">
            <w:pPr>
              <w:widowControl/>
              <w:jc w:val="center"/>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kern w:val="0"/>
                <w:sz w:val="20"/>
                <w:szCs w:val="20"/>
                <w:lang w:bidi="ar"/>
              </w:rPr>
              <w:t>4</w:t>
            </w:r>
          </w:p>
        </w:tc>
        <w:tc>
          <w:tcPr>
            <w:tcW w:w="1110" w:type="dxa"/>
            <w:tcBorders>
              <w:tl2br w:val="nil"/>
              <w:tr2bl w:val="nil"/>
            </w:tcBorders>
            <w:shd w:val="clear" w:color="auto" w:fill="auto"/>
            <w:vAlign w:val="center"/>
          </w:tcPr>
          <w:p w:rsidR="00B868FF" w:rsidRPr="009A37B0" w:rsidRDefault="00000000">
            <w:pPr>
              <w:widowControl/>
              <w:jc w:val="right"/>
              <w:textAlignment w:val="center"/>
              <w:rPr>
                <w:rFonts w:asciiTheme="minorEastAsia" w:hAnsiTheme="minorEastAsia" w:cs="宋体" w:hint="eastAsia"/>
                <w:kern w:val="0"/>
                <w:sz w:val="20"/>
                <w:szCs w:val="20"/>
                <w:lang w:bidi="ar"/>
              </w:rPr>
            </w:pPr>
            <w:r w:rsidRPr="009A37B0">
              <w:rPr>
                <w:rFonts w:asciiTheme="minorEastAsia" w:hAnsiTheme="minorEastAsia" w:cs="宋体" w:hint="eastAsia"/>
                <w:color w:val="000000"/>
                <w:kern w:val="0"/>
                <w:sz w:val="20"/>
                <w:szCs w:val="20"/>
                <w:lang w:bidi="ar"/>
              </w:rPr>
              <w:t>100.00%</w:t>
            </w:r>
          </w:p>
        </w:tc>
      </w:tr>
      <w:tr w:rsidR="00B868FF">
        <w:trPr>
          <w:trHeight w:val="454"/>
        </w:trPr>
        <w:tc>
          <w:tcPr>
            <w:tcW w:w="3331" w:type="dxa"/>
            <w:gridSpan w:val="2"/>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合计</w:t>
            </w:r>
          </w:p>
        </w:tc>
        <w:tc>
          <w:tcPr>
            <w:tcW w:w="831"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24</w:t>
            </w:r>
          </w:p>
        </w:tc>
        <w:tc>
          <w:tcPr>
            <w:tcW w:w="1225"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w:t>
            </w:r>
          </w:p>
        </w:tc>
        <w:tc>
          <w:tcPr>
            <w:tcW w:w="1204"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w:t>
            </w:r>
          </w:p>
        </w:tc>
        <w:tc>
          <w:tcPr>
            <w:tcW w:w="946"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24</w:t>
            </w:r>
          </w:p>
        </w:tc>
        <w:tc>
          <w:tcPr>
            <w:tcW w:w="1110" w:type="dxa"/>
            <w:tcBorders>
              <w:tl2br w:val="nil"/>
              <w:tr2bl w:val="nil"/>
            </w:tcBorders>
            <w:shd w:val="clear" w:color="auto" w:fill="BDD6EE" w:themeFill="accent1" w:themeFillTint="66"/>
            <w:vAlign w:val="center"/>
          </w:tcPr>
          <w:p w:rsidR="00B868FF" w:rsidRDefault="00000000">
            <w:pPr>
              <w:widowControl/>
              <w:jc w:val="right"/>
              <w:textAlignment w:val="center"/>
              <w:rPr>
                <w:rFonts w:ascii="宋体" w:eastAsia="宋体" w:hAnsi="宋体" w:cs="宋体" w:hint="eastAsia"/>
                <w:b/>
                <w:bCs/>
                <w:kern w:val="0"/>
                <w:sz w:val="20"/>
                <w:szCs w:val="20"/>
                <w:lang w:bidi="ar"/>
              </w:rPr>
            </w:pPr>
            <w:r>
              <w:rPr>
                <w:rFonts w:ascii="宋体" w:eastAsia="宋体" w:hAnsi="宋体" w:cs="宋体" w:hint="eastAsia"/>
                <w:b/>
                <w:bCs/>
                <w:color w:val="000000"/>
                <w:kern w:val="0"/>
                <w:sz w:val="20"/>
                <w:szCs w:val="20"/>
                <w:lang w:bidi="ar"/>
              </w:rPr>
              <w:t>100.00%</w:t>
            </w:r>
          </w:p>
        </w:tc>
      </w:tr>
    </w:tbl>
    <w:p w:rsidR="00B868FF" w:rsidRDefault="00000000">
      <w:pPr>
        <w:overflowPunct w:val="0"/>
        <w:spacing w:line="560" w:lineRule="exact"/>
        <w:ind w:firstLineChars="200" w:firstLine="643"/>
        <w:outlineLvl w:val="2"/>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1.数量指标</w:t>
      </w:r>
    </w:p>
    <w:p w:rsidR="00B868FF" w:rsidRDefault="00000000">
      <w:pPr>
        <w:pStyle w:val="af4"/>
        <w:ind w:firstLine="640"/>
        <w:rPr>
          <w:rFonts w:hint="eastAsia"/>
        </w:rPr>
      </w:pPr>
      <w:r>
        <w:rPr>
          <w:rFonts w:hint="eastAsia"/>
        </w:rPr>
        <w:t>法治文化宣传材料印刷套数：指标分值4分，评价得分4分。为进一步加强法治文化宣传，2023年度甘肃省高级人民法院法治文化宣传材料印刷数量年度目标≥100套，实际完成印刷100套，完成率达到</w:t>
      </w:r>
      <w:r w:rsidR="00C93B37">
        <w:rPr>
          <w:rFonts w:hint="eastAsia"/>
        </w:rPr>
        <w:t>100.00%</w:t>
      </w:r>
      <w:r>
        <w:rPr>
          <w:rFonts w:hint="eastAsia"/>
        </w:rPr>
        <w:t>。</w:t>
      </w:r>
    </w:p>
    <w:p w:rsidR="00B868FF" w:rsidRDefault="00000000">
      <w:pPr>
        <w:pStyle w:val="af4"/>
        <w:ind w:firstLine="640"/>
        <w:rPr>
          <w:rFonts w:hint="eastAsia"/>
        </w:rPr>
      </w:pPr>
      <w:r>
        <w:rPr>
          <w:rFonts w:hint="eastAsia"/>
        </w:rPr>
        <w:t>全年举办法治文化活动参与人次:指标分值4分，评价得分4分。为引导人民知法、懂法、用法，圆满完成本年度文化建设宣传工作，本年度甘肃省高级人民法院举办法治文化活动参与人次年度目标≥8000人次，实际达到8500人次，完成率达到10</w:t>
      </w:r>
      <w:r w:rsidR="009A37B0">
        <w:rPr>
          <w:rFonts w:hint="eastAsia"/>
        </w:rPr>
        <w:t>0</w:t>
      </w:r>
      <w:r>
        <w:rPr>
          <w:rFonts w:hint="eastAsia"/>
        </w:rPr>
        <w:t>.</w:t>
      </w:r>
      <w:r w:rsidR="009A37B0">
        <w:rPr>
          <w:rFonts w:hint="eastAsia"/>
        </w:rPr>
        <w:t>00</w:t>
      </w:r>
      <w:r>
        <w:rPr>
          <w:rFonts w:hint="eastAsia"/>
        </w:rPr>
        <w:t>%。</w:t>
      </w:r>
    </w:p>
    <w:p w:rsidR="00B868FF" w:rsidRDefault="00000000">
      <w:pPr>
        <w:pStyle w:val="af4"/>
        <w:ind w:firstLine="640"/>
        <w:rPr>
          <w:rFonts w:hint="eastAsia"/>
        </w:rPr>
      </w:pPr>
      <w:r>
        <w:rPr>
          <w:rFonts w:hint="eastAsia"/>
        </w:rPr>
        <w:t>举办法治宣传活动次数：指标分值4分，评价得分4分。年度目标≥1500次，实际共举办法治宣传活动1500次，完成率达到</w:t>
      </w:r>
      <w:r w:rsidR="00C93B37">
        <w:rPr>
          <w:rFonts w:hint="eastAsia"/>
        </w:rPr>
        <w:t>100.00%</w:t>
      </w:r>
      <w:r>
        <w:rPr>
          <w:rFonts w:hint="eastAsia"/>
        </w:rPr>
        <w:t>。</w:t>
      </w:r>
    </w:p>
    <w:p w:rsidR="00B868FF" w:rsidRDefault="00000000">
      <w:pPr>
        <w:pStyle w:val="af3"/>
        <w:overflowPunct w:val="0"/>
        <w:spacing w:line="560" w:lineRule="exact"/>
        <w:ind w:firstLine="643"/>
        <w:outlineLvl w:val="2"/>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2.质量指标</w:t>
      </w:r>
    </w:p>
    <w:p w:rsidR="00B868FF" w:rsidRDefault="00000000">
      <w:pPr>
        <w:pStyle w:val="af4"/>
        <w:ind w:firstLine="640"/>
        <w:rPr>
          <w:rFonts w:hint="eastAsia"/>
        </w:rPr>
      </w:pPr>
      <w:bookmarkStart w:id="134" w:name="_Toc7509"/>
      <w:bookmarkStart w:id="135" w:name="_Toc27458"/>
      <w:r>
        <w:rPr>
          <w:rFonts w:hint="eastAsia"/>
        </w:rPr>
        <w:t>法治文化宣传覆盖率：指标分值4分，评价得分4分。甘肃省人民法院将学习宣传法治文化列为法治文化建设的首要任务，纳入各项学习计划、工作要点、多管齐下、全面推进；同时，线下全方位、多角度开展宣传活动，线上开展学习专栏，发布学习内容，确保法治文化宣传全覆盖。严格落实法治文化宣传要求，加大法治文化宣传力度，覆盖率达到</w:t>
      </w:r>
      <w:r w:rsidR="00C93B37">
        <w:rPr>
          <w:rFonts w:hint="eastAsia"/>
        </w:rPr>
        <w:t>100.00%</w:t>
      </w:r>
      <w:r>
        <w:rPr>
          <w:rFonts w:hint="eastAsia"/>
        </w:rPr>
        <w:t>。</w:t>
      </w:r>
    </w:p>
    <w:p w:rsidR="00B868FF" w:rsidRDefault="00000000">
      <w:pPr>
        <w:pStyle w:val="af4"/>
        <w:ind w:firstLine="640"/>
        <w:rPr>
          <w:rFonts w:hint="eastAsia"/>
        </w:rPr>
      </w:pPr>
      <w:r>
        <w:rPr>
          <w:rFonts w:hint="eastAsia"/>
        </w:rPr>
        <w:t>法治宣传材料印刷合格率：指标分值4分，评价得分4</w:t>
      </w:r>
      <w:r>
        <w:rPr>
          <w:rFonts w:hint="eastAsia"/>
        </w:rPr>
        <w:lastRenderedPageBreak/>
        <w:t>分。本年度已完成法治宣传材料印刷，并通过验收，验收合格率为</w:t>
      </w:r>
      <w:r w:rsidR="00C93B37">
        <w:rPr>
          <w:rFonts w:hint="eastAsia"/>
        </w:rPr>
        <w:t>100.00%</w:t>
      </w:r>
      <w:r>
        <w:rPr>
          <w:rFonts w:hint="eastAsia"/>
        </w:rPr>
        <w:t>。</w:t>
      </w:r>
    </w:p>
    <w:bookmarkEnd w:id="134"/>
    <w:bookmarkEnd w:id="135"/>
    <w:p w:rsidR="00B868FF" w:rsidRDefault="00000000">
      <w:pPr>
        <w:pStyle w:val="af3"/>
        <w:overflowPunct w:val="0"/>
        <w:spacing w:line="560" w:lineRule="exact"/>
        <w:ind w:firstLine="643"/>
        <w:outlineLvl w:val="2"/>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3.时效指标</w:t>
      </w:r>
    </w:p>
    <w:p w:rsidR="00B868FF" w:rsidRDefault="00000000">
      <w:pPr>
        <w:pStyle w:val="af4"/>
        <w:ind w:firstLine="640"/>
        <w:rPr>
          <w:rFonts w:hint="eastAsia"/>
        </w:rPr>
      </w:pPr>
      <w:r>
        <w:rPr>
          <w:rFonts w:hint="eastAsia"/>
        </w:rPr>
        <w:t>法治宣传工作开展及时性：指标分值4分，评价得分4分。甘肃省高级人民法院及时组织开展了各项法治宣传活动，始终将法治宣传工作摆在重要位置，不断加强组织领导，确保法治宣传工作及时顺利开展。</w:t>
      </w:r>
    </w:p>
    <w:p w:rsidR="00B868FF" w:rsidRDefault="00000000">
      <w:pPr>
        <w:pStyle w:val="a6"/>
        <w:overflowPunct w:val="0"/>
        <w:spacing w:line="560" w:lineRule="exact"/>
        <w:ind w:firstLineChars="200" w:firstLine="643"/>
        <w:outlineLvl w:val="1"/>
        <w:rPr>
          <w:rFonts w:ascii="楷体" w:eastAsia="楷体" w:hAnsi="楷体" w:cs="楷体" w:hint="eastAsia"/>
          <w:b/>
          <w:bCs/>
        </w:rPr>
      </w:pPr>
      <w:bookmarkStart w:id="136" w:name="_Toc19675"/>
      <w:bookmarkStart w:id="137" w:name="_Toc4582"/>
      <w:bookmarkStart w:id="138" w:name="_Toc174375027"/>
      <w:r>
        <w:rPr>
          <w:rFonts w:ascii="楷体" w:eastAsia="楷体" w:hAnsi="楷体" w:cs="楷体" w:hint="eastAsia"/>
          <w:b/>
          <w:bCs/>
        </w:rPr>
        <w:t>（五）项目效益情况</w:t>
      </w:r>
      <w:bookmarkEnd w:id="136"/>
      <w:bookmarkEnd w:id="137"/>
      <w:bookmarkEnd w:id="138"/>
    </w:p>
    <w:p w:rsidR="00B868FF" w:rsidRDefault="00000000">
      <w:pPr>
        <w:pStyle w:val="af4"/>
        <w:ind w:firstLine="640"/>
        <w:rPr>
          <w:rFonts w:hint="eastAsia"/>
        </w:rPr>
      </w:pPr>
      <w:r>
        <w:rPr>
          <w:rFonts w:hint="eastAsia"/>
        </w:rPr>
        <w:t>项目效益指标包括社会效益指标、满意度指标两个二级指标，下设三个三级指标，指标分值30分，评价得分30分，得分率</w:t>
      </w:r>
      <w:r w:rsidR="00C93B37">
        <w:rPr>
          <w:rFonts w:hint="eastAsia"/>
        </w:rPr>
        <w:t>100.00%</w:t>
      </w:r>
      <w:r>
        <w:rPr>
          <w:rFonts w:hint="eastAsia"/>
        </w:rPr>
        <w:t>。</w:t>
      </w:r>
    </w:p>
    <w:tbl>
      <w:tblPr>
        <w:tblStyle w:val="af"/>
        <w:tblW w:w="0" w:type="auto"/>
        <w:tblBorders>
          <w:top w:val="single" w:sz="12" w:space="0" w:color="auto"/>
          <w:left w:val="none" w:sz="0" w:space="0" w:color="auto"/>
          <w:bottom w:val="single" w:sz="12" w:space="0" w:color="auto"/>
          <w:right w:val="none" w:sz="0" w:space="0" w:color="auto"/>
          <w:insideH w:val="dotted" w:sz="4" w:space="0" w:color="auto"/>
          <w:insideV w:val="dotted" w:sz="4" w:space="0" w:color="auto"/>
        </w:tblBorders>
        <w:tblLook w:val="04A0" w:firstRow="1" w:lastRow="0" w:firstColumn="1" w:lastColumn="0" w:noHBand="0" w:noVBand="1"/>
      </w:tblPr>
      <w:tblGrid>
        <w:gridCol w:w="1421"/>
        <w:gridCol w:w="1961"/>
        <w:gridCol w:w="868"/>
        <w:gridCol w:w="1236"/>
        <w:gridCol w:w="1255"/>
        <w:gridCol w:w="742"/>
        <w:gridCol w:w="987"/>
      </w:tblGrid>
      <w:tr w:rsidR="00B868FF">
        <w:trPr>
          <w:trHeight w:val="454"/>
          <w:tblHeader/>
        </w:trPr>
        <w:tc>
          <w:tcPr>
            <w:tcW w:w="1421"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二级指标</w:t>
            </w:r>
          </w:p>
        </w:tc>
        <w:tc>
          <w:tcPr>
            <w:tcW w:w="1961"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三级指标</w:t>
            </w:r>
          </w:p>
        </w:tc>
        <w:tc>
          <w:tcPr>
            <w:tcW w:w="868"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分值</w:t>
            </w:r>
          </w:p>
        </w:tc>
        <w:tc>
          <w:tcPr>
            <w:tcW w:w="1236"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目标值</w:t>
            </w:r>
          </w:p>
        </w:tc>
        <w:tc>
          <w:tcPr>
            <w:tcW w:w="1255"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业绩值</w:t>
            </w:r>
          </w:p>
        </w:tc>
        <w:tc>
          <w:tcPr>
            <w:tcW w:w="742"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得分</w:t>
            </w:r>
          </w:p>
        </w:tc>
        <w:tc>
          <w:tcPr>
            <w:tcW w:w="987"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得分率</w:t>
            </w:r>
          </w:p>
        </w:tc>
      </w:tr>
      <w:tr w:rsidR="00B868FF">
        <w:trPr>
          <w:trHeight w:val="454"/>
        </w:trPr>
        <w:tc>
          <w:tcPr>
            <w:tcW w:w="1421" w:type="dxa"/>
            <w:vMerge w:val="restart"/>
            <w:tcBorders>
              <w:tl2br w:val="nil"/>
              <w:tr2bl w:val="nil"/>
            </w:tcBorders>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kern w:val="0"/>
                <w:sz w:val="20"/>
                <w:szCs w:val="20"/>
                <w:lang w:bidi="ar"/>
              </w:rPr>
              <w:t xml:space="preserve">社会效益指标      </w:t>
            </w:r>
          </w:p>
        </w:tc>
        <w:tc>
          <w:tcPr>
            <w:tcW w:w="1961"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sz w:val="20"/>
                <w:szCs w:val="20"/>
              </w:rPr>
              <w:t>普法宣传教育效果</w:t>
            </w:r>
          </w:p>
        </w:tc>
        <w:tc>
          <w:tcPr>
            <w:tcW w:w="868"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10</w:t>
            </w:r>
          </w:p>
        </w:tc>
        <w:tc>
          <w:tcPr>
            <w:tcW w:w="1236"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sz w:val="20"/>
                <w:szCs w:val="20"/>
              </w:rPr>
              <w:t>明显</w:t>
            </w:r>
          </w:p>
        </w:tc>
        <w:tc>
          <w:tcPr>
            <w:tcW w:w="1255"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明显</w:t>
            </w:r>
          </w:p>
        </w:tc>
        <w:tc>
          <w:tcPr>
            <w:tcW w:w="742"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10</w:t>
            </w:r>
          </w:p>
        </w:tc>
        <w:tc>
          <w:tcPr>
            <w:tcW w:w="987" w:type="dxa"/>
            <w:tcBorders>
              <w:tl2br w:val="nil"/>
              <w:tr2bl w:val="nil"/>
            </w:tcBorders>
            <w:shd w:val="clear" w:color="auto" w:fill="auto"/>
            <w:vAlign w:val="center"/>
          </w:tcPr>
          <w:p w:rsidR="00B868FF" w:rsidRDefault="00000000">
            <w:pPr>
              <w:widowControl/>
              <w:jc w:val="right"/>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100.00%</w:t>
            </w:r>
          </w:p>
        </w:tc>
      </w:tr>
      <w:tr w:rsidR="00B868FF">
        <w:trPr>
          <w:trHeight w:val="454"/>
        </w:trPr>
        <w:tc>
          <w:tcPr>
            <w:tcW w:w="1421" w:type="dxa"/>
            <w:vMerge/>
            <w:tcBorders>
              <w:tl2br w:val="nil"/>
              <w:tr2bl w:val="nil"/>
            </w:tcBorders>
            <w:vAlign w:val="center"/>
          </w:tcPr>
          <w:p w:rsidR="00B868FF" w:rsidRDefault="00B868FF">
            <w:pPr>
              <w:jc w:val="center"/>
              <w:rPr>
                <w:rFonts w:ascii="宋体" w:eastAsia="宋体" w:hAnsi="宋体" w:cs="宋体" w:hint="eastAsia"/>
                <w:sz w:val="20"/>
                <w:szCs w:val="20"/>
              </w:rPr>
            </w:pPr>
          </w:p>
        </w:tc>
        <w:tc>
          <w:tcPr>
            <w:tcW w:w="1961"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sz w:val="20"/>
                <w:szCs w:val="20"/>
              </w:rPr>
              <w:t>提高人民法治意识</w:t>
            </w:r>
          </w:p>
        </w:tc>
        <w:tc>
          <w:tcPr>
            <w:tcW w:w="868"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10</w:t>
            </w:r>
          </w:p>
        </w:tc>
        <w:tc>
          <w:tcPr>
            <w:tcW w:w="1236"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sz w:val="20"/>
                <w:szCs w:val="20"/>
              </w:rPr>
              <w:t>提高</w:t>
            </w:r>
          </w:p>
        </w:tc>
        <w:tc>
          <w:tcPr>
            <w:tcW w:w="1255"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提高</w:t>
            </w:r>
          </w:p>
        </w:tc>
        <w:tc>
          <w:tcPr>
            <w:tcW w:w="742"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10</w:t>
            </w:r>
          </w:p>
        </w:tc>
        <w:tc>
          <w:tcPr>
            <w:tcW w:w="987" w:type="dxa"/>
            <w:tcBorders>
              <w:tl2br w:val="nil"/>
              <w:tr2bl w:val="nil"/>
            </w:tcBorders>
            <w:shd w:val="clear" w:color="auto" w:fill="auto"/>
            <w:vAlign w:val="center"/>
          </w:tcPr>
          <w:p w:rsidR="00B868FF" w:rsidRDefault="00000000">
            <w:pPr>
              <w:widowControl/>
              <w:jc w:val="right"/>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100.00%</w:t>
            </w:r>
          </w:p>
        </w:tc>
      </w:tr>
      <w:tr w:rsidR="00B868FF">
        <w:trPr>
          <w:trHeight w:val="454"/>
        </w:trPr>
        <w:tc>
          <w:tcPr>
            <w:tcW w:w="1421" w:type="dxa"/>
            <w:tcBorders>
              <w:tl2br w:val="nil"/>
              <w:tr2bl w:val="nil"/>
            </w:tcBorders>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kern w:val="0"/>
                <w:sz w:val="20"/>
                <w:szCs w:val="20"/>
                <w:lang w:bidi="ar"/>
              </w:rPr>
              <w:t>满意度指标</w:t>
            </w:r>
          </w:p>
        </w:tc>
        <w:tc>
          <w:tcPr>
            <w:tcW w:w="1961"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sz w:val="20"/>
                <w:szCs w:val="20"/>
              </w:rPr>
              <w:t>项目服务对象满意度</w:t>
            </w:r>
          </w:p>
        </w:tc>
        <w:tc>
          <w:tcPr>
            <w:tcW w:w="868"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10</w:t>
            </w:r>
          </w:p>
        </w:tc>
        <w:tc>
          <w:tcPr>
            <w:tcW w:w="1236"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sz w:val="20"/>
                <w:szCs w:val="20"/>
              </w:rPr>
            </w:pPr>
            <w:r>
              <w:rPr>
                <w:rFonts w:ascii="宋体" w:eastAsia="宋体" w:hAnsi="宋体" w:cs="宋体" w:hint="eastAsia"/>
                <w:kern w:val="0"/>
                <w:sz w:val="20"/>
                <w:szCs w:val="20"/>
                <w:lang w:bidi="ar"/>
              </w:rPr>
              <w:t>≥85%</w:t>
            </w:r>
          </w:p>
        </w:tc>
        <w:tc>
          <w:tcPr>
            <w:tcW w:w="1255"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95.00%</w:t>
            </w:r>
          </w:p>
        </w:tc>
        <w:tc>
          <w:tcPr>
            <w:tcW w:w="742" w:type="dxa"/>
            <w:tcBorders>
              <w:tl2br w:val="nil"/>
              <w:tr2bl w:val="nil"/>
            </w:tcBorders>
            <w:shd w:val="clear" w:color="auto" w:fill="auto"/>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10</w:t>
            </w:r>
          </w:p>
        </w:tc>
        <w:tc>
          <w:tcPr>
            <w:tcW w:w="987" w:type="dxa"/>
            <w:tcBorders>
              <w:tl2br w:val="nil"/>
              <w:tr2bl w:val="nil"/>
            </w:tcBorders>
            <w:shd w:val="clear" w:color="auto" w:fill="auto"/>
            <w:vAlign w:val="center"/>
          </w:tcPr>
          <w:p w:rsidR="00B868FF" w:rsidRDefault="00000000">
            <w:pPr>
              <w:widowControl/>
              <w:jc w:val="right"/>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100.00%</w:t>
            </w:r>
          </w:p>
        </w:tc>
      </w:tr>
      <w:tr w:rsidR="00B868FF">
        <w:trPr>
          <w:trHeight w:val="454"/>
        </w:trPr>
        <w:tc>
          <w:tcPr>
            <w:tcW w:w="3382" w:type="dxa"/>
            <w:gridSpan w:val="2"/>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合计</w:t>
            </w:r>
          </w:p>
        </w:tc>
        <w:tc>
          <w:tcPr>
            <w:tcW w:w="868"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30</w:t>
            </w:r>
          </w:p>
        </w:tc>
        <w:tc>
          <w:tcPr>
            <w:tcW w:w="1236"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w:t>
            </w:r>
          </w:p>
        </w:tc>
        <w:tc>
          <w:tcPr>
            <w:tcW w:w="1255"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kern w:val="0"/>
                <w:sz w:val="20"/>
                <w:szCs w:val="20"/>
                <w:lang w:bidi="ar"/>
              </w:rPr>
            </w:pPr>
            <w:r>
              <w:rPr>
                <w:rFonts w:ascii="宋体" w:eastAsia="宋体" w:hAnsi="宋体" w:cs="宋体" w:hint="eastAsia"/>
                <w:kern w:val="0"/>
                <w:sz w:val="20"/>
                <w:szCs w:val="20"/>
                <w:lang w:bidi="ar"/>
              </w:rPr>
              <w:t>-</w:t>
            </w:r>
          </w:p>
        </w:tc>
        <w:tc>
          <w:tcPr>
            <w:tcW w:w="742"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30</w:t>
            </w:r>
          </w:p>
        </w:tc>
        <w:tc>
          <w:tcPr>
            <w:tcW w:w="987" w:type="dxa"/>
            <w:tcBorders>
              <w:tl2br w:val="nil"/>
              <w:tr2bl w:val="nil"/>
            </w:tcBorders>
            <w:shd w:val="clear" w:color="auto" w:fill="BDD6EE" w:themeFill="accent1" w:themeFillTint="66"/>
            <w:vAlign w:val="center"/>
          </w:tcPr>
          <w:p w:rsidR="00B868FF" w:rsidRDefault="00000000">
            <w:pPr>
              <w:widowControl/>
              <w:jc w:val="center"/>
              <w:textAlignment w:val="center"/>
              <w:rPr>
                <w:rFonts w:ascii="宋体" w:eastAsia="宋体" w:hAnsi="宋体" w:cs="宋体" w:hint="eastAsia"/>
                <w:b/>
                <w:bCs/>
                <w:kern w:val="0"/>
                <w:sz w:val="20"/>
                <w:szCs w:val="20"/>
                <w:lang w:bidi="ar"/>
              </w:rPr>
            </w:pPr>
            <w:r>
              <w:rPr>
                <w:rFonts w:ascii="宋体" w:eastAsia="宋体" w:hAnsi="宋体" w:cs="宋体" w:hint="eastAsia"/>
                <w:b/>
                <w:bCs/>
                <w:kern w:val="0"/>
                <w:sz w:val="20"/>
                <w:szCs w:val="20"/>
                <w:lang w:bidi="ar"/>
              </w:rPr>
              <w:t>100.00%</w:t>
            </w:r>
          </w:p>
        </w:tc>
      </w:tr>
    </w:tbl>
    <w:p w:rsidR="00B868FF" w:rsidRDefault="00000000">
      <w:pPr>
        <w:pStyle w:val="a6"/>
        <w:tabs>
          <w:tab w:val="left" w:pos="0"/>
        </w:tabs>
        <w:overflowPunct w:val="0"/>
        <w:spacing w:line="560" w:lineRule="exact"/>
        <w:ind w:firstLineChars="200" w:firstLine="643"/>
        <w:outlineLvl w:val="2"/>
        <w:rPr>
          <w:rFonts w:ascii="仿宋_GB2312" w:hAnsi="仿宋_GB2312" w:cs="仿宋_GB2312" w:hint="eastAsia"/>
          <w:b/>
          <w:bCs/>
        </w:rPr>
      </w:pPr>
      <w:r>
        <w:rPr>
          <w:rFonts w:ascii="仿宋_GB2312" w:hAnsi="仿宋_GB2312" w:cs="仿宋_GB2312" w:hint="eastAsia"/>
          <w:b/>
          <w:bCs/>
        </w:rPr>
        <w:t>1.社会效益指标</w:t>
      </w:r>
    </w:p>
    <w:p w:rsidR="00D2047B" w:rsidRDefault="00000000">
      <w:pPr>
        <w:pStyle w:val="af4"/>
        <w:ind w:firstLine="640"/>
      </w:pPr>
      <w:r>
        <w:rPr>
          <w:rFonts w:hint="eastAsia"/>
        </w:rPr>
        <w:t>普法宣传教育效果：指标分值10分，评价得分10分。甘肃省高级人民法院大力推行以案释法工作，在办案过程中主动向案件当事人和社会公众宣讲法律，解答有关法律问题，努力把每一个案件、每一次庭审、每一份裁判文书都打造</w:t>
      </w:r>
      <w:proofErr w:type="gramStart"/>
      <w:r>
        <w:rPr>
          <w:rFonts w:hint="eastAsia"/>
        </w:rPr>
        <w:t>成法制</w:t>
      </w:r>
      <w:proofErr w:type="gramEnd"/>
      <w:r>
        <w:rPr>
          <w:rFonts w:hint="eastAsia"/>
        </w:rPr>
        <w:t>宣传教育的载体。</w:t>
      </w:r>
      <w:r w:rsidR="002F4F96">
        <w:rPr>
          <w:rFonts w:hint="eastAsia"/>
        </w:rPr>
        <w:t>评价认为，</w:t>
      </w:r>
      <w:r>
        <w:rPr>
          <w:rFonts w:hint="eastAsia"/>
        </w:rPr>
        <w:t>普法宣传效果</w:t>
      </w:r>
      <w:r w:rsidRPr="00D2047B">
        <w:rPr>
          <w:rFonts w:hint="eastAsia"/>
        </w:rPr>
        <w:t>显著提升。</w:t>
      </w:r>
    </w:p>
    <w:tbl>
      <w:tblPr>
        <w:tblStyle w:val="af"/>
        <w:tblW w:w="0" w:type="auto"/>
        <w:tblLook w:val="04A0" w:firstRow="1" w:lastRow="0" w:firstColumn="1" w:lastColumn="0" w:noHBand="0" w:noVBand="1"/>
      </w:tblPr>
      <w:tblGrid>
        <w:gridCol w:w="2689"/>
        <w:gridCol w:w="5771"/>
      </w:tblGrid>
      <w:tr w:rsidR="00E01F7F" w:rsidTr="00E01F7F">
        <w:tc>
          <w:tcPr>
            <w:tcW w:w="2689" w:type="dxa"/>
            <w:vMerge w:val="restart"/>
            <w:vAlign w:val="center"/>
          </w:tcPr>
          <w:p w:rsidR="00E01F7F" w:rsidRPr="00E01F7F" w:rsidRDefault="00E01F7F" w:rsidP="00E01F7F">
            <w:pPr>
              <w:widowControl/>
              <w:jc w:val="center"/>
              <w:textAlignment w:val="center"/>
              <w:rPr>
                <w:rFonts w:ascii="宋体" w:eastAsia="宋体" w:hAnsi="宋体" w:cs="宋体" w:hint="eastAsia"/>
                <w:kern w:val="0"/>
                <w:sz w:val="20"/>
                <w:szCs w:val="20"/>
                <w:lang w:bidi="ar"/>
              </w:rPr>
            </w:pPr>
            <w:r w:rsidRPr="00E01F7F">
              <w:rPr>
                <w:rFonts w:ascii="宋体" w:eastAsia="宋体" w:hAnsi="宋体" w:cs="宋体" w:hint="eastAsia"/>
                <w:kern w:val="0"/>
                <w:sz w:val="20"/>
                <w:szCs w:val="20"/>
                <w:lang w:bidi="ar"/>
              </w:rPr>
              <w:t>普法宣传工作</w:t>
            </w:r>
          </w:p>
        </w:tc>
        <w:tc>
          <w:tcPr>
            <w:tcW w:w="5771" w:type="dxa"/>
          </w:tcPr>
          <w:p w:rsidR="00E01F7F" w:rsidRPr="00E01F7F" w:rsidRDefault="00E01F7F" w:rsidP="00E01F7F">
            <w:pPr>
              <w:widowControl/>
              <w:jc w:val="center"/>
              <w:textAlignment w:val="center"/>
              <w:rPr>
                <w:rFonts w:ascii="宋体" w:eastAsia="宋体" w:hAnsi="宋体" w:cs="宋体" w:hint="eastAsia"/>
                <w:kern w:val="0"/>
                <w:sz w:val="20"/>
                <w:szCs w:val="20"/>
                <w:lang w:bidi="ar"/>
              </w:rPr>
            </w:pPr>
            <w:r w:rsidRPr="00E01F7F">
              <w:rPr>
                <w:rFonts w:ascii="宋体" w:eastAsia="宋体" w:hAnsi="宋体" w:cs="宋体" w:hint="eastAsia"/>
                <w:kern w:val="0"/>
                <w:sz w:val="20"/>
                <w:szCs w:val="20"/>
                <w:lang w:bidi="ar"/>
              </w:rPr>
              <w:t>制作宣传展板</w:t>
            </w:r>
          </w:p>
        </w:tc>
      </w:tr>
      <w:tr w:rsidR="00E01F7F" w:rsidTr="00E01F7F">
        <w:tc>
          <w:tcPr>
            <w:tcW w:w="2689" w:type="dxa"/>
            <w:vMerge/>
          </w:tcPr>
          <w:p w:rsidR="00E01F7F" w:rsidRPr="00E01F7F" w:rsidRDefault="00E01F7F" w:rsidP="00E01F7F">
            <w:pPr>
              <w:widowControl/>
              <w:jc w:val="center"/>
              <w:textAlignment w:val="center"/>
              <w:rPr>
                <w:rFonts w:ascii="宋体" w:eastAsia="宋体" w:hAnsi="宋体" w:cs="宋体" w:hint="eastAsia"/>
                <w:kern w:val="0"/>
                <w:sz w:val="20"/>
                <w:szCs w:val="20"/>
                <w:lang w:bidi="ar"/>
              </w:rPr>
            </w:pPr>
          </w:p>
        </w:tc>
        <w:tc>
          <w:tcPr>
            <w:tcW w:w="5771" w:type="dxa"/>
          </w:tcPr>
          <w:p w:rsidR="00E01F7F" w:rsidRPr="00E01F7F" w:rsidRDefault="00E01F7F" w:rsidP="00E01F7F">
            <w:pPr>
              <w:widowControl/>
              <w:jc w:val="center"/>
              <w:textAlignment w:val="center"/>
              <w:rPr>
                <w:rFonts w:ascii="宋体" w:eastAsia="宋体" w:hAnsi="宋体" w:cs="宋体" w:hint="eastAsia"/>
                <w:kern w:val="0"/>
                <w:sz w:val="20"/>
                <w:szCs w:val="20"/>
                <w:lang w:bidi="ar"/>
              </w:rPr>
            </w:pPr>
            <w:r w:rsidRPr="00E01F7F">
              <w:rPr>
                <w:rFonts w:ascii="宋体" w:eastAsia="宋体" w:hAnsi="宋体" w:cs="宋体" w:hint="eastAsia"/>
                <w:kern w:val="0"/>
                <w:sz w:val="20"/>
                <w:szCs w:val="20"/>
                <w:lang w:bidi="ar"/>
              </w:rPr>
              <w:t>拍摄《用民族的语言传递法治的声音》专题片</w:t>
            </w:r>
          </w:p>
        </w:tc>
      </w:tr>
      <w:tr w:rsidR="00E01F7F" w:rsidTr="00E01F7F">
        <w:tc>
          <w:tcPr>
            <w:tcW w:w="2689" w:type="dxa"/>
            <w:vMerge/>
          </w:tcPr>
          <w:p w:rsidR="00E01F7F" w:rsidRPr="00E01F7F" w:rsidRDefault="00E01F7F" w:rsidP="00E01F7F">
            <w:pPr>
              <w:widowControl/>
              <w:jc w:val="center"/>
              <w:textAlignment w:val="center"/>
              <w:rPr>
                <w:rFonts w:ascii="宋体" w:eastAsia="宋体" w:hAnsi="宋体" w:cs="宋体" w:hint="eastAsia"/>
                <w:kern w:val="0"/>
                <w:sz w:val="20"/>
                <w:szCs w:val="20"/>
                <w:lang w:bidi="ar"/>
              </w:rPr>
            </w:pPr>
          </w:p>
        </w:tc>
        <w:tc>
          <w:tcPr>
            <w:tcW w:w="5771" w:type="dxa"/>
          </w:tcPr>
          <w:p w:rsidR="00E01F7F" w:rsidRPr="00E01F7F" w:rsidRDefault="00E01F7F" w:rsidP="00E01F7F">
            <w:pPr>
              <w:widowControl/>
              <w:jc w:val="center"/>
              <w:textAlignment w:val="center"/>
              <w:rPr>
                <w:rFonts w:ascii="宋体" w:eastAsia="宋体" w:hAnsi="宋体" w:cs="宋体" w:hint="eastAsia"/>
                <w:kern w:val="0"/>
                <w:sz w:val="20"/>
                <w:szCs w:val="20"/>
                <w:lang w:bidi="ar"/>
              </w:rPr>
            </w:pPr>
            <w:proofErr w:type="gramStart"/>
            <w:r w:rsidRPr="00E01F7F">
              <w:rPr>
                <w:rFonts w:ascii="宋体" w:eastAsia="宋体" w:hAnsi="宋体" w:cs="宋体" w:hint="eastAsia"/>
                <w:kern w:val="0"/>
                <w:sz w:val="20"/>
                <w:szCs w:val="20"/>
                <w:lang w:bidi="ar"/>
              </w:rPr>
              <w:t>拍摄动漫《百合上牛大之“陇原风暴”执行篇》</w:t>
            </w:r>
            <w:proofErr w:type="gramEnd"/>
          </w:p>
        </w:tc>
      </w:tr>
      <w:tr w:rsidR="00E01F7F" w:rsidTr="00E01F7F">
        <w:tc>
          <w:tcPr>
            <w:tcW w:w="2689" w:type="dxa"/>
            <w:vMerge/>
          </w:tcPr>
          <w:p w:rsidR="00E01F7F" w:rsidRPr="00E01F7F" w:rsidRDefault="00E01F7F" w:rsidP="00E01F7F">
            <w:pPr>
              <w:widowControl/>
              <w:jc w:val="center"/>
              <w:textAlignment w:val="center"/>
              <w:rPr>
                <w:rFonts w:ascii="宋体" w:eastAsia="宋体" w:hAnsi="宋体" w:cs="宋体" w:hint="eastAsia"/>
                <w:kern w:val="0"/>
                <w:sz w:val="20"/>
                <w:szCs w:val="20"/>
                <w:lang w:bidi="ar"/>
              </w:rPr>
            </w:pPr>
          </w:p>
        </w:tc>
        <w:tc>
          <w:tcPr>
            <w:tcW w:w="5771" w:type="dxa"/>
          </w:tcPr>
          <w:p w:rsidR="00E01F7F" w:rsidRPr="00E01F7F" w:rsidRDefault="00E01F7F" w:rsidP="00E01F7F">
            <w:pPr>
              <w:widowControl/>
              <w:jc w:val="center"/>
              <w:textAlignment w:val="center"/>
              <w:rPr>
                <w:rFonts w:ascii="宋体" w:eastAsia="宋体" w:hAnsi="宋体" w:cs="宋体" w:hint="eastAsia"/>
                <w:kern w:val="0"/>
                <w:sz w:val="20"/>
                <w:szCs w:val="20"/>
                <w:lang w:bidi="ar"/>
              </w:rPr>
            </w:pPr>
            <w:r w:rsidRPr="00E01F7F">
              <w:rPr>
                <w:rFonts w:ascii="宋体" w:eastAsia="宋体" w:hAnsi="宋体" w:cs="宋体" w:hint="eastAsia"/>
                <w:kern w:val="0"/>
                <w:sz w:val="20"/>
                <w:szCs w:val="20"/>
                <w:lang w:bidi="ar"/>
              </w:rPr>
              <w:t>拍摄</w:t>
            </w:r>
            <w:proofErr w:type="gramStart"/>
            <w:r w:rsidRPr="00E01F7F">
              <w:rPr>
                <w:rFonts w:ascii="宋体" w:eastAsia="宋体" w:hAnsi="宋体" w:cs="宋体" w:hint="eastAsia"/>
                <w:kern w:val="0"/>
                <w:sz w:val="20"/>
                <w:szCs w:val="20"/>
                <w:lang w:bidi="ar"/>
              </w:rPr>
              <w:t>微电影</w:t>
            </w:r>
            <w:proofErr w:type="gramEnd"/>
            <w:r w:rsidRPr="00E01F7F">
              <w:rPr>
                <w:rFonts w:ascii="宋体" w:eastAsia="宋体" w:hAnsi="宋体" w:cs="宋体" w:hint="eastAsia"/>
                <w:kern w:val="0"/>
                <w:sz w:val="20"/>
                <w:szCs w:val="20"/>
                <w:lang w:bidi="ar"/>
              </w:rPr>
              <w:t>《一路有你》</w:t>
            </w:r>
          </w:p>
        </w:tc>
      </w:tr>
    </w:tbl>
    <w:p w:rsidR="00B868FF" w:rsidRDefault="00000000" w:rsidP="00E01F7F">
      <w:pPr>
        <w:pStyle w:val="af4"/>
        <w:ind w:firstLine="640"/>
        <w:rPr>
          <w:rFonts w:hint="eastAsia"/>
        </w:rPr>
      </w:pPr>
      <w:r>
        <w:rPr>
          <w:rFonts w:hint="eastAsia"/>
        </w:rPr>
        <w:lastRenderedPageBreak/>
        <w:t>提高人民法治意识：指标分值10分，评价得分10分。</w:t>
      </w:r>
      <w:r w:rsidR="00D07D63" w:rsidRPr="00D07D63">
        <w:rPr>
          <w:rFonts w:hint="eastAsia"/>
        </w:rPr>
        <w:t>在</w:t>
      </w:r>
      <w:proofErr w:type="gramStart"/>
      <w:r w:rsidR="00D07D63" w:rsidRPr="00D07D63">
        <w:rPr>
          <w:rFonts w:hint="eastAsia"/>
        </w:rPr>
        <w:t>万警联万</w:t>
      </w:r>
      <w:proofErr w:type="gramEnd"/>
      <w:r w:rsidR="00D07D63" w:rsidRPr="00D07D63">
        <w:rPr>
          <w:rFonts w:hint="eastAsia"/>
        </w:rPr>
        <w:t>企活动中分别联系企业41人次，按照“12.4”宪法宣传周具体安排，立案二</w:t>
      </w:r>
      <w:proofErr w:type="gramStart"/>
      <w:r w:rsidR="00D07D63" w:rsidRPr="00D07D63">
        <w:rPr>
          <w:rFonts w:hint="eastAsia"/>
        </w:rPr>
        <w:t>庭联合</w:t>
      </w:r>
      <w:proofErr w:type="gramEnd"/>
      <w:r w:rsidR="00D07D63" w:rsidRPr="00D07D63">
        <w:rPr>
          <w:rFonts w:hint="eastAsia"/>
        </w:rPr>
        <w:t>城关法院渭源路法庭、甘肃超高压公司办公室在第十个国家宪法日来临之际共同开展主题为“大力弘扬宪法精神建设社会主义法治文化”的宪法进企业宣传活动，全年举行法律进社区、进企业、进校园大型普法活动3次</w:t>
      </w:r>
      <w:r w:rsidR="00D07D63">
        <w:rPr>
          <w:rFonts w:hint="eastAsia"/>
        </w:rPr>
        <w:t>。评价认为，</w:t>
      </w:r>
      <w:r>
        <w:rPr>
          <w:rFonts w:hint="eastAsia"/>
        </w:rPr>
        <w:t>随着甘肃省高级人民法院加大普法工作力度，提高了全民法治意识和法治素养，营造社会尊法学法守法用法的良好氛围。</w:t>
      </w:r>
    </w:p>
    <w:p w:rsidR="00B868FF" w:rsidRDefault="00000000">
      <w:pPr>
        <w:pStyle w:val="a6"/>
        <w:tabs>
          <w:tab w:val="left" w:pos="0"/>
        </w:tabs>
        <w:overflowPunct w:val="0"/>
        <w:spacing w:line="560" w:lineRule="exact"/>
        <w:ind w:firstLineChars="200" w:firstLine="643"/>
        <w:outlineLvl w:val="2"/>
        <w:rPr>
          <w:rFonts w:ascii="仿宋_GB2312" w:hAnsi="仿宋_GB2312" w:cs="仿宋_GB2312" w:hint="eastAsia"/>
          <w:b/>
          <w:bCs/>
        </w:rPr>
      </w:pPr>
      <w:r>
        <w:rPr>
          <w:rFonts w:ascii="仿宋_GB2312" w:hAnsi="仿宋_GB2312" w:cs="仿宋_GB2312" w:hint="eastAsia"/>
          <w:b/>
          <w:bCs/>
        </w:rPr>
        <w:t>2.满意度情况</w:t>
      </w:r>
    </w:p>
    <w:p w:rsidR="00B868FF" w:rsidRDefault="00000000">
      <w:pPr>
        <w:pStyle w:val="af4"/>
        <w:ind w:firstLine="640"/>
        <w:rPr>
          <w:rFonts w:hint="eastAsia"/>
        </w:rPr>
      </w:pPr>
      <w:bookmarkStart w:id="139" w:name="_Toc64731198"/>
      <w:bookmarkStart w:id="140" w:name="_Toc4285"/>
      <w:bookmarkStart w:id="141" w:name="_Toc2918"/>
      <w:bookmarkStart w:id="142" w:name="_Toc23326"/>
      <w:bookmarkStart w:id="143" w:name="_Toc63435075"/>
      <w:bookmarkStart w:id="144" w:name="_Toc65235686"/>
      <w:bookmarkStart w:id="145" w:name="_Toc5674"/>
      <w:r>
        <w:rPr>
          <w:rFonts w:hint="eastAsia"/>
        </w:rPr>
        <w:t>项目服务对象满意度指标主要为受宣传人员满意度，指标分值10分，评价得分10分，得分率</w:t>
      </w:r>
      <w:r w:rsidR="00C93B37">
        <w:rPr>
          <w:rFonts w:hint="eastAsia"/>
        </w:rPr>
        <w:t>100.00%</w:t>
      </w:r>
      <w:r>
        <w:rPr>
          <w:rFonts w:hint="eastAsia"/>
        </w:rPr>
        <w:t>。</w:t>
      </w:r>
    </w:p>
    <w:bookmarkEnd w:id="139"/>
    <w:bookmarkEnd w:id="140"/>
    <w:bookmarkEnd w:id="141"/>
    <w:bookmarkEnd w:id="142"/>
    <w:bookmarkEnd w:id="143"/>
    <w:bookmarkEnd w:id="144"/>
    <w:bookmarkEnd w:id="145"/>
    <w:p w:rsidR="00B868FF" w:rsidRPr="00FC280E" w:rsidRDefault="002F4F96">
      <w:pPr>
        <w:pStyle w:val="af4"/>
        <w:ind w:firstLine="640"/>
        <w:rPr>
          <w:rFonts w:hint="eastAsia"/>
        </w:rPr>
      </w:pPr>
      <w:proofErr w:type="gramStart"/>
      <w:r w:rsidRPr="002F4F96">
        <w:rPr>
          <w:rFonts w:hint="eastAsia"/>
        </w:rPr>
        <w:t>评价组</w:t>
      </w:r>
      <w:proofErr w:type="gramEnd"/>
      <w:r w:rsidRPr="002F4F96">
        <w:rPr>
          <w:rFonts w:hint="eastAsia"/>
        </w:rPr>
        <w:t>针对服务对象“当事人”满意</w:t>
      </w:r>
      <w:proofErr w:type="gramStart"/>
      <w:r w:rsidRPr="002F4F96">
        <w:rPr>
          <w:rFonts w:hint="eastAsia"/>
        </w:rPr>
        <w:t>度制作</w:t>
      </w:r>
      <w:proofErr w:type="gramEnd"/>
      <w:r w:rsidRPr="002F4F96">
        <w:rPr>
          <w:rFonts w:hint="eastAsia"/>
        </w:rPr>
        <w:t>调查问卷，考核全省法院业务费项目的工作成果，以评价项目产出的效益。回收调查问卷86份，经调查，发现当事人对法院办案质</w:t>
      </w:r>
      <w:proofErr w:type="gramStart"/>
      <w:r w:rsidRPr="002F4F96">
        <w:rPr>
          <w:rFonts w:hint="eastAsia"/>
        </w:rPr>
        <w:t>效比较</w:t>
      </w:r>
      <w:proofErr w:type="gramEnd"/>
      <w:r w:rsidRPr="002F4F96">
        <w:rPr>
          <w:rFonts w:hint="eastAsia"/>
        </w:rPr>
        <w:t>满意</w:t>
      </w:r>
      <w:r>
        <w:rPr>
          <w:rFonts w:hint="eastAsia"/>
        </w:rPr>
        <w:t>，满意度达到95%。</w:t>
      </w:r>
    </w:p>
    <w:p w:rsidR="00B868FF" w:rsidRDefault="00000000">
      <w:pPr>
        <w:pStyle w:val="11"/>
        <w:ind w:firstLine="640"/>
      </w:pPr>
      <w:bookmarkStart w:id="146" w:name="_Toc14909"/>
      <w:bookmarkStart w:id="147" w:name="_Toc27911"/>
      <w:bookmarkStart w:id="148" w:name="_Toc174375028"/>
      <w:r w:rsidRPr="00FC280E">
        <w:rPr>
          <w:rFonts w:hint="eastAsia"/>
        </w:rPr>
        <w:t>六、项目主要经验及做法</w:t>
      </w:r>
      <w:bookmarkEnd w:id="146"/>
      <w:bookmarkEnd w:id="147"/>
      <w:bookmarkEnd w:id="148"/>
    </w:p>
    <w:p w:rsidR="00D2047B" w:rsidRPr="00D2047B" w:rsidRDefault="002F4F96">
      <w:pPr>
        <w:pStyle w:val="af4"/>
        <w:ind w:firstLine="643"/>
        <w:rPr>
          <w:rStyle w:val="23"/>
          <w:rFonts w:ascii="楷体" w:eastAsia="楷体" w:hAnsi="楷体" w:cs="楷体"/>
        </w:rPr>
      </w:pPr>
      <w:r w:rsidRPr="00D2047B">
        <w:rPr>
          <w:rStyle w:val="23"/>
          <w:rFonts w:ascii="楷体" w:eastAsia="楷体" w:hAnsi="楷体" w:cs="楷体" w:hint="eastAsia"/>
        </w:rPr>
        <w:t>（一）</w:t>
      </w:r>
      <w:r w:rsidR="00D2047B" w:rsidRPr="00D2047B">
        <w:rPr>
          <w:rStyle w:val="23"/>
          <w:rFonts w:ascii="楷体" w:eastAsia="楷体" w:hAnsi="楷体" w:cs="楷体" w:hint="eastAsia"/>
        </w:rPr>
        <w:t>聚焦开放内涵，推进文化建设上台阶</w:t>
      </w:r>
    </w:p>
    <w:p w:rsidR="00B868FF" w:rsidRPr="002F4F96" w:rsidRDefault="00D2047B">
      <w:pPr>
        <w:pStyle w:val="af4"/>
        <w:ind w:firstLine="640"/>
        <w:rPr>
          <w:rFonts w:hint="eastAsia"/>
          <w:u w:val="single"/>
        </w:rPr>
      </w:pPr>
      <w:r w:rsidRPr="00D2047B">
        <w:rPr>
          <w:rFonts w:hint="eastAsia"/>
        </w:rPr>
        <w:t>聚焦开放内涵，推进文化建设上台阶。搭建沟通桥梁，组织开展“法院开放日”活动，共接待各类团体81批次、3450余人，不断增强司法透明度和公信力。厚</w:t>
      </w:r>
      <w:proofErr w:type="gramStart"/>
      <w:r w:rsidRPr="00D2047B">
        <w:rPr>
          <w:rFonts w:hint="eastAsia"/>
        </w:rPr>
        <w:t>植文化</w:t>
      </w:r>
      <w:proofErr w:type="gramEnd"/>
      <w:r w:rsidRPr="00D2047B">
        <w:rPr>
          <w:rFonts w:hint="eastAsia"/>
        </w:rPr>
        <w:t>底蕴，首次举办全省法院文化建设推进会，为甘肃法院文化建设明确了方向。组织评选出23个文化建设特色项目，7家法院进行现场推介，为法院文化发展树立了榜样。谋划推进省法院以两馆为</w:t>
      </w:r>
      <w:r w:rsidRPr="00D2047B">
        <w:rPr>
          <w:rFonts w:hint="eastAsia"/>
        </w:rPr>
        <w:lastRenderedPageBreak/>
        <w:t>中心，打造红色、廉政、法治文化为一体的法院文化长廊一期工程，促进“文化育院”落地落实。甘肃</w:t>
      </w:r>
      <w:r>
        <w:rPr>
          <w:rFonts w:hint="eastAsia"/>
        </w:rPr>
        <w:t>省高级人民</w:t>
      </w:r>
      <w:r w:rsidRPr="00D2047B">
        <w:rPr>
          <w:rFonts w:hint="eastAsia"/>
        </w:rPr>
        <w:t>法院文化建设工作在中国法官文联第三次会议作了交流发言。</w:t>
      </w:r>
    </w:p>
    <w:p w:rsidR="00C93B37" w:rsidRPr="00925A37" w:rsidRDefault="00C93B37">
      <w:pPr>
        <w:pStyle w:val="af4"/>
        <w:ind w:firstLine="643"/>
        <w:rPr>
          <w:rStyle w:val="23"/>
          <w:rFonts w:ascii="楷体" w:eastAsia="楷体" w:hAnsi="楷体" w:cs="楷体" w:hint="eastAsia"/>
        </w:rPr>
      </w:pPr>
      <w:r w:rsidRPr="00925A37">
        <w:rPr>
          <w:rStyle w:val="23"/>
          <w:rFonts w:ascii="楷体" w:eastAsia="楷体" w:hAnsi="楷体" w:cs="楷体"/>
        </w:rPr>
        <w:t>（</w:t>
      </w:r>
      <w:r w:rsidRPr="00925A37">
        <w:rPr>
          <w:rStyle w:val="23"/>
          <w:rFonts w:ascii="楷体" w:eastAsia="楷体" w:hAnsi="楷体" w:cs="楷体" w:hint="eastAsia"/>
        </w:rPr>
        <w:t>二</w:t>
      </w:r>
      <w:r w:rsidRPr="00925A37">
        <w:rPr>
          <w:rStyle w:val="23"/>
          <w:rFonts w:ascii="楷体" w:eastAsia="楷体" w:hAnsi="楷体" w:cs="楷体"/>
        </w:rPr>
        <w:t>）</w:t>
      </w:r>
      <w:r w:rsidRPr="00925A37">
        <w:rPr>
          <w:rStyle w:val="23"/>
          <w:rFonts w:ascii="楷体" w:eastAsia="楷体" w:hAnsi="楷体" w:cs="楷体" w:hint="eastAsia"/>
        </w:rPr>
        <w:t>组织开展宣传活动</w:t>
      </w:r>
    </w:p>
    <w:p w:rsidR="00B868FF" w:rsidRDefault="00000000">
      <w:pPr>
        <w:pStyle w:val="af4"/>
        <w:ind w:firstLine="640"/>
        <w:rPr>
          <w:rFonts w:hint="eastAsia"/>
        </w:rPr>
      </w:pPr>
      <w:r>
        <w:rPr>
          <w:rFonts w:hint="eastAsia"/>
        </w:rPr>
        <w:t>组织召开主题新闻发布会11场次。</w:t>
      </w:r>
      <w:proofErr w:type="gramStart"/>
      <w:r>
        <w:rPr>
          <w:rFonts w:hint="eastAsia"/>
        </w:rPr>
        <w:t>强化融媒宣传</w:t>
      </w:r>
      <w:proofErr w:type="gramEnd"/>
      <w:r>
        <w:rPr>
          <w:rFonts w:hint="eastAsia"/>
        </w:rPr>
        <w:t>，在甘肃省高级人民法院公众号及官方网站开设系列特色专栏，开展系列主题报道，强化普法宣传，加强</w:t>
      </w:r>
      <w:proofErr w:type="gramStart"/>
      <w:r>
        <w:rPr>
          <w:rFonts w:hint="eastAsia"/>
        </w:rPr>
        <w:t>典型宣</w:t>
      </w:r>
      <w:proofErr w:type="gramEnd"/>
      <w:r>
        <w:rPr>
          <w:rFonts w:hint="eastAsia"/>
        </w:rPr>
        <w:t>推，营造浓厚宣传氛围。与</w:t>
      </w:r>
      <w:proofErr w:type="gramStart"/>
      <w:r>
        <w:rPr>
          <w:rFonts w:hint="eastAsia"/>
        </w:rPr>
        <w:t>融媒体</w:t>
      </w:r>
      <w:proofErr w:type="gramEnd"/>
      <w:r>
        <w:rPr>
          <w:rFonts w:hint="eastAsia"/>
        </w:rPr>
        <w:t>中心紧密配合，每月交办选题策划单，共审核发布</w:t>
      </w:r>
      <w:r w:rsidR="002F4F96">
        <w:rPr>
          <w:rFonts w:hint="eastAsia"/>
        </w:rPr>
        <w:t>甘肃省高级人民法</w:t>
      </w:r>
      <w:r>
        <w:rPr>
          <w:rFonts w:hint="eastAsia"/>
        </w:rPr>
        <w:t>院新媒体矩阵平台图文视频、信息稿件15000余篇，统筹指导</w:t>
      </w:r>
      <w:proofErr w:type="gramStart"/>
      <w:r>
        <w:rPr>
          <w:rFonts w:hint="eastAsia"/>
        </w:rPr>
        <w:t>融媒体</w:t>
      </w:r>
      <w:proofErr w:type="gramEnd"/>
      <w:r>
        <w:rPr>
          <w:rFonts w:hint="eastAsia"/>
        </w:rPr>
        <w:t>中心开展工作格局逐步形成。不断创新宣传形式，探索直播宣传新模式，举办“开学第一课”法治课堂直播活动，全省33万中小学生在线观看；配合开展“陇原风暴”执行行动直播11场次，助推审判执行工作有力开展。坚持内容为王，短视频先行的理念，策划推出了一批富有感染力</w:t>
      </w:r>
      <w:proofErr w:type="gramStart"/>
      <w:r>
        <w:rPr>
          <w:rFonts w:hint="eastAsia"/>
        </w:rPr>
        <w:t>的三微作品</w:t>
      </w:r>
      <w:proofErr w:type="gramEnd"/>
      <w:r>
        <w:rPr>
          <w:rFonts w:hint="eastAsia"/>
        </w:rPr>
        <w:t>，多部作品荣获全国及全省“三微”作品奖项，其中，《一路有你》荣获第十届“金法槌奖”微电影三等奖及</w:t>
      </w:r>
      <w:proofErr w:type="gramStart"/>
      <w:r>
        <w:rPr>
          <w:rFonts w:hint="eastAsia"/>
        </w:rPr>
        <w:t>网络人气</w:t>
      </w:r>
      <w:proofErr w:type="gramEnd"/>
      <w:r>
        <w:rPr>
          <w:rFonts w:hint="eastAsia"/>
        </w:rPr>
        <w:t>奖，投票观看人数达200万人次。</w:t>
      </w:r>
    </w:p>
    <w:p w:rsidR="00B868FF" w:rsidRDefault="00000000">
      <w:pPr>
        <w:pStyle w:val="11"/>
        <w:ind w:firstLine="640"/>
      </w:pPr>
      <w:bookmarkStart w:id="149" w:name="_Toc15152"/>
      <w:bookmarkStart w:id="150" w:name="_Toc25717"/>
      <w:bookmarkStart w:id="151" w:name="_Toc174375029"/>
      <w:r>
        <w:rPr>
          <w:rFonts w:hint="eastAsia"/>
        </w:rPr>
        <w:t>七、存在的问题及原因分析</w:t>
      </w:r>
      <w:bookmarkEnd w:id="149"/>
      <w:bookmarkEnd w:id="150"/>
      <w:bookmarkEnd w:id="151"/>
    </w:p>
    <w:p w:rsidR="00B868FF" w:rsidRDefault="00000000">
      <w:pPr>
        <w:pStyle w:val="24"/>
        <w:ind w:firstLine="643"/>
        <w:rPr>
          <w:rStyle w:val="23"/>
          <w:rFonts w:ascii="楷体" w:eastAsia="楷体" w:hAnsi="楷体" w:hint="eastAsia"/>
          <w:b/>
        </w:rPr>
      </w:pPr>
      <w:bookmarkStart w:id="152" w:name="_Toc18641"/>
      <w:bookmarkStart w:id="153" w:name="_Toc31893"/>
      <w:bookmarkStart w:id="154" w:name="_Toc22417"/>
      <w:bookmarkStart w:id="155" w:name="_Toc7160"/>
      <w:bookmarkStart w:id="156" w:name="_Toc10454"/>
      <w:bookmarkStart w:id="157" w:name="_Toc31283"/>
      <w:bookmarkStart w:id="158" w:name="_Toc27415"/>
      <w:bookmarkStart w:id="159" w:name="_Toc2874"/>
      <w:bookmarkStart w:id="160" w:name="_Toc174276629"/>
      <w:bookmarkStart w:id="161" w:name="_Toc174274647"/>
      <w:bookmarkStart w:id="162" w:name="_Toc29421"/>
      <w:bookmarkStart w:id="163" w:name="_Toc19507"/>
      <w:bookmarkStart w:id="164" w:name="_Toc14622"/>
      <w:bookmarkStart w:id="165" w:name="_Toc174375030"/>
      <w:r>
        <w:rPr>
          <w:rStyle w:val="23"/>
          <w:rFonts w:ascii="楷体" w:eastAsia="楷体" w:hAnsi="楷体" w:hint="eastAsia"/>
          <w:b/>
        </w:rPr>
        <w:t>（一）</w:t>
      </w:r>
      <w:bookmarkStart w:id="166" w:name="_Toc17195"/>
      <w:bookmarkStart w:id="167" w:name="_Toc12328"/>
      <w:bookmarkStart w:id="168" w:name="_Toc15618"/>
      <w:bookmarkEnd w:id="152"/>
      <w:bookmarkEnd w:id="153"/>
      <w:bookmarkEnd w:id="154"/>
      <w:bookmarkEnd w:id="155"/>
      <w:bookmarkEnd w:id="156"/>
      <w:bookmarkEnd w:id="157"/>
      <w:bookmarkEnd w:id="158"/>
      <w:bookmarkEnd w:id="159"/>
      <w:r>
        <w:rPr>
          <w:rStyle w:val="23"/>
          <w:rFonts w:ascii="楷体" w:eastAsia="楷体" w:hAnsi="楷体" w:hint="eastAsia"/>
          <w:b/>
        </w:rPr>
        <w:t>项目支出预算执行率有待提高</w:t>
      </w:r>
      <w:bookmarkEnd w:id="160"/>
      <w:bookmarkEnd w:id="161"/>
      <w:bookmarkEnd w:id="165"/>
    </w:p>
    <w:p w:rsidR="00B868FF" w:rsidRDefault="007B69F5">
      <w:pPr>
        <w:pStyle w:val="af4"/>
        <w:ind w:firstLine="640"/>
        <w:rPr>
          <w:rFonts w:hint="eastAsia"/>
        </w:rPr>
      </w:pPr>
      <w:r>
        <w:rPr>
          <w:rFonts w:hint="eastAsia"/>
        </w:rPr>
        <w:t>文化建设宣传经费项目专项资金全年预算220.93万元，截</w:t>
      </w:r>
      <w:r w:rsidR="002F4F96">
        <w:rPr>
          <w:rFonts w:hint="eastAsia"/>
        </w:rPr>
        <w:t>至</w:t>
      </w:r>
      <w:r>
        <w:rPr>
          <w:rFonts w:hint="eastAsia"/>
        </w:rPr>
        <w:t>2023年12月31日，该项目全年实际支出100.37万元，预算执行率为45.43%。</w:t>
      </w:r>
    </w:p>
    <w:p w:rsidR="00B868FF" w:rsidRDefault="00000000">
      <w:pPr>
        <w:pStyle w:val="24"/>
        <w:ind w:firstLine="643"/>
        <w:rPr>
          <w:rStyle w:val="23"/>
          <w:rFonts w:ascii="楷体" w:eastAsia="楷体" w:hAnsi="楷体" w:hint="eastAsia"/>
          <w:b/>
        </w:rPr>
      </w:pPr>
      <w:bookmarkStart w:id="169" w:name="_Toc2868"/>
      <w:bookmarkStart w:id="170" w:name="_Toc31150"/>
      <w:bookmarkStart w:id="171" w:name="_Toc18234"/>
      <w:bookmarkStart w:id="172" w:name="_Toc174274648"/>
      <w:bookmarkStart w:id="173" w:name="_Toc174276630"/>
      <w:bookmarkStart w:id="174" w:name="_Toc174375031"/>
      <w:r>
        <w:rPr>
          <w:rStyle w:val="23"/>
          <w:rFonts w:ascii="楷体" w:eastAsia="楷体" w:hAnsi="楷体" w:hint="eastAsia"/>
          <w:b/>
        </w:rPr>
        <w:t>（二）</w:t>
      </w:r>
      <w:bookmarkEnd w:id="169"/>
      <w:bookmarkEnd w:id="170"/>
      <w:bookmarkEnd w:id="171"/>
      <w:r>
        <w:rPr>
          <w:rStyle w:val="23"/>
          <w:rFonts w:ascii="楷体" w:eastAsia="楷体" w:hAnsi="楷体" w:hint="eastAsia"/>
          <w:b/>
        </w:rPr>
        <w:t>合同管理有待</w:t>
      </w:r>
      <w:bookmarkEnd w:id="172"/>
      <w:bookmarkEnd w:id="173"/>
      <w:r w:rsidR="002F4F96">
        <w:rPr>
          <w:rStyle w:val="23"/>
          <w:rFonts w:ascii="楷体" w:eastAsia="楷体" w:hAnsi="楷体" w:hint="eastAsia"/>
          <w:b/>
        </w:rPr>
        <w:t>规范</w:t>
      </w:r>
      <w:bookmarkEnd w:id="174"/>
    </w:p>
    <w:p w:rsidR="00B868FF" w:rsidRDefault="00000000">
      <w:pPr>
        <w:pStyle w:val="af4"/>
        <w:ind w:firstLine="640"/>
        <w:rPr>
          <w:rFonts w:hint="eastAsia"/>
        </w:rPr>
      </w:pPr>
      <w:bookmarkStart w:id="175" w:name="_Toc11984"/>
      <w:r>
        <w:rPr>
          <w:rFonts w:hint="eastAsia"/>
        </w:rPr>
        <w:t>经查验甘肃省高级人民法院相关合同协议、会计凭证等</w:t>
      </w:r>
      <w:r>
        <w:rPr>
          <w:rFonts w:hint="eastAsia"/>
        </w:rPr>
        <w:lastRenderedPageBreak/>
        <w:t>资料，存在</w:t>
      </w:r>
      <w:r w:rsidR="00FC280E" w:rsidRPr="00FC280E">
        <w:rPr>
          <w:rFonts w:hint="eastAsia"/>
        </w:rPr>
        <w:t>个别合同服务起始日期早于合同签订日期，存在先开工后补签合同情况。</w:t>
      </w:r>
      <w:r w:rsidR="00FC280E">
        <w:rPr>
          <w:rFonts w:hint="eastAsia"/>
        </w:rPr>
        <w:t>具体如下</w:t>
      </w:r>
      <w:r>
        <w:rPr>
          <w:rFonts w:hint="eastAsia"/>
        </w:rPr>
        <w:t>：</w:t>
      </w:r>
    </w:p>
    <w:p w:rsidR="00B868FF" w:rsidRDefault="00000000">
      <w:pPr>
        <w:pStyle w:val="af4"/>
        <w:ind w:firstLine="640"/>
        <w:rPr>
          <w:rFonts w:hint="eastAsia"/>
        </w:rPr>
      </w:pPr>
      <w:r>
        <w:rPr>
          <w:rFonts w:hint="eastAsia"/>
        </w:rPr>
        <w:t>2023年12月90号记账凭证反映：报新华</w:t>
      </w:r>
      <w:proofErr w:type="gramStart"/>
      <w:r>
        <w:rPr>
          <w:rFonts w:hint="eastAsia"/>
        </w:rPr>
        <w:t>网合作</w:t>
      </w:r>
      <w:proofErr w:type="gramEnd"/>
      <w:r>
        <w:rPr>
          <w:rFonts w:hint="eastAsia"/>
        </w:rPr>
        <w:t>协议尾款15,000.00元，合同签订日期为2022年12月11日，合同服务期限为2022年12月1日至2023年11月30日。</w:t>
      </w:r>
    </w:p>
    <w:p w:rsidR="00B868FF" w:rsidRDefault="00000000">
      <w:pPr>
        <w:pStyle w:val="af4"/>
        <w:ind w:firstLine="640"/>
        <w:rPr>
          <w:rFonts w:hint="eastAsia"/>
        </w:rPr>
      </w:pPr>
      <w:r>
        <w:rPr>
          <w:rFonts w:hint="eastAsia"/>
        </w:rPr>
        <w:t>2023年12月227号记账凭证反映：报拍照</w:t>
      </w:r>
      <w:proofErr w:type="gramStart"/>
      <w:r>
        <w:rPr>
          <w:rFonts w:hint="eastAsia"/>
        </w:rPr>
        <w:t>二维码分享</w:t>
      </w:r>
      <w:proofErr w:type="gramEnd"/>
      <w:r>
        <w:rPr>
          <w:rFonts w:hint="eastAsia"/>
        </w:rPr>
        <w:t>小程序制作费72,000.00元，签订的《多媒体应用软件合同》合同封面日期为2023年9月，合同签订日期为2023年12月15日，发票开票日期为2023年12月1日。</w:t>
      </w:r>
    </w:p>
    <w:p w:rsidR="00B868FF" w:rsidRDefault="00000000">
      <w:pPr>
        <w:pStyle w:val="11"/>
        <w:ind w:firstLine="640"/>
      </w:pPr>
      <w:bookmarkStart w:id="176" w:name="_Toc15149"/>
      <w:bookmarkStart w:id="177" w:name="_Toc20992"/>
      <w:bookmarkStart w:id="178" w:name="_Toc174375032"/>
      <w:bookmarkEnd w:id="162"/>
      <w:bookmarkEnd w:id="163"/>
      <w:bookmarkEnd w:id="164"/>
      <w:bookmarkEnd w:id="166"/>
      <w:bookmarkEnd w:id="167"/>
      <w:bookmarkEnd w:id="168"/>
      <w:bookmarkEnd w:id="175"/>
      <w:r>
        <w:rPr>
          <w:rFonts w:hint="eastAsia"/>
        </w:rPr>
        <w:t>八、有关建议</w:t>
      </w:r>
      <w:bookmarkEnd w:id="176"/>
      <w:bookmarkEnd w:id="177"/>
      <w:bookmarkEnd w:id="178"/>
    </w:p>
    <w:p w:rsidR="00B868FF" w:rsidRDefault="00000000">
      <w:pPr>
        <w:pStyle w:val="24"/>
        <w:ind w:firstLine="643"/>
        <w:rPr>
          <w:rStyle w:val="23"/>
          <w:rFonts w:ascii="楷体" w:eastAsia="楷体" w:hAnsi="楷体" w:hint="eastAsia"/>
          <w:b/>
        </w:rPr>
      </w:pPr>
      <w:bookmarkStart w:id="179" w:name="_Toc174276632"/>
      <w:bookmarkStart w:id="180" w:name="_Toc26807"/>
      <w:bookmarkStart w:id="181" w:name="_Toc2427"/>
      <w:bookmarkStart w:id="182" w:name="_Toc22207"/>
      <w:bookmarkStart w:id="183" w:name="_Toc19966"/>
      <w:bookmarkStart w:id="184" w:name="_Hlk174270996"/>
      <w:bookmarkStart w:id="185" w:name="_Toc174375033"/>
      <w:r>
        <w:rPr>
          <w:rStyle w:val="23"/>
          <w:rFonts w:ascii="楷体" w:eastAsia="楷体" w:hAnsi="楷体" w:hint="eastAsia"/>
          <w:b/>
        </w:rPr>
        <w:t>（一）加快资金执行进度，提高项目实施效益</w:t>
      </w:r>
      <w:bookmarkEnd w:id="179"/>
      <w:bookmarkEnd w:id="185"/>
    </w:p>
    <w:p w:rsidR="00D2047B" w:rsidRDefault="00000000">
      <w:pPr>
        <w:pStyle w:val="af4"/>
        <w:ind w:firstLine="640"/>
      </w:pPr>
      <w:bookmarkStart w:id="186" w:name="_Toc8653"/>
      <w:bookmarkStart w:id="187" w:name="_Toc14765"/>
      <w:bookmarkEnd w:id="180"/>
      <w:bookmarkEnd w:id="181"/>
      <w:bookmarkEnd w:id="182"/>
      <w:bookmarkEnd w:id="183"/>
      <w:r>
        <w:rPr>
          <w:rFonts w:hint="eastAsia"/>
        </w:rPr>
        <w:t>一是</w:t>
      </w:r>
      <w:r w:rsidR="00AA0C9A" w:rsidRPr="00AA0C9A">
        <w:rPr>
          <w:rFonts w:hint="eastAsia"/>
        </w:rPr>
        <w:t>建议</w:t>
      </w:r>
      <w:r w:rsidR="002F4F96">
        <w:rPr>
          <w:rFonts w:hint="eastAsia"/>
        </w:rPr>
        <w:t>甘肃省高级人民</w:t>
      </w:r>
      <w:r w:rsidR="00AA0C9A" w:rsidRPr="00AA0C9A">
        <w:rPr>
          <w:rFonts w:hint="eastAsia"/>
        </w:rPr>
        <w:t>法院细化、明确项目的计划安排，对项目的预算以及产出、效果、效益等方面进行综合</w:t>
      </w:r>
      <w:proofErr w:type="gramStart"/>
      <w:r w:rsidR="00AA0C9A" w:rsidRPr="00AA0C9A">
        <w:rPr>
          <w:rFonts w:hint="eastAsia"/>
        </w:rPr>
        <w:t>考量</w:t>
      </w:r>
      <w:proofErr w:type="gramEnd"/>
      <w:r w:rsidR="00AA0C9A">
        <w:rPr>
          <w:rFonts w:hint="eastAsia"/>
        </w:rPr>
        <w:t>，</w:t>
      </w:r>
      <w:r>
        <w:rPr>
          <w:rFonts w:hint="eastAsia"/>
        </w:rPr>
        <w:t>严格按项目和进度执行预算，增强预算的约束力。二是落实预算执行分析，及时了解预算执行差异，合理调整、纠正预算执行偏差，切实提高部门预算收支管理水平。</w:t>
      </w:r>
    </w:p>
    <w:p w:rsidR="00B868FF" w:rsidRDefault="00D2047B">
      <w:pPr>
        <w:pStyle w:val="af4"/>
        <w:ind w:firstLine="640"/>
        <w:rPr>
          <w:rFonts w:hint="eastAsia"/>
        </w:rPr>
      </w:pPr>
      <w:r w:rsidRPr="00D2047B">
        <w:rPr>
          <w:rFonts w:hint="eastAsia"/>
        </w:rPr>
        <w:t>严格按照《预算法》和《行政事业单位财务管理制度》的要求，坚持先有预算后有支出的原则，科学合理的安排各项支出，不得随意调整资金用途；加强预算执行管理，根据实际情况，定期做好预算执行分析，掌握预算执行进度，及时找出预算实际执行情况与预算目标之间存在的差异，采取有效措施纠正偏差，提高预算执行的时效性和均衡性，提高预算支出执行效率</w:t>
      </w:r>
      <w:r>
        <w:rPr>
          <w:rFonts w:hint="eastAsia"/>
        </w:rPr>
        <w:t>。</w:t>
      </w:r>
    </w:p>
    <w:p w:rsidR="00B868FF" w:rsidRDefault="00000000">
      <w:pPr>
        <w:pStyle w:val="24"/>
        <w:ind w:firstLine="643"/>
        <w:rPr>
          <w:rStyle w:val="23"/>
          <w:rFonts w:ascii="楷体" w:eastAsia="楷体" w:hAnsi="楷体" w:hint="eastAsia"/>
          <w:b/>
        </w:rPr>
      </w:pPr>
      <w:bookmarkStart w:id="188" w:name="_Toc174276633"/>
      <w:bookmarkStart w:id="189" w:name="_Toc174274650"/>
      <w:bookmarkStart w:id="190" w:name="_Toc174375034"/>
      <w:r>
        <w:rPr>
          <w:rStyle w:val="23"/>
          <w:rFonts w:ascii="楷体" w:eastAsia="楷体" w:hAnsi="楷体"/>
          <w:b/>
        </w:rPr>
        <w:t>（</w:t>
      </w:r>
      <w:r>
        <w:rPr>
          <w:rStyle w:val="23"/>
          <w:rFonts w:ascii="楷体" w:eastAsia="楷体" w:hAnsi="楷体" w:hint="eastAsia"/>
          <w:b/>
        </w:rPr>
        <w:t>二</w:t>
      </w:r>
      <w:r>
        <w:rPr>
          <w:rStyle w:val="23"/>
          <w:rFonts w:ascii="楷体" w:eastAsia="楷体" w:hAnsi="楷体"/>
          <w:b/>
        </w:rPr>
        <w:t>）加强</w:t>
      </w:r>
      <w:r>
        <w:rPr>
          <w:rStyle w:val="23"/>
          <w:rFonts w:ascii="楷体" w:eastAsia="楷体" w:hAnsi="楷体" w:hint="eastAsia"/>
          <w:b/>
        </w:rPr>
        <w:t>合同管理的</w:t>
      </w:r>
      <w:r w:rsidR="002F4F96">
        <w:rPr>
          <w:rStyle w:val="23"/>
          <w:rFonts w:ascii="楷体" w:eastAsia="楷体" w:hAnsi="楷体" w:hint="eastAsia"/>
          <w:b/>
        </w:rPr>
        <w:t>规范</w:t>
      </w:r>
      <w:r>
        <w:rPr>
          <w:rStyle w:val="23"/>
          <w:rFonts w:ascii="楷体" w:eastAsia="楷体" w:hAnsi="楷体" w:hint="eastAsia"/>
          <w:b/>
        </w:rPr>
        <w:t>性</w:t>
      </w:r>
      <w:bookmarkEnd w:id="188"/>
      <w:bookmarkEnd w:id="189"/>
      <w:bookmarkEnd w:id="190"/>
    </w:p>
    <w:p w:rsidR="00B868FF" w:rsidRPr="00AA0C9A" w:rsidRDefault="00000000" w:rsidP="00AA0C9A">
      <w:pPr>
        <w:pStyle w:val="a6"/>
        <w:overflowPunct w:val="0"/>
        <w:spacing w:line="560" w:lineRule="exact"/>
        <w:ind w:firstLineChars="200" w:firstLine="640"/>
        <w:outlineLvl w:val="0"/>
        <w:rPr>
          <w:rFonts w:ascii="仿宋_GB2312" w:hAnsi="仿宋_GB2312" w:cs="仿宋_GB2312" w:hint="eastAsia"/>
          <w:kern w:val="0"/>
        </w:rPr>
      </w:pPr>
      <w:bookmarkStart w:id="191" w:name="_Toc174375035"/>
      <w:bookmarkEnd w:id="184"/>
      <w:r w:rsidRPr="00AA0C9A">
        <w:rPr>
          <w:rFonts w:ascii="仿宋_GB2312" w:hAnsi="仿宋_GB2312" w:cs="仿宋_GB2312" w:hint="eastAsia"/>
          <w:kern w:val="0"/>
        </w:rPr>
        <w:lastRenderedPageBreak/>
        <w:t>规范合同签订管理，先开展招标工作后签订合同，</w:t>
      </w:r>
      <w:r w:rsidR="00925A37">
        <w:rPr>
          <w:rFonts w:ascii="仿宋_GB2312" w:hAnsi="仿宋_GB2312" w:cs="仿宋_GB2312" w:hint="eastAsia"/>
          <w:kern w:val="0"/>
        </w:rPr>
        <w:t>避免</w:t>
      </w:r>
      <w:r w:rsidRPr="00AA0C9A">
        <w:rPr>
          <w:rFonts w:ascii="仿宋_GB2312" w:hAnsi="仿宋_GB2312" w:cs="仿宋_GB2312" w:hint="eastAsia"/>
          <w:kern w:val="0"/>
        </w:rPr>
        <w:t>先开展服务后补签合同情况的发生，确保合同内容符合有关规章制度的规定</w:t>
      </w:r>
      <w:r w:rsidR="006D5722">
        <w:rPr>
          <w:rFonts w:ascii="仿宋_GB2312" w:hAnsi="仿宋_GB2312" w:cs="仿宋_GB2312" w:hint="eastAsia"/>
          <w:kern w:val="0"/>
        </w:rPr>
        <w:t>。</w:t>
      </w:r>
      <w:bookmarkEnd w:id="191"/>
    </w:p>
    <w:p w:rsidR="00B868FF" w:rsidRDefault="00000000">
      <w:pPr>
        <w:pStyle w:val="a6"/>
        <w:overflowPunct w:val="0"/>
        <w:spacing w:line="560" w:lineRule="exact"/>
        <w:ind w:firstLineChars="200" w:firstLine="640"/>
        <w:outlineLvl w:val="0"/>
        <w:rPr>
          <w:rFonts w:ascii="黑体" w:eastAsia="黑体" w:hAnsi="黑体" w:cs="仿宋" w:hint="eastAsia"/>
        </w:rPr>
      </w:pPr>
      <w:bookmarkStart w:id="192" w:name="_Toc174375036"/>
      <w:r>
        <w:rPr>
          <w:rFonts w:ascii="黑体" w:eastAsia="黑体" w:hAnsi="黑体" w:cs="仿宋" w:hint="eastAsia"/>
        </w:rPr>
        <w:t>九、需要说明的问题</w:t>
      </w:r>
      <w:bookmarkEnd w:id="186"/>
      <w:bookmarkEnd w:id="187"/>
      <w:bookmarkEnd w:id="192"/>
    </w:p>
    <w:p w:rsidR="00B868FF" w:rsidRDefault="00000000">
      <w:pPr>
        <w:pStyle w:val="a6"/>
        <w:overflowPunct w:val="0"/>
        <w:spacing w:line="560" w:lineRule="exact"/>
        <w:ind w:firstLineChars="200" w:firstLine="640"/>
        <w:rPr>
          <w:rFonts w:ascii="仿宋_GB2312" w:hAnsi="仿宋_GB2312" w:cs="仿宋_GB2312" w:hint="eastAsia"/>
        </w:rPr>
      </w:pPr>
      <w:r>
        <w:rPr>
          <w:rFonts w:ascii="仿宋_GB2312" w:hAnsi="仿宋_GB2312" w:cs="仿宋_GB2312" w:hint="eastAsia"/>
        </w:rPr>
        <w:t>无。</w:t>
      </w:r>
      <w:bookmarkStart w:id="193" w:name="_Toc28005"/>
    </w:p>
    <w:p w:rsidR="00B868FF" w:rsidRDefault="00000000">
      <w:pPr>
        <w:pStyle w:val="a6"/>
        <w:overflowPunct w:val="0"/>
        <w:spacing w:line="560" w:lineRule="exact"/>
        <w:ind w:firstLineChars="200" w:firstLine="640"/>
        <w:outlineLvl w:val="0"/>
        <w:rPr>
          <w:rFonts w:ascii="黑体" w:eastAsia="黑体" w:hAnsi="黑体" w:cs="仿宋" w:hint="eastAsia"/>
        </w:rPr>
      </w:pPr>
      <w:bookmarkStart w:id="194" w:name="_Toc174375037"/>
      <w:r>
        <w:rPr>
          <w:rFonts w:ascii="黑体" w:eastAsia="黑体" w:hAnsi="黑体" w:cs="仿宋" w:hint="eastAsia"/>
        </w:rPr>
        <w:t>附件：</w:t>
      </w:r>
      <w:bookmarkEnd w:id="194"/>
    </w:p>
    <w:p w:rsidR="00B868FF" w:rsidRDefault="00000000">
      <w:pPr>
        <w:pStyle w:val="a6"/>
        <w:overflowPunct w:val="0"/>
        <w:spacing w:line="560" w:lineRule="exact"/>
        <w:ind w:firstLineChars="200" w:firstLine="640"/>
        <w:rPr>
          <w:rFonts w:ascii="仿宋_GB2312" w:hAnsi="仿宋_GB2312" w:cs="仿宋_GB2312" w:hint="eastAsia"/>
        </w:rPr>
      </w:pPr>
      <w:r>
        <w:rPr>
          <w:rFonts w:ascii="仿宋_GB2312" w:hAnsi="仿宋_GB2312" w:cs="仿宋_GB2312" w:hint="eastAsia"/>
        </w:rPr>
        <w:t>1.</w:t>
      </w:r>
      <w:bookmarkEnd w:id="193"/>
      <w:r>
        <w:rPr>
          <w:rFonts w:ascii="仿宋_GB2312" w:hAnsi="仿宋_GB2312" w:cs="仿宋_GB2312" w:hint="eastAsia"/>
        </w:rPr>
        <w:t>文化建设宣传经费项目支出绩效评价评分表</w:t>
      </w:r>
    </w:p>
    <w:p w:rsidR="00B868FF" w:rsidRDefault="00000000">
      <w:pPr>
        <w:pStyle w:val="a6"/>
        <w:overflowPunct w:val="0"/>
        <w:spacing w:line="560" w:lineRule="exact"/>
        <w:ind w:firstLineChars="200" w:firstLine="640"/>
        <w:rPr>
          <w:rFonts w:ascii="仿宋_GB2312" w:hAnsi="仿宋_GB2312" w:cs="仿宋_GB2312" w:hint="eastAsia"/>
        </w:rPr>
      </w:pPr>
      <w:bookmarkStart w:id="195" w:name="_Toc15958"/>
      <w:r>
        <w:rPr>
          <w:rFonts w:ascii="仿宋_GB2312" w:hAnsi="仿宋_GB2312" w:cs="仿宋_GB2312" w:hint="eastAsia"/>
        </w:rPr>
        <w:t>2.文化建设宣传经费项目问题清单</w:t>
      </w:r>
    </w:p>
    <w:bookmarkEnd w:id="195"/>
    <w:p w:rsidR="00B868FF" w:rsidRDefault="00B868FF">
      <w:pPr>
        <w:pStyle w:val="a6"/>
        <w:overflowPunct w:val="0"/>
        <w:spacing w:line="560" w:lineRule="exact"/>
        <w:ind w:firstLineChars="200" w:firstLine="640"/>
        <w:rPr>
          <w:rFonts w:ascii="仿宋_GB2312" w:hAnsi="仿宋_GB2312" w:cs="仿宋_GB2312" w:hint="eastAsia"/>
        </w:rPr>
      </w:pPr>
    </w:p>
    <w:p w:rsidR="00B868FF" w:rsidRDefault="00B868FF">
      <w:pPr>
        <w:pStyle w:val="ac"/>
        <w:overflowPunct w:val="0"/>
        <w:rPr>
          <w:rFonts w:ascii="仿宋" w:eastAsia="仿宋" w:hAnsi="仿宋" w:cs="仿宋" w:hint="eastAsia"/>
          <w:sz w:val="32"/>
          <w:szCs w:val="32"/>
        </w:rPr>
      </w:pPr>
    </w:p>
    <w:p w:rsidR="00B868FF" w:rsidRDefault="00B868FF">
      <w:pPr>
        <w:pStyle w:val="ac"/>
        <w:overflowPunct w:val="0"/>
        <w:rPr>
          <w:rFonts w:ascii="仿宋_GB2312" w:eastAsia="仿宋_GB2312" w:hAnsi="仿宋_GB2312" w:cs="仿宋_GB2312" w:hint="eastAsia"/>
          <w:sz w:val="32"/>
          <w:szCs w:val="32"/>
        </w:rPr>
      </w:pPr>
    </w:p>
    <w:p w:rsidR="00B868FF" w:rsidRDefault="00B868FF">
      <w:pPr>
        <w:pStyle w:val="ac"/>
        <w:overflowPunct w:val="0"/>
        <w:rPr>
          <w:rFonts w:ascii="仿宋_GB2312" w:eastAsia="仿宋_GB2312" w:hAnsi="仿宋_GB2312" w:cs="仿宋_GB2312" w:hint="eastAsia"/>
          <w:sz w:val="32"/>
          <w:szCs w:val="32"/>
        </w:rPr>
      </w:pPr>
    </w:p>
    <w:p w:rsidR="00B868FF" w:rsidRDefault="00B868FF">
      <w:pPr>
        <w:pStyle w:val="ac"/>
        <w:overflowPunct w:val="0"/>
        <w:rPr>
          <w:rFonts w:ascii="仿宋_GB2312" w:eastAsia="仿宋_GB2312" w:hAnsi="仿宋_GB2312" w:cs="仿宋_GB2312" w:hint="eastAsia"/>
          <w:sz w:val="32"/>
          <w:szCs w:val="32"/>
        </w:rPr>
      </w:pPr>
    </w:p>
    <w:p w:rsidR="00B868FF" w:rsidRDefault="00B868FF">
      <w:pPr>
        <w:pStyle w:val="ac"/>
        <w:overflowPunct w:val="0"/>
        <w:rPr>
          <w:rFonts w:ascii="仿宋_GB2312" w:eastAsia="仿宋_GB2312" w:hAnsi="仿宋_GB2312" w:cs="仿宋_GB2312" w:hint="eastAsia"/>
          <w:sz w:val="32"/>
          <w:szCs w:val="32"/>
        </w:rPr>
      </w:pPr>
    </w:p>
    <w:p w:rsidR="00B868FF" w:rsidRDefault="00000000">
      <w:pPr>
        <w:pStyle w:val="ac"/>
        <w:overflowPunct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甘肃卓诚财务咨询有限公司</w:t>
      </w:r>
    </w:p>
    <w:p w:rsidR="00B868FF" w:rsidRDefault="00000000">
      <w:pPr>
        <w:pStyle w:val="ac"/>
        <w:overflowPunct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w:t>
      </w:r>
    </w:p>
    <w:p w:rsidR="00B868FF" w:rsidRDefault="00000000">
      <w:pPr>
        <w:pStyle w:val="ac"/>
        <w:overflowPunct w:val="0"/>
        <w:ind w:firstLineChars="1600" w:firstLine="51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2024年7月31日</w:t>
      </w:r>
    </w:p>
    <w:sectPr w:rsidR="00B868FF">
      <w:pgSz w:w="11906" w:h="16838"/>
      <w:pgMar w:top="1440" w:right="1803" w:bottom="1383" w:left="1633" w:header="851" w:footer="992" w:gutter="0"/>
      <w:cols w:space="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57167" w:rsidRDefault="00D57167">
      <w:r>
        <w:separator/>
      </w:r>
    </w:p>
  </w:endnote>
  <w:endnote w:type="continuationSeparator" w:id="0">
    <w:p w:rsidR="00D57167" w:rsidRDefault="00D5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embedRegular r:id="rId1" w:subsetted="1" w:fontKey="{ADCEB26F-CD78-43D4-83C8-ADD467B1EDE9}"/>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embedBold r:id="rId2" w:subsetted="1" w:fontKey="{FB6815EF-CC5E-4D7A-A886-6CE858AC9E62}"/>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embedRegular r:id="rId3" w:subsetted="1" w:fontKey="{C241215A-FE26-4E41-932E-6A83ACDADE39}"/>
    <w:embedBold r:id="rId4" w:subsetted="1" w:fontKey="{7550CB46-6399-44CC-A68B-1B3369B87A0D}"/>
  </w:font>
  <w:font w:name="黑体">
    <w:altName w:val="SimHei"/>
    <w:panose1 w:val="02010609060101010101"/>
    <w:charset w:val="86"/>
    <w:family w:val="modern"/>
    <w:pitch w:val="fixed"/>
    <w:sig w:usb0="800002BF" w:usb1="38CF7CFA" w:usb2="00000016" w:usb3="00000000" w:csb0="00040001" w:csb1="00000000"/>
    <w:embedRegular r:id="rId5" w:subsetted="1" w:fontKey="{43B4D9EE-D4B7-4927-B2F5-C22A22ABEA75}"/>
  </w:font>
  <w:font w:name="楷体">
    <w:panose1 w:val="02010609060101010101"/>
    <w:charset w:val="86"/>
    <w:family w:val="modern"/>
    <w:pitch w:val="fixed"/>
    <w:sig w:usb0="800002BF" w:usb1="38CF7CFA" w:usb2="00000016" w:usb3="00000000" w:csb0="00040001" w:csb1="00000000"/>
    <w:embedRegular r:id="rId6" w:subsetted="1" w:fontKey="{6CDE8DDA-62C4-4756-AA23-1FAE33C1B559}"/>
    <w:embedBold r:id="rId7" w:subsetted="1" w:fontKey="{24E543C7-E780-456E-A048-49319A7359FB}"/>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68FF" w:rsidRDefault="00000000">
    <w:pPr>
      <w:pStyle w:val="aa"/>
    </w:pPr>
    <w:r>
      <w:rPr>
        <w:rFonts w:ascii="黑体" w:eastAsia="黑体" w:hAnsi="黑体" w:cs="黑体" w:hint="eastAsia"/>
      </w:rPr>
      <w:t>地址：甘肃省兰州市城关区南滨河东路5148号名城广场1栋1单元20层2016室       电话：0931-2906259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68FF" w:rsidRDefault="00000000">
    <w:pPr>
      <w:pStyle w:val="aa"/>
      <w:pBdr>
        <w:top w:val="single" w:sz="4" w:space="0" w:color="auto"/>
      </w:pBdr>
      <w:jc w:val="center"/>
      <w:rPr>
        <w:rFonts w:ascii="黑体" w:eastAsia="黑体" w:hAnsi="黑体" w:cs="黑体" w:hint="eastAsia"/>
      </w:rPr>
    </w:pPr>
    <w:r>
      <w:rPr>
        <w:rFonts w:ascii="黑体" w:eastAsia="黑体" w:hAnsi="黑体" w:cs="黑体" w:hint="eastAsia"/>
      </w:rPr>
      <w:t>地址：甘肃省兰州市城关区南滨河东路5148号名城广场1栋1单元20层2016室       电话：0931-2906259</w:t>
    </w:r>
  </w:p>
  <w:p w:rsidR="00B868FF" w:rsidRDefault="00B868FF">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68FF" w:rsidRDefault="00000000">
    <w:pPr>
      <w:pStyle w:val="aa"/>
      <w:pBdr>
        <w:top w:val="single" w:sz="4" w:space="0" w:color="auto"/>
      </w:pBdr>
      <w:jc w:val="center"/>
      <w:rPr>
        <w:rFonts w:ascii="黑体" w:eastAsia="黑体" w:hAnsi="黑体" w:cs="黑体" w:hint="eastAsia"/>
      </w:rPr>
    </w:pPr>
    <w:r>
      <w:rPr>
        <w:rFonts w:ascii="黑体" w:eastAsia="黑体" w:hAnsi="黑体" w:cs="黑体" w:hint="eastAsia"/>
      </w:rPr>
      <w:t>地址：甘肃省兰州市城关区南滨河东路5148号名城广场1栋1单元20层2016室       电话：0931-2906259</w:t>
    </w:r>
  </w:p>
  <w:p w:rsidR="00B868FF" w:rsidRDefault="00B868FF">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68FF" w:rsidRDefault="00000000">
    <w:pPr>
      <w:pStyle w:val="aa"/>
      <w:pBdr>
        <w:top w:val="single" w:sz="4" w:space="0" w:color="auto"/>
      </w:pBdr>
      <w:jc w:val="center"/>
      <w:rPr>
        <w:rFonts w:ascii="黑体" w:eastAsia="黑体" w:hAnsi="黑体" w:cs="黑体" w:hint="eastAsia"/>
      </w:rPr>
    </w:pPr>
    <w:r>
      <w:rPr>
        <w:rFonts w:ascii="黑体" w:eastAsia="黑体" w:hAnsi="黑体" w:cs="黑体" w:hint="eastAsia"/>
      </w:rPr>
      <w:t>地址：甘肃省兰州市城关区南滨河东路5148号名城广场1栋1单元20层2016室       电话：0931-2906259</w:t>
    </w:r>
  </w:p>
  <w:p w:rsidR="00B868FF" w:rsidRDefault="00000000">
    <w:pPr>
      <w:pStyle w:val="aa"/>
    </w:pPr>
    <w:r>
      <w:rPr>
        <w:noProof/>
      </w:rPr>
      <mc:AlternateContent>
        <mc:Choice Requires="wps">
          <w:drawing>
            <wp:anchor distT="0" distB="0" distL="114300" distR="114300" simplePos="0" relativeHeight="251659264" behindDoc="0" locked="0" layoutInCell="1" allowOverlap="1">
              <wp:simplePos x="0" y="0"/>
              <wp:positionH relativeFrom="margin">
                <wp:posOffset>2574925</wp:posOffset>
              </wp:positionH>
              <wp:positionV relativeFrom="paragraph">
                <wp:posOffset>113030</wp:posOffset>
              </wp:positionV>
              <wp:extent cx="327660" cy="198120"/>
              <wp:effectExtent l="0" t="0" r="15240" b="11430"/>
              <wp:wrapNone/>
              <wp:docPr id="5" name="文本框 5"/>
              <wp:cNvGraphicFramePr/>
              <a:graphic xmlns:a="http://schemas.openxmlformats.org/drawingml/2006/main">
                <a:graphicData uri="http://schemas.microsoft.com/office/word/2010/wordprocessingShape">
                  <wps:wsp>
                    <wps:cNvSpPr txBox="1"/>
                    <wps:spPr>
                      <a:xfrm>
                        <a:off x="0" y="0"/>
                        <a:ext cx="327660" cy="1981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868FF" w:rsidRDefault="00000000">
                          <w:pPr>
                            <w:pStyle w:val="aa"/>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5" o:spid="_x0000_s1026" type="#_x0000_t202" style="position:absolute;margin-left:202.75pt;margin-top:8.9pt;width:25.8pt;height:1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" filled="f" stroked="f" strokeweight=".5pt">
              <v:textbox inset="0,0,0,0">
                <w:txbxContent>
                  <w:p w:rsidR="00B868FF" w:rsidRDefault="00000000">
                    <w:pPr>
                      <w:pStyle w:val="aa"/>
                    </w:pPr>
                    <w:r>
                      <w:fldChar w:fldCharType="begin"/>
                    </w:r>
                    <w:r>
                      <w:instrText xml:space="preserve"> PAGE  \* MERGEFORMAT </w:instrText>
                    </w:r>
                    <w:r>
                      <w:fldChar w:fldCharType="separate"/>
                    </w:r>
                    <w:r>
                      <w:t>3</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68FF" w:rsidRDefault="00000000">
    <w:pPr>
      <w:pStyle w:val="aa"/>
      <w:pBdr>
        <w:top w:val="single" w:sz="4" w:space="1" w:color="auto"/>
        <w:left w:val="none" w:sz="0" w:space="4" w:color="auto"/>
        <w:bottom w:val="none" w:sz="0" w:space="1" w:color="auto"/>
        <w:right w:val="none" w:sz="0" w:space="4" w:color="auto"/>
      </w:pBdr>
      <w:spacing w:line="360" w:lineRule="auto"/>
      <w:jc w:val="both"/>
    </w:pPr>
    <w:r>
      <w:rPr>
        <w:noProof/>
      </w:rPr>
      <mc:AlternateContent>
        <mc:Choice Requires="wps">
          <w:drawing>
            <wp:anchor distT="0" distB="0" distL="114300" distR="114300" simplePos="0" relativeHeight="251660288" behindDoc="0" locked="0" layoutInCell="1" allowOverlap="1">
              <wp:simplePos x="0" y="0"/>
              <wp:positionH relativeFrom="margin">
                <wp:posOffset>2546985</wp:posOffset>
              </wp:positionH>
              <wp:positionV relativeFrom="paragraph">
                <wp:posOffset>229235</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868FF" w:rsidRDefault="00000000">
                          <w:pPr>
                            <w:pStyle w:val="aa"/>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7" type="#_x0000_t202" style="position:absolute;left:0;text-align:left;margin-left:200.55pt;margin-top:18.05pt;width:2in;height:2in;z-index:25166028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" filled="f" stroked="f" strokeweight=".5pt">
              <v:textbox style="mso-fit-shape-to-text:t" inset="0,0,0,0">
                <w:txbxContent>
                  <w:p w:rsidR="00B868FF" w:rsidRDefault="00000000">
                    <w:pPr>
                      <w:pStyle w:val="aa"/>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rFonts w:ascii="黑体" w:eastAsia="黑体" w:hAnsi="黑体" w:cs="黑体" w:hint="eastAsia"/>
      </w:rPr>
      <w:t>地址：甘肃省兰州市城关区南滨河东路5148号名城广场1栋1单元20层2016室       电话：0931-2906259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57167" w:rsidRDefault="00D57167">
      <w:r>
        <w:separator/>
      </w:r>
    </w:p>
  </w:footnote>
  <w:footnote w:type="continuationSeparator" w:id="0">
    <w:p w:rsidR="00D57167" w:rsidRDefault="00D571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68FF" w:rsidRDefault="00B868FF">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68FF" w:rsidRDefault="00000000">
    <w:pPr>
      <w:pStyle w:val="ac"/>
      <w:pBdr>
        <w:bottom w:val="none" w:sz="0" w:space="0" w:color="auto"/>
      </w:pBdr>
    </w:pPr>
    <w:r>
      <w:rPr>
        <w:rFonts w:ascii="仿宋" w:eastAsia="仿宋" w:hAnsi="仿宋" w:cs="仿宋"/>
        <w:b/>
        <w:noProof/>
        <w:color w:val="000000" w:themeColor="text1"/>
        <w:u w:val="single"/>
      </w:rPr>
      <w:drawing>
        <wp:inline distT="0" distB="0" distL="114300" distR="114300">
          <wp:extent cx="407035" cy="348615"/>
          <wp:effectExtent l="0" t="0" r="12065" b="6985"/>
          <wp:docPr id="1" name="图片 1"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ascii="仿宋" w:eastAsia="仿宋" w:hAnsi="仿宋" w:cs="仿宋" w:hint="eastAsia"/>
        <w:b/>
        <w:color w:val="000000" w:themeColor="text1"/>
        <w:u w:val="single"/>
      </w:rPr>
      <w:t xml:space="preserve">                                                                        绩效评价报告</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68FF" w:rsidRDefault="00000000">
    <w:pPr>
      <w:pStyle w:val="ac"/>
      <w:pBdr>
        <w:bottom w:val="none" w:sz="0" w:space="0" w:color="auto"/>
      </w:pBdr>
    </w:pPr>
    <w:r>
      <w:rPr>
        <w:rFonts w:ascii="仿宋" w:eastAsia="仿宋" w:hAnsi="仿宋" w:cs="仿宋"/>
        <w:b/>
        <w:noProof/>
        <w:color w:val="000000" w:themeColor="text1"/>
        <w:u w:val="single"/>
      </w:rPr>
      <w:drawing>
        <wp:inline distT="0" distB="0" distL="114300" distR="114300">
          <wp:extent cx="407035" cy="348615"/>
          <wp:effectExtent l="0" t="0" r="12065" b="6985"/>
          <wp:docPr id="2" name="图片 2"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ascii="仿宋" w:eastAsia="仿宋" w:hAnsi="仿宋" w:cs="仿宋" w:hint="eastAsia"/>
        <w:b/>
        <w:color w:val="000000" w:themeColor="text1"/>
        <w:u w:val="single"/>
      </w:rPr>
      <w:t xml:space="preserve">                                                                        绩效评价报告</w:t>
    </w:r>
  </w:p>
  <w:p w:rsidR="00B868FF" w:rsidRDefault="00B868FF">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68FF" w:rsidRDefault="00000000">
    <w:pPr>
      <w:pStyle w:val="ac"/>
      <w:pBdr>
        <w:bottom w:val="none" w:sz="0" w:space="0" w:color="auto"/>
      </w:pBdr>
    </w:pPr>
    <w:r>
      <w:rPr>
        <w:rFonts w:ascii="仿宋" w:eastAsia="仿宋" w:hAnsi="仿宋" w:cs="仿宋"/>
        <w:b/>
        <w:noProof/>
        <w:color w:val="000000" w:themeColor="text1"/>
        <w:u w:val="single"/>
      </w:rPr>
      <w:drawing>
        <wp:inline distT="0" distB="0" distL="114300" distR="114300">
          <wp:extent cx="407035" cy="348615"/>
          <wp:effectExtent l="0" t="0" r="12065" b="6985"/>
          <wp:docPr id="831023082" name="图片 831023082"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023082" name="图片 831023082"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ascii="仿宋" w:eastAsia="仿宋" w:hAnsi="仿宋" w:cs="仿宋" w:hint="eastAsia"/>
        <w:b/>
        <w:color w:val="000000" w:themeColor="text1"/>
        <w:u w:val="single"/>
      </w:rPr>
      <w:t xml:space="preserve">                                                                        绩效评价报告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6D6B77"/>
    <w:multiLevelType w:val="singleLevel"/>
    <w:tmpl w:val="0D4A20AC"/>
    <w:lvl w:ilvl="0">
      <w:start w:val="1"/>
      <w:numFmt w:val="chineseCounting"/>
      <w:suff w:val="nothing"/>
      <w:lvlText w:val="%1、"/>
      <w:lvlJc w:val="left"/>
      <w:rPr>
        <w:rFonts w:hint="eastAsia"/>
        <w:b w:val="0"/>
        <w:bCs w:val="0"/>
      </w:rPr>
    </w:lvl>
  </w:abstractNum>
  <w:num w:numId="1" w16cid:durableId="90901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ZkNzQ4ZWFiZmQ4NTRhOWRkZTk3YTMwMjlmMmZhYmUifQ=="/>
  </w:docVars>
  <w:rsids>
    <w:rsidRoot w:val="0F9473FE"/>
    <w:rsid w:val="0000216A"/>
    <w:rsid w:val="00003ED2"/>
    <w:rsid w:val="00024099"/>
    <w:rsid w:val="00024278"/>
    <w:rsid w:val="00037090"/>
    <w:rsid w:val="00046BCA"/>
    <w:rsid w:val="000518F6"/>
    <w:rsid w:val="00051C05"/>
    <w:rsid w:val="000615AA"/>
    <w:rsid w:val="00062108"/>
    <w:rsid w:val="00064326"/>
    <w:rsid w:val="000643BA"/>
    <w:rsid w:val="00065073"/>
    <w:rsid w:val="00071B59"/>
    <w:rsid w:val="000753A4"/>
    <w:rsid w:val="000A4E2C"/>
    <w:rsid w:val="000C17B6"/>
    <w:rsid w:val="000C1B1E"/>
    <w:rsid w:val="000F2060"/>
    <w:rsid w:val="000F34E0"/>
    <w:rsid w:val="000F6DC5"/>
    <w:rsid w:val="001008BB"/>
    <w:rsid w:val="00100C77"/>
    <w:rsid w:val="001074D7"/>
    <w:rsid w:val="001104A4"/>
    <w:rsid w:val="001105B7"/>
    <w:rsid w:val="00112EEC"/>
    <w:rsid w:val="001318C8"/>
    <w:rsid w:val="00137C9D"/>
    <w:rsid w:val="00140940"/>
    <w:rsid w:val="00141CF0"/>
    <w:rsid w:val="0014363A"/>
    <w:rsid w:val="001531B6"/>
    <w:rsid w:val="0015398F"/>
    <w:rsid w:val="00170334"/>
    <w:rsid w:val="00172CD5"/>
    <w:rsid w:val="00172DFF"/>
    <w:rsid w:val="00185B62"/>
    <w:rsid w:val="00192F9C"/>
    <w:rsid w:val="001930A7"/>
    <w:rsid w:val="00194BF7"/>
    <w:rsid w:val="001A2BE6"/>
    <w:rsid w:val="001A2F00"/>
    <w:rsid w:val="001B6342"/>
    <w:rsid w:val="001C33AE"/>
    <w:rsid w:val="001D19B7"/>
    <w:rsid w:val="001D4492"/>
    <w:rsid w:val="001F2AC1"/>
    <w:rsid w:val="00203DC9"/>
    <w:rsid w:val="0020515B"/>
    <w:rsid w:val="0020543E"/>
    <w:rsid w:val="0021248A"/>
    <w:rsid w:val="00232042"/>
    <w:rsid w:val="002324DF"/>
    <w:rsid w:val="00237134"/>
    <w:rsid w:val="00246D16"/>
    <w:rsid w:val="002555FD"/>
    <w:rsid w:val="00256EBC"/>
    <w:rsid w:val="00264411"/>
    <w:rsid w:val="00267454"/>
    <w:rsid w:val="00273FD8"/>
    <w:rsid w:val="0028698A"/>
    <w:rsid w:val="00290093"/>
    <w:rsid w:val="002967A9"/>
    <w:rsid w:val="00296D38"/>
    <w:rsid w:val="002A2649"/>
    <w:rsid w:val="002A7299"/>
    <w:rsid w:val="002C6AED"/>
    <w:rsid w:val="002D1330"/>
    <w:rsid w:val="002D789A"/>
    <w:rsid w:val="002D79DD"/>
    <w:rsid w:val="002E3891"/>
    <w:rsid w:val="002E6422"/>
    <w:rsid w:val="002F33E7"/>
    <w:rsid w:val="002F4F96"/>
    <w:rsid w:val="00307F85"/>
    <w:rsid w:val="0031439E"/>
    <w:rsid w:val="0032100C"/>
    <w:rsid w:val="0033184B"/>
    <w:rsid w:val="003367B3"/>
    <w:rsid w:val="00337BB2"/>
    <w:rsid w:val="00341429"/>
    <w:rsid w:val="00351E08"/>
    <w:rsid w:val="00353E30"/>
    <w:rsid w:val="00355885"/>
    <w:rsid w:val="00355CF4"/>
    <w:rsid w:val="003610F3"/>
    <w:rsid w:val="003631E5"/>
    <w:rsid w:val="00363DA7"/>
    <w:rsid w:val="0036744F"/>
    <w:rsid w:val="00375AD2"/>
    <w:rsid w:val="0038540D"/>
    <w:rsid w:val="003912BF"/>
    <w:rsid w:val="003947F2"/>
    <w:rsid w:val="00395522"/>
    <w:rsid w:val="00395F53"/>
    <w:rsid w:val="003B223D"/>
    <w:rsid w:val="003B748F"/>
    <w:rsid w:val="003C0E0C"/>
    <w:rsid w:val="003C1659"/>
    <w:rsid w:val="003D2320"/>
    <w:rsid w:val="003D5C85"/>
    <w:rsid w:val="003F59A3"/>
    <w:rsid w:val="003F7310"/>
    <w:rsid w:val="003F742B"/>
    <w:rsid w:val="004001D5"/>
    <w:rsid w:val="00416B2C"/>
    <w:rsid w:val="00423018"/>
    <w:rsid w:val="00427FB9"/>
    <w:rsid w:val="00433725"/>
    <w:rsid w:val="004349C8"/>
    <w:rsid w:val="00436D4B"/>
    <w:rsid w:val="00440370"/>
    <w:rsid w:val="004538B3"/>
    <w:rsid w:val="004617FB"/>
    <w:rsid w:val="004718C0"/>
    <w:rsid w:val="00471FC3"/>
    <w:rsid w:val="004731A6"/>
    <w:rsid w:val="00476AA1"/>
    <w:rsid w:val="00477EF8"/>
    <w:rsid w:val="0048717A"/>
    <w:rsid w:val="00493A3B"/>
    <w:rsid w:val="00493B57"/>
    <w:rsid w:val="00495970"/>
    <w:rsid w:val="004B4902"/>
    <w:rsid w:val="004C148D"/>
    <w:rsid w:val="004C2400"/>
    <w:rsid w:val="004C24F5"/>
    <w:rsid w:val="004D25FD"/>
    <w:rsid w:val="004E291E"/>
    <w:rsid w:val="004E55D3"/>
    <w:rsid w:val="004F0767"/>
    <w:rsid w:val="004F1169"/>
    <w:rsid w:val="004F1576"/>
    <w:rsid w:val="004F7829"/>
    <w:rsid w:val="005004FB"/>
    <w:rsid w:val="005035F7"/>
    <w:rsid w:val="00504267"/>
    <w:rsid w:val="005047DE"/>
    <w:rsid w:val="005105F0"/>
    <w:rsid w:val="00514103"/>
    <w:rsid w:val="00515E36"/>
    <w:rsid w:val="0052486E"/>
    <w:rsid w:val="00533019"/>
    <w:rsid w:val="0053373A"/>
    <w:rsid w:val="00533BBE"/>
    <w:rsid w:val="005344A8"/>
    <w:rsid w:val="00536626"/>
    <w:rsid w:val="00544F03"/>
    <w:rsid w:val="00545DBB"/>
    <w:rsid w:val="00547DD0"/>
    <w:rsid w:val="005530FC"/>
    <w:rsid w:val="00571249"/>
    <w:rsid w:val="00572A18"/>
    <w:rsid w:val="00573249"/>
    <w:rsid w:val="005862D0"/>
    <w:rsid w:val="00597E41"/>
    <w:rsid w:val="005B0FE6"/>
    <w:rsid w:val="005C019D"/>
    <w:rsid w:val="005C09A6"/>
    <w:rsid w:val="005C259C"/>
    <w:rsid w:val="005C7F7F"/>
    <w:rsid w:val="005D0D7A"/>
    <w:rsid w:val="005D164E"/>
    <w:rsid w:val="005E347C"/>
    <w:rsid w:val="005F3E31"/>
    <w:rsid w:val="005F53AD"/>
    <w:rsid w:val="00611BEA"/>
    <w:rsid w:val="0061647A"/>
    <w:rsid w:val="00617EE7"/>
    <w:rsid w:val="00620CB8"/>
    <w:rsid w:val="006303E4"/>
    <w:rsid w:val="00631C33"/>
    <w:rsid w:val="006377D0"/>
    <w:rsid w:val="00637972"/>
    <w:rsid w:val="00641904"/>
    <w:rsid w:val="0064468F"/>
    <w:rsid w:val="0065294B"/>
    <w:rsid w:val="00661185"/>
    <w:rsid w:val="006704C2"/>
    <w:rsid w:val="00684976"/>
    <w:rsid w:val="00684C32"/>
    <w:rsid w:val="00691DB0"/>
    <w:rsid w:val="0069579C"/>
    <w:rsid w:val="006A1158"/>
    <w:rsid w:val="006A1A27"/>
    <w:rsid w:val="006A4011"/>
    <w:rsid w:val="006A471F"/>
    <w:rsid w:val="006A5198"/>
    <w:rsid w:val="006A6FA3"/>
    <w:rsid w:val="006B6EB9"/>
    <w:rsid w:val="006C0F31"/>
    <w:rsid w:val="006C55BC"/>
    <w:rsid w:val="006C56EC"/>
    <w:rsid w:val="006C5913"/>
    <w:rsid w:val="006C7188"/>
    <w:rsid w:val="006D3EBB"/>
    <w:rsid w:val="006D4843"/>
    <w:rsid w:val="006D4EFA"/>
    <w:rsid w:val="006D5722"/>
    <w:rsid w:val="006E2763"/>
    <w:rsid w:val="006E6561"/>
    <w:rsid w:val="006F74A7"/>
    <w:rsid w:val="0070777E"/>
    <w:rsid w:val="00722201"/>
    <w:rsid w:val="00724CD3"/>
    <w:rsid w:val="00733A24"/>
    <w:rsid w:val="00736A39"/>
    <w:rsid w:val="007406DE"/>
    <w:rsid w:val="00742474"/>
    <w:rsid w:val="007433B6"/>
    <w:rsid w:val="0074366E"/>
    <w:rsid w:val="00746793"/>
    <w:rsid w:val="007524A1"/>
    <w:rsid w:val="007616C3"/>
    <w:rsid w:val="00763DD0"/>
    <w:rsid w:val="00763E75"/>
    <w:rsid w:val="0077156E"/>
    <w:rsid w:val="007777B8"/>
    <w:rsid w:val="007805A7"/>
    <w:rsid w:val="007819C3"/>
    <w:rsid w:val="00781FAF"/>
    <w:rsid w:val="0078446E"/>
    <w:rsid w:val="007900CD"/>
    <w:rsid w:val="0079033E"/>
    <w:rsid w:val="007A100D"/>
    <w:rsid w:val="007A60F4"/>
    <w:rsid w:val="007B3DC4"/>
    <w:rsid w:val="007B5708"/>
    <w:rsid w:val="007B69F5"/>
    <w:rsid w:val="007C2CDD"/>
    <w:rsid w:val="007C7447"/>
    <w:rsid w:val="007C7458"/>
    <w:rsid w:val="007D441F"/>
    <w:rsid w:val="007D4E27"/>
    <w:rsid w:val="007E3DA4"/>
    <w:rsid w:val="007F5F08"/>
    <w:rsid w:val="0080585C"/>
    <w:rsid w:val="00822FBE"/>
    <w:rsid w:val="00830A14"/>
    <w:rsid w:val="00831664"/>
    <w:rsid w:val="00832BAA"/>
    <w:rsid w:val="00833033"/>
    <w:rsid w:val="008373D0"/>
    <w:rsid w:val="00843CDD"/>
    <w:rsid w:val="00845741"/>
    <w:rsid w:val="00852BC1"/>
    <w:rsid w:val="00866593"/>
    <w:rsid w:val="00867C57"/>
    <w:rsid w:val="00871FEC"/>
    <w:rsid w:val="008847BB"/>
    <w:rsid w:val="00885368"/>
    <w:rsid w:val="00891D29"/>
    <w:rsid w:val="008954E9"/>
    <w:rsid w:val="008A0F8F"/>
    <w:rsid w:val="008A4C06"/>
    <w:rsid w:val="008B5017"/>
    <w:rsid w:val="008C1FAF"/>
    <w:rsid w:val="008C37C5"/>
    <w:rsid w:val="008C5384"/>
    <w:rsid w:val="008C7D70"/>
    <w:rsid w:val="008D2AEF"/>
    <w:rsid w:val="008D6707"/>
    <w:rsid w:val="008E3D21"/>
    <w:rsid w:val="008E68A7"/>
    <w:rsid w:val="008E701E"/>
    <w:rsid w:val="008F1278"/>
    <w:rsid w:val="008F2B1F"/>
    <w:rsid w:val="008F3CDC"/>
    <w:rsid w:val="00920E2C"/>
    <w:rsid w:val="0092595D"/>
    <w:rsid w:val="00925A37"/>
    <w:rsid w:val="00951D57"/>
    <w:rsid w:val="009522FA"/>
    <w:rsid w:val="00952A97"/>
    <w:rsid w:val="009532AE"/>
    <w:rsid w:val="009556AA"/>
    <w:rsid w:val="00956A26"/>
    <w:rsid w:val="0095739E"/>
    <w:rsid w:val="00962C53"/>
    <w:rsid w:val="009633E7"/>
    <w:rsid w:val="00972A85"/>
    <w:rsid w:val="009758EC"/>
    <w:rsid w:val="00984208"/>
    <w:rsid w:val="009A35EF"/>
    <w:rsid w:val="009A37B0"/>
    <w:rsid w:val="009A5F10"/>
    <w:rsid w:val="009C1CC2"/>
    <w:rsid w:val="009C488C"/>
    <w:rsid w:val="009C7579"/>
    <w:rsid w:val="009E4625"/>
    <w:rsid w:val="00A0647F"/>
    <w:rsid w:val="00A0735D"/>
    <w:rsid w:val="00A129E9"/>
    <w:rsid w:val="00A130AA"/>
    <w:rsid w:val="00A17548"/>
    <w:rsid w:val="00A20F47"/>
    <w:rsid w:val="00A2133E"/>
    <w:rsid w:val="00A36E34"/>
    <w:rsid w:val="00A437C0"/>
    <w:rsid w:val="00A4749D"/>
    <w:rsid w:val="00A50ACF"/>
    <w:rsid w:val="00A610F6"/>
    <w:rsid w:val="00A617F7"/>
    <w:rsid w:val="00A625DB"/>
    <w:rsid w:val="00A65C51"/>
    <w:rsid w:val="00A731A7"/>
    <w:rsid w:val="00A779D6"/>
    <w:rsid w:val="00A83C85"/>
    <w:rsid w:val="00A8508F"/>
    <w:rsid w:val="00A939D7"/>
    <w:rsid w:val="00A94859"/>
    <w:rsid w:val="00A95371"/>
    <w:rsid w:val="00A96209"/>
    <w:rsid w:val="00A96F78"/>
    <w:rsid w:val="00AA0C9A"/>
    <w:rsid w:val="00AA7F7A"/>
    <w:rsid w:val="00AB2974"/>
    <w:rsid w:val="00AD5D61"/>
    <w:rsid w:val="00AE6EF7"/>
    <w:rsid w:val="00AF3AD7"/>
    <w:rsid w:val="00AF7B2A"/>
    <w:rsid w:val="00B0713C"/>
    <w:rsid w:val="00B07904"/>
    <w:rsid w:val="00B07C4B"/>
    <w:rsid w:val="00B1109C"/>
    <w:rsid w:val="00B1110A"/>
    <w:rsid w:val="00B14C20"/>
    <w:rsid w:val="00B15D9E"/>
    <w:rsid w:val="00B2231F"/>
    <w:rsid w:val="00B2409D"/>
    <w:rsid w:val="00B31FF4"/>
    <w:rsid w:val="00B32DFF"/>
    <w:rsid w:val="00B3550A"/>
    <w:rsid w:val="00B36B0B"/>
    <w:rsid w:val="00B548B6"/>
    <w:rsid w:val="00B570AE"/>
    <w:rsid w:val="00B607C0"/>
    <w:rsid w:val="00B61F9A"/>
    <w:rsid w:val="00B77331"/>
    <w:rsid w:val="00B830EB"/>
    <w:rsid w:val="00B868FF"/>
    <w:rsid w:val="00B9317B"/>
    <w:rsid w:val="00B95E7C"/>
    <w:rsid w:val="00BC1290"/>
    <w:rsid w:val="00BD3CCA"/>
    <w:rsid w:val="00BD632C"/>
    <w:rsid w:val="00C010A7"/>
    <w:rsid w:val="00C040BC"/>
    <w:rsid w:val="00C05282"/>
    <w:rsid w:val="00C0680E"/>
    <w:rsid w:val="00C16A5F"/>
    <w:rsid w:val="00C255E1"/>
    <w:rsid w:val="00C34C1C"/>
    <w:rsid w:val="00C4547F"/>
    <w:rsid w:val="00C549D0"/>
    <w:rsid w:val="00C63032"/>
    <w:rsid w:val="00C84D69"/>
    <w:rsid w:val="00C9012E"/>
    <w:rsid w:val="00C93B37"/>
    <w:rsid w:val="00CA5249"/>
    <w:rsid w:val="00CB64D6"/>
    <w:rsid w:val="00CD504A"/>
    <w:rsid w:val="00CE12D1"/>
    <w:rsid w:val="00CF41FA"/>
    <w:rsid w:val="00D05F31"/>
    <w:rsid w:val="00D07D63"/>
    <w:rsid w:val="00D2047B"/>
    <w:rsid w:val="00D20A40"/>
    <w:rsid w:val="00D37060"/>
    <w:rsid w:val="00D40F23"/>
    <w:rsid w:val="00D42288"/>
    <w:rsid w:val="00D42B30"/>
    <w:rsid w:val="00D57167"/>
    <w:rsid w:val="00D62BA2"/>
    <w:rsid w:val="00D71E50"/>
    <w:rsid w:val="00D71E6D"/>
    <w:rsid w:val="00D7279D"/>
    <w:rsid w:val="00D76F46"/>
    <w:rsid w:val="00D9389B"/>
    <w:rsid w:val="00D93D79"/>
    <w:rsid w:val="00D968B9"/>
    <w:rsid w:val="00D97669"/>
    <w:rsid w:val="00DC76C2"/>
    <w:rsid w:val="00DD0BB7"/>
    <w:rsid w:val="00DD67B8"/>
    <w:rsid w:val="00DD753B"/>
    <w:rsid w:val="00DE6582"/>
    <w:rsid w:val="00E01F7F"/>
    <w:rsid w:val="00E070C6"/>
    <w:rsid w:val="00E11E05"/>
    <w:rsid w:val="00E35CB0"/>
    <w:rsid w:val="00E64E11"/>
    <w:rsid w:val="00E6730A"/>
    <w:rsid w:val="00E67E6B"/>
    <w:rsid w:val="00E7278C"/>
    <w:rsid w:val="00E740A1"/>
    <w:rsid w:val="00E74CE2"/>
    <w:rsid w:val="00EB0813"/>
    <w:rsid w:val="00EB3E1E"/>
    <w:rsid w:val="00EC622D"/>
    <w:rsid w:val="00EC7210"/>
    <w:rsid w:val="00ED264E"/>
    <w:rsid w:val="00ED2CC9"/>
    <w:rsid w:val="00ED629E"/>
    <w:rsid w:val="00ED7A59"/>
    <w:rsid w:val="00EE1878"/>
    <w:rsid w:val="00EE1E54"/>
    <w:rsid w:val="00EE2984"/>
    <w:rsid w:val="00EF24B9"/>
    <w:rsid w:val="00F003AF"/>
    <w:rsid w:val="00F1037C"/>
    <w:rsid w:val="00F12EF7"/>
    <w:rsid w:val="00F35254"/>
    <w:rsid w:val="00F43129"/>
    <w:rsid w:val="00F613D1"/>
    <w:rsid w:val="00F62C47"/>
    <w:rsid w:val="00F7424A"/>
    <w:rsid w:val="00F74DED"/>
    <w:rsid w:val="00F772C2"/>
    <w:rsid w:val="00F80F07"/>
    <w:rsid w:val="00F83574"/>
    <w:rsid w:val="00F835CD"/>
    <w:rsid w:val="00F97680"/>
    <w:rsid w:val="00F97E71"/>
    <w:rsid w:val="00FA6867"/>
    <w:rsid w:val="00FC280E"/>
    <w:rsid w:val="00FC5445"/>
    <w:rsid w:val="00FC578B"/>
    <w:rsid w:val="00FD109C"/>
    <w:rsid w:val="00FD1277"/>
    <w:rsid w:val="00FD6444"/>
    <w:rsid w:val="00FD794A"/>
    <w:rsid w:val="00FE5CAC"/>
    <w:rsid w:val="024141DC"/>
    <w:rsid w:val="031318D1"/>
    <w:rsid w:val="03B94246"/>
    <w:rsid w:val="03C2759E"/>
    <w:rsid w:val="03E97283"/>
    <w:rsid w:val="045645C0"/>
    <w:rsid w:val="058A237B"/>
    <w:rsid w:val="06CD5526"/>
    <w:rsid w:val="07140A9A"/>
    <w:rsid w:val="07FE1FF0"/>
    <w:rsid w:val="083329D8"/>
    <w:rsid w:val="087072CA"/>
    <w:rsid w:val="08AB0275"/>
    <w:rsid w:val="08C33641"/>
    <w:rsid w:val="08F22909"/>
    <w:rsid w:val="08F75C9D"/>
    <w:rsid w:val="096A282C"/>
    <w:rsid w:val="09B434E5"/>
    <w:rsid w:val="09F53119"/>
    <w:rsid w:val="0AE76F27"/>
    <w:rsid w:val="0BD460C1"/>
    <w:rsid w:val="0BF17FA9"/>
    <w:rsid w:val="0C434FF4"/>
    <w:rsid w:val="0C890F59"/>
    <w:rsid w:val="0D9A262A"/>
    <w:rsid w:val="0E170E01"/>
    <w:rsid w:val="0F9473FE"/>
    <w:rsid w:val="0FF03D3B"/>
    <w:rsid w:val="10D92909"/>
    <w:rsid w:val="11205904"/>
    <w:rsid w:val="1133610C"/>
    <w:rsid w:val="116B653C"/>
    <w:rsid w:val="120073C8"/>
    <w:rsid w:val="125C110E"/>
    <w:rsid w:val="125D10BB"/>
    <w:rsid w:val="12694F68"/>
    <w:rsid w:val="12700720"/>
    <w:rsid w:val="12C51DA8"/>
    <w:rsid w:val="13071A5B"/>
    <w:rsid w:val="130F5021"/>
    <w:rsid w:val="13282DDB"/>
    <w:rsid w:val="132C6ADB"/>
    <w:rsid w:val="139D5005"/>
    <w:rsid w:val="142D5185"/>
    <w:rsid w:val="1430449D"/>
    <w:rsid w:val="14DF373A"/>
    <w:rsid w:val="1608508A"/>
    <w:rsid w:val="16A05998"/>
    <w:rsid w:val="16D572E4"/>
    <w:rsid w:val="17401E27"/>
    <w:rsid w:val="178E68E1"/>
    <w:rsid w:val="17B111EE"/>
    <w:rsid w:val="17D44FBD"/>
    <w:rsid w:val="17D86A90"/>
    <w:rsid w:val="187769F1"/>
    <w:rsid w:val="19654911"/>
    <w:rsid w:val="19871A5C"/>
    <w:rsid w:val="1A9E3225"/>
    <w:rsid w:val="1BAA299A"/>
    <w:rsid w:val="1C7E157C"/>
    <w:rsid w:val="1CA81C4F"/>
    <w:rsid w:val="1E9159EE"/>
    <w:rsid w:val="1EA571D7"/>
    <w:rsid w:val="1EA96F39"/>
    <w:rsid w:val="1F037124"/>
    <w:rsid w:val="1F673C24"/>
    <w:rsid w:val="20232D1B"/>
    <w:rsid w:val="20D203BB"/>
    <w:rsid w:val="226D6F9C"/>
    <w:rsid w:val="22B834CC"/>
    <w:rsid w:val="22BA6C58"/>
    <w:rsid w:val="22F977E7"/>
    <w:rsid w:val="23D30D7C"/>
    <w:rsid w:val="24B3368D"/>
    <w:rsid w:val="24FF4DBF"/>
    <w:rsid w:val="256D300D"/>
    <w:rsid w:val="258C32D8"/>
    <w:rsid w:val="25D9654E"/>
    <w:rsid w:val="26C47DB8"/>
    <w:rsid w:val="277C2B6C"/>
    <w:rsid w:val="27EC7E96"/>
    <w:rsid w:val="28184F18"/>
    <w:rsid w:val="28BA659C"/>
    <w:rsid w:val="2B277B63"/>
    <w:rsid w:val="2B322BF8"/>
    <w:rsid w:val="2B9B5117"/>
    <w:rsid w:val="2C4D184B"/>
    <w:rsid w:val="2CB02D9F"/>
    <w:rsid w:val="2CE52E0A"/>
    <w:rsid w:val="2D637948"/>
    <w:rsid w:val="2D684AB0"/>
    <w:rsid w:val="2DC51834"/>
    <w:rsid w:val="2DDA637C"/>
    <w:rsid w:val="2E3A29A3"/>
    <w:rsid w:val="2EC7583D"/>
    <w:rsid w:val="2F0A59C4"/>
    <w:rsid w:val="30F027A5"/>
    <w:rsid w:val="32076F12"/>
    <w:rsid w:val="321E6765"/>
    <w:rsid w:val="32545E6A"/>
    <w:rsid w:val="32B1544F"/>
    <w:rsid w:val="32F075DE"/>
    <w:rsid w:val="336851BD"/>
    <w:rsid w:val="339B25AB"/>
    <w:rsid w:val="33CF0D98"/>
    <w:rsid w:val="348C146E"/>
    <w:rsid w:val="34F27CC6"/>
    <w:rsid w:val="35A95619"/>
    <w:rsid w:val="35F95F98"/>
    <w:rsid w:val="37820855"/>
    <w:rsid w:val="378C532A"/>
    <w:rsid w:val="38830D8A"/>
    <w:rsid w:val="38C45C47"/>
    <w:rsid w:val="3A0379ED"/>
    <w:rsid w:val="3A375EC4"/>
    <w:rsid w:val="3A49589C"/>
    <w:rsid w:val="3A5C534F"/>
    <w:rsid w:val="3A6B1ECF"/>
    <w:rsid w:val="3A906225"/>
    <w:rsid w:val="3BF42446"/>
    <w:rsid w:val="3C06542B"/>
    <w:rsid w:val="3C232A14"/>
    <w:rsid w:val="3C243C4B"/>
    <w:rsid w:val="3C6E1044"/>
    <w:rsid w:val="3CB054DF"/>
    <w:rsid w:val="3CD23946"/>
    <w:rsid w:val="3D261A25"/>
    <w:rsid w:val="3E1D2536"/>
    <w:rsid w:val="3ED45096"/>
    <w:rsid w:val="40692574"/>
    <w:rsid w:val="40B11F25"/>
    <w:rsid w:val="40B8336F"/>
    <w:rsid w:val="40EA22D0"/>
    <w:rsid w:val="41011831"/>
    <w:rsid w:val="42C321E3"/>
    <w:rsid w:val="435B2AD7"/>
    <w:rsid w:val="43E65A72"/>
    <w:rsid w:val="440C7F8D"/>
    <w:rsid w:val="4428109E"/>
    <w:rsid w:val="445F69EB"/>
    <w:rsid w:val="44CF424F"/>
    <w:rsid w:val="44FE7ACA"/>
    <w:rsid w:val="454F4568"/>
    <w:rsid w:val="4550785F"/>
    <w:rsid w:val="45706814"/>
    <w:rsid w:val="45AB4E37"/>
    <w:rsid w:val="45B707FB"/>
    <w:rsid w:val="45BE1574"/>
    <w:rsid w:val="46004CC6"/>
    <w:rsid w:val="463A607F"/>
    <w:rsid w:val="46B721AC"/>
    <w:rsid w:val="46CB1893"/>
    <w:rsid w:val="46E23F0F"/>
    <w:rsid w:val="46F63507"/>
    <w:rsid w:val="46F96E62"/>
    <w:rsid w:val="47207120"/>
    <w:rsid w:val="477B2FAE"/>
    <w:rsid w:val="483B5A4C"/>
    <w:rsid w:val="490002A0"/>
    <w:rsid w:val="494122E2"/>
    <w:rsid w:val="49F22E5E"/>
    <w:rsid w:val="4A133393"/>
    <w:rsid w:val="4A7A052A"/>
    <w:rsid w:val="4AB06881"/>
    <w:rsid w:val="4AB32D0C"/>
    <w:rsid w:val="4AE96514"/>
    <w:rsid w:val="4B231CEA"/>
    <w:rsid w:val="4B286C8B"/>
    <w:rsid w:val="4BA64472"/>
    <w:rsid w:val="4CEC18C2"/>
    <w:rsid w:val="4DB115E5"/>
    <w:rsid w:val="4FCE631F"/>
    <w:rsid w:val="4FD5108C"/>
    <w:rsid w:val="4FDA4D75"/>
    <w:rsid w:val="512824DF"/>
    <w:rsid w:val="520B327F"/>
    <w:rsid w:val="52450A6B"/>
    <w:rsid w:val="530A5A72"/>
    <w:rsid w:val="531A233B"/>
    <w:rsid w:val="539C1B4C"/>
    <w:rsid w:val="540C51E5"/>
    <w:rsid w:val="54602A07"/>
    <w:rsid w:val="549728DF"/>
    <w:rsid w:val="54AA7074"/>
    <w:rsid w:val="54AF69C2"/>
    <w:rsid w:val="54E52762"/>
    <w:rsid w:val="54EA5CFF"/>
    <w:rsid w:val="55444E7D"/>
    <w:rsid w:val="55743D0D"/>
    <w:rsid w:val="55D622FA"/>
    <w:rsid w:val="55EB5D70"/>
    <w:rsid w:val="56314DDD"/>
    <w:rsid w:val="56841443"/>
    <w:rsid w:val="56AF292A"/>
    <w:rsid w:val="56BE6D1E"/>
    <w:rsid w:val="57114DA6"/>
    <w:rsid w:val="574330DD"/>
    <w:rsid w:val="578E547B"/>
    <w:rsid w:val="57BA3C8B"/>
    <w:rsid w:val="587A4EC7"/>
    <w:rsid w:val="5A1C2DE0"/>
    <w:rsid w:val="5A605BC3"/>
    <w:rsid w:val="5B2801B6"/>
    <w:rsid w:val="5B337230"/>
    <w:rsid w:val="5B6A103A"/>
    <w:rsid w:val="5B7250DA"/>
    <w:rsid w:val="5B7B6F90"/>
    <w:rsid w:val="5BC92176"/>
    <w:rsid w:val="5C0C22DA"/>
    <w:rsid w:val="5CCF29EE"/>
    <w:rsid w:val="5D4D151D"/>
    <w:rsid w:val="5D5C1A81"/>
    <w:rsid w:val="5E215BF2"/>
    <w:rsid w:val="5E681402"/>
    <w:rsid w:val="5EF872DF"/>
    <w:rsid w:val="60A72DA9"/>
    <w:rsid w:val="61887833"/>
    <w:rsid w:val="61B32201"/>
    <w:rsid w:val="62894AA4"/>
    <w:rsid w:val="62D957B2"/>
    <w:rsid w:val="63005858"/>
    <w:rsid w:val="640115C4"/>
    <w:rsid w:val="65527A8B"/>
    <w:rsid w:val="6604433E"/>
    <w:rsid w:val="66A15EC8"/>
    <w:rsid w:val="66A851F0"/>
    <w:rsid w:val="66F75934"/>
    <w:rsid w:val="67746BAD"/>
    <w:rsid w:val="68807C45"/>
    <w:rsid w:val="69A41DA4"/>
    <w:rsid w:val="69FA2D97"/>
    <w:rsid w:val="6A10235D"/>
    <w:rsid w:val="6A3C4E7F"/>
    <w:rsid w:val="6AF80C0A"/>
    <w:rsid w:val="6B9D61A3"/>
    <w:rsid w:val="6BAA0FA6"/>
    <w:rsid w:val="6D2D3E5E"/>
    <w:rsid w:val="6E2C310F"/>
    <w:rsid w:val="6E433D4C"/>
    <w:rsid w:val="6ED83431"/>
    <w:rsid w:val="6FC00ECA"/>
    <w:rsid w:val="6FCA5E2A"/>
    <w:rsid w:val="6FDA2167"/>
    <w:rsid w:val="70593D8C"/>
    <w:rsid w:val="705D2CAC"/>
    <w:rsid w:val="70D40212"/>
    <w:rsid w:val="70ED20D3"/>
    <w:rsid w:val="71796A7B"/>
    <w:rsid w:val="71C34851"/>
    <w:rsid w:val="71EC2296"/>
    <w:rsid w:val="722D639D"/>
    <w:rsid w:val="723B19A6"/>
    <w:rsid w:val="72DB17DE"/>
    <w:rsid w:val="738B2CF1"/>
    <w:rsid w:val="73B73DD2"/>
    <w:rsid w:val="73EF3D7E"/>
    <w:rsid w:val="73FB02E9"/>
    <w:rsid w:val="74E76ED0"/>
    <w:rsid w:val="7517271E"/>
    <w:rsid w:val="751E4025"/>
    <w:rsid w:val="760D4365"/>
    <w:rsid w:val="76651342"/>
    <w:rsid w:val="7705705D"/>
    <w:rsid w:val="770957CF"/>
    <w:rsid w:val="79050385"/>
    <w:rsid w:val="79976D4D"/>
    <w:rsid w:val="79AB0441"/>
    <w:rsid w:val="7AD419FF"/>
    <w:rsid w:val="7B5F3D7C"/>
    <w:rsid w:val="7BE944F5"/>
    <w:rsid w:val="7C220811"/>
    <w:rsid w:val="7C367028"/>
    <w:rsid w:val="7D0421BC"/>
    <w:rsid w:val="7D367A2D"/>
    <w:rsid w:val="7D635D0C"/>
    <w:rsid w:val="7F042647"/>
    <w:rsid w:val="7F3D0469"/>
    <w:rsid w:val="7FE26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26BFEB"/>
  <w15:docId w15:val="{DBCF603A-6183-42D7-B711-0E3FD0CF3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toc 9" w:qFormat="1"/>
    <w:lsdException w:name="Normal Indent"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Body Text" w:uiPriority="1" w:qFormat="1"/>
    <w:lsdException w:name="Subtitle" w:qFormat="1"/>
    <w:lsdException w:name="Body Text Indent 2"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1"/>
    <w:unhideWhenUsed/>
    <w:qFormat/>
    <w:pPr>
      <w:keepNext/>
      <w:keepLines/>
      <w:spacing w:line="360" w:lineRule="auto"/>
      <w:ind w:firstLineChars="200" w:firstLine="200"/>
      <w:outlineLvl w:val="1"/>
    </w:pPr>
    <w:rPr>
      <w:rFonts w:ascii="Arial" w:eastAsia="仿宋" w:hAnsi="Arial"/>
      <w:b/>
      <w:sz w:val="32"/>
    </w:rPr>
  </w:style>
  <w:style w:type="paragraph" w:styleId="3">
    <w:name w:val="heading 3"/>
    <w:basedOn w:val="a"/>
    <w:next w:val="a"/>
    <w:unhideWhenUsed/>
    <w:qFormat/>
    <w:pPr>
      <w:keepNext/>
      <w:keepLines/>
      <w:spacing w:before="260" w:after="260" w:line="413" w:lineRule="auto"/>
      <w:outlineLvl w:val="2"/>
    </w:pPr>
    <w:rPr>
      <w:b/>
      <w:sz w:val="32"/>
    </w:rPr>
  </w:style>
  <w:style w:type="paragraph" w:styleId="4">
    <w:name w:val="heading 4"/>
    <w:basedOn w:val="a"/>
    <w:next w:val="a"/>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6">
    <w:name w:val="heading 6"/>
    <w:basedOn w:val="a"/>
    <w:next w:val="a"/>
    <w:uiPriority w:val="9"/>
    <w:qFormat/>
    <w:pPr>
      <w:keepNext/>
      <w:keepLines/>
      <w:spacing w:line="360" w:lineRule="auto"/>
      <w:outlineLvl w:val="5"/>
    </w:pPr>
    <w:rPr>
      <w:rFonts w:ascii="Cambria" w:hAnsi="Cambria" w:cs="Times New Roman"/>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qFormat/>
    <w:pPr>
      <w:ind w:firstLineChars="200" w:firstLine="420"/>
    </w:pPr>
  </w:style>
  <w:style w:type="paragraph" w:styleId="a4">
    <w:name w:val="annotation text"/>
    <w:basedOn w:val="a"/>
    <w:link w:val="a5"/>
    <w:qFormat/>
    <w:pPr>
      <w:jc w:val="left"/>
    </w:pPr>
  </w:style>
  <w:style w:type="paragraph" w:styleId="a6">
    <w:name w:val="Body Text"/>
    <w:basedOn w:val="a"/>
    <w:link w:val="a7"/>
    <w:uiPriority w:val="1"/>
    <w:qFormat/>
    <w:rPr>
      <w:rFonts w:eastAsia="仿宋_GB2312"/>
      <w:sz w:val="32"/>
      <w:szCs w:val="32"/>
    </w:rPr>
  </w:style>
  <w:style w:type="paragraph" w:styleId="TOC3">
    <w:name w:val="toc 3"/>
    <w:basedOn w:val="a"/>
    <w:next w:val="a"/>
    <w:qFormat/>
    <w:pPr>
      <w:ind w:leftChars="400" w:left="840"/>
    </w:pPr>
  </w:style>
  <w:style w:type="paragraph" w:styleId="20">
    <w:name w:val="Body Text Indent 2"/>
    <w:basedOn w:val="a"/>
    <w:next w:val="TOC9"/>
    <w:qFormat/>
    <w:pPr>
      <w:spacing w:after="120" w:line="480" w:lineRule="auto"/>
      <w:ind w:leftChars="200" w:left="420"/>
    </w:pPr>
    <w:rPr>
      <w:rFonts w:ascii="Calibri" w:eastAsia="宋体" w:hAnsi="Calibri"/>
    </w:rPr>
  </w:style>
  <w:style w:type="paragraph" w:styleId="TOC9">
    <w:name w:val="toc 9"/>
    <w:basedOn w:val="a"/>
    <w:next w:val="a"/>
    <w:qFormat/>
    <w:pPr>
      <w:wordWrap w:val="0"/>
      <w:ind w:left="2975"/>
    </w:pPr>
    <w:rPr>
      <w:rFonts w:ascii="Calibri" w:eastAsia="宋体" w:hAnsi="Calibri" w:cs="Times New Roman"/>
    </w:rPr>
  </w:style>
  <w:style w:type="paragraph" w:styleId="a8">
    <w:name w:val="Balloon Text"/>
    <w:basedOn w:val="a"/>
    <w:link w:val="a9"/>
    <w:semiHidden/>
    <w:unhideWhenUsed/>
    <w:qFormat/>
    <w:rPr>
      <w:sz w:val="18"/>
      <w:szCs w:val="18"/>
    </w:rPr>
  </w:style>
  <w:style w:type="paragraph" w:styleId="aa">
    <w:name w:val="footer"/>
    <w:basedOn w:val="a"/>
    <w:link w:val="ab"/>
    <w:uiPriority w:val="99"/>
    <w:qFormat/>
    <w:pPr>
      <w:tabs>
        <w:tab w:val="center" w:pos="4153"/>
        <w:tab w:val="right" w:pos="8306"/>
      </w:tabs>
      <w:snapToGrid w:val="0"/>
      <w:jc w:val="left"/>
    </w:pPr>
    <w:rPr>
      <w:sz w:val="18"/>
    </w:rPr>
  </w:style>
  <w:style w:type="paragraph" w:styleId="ac">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d">
    <w:name w:val="annotation subject"/>
    <w:basedOn w:val="a4"/>
    <w:next w:val="a4"/>
    <w:link w:val="ae"/>
    <w:semiHidden/>
    <w:unhideWhenUsed/>
    <w:qFormat/>
    <w:rPr>
      <w:b/>
      <w:bCs/>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qFormat/>
    <w:rPr>
      <w:b/>
    </w:rPr>
  </w:style>
  <w:style w:type="character" w:styleId="af1">
    <w:name w:val="Hyperlink"/>
    <w:basedOn w:val="a0"/>
    <w:uiPriority w:val="99"/>
    <w:unhideWhenUsed/>
    <w:qFormat/>
    <w:rPr>
      <w:color w:val="0563C1" w:themeColor="hyperlink"/>
      <w:u w:val="single"/>
    </w:rPr>
  </w:style>
  <w:style w:type="character" w:styleId="af2">
    <w:name w:val="annotation reference"/>
    <w:basedOn w:val="a0"/>
    <w:qFormat/>
    <w:rPr>
      <w:sz w:val="21"/>
      <w:szCs w:val="21"/>
    </w:rPr>
  </w:style>
  <w:style w:type="paragraph" w:customStyle="1" w:styleId="210">
    <w:name w:val="正文文本缩进 21"/>
    <w:basedOn w:val="a"/>
    <w:next w:val="ac"/>
    <w:qFormat/>
    <w:pPr>
      <w:spacing w:line="480" w:lineRule="auto"/>
      <w:ind w:leftChars="200" w:left="420"/>
    </w:pPr>
  </w:style>
  <w:style w:type="paragraph" w:customStyle="1" w:styleId="22">
    <w:name w:val="样式  + 首行缩进:  2 字符"/>
    <w:basedOn w:val="a"/>
    <w:qFormat/>
    <w:pPr>
      <w:adjustRightInd w:val="0"/>
      <w:snapToGrid w:val="0"/>
      <w:ind w:firstLine="480"/>
    </w:pPr>
    <w:rPr>
      <w:kern w:val="0"/>
      <w:sz w:val="24"/>
    </w:rPr>
  </w:style>
  <w:style w:type="paragraph" w:styleId="af3">
    <w:name w:val="List Paragraph"/>
    <w:basedOn w:val="a"/>
    <w:uiPriority w:val="99"/>
    <w:qFormat/>
    <w:pPr>
      <w:ind w:firstLineChars="200" w:firstLine="420"/>
    </w:p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character" w:customStyle="1" w:styleId="10">
    <w:name w:val="标题 1 字符"/>
    <w:basedOn w:val="a0"/>
    <w:link w:val="1"/>
    <w:qFormat/>
    <w:rPr>
      <w:rFonts w:asciiTheme="minorHAnsi" w:eastAsiaTheme="minorEastAsia" w:hAnsiTheme="minorHAnsi" w:cstheme="minorBidi"/>
      <w:b/>
      <w:bCs/>
      <w:kern w:val="44"/>
      <w:sz w:val="44"/>
      <w:szCs w:val="44"/>
    </w:rPr>
  </w:style>
  <w:style w:type="character" w:customStyle="1" w:styleId="23">
    <w:name w:val="标题 2 字符"/>
    <w:qFormat/>
    <w:rPr>
      <w:rFonts w:ascii="Arial" w:eastAsia="仿宋" w:hAnsi="Arial"/>
      <w:b/>
      <w:sz w:val="32"/>
    </w:rPr>
  </w:style>
  <w:style w:type="character" w:customStyle="1" w:styleId="ab">
    <w:name w:val="页脚 字符"/>
    <w:basedOn w:val="a0"/>
    <w:link w:val="aa"/>
    <w:uiPriority w:val="99"/>
    <w:qFormat/>
    <w:rPr>
      <w:rFonts w:asciiTheme="minorHAnsi" w:eastAsiaTheme="minorEastAsia" w:hAnsiTheme="minorHAnsi" w:cstheme="minorBidi"/>
      <w:kern w:val="2"/>
      <w:sz w:val="18"/>
      <w:szCs w:val="22"/>
    </w:rPr>
  </w:style>
  <w:style w:type="character" w:customStyle="1" w:styleId="font11">
    <w:name w:val="font11"/>
    <w:basedOn w:val="a0"/>
    <w:qFormat/>
    <w:rPr>
      <w:rFonts w:ascii="宋体" w:eastAsia="宋体" w:hAnsi="宋体" w:cs="宋体" w:hint="eastAsia"/>
      <w:color w:val="000000"/>
      <w:sz w:val="20"/>
      <w:szCs w:val="20"/>
      <w:u w:val="none"/>
    </w:rPr>
  </w:style>
  <w:style w:type="character" w:customStyle="1" w:styleId="a5">
    <w:name w:val="批注文字 字符"/>
    <w:basedOn w:val="a0"/>
    <w:link w:val="a4"/>
    <w:qFormat/>
    <w:rPr>
      <w:rFonts w:asciiTheme="minorHAnsi" w:eastAsiaTheme="minorEastAsia" w:hAnsiTheme="minorHAnsi" w:cstheme="minorBidi"/>
      <w:kern w:val="2"/>
      <w:sz w:val="21"/>
      <w:szCs w:val="22"/>
    </w:rPr>
  </w:style>
  <w:style w:type="character" w:customStyle="1" w:styleId="ae">
    <w:name w:val="批注主题 字符"/>
    <w:basedOn w:val="a5"/>
    <w:link w:val="ad"/>
    <w:semiHidden/>
    <w:qFormat/>
    <w:rPr>
      <w:rFonts w:asciiTheme="minorHAnsi" w:eastAsiaTheme="minorEastAsia" w:hAnsiTheme="minorHAnsi" w:cstheme="minorBidi"/>
      <w:b/>
      <w:bCs/>
      <w:kern w:val="2"/>
      <w:sz w:val="21"/>
      <w:szCs w:val="22"/>
    </w:rPr>
  </w:style>
  <w:style w:type="character" w:customStyle="1" w:styleId="a9">
    <w:name w:val="批注框文本 字符"/>
    <w:basedOn w:val="a0"/>
    <w:link w:val="a8"/>
    <w:semiHidden/>
    <w:qFormat/>
    <w:rPr>
      <w:rFonts w:asciiTheme="minorHAnsi" w:eastAsiaTheme="minorEastAsia" w:hAnsiTheme="minorHAnsi" w:cstheme="minorBidi"/>
      <w:kern w:val="2"/>
      <w:sz w:val="18"/>
      <w:szCs w:val="18"/>
    </w:rPr>
  </w:style>
  <w:style w:type="character" w:customStyle="1" w:styleId="font41">
    <w:name w:val="font41"/>
    <w:basedOn w:val="a0"/>
    <w:qFormat/>
    <w:rPr>
      <w:rFonts w:ascii="Arial" w:hAnsi="Arial" w:cs="Arial" w:hint="default"/>
      <w:color w:val="000000"/>
      <w:sz w:val="20"/>
      <w:szCs w:val="20"/>
      <w:u w:val="none"/>
    </w:rPr>
  </w:style>
  <w:style w:type="character" w:customStyle="1" w:styleId="font21">
    <w:name w:val="font21"/>
    <w:basedOn w:val="a0"/>
    <w:qFormat/>
    <w:rPr>
      <w:rFonts w:ascii="宋体" w:eastAsia="宋体" w:hAnsi="宋体" w:cs="宋体" w:hint="eastAsia"/>
      <w:color w:val="000000"/>
      <w:sz w:val="20"/>
      <w:szCs w:val="20"/>
      <w:u w:val="none"/>
    </w:rPr>
  </w:style>
  <w:style w:type="character" w:customStyle="1" w:styleId="21">
    <w:name w:val="标题 2 字符1"/>
    <w:link w:val="2"/>
    <w:qFormat/>
    <w:rPr>
      <w:rFonts w:ascii="Arial" w:eastAsia="仿宋" w:hAnsi="Arial"/>
      <w:b/>
      <w:sz w:val="32"/>
    </w:rPr>
  </w:style>
  <w:style w:type="paragraph" w:customStyle="1" w:styleId="11">
    <w:name w:val="绩效1"/>
    <w:basedOn w:val="a6"/>
    <w:link w:val="12"/>
    <w:qFormat/>
    <w:pPr>
      <w:overflowPunct w:val="0"/>
      <w:spacing w:line="560" w:lineRule="exact"/>
      <w:ind w:firstLineChars="200" w:firstLine="200"/>
      <w:outlineLvl w:val="0"/>
    </w:pPr>
    <w:rPr>
      <w:rFonts w:ascii="黑体" w:eastAsia="黑体"/>
    </w:rPr>
  </w:style>
  <w:style w:type="character" w:customStyle="1" w:styleId="a7">
    <w:name w:val="正文文本 字符"/>
    <w:basedOn w:val="a0"/>
    <w:link w:val="a6"/>
    <w:uiPriority w:val="1"/>
    <w:qFormat/>
    <w:rPr>
      <w:rFonts w:asciiTheme="minorHAnsi" w:eastAsia="仿宋_GB2312" w:hAnsiTheme="minorHAnsi" w:cstheme="minorBidi"/>
      <w:kern w:val="2"/>
      <w:sz w:val="32"/>
      <w:szCs w:val="32"/>
    </w:rPr>
  </w:style>
  <w:style w:type="character" w:customStyle="1" w:styleId="12">
    <w:name w:val="绩效1 字符"/>
    <w:basedOn w:val="a7"/>
    <w:link w:val="11"/>
    <w:qFormat/>
    <w:rPr>
      <w:rFonts w:ascii="黑体" w:eastAsia="黑体" w:hAnsiTheme="minorHAnsi" w:cstheme="minorBidi"/>
      <w:kern w:val="2"/>
      <w:sz w:val="32"/>
      <w:szCs w:val="32"/>
    </w:rPr>
  </w:style>
  <w:style w:type="paragraph" w:customStyle="1" w:styleId="24">
    <w:name w:val="绩效2"/>
    <w:basedOn w:val="a6"/>
    <w:link w:val="25"/>
    <w:qFormat/>
    <w:pPr>
      <w:overflowPunct w:val="0"/>
      <w:spacing w:line="560" w:lineRule="exact"/>
      <w:ind w:firstLineChars="200" w:firstLine="200"/>
      <w:outlineLvl w:val="1"/>
    </w:pPr>
    <w:rPr>
      <w:rFonts w:ascii="楷体" w:eastAsia="楷体" w:hAnsi="楷体" w:cs="楷体"/>
      <w:b/>
      <w:bCs/>
    </w:rPr>
  </w:style>
  <w:style w:type="character" w:customStyle="1" w:styleId="25">
    <w:name w:val="绩效2 字符"/>
    <w:basedOn w:val="a7"/>
    <w:link w:val="24"/>
    <w:qFormat/>
    <w:rPr>
      <w:rFonts w:ascii="楷体" w:eastAsia="楷体" w:hAnsi="楷体" w:cs="楷体"/>
      <w:b/>
      <w:bCs/>
      <w:kern w:val="2"/>
      <w:sz w:val="32"/>
      <w:szCs w:val="32"/>
    </w:rPr>
  </w:style>
  <w:style w:type="paragraph" w:customStyle="1" w:styleId="af4">
    <w:name w:val="绩效正文"/>
    <w:basedOn w:val="a6"/>
    <w:link w:val="af5"/>
    <w:qFormat/>
    <w:pPr>
      <w:overflowPunct w:val="0"/>
      <w:spacing w:line="560" w:lineRule="exact"/>
      <w:ind w:firstLineChars="200" w:firstLine="200"/>
    </w:pPr>
    <w:rPr>
      <w:rFonts w:ascii="仿宋_GB2312" w:hAnsi="仿宋_GB2312" w:cs="仿宋_GB2312"/>
    </w:rPr>
  </w:style>
  <w:style w:type="character" w:customStyle="1" w:styleId="af5">
    <w:name w:val="绩效正文 字符"/>
    <w:basedOn w:val="a7"/>
    <w:link w:val="af4"/>
    <w:qFormat/>
    <w:rPr>
      <w:rFonts w:ascii="仿宋_GB2312" w:eastAsia="仿宋_GB2312" w:hAnsi="仿宋_GB2312" w:cs="仿宋_GB2312"/>
      <w:kern w:val="2"/>
      <w:sz w:val="32"/>
      <w:szCs w:val="32"/>
    </w:rPr>
  </w:style>
  <w:style w:type="character" w:customStyle="1" w:styleId="40">
    <w:name w:val="标题 4 字符"/>
    <w:basedOn w:val="a0"/>
    <w:link w:val="4"/>
    <w:qFormat/>
    <w:rPr>
      <w:rFonts w:asciiTheme="majorHAnsi" w:eastAsiaTheme="majorEastAsia" w:hAnsiTheme="majorHAnsi" w:cstheme="majorBidi"/>
      <w:b/>
      <w:bCs/>
      <w:kern w:val="2"/>
      <w:sz w:val="28"/>
      <w:szCs w:val="28"/>
    </w:rPr>
  </w:style>
  <w:style w:type="paragraph" w:customStyle="1" w:styleId="30">
    <w:name w:val="绩效3"/>
    <w:basedOn w:val="a6"/>
    <w:link w:val="31"/>
    <w:qFormat/>
    <w:pPr>
      <w:overflowPunct w:val="0"/>
      <w:spacing w:line="560" w:lineRule="exact"/>
      <w:ind w:firstLineChars="200" w:firstLine="643"/>
      <w:outlineLvl w:val="2"/>
    </w:pPr>
    <w:rPr>
      <w:rFonts w:ascii="仿宋_GB2312" w:hAnsi="仿宋_GB2312" w:cs="仿宋_GB2312"/>
      <w:b/>
      <w:bCs/>
      <w:color w:val="000000" w:themeColor="text1"/>
    </w:rPr>
  </w:style>
  <w:style w:type="character" w:customStyle="1" w:styleId="31">
    <w:name w:val="绩效3 字符"/>
    <w:basedOn w:val="a7"/>
    <w:link w:val="30"/>
    <w:qFormat/>
    <w:rPr>
      <w:rFonts w:ascii="仿宋_GB2312" w:eastAsia="仿宋_GB2312" w:hAnsi="仿宋_GB2312" w:cs="仿宋_GB2312"/>
      <w:b/>
      <w:bCs/>
      <w:color w:val="000000" w:themeColor="text1"/>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hart" Target="charts/chart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t>      </a:t>
            </a:r>
            <a:r>
              <a:rPr lang="zh-CN" altLang="en-US"/>
              <a:t>文化建设宣传经费</a:t>
            </a:r>
            <a:r>
              <a:rPr lang="zh-CN"/>
              <a:t>项目绩效评价指标得分情况</a:t>
            </a:r>
          </a:p>
        </c:rich>
      </c:tx>
      <c:layout>
        <c:manualLayout>
          <c:xMode val="edge"/>
          <c:yMode val="edge"/>
          <c:x val="0.14797536320958099"/>
          <c:y val="1.81273031706581E-2"/>
        </c:manualLayout>
      </c:layout>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manualLayout>
          <c:layoutTarget val="inner"/>
          <c:xMode val="edge"/>
          <c:yMode val="edge"/>
          <c:x val="0.125233904767623"/>
          <c:y val="0.124365532381998"/>
          <c:w val="0.8337"/>
          <c:h val="0.57630000000000003"/>
        </c:manualLayout>
      </c:layout>
      <c:barChart>
        <c:barDir val="col"/>
        <c:grouping val="clustered"/>
        <c:varyColors val="0"/>
        <c:ser>
          <c:idx val="0"/>
          <c:order val="0"/>
          <c:tx>
            <c:strRef>
              <c:f>Sheet1!$B$1</c:f>
              <c:strCache>
                <c:ptCount val="1"/>
                <c:pt idx="0">
                  <c:v>权重</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成本指标</c:v>
                </c:pt>
                <c:pt idx="3">
                  <c:v>产出指标</c:v>
                </c:pt>
                <c:pt idx="4">
                  <c:v>效益指标</c:v>
                </c:pt>
              </c:strCache>
            </c:strRef>
          </c:cat>
          <c:val>
            <c:numRef>
              <c:f>Sheet1!$B$2:$B$6</c:f>
              <c:numCache>
                <c:formatCode>General</c:formatCode>
                <c:ptCount val="5"/>
                <c:pt idx="0">
                  <c:v>15</c:v>
                </c:pt>
                <c:pt idx="1">
                  <c:v>21</c:v>
                </c:pt>
                <c:pt idx="2">
                  <c:v>10</c:v>
                </c:pt>
                <c:pt idx="3">
                  <c:v>24</c:v>
                </c:pt>
                <c:pt idx="4">
                  <c:v>30</c:v>
                </c:pt>
              </c:numCache>
            </c:numRef>
          </c:val>
          <c:extLst>
            <c:ext xmlns:c16="http://schemas.microsoft.com/office/drawing/2014/chart" uri="{C3380CC4-5D6E-409C-BE32-E72D297353CC}">
              <c16:uniqueId val="{00000000-496B-429D-AE39-B1372A46320F}"/>
            </c:ext>
          </c:extLst>
        </c:ser>
        <c:ser>
          <c:idx val="1"/>
          <c:order val="1"/>
          <c:tx>
            <c:strRef>
              <c:f>Sheet1!$C$1</c:f>
              <c:strCache>
                <c:ptCount val="1"/>
                <c:pt idx="0">
                  <c:v>得分</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成本指标</c:v>
                </c:pt>
                <c:pt idx="3">
                  <c:v>产出指标</c:v>
                </c:pt>
                <c:pt idx="4">
                  <c:v>效益指标</c:v>
                </c:pt>
              </c:strCache>
            </c:strRef>
          </c:cat>
          <c:val>
            <c:numRef>
              <c:f>Sheet1!$C$2:$C$6</c:f>
              <c:numCache>
                <c:formatCode>General</c:formatCode>
                <c:ptCount val="5"/>
                <c:pt idx="0">
                  <c:v>15</c:v>
                </c:pt>
                <c:pt idx="1">
                  <c:v>17.54</c:v>
                </c:pt>
                <c:pt idx="2">
                  <c:v>10</c:v>
                </c:pt>
                <c:pt idx="3">
                  <c:v>24</c:v>
                </c:pt>
                <c:pt idx="4">
                  <c:v>30</c:v>
                </c:pt>
              </c:numCache>
            </c:numRef>
          </c:val>
          <c:extLst>
            <c:ext xmlns:c16="http://schemas.microsoft.com/office/drawing/2014/chart" uri="{C3380CC4-5D6E-409C-BE32-E72D297353CC}">
              <c16:uniqueId val="{00000001-496B-429D-AE39-B1372A46320F}"/>
            </c:ext>
          </c:extLst>
        </c:ser>
        <c:ser>
          <c:idx val="2"/>
          <c:order val="2"/>
          <c:tx>
            <c:strRef>
              <c:f>Sheet1!$D$1</c:f>
              <c:strCache>
                <c:ptCount val="1"/>
                <c:pt idx="0">
                  <c:v>得分率</c:v>
                </c:pt>
              </c:strCache>
            </c:strRef>
          </c:tx>
          <c:spPr>
            <a:solidFill>
              <a:schemeClr val="accent3"/>
            </a:solidFill>
            <a:ln>
              <a:noFill/>
            </a:ln>
            <a:effectLst/>
          </c:spPr>
          <c:invertIfNegative val="0"/>
          <c:dLbls>
            <c:dLbl>
              <c:idx val="0"/>
              <c:layout>
                <c:manualLayout>
                  <c:x val="1.7531556802244001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96B-429D-AE39-B1372A46320F}"/>
                </c:ext>
              </c:extLst>
            </c:dLbl>
            <c:dLbl>
              <c:idx val="1"/>
              <c:layout>
                <c:manualLayout>
                  <c:x val="2.454417952314169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96B-429D-AE39-B1372A46320F}"/>
                </c:ext>
              </c:extLst>
            </c:dLbl>
            <c:dLbl>
              <c:idx val="2"/>
              <c:layout>
                <c:manualLayout>
                  <c:x val="2.1037868162692801E-2"/>
                  <c:y val="4.935022207599930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96B-429D-AE39-B1372A46320F}"/>
                </c:ext>
              </c:extLst>
            </c:dLbl>
            <c:dLbl>
              <c:idx val="3"/>
              <c:layout>
                <c:manualLayout>
                  <c:x val="2.279102384291729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96B-429D-AE39-B1372A46320F}"/>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成本指标</c:v>
                </c:pt>
                <c:pt idx="3">
                  <c:v>产出指标</c:v>
                </c:pt>
                <c:pt idx="4">
                  <c:v>效益指标</c:v>
                </c:pt>
              </c:strCache>
            </c:strRef>
          </c:cat>
          <c:val>
            <c:numRef>
              <c:f>Sheet1!$D$2:$D$6</c:f>
              <c:numCache>
                <c:formatCode>0.00%</c:formatCode>
                <c:ptCount val="5"/>
                <c:pt idx="0">
                  <c:v>1</c:v>
                </c:pt>
                <c:pt idx="1">
                  <c:v>0.835238095238095</c:v>
                </c:pt>
                <c:pt idx="2">
                  <c:v>1</c:v>
                </c:pt>
                <c:pt idx="3">
                  <c:v>1</c:v>
                </c:pt>
                <c:pt idx="4">
                  <c:v>1</c:v>
                </c:pt>
              </c:numCache>
            </c:numRef>
          </c:val>
          <c:extLst>
            <c:ext xmlns:c16="http://schemas.microsoft.com/office/drawing/2014/chart" uri="{C3380CC4-5D6E-409C-BE32-E72D297353CC}">
              <c16:uniqueId val="{00000006-496B-429D-AE39-B1372A46320F}"/>
            </c:ext>
          </c:extLst>
        </c:ser>
        <c:dLbls>
          <c:showLegendKey val="0"/>
          <c:showVal val="1"/>
          <c:showCatName val="0"/>
          <c:showSerName val="0"/>
          <c:showPercent val="0"/>
          <c:showBubbleSize val="0"/>
        </c:dLbls>
        <c:gapWidth val="219"/>
        <c:overlap val="-27"/>
        <c:axId val="-1549276064"/>
        <c:axId val="-1549272256"/>
      </c:barChart>
      <c:catAx>
        <c:axId val="-1549276064"/>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549272256"/>
        <c:crosses val="autoZero"/>
        <c:auto val="1"/>
        <c:lblAlgn val="ctr"/>
        <c:lblOffset val="100"/>
        <c:noMultiLvlLbl val="0"/>
      </c:catAx>
      <c:valAx>
        <c:axId val="-15492722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54927606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lang="zh-CN" sz="900" b="0" i="0" u="none" strike="noStrike" kern="1200" baseline="0">
                <a:solidFill>
                  <a:schemeClr val="tx1">
                    <a:lumMod val="65000"/>
                    <a:lumOff val="35000"/>
                  </a:schemeClr>
                </a:solidFill>
                <a:latin typeface="+mn-lt"/>
                <a:ea typeface="+mn-ea"/>
                <a:cs typeface="+mn-cs"/>
              </a:defRPr>
            </a:pPr>
            <a:endParaRPr lang="zh-CN"/>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53FDBD11-1D92-48EC-A2E2-01E0962C9A4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34</Pages>
  <Words>2854</Words>
  <Characters>16272</Characters>
  <Application>Microsoft Office Word</Application>
  <DocSecurity>0</DocSecurity>
  <Lines>135</Lines>
  <Paragraphs>38</Paragraphs>
  <ScaleCrop>false</ScaleCrop>
  <Company>微软中国</Company>
  <LinksUpToDate>false</LinksUpToDate>
  <CharactersWithSpaces>19088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1129</dc:creator>
  <cp:lastModifiedBy>shixun Y</cp:lastModifiedBy>
  <cp:revision>50</cp:revision>
  <cp:lastPrinted>2024-07-09T08:19:00Z</cp:lastPrinted>
  <dcterms:created xsi:type="dcterms:W3CDTF">2023-08-31T02:58:00Z</dcterms:created>
  <dcterms:modified xsi:type="dcterms:W3CDTF">2024-08-12T09:14:00Z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54290DE297CB4430BAE996DFD29F0DEB_13</vt:lpwstr>
  </property>
</Properties>
</file>