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i w:val="0"/>
          <w:iCs w:val="0"/>
          <w:caps w:val="0"/>
          <w:color w:val="222222"/>
          <w:spacing w:val="8"/>
          <w:sz w:val="32"/>
          <w:szCs w:val="32"/>
          <w:shd w:val="clear" w:fill="FFFFFF"/>
          <w:lang w:val="en-US" w:eastAsia="zh-CN"/>
        </w:rPr>
      </w:pPr>
      <w:r>
        <w:rPr>
          <w:rFonts w:hint="eastAsia" w:ascii="黑体" w:hAnsi="黑体" w:eastAsia="黑体" w:cs="黑体"/>
          <w:b w:val="0"/>
          <w:bCs w:val="0"/>
          <w:i w:val="0"/>
          <w:iCs w:val="0"/>
          <w:caps w:val="0"/>
          <w:color w:val="222222"/>
          <w:spacing w:val="8"/>
          <w:sz w:val="32"/>
          <w:szCs w:val="32"/>
          <w:shd w:val="clear" w:fill="FFFFFF"/>
          <w:lang w:val="en-US" w:eastAsia="zh-CN"/>
        </w:rPr>
        <w:t>附件</w:t>
      </w:r>
    </w:p>
    <w:p>
      <w:pPr>
        <w:jc w:val="cente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pP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甘肃省民族法制文化研究所202</w:t>
      </w: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lang w:val="en-US" w:eastAsia="zh-CN"/>
        </w:rPr>
        <w:t>4</w:t>
      </w: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年度研究课题立项名单</w:t>
      </w:r>
    </w:p>
    <w:tbl>
      <w:tblPr>
        <w:tblStyle w:val="3"/>
        <w:tblW w:w="12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810"/>
        <w:gridCol w:w="1220"/>
        <w:gridCol w:w="2434"/>
        <w:gridCol w:w="220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序号</w:t>
            </w:r>
          </w:p>
        </w:tc>
        <w:tc>
          <w:tcPr>
            <w:tcW w:w="481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课题名称</w:t>
            </w:r>
          </w:p>
        </w:tc>
        <w:tc>
          <w:tcPr>
            <w:tcW w:w="122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主持人</w:t>
            </w:r>
          </w:p>
        </w:tc>
        <w:tc>
          <w:tcPr>
            <w:tcW w:w="243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主持人所在单位</w:t>
            </w:r>
          </w:p>
        </w:tc>
        <w:tc>
          <w:tcPr>
            <w:tcW w:w="2202"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课题编号</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马锡五审判方式实践应用与创新发展</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杨玉龙</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庆阳市中级人民法院</w:t>
            </w:r>
          </w:p>
        </w:tc>
        <w:tc>
          <w:tcPr>
            <w:tcW w:w="2202"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sz w:val="24"/>
                <w:szCs w:val="24"/>
                <w:shd w:val="clear" w:fill="FFFFFF"/>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GSFYSKT（2024）01</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加强新时代传承发展“枫桥经验”促进诉源治理研究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杜睿哲</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222222"/>
                <w:spacing w:val="8"/>
                <w:sz w:val="24"/>
                <w:szCs w:val="24"/>
                <w:shd w:val="clear" w:fill="FFFFFF"/>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sz w:val="24"/>
                <w:szCs w:val="24"/>
                <w:shd w:val="clear" w:fill="FFFFFF"/>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GSFYSKT（2024）02</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甘肃民族地区铸牢中华民族共同体意识法治保障研究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马淑娟</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甘肃省民族宗教研究中心</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GSFYSKT（2024）03</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新时代“枫桥经验”视域下诉源治理传承发展新机制探析</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乔芳娥</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吴利平</w:t>
            </w:r>
          </w:p>
        </w:tc>
        <w:tc>
          <w:tcPr>
            <w:tcW w:w="243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西北师范大学      甘肃省高级人民法院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GSFYSKT（2024）04</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环境资源公益诉讼案件修复执行问题研究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何骏先</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兰州市城关区人民法院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GSFYSKT（2024）05</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甘肃省黄河传统法律文化及其时代价值研究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迟方旭</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GSFYSKT（2024）06</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7</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环境资源案件集中管辖背景下的司法服务延伸及实现路径</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周  雷</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甘肃省高级人民法院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GSFYSKT（2024）07</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未成年人犯罪防治研究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张建军</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GSFYSKT（2024）08</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9</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高质量发展背景下甘肃民族地区地理标志法律保护研究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王雅霖</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GSFYSKT（2024）09</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铸牢中华民族共同体意识目标下甘肃涉藏地区多元纠纷解决机制研究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康枫翔</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GSFYSKT（2024）10</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11</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未成年人犯罪预防机制研究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李晓春</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兰州市城关区人民法院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11</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w:t>
            </w:r>
          </w:p>
        </w:tc>
        <w:tc>
          <w:tcPr>
            <w:tcW w:w="48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中华优秀传统法律文化研究——明清之民事判语研究及当代启示</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张  波</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甘肃省民族法制文化研究所</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12</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舟曲民间契约文书研究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拉毛草</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甘肃省法官学院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13</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陕甘宁边区“以人民为中心”的法治原则研究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卫  霞</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甘肃省省委党校</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14</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15</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铸牢中华民族共同体意识的法治保障研究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王瑞萍</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甘肃政法大学科研处</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15</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16</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“一带一路”数字经济发展的法治保障体系建设研究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贾丽娜</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甘肃政法大学涉外法治学院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16</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17</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敦煌文献中的平水制度与敦煌基层社会治理研究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韩雪梅</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兰州大学法学院</w:t>
            </w:r>
          </w:p>
        </w:tc>
        <w:tc>
          <w:tcPr>
            <w:tcW w:w="2202"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17</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18</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新时代马锡五式人民法庭建设研究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马  敬</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18</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19</w:t>
            </w:r>
          </w:p>
        </w:tc>
        <w:tc>
          <w:tcPr>
            <w:tcW w:w="48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行政审判中司法建议功能的研究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杨  红</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19</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20</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马锡五审判方式在新时代法院文化建设中的传承研究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谢  拓</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陇东学院马克思主义学院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20</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21</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争讼文书所见唐五代敦煌民间纠纷解决机制研究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穆永强</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兰州理工大学法学院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21</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22</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商品房买卖合同纠纷诉源治理研究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李玉虎  何  银</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兰州大学法学院           甘肃省高级人民法院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22</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23</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甘肃铸牢中华民族共同体意识的法治保障研究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沙</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勇</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23</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aps w:val="0"/>
                <w:color w:val="222222"/>
                <w:spacing w:val="8"/>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24</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家事审判的理念变革与实践进路</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罗  杰</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24</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25</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新时代“枫桥经验”视域下诉源治理协同化路径研究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罗  艺</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25</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26</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网络直播数据权益司法保护的困境及出路研究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曾  磊</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甘肃政法大学法学院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26</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27</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总体国家安全观下野生动植物刑法保护体系优化研究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党惠娟</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27</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28</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未成年人保安处分机制构建研究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党崇武</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28</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29</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未成年人校园欺凌及犯罪问题成因与法治化解决机制研究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刘建国</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宁夏宁人律师事务所</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29</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30</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黄河流域生态环境修复联动执行机制的构建</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赵芸芸</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白银市中级人民法院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30</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31</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诉源治理视野下调解衍生证据适格性研究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涂  钒</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西北师范大学法学院讲师、博士</w:t>
            </w:r>
          </w:p>
        </w:tc>
        <w:tc>
          <w:tcPr>
            <w:tcW w:w="2202"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31</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32</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行政诉讼中解决行民交叉问题的理论与实践问题研究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王亚丽</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陇南市西和县人民法院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GSFYSKT（2024）</w:t>
            </w:r>
            <w:r>
              <w:rPr>
                <w:rFonts w:hint="eastAsia" w:asciiTheme="minorEastAsia" w:hAnsiTheme="minorEastAsia" w:cstheme="minorEastAsia"/>
                <w:i w:val="0"/>
                <w:iCs w:val="0"/>
                <w:color w:val="000000"/>
                <w:kern w:val="0"/>
                <w:sz w:val="24"/>
                <w:szCs w:val="24"/>
                <w:u w:val="none"/>
                <w:lang w:val="en-US" w:eastAsia="zh-CN" w:bidi="ar"/>
              </w:rPr>
              <w:t>32</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33</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干部教育培训铸牢中华民族共同体意识的实践路径研究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杨爱红</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甘肃省法官学院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33</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34</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铸牢中华民族共同体意识入法入规研究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妥学进</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兰州理工大学法学院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34</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35</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中华优秀传统法律文化融入中国式法治现代化的司法路径研究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范  贞</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35</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36</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甘肃省民族地区基层社会治理法治化路径研究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王玉红</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36</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37</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社会主义核心价值观融入司法裁判研究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张永祯</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37</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38</w:t>
            </w:r>
          </w:p>
        </w:tc>
        <w:tc>
          <w:tcPr>
            <w:tcW w:w="481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民族</w:t>
            </w:r>
            <w:r>
              <w:rPr>
                <w:rFonts w:hint="eastAsia" w:asciiTheme="minorEastAsia" w:hAnsiTheme="minorEastAsia" w:eastAsiaTheme="minorEastAsia" w:cstheme="minorEastAsia"/>
                <w:i w:val="0"/>
                <w:iCs w:val="0"/>
                <w:color w:val="000000"/>
                <w:kern w:val="0"/>
                <w:sz w:val="24"/>
                <w:szCs w:val="24"/>
                <w:u w:val="none"/>
                <w:lang w:val="en-US" w:eastAsia="zh-CN" w:bidi="ar"/>
              </w:rPr>
              <w:t>文献中的法律古籍整理与研究</w:t>
            </w:r>
            <w:r>
              <w:rPr>
                <w:rFonts w:hint="eastAsia" w:asciiTheme="minorEastAsia" w:hAnsiTheme="minorEastAsia" w:cstheme="minorEastAsia"/>
                <w:i w:val="0"/>
                <w:iCs w:val="0"/>
                <w:color w:val="000000"/>
                <w:kern w:val="0"/>
                <w:sz w:val="24"/>
                <w:szCs w:val="24"/>
                <w:u w:val="none"/>
                <w:lang w:val="en-US" w:eastAsia="zh-CN" w:bidi="ar"/>
              </w:rPr>
              <w:t>——以藏文文献为例</w:t>
            </w:r>
          </w:p>
        </w:tc>
        <w:tc>
          <w:tcPr>
            <w:tcW w:w="122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多杰措毛</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甘肃省法官学院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38</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39</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网络直播数据权益司法保护的困境及出路研究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谢  晶</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西北师范大学法学院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39</w:t>
            </w:r>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w:t>
            </w:r>
            <w:r>
              <w:rPr>
                <w:rFonts w:hint="eastAsia" w:asciiTheme="minorEastAsia" w:hAnsi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0</w:t>
            </w:r>
          </w:p>
        </w:tc>
        <w:tc>
          <w:tcPr>
            <w:tcW w:w="48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数字时代未成年人犯罪的预防机制研究</w:t>
            </w:r>
          </w:p>
        </w:tc>
        <w:tc>
          <w:tcPr>
            <w:tcW w:w="12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  旭</w:t>
            </w:r>
          </w:p>
        </w:tc>
        <w:tc>
          <w:tcPr>
            <w:tcW w:w="24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兰州大学法学院</w:t>
            </w:r>
          </w:p>
        </w:tc>
        <w:tc>
          <w:tcPr>
            <w:tcW w:w="220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GSFYSKT（2024）</w:t>
            </w:r>
            <w:r>
              <w:rPr>
                <w:rFonts w:hint="eastAsia" w:asciiTheme="minorEastAsia" w:hAnsiTheme="minorEastAsia" w:cstheme="minorEastAsia"/>
                <w:b w:val="0"/>
                <w:bCs w:val="0"/>
                <w:i w:val="0"/>
                <w:iCs w:val="0"/>
                <w:color w:val="000000"/>
                <w:kern w:val="0"/>
                <w:sz w:val="24"/>
                <w:szCs w:val="24"/>
                <w:u w:val="none"/>
                <w:lang w:val="en-US" w:eastAsia="zh-CN" w:bidi="ar"/>
              </w:rPr>
              <w:t>40</w:t>
            </w:r>
            <w:bookmarkStart w:id="0" w:name="_GoBack"/>
            <w:bookmarkEnd w:id="0"/>
          </w:p>
        </w:tc>
        <w:tc>
          <w:tcPr>
            <w:tcW w:w="1424"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青年课题</w:t>
            </w:r>
          </w:p>
        </w:tc>
      </w:tr>
    </w:tbl>
    <w:p>
      <w:pPr>
        <w:rPr>
          <w:rFonts w:hint="eastAsia" w:asciiTheme="minorEastAsia" w:hAnsiTheme="minorEastAsia" w:eastAsiaTheme="minorEastAsia" w:cstheme="minorEastAsia"/>
          <w:sz w:val="24"/>
          <w:szCs w:val="24"/>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mUzOGMyOTRiMmEyZmJjY2EzYzdmMzZjZTE2OWIifQ=="/>
  </w:docVars>
  <w:rsids>
    <w:rsidRoot w:val="006D1647"/>
    <w:rsid w:val="006D1647"/>
    <w:rsid w:val="03530B13"/>
    <w:rsid w:val="044421A7"/>
    <w:rsid w:val="047B5C36"/>
    <w:rsid w:val="072C09B3"/>
    <w:rsid w:val="090C440F"/>
    <w:rsid w:val="0AF362FD"/>
    <w:rsid w:val="0D85053C"/>
    <w:rsid w:val="0E7829BD"/>
    <w:rsid w:val="14304790"/>
    <w:rsid w:val="14432E7E"/>
    <w:rsid w:val="14B17A71"/>
    <w:rsid w:val="151D21F6"/>
    <w:rsid w:val="16455A25"/>
    <w:rsid w:val="1B4D327D"/>
    <w:rsid w:val="1E3B785B"/>
    <w:rsid w:val="1E683937"/>
    <w:rsid w:val="200D599B"/>
    <w:rsid w:val="20104A66"/>
    <w:rsid w:val="20936194"/>
    <w:rsid w:val="21A87B11"/>
    <w:rsid w:val="221338AA"/>
    <w:rsid w:val="23D5723C"/>
    <w:rsid w:val="26680E62"/>
    <w:rsid w:val="29B2271B"/>
    <w:rsid w:val="2C673B02"/>
    <w:rsid w:val="2CD56B9F"/>
    <w:rsid w:val="2DF51A40"/>
    <w:rsid w:val="31991B31"/>
    <w:rsid w:val="32CA4A5D"/>
    <w:rsid w:val="33AE4F11"/>
    <w:rsid w:val="34754A82"/>
    <w:rsid w:val="365A46EA"/>
    <w:rsid w:val="37DB6DD2"/>
    <w:rsid w:val="37F85146"/>
    <w:rsid w:val="38BB2458"/>
    <w:rsid w:val="3A4C2966"/>
    <w:rsid w:val="3B920365"/>
    <w:rsid w:val="3E4564E6"/>
    <w:rsid w:val="3E480747"/>
    <w:rsid w:val="40822E28"/>
    <w:rsid w:val="43F24723"/>
    <w:rsid w:val="46A158F9"/>
    <w:rsid w:val="478D1C4F"/>
    <w:rsid w:val="47957B67"/>
    <w:rsid w:val="4924052A"/>
    <w:rsid w:val="49434CD6"/>
    <w:rsid w:val="4B0B29F7"/>
    <w:rsid w:val="4D4710DB"/>
    <w:rsid w:val="50B5009E"/>
    <w:rsid w:val="538D7B81"/>
    <w:rsid w:val="54EE7EC3"/>
    <w:rsid w:val="5A6B28D1"/>
    <w:rsid w:val="66F5292F"/>
    <w:rsid w:val="67061876"/>
    <w:rsid w:val="683F1A79"/>
    <w:rsid w:val="6A4C7B21"/>
    <w:rsid w:val="6B056EEE"/>
    <w:rsid w:val="6D45136A"/>
    <w:rsid w:val="6D5B1519"/>
    <w:rsid w:val="6EC67610"/>
    <w:rsid w:val="7067733F"/>
    <w:rsid w:val="70896B7A"/>
    <w:rsid w:val="7095762B"/>
    <w:rsid w:val="784D7C8F"/>
    <w:rsid w:val="7881620F"/>
    <w:rsid w:val="796D7697"/>
    <w:rsid w:val="79F91D04"/>
    <w:rsid w:val="7AAC7ED0"/>
    <w:rsid w:val="7D381ECC"/>
    <w:rsid w:val="7DE0152C"/>
    <w:rsid w:val="7ED8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2023-07-31T02:53:00Z</dcterms:created>
  <dc:creator>王春艳</dc:creator>
  <cp:lastModifiedBy>微信用户</cp:lastModifiedBy>
  <cp:lastPrinted>2023-09-19T01:11:00Z</cp:lastPrinted>
  <dcterms:modified xsi:type="dcterms:W3CDTF">2024-08-19T09:00:48Z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6DDACB0D34534431B3292CF75AC76D36_11</vt:lpwstr>
  </property>
</Properties>
</file>