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72CBE">
      <w:pPr>
        <w:spacing w:before="100" w:beforeLines="0" w:after="100" w:afterLines="0"/>
        <w:jc w:val="center"/>
        <w:rPr>
          <w:rFonts w:hint="eastAsia" w:ascii="宋体" w:hAnsi="宋体"/>
          <w:sz w:val="24"/>
          <w:szCs w:val="24"/>
          <w:lang w:val="zh-CN"/>
        </w:rPr>
      </w:pPr>
    </w:p>
    <w:p w14:paraId="681837A0">
      <w:pPr>
        <w:spacing w:before="100" w:beforeLines="0" w:after="100" w:afterLines="0"/>
        <w:jc w:val="center"/>
        <w:rPr>
          <w:rFonts w:hint="eastAsia" w:ascii="宋体" w:hAnsi="宋体"/>
          <w:sz w:val="24"/>
          <w:szCs w:val="24"/>
          <w:lang w:val="zh-CN"/>
        </w:rPr>
      </w:pPr>
    </w:p>
    <w:p w14:paraId="323A3F3D">
      <w:pPr>
        <w:spacing w:before="100" w:beforeLines="0" w:after="100" w:afterLines="0"/>
        <w:jc w:val="center"/>
        <w:rPr>
          <w:rFonts w:hint="eastAsia" w:ascii="宋体" w:hAnsi="宋体"/>
          <w:sz w:val="24"/>
          <w:szCs w:val="24"/>
          <w:lang w:val="zh-CN"/>
        </w:rPr>
      </w:pPr>
    </w:p>
    <w:p w14:paraId="7B2CB11A">
      <w:pPr>
        <w:spacing w:before="100" w:beforeLines="0" w:after="100" w:afterLines="0"/>
        <w:jc w:val="center"/>
        <w:rPr>
          <w:rFonts w:hint="eastAsia" w:ascii="宋体" w:hAnsi="宋体"/>
          <w:sz w:val="24"/>
          <w:szCs w:val="24"/>
          <w:lang w:val="zh-CN"/>
        </w:rPr>
      </w:pPr>
    </w:p>
    <w:p w14:paraId="7926FF01">
      <w:pPr>
        <w:spacing w:before="100" w:beforeLines="0" w:after="100" w:afterLines="0"/>
        <w:jc w:val="center"/>
        <w:rPr>
          <w:rFonts w:hint="eastAsia" w:ascii="宋体" w:hAnsi="宋体"/>
          <w:sz w:val="24"/>
          <w:szCs w:val="24"/>
          <w:lang w:val="zh-CN"/>
        </w:rPr>
      </w:pPr>
    </w:p>
    <w:p w14:paraId="12596F5E">
      <w:pPr>
        <w:spacing w:before="100" w:beforeLines="0" w:after="100" w:afterLines="0"/>
        <w:jc w:val="center"/>
        <w:rPr>
          <w:rFonts w:hint="eastAsia" w:ascii="宋体" w:hAnsi="宋体"/>
          <w:sz w:val="24"/>
          <w:szCs w:val="24"/>
          <w:lang w:val="zh-CN"/>
        </w:rPr>
      </w:pPr>
    </w:p>
    <w:p w14:paraId="65BD2608">
      <w:pPr>
        <w:spacing w:before="100" w:beforeLines="0" w:after="100" w:afterLines="0"/>
        <w:jc w:val="center"/>
        <w:rPr>
          <w:rFonts w:hint="eastAsia" w:ascii="宋体" w:hAnsi="宋体"/>
          <w:sz w:val="24"/>
          <w:szCs w:val="24"/>
          <w:lang w:val="zh-CN"/>
        </w:rPr>
      </w:pPr>
    </w:p>
    <w:p w14:paraId="3044AA25">
      <w:pPr>
        <w:spacing w:before="100" w:beforeLines="0" w:after="100" w:afterLines="0"/>
        <w:jc w:val="center"/>
        <w:rPr>
          <w:rFonts w:hint="eastAsia" w:ascii="宋体" w:hAnsi="宋体"/>
          <w:sz w:val="24"/>
          <w:szCs w:val="24"/>
          <w:lang w:val="zh-CN"/>
        </w:rPr>
      </w:pPr>
    </w:p>
    <w:p w14:paraId="7D7A99EF">
      <w:pPr>
        <w:spacing w:before="100" w:beforeLines="0" w:after="100" w:afterLines="0"/>
        <w:jc w:val="center"/>
        <w:rPr>
          <w:rFonts w:hint="eastAsia" w:ascii="宋体" w:hAnsi="宋体"/>
          <w:sz w:val="24"/>
          <w:szCs w:val="24"/>
          <w:lang w:val="zh-CN"/>
        </w:rPr>
      </w:pPr>
    </w:p>
    <w:p w14:paraId="05371922">
      <w:pPr>
        <w:spacing w:before="100" w:beforeLines="0" w:after="100" w:afterLines="0"/>
        <w:jc w:val="center"/>
        <w:rPr>
          <w:rFonts w:hint="eastAsia" w:ascii="宋体" w:hAnsi="宋体"/>
          <w:sz w:val="24"/>
          <w:szCs w:val="24"/>
          <w:lang w:val="zh-CN"/>
        </w:rPr>
      </w:pPr>
    </w:p>
    <w:p w14:paraId="7CAD9E7E">
      <w:pPr>
        <w:spacing w:before="100" w:beforeLines="0" w:after="100" w:afterLines="0"/>
        <w:jc w:val="center"/>
        <w:rPr>
          <w:rFonts w:hint="eastAsia" w:ascii="宋体" w:hAnsi="宋体"/>
          <w:sz w:val="24"/>
          <w:szCs w:val="24"/>
          <w:lang w:val="zh-CN"/>
        </w:rPr>
      </w:pPr>
    </w:p>
    <w:p w14:paraId="0C093CF4">
      <w:pPr>
        <w:spacing w:before="100" w:beforeLines="0" w:after="100" w:afterLines="0"/>
        <w:jc w:val="center"/>
        <w:rPr>
          <w:rFonts w:hint="eastAsia" w:ascii="宋体" w:hAnsi="宋体"/>
          <w:sz w:val="44"/>
          <w:szCs w:val="44"/>
          <w:lang w:val="zh-CN"/>
        </w:rPr>
      </w:pPr>
    </w:p>
    <w:p w14:paraId="59C34945">
      <w:pPr>
        <w:spacing w:before="100" w:beforeLines="0" w:after="100" w:afterLines="0"/>
        <w:jc w:val="center"/>
        <w:rPr>
          <w:rFonts w:hint="eastAsia"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2023</w:t>
      </w:r>
      <w:r>
        <w:rPr>
          <w:rFonts w:hint="eastAsia" w:ascii="方正小标宋简体" w:hAnsi="方正小标宋简体" w:eastAsia="方正小标宋简体" w:cs="方正小标宋简体"/>
          <w:sz w:val="44"/>
          <w:szCs w:val="44"/>
          <w:lang w:val="zh-CN"/>
        </w:rPr>
        <w:t>年度</w:t>
      </w:r>
    </w:p>
    <w:p w14:paraId="1596EFD3">
      <w:pPr>
        <w:spacing w:before="100" w:beforeLines="0" w:after="100" w:afterLines="0"/>
        <w:jc w:val="center"/>
        <w:rPr>
          <w:rFonts w:hint="eastAsia"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甘肃省法官学院部门决算</w:t>
      </w:r>
    </w:p>
    <w:p w14:paraId="0689F4C3">
      <w:pPr>
        <w:spacing w:before="100" w:beforeLines="0" w:after="100" w:afterLines="0"/>
        <w:jc w:val="center"/>
        <w:rPr>
          <w:rFonts w:hint="eastAsia" w:ascii="宋体" w:hAnsi="宋体"/>
          <w:sz w:val="44"/>
          <w:szCs w:val="44"/>
          <w:lang w:val="zh-CN"/>
        </w:rPr>
      </w:pPr>
    </w:p>
    <w:p w14:paraId="16F303D0">
      <w:pPr>
        <w:spacing w:before="100" w:beforeLines="0" w:after="100" w:afterLines="0"/>
        <w:jc w:val="center"/>
        <w:rPr>
          <w:rFonts w:hint="eastAsia" w:ascii="宋体" w:hAnsi="宋体"/>
          <w:sz w:val="24"/>
          <w:szCs w:val="24"/>
          <w:lang w:val="zh-CN"/>
        </w:rPr>
      </w:pPr>
    </w:p>
    <w:p w14:paraId="4578FB50">
      <w:pPr>
        <w:spacing w:before="100" w:beforeLines="0" w:after="100" w:afterLines="0"/>
        <w:jc w:val="center"/>
        <w:rPr>
          <w:rFonts w:hint="eastAsia" w:ascii="宋体" w:hAnsi="宋体"/>
          <w:sz w:val="24"/>
          <w:szCs w:val="24"/>
          <w:lang w:val="zh-CN"/>
        </w:rPr>
      </w:pPr>
    </w:p>
    <w:p w14:paraId="6BD11D12">
      <w:pPr>
        <w:spacing w:before="100" w:beforeLines="0" w:after="100" w:afterLines="0"/>
        <w:jc w:val="center"/>
        <w:rPr>
          <w:rFonts w:hint="eastAsia" w:ascii="宋体" w:hAnsi="宋体"/>
          <w:sz w:val="24"/>
          <w:szCs w:val="24"/>
          <w:lang w:val="zh-CN"/>
        </w:rPr>
      </w:pPr>
    </w:p>
    <w:p w14:paraId="29A38046">
      <w:pPr>
        <w:spacing w:before="100" w:beforeLines="0" w:after="100" w:afterLines="0"/>
        <w:jc w:val="center"/>
        <w:rPr>
          <w:rFonts w:hint="eastAsia" w:ascii="宋体" w:hAnsi="宋体"/>
          <w:sz w:val="24"/>
          <w:szCs w:val="24"/>
          <w:lang w:val="zh-CN"/>
        </w:rPr>
      </w:pPr>
    </w:p>
    <w:p w14:paraId="0D9FDA1F">
      <w:pPr>
        <w:spacing w:before="100" w:beforeLines="0" w:after="100" w:afterLines="0"/>
        <w:jc w:val="center"/>
        <w:rPr>
          <w:rFonts w:hint="eastAsia" w:ascii="宋体" w:hAnsi="宋体"/>
          <w:sz w:val="24"/>
          <w:szCs w:val="24"/>
          <w:lang w:val="zh-CN"/>
        </w:rPr>
      </w:pPr>
    </w:p>
    <w:p w14:paraId="7A68B2A3">
      <w:pPr>
        <w:spacing w:before="100" w:beforeLines="0" w:after="100" w:afterLines="0"/>
        <w:jc w:val="center"/>
        <w:rPr>
          <w:rFonts w:hint="eastAsia" w:ascii="宋体" w:hAnsi="宋体"/>
          <w:sz w:val="24"/>
          <w:szCs w:val="24"/>
          <w:lang w:val="zh-CN"/>
        </w:rPr>
      </w:pPr>
    </w:p>
    <w:p w14:paraId="30FEEDD9">
      <w:pPr>
        <w:spacing w:before="100" w:beforeLines="0" w:after="100" w:afterLines="0"/>
        <w:jc w:val="center"/>
        <w:rPr>
          <w:rFonts w:hint="eastAsia" w:ascii="宋体" w:hAnsi="宋体"/>
          <w:sz w:val="24"/>
          <w:szCs w:val="24"/>
          <w:lang w:val="zh-CN"/>
        </w:rPr>
      </w:pPr>
    </w:p>
    <w:p w14:paraId="3CA5619A">
      <w:pPr>
        <w:spacing w:before="100" w:beforeLines="0" w:after="100" w:afterLines="0"/>
        <w:jc w:val="center"/>
        <w:rPr>
          <w:rFonts w:hint="eastAsia" w:ascii="宋体" w:hAnsi="宋体"/>
          <w:sz w:val="24"/>
          <w:szCs w:val="24"/>
          <w:lang w:val="zh-CN"/>
        </w:rPr>
      </w:pPr>
    </w:p>
    <w:p w14:paraId="1DEBA051">
      <w:pPr>
        <w:spacing w:before="100" w:beforeLines="0" w:after="100" w:afterLines="0"/>
        <w:jc w:val="center"/>
        <w:rPr>
          <w:rFonts w:hint="eastAsia" w:ascii="宋体" w:hAnsi="宋体"/>
          <w:sz w:val="24"/>
          <w:szCs w:val="24"/>
          <w:lang w:val="zh-CN"/>
        </w:rPr>
      </w:pPr>
    </w:p>
    <w:p w14:paraId="1F816042">
      <w:pPr>
        <w:spacing w:before="100" w:beforeLines="0" w:after="100" w:afterLines="0"/>
        <w:jc w:val="center"/>
        <w:rPr>
          <w:rFonts w:hint="eastAsia" w:ascii="宋体" w:hAnsi="宋体"/>
          <w:sz w:val="24"/>
          <w:szCs w:val="24"/>
          <w:lang w:val="zh-CN"/>
        </w:rPr>
      </w:pPr>
    </w:p>
    <w:p w14:paraId="2D489B83">
      <w:pPr>
        <w:pStyle w:val="2"/>
        <w:rPr>
          <w:rFonts w:hint="eastAsia"/>
          <w:lang w:val="zh-CN"/>
        </w:rPr>
      </w:pPr>
    </w:p>
    <w:p w14:paraId="783B1AE4">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14:paraId="5F412BD8">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14:paraId="6CA7B43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51E737B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431326FE">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14:paraId="7A6FD5F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14:paraId="63E0A8A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14:paraId="4429ABA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14:paraId="6272915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14:paraId="487F84C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14:paraId="007F974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14:paraId="1B1A55B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14:paraId="53D7280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14:paraId="4229130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14:paraId="4F6BF856">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14:paraId="187722D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05038BA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64B397D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56BD1D6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0E8A235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635AB63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2B7DD127">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14:paraId="07BC9F8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7A3A12AC">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14:paraId="50B95524">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14:paraId="5012112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4A32469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274DBB0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14:paraId="6E124509">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14:paraId="05F6EA1A">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14:paraId="52728E16">
      <w:pPr>
        <w:spacing w:before="100" w:beforeLines="0" w:after="100" w:afterLines="0"/>
        <w:jc w:val="center"/>
        <w:rPr>
          <w:rFonts w:hint="eastAsia" w:ascii="宋体" w:hAnsi="宋体"/>
          <w:b/>
          <w:sz w:val="24"/>
          <w:szCs w:val="24"/>
          <w:lang w:val="zh-CN"/>
        </w:rPr>
      </w:pPr>
    </w:p>
    <w:p w14:paraId="20228EDC">
      <w:pPr>
        <w:spacing w:before="100" w:beforeLines="0" w:after="100" w:afterLines="0"/>
        <w:jc w:val="center"/>
        <w:rPr>
          <w:rFonts w:hint="eastAsia" w:ascii="黑体" w:hAnsi="黑体" w:eastAsia="黑体" w:cs="黑体"/>
          <w:sz w:val="32"/>
          <w:szCs w:val="32"/>
          <w:lang w:val="zh-CN"/>
        </w:rPr>
      </w:pPr>
      <w:r>
        <w:rPr>
          <w:rFonts w:hint="eastAsia" w:ascii="黑体" w:hAnsi="黑体" w:eastAsia="黑体" w:cs="黑体"/>
          <w:b/>
          <w:sz w:val="32"/>
          <w:szCs w:val="32"/>
          <w:lang w:val="zh-CN"/>
        </w:rPr>
        <w:t>第一部分部门概况</w:t>
      </w:r>
    </w:p>
    <w:p w14:paraId="59FA5F94">
      <w:pPr>
        <w:spacing w:before="100" w:beforeLines="0" w:after="100" w:afterLines="0"/>
        <w:jc w:val="left"/>
        <w:rPr>
          <w:rFonts w:hint="eastAsia" w:ascii="黑体" w:hAnsi="黑体" w:eastAsia="黑体" w:cs="黑体"/>
          <w:sz w:val="32"/>
          <w:szCs w:val="32"/>
          <w:lang w:val="zh-CN"/>
        </w:rPr>
      </w:pPr>
      <w:r>
        <w:rPr>
          <w:rFonts w:hint="eastAsia" w:ascii="黑体" w:hAnsi="黑体" w:eastAsia="黑体" w:cs="黑体"/>
          <w:sz w:val="32"/>
          <w:szCs w:val="32"/>
          <w:lang w:val="zh-CN"/>
        </w:rPr>
        <w:t>一、部门职责</w:t>
      </w:r>
    </w:p>
    <w:p w14:paraId="33A02560">
      <w:pPr>
        <w:spacing w:before="100" w:beforeLines="0" w:after="100" w:afterLines="0"/>
        <w:ind w:firstLine="640" w:firstLineChars="20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甘肃省法官学院是甘肃省高级人民法院直属的独立机构，为全额拨款的事业单位。学院主要承担我省政法系统工作人员的培训工作，同时承担部分全国法院系统教育培训和省内其他民族地区政法干警业务培训、学历教育培训等工作。 </w:t>
      </w:r>
    </w:p>
    <w:p w14:paraId="59A32171">
      <w:pPr>
        <w:spacing w:before="100" w:beforeLines="0" w:after="100" w:afterLines="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主要职责是：</w:t>
      </w:r>
    </w:p>
    <w:p w14:paraId="59027616">
      <w:pPr>
        <w:spacing w:before="100" w:beforeLines="0" w:after="100" w:afterLines="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1、提高西部少数民族法官政治业务素质和司法能力水平；</w:t>
      </w:r>
    </w:p>
    <w:p w14:paraId="18FFB997">
      <w:pPr>
        <w:spacing w:before="100" w:beforeLines="0" w:after="100" w:afterLines="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2、负责全省法院系统法官、干警业务培训工作。</w:t>
      </w:r>
    </w:p>
    <w:p w14:paraId="108A10EC">
      <w:pPr>
        <w:spacing w:before="100" w:beforeLines="0" w:after="100" w:afterLines="0"/>
        <w:jc w:val="left"/>
        <w:rPr>
          <w:rFonts w:hint="eastAsia" w:ascii="黑体" w:hAnsi="黑体" w:eastAsia="黑体" w:cs="黑体"/>
          <w:color w:val="auto"/>
          <w:sz w:val="32"/>
          <w:szCs w:val="32"/>
          <w:lang w:val="zh-CN"/>
        </w:rPr>
      </w:pPr>
      <w:r>
        <w:rPr>
          <w:rFonts w:hint="eastAsia" w:ascii="黑体" w:hAnsi="黑体" w:eastAsia="黑体" w:cs="黑体"/>
          <w:color w:val="auto"/>
          <w:sz w:val="32"/>
          <w:szCs w:val="32"/>
          <w:lang w:val="zh-CN"/>
        </w:rPr>
        <w:t>二、机构设置</w:t>
      </w:r>
    </w:p>
    <w:p w14:paraId="04A5BB83">
      <w:pPr>
        <w:spacing w:before="100" w:beforeLines="0" w:after="100" w:afterLines="0"/>
        <w:ind w:firstLine="640" w:firstLineChars="20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学院内设机构9个，包括：办公室、人事监察处、总务处、教务处、教研室、联络处、网络处、培训处、翻译处9个部门。</w:t>
      </w:r>
    </w:p>
    <w:p w14:paraId="2DA59998">
      <w:pPr>
        <w:spacing w:before="100" w:beforeLines="0" w:after="100" w:afterLines="0"/>
        <w:jc w:val="center"/>
        <w:rPr>
          <w:rFonts w:hint="eastAsia" w:ascii="黑体" w:hAnsi="黑体" w:eastAsia="黑体" w:cs="黑体"/>
          <w:color w:val="auto"/>
          <w:sz w:val="32"/>
          <w:szCs w:val="32"/>
          <w:lang w:val="zh-CN"/>
        </w:rPr>
      </w:pPr>
      <w:r>
        <w:rPr>
          <w:rFonts w:hint="eastAsia" w:ascii="黑体" w:hAnsi="黑体" w:eastAsia="黑体" w:cs="黑体"/>
          <w:b/>
          <w:color w:val="auto"/>
          <w:sz w:val="32"/>
          <w:szCs w:val="32"/>
          <w:lang w:val="zh-CN"/>
        </w:rPr>
        <w:t>第二部分2023年度部门决算表</w:t>
      </w:r>
    </w:p>
    <w:p w14:paraId="5232D7F8">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一、收入支出决算总表</w:t>
      </w:r>
      <w:r>
        <w:rPr>
          <w:rFonts w:hint="eastAsia" w:ascii="仿宋_GB2312" w:hAnsi="仿宋_GB2312" w:eastAsia="仿宋_GB2312" w:cs="仿宋_GB2312"/>
          <w:color w:val="auto"/>
          <w:sz w:val="32"/>
          <w:szCs w:val="24"/>
          <w:lang w:val="zh-CN"/>
        </w:rPr>
        <w:t>（</w:t>
      </w:r>
      <w:r>
        <w:rPr>
          <w:rFonts w:hint="eastAsia" w:ascii="仿宋_GB2312" w:hAnsi="仿宋_GB2312" w:eastAsia="仿宋_GB2312" w:cs="仿宋_GB2312"/>
          <w:color w:val="auto"/>
          <w:sz w:val="32"/>
          <w:szCs w:val="24"/>
          <w:lang w:val="en-US" w:eastAsia="zh-CN"/>
        </w:rPr>
        <w:t>详见附件</w:t>
      </w:r>
      <w:r>
        <w:rPr>
          <w:rFonts w:hint="default" w:ascii="Times New Roman" w:hAnsi="Times New Roman" w:eastAsia="仿宋_GB2312" w:cs="Times New Roman"/>
          <w:color w:val="auto"/>
          <w:sz w:val="32"/>
          <w:szCs w:val="24"/>
          <w:lang w:val="en-US" w:eastAsia="zh-CN"/>
        </w:rPr>
        <w:t>1</w:t>
      </w:r>
      <w:r>
        <w:rPr>
          <w:rFonts w:hint="eastAsia" w:ascii="仿宋_GB2312" w:hAnsi="仿宋_GB2312" w:eastAsia="仿宋_GB2312" w:cs="仿宋_GB2312"/>
          <w:color w:val="auto"/>
          <w:sz w:val="32"/>
          <w:szCs w:val="24"/>
          <w:lang w:val="en-US" w:eastAsia="zh-CN"/>
        </w:rPr>
        <w:t>公开</w:t>
      </w:r>
      <w:r>
        <w:rPr>
          <w:rFonts w:hint="default" w:ascii="Times New Roman" w:hAnsi="Times New Roman" w:eastAsia="仿宋_GB2312" w:cs="Times New Roman"/>
          <w:color w:val="auto"/>
          <w:sz w:val="32"/>
          <w:szCs w:val="24"/>
          <w:lang w:val="en-US" w:eastAsia="zh-CN"/>
        </w:rPr>
        <w:t>01</w:t>
      </w:r>
      <w:r>
        <w:rPr>
          <w:rFonts w:hint="eastAsia" w:ascii="仿宋_GB2312" w:hAnsi="仿宋_GB2312" w:eastAsia="仿宋_GB2312" w:cs="仿宋_GB2312"/>
          <w:color w:val="auto"/>
          <w:sz w:val="32"/>
          <w:szCs w:val="24"/>
          <w:lang w:val="en-US" w:eastAsia="zh-CN"/>
        </w:rPr>
        <w:t>表）</w:t>
      </w:r>
    </w:p>
    <w:p w14:paraId="769A4D01">
      <w:pPr>
        <w:spacing w:before="100" w:beforeLines="0" w:after="100" w:afterLines="0"/>
        <w:ind w:firstLine="640" w:firstLineChars="20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二、收入决算表</w:t>
      </w:r>
      <w:r>
        <w:rPr>
          <w:rFonts w:hint="eastAsia" w:ascii="仿宋_GB2312" w:hAnsi="仿宋_GB2312" w:eastAsia="仿宋_GB2312" w:cs="仿宋_GB2312"/>
          <w:color w:val="auto"/>
          <w:sz w:val="32"/>
          <w:szCs w:val="24"/>
          <w:lang w:val="zh-CN"/>
        </w:rPr>
        <w:t>（</w:t>
      </w:r>
      <w:r>
        <w:rPr>
          <w:rFonts w:hint="eastAsia" w:ascii="仿宋_GB2312" w:hAnsi="仿宋_GB2312" w:eastAsia="仿宋_GB2312" w:cs="仿宋_GB2312"/>
          <w:color w:val="auto"/>
          <w:sz w:val="32"/>
          <w:szCs w:val="24"/>
          <w:lang w:val="en-US" w:eastAsia="zh-CN"/>
        </w:rPr>
        <w:t>详见附件</w:t>
      </w:r>
      <w:r>
        <w:rPr>
          <w:rFonts w:hint="default" w:ascii="Times New Roman" w:hAnsi="Times New Roman" w:eastAsia="仿宋_GB2312" w:cs="Times New Roman"/>
          <w:color w:val="auto"/>
          <w:sz w:val="32"/>
          <w:szCs w:val="24"/>
          <w:lang w:val="en-US" w:eastAsia="zh-CN"/>
        </w:rPr>
        <w:t>1</w:t>
      </w:r>
      <w:r>
        <w:rPr>
          <w:rFonts w:hint="eastAsia" w:ascii="仿宋_GB2312" w:hAnsi="仿宋_GB2312" w:eastAsia="仿宋_GB2312" w:cs="仿宋_GB2312"/>
          <w:color w:val="auto"/>
          <w:sz w:val="32"/>
          <w:szCs w:val="24"/>
          <w:lang w:val="en-US" w:eastAsia="zh-CN"/>
        </w:rPr>
        <w:t>公开</w:t>
      </w:r>
      <w:r>
        <w:rPr>
          <w:rFonts w:hint="default" w:ascii="Times New Roman" w:hAnsi="Times New Roman" w:eastAsia="仿宋_GB2312" w:cs="Times New Roman"/>
          <w:color w:val="auto"/>
          <w:sz w:val="32"/>
          <w:szCs w:val="24"/>
          <w:lang w:val="en-US" w:eastAsia="zh-CN"/>
        </w:rPr>
        <w:t>0</w:t>
      </w:r>
      <w:r>
        <w:rPr>
          <w:rFonts w:hint="eastAsia" w:ascii="Times New Roman" w:hAnsi="Times New Roman" w:eastAsia="仿宋_GB2312" w:cs="Times New Roman"/>
          <w:color w:val="auto"/>
          <w:sz w:val="32"/>
          <w:szCs w:val="24"/>
          <w:lang w:val="en-US" w:eastAsia="zh-CN"/>
        </w:rPr>
        <w:t>2</w:t>
      </w:r>
      <w:r>
        <w:rPr>
          <w:rFonts w:hint="eastAsia" w:ascii="仿宋_GB2312" w:hAnsi="仿宋_GB2312" w:eastAsia="仿宋_GB2312" w:cs="仿宋_GB2312"/>
          <w:color w:val="auto"/>
          <w:sz w:val="32"/>
          <w:szCs w:val="24"/>
          <w:lang w:val="en-US" w:eastAsia="zh-CN"/>
        </w:rPr>
        <w:t>表）</w:t>
      </w:r>
    </w:p>
    <w:p w14:paraId="67E1C032">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三、支出决算表</w:t>
      </w:r>
      <w:r>
        <w:rPr>
          <w:rFonts w:hint="eastAsia" w:ascii="仿宋_GB2312" w:hAnsi="仿宋_GB2312" w:eastAsia="仿宋_GB2312" w:cs="仿宋_GB2312"/>
          <w:color w:val="auto"/>
          <w:sz w:val="32"/>
          <w:szCs w:val="24"/>
          <w:lang w:val="zh-CN"/>
        </w:rPr>
        <w:t>（</w:t>
      </w:r>
      <w:r>
        <w:rPr>
          <w:rFonts w:hint="eastAsia" w:ascii="仿宋_GB2312" w:hAnsi="仿宋_GB2312" w:eastAsia="仿宋_GB2312" w:cs="仿宋_GB2312"/>
          <w:color w:val="auto"/>
          <w:sz w:val="32"/>
          <w:szCs w:val="24"/>
          <w:lang w:val="en-US" w:eastAsia="zh-CN"/>
        </w:rPr>
        <w:t>详见附件</w:t>
      </w:r>
      <w:r>
        <w:rPr>
          <w:rFonts w:hint="default" w:ascii="Times New Roman" w:hAnsi="Times New Roman" w:eastAsia="仿宋_GB2312" w:cs="Times New Roman"/>
          <w:color w:val="auto"/>
          <w:sz w:val="32"/>
          <w:szCs w:val="24"/>
          <w:lang w:val="en-US" w:eastAsia="zh-CN"/>
        </w:rPr>
        <w:t>1</w:t>
      </w:r>
      <w:r>
        <w:rPr>
          <w:rFonts w:hint="eastAsia" w:ascii="仿宋_GB2312" w:hAnsi="仿宋_GB2312" w:eastAsia="仿宋_GB2312" w:cs="仿宋_GB2312"/>
          <w:color w:val="auto"/>
          <w:sz w:val="32"/>
          <w:szCs w:val="24"/>
          <w:lang w:val="en-US" w:eastAsia="zh-CN"/>
        </w:rPr>
        <w:t>公开</w:t>
      </w:r>
      <w:r>
        <w:rPr>
          <w:rFonts w:hint="default" w:ascii="Times New Roman" w:hAnsi="Times New Roman" w:eastAsia="仿宋_GB2312" w:cs="Times New Roman"/>
          <w:color w:val="auto"/>
          <w:sz w:val="32"/>
          <w:szCs w:val="24"/>
          <w:lang w:val="en-US" w:eastAsia="zh-CN"/>
        </w:rPr>
        <w:t>0</w:t>
      </w:r>
      <w:r>
        <w:rPr>
          <w:rFonts w:hint="eastAsia" w:ascii="Times New Roman" w:hAnsi="Times New Roman" w:eastAsia="仿宋_GB2312" w:cs="Times New Roman"/>
          <w:color w:val="auto"/>
          <w:sz w:val="32"/>
          <w:szCs w:val="24"/>
          <w:lang w:val="en-US" w:eastAsia="zh-CN"/>
        </w:rPr>
        <w:t>3</w:t>
      </w:r>
      <w:r>
        <w:rPr>
          <w:rFonts w:hint="eastAsia" w:ascii="仿宋_GB2312" w:hAnsi="仿宋_GB2312" w:eastAsia="仿宋_GB2312" w:cs="仿宋_GB2312"/>
          <w:color w:val="auto"/>
          <w:sz w:val="32"/>
          <w:szCs w:val="24"/>
          <w:lang w:val="en-US" w:eastAsia="zh-CN"/>
        </w:rPr>
        <w:t>表）</w:t>
      </w:r>
    </w:p>
    <w:p w14:paraId="494A86BF">
      <w:pPr>
        <w:spacing w:before="100" w:beforeLines="0" w:after="100" w:afterLines="0"/>
        <w:ind w:firstLine="640" w:firstLineChars="20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四、财政拨款收入支出决算总表</w:t>
      </w:r>
      <w:r>
        <w:rPr>
          <w:rFonts w:hint="eastAsia" w:ascii="仿宋_GB2312" w:hAnsi="仿宋_GB2312" w:eastAsia="仿宋_GB2312" w:cs="仿宋_GB2312"/>
          <w:color w:val="auto"/>
          <w:sz w:val="32"/>
          <w:szCs w:val="24"/>
          <w:lang w:val="zh-CN"/>
        </w:rPr>
        <w:t>（</w:t>
      </w:r>
      <w:r>
        <w:rPr>
          <w:rFonts w:hint="eastAsia" w:ascii="仿宋_GB2312" w:hAnsi="仿宋_GB2312" w:eastAsia="仿宋_GB2312" w:cs="仿宋_GB2312"/>
          <w:color w:val="auto"/>
          <w:sz w:val="32"/>
          <w:szCs w:val="24"/>
          <w:lang w:val="en-US" w:eastAsia="zh-CN"/>
        </w:rPr>
        <w:t>详见附件</w:t>
      </w:r>
      <w:r>
        <w:rPr>
          <w:rFonts w:hint="default" w:ascii="Times New Roman" w:hAnsi="Times New Roman" w:eastAsia="仿宋_GB2312" w:cs="Times New Roman"/>
          <w:color w:val="auto"/>
          <w:sz w:val="32"/>
          <w:szCs w:val="24"/>
          <w:lang w:val="en-US" w:eastAsia="zh-CN"/>
        </w:rPr>
        <w:t>1</w:t>
      </w:r>
      <w:r>
        <w:rPr>
          <w:rFonts w:hint="eastAsia" w:ascii="仿宋_GB2312" w:hAnsi="仿宋_GB2312" w:eastAsia="仿宋_GB2312" w:cs="仿宋_GB2312"/>
          <w:color w:val="auto"/>
          <w:sz w:val="32"/>
          <w:szCs w:val="24"/>
          <w:lang w:val="en-US" w:eastAsia="zh-CN"/>
        </w:rPr>
        <w:t>公开</w:t>
      </w:r>
      <w:r>
        <w:rPr>
          <w:rFonts w:hint="default" w:ascii="Times New Roman" w:hAnsi="Times New Roman" w:eastAsia="仿宋_GB2312" w:cs="Times New Roman"/>
          <w:color w:val="auto"/>
          <w:sz w:val="32"/>
          <w:szCs w:val="24"/>
          <w:lang w:val="en-US" w:eastAsia="zh-CN"/>
        </w:rPr>
        <w:t>0</w:t>
      </w:r>
      <w:r>
        <w:rPr>
          <w:rFonts w:hint="eastAsia" w:ascii="Times New Roman" w:hAnsi="Times New Roman" w:eastAsia="仿宋_GB2312" w:cs="Times New Roman"/>
          <w:color w:val="auto"/>
          <w:sz w:val="32"/>
          <w:szCs w:val="24"/>
          <w:lang w:val="en-US" w:eastAsia="zh-CN"/>
        </w:rPr>
        <w:t>4</w:t>
      </w:r>
      <w:r>
        <w:rPr>
          <w:rFonts w:hint="eastAsia" w:ascii="仿宋_GB2312" w:hAnsi="仿宋_GB2312" w:eastAsia="仿宋_GB2312" w:cs="仿宋_GB2312"/>
          <w:color w:val="auto"/>
          <w:sz w:val="32"/>
          <w:szCs w:val="24"/>
          <w:lang w:val="en-US" w:eastAsia="zh-CN"/>
        </w:rPr>
        <w:t>表）</w:t>
      </w:r>
    </w:p>
    <w:p w14:paraId="06427B40">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五、一般公共预算财政拨款支出决算表</w:t>
      </w:r>
      <w:r>
        <w:rPr>
          <w:rFonts w:hint="eastAsia" w:ascii="仿宋_GB2312" w:hAnsi="仿宋_GB2312" w:eastAsia="仿宋_GB2312" w:cs="仿宋_GB2312"/>
          <w:color w:val="auto"/>
          <w:sz w:val="32"/>
          <w:szCs w:val="24"/>
          <w:lang w:val="zh-CN"/>
        </w:rPr>
        <w:t>（</w:t>
      </w:r>
      <w:r>
        <w:rPr>
          <w:rFonts w:hint="eastAsia" w:ascii="仿宋_GB2312" w:hAnsi="仿宋_GB2312" w:eastAsia="仿宋_GB2312" w:cs="仿宋_GB2312"/>
          <w:color w:val="auto"/>
          <w:sz w:val="32"/>
          <w:szCs w:val="24"/>
          <w:lang w:val="en-US" w:eastAsia="zh-CN"/>
        </w:rPr>
        <w:t>详见附件</w:t>
      </w:r>
      <w:r>
        <w:rPr>
          <w:rFonts w:hint="default" w:ascii="Times New Roman" w:hAnsi="Times New Roman" w:eastAsia="仿宋_GB2312" w:cs="Times New Roman"/>
          <w:color w:val="auto"/>
          <w:sz w:val="32"/>
          <w:szCs w:val="24"/>
          <w:lang w:val="en-US" w:eastAsia="zh-CN"/>
        </w:rPr>
        <w:t>1</w:t>
      </w:r>
      <w:r>
        <w:rPr>
          <w:rFonts w:hint="eastAsia" w:ascii="仿宋_GB2312" w:hAnsi="仿宋_GB2312" w:eastAsia="仿宋_GB2312" w:cs="仿宋_GB2312"/>
          <w:color w:val="auto"/>
          <w:sz w:val="32"/>
          <w:szCs w:val="24"/>
          <w:lang w:val="en-US" w:eastAsia="zh-CN"/>
        </w:rPr>
        <w:t>公开</w:t>
      </w:r>
      <w:r>
        <w:rPr>
          <w:rFonts w:hint="default" w:ascii="Times New Roman" w:hAnsi="Times New Roman" w:eastAsia="仿宋_GB2312" w:cs="Times New Roman"/>
          <w:color w:val="auto"/>
          <w:sz w:val="32"/>
          <w:szCs w:val="24"/>
          <w:lang w:val="en-US" w:eastAsia="zh-CN"/>
        </w:rPr>
        <w:t>0</w:t>
      </w:r>
      <w:r>
        <w:rPr>
          <w:rFonts w:hint="eastAsia" w:ascii="Times New Roman" w:hAnsi="Times New Roman" w:eastAsia="仿宋_GB2312" w:cs="Times New Roman"/>
          <w:color w:val="auto"/>
          <w:sz w:val="32"/>
          <w:szCs w:val="24"/>
          <w:lang w:val="en-US" w:eastAsia="zh-CN"/>
        </w:rPr>
        <w:t>5</w:t>
      </w:r>
      <w:r>
        <w:rPr>
          <w:rFonts w:hint="eastAsia" w:ascii="仿宋_GB2312" w:hAnsi="仿宋_GB2312" w:eastAsia="仿宋_GB2312" w:cs="仿宋_GB2312"/>
          <w:color w:val="auto"/>
          <w:sz w:val="32"/>
          <w:szCs w:val="24"/>
          <w:lang w:val="en-US" w:eastAsia="zh-CN"/>
        </w:rPr>
        <w:t>表）</w:t>
      </w:r>
    </w:p>
    <w:p w14:paraId="51AA520B">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六、一般公共预算财政拨款基本支出决算明细表</w:t>
      </w:r>
      <w:r>
        <w:rPr>
          <w:rFonts w:hint="eastAsia" w:ascii="仿宋_GB2312" w:hAnsi="仿宋_GB2312" w:eastAsia="仿宋_GB2312" w:cs="仿宋_GB2312"/>
          <w:color w:val="auto"/>
          <w:sz w:val="32"/>
          <w:szCs w:val="24"/>
          <w:lang w:val="zh-CN"/>
        </w:rPr>
        <w:t>（</w:t>
      </w:r>
      <w:r>
        <w:rPr>
          <w:rFonts w:hint="eastAsia" w:ascii="仿宋_GB2312" w:hAnsi="仿宋_GB2312" w:eastAsia="仿宋_GB2312" w:cs="仿宋_GB2312"/>
          <w:color w:val="auto"/>
          <w:sz w:val="32"/>
          <w:szCs w:val="24"/>
          <w:lang w:val="en-US" w:eastAsia="zh-CN"/>
        </w:rPr>
        <w:t>详见附件</w:t>
      </w:r>
      <w:r>
        <w:rPr>
          <w:rFonts w:hint="default" w:ascii="Times New Roman" w:hAnsi="Times New Roman" w:eastAsia="仿宋_GB2312" w:cs="Times New Roman"/>
          <w:color w:val="auto"/>
          <w:sz w:val="32"/>
          <w:szCs w:val="24"/>
          <w:lang w:val="en-US" w:eastAsia="zh-CN"/>
        </w:rPr>
        <w:t>1</w:t>
      </w:r>
      <w:r>
        <w:rPr>
          <w:rFonts w:hint="eastAsia" w:ascii="仿宋_GB2312" w:hAnsi="仿宋_GB2312" w:eastAsia="仿宋_GB2312" w:cs="仿宋_GB2312"/>
          <w:color w:val="auto"/>
          <w:sz w:val="32"/>
          <w:szCs w:val="24"/>
          <w:lang w:val="en-US" w:eastAsia="zh-CN"/>
        </w:rPr>
        <w:t>公开</w:t>
      </w:r>
      <w:r>
        <w:rPr>
          <w:rFonts w:hint="default" w:ascii="Times New Roman" w:hAnsi="Times New Roman" w:eastAsia="仿宋_GB2312" w:cs="Times New Roman"/>
          <w:color w:val="auto"/>
          <w:sz w:val="32"/>
          <w:szCs w:val="24"/>
          <w:lang w:val="en-US" w:eastAsia="zh-CN"/>
        </w:rPr>
        <w:t>0</w:t>
      </w:r>
      <w:r>
        <w:rPr>
          <w:rFonts w:hint="eastAsia" w:ascii="Times New Roman" w:hAnsi="Times New Roman" w:eastAsia="仿宋_GB2312" w:cs="Times New Roman"/>
          <w:color w:val="auto"/>
          <w:sz w:val="32"/>
          <w:szCs w:val="24"/>
          <w:lang w:val="en-US" w:eastAsia="zh-CN"/>
        </w:rPr>
        <w:t>6</w:t>
      </w:r>
      <w:r>
        <w:rPr>
          <w:rFonts w:hint="eastAsia" w:ascii="仿宋_GB2312" w:hAnsi="仿宋_GB2312" w:eastAsia="仿宋_GB2312" w:cs="仿宋_GB2312"/>
          <w:color w:val="auto"/>
          <w:sz w:val="32"/>
          <w:szCs w:val="24"/>
          <w:lang w:val="en-US" w:eastAsia="zh-CN"/>
        </w:rPr>
        <w:t>表）</w:t>
      </w:r>
    </w:p>
    <w:p w14:paraId="4A71F4ED">
      <w:pPr>
        <w:spacing w:line="560" w:lineRule="exact"/>
        <w:ind w:firstLine="640" w:firstLineChars="200"/>
        <w:rPr>
          <w:rFonts w:hint="eastAsia" w:ascii="仿宋_GB2312" w:hAnsi="仿宋_GB2312" w:eastAsia="仿宋_GB2312" w:cs="仿宋_GB2312"/>
          <w:color w:val="auto"/>
          <w:sz w:val="32"/>
          <w:szCs w:val="24"/>
          <w:lang w:val="zh-CN"/>
        </w:rPr>
      </w:pPr>
      <w:r>
        <w:rPr>
          <w:rFonts w:hint="eastAsia" w:ascii="仿宋_GB2312" w:hAnsi="仿宋_GB2312" w:eastAsia="仿宋_GB2312" w:cs="仿宋_GB2312"/>
          <w:color w:val="auto"/>
          <w:sz w:val="32"/>
          <w:szCs w:val="32"/>
          <w:lang w:val="zh-CN"/>
        </w:rPr>
        <w:t>七、政府性基金预算财政拨款收入支出决算表</w:t>
      </w:r>
      <w:bookmarkStart w:id="0" w:name="OLE_LINK4"/>
      <w:bookmarkStart w:id="1" w:name="OLE_LINK1"/>
      <w:r>
        <w:rPr>
          <w:rFonts w:hint="eastAsia" w:ascii="仿宋_GB2312" w:hAnsi="仿宋_GB2312" w:eastAsia="仿宋_GB2312" w:cs="仿宋_GB2312"/>
          <w:color w:val="auto"/>
          <w:sz w:val="32"/>
          <w:szCs w:val="24"/>
          <w:lang w:val="zh-CN"/>
        </w:rPr>
        <w:t>（</w:t>
      </w:r>
      <w:r>
        <w:rPr>
          <w:rFonts w:hint="eastAsia" w:ascii="仿宋_GB2312" w:eastAsia="仿宋_GB2312"/>
          <w:sz w:val="32"/>
          <w:szCs w:val="32"/>
        </w:rPr>
        <w:t>本部门没有相关数据，故本表无数据</w:t>
      </w:r>
      <w:r>
        <w:rPr>
          <w:rFonts w:hint="eastAsia" w:ascii="仿宋_GB2312" w:eastAsia="仿宋_GB2312"/>
          <w:sz w:val="32"/>
          <w:szCs w:val="32"/>
          <w:lang w:eastAsia="zh-CN"/>
        </w:rPr>
        <w:t>，</w:t>
      </w:r>
      <w:bookmarkEnd w:id="0"/>
      <w:r>
        <w:rPr>
          <w:rFonts w:hint="eastAsia" w:ascii="仿宋_GB2312" w:hAnsi="仿宋_GB2312" w:eastAsia="仿宋_GB2312" w:cs="仿宋_GB2312"/>
          <w:color w:val="auto"/>
          <w:sz w:val="32"/>
          <w:szCs w:val="24"/>
          <w:lang w:val="en-US" w:eastAsia="zh-CN"/>
        </w:rPr>
        <w:t>详见附件</w:t>
      </w:r>
      <w:r>
        <w:rPr>
          <w:rFonts w:hint="default" w:ascii="Times New Roman" w:hAnsi="Times New Roman" w:eastAsia="仿宋_GB2312" w:cs="Times New Roman"/>
          <w:color w:val="auto"/>
          <w:sz w:val="32"/>
          <w:szCs w:val="24"/>
          <w:lang w:val="en-US" w:eastAsia="zh-CN"/>
        </w:rPr>
        <w:t>1</w:t>
      </w:r>
      <w:r>
        <w:rPr>
          <w:rFonts w:hint="eastAsia" w:ascii="仿宋_GB2312" w:hAnsi="仿宋_GB2312" w:eastAsia="仿宋_GB2312" w:cs="仿宋_GB2312"/>
          <w:color w:val="auto"/>
          <w:sz w:val="32"/>
          <w:szCs w:val="24"/>
          <w:lang w:val="en-US" w:eastAsia="zh-CN"/>
        </w:rPr>
        <w:t>公开</w:t>
      </w:r>
      <w:r>
        <w:rPr>
          <w:rFonts w:hint="default" w:ascii="Times New Roman" w:hAnsi="Times New Roman" w:eastAsia="仿宋_GB2312" w:cs="Times New Roman"/>
          <w:color w:val="auto"/>
          <w:sz w:val="32"/>
          <w:szCs w:val="24"/>
          <w:lang w:val="en-US" w:eastAsia="zh-CN"/>
        </w:rPr>
        <w:t>0</w:t>
      </w:r>
      <w:r>
        <w:rPr>
          <w:rFonts w:hint="eastAsia" w:ascii="Times New Roman" w:hAnsi="Times New Roman" w:eastAsia="仿宋_GB2312" w:cs="Times New Roman"/>
          <w:color w:val="auto"/>
          <w:sz w:val="32"/>
          <w:szCs w:val="24"/>
          <w:lang w:val="en-US" w:eastAsia="zh-CN"/>
        </w:rPr>
        <w:t>7</w:t>
      </w:r>
      <w:r>
        <w:rPr>
          <w:rFonts w:hint="eastAsia" w:ascii="仿宋_GB2312" w:hAnsi="仿宋_GB2312" w:eastAsia="仿宋_GB2312" w:cs="仿宋_GB2312"/>
          <w:color w:val="auto"/>
          <w:sz w:val="32"/>
          <w:szCs w:val="24"/>
          <w:lang w:val="en-US" w:eastAsia="zh-CN"/>
        </w:rPr>
        <w:t>表）</w:t>
      </w:r>
    </w:p>
    <w:bookmarkEnd w:id="1"/>
    <w:p w14:paraId="3B3FB144">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八、国有资本经营预算财政拨款支出决算表</w:t>
      </w:r>
      <w:r>
        <w:rPr>
          <w:rFonts w:hint="eastAsia" w:ascii="仿宋_GB2312" w:hAnsi="仿宋_GB2312" w:eastAsia="仿宋_GB2312" w:cs="仿宋_GB2312"/>
          <w:color w:val="auto"/>
          <w:sz w:val="32"/>
          <w:szCs w:val="24"/>
          <w:lang w:val="zh-CN"/>
        </w:rPr>
        <w:t>（</w:t>
      </w:r>
      <w:r>
        <w:rPr>
          <w:rFonts w:hint="eastAsia" w:ascii="仿宋_GB2312" w:eastAsia="仿宋_GB2312"/>
          <w:sz w:val="32"/>
          <w:szCs w:val="32"/>
        </w:rPr>
        <w:t>本部门没有相关数据，故本表无数据</w:t>
      </w:r>
      <w:r>
        <w:rPr>
          <w:rFonts w:hint="eastAsia" w:ascii="仿宋_GB2312" w:eastAsia="仿宋_GB2312"/>
          <w:sz w:val="32"/>
          <w:szCs w:val="32"/>
          <w:lang w:eastAsia="zh-CN"/>
        </w:rPr>
        <w:t>，</w:t>
      </w:r>
      <w:r>
        <w:rPr>
          <w:rFonts w:hint="eastAsia" w:ascii="仿宋_GB2312" w:hAnsi="仿宋_GB2312" w:eastAsia="仿宋_GB2312" w:cs="仿宋_GB2312"/>
          <w:color w:val="auto"/>
          <w:sz w:val="32"/>
          <w:szCs w:val="24"/>
          <w:lang w:val="en-US" w:eastAsia="zh-CN"/>
        </w:rPr>
        <w:t>详见附件</w:t>
      </w:r>
      <w:r>
        <w:rPr>
          <w:rFonts w:hint="default" w:ascii="Times New Roman" w:hAnsi="Times New Roman" w:eastAsia="仿宋_GB2312" w:cs="Times New Roman"/>
          <w:color w:val="auto"/>
          <w:sz w:val="32"/>
          <w:szCs w:val="24"/>
          <w:lang w:val="en-US" w:eastAsia="zh-CN"/>
        </w:rPr>
        <w:t>1</w:t>
      </w:r>
      <w:r>
        <w:rPr>
          <w:rFonts w:hint="eastAsia" w:ascii="仿宋_GB2312" w:hAnsi="仿宋_GB2312" w:eastAsia="仿宋_GB2312" w:cs="仿宋_GB2312"/>
          <w:color w:val="auto"/>
          <w:sz w:val="32"/>
          <w:szCs w:val="24"/>
          <w:lang w:val="en-US" w:eastAsia="zh-CN"/>
        </w:rPr>
        <w:t>公开</w:t>
      </w:r>
      <w:r>
        <w:rPr>
          <w:rFonts w:hint="default" w:ascii="Times New Roman" w:hAnsi="Times New Roman" w:eastAsia="仿宋_GB2312" w:cs="Times New Roman"/>
          <w:color w:val="auto"/>
          <w:sz w:val="32"/>
          <w:szCs w:val="24"/>
          <w:lang w:val="en-US" w:eastAsia="zh-CN"/>
        </w:rPr>
        <w:t>0</w:t>
      </w:r>
      <w:r>
        <w:rPr>
          <w:rFonts w:hint="eastAsia" w:ascii="Times New Roman" w:hAnsi="Times New Roman" w:eastAsia="仿宋_GB2312" w:cs="Times New Roman"/>
          <w:color w:val="auto"/>
          <w:sz w:val="32"/>
          <w:szCs w:val="24"/>
          <w:lang w:val="en-US" w:eastAsia="zh-CN"/>
        </w:rPr>
        <w:t>8</w:t>
      </w:r>
      <w:r>
        <w:rPr>
          <w:rFonts w:hint="eastAsia" w:ascii="仿宋_GB2312" w:hAnsi="仿宋_GB2312" w:eastAsia="仿宋_GB2312" w:cs="仿宋_GB2312"/>
          <w:color w:val="auto"/>
          <w:sz w:val="32"/>
          <w:szCs w:val="24"/>
          <w:lang w:val="en-US" w:eastAsia="zh-CN"/>
        </w:rPr>
        <w:t>表）</w:t>
      </w:r>
    </w:p>
    <w:p w14:paraId="1DC6AB74">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九、财政拨款“三公”经费支出决算表</w:t>
      </w:r>
      <w:r>
        <w:rPr>
          <w:rFonts w:hint="eastAsia" w:ascii="仿宋_GB2312" w:hAnsi="仿宋_GB2312" w:eastAsia="仿宋_GB2312" w:cs="仿宋_GB2312"/>
          <w:color w:val="auto"/>
          <w:sz w:val="32"/>
          <w:szCs w:val="24"/>
          <w:lang w:val="zh-CN"/>
        </w:rPr>
        <w:t>（</w:t>
      </w:r>
      <w:r>
        <w:rPr>
          <w:rFonts w:hint="eastAsia" w:ascii="仿宋_GB2312" w:hAnsi="仿宋_GB2312" w:eastAsia="仿宋_GB2312" w:cs="仿宋_GB2312"/>
          <w:color w:val="auto"/>
          <w:sz w:val="32"/>
          <w:szCs w:val="24"/>
          <w:lang w:val="en-US" w:eastAsia="zh-CN"/>
        </w:rPr>
        <w:t>详见附件</w:t>
      </w:r>
      <w:r>
        <w:rPr>
          <w:rFonts w:hint="default" w:ascii="Times New Roman" w:hAnsi="Times New Roman" w:eastAsia="仿宋_GB2312" w:cs="Times New Roman"/>
          <w:color w:val="auto"/>
          <w:sz w:val="32"/>
          <w:szCs w:val="24"/>
          <w:lang w:val="en-US" w:eastAsia="zh-CN"/>
        </w:rPr>
        <w:t>1</w:t>
      </w:r>
      <w:r>
        <w:rPr>
          <w:rFonts w:hint="eastAsia" w:ascii="仿宋_GB2312" w:hAnsi="仿宋_GB2312" w:eastAsia="仿宋_GB2312" w:cs="仿宋_GB2312"/>
          <w:color w:val="auto"/>
          <w:sz w:val="32"/>
          <w:szCs w:val="24"/>
          <w:lang w:val="en-US" w:eastAsia="zh-CN"/>
        </w:rPr>
        <w:t>公开</w:t>
      </w:r>
      <w:r>
        <w:rPr>
          <w:rFonts w:hint="default" w:ascii="Times New Roman" w:hAnsi="Times New Roman" w:eastAsia="仿宋_GB2312" w:cs="Times New Roman"/>
          <w:color w:val="auto"/>
          <w:sz w:val="32"/>
          <w:szCs w:val="24"/>
          <w:lang w:val="en-US" w:eastAsia="zh-CN"/>
        </w:rPr>
        <w:t>0</w:t>
      </w:r>
      <w:r>
        <w:rPr>
          <w:rFonts w:hint="eastAsia" w:ascii="Times New Roman" w:hAnsi="Times New Roman" w:eastAsia="仿宋_GB2312" w:cs="Times New Roman"/>
          <w:color w:val="auto"/>
          <w:sz w:val="32"/>
          <w:szCs w:val="24"/>
          <w:lang w:val="en-US" w:eastAsia="zh-CN"/>
        </w:rPr>
        <w:t>9</w:t>
      </w:r>
      <w:r>
        <w:rPr>
          <w:rFonts w:hint="eastAsia" w:ascii="仿宋_GB2312" w:hAnsi="仿宋_GB2312" w:eastAsia="仿宋_GB2312" w:cs="仿宋_GB2312"/>
          <w:color w:val="auto"/>
          <w:sz w:val="32"/>
          <w:szCs w:val="24"/>
          <w:lang w:val="en-US" w:eastAsia="zh-CN"/>
        </w:rPr>
        <w:t>表）</w:t>
      </w:r>
    </w:p>
    <w:p w14:paraId="52B7284D">
      <w:pPr>
        <w:spacing w:before="100" w:beforeLines="0" w:after="100" w:afterLines="0"/>
        <w:jc w:val="center"/>
        <w:rPr>
          <w:rFonts w:hint="eastAsia" w:ascii="仿宋_GB2312" w:hAnsi="仿宋_GB2312" w:eastAsia="仿宋_GB2312" w:cs="仿宋_GB2312"/>
          <w:color w:val="auto"/>
          <w:sz w:val="32"/>
          <w:szCs w:val="32"/>
          <w:lang w:val="zh-CN"/>
        </w:rPr>
      </w:pPr>
      <w:r>
        <w:rPr>
          <w:rFonts w:hint="eastAsia" w:ascii="黑体" w:hAnsi="黑体" w:eastAsia="黑体" w:cs="黑体"/>
          <w:b/>
          <w:color w:val="auto"/>
          <w:sz w:val="32"/>
          <w:szCs w:val="32"/>
          <w:lang w:val="zh-CN"/>
        </w:rPr>
        <w:t>第三部分2023年度部门决算情况说明</w:t>
      </w:r>
    </w:p>
    <w:p w14:paraId="05662936">
      <w:pPr>
        <w:spacing w:before="100" w:beforeLines="0" w:after="100" w:afterLines="0"/>
        <w:jc w:val="left"/>
        <w:rPr>
          <w:rFonts w:hint="eastAsia" w:ascii="仿宋_GB2312" w:hAnsi="仿宋_GB2312" w:eastAsia="仿宋_GB2312" w:cs="仿宋_GB2312"/>
          <w:b/>
          <w:bCs/>
          <w:color w:val="auto"/>
          <w:sz w:val="32"/>
          <w:szCs w:val="32"/>
          <w:lang w:val="zh-CN" w:eastAsia="zh-CN"/>
        </w:rPr>
      </w:pPr>
      <w:r>
        <w:rPr>
          <w:rFonts w:hint="eastAsia" w:ascii="黑体" w:hAnsi="黑体" w:eastAsia="黑体" w:cs="黑体"/>
          <w:b/>
          <w:bCs/>
          <w:color w:val="auto"/>
          <w:sz w:val="32"/>
          <w:szCs w:val="32"/>
          <w:lang w:val="zh-CN" w:eastAsia="zh-CN"/>
        </w:rPr>
        <w:t>一、收入支出决算总体情况说明</w:t>
      </w:r>
    </w:p>
    <w:p w14:paraId="65E8DD92">
      <w:pPr>
        <w:spacing w:before="100" w:beforeLines="0" w:after="100" w:afterLines="0"/>
        <w:ind w:firstLine="640" w:firstLineChars="20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2023年度收、支总计</w:t>
      </w:r>
      <w:r>
        <w:rPr>
          <w:rFonts w:hint="eastAsia" w:ascii="仿宋_GB2312" w:hAnsi="仿宋_GB2312" w:eastAsia="仿宋_GB2312" w:cs="仿宋_GB2312"/>
          <w:color w:val="auto"/>
          <w:sz w:val="32"/>
          <w:szCs w:val="32"/>
          <w:lang w:val="en-US"/>
        </w:rPr>
        <w:t>均为</w:t>
      </w:r>
      <w:r>
        <w:rPr>
          <w:rFonts w:hint="eastAsia" w:ascii="仿宋_GB2312" w:hAnsi="仿宋_GB2312" w:eastAsia="仿宋_GB2312" w:cs="仿宋_GB2312"/>
          <w:color w:val="auto"/>
          <w:sz w:val="32"/>
          <w:szCs w:val="32"/>
          <w:lang w:val="zh-CN"/>
        </w:rPr>
        <w:t>3763.22万元。</w:t>
      </w:r>
      <w:r>
        <w:rPr>
          <w:rFonts w:hint="eastAsia" w:ascii="仿宋_GB2312" w:hAnsi="仿宋_GB2312" w:eastAsia="仿宋_GB2312" w:cs="仿宋_GB2312"/>
          <w:color w:val="auto"/>
          <w:sz w:val="32"/>
          <w:szCs w:val="32"/>
          <w:lang w:val="en-US"/>
        </w:rPr>
        <w:t>与上年度相比,</w:t>
      </w:r>
      <w:r>
        <w:rPr>
          <w:rFonts w:hint="eastAsia" w:ascii="仿宋_GB2312" w:hAnsi="仿宋_GB2312" w:eastAsia="仿宋_GB2312" w:cs="仿宋_GB2312"/>
          <w:color w:val="auto"/>
          <w:sz w:val="32"/>
          <w:szCs w:val="32"/>
          <w:lang w:val="zh-CN"/>
        </w:rPr>
        <w:t>收、支</w:t>
      </w:r>
      <w:r>
        <w:rPr>
          <w:rFonts w:hint="eastAsia" w:ascii="仿宋_GB2312" w:hAnsi="仿宋_GB2312" w:eastAsia="仿宋_GB2312" w:cs="仿宋_GB2312"/>
          <w:color w:val="auto"/>
          <w:sz w:val="32"/>
          <w:szCs w:val="32"/>
          <w:lang w:val="en-US"/>
        </w:rPr>
        <w:t>总计各</w:t>
      </w:r>
      <w:r>
        <w:rPr>
          <w:rFonts w:hint="eastAsia" w:ascii="仿宋_GB2312" w:hAnsi="仿宋_GB2312" w:eastAsia="仿宋_GB2312" w:cs="仿宋_GB2312"/>
          <w:color w:val="auto"/>
          <w:sz w:val="32"/>
          <w:szCs w:val="32"/>
          <w:lang w:val="zh-CN"/>
        </w:rPr>
        <w:t>增加876.72万元,增长30.37%,主要原因是</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zh-CN"/>
        </w:rPr>
        <w:t>2023年度机构改革法官学院分院撤销，</w:t>
      </w:r>
      <w:r>
        <w:rPr>
          <w:rFonts w:hint="eastAsia" w:ascii="仿宋_GB2312" w:hAnsi="仿宋_GB2312" w:eastAsia="仿宋_GB2312" w:cs="仿宋_GB2312"/>
          <w:color w:val="auto"/>
          <w:sz w:val="32"/>
          <w:szCs w:val="32"/>
          <w:lang w:val="en-US" w:eastAsia="zh-CN"/>
        </w:rPr>
        <w:t>原分院培训费转入我单位；2、新增汉藏双语法律文书互译及智能教学服务平台项目，学术报告厅及电梯项目追加资金</w:t>
      </w:r>
      <w:r>
        <w:rPr>
          <w:rFonts w:hint="eastAsia" w:ascii="仿宋_GB2312" w:hAnsi="仿宋_GB2312" w:eastAsia="仿宋_GB2312" w:cs="仿宋_GB2312"/>
          <w:color w:val="auto"/>
          <w:sz w:val="32"/>
          <w:szCs w:val="32"/>
          <w:lang w:val="zh-CN"/>
        </w:rPr>
        <w:t>。</w:t>
      </w:r>
    </w:p>
    <w:p w14:paraId="7238F8FE">
      <w:pPr>
        <w:spacing w:before="100" w:beforeLines="0" w:after="100" w:afterLines="0"/>
        <w:jc w:val="left"/>
        <w:rPr>
          <w:rFonts w:hint="eastAsia" w:ascii="黑体" w:hAnsi="黑体" w:eastAsia="黑体" w:cs="黑体"/>
          <w:b/>
          <w:bCs/>
          <w:color w:val="auto"/>
          <w:sz w:val="32"/>
          <w:szCs w:val="32"/>
          <w:lang w:val="zh-CN" w:eastAsia="zh-CN"/>
        </w:rPr>
      </w:pPr>
      <w:r>
        <w:rPr>
          <w:rFonts w:hint="eastAsia" w:ascii="黑体" w:hAnsi="黑体" w:eastAsia="黑体" w:cs="黑体"/>
          <w:b/>
          <w:bCs/>
          <w:color w:val="auto"/>
          <w:sz w:val="32"/>
          <w:szCs w:val="32"/>
          <w:lang w:val="zh-CN" w:eastAsia="zh-CN"/>
        </w:rPr>
        <w:t>二、收入决算情况说明</w:t>
      </w:r>
    </w:p>
    <w:p w14:paraId="3441C0EA">
      <w:pPr>
        <w:spacing w:before="100" w:beforeLines="0" w:after="100" w:afterLines="0"/>
        <w:ind w:firstLine="640" w:firstLineChars="20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2023年度收入合计2564.50万元,其中：财政拨款收入2554.50万元,占99.61%；</w:t>
      </w:r>
      <w:r>
        <w:rPr>
          <w:rFonts w:hint="eastAsia" w:ascii="仿宋_GB2312" w:hAnsi="仿宋_GB2312" w:eastAsia="仿宋_GB2312" w:cs="仿宋_GB2312"/>
          <w:color w:val="auto"/>
          <w:sz w:val="32"/>
          <w:szCs w:val="32"/>
          <w:lang w:val="en-US"/>
        </w:rPr>
        <w:t>其他</w:t>
      </w:r>
      <w:r>
        <w:rPr>
          <w:rFonts w:hint="eastAsia" w:ascii="仿宋_GB2312" w:hAnsi="仿宋_GB2312" w:eastAsia="仿宋_GB2312" w:cs="仿宋_GB2312"/>
          <w:color w:val="auto"/>
          <w:sz w:val="32"/>
          <w:szCs w:val="32"/>
          <w:lang w:val="zh-CN"/>
        </w:rPr>
        <w:t>收入10.00万元,占0.39%。</w:t>
      </w:r>
    </w:p>
    <w:p w14:paraId="3C58FDFA">
      <w:pPr>
        <w:spacing w:before="100" w:beforeLines="0" w:after="100" w:afterLines="0"/>
        <w:jc w:val="left"/>
        <w:rPr>
          <w:rFonts w:hint="eastAsia" w:ascii="黑体" w:hAnsi="黑体" w:eastAsia="黑体" w:cs="黑体"/>
          <w:b/>
          <w:bCs/>
          <w:color w:val="auto"/>
          <w:sz w:val="32"/>
          <w:szCs w:val="32"/>
          <w:lang w:val="zh-CN" w:eastAsia="zh-CN"/>
        </w:rPr>
      </w:pPr>
      <w:r>
        <w:rPr>
          <w:rFonts w:hint="eastAsia" w:ascii="黑体" w:hAnsi="黑体" w:eastAsia="黑体" w:cs="黑体"/>
          <w:b/>
          <w:bCs/>
          <w:color w:val="auto"/>
          <w:sz w:val="32"/>
          <w:szCs w:val="32"/>
          <w:lang w:val="zh-CN" w:eastAsia="zh-CN"/>
        </w:rPr>
        <w:t>三、支出决算情况说明</w:t>
      </w:r>
    </w:p>
    <w:p w14:paraId="3E5D2149">
      <w:pPr>
        <w:spacing w:before="100" w:beforeLines="0" w:after="100" w:afterLines="0"/>
        <w:ind w:firstLine="640" w:firstLineChars="20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2023年度支出合计2222.78万元,其中：基本支出597.56万元,占26.88%；项目支出1625.22万元,占73.12%。</w:t>
      </w:r>
    </w:p>
    <w:p w14:paraId="2E2043D4">
      <w:pPr>
        <w:spacing w:before="100" w:beforeLines="0" w:after="100" w:afterLines="0"/>
        <w:jc w:val="left"/>
        <w:rPr>
          <w:rFonts w:hint="eastAsia" w:ascii="黑体" w:hAnsi="黑体" w:eastAsia="黑体" w:cs="黑体"/>
          <w:b/>
          <w:bCs/>
          <w:color w:val="auto"/>
          <w:sz w:val="32"/>
          <w:szCs w:val="32"/>
          <w:lang w:val="zh-CN" w:eastAsia="zh-CN"/>
        </w:rPr>
      </w:pPr>
      <w:r>
        <w:rPr>
          <w:rFonts w:hint="eastAsia" w:ascii="黑体" w:hAnsi="黑体" w:eastAsia="黑体" w:cs="黑体"/>
          <w:b/>
          <w:bCs/>
          <w:color w:val="auto"/>
          <w:sz w:val="32"/>
          <w:szCs w:val="32"/>
          <w:lang w:val="zh-CN" w:eastAsia="zh-CN"/>
        </w:rPr>
        <w:t>四、财政拨款收入支出决算总体情况说明</w:t>
      </w:r>
    </w:p>
    <w:p w14:paraId="424F4FBD">
      <w:pPr>
        <w:spacing w:before="100" w:beforeLines="0" w:after="100" w:afterLines="0"/>
        <w:ind w:firstLine="640" w:firstLineChars="20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2023年度财政拨款收、支总计</w:t>
      </w:r>
      <w:r>
        <w:rPr>
          <w:rFonts w:hint="eastAsia" w:ascii="仿宋_GB2312" w:hAnsi="仿宋_GB2312" w:eastAsia="仿宋_GB2312" w:cs="仿宋_GB2312"/>
          <w:color w:val="auto"/>
          <w:sz w:val="32"/>
          <w:szCs w:val="32"/>
          <w:lang w:val="en-US"/>
        </w:rPr>
        <w:t>均为</w:t>
      </w:r>
      <w:r>
        <w:rPr>
          <w:rFonts w:hint="eastAsia" w:ascii="仿宋_GB2312" w:hAnsi="仿宋_GB2312" w:eastAsia="仿宋_GB2312" w:cs="仿宋_GB2312"/>
          <w:color w:val="auto"/>
          <w:sz w:val="32"/>
          <w:szCs w:val="32"/>
          <w:lang w:val="zh-CN"/>
        </w:rPr>
        <w:t>2655.11万元。与</w:t>
      </w:r>
      <w:r>
        <w:rPr>
          <w:rFonts w:hint="eastAsia" w:ascii="仿宋_GB2312" w:hAnsi="仿宋_GB2312" w:eastAsia="仿宋_GB2312" w:cs="仿宋_GB2312"/>
          <w:color w:val="auto"/>
          <w:sz w:val="32"/>
          <w:szCs w:val="32"/>
          <w:lang w:val="en-US"/>
        </w:rPr>
        <w:t>上</w:t>
      </w:r>
      <w:r>
        <w:rPr>
          <w:rFonts w:hint="eastAsia" w:ascii="仿宋_GB2312" w:hAnsi="仿宋_GB2312" w:eastAsia="仿宋_GB2312" w:cs="仿宋_GB2312"/>
          <w:color w:val="auto"/>
          <w:sz w:val="32"/>
          <w:szCs w:val="32"/>
          <w:lang w:val="zh-CN"/>
        </w:rPr>
        <w:t>年相比,各增加1060.76万元,增长66.53%。主要原因是</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zh-CN"/>
        </w:rPr>
        <w:t>2023年度机构改革法官学院分院撤销，</w:t>
      </w:r>
      <w:r>
        <w:rPr>
          <w:rFonts w:hint="eastAsia" w:ascii="仿宋_GB2312" w:hAnsi="仿宋_GB2312" w:eastAsia="仿宋_GB2312" w:cs="仿宋_GB2312"/>
          <w:color w:val="auto"/>
          <w:sz w:val="32"/>
          <w:szCs w:val="32"/>
          <w:lang w:val="en-US" w:eastAsia="zh-CN"/>
        </w:rPr>
        <w:t>原分院培训费转入我单位；2、新增汉藏双语法律文书互译及智能教学服务平台项目，学术报告厅及电梯项目追加资金</w:t>
      </w:r>
      <w:r>
        <w:rPr>
          <w:rFonts w:hint="eastAsia" w:ascii="仿宋_GB2312" w:hAnsi="仿宋_GB2312" w:eastAsia="仿宋_GB2312" w:cs="仿宋_GB2312"/>
          <w:color w:val="auto"/>
          <w:sz w:val="32"/>
          <w:szCs w:val="32"/>
          <w:lang w:val="zh-CN"/>
        </w:rPr>
        <w:t>。</w:t>
      </w:r>
    </w:p>
    <w:p w14:paraId="047E975E">
      <w:pPr>
        <w:spacing w:before="100" w:beforeLines="0" w:after="100" w:afterLines="0"/>
        <w:jc w:val="left"/>
        <w:rPr>
          <w:rFonts w:hint="eastAsia" w:ascii="仿宋_GB2312" w:hAnsi="仿宋_GB2312" w:eastAsia="仿宋_GB2312" w:cs="仿宋_GB2312"/>
          <w:b/>
          <w:bCs/>
          <w:color w:val="auto"/>
          <w:sz w:val="32"/>
          <w:szCs w:val="32"/>
          <w:lang w:val="zh-CN" w:eastAsia="zh-CN"/>
        </w:rPr>
      </w:pPr>
      <w:r>
        <w:rPr>
          <w:rFonts w:hint="eastAsia" w:ascii="黑体" w:hAnsi="黑体" w:eastAsia="黑体" w:cs="黑体"/>
          <w:b/>
          <w:bCs/>
          <w:color w:val="auto"/>
          <w:sz w:val="32"/>
          <w:szCs w:val="32"/>
          <w:lang w:val="zh-CN" w:eastAsia="zh-CN"/>
        </w:rPr>
        <w:t>五、一般公共预算财政拨款支出决算情况说明</w:t>
      </w:r>
    </w:p>
    <w:p w14:paraId="4576F7F1">
      <w:pPr>
        <w:spacing w:before="100" w:beforeLines="0" w:after="100" w:afterLines="0"/>
        <w:jc w:val="left"/>
        <w:rPr>
          <w:rFonts w:hint="eastAsia" w:ascii="黑体" w:hAnsi="黑体" w:eastAsia="黑体" w:cs="黑体"/>
          <w:color w:val="auto"/>
          <w:sz w:val="32"/>
          <w:szCs w:val="32"/>
          <w:lang w:val="zh-CN"/>
        </w:rPr>
      </w:pPr>
      <w:r>
        <w:rPr>
          <w:rFonts w:hint="eastAsia" w:ascii="黑体" w:hAnsi="黑体" w:eastAsia="黑体" w:cs="黑体"/>
          <w:color w:val="auto"/>
          <w:sz w:val="32"/>
          <w:szCs w:val="32"/>
          <w:lang w:val="zh-CN"/>
        </w:rPr>
        <w:t>（一）一般公共预算财政拨款支出决算总体情况</w:t>
      </w:r>
    </w:p>
    <w:p w14:paraId="2CDB00E7">
      <w:pPr>
        <w:spacing w:before="100" w:beforeLines="0" w:after="100" w:afterLines="0"/>
        <w:ind w:firstLine="640" w:firstLineChars="200"/>
        <w:jc w:val="left"/>
        <w:rPr>
          <w:rFonts w:hint="eastAsia" w:ascii="仿宋_GB2312" w:hAnsi="仿宋_GB2312" w:eastAsia="仿宋_GB2312" w:cs="仿宋_GB2312"/>
          <w:color w:val="FF0000"/>
          <w:sz w:val="32"/>
          <w:szCs w:val="32"/>
          <w:lang w:val="zh-CN"/>
        </w:rPr>
      </w:pPr>
      <w:r>
        <w:rPr>
          <w:rFonts w:hint="eastAsia" w:ascii="仿宋_GB2312" w:hAnsi="仿宋_GB2312" w:eastAsia="仿宋_GB2312" w:cs="仿宋_GB2312"/>
          <w:color w:val="auto"/>
          <w:sz w:val="32"/>
          <w:szCs w:val="32"/>
          <w:lang w:val="zh-CN"/>
        </w:rPr>
        <w:t>2023年度一般公共预算财政拨款支出2222.78万元,较上年决算数增加729.04万元,增长48.81%。主要原因是2023年度机构改革法官学院分院撤销，分院培训任务增加至我单位</w:t>
      </w:r>
      <w:r>
        <w:rPr>
          <w:rFonts w:hint="eastAsia" w:ascii="仿宋_GB2312" w:hAnsi="仿宋_GB2312" w:eastAsia="仿宋_GB2312" w:cs="仿宋_GB2312"/>
          <w:color w:val="auto"/>
          <w:sz w:val="32"/>
          <w:szCs w:val="32"/>
          <w:lang w:val="zh-CN" w:eastAsia="zh-CN"/>
        </w:rPr>
        <w:t>，</w:t>
      </w:r>
      <w:r>
        <w:rPr>
          <w:rFonts w:hint="eastAsia" w:ascii="仿宋_GB2312" w:hAnsi="仿宋_GB2312" w:eastAsia="仿宋_GB2312" w:cs="仿宋_GB2312"/>
          <w:color w:val="auto"/>
          <w:sz w:val="32"/>
          <w:szCs w:val="32"/>
          <w:lang w:val="en-US" w:eastAsia="zh-CN"/>
        </w:rPr>
        <w:t>故各项保障经费增加</w:t>
      </w:r>
      <w:r>
        <w:rPr>
          <w:rFonts w:hint="eastAsia" w:ascii="仿宋_GB2312" w:hAnsi="仿宋_GB2312" w:eastAsia="仿宋_GB2312" w:cs="仿宋_GB2312"/>
          <w:color w:val="auto"/>
          <w:sz w:val="32"/>
          <w:szCs w:val="32"/>
          <w:lang w:val="zh-CN"/>
        </w:rPr>
        <w:t>。</w:t>
      </w:r>
    </w:p>
    <w:p w14:paraId="23DAA445">
      <w:pPr>
        <w:numPr>
          <w:ilvl w:val="0"/>
          <w:numId w:val="0"/>
        </w:numPr>
        <w:spacing w:before="100" w:beforeLines="0" w:after="100" w:afterLines="0"/>
        <w:jc w:val="left"/>
        <w:rPr>
          <w:rFonts w:hint="eastAsia" w:ascii="黑体" w:hAnsi="黑体" w:eastAsia="黑体" w:cs="黑体"/>
          <w:color w:val="000000" w:themeColor="text1"/>
          <w:sz w:val="32"/>
          <w:szCs w:val="32"/>
          <w:lang w:val="zh-CN"/>
          <w14:textFill>
            <w14:solidFill>
              <w14:schemeClr w14:val="tx1"/>
            </w14:solidFill>
          </w14:textFill>
        </w:rPr>
      </w:pPr>
      <w:r>
        <w:rPr>
          <w:rFonts w:hint="eastAsia" w:ascii="黑体" w:hAnsi="黑体" w:eastAsia="黑体" w:cs="黑体"/>
          <w:color w:val="000000" w:themeColor="text1"/>
          <w:kern w:val="2"/>
          <w:sz w:val="32"/>
          <w:szCs w:val="32"/>
          <w:lang w:val="zh-CN"/>
          <w14:textFill>
            <w14:solidFill>
              <w14:schemeClr w14:val="tx1"/>
            </w14:solidFill>
          </w14:textFill>
        </w:rPr>
        <w:t>（二）</w:t>
      </w:r>
      <w:r>
        <w:rPr>
          <w:rFonts w:hint="eastAsia" w:ascii="黑体" w:hAnsi="黑体" w:eastAsia="黑体" w:cs="黑体"/>
          <w:color w:val="000000" w:themeColor="text1"/>
          <w:sz w:val="32"/>
          <w:szCs w:val="32"/>
          <w:lang w:val="zh-CN"/>
          <w14:textFill>
            <w14:solidFill>
              <w14:schemeClr w14:val="tx1"/>
            </w14:solidFill>
          </w14:textFill>
        </w:rPr>
        <w:t>一般公共预算财政拨款支出决算结构情况</w:t>
      </w:r>
    </w:p>
    <w:p w14:paraId="1253D27B">
      <w:pPr>
        <w:numPr>
          <w:ilvl w:val="0"/>
          <w:numId w:val="0"/>
        </w:numPr>
        <w:spacing w:before="100" w:beforeLines="0" w:after="100" w:afterLines="0"/>
        <w:ind w:firstLine="640" w:firstLineChars="200"/>
        <w:jc w:val="left"/>
        <w:rPr>
          <w:rFonts w:hint="eastAsia" w:ascii="仿宋_GB2312" w:hAnsi="仿宋_GB2312" w:eastAsia="仿宋_GB2312" w:cs="仿宋_GB2312"/>
          <w:color w:val="FF0000"/>
          <w:sz w:val="32"/>
          <w:szCs w:val="32"/>
          <w:lang w:val="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2023年度一般公共预算财政拨款支出</w:t>
      </w:r>
      <w:r>
        <w:rPr>
          <w:rFonts w:hint="eastAsia" w:ascii="仿宋_GB2312" w:hAnsi="仿宋_GB2312" w:eastAsia="仿宋_GB2312" w:cs="仿宋_GB2312"/>
          <w:color w:val="auto"/>
          <w:sz w:val="32"/>
          <w:szCs w:val="32"/>
          <w:lang w:val="zh-CN"/>
        </w:rPr>
        <w:t>2222.78万元，主要用于以下方面：公共安全支出2071.78万元,占93.21%；社会保障和就业支出61.43万元,占2.76%；卫生健康支出40.71万元,占1.83%；住房保障支出48.86万元,占2.2%。</w:t>
      </w:r>
    </w:p>
    <w:p w14:paraId="071AEA3A">
      <w:pPr>
        <w:numPr>
          <w:ilvl w:val="0"/>
          <w:numId w:val="0"/>
        </w:numPr>
        <w:spacing w:before="100" w:beforeLines="0" w:after="100" w:afterLines="0"/>
        <w:ind w:left="0" w:leftChars="0" w:firstLine="0" w:firstLineChars="0"/>
        <w:jc w:val="left"/>
        <w:rPr>
          <w:rFonts w:hint="eastAsia" w:ascii="黑体" w:hAnsi="黑体" w:eastAsia="黑体" w:cs="黑体"/>
          <w:color w:val="000000" w:themeColor="text1"/>
          <w:sz w:val="32"/>
          <w:szCs w:val="32"/>
          <w:lang w:val="zh-CN"/>
          <w14:textFill>
            <w14:solidFill>
              <w14:schemeClr w14:val="tx1"/>
            </w14:solidFill>
          </w14:textFill>
        </w:rPr>
      </w:pPr>
      <w:r>
        <w:rPr>
          <w:rFonts w:hint="eastAsia" w:ascii="黑体" w:hAnsi="黑体" w:eastAsia="黑体" w:cs="黑体"/>
          <w:color w:val="000000" w:themeColor="text1"/>
          <w:kern w:val="2"/>
          <w:sz w:val="32"/>
          <w:szCs w:val="32"/>
          <w:lang w:val="zh-CN"/>
          <w14:textFill>
            <w14:solidFill>
              <w14:schemeClr w14:val="tx1"/>
            </w14:solidFill>
          </w14:textFill>
        </w:rPr>
        <w:t>（三）</w:t>
      </w:r>
      <w:r>
        <w:rPr>
          <w:rFonts w:hint="eastAsia" w:ascii="黑体" w:hAnsi="黑体" w:eastAsia="黑体" w:cs="黑体"/>
          <w:color w:val="000000" w:themeColor="text1"/>
          <w:sz w:val="32"/>
          <w:szCs w:val="32"/>
          <w:lang w:val="zh-CN"/>
          <w14:textFill>
            <w14:solidFill>
              <w14:schemeClr w14:val="tx1"/>
            </w14:solidFill>
          </w14:textFill>
        </w:rPr>
        <w:t>一般公共预算财政拨款支出决算具体情况。</w:t>
      </w:r>
    </w:p>
    <w:p w14:paraId="526B065D">
      <w:pPr>
        <w:numPr>
          <w:ilvl w:val="0"/>
          <w:numId w:val="0"/>
        </w:numPr>
        <w:spacing w:before="100" w:beforeLines="0" w:after="100" w:afterLines="0"/>
        <w:ind w:leftChars="0" w:firstLine="640" w:firstLineChars="20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2023年度一般公共预算财政拨款支出年初预算为</w:t>
      </w:r>
      <w:r>
        <w:rPr>
          <w:rFonts w:hint="eastAsia" w:ascii="仿宋_GB2312" w:hAnsi="仿宋_GB2312" w:eastAsia="仿宋_GB2312" w:cs="仿宋_GB2312"/>
          <w:color w:val="auto"/>
          <w:sz w:val="32"/>
          <w:szCs w:val="32"/>
          <w:lang w:val="zh-CN"/>
        </w:rPr>
        <w:t>1742.50万元,支出决算为2222.78万元,完成年初预算的127.56%。其中：</w:t>
      </w:r>
    </w:p>
    <w:p w14:paraId="55EABAC6">
      <w:pPr>
        <w:spacing w:before="100" w:beforeLines="0" w:after="100" w:afterLines="0"/>
        <w:ind w:firstLine="643" w:firstLineChars="200"/>
        <w:jc w:val="left"/>
        <w:rPr>
          <w:rFonts w:hint="eastAsia" w:ascii="仿宋_GB2312" w:hAnsi="仿宋_GB2312" w:eastAsia="仿宋_GB2312" w:cs="仿宋_GB2312"/>
          <w:color w:val="FF0000"/>
          <w:sz w:val="32"/>
          <w:szCs w:val="32"/>
          <w:lang w:val="zh-CN"/>
        </w:rPr>
      </w:pPr>
      <w:r>
        <w:rPr>
          <w:rFonts w:hint="eastAsia" w:ascii="仿宋_GB2312" w:hAnsi="仿宋_GB2312" w:eastAsia="仿宋_GB2312" w:cs="仿宋_GB2312"/>
          <w:b/>
          <w:color w:val="auto"/>
          <w:sz w:val="32"/>
          <w:szCs w:val="32"/>
          <w:lang w:val="en-US" w:eastAsia="zh-CN"/>
        </w:rPr>
        <w:t>1</w:t>
      </w:r>
      <w:r>
        <w:rPr>
          <w:rFonts w:hint="eastAsia" w:ascii="仿宋_GB2312" w:hAnsi="仿宋_GB2312" w:eastAsia="仿宋_GB2312" w:cs="仿宋_GB2312"/>
          <w:b/>
          <w:color w:val="auto"/>
          <w:sz w:val="32"/>
          <w:szCs w:val="32"/>
          <w:lang w:val="zh-CN"/>
        </w:rPr>
        <w:t>．公共安全支出</w:t>
      </w:r>
      <w:r>
        <w:rPr>
          <w:rFonts w:hint="eastAsia" w:ascii="仿宋_GB2312" w:hAnsi="仿宋_GB2312" w:eastAsia="仿宋_GB2312" w:cs="仿宋_GB2312"/>
          <w:color w:val="auto"/>
          <w:sz w:val="32"/>
          <w:szCs w:val="32"/>
          <w:lang w:val="zh-CN"/>
        </w:rPr>
        <w:t>年初预算数为1555.38万元,支出决算为2071.78万元,完成年初预算的133.2%,决算数大于预算数的主要原因是</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zh-CN"/>
        </w:rPr>
        <w:t>2023年度机构改革法官学院分院撤销，</w:t>
      </w:r>
      <w:r>
        <w:rPr>
          <w:rFonts w:hint="eastAsia" w:ascii="仿宋_GB2312" w:hAnsi="仿宋_GB2312" w:eastAsia="仿宋_GB2312" w:cs="仿宋_GB2312"/>
          <w:color w:val="auto"/>
          <w:sz w:val="32"/>
          <w:szCs w:val="32"/>
          <w:lang w:val="en-US" w:eastAsia="zh-CN"/>
        </w:rPr>
        <w:t>原分院培训费转入我单位；2、新增汉藏双语法律文书互译及智能教学服务平台项目，学术报告厅及电梯项目追加资金</w:t>
      </w:r>
      <w:r>
        <w:rPr>
          <w:rFonts w:hint="eastAsia" w:ascii="仿宋_GB2312" w:hAnsi="仿宋_GB2312" w:eastAsia="仿宋_GB2312" w:cs="仿宋_GB2312"/>
          <w:color w:val="auto"/>
          <w:sz w:val="32"/>
          <w:szCs w:val="32"/>
          <w:lang w:val="zh-CN"/>
        </w:rPr>
        <w:t>。</w:t>
      </w:r>
    </w:p>
    <w:p w14:paraId="4B070907">
      <w:pPr>
        <w:spacing w:before="100" w:beforeLines="0" w:after="100" w:afterLines="0"/>
        <w:ind w:firstLine="643" w:firstLineChars="200"/>
        <w:jc w:val="left"/>
        <w:rPr>
          <w:rFonts w:hint="eastAsia" w:ascii="仿宋_GB2312" w:hAnsi="仿宋_GB2312" w:eastAsia="仿宋_GB2312" w:cs="仿宋_GB2312"/>
          <w:color w:val="FF0000"/>
          <w:sz w:val="32"/>
          <w:szCs w:val="32"/>
          <w:lang w:val="zh-CN"/>
        </w:rPr>
      </w:pPr>
      <w:r>
        <w:rPr>
          <w:rFonts w:hint="eastAsia" w:ascii="仿宋_GB2312" w:hAnsi="仿宋_GB2312" w:eastAsia="仿宋_GB2312" w:cs="仿宋_GB2312"/>
          <w:b/>
          <w:color w:val="auto"/>
          <w:sz w:val="32"/>
          <w:szCs w:val="32"/>
          <w:lang w:val="en-US" w:eastAsia="zh-CN"/>
        </w:rPr>
        <w:t>2</w:t>
      </w:r>
      <w:r>
        <w:rPr>
          <w:rFonts w:hint="eastAsia" w:ascii="仿宋_GB2312" w:hAnsi="仿宋_GB2312" w:eastAsia="仿宋_GB2312" w:cs="仿宋_GB2312"/>
          <w:b/>
          <w:color w:val="auto"/>
          <w:sz w:val="32"/>
          <w:szCs w:val="32"/>
          <w:lang w:val="zh-CN"/>
        </w:rPr>
        <w:t>．社会保障和就业支出</w:t>
      </w:r>
      <w:r>
        <w:rPr>
          <w:rFonts w:hint="eastAsia" w:ascii="仿宋_GB2312" w:hAnsi="仿宋_GB2312" w:eastAsia="仿宋_GB2312" w:cs="仿宋_GB2312"/>
          <w:color w:val="auto"/>
          <w:sz w:val="32"/>
          <w:szCs w:val="32"/>
          <w:lang w:val="zh-CN"/>
        </w:rPr>
        <w:t>年初预算数为91.02万元,支出决算为61.43万元,完成年初预算的67.49%,决算数小于预算数的主要原因是</w:t>
      </w:r>
      <w:r>
        <w:rPr>
          <w:rFonts w:hint="eastAsia" w:ascii="仿宋_GB2312" w:hAnsi="仿宋_GB2312" w:eastAsia="仿宋_GB2312" w:cs="仿宋_GB2312"/>
          <w:color w:val="auto"/>
          <w:sz w:val="32"/>
          <w:szCs w:val="32"/>
          <w:lang w:val="en-US" w:eastAsia="zh-CN"/>
        </w:rPr>
        <w:t>社会保障经费减少</w:t>
      </w:r>
      <w:r>
        <w:rPr>
          <w:rFonts w:hint="eastAsia" w:ascii="仿宋_GB2312" w:hAnsi="仿宋_GB2312" w:eastAsia="仿宋_GB2312" w:cs="仿宋_GB2312"/>
          <w:color w:val="auto"/>
          <w:sz w:val="32"/>
          <w:szCs w:val="32"/>
          <w:lang w:val="zh-CN"/>
        </w:rPr>
        <w:t>。</w:t>
      </w:r>
    </w:p>
    <w:p w14:paraId="4B6DD5BA">
      <w:pPr>
        <w:spacing w:before="100" w:beforeLines="0" w:after="100" w:afterLines="0"/>
        <w:ind w:firstLine="643" w:firstLineChars="200"/>
        <w:jc w:val="left"/>
        <w:rPr>
          <w:rFonts w:hint="eastAsia" w:ascii="仿宋_GB2312" w:hAnsi="仿宋_GB2312" w:eastAsia="仿宋_GB2312" w:cs="仿宋_GB2312"/>
          <w:color w:val="FF0000"/>
          <w:sz w:val="32"/>
          <w:szCs w:val="32"/>
          <w:lang w:val="zh-CN"/>
        </w:rPr>
      </w:pPr>
      <w:r>
        <w:rPr>
          <w:rFonts w:hint="eastAsia" w:ascii="仿宋_GB2312" w:hAnsi="仿宋_GB2312" w:eastAsia="仿宋_GB2312" w:cs="仿宋_GB2312"/>
          <w:b/>
          <w:color w:val="auto"/>
          <w:sz w:val="32"/>
          <w:szCs w:val="32"/>
          <w:lang w:val="en-US" w:eastAsia="zh-CN"/>
        </w:rPr>
        <w:t>3</w:t>
      </w:r>
      <w:r>
        <w:rPr>
          <w:rFonts w:hint="eastAsia" w:ascii="仿宋_GB2312" w:hAnsi="仿宋_GB2312" w:eastAsia="仿宋_GB2312" w:cs="仿宋_GB2312"/>
          <w:b/>
          <w:color w:val="auto"/>
          <w:sz w:val="32"/>
          <w:szCs w:val="32"/>
          <w:lang w:val="zh-CN"/>
        </w:rPr>
        <w:t>．卫生健康支出</w:t>
      </w:r>
      <w:r>
        <w:rPr>
          <w:rFonts w:hint="eastAsia" w:ascii="仿宋_GB2312" w:hAnsi="仿宋_GB2312" w:eastAsia="仿宋_GB2312" w:cs="仿宋_GB2312"/>
          <w:color w:val="auto"/>
          <w:sz w:val="32"/>
          <w:szCs w:val="32"/>
          <w:lang w:val="zh-CN"/>
        </w:rPr>
        <w:t>年初预算数为40.77万元,支出决算为40.71万元,完成年初预算的99.85%,决算数小于预算数的主要原因是</w:t>
      </w:r>
      <w:r>
        <w:rPr>
          <w:rFonts w:hint="eastAsia" w:ascii="仿宋_GB2312" w:hAnsi="仿宋_GB2312" w:eastAsia="仿宋_GB2312" w:cs="仿宋_GB2312"/>
          <w:color w:val="auto"/>
          <w:sz w:val="32"/>
          <w:szCs w:val="32"/>
          <w:lang w:val="en-US" w:eastAsia="zh-CN"/>
        </w:rPr>
        <w:t>卫生健康支出减少</w:t>
      </w:r>
      <w:r>
        <w:rPr>
          <w:rFonts w:hint="eastAsia" w:ascii="仿宋_GB2312" w:hAnsi="仿宋_GB2312" w:eastAsia="仿宋_GB2312" w:cs="仿宋_GB2312"/>
          <w:color w:val="auto"/>
          <w:sz w:val="32"/>
          <w:szCs w:val="32"/>
          <w:lang w:val="zh-CN"/>
        </w:rPr>
        <w:t>。</w:t>
      </w:r>
    </w:p>
    <w:p w14:paraId="3F5B44E2">
      <w:pPr>
        <w:spacing w:before="100" w:beforeLines="0" w:after="100" w:afterLines="0"/>
        <w:ind w:firstLine="643" w:firstLineChars="200"/>
        <w:jc w:val="left"/>
        <w:rPr>
          <w:rFonts w:hint="eastAsia" w:ascii="仿宋_GB2312" w:hAnsi="仿宋_GB2312" w:eastAsia="仿宋_GB2312" w:cs="仿宋_GB2312"/>
          <w:color w:val="FF0000"/>
          <w:sz w:val="32"/>
          <w:szCs w:val="32"/>
          <w:lang w:val="zh-CN"/>
        </w:rPr>
      </w:pPr>
      <w:r>
        <w:rPr>
          <w:rFonts w:hint="eastAsia" w:ascii="仿宋_GB2312" w:hAnsi="仿宋_GB2312" w:eastAsia="仿宋_GB2312" w:cs="仿宋_GB2312"/>
          <w:b/>
          <w:color w:val="auto"/>
          <w:sz w:val="32"/>
          <w:szCs w:val="32"/>
          <w:lang w:val="en-US" w:eastAsia="zh-CN"/>
        </w:rPr>
        <w:t>4</w:t>
      </w:r>
      <w:r>
        <w:rPr>
          <w:rFonts w:hint="eastAsia" w:ascii="仿宋_GB2312" w:hAnsi="仿宋_GB2312" w:eastAsia="仿宋_GB2312" w:cs="仿宋_GB2312"/>
          <w:b/>
          <w:color w:val="auto"/>
          <w:sz w:val="32"/>
          <w:szCs w:val="32"/>
          <w:lang w:val="zh-CN"/>
        </w:rPr>
        <w:t>．住房保障支出</w:t>
      </w:r>
      <w:r>
        <w:rPr>
          <w:rFonts w:hint="eastAsia" w:ascii="仿宋_GB2312" w:hAnsi="仿宋_GB2312" w:eastAsia="仿宋_GB2312" w:cs="仿宋_GB2312"/>
          <w:color w:val="auto"/>
          <w:sz w:val="32"/>
          <w:szCs w:val="32"/>
          <w:lang w:val="zh-CN"/>
        </w:rPr>
        <w:t>年初预算数为55.33万元,支出决算为48.86万元,完成年初预算的88.31%,决算数小于预算数的主要原因是</w:t>
      </w:r>
      <w:r>
        <w:rPr>
          <w:rFonts w:hint="eastAsia" w:ascii="仿宋_GB2312" w:hAnsi="仿宋_GB2312" w:eastAsia="仿宋_GB2312" w:cs="仿宋_GB2312"/>
          <w:color w:val="auto"/>
          <w:sz w:val="32"/>
          <w:szCs w:val="32"/>
          <w:lang w:val="en-US" w:eastAsia="zh-CN"/>
        </w:rPr>
        <w:t>住房保障支出减少</w:t>
      </w:r>
      <w:r>
        <w:rPr>
          <w:rFonts w:hint="eastAsia" w:ascii="仿宋_GB2312" w:hAnsi="仿宋_GB2312" w:eastAsia="仿宋_GB2312" w:cs="仿宋_GB2312"/>
          <w:color w:val="auto"/>
          <w:sz w:val="32"/>
          <w:szCs w:val="32"/>
          <w:lang w:val="zh-CN"/>
        </w:rPr>
        <w:t>。</w:t>
      </w:r>
    </w:p>
    <w:p w14:paraId="7AC48E45">
      <w:pPr>
        <w:spacing w:before="100" w:beforeLines="0" w:after="100" w:afterLines="0"/>
        <w:jc w:val="left"/>
        <w:rPr>
          <w:rFonts w:hint="eastAsia" w:ascii="黑体" w:hAnsi="黑体" w:eastAsia="黑体" w:cs="黑体"/>
          <w:b/>
          <w:bCs/>
          <w:color w:val="auto"/>
          <w:sz w:val="32"/>
          <w:szCs w:val="32"/>
          <w:lang w:val="zh-CN" w:eastAsia="zh-CN"/>
        </w:rPr>
      </w:pPr>
      <w:r>
        <w:rPr>
          <w:rFonts w:hint="eastAsia" w:ascii="黑体" w:hAnsi="黑体" w:eastAsia="黑体" w:cs="黑体"/>
          <w:b/>
          <w:bCs/>
          <w:color w:val="auto"/>
          <w:sz w:val="32"/>
          <w:szCs w:val="32"/>
          <w:lang w:val="zh-CN" w:eastAsia="zh-CN"/>
        </w:rPr>
        <w:t>六、一般公共预算财政拨款基本支出决算情况说明</w:t>
      </w:r>
    </w:p>
    <w:p w14:paraId="582283AC">
      <w:pPr>
        <w:spacing w:before="100" w:beforeLines="0" w:after="100" w:afterLines="0"/>
        <w:ind w:firstLine="640" w:firstLineChars="20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2023年度一般公共预算财政拨款基本支出597.56万元。其中：</w:t>
      </w:r>
    </w:p>
    <w:p w14:paraId="2261C51F">
      <w:pPr>
        <w:spacing w:before="100" w:beforeLines="0" w:after="100" w:afterLines="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人员经费</w:t>
      </w:r>
      <w:r>
        <w:rPr>
          <w:rFonts w:hint="eastAsia" w:ascii="仿宋_GB2312" w:hAnsi="仿宋_GB2312" w:eastAsia="仿宋_GB2312" w:cs="仿宋_GB2312"/>
          <w:color w:val="auto"/>
          <w:sz w:val="32"/>
          <w:szCs w:val="32"/>
          <w:lang w:val="zh-CN"/>
        </w:rPr>
        <w:t>561.83万元,较上年决算数减少8.11万元,下降1.42%,主要原因是</w:t>
      </w:r>
      <w:r>
        <w:rPr>
          <w:rFonts w:hint="eastAsia" w:ascii="仿宋_GB2312" w:hAnsi="仿宋_GB2312" w:eastAsia="仿宋_GB2312" w:cs="仿宋_GB2312"/>
          <w:color w:val="auto"/>
          <w:sz w:val="32"/>
          <w:szCs w:val="32"/>
          <w:lang w:val="en-US" w:eastAsia="zh-CN"/>
        </w:rPr>
        <w:t>人员社保经费有所下调</w:t>
      </w:r>
      <w:r>
        <w:rPr>
          <w:rFonts w:hint="eastAsia" w:ascii="仿宋_GB2312" w:hAnsi="仿宋_GB2312" w:eastAsia="仿宋_GB2312" w:cs="仿宋_GB2312"/>
          <w:color w:val="auto"/>
          <w:sz w:val="32"/>
          <w:szCs w:val="32"/>
          <w:lang w:val="zh-CN"/>
        </w:rPr>
        <w:t>。人员经费用途主要包括基本工资、津贴补贴、奖金、绩效工资、社会保障缴费、职业年金缴费、职工基本医疗保险缴费、公务员医疗补助缴费、其他社会保障缴费、住房公积金、医疗费、其他工资福利支出等项目。</w:t>
      </w:r>
    </w:p>
    <w:p w14:paraId="29158E5C">
      <w:pPr>
        <w:spacing w:before="100" w:beforeLines="0" w:after="100" w:afterLines="0"/>
        <w:jc w:val="left"/>
        <w:rPr>
          <w:rFonts w:hint="eastAsia" w:ascii="仿宋_GB2312" w:hAnsi="仿宋_GB2312" w:eastAsia="仿宋_GB2312" w:cs="仿宋_GB2312"/>
          <w:color w:val="FF0000"/>
          <w:sz w:val="32"/>
          <w:szCs w:val="32"/>
          <w:lang w:val="zh-CN"/>
        </w:rPr>
      </w:pPr>
      <w:r>
        <w:rPr>
          <w:rFonts w:hint="eastAsia" w:ascii="仿宋_GB2312" w:hAnsi="仿宋_GB2312" w:eastAsia="仿宋_GB2312" w:cs="仿宋_GB2312"/>
          <w:b/>
          <w:color w:val="auto"/>
          <w:sz w:val="32"/>
          <w:szCs w:val="32"/>
          <w:lang w:val="zh-CN"/>
        </w:rPr>
        <w:t>公用经费</w:t>
      </w:r>
      <w:r>
        <w:rPr>
          <w:rFonts w:hint="eastAsia" w:ascii="仿宋_GB2312" w:hAnsi="仿宋_GB2312" w:eastAsia="仿宋_GB2312" w:cs="仿宋_GB2312"/>
          <w:color w:val="auto"/>
          <w:sz w:val="32"/>
          <w:szCs w:val="32"/>
          <w:lang w:val="zh-CN"/>
        </w:rPr>
        <w:t>35.73万元,较上年决算数增加0.83万元,增长2.38%,主要原因是</w:t>
      </w:r>
      <w:r>
        <w:rPr>
          <w:rFonts w:hint="eastAsia" w:ascii="仿宋_GB2312" w:hAnsi="仿宋_GB2312" w:eastAsia="仿宋_GB2312" w:cs="仿宋_GB2312"/>
          <w:color w:val="auto"/>
          <w:sz w:val="32"/>
          <w:szCs w:val="32"/>
          <w:lang w:val="en-US" w:eastAsia="zh-CN"/>
        </w:rPr>
        <w:t>各项保障经费增加</w:t>
      </w:r>
      <w:r>
        <w:rPr>
          <w:rFonts w:hint="eastAsia" w:ascii="仿宋_GB2312" w:hAnsi="仿宋_GB2312" w:eastAsia="仿宋_GB2312" w:cs="仿宋_GB2312"/>
          <w:color w:val="auto"/>
          <w:sz w:val="32"/>
          <w:szCs w:val="32"/>
          <w:lang w:val="zh-CN"/>
        </w:rPr>
        <w:t>。公用经费用途主要包括办公费、印刷费、咨询费、手续费、水费、电费、邮电费、取暖费、物业管理费、差旅费等。</w:t>
      </w:r>
    </w:p>
    <w:p w14:paraId="0DCB97C9">
      <w:pPr>
        <w:spacing w:before="100" w:beforeLines="0" w:after="100" w:afterLines="0"/>
        <w:jc w:val="left"/>
        <w:rPr>
          <w:rFonts w:hint="eastAsia" w:ascii="黑体" w:hAnsi="黑体" w:eastAsia="黑体" w:cs="黑体"/>
          <w:b/>
          <w:bCs/>
          <w:color w:val="auto"/>
          <w:sz w:val="32"/>
          <w:szCs w:val="32"/>
          <w:lang w:val="zh-CN" w:eastAsia="zh-CN"/>
        </w:rPr>
      </w:pPr>
      <w:r>
        <w:rPr>
          <w:rFonts w:hint="eastAsia" w:ascii="黑体" w:hAnsi="黑体" w:eastAsia="黑体" w:cs="黑体"/>
          <w:b/>
          <w:bCs/>
          <w:color w:val="auto"/>
          <w:sz w:val="32"/>
          <w:szCs w:val="32"/>
          <w:lang w:val="zh-CN" w:eastAsia="zh-CN"/>
        </w:rPr>
        <w:t>七、政府性基金预算财政拨款收支决算情况说明</w:t>
      </w:r>
    </w:p>
    <w:p w14:paraId="48CAA17D">
      <w:pPr>
        <w:spacing w:before="100" w:beforeLines="0" w:after="100" w:afterLines="0"/>
        <w:ind w:firstLine="640" w:firstLineChars="20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本部门2023年度无政府性基金收入,也没有使用政府性基金安排的支出。</w:t>
      </w:r>
    </w:p>
    <w:p w14:paraId="2A91E94E">
      <w:pPr>
        <w:spacing w:before="100" w:beforeLines="0" w:after="100" w:afterLines="0"/>
        <w:jc w:val="left"/>
        <w:rPr>
          <w:rFonts w:hint="eastAsia" w:ascii="黑体" w:hAnsi="黑体" w:eastAsia="黑体" w:cs="黑体"/>
          <w:b/>
          <w:bCs/>
          <w:color w:val="auto"/>
          <w:sz w:val="32"/>
          <w:szCs w:val="32"/>
          <w:lang w:val="zh-CN" w:eastAsia="zh-CN"/>
        </w:rPr>
      </w:pPr>
      <w:r>
        <w:rPr>
          <w:rFonts w:hint="eastAsia" w:ascii="黑体" w:hAnsi="黑体" w:eastAsia="黑体" w:cs="黑体"/>
          <w:b/>
          <w:bCs/>
          <w:color w:val="auto"/>
          <w:sz w:val="32"/>
          <w:szCs w:val="32"/>
          <w:lang w:val="zh-CN" w:eastAsia="zh-CN"/>
        </w:rPr>
        <w:t>八、国有资本经营预算财政拨款支出情况说明</w:t>
      </w:r>
    </w:p>
    <w:p w14:paraId="053E5883">
      <w:pPr>
        <w:spacing w:before="100" w:beforeLines="0" w:after="100" w:afterLines="0"/>
        <w:ind w:firstLine="640" w:firstLineChars="200"/>
        <w:jc w:val="left"/>
        <w:rPr>
          <w:rFonts w:hint="eastAsia" w:ascii="仿宋_GB2312" w:hAnsi="仿宋_GB2312" w:eastAsia="仿宋_GB2312" w:cs="仿宋_GB2312"/>
          <w:color w:val="FF0000"/>
          <w:sz w:val="32"/>
          <w:szCs w:val="32"/>
          <w:lang w:val="zh-CN"/>
        </w:rPr>
      </w:pPr>
      <w:r>
        <w:rPr>
          <w:rFonts w:hint="eastAsia" w:ascii="仿宋_GB2312" w:hAnsi="仿宋_GB2312" w:eastAsia="仿宋_GB2312" w:cs="仿宋_GB2312"/>
          <w:color w:val="auto"/>
          <w:sz w:val="32"/>
          <w:szCs w:val="32"/>
          <w:lang w:val="zh-CN"/>
        </w:rPr>
        <w:t>本部门2023年度没有使用国有资本经营预算安排的支出。</w:t>
      </w:r>
    </w:p>
    <w:p w14:paraId="0AD59700">
      <w:pPr>
        <w:spacing w:before="100" w:beforeLines="0" w:after="100" w:afterLines="0"/>
        <w:jc w:val="left"/>
        <w:rPr>
          <w:rFonts w:hint="eastAsia" w:ascii="黑体" w:hAnsi="黑体" w:eastAsia="黑体" w:cs="黑体"/>
          <w:b/>
          <w:bCs/>
          <w:color w:val="auto"/>
          <w:sz w:val="32"/>
          <w:szCs w:val="32"/>
          <w:lang w:val="zh-CN" w:eastAsia="zh-CN"/>
        </w:rPr>
      </w:pPr>
      <w:r>
        <w:rPr>
          <w:rFonts w:hint="eastAsia" w:ascii="黑体" w:hAnsi="黑体" w:eastAsia="黑体" w:cs="黑体"/>
          <w:b/>
          <w:bCs/>
          <w:color w:val="auto"/>
          <w:sz w:val="32"/>
          <w:szCs w:val="32"/>
          <w:lang w:val="en-US" w:eastAsia="zh-CN"/>
        </w:rPr>
        <w:t>九</w:t>
      </w:r>
      <w:r>
        <w:rPr>
          <w:rFonts w:hint="eastAsia" w:ascii="黑体" w:hAnsi="黑体" w:eastAsia="黑体" w:cs="黑体"/>
          <w:b/>
          <w:bCs/>
          <w:color w:val="auto"/>
          <w:sz w:val="32"/>
          <w:szCs w:val="32"/>
          <w:lang w:val="zh-CN" w:eastAsia="zh-CN"/>
        </w:rPr>
        <w:t>、财政拨款“三公”经费支出决算情况说明</w:t>
      </w:r>
    </w:p>
    <w:p w14:paraId="4347BE62">
      <w:pPr>
        <w:spacing w:before="100" w:beforeLines="0" w:after="100" w:afterLines="0"/>
        <w:jc w:val="left"/>
        <w:rPr>
          <w:rFonts w:hint="eastAsia" w:ascii="黑体" w:hAnsi="黑体" w:eastAsia="黑体" w:cs="黑体"/>
          <w:color w:val="auto"/>
          <w:sz w:val="32"/>
          <w:szCs w:val="32"/>
          <w:lang w:val="zh-CN"/>
        </w:rPr>
      </w:pPr>
      <w:r>
        <w:rPr>
          <w:rFonts w:hint="eastAsia" w:ascii="黑体" w:hAnsi="黑体" w:eastAsia="黑体" w:cs="黑体"/>
          <w:b/>
          <w:color w:val="auto"/>
          <w:sz w:val="32"/>
          <w:szCs w:val="32"/>
          <w:lang w:val="zh-CN"/>
        </w:rPr>
        <w:t>(一)“三公”经费财政拨款支出总体情况说明</w:t>
      </w:r>
    </w:p>
    <w:p w14:paraId="5336CD3E">
      <w:pPr>
        <w:spacing w:before="100" w:beforeLines="0" w:after="100" w:afterLines="0"/>
        <w:ind w:firstLine="640" w:firstLineChars="20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2023年度“三公”经费支出</w:t>
      </w:r>
      <w:r>
        <w:rPr>
          <w:rFonts w:hint="eastAsia" w:ascii="仿宋_GB2312" w:hAnsi="仿宋_GB2312" w:eastAsia="仿宋_GB2312" w:cs="仿宋_GB2312"/>
          <w:color w:val="auto"/>
          <w:sz w:val="32"/>
          <w:szCs w:val="32"/>
          <w:lang w:val="en-US"/>
        </w:rPr>
        <w:t>全年</w:t>
      </w:r>
      <w:r>
        <w:rPr>
          <w:rFonts w:hint="eastAsia" w:ascii="仿宋_GB2312" w:hAnsi="仿宋_GB2312" w:eastAsia="仿宋_GB2312" w:cs="仿宋_GB2312"/>
          <w:color w:val="auto"/>
          <w:sz w:val="32"/>
          <w:szCs w:val="32"/>
          <w:lang w:val="zh-CN"/>
        </w:rPr>
        <w:t>预算数为31.84万元,支出决算为26.40万元,决算数小于预算数的主要原因是</w:t>
      </w:r>
      <w:r>
        <w:rPr>
          <w:rFonts w:hint="eastAsia" w:ascii="仿宋_GB2312" w:hAnsi="仿宋_GB2312" w:eastAsia="仿宋_GB2312" w:cs="仿宋_GB2312"/>
          <w:color w:val="auto"/>
          <w:sz w:val="32"/>
          <w:szCs w:val="32"/>
          <w:lang w:val="en-US" w:eastAsia="zh-CN"/>
        </w:rPr>
        <w:t>本年未产生公务接待费</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rPr>
        <w:t>较上年决算数</w:t>
      </w:r>
      <w:r>
        <w:rPr>
          <w:rFonts w:hint="eastAsia" w:ascii="仿宋_GB2312" w:hAnsi="仿宋_GB2312" w:eastAsia="仿宋_GB2312" w:cs="仿宋_GB2312"/>
          <w:color w:val="auto"/>
          <w:sz w:val="32"/>
          <w:szCs w:val="32"/>
          <w:lang w:val="en-US" w:eastAsia="zh-CN"/>
        </w:rPr>
        <w:t>增加4.01</w:t>
      </w:r>
      <w:r>
        <w:rPr>
          <w:rFonts w:hint="eastAsia" w:ascii="仿宋_GB2312" w:hAnsi="仿宋_GB2312" w:eastAsia="仿宋_GB2312" w:cs="仿宋_GB2312"/>
          <w:color w:val="auto"/>
          <w:sz w:val="32"/>
          <w:szCs w:val="32"/>
          <w:lang w:val="zh-CN"/>
        </w:rPr>
        <w:t>万元</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lang w:val="en-US" w:eastAsia="zh-CN"/>
        </w:rPr>
        <w:t>增长17.89</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rPr>
        <w:t>,主要原因是</w:t>
      </w:r>
      <w:r>
        <w:rPr>
          <w:rFonts w:hint="eastAsia" w:ascii="仿宋_GB2312" w:hAnsi="仿宋_GB2312" w:eastAsia="仿宋_GB2312" w:cs="仿宋_GB2312"/>
          <w:color w:val="auto"/>
          <w:sz w:val="32"/>
          <w:szCs w:val="32"/>
          <w:lang w:val="en-US" w:eastAsia="zh-CN"/>
        </w:rPr>
        <w:t>本年培训任务增加，车辆运行经费增加</w:t>
      </w:r>
      <w:r>
        <w:rPr>
          <w:rFonts w:hint="eastAsia" w:ascii="仿宋_GB2312" w:hAnsi="仿宋_GB2312" w:eastAsia="仿宋_GB2312" w:cs="仿宋_GB2312"/>
          <w:color w:val="auto"/>
          <w:sz w:val="32"/>
          <w:szCs w:val="32"/>
          <w:lang w:val="zh-CN"/>
        </w:rPr>
        <w:t>。</w:t>
      </w:r>
    </w:p>
    <w:p w14:paraId="350AB01C">
      <w:pPr>
        <w:numPr>
          <w:ilvl w:val="0"/>
          <w:numId w:val="0"/>
        </w:numPr>
        <w:spacing w:before="100" w:beforeLines="0" w:after="100" w:afterLines="0"/>
        <w:jc w:val="left"/>
        <w:rPr>
          <w:rFonts w:hint="eastAsia" w:ascii="黑体" w:hAnsi="黑体" w:eastAsia="黑体" w:cs="黑体"/>
          <w:b/>
          <w:color w:val="auto"/>
          <w:sz w:val="32"/>
          <w:szCs w:val="32"/>
          <w:lang w:val="zh-CN"/>
        </w:rPr>
      </w:pPr>
      <w:r>
        <w:rPr>
          <w:rFonts w:hint="eastAsia" w:ascii="黑体" w:hAnsi="黑体" w:eastAsia="黑体" w:cs="黑体"/>
          <w:b/>
          <w:color w:val="auto"/>
          <w:kern w:val="2"/>
          <w:sz w:val="32"/>
          <w:szCs w:val="32"/>
          <w:lang w:val="zh-CN"/>
        </w:rPr>
        <w:t>(二)</w:t>
      </w:r>
      <w:r>
        <w:rPr>
          <w:rFonts w:hint="eastAsia" w:ascii="黑体" w:hAnsi="黑体" w:eastAsia="黑体" w:cs="黑体"/>
          <w:b/>
          <w:color w:val="auto"/>
          <w:sz w:val="32"/>
          <w:szCs w:val="32"/>
          <w:lang w:val="zh-CN"/>
        </w:rPr>
        <w:t>“三公”经费财政拨款支出决算具体情况说明</w:t>
      </w:r>
    </w:p>
    <w:p w14:paraId="688E5A19">
      <w:pPr>
        <w:spacing w:before="100" w:beforeLines="0" w:after="100" w:afterLines="0"/>
        <w:ind w:firstLine="643" w:firstLineChars="20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1.因公出国(境)费用</w:t>
      </w:r>
      <w:r>
        <w:rPr>
          <w:rFonts w:hint="eastAsia" w:ascii="仿宋_GB2312" w:hAnsi="仿宋_GB2312" w:eastAsia="仿宋_GB2312" w:cs="仿宋_GB2312"/>
          <w:color w:val="auto"/>
          <w:sz w:val="32"/>
          <w:szCs w:val="32"/>
          <w:lang w:val="en-US"/>
        </w:rPr>
        <w:t>全年</w:t>
      </w:r>
      <w:r>
        <w:rPr>
          <w:rFonts w:hint="eastAsia" w:ascii="仿宋_GB2312" w:hAnsi="仿宋_GB2312" w:eastAsia="仿宋_GB2312" w:cs="仿宋_GB2312"/>
          <w:color w:val="auto"/>
          <w:sz w:val="32"/>
          <w:szCs w:val="32"/>
          <w:lang w:val="zh-CN"/>
        </w:rPr>
        <w:t>预算数为0.00万元,支出决算为0.00万元,决算数小于预算数的主要原因是</w:t>
      </w:r>
      <w:r>
        <w:rPr>
          <w:rFonts w:hint="eastAsia" w:ascii="仿宋_GB2312" w:hAnsi="仿宋_GB2312" w:eastAsia="仿宋_GB2312" w:cs="仿宋_GB2312"/>
          <w:color w:val="auto"/>
          <w:sz w:val="32"/>
          <w:szCs w:val="32"/>
          <w:lang w:val="en-US" w:eastAsia="zh-CN"/>
        </w:rPr>
        <w:t>本年未产生因公出国费用</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rPr>
        <w:t>较上年决算数</w:t>
      </w:r>
      <w:r>
        <w:rPr>
          <w:rFonts w:hint="eastAsia" w:ascii="仿宋_GB2312" w:hAnsi="仿宋_GB2312" w:eastAsia="仿宋_GB2312" w:cs="仿宋_GB2312"/>
          <w:color w:val="auto"/>
          <w:sz w:val="32"/>
          <w:szCs w:val="32"/>
          <w:lang w:val="en-US" w:eastAsia="zh-CN"/>
        </w:rPr>
        <w:t>减少0.0</w:t>
      </w:r>
      <w:r>
        <w:rPr>
          <w:rFonts w:hint="eastAsia" w:ascii="仿宋_GB2312" w:hAnsi="仿宋_GB2312" w:eastAsia="仿宋_GB2312" w:cs="仿宋_GB2312"/>
          <w:color w:val="auto"/>
          <w:sz w:val="32"/>
          <w:szCs w:val="32"/>
          <w:lang w:val="zh-CN"/>
        </w:rPr>
        <w:t>万元</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lang w:val="en-US" w:eastAsia="zh-CN"/>
        </w:rPr>
        <w:t>下降0</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rPr>
        <w:t>,主要原因是</w:t>
      </w:r>
      <w:r>
        <w:rPr>
          <w:rFonts w:hint="eastAsia" w:ascii="仿宋_GB2312" w:hAnsi="仿宋_GB2312" w:eastAsia="仿宋_GB2312" w:cs="仿宋_GB2312"/>
          <w:color w:val="auto"/>
          <w:sz w:val="32"/>
          <w:szCs w:val="32"/>
          <w:lang w:val="en-US" w:eastAsia="zh-CN"/>
        </w:rPr>
        <w:t>本年未产生因公出国费用</w:t>
      </w:r>
      <w:r>
        <w:rPr>
          <w:rFonts w:hint="eastAsia" w:ascii="仿宋_GB2312" w:hAnsi="仿宋_GB2312" w:eastAsia="仿宋_GB2312" w:cs="仿宋_GB2312"/>
          <w:color w:val="auto"/>
          <w:sz w:val="32"/>
          <w:szCs w:val="32"/>
          <w:lang w:val="zh-CN"/>
        </w:rPr>
        <w:t>。</w:t>
      </w:r>
    </w:p>
    <w:p w14:paraId="0F7C7F2F">
      <w:pPr>
        <w:spacing w:before="100" w:beforeLines="0" w:after="100" w:afterLines="0"/>
        <w:ind w:firstLine="643" w:firstLineChars="20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2.公务用车购置及运行维护费</w:t>
      </w:r>
      <w:r>
        <w:rPr>
          <w:rFonts w:hint="eastAsia" w:ascii="仿宋_GB2312" w:hAnsi="仿宋_GB2312" w:eastAsia="仿宋_GB2312" w:cs="仿宋_GB2312"/>
          <w:color w:val="auto"/>
          <w:sz w:val="32"/>
          <w:szCs w:val="32"/>
          <w:lang w:val="en-US"/>
        </w:rPr>
        <w:t>全年</w:t>
      </w:r>
      <w:r>
        <w:rPr>
          <w:rFonts w:hint="eastAsia" w:ascii="仿宋_GB2312" w:hAnsi="仿宋_GB2312" w:eastAsia="仿宋_GB2312" w:cs="仿宋_GB2312"/>
          <w:color w:val="auto"/>
          <w:sz w:val="32"/>
          <w:szCs w:val="32"/>
          <w:lang w:val="zh-CN"/>
        </w:rPr>
        <w:t>预算数为26.40万元,支出决算为26.40万元,决算数小于预算数的主要原因是</w:t>
      </w:r>
      <w:r>
        <w:rPr>
          <w:rFonts w:hint="eastAsia" w:ascii="仿宋_GB2312" w:hAnsi="仿宋_GB2312" w:eastAsia="仿宋_GB2312" w:cs="仿宋_GB2312"/>
          <w:color w:val="auto"/>
          <w:sz w:val="32"/>
          <w:szCs w:val="32"/>
          <w:lang w:val="en-US"/>
        </w:rPr>
        <w:t>主要原因是</w:t>
      </w:r>
      <w:r>
        <w:rPr>
          <w:rFonts w:hint="eastAsia" w:ascii="仿宋_GB2312" w:hAnsi="仿宋_GB2312" w:eastAsia="仿宋_GB2312" w:cs="仿宋_GB2312"/>
          <w:color w:val="auto"/>
          <w:sz w:val="32"/>
          <w:szCs w:val="32"/>
          <w:lang w:val="en-US" w:eastAsia="zh-CN"/>
        </w:rPr>
        <w:t>本年培训任务增加，车辆运行经费增加</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rPr>
        <w:t>较上年决算数</w:t>
      </w:r>
      <w:r>
        <w:rPr>
          <w:rFonts w:hint="eastAsia" w:ascii="仿宋_GB2312" w:hAnsi="仿宋_GB2312" w:eastAsia="仿宋_GB2312" w:cs="仿宋_GB2312"/>
          <w:color w:val="auto"/>
          <w:sz w:val="32"/>
          <w:szCs w:val="32"/>
          <w:lang w:val="en-US" w:eastAsia="zh-CN"/>
        </w:rPr>
        <w:t>增加4.01</w:t>
      </w:r>
      <w:r>
        <w:rPr>
          <w:rFonts w:hint="eastAsia" w:ascii="仿宋_GB2312" w:hAnsi="仿宋_GB2312" w:eastAsia="仿宋_GB2312" w:cs="仿宋_GB2312"/>
          <w:color w:val="auto"/>
          <w:sz w:val="32"/>
          <w:szCs w:val="32"/>
          <w:lang w:val="zh-CN"/>
        </w:rPr>
        <w:t>万元</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lang w:val="en-US" w:eastAsia="zh-CN"/>
        </w:rPr>
        <w:t>增长17.89</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rPr>
        <w:t>,主要原因是</w:t>
      </w:r>
      <w:r>
        <w:rPr>
          <w:rFonts w:hint="eastAsia" w:ascii="仿宋_GB2312" w:hAnsi="仿宋_GB2312" w:eastAsia="仿宋_GB2312" w:cs="仿宋_GB2312"/>
          <w:color w:val="auto"/>
          <w:sz w:val="32"/>
          <w:szCs w:val="32"/>
          <w:lang w:val="en-US" w:eastAsia="zh-CN"/>
        </w:rPr>
        <w:t>本年培训任务增加，车辆运行经费增加</w:t>
      </w:r>
      <w:r>
        <w:rPr>
          <w:rFonts w:hint="eastAsia" w:ascii="仿宋_GB2312" w:hAnsi="仿宋_GB2312" w:eastAsia="仿宋_GB2312" w:cs="仿宋_GB2312"/>
          <w:color w:val="auto"/>
          <w:sz w:val="32"/>
          <w:szCs w:val="32"/>
          <w:lang w:val="zh-CN"/>
        </w:rPr>
        <w:t>。</w:t>
      </w:r>
    </w:p>
    <w:p w14:paraId="0DBD65EF">
      <w:pPr>
        <w:spacing w:before="100" w:beforeLines="0" w:after="100" w:afterLines="0"/>
        <w:ind w:firstLine="643" w:firstLineChars="20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其中：公务用车购置费</w:t>
      </w:r>
      <w:r>
        <w:rPr>
          <w:rFonts w:hint="eastAsia" w:ascii="仿宋_GB2312" w:hAnsi="仿宋_GB2312" w:eastAsia="仿宋_GB2312" w:cs="仿宋_GB2312"/>
          <w:color w:val="auto"/>
          <w:sz w:val="32"/>
          <w:szCs w:val="32"/>
          <w:lang w:val="en-US"/>
        </w:rPr>
        <w:t>全年</w:t>
      </w:r>
      <w:r>
        <w:rPr>
          <w:rFonts w:hint="eastAsia" w:ascii="仿宋_GB2312" w:hAnsi="仿宋_GB2312" w:eastAsia="仿宋_GB2312" w:cs="仿宋_GB2312"/>
          <w:color w:val="auto"/>
          <w:sz w:val="32"/>
          <w:szCs w:val="32"/>
          <w:lang w:val="zh-CN"/>
        </w:rPr>
        <w:t>预算数为0.00万元,支出决算为0.00万元,决算数小于预算数的主要原因是</w:t>
      </w:r>
      <w:r>
        <w:rPr>
          <w:rFonts w:hint="eastAsia" w:ascii="仿宋_GB2312" w:hAnsi="仿宋_GB2312" w:eastAsia="仿宋_GB2312" w:cs="仿宋_GB2312"/>
          <w:color w:val="auto"/>
          <w:sz w:val="32"/>
          <w:szCs w:val="32"/>
          <w:lang w:val="en-US" w:eastAsia="zh-CN"/>
        </w:rPr>
        <w:t>本年无公车购置费</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rPr>
        <w:t>较上年决算数</w:t>
      </w:r>
      <w:r>
        <w:rPr>
          <w:rFonts w:hint="eastAsia" w:ascii="仿宋_GB2312" w:hAnsi="仿宋_GB2312" w:eastAsia="仿宋_GB2312" w:cs="仿宋_GB2312"/>
          <w:color w:val="auto"/>
          <w:sz w:val="32"/>
          <w:szCs w:val="32"/>
          <w:lang w:val="en-US" w:eastAsia="zh-CN"/>
        </w:rPr>
        <w:t>减少0.0</w:t>
      </w:r>
      <w:r>
        <w:rPr>
          <w:rFonts w:hint="eastAsia" w:ascii="仿宋_GB2312" w:hAnsi="仿宋_GB2312" w:eastAsia="仿宋_GB2312" w:cs="仿宋_GB2312"/>
          <w:color w:val="auto"/>
          <w:sz w:val="32"/>
          <w:szCs w:val="32"/>
          <w:lang w:val="zh-CN"/>
        </w:rPr>
        <w:t>万元</w:t>
      </w:r>
      <w:r>
        <w:rPr>
          <w:rFonts w:hint="eastAsia" w:ascii="仿宋_GB2312" w:hAnsi="仿宋_GB2312" w:eastAsia="仿宋_GB2312" w:cs="仿宋_GB2312"/>
          <w:color w:val="auto"/>
          <w:sz w:val="32"/>
          <w:szCs w:val="32"/>
          <w:lang w:val="en-US"/>
        </w:rPr>
        <w:t>,较上年决算数</w:t>
      </w:r>
      <w:r>
        <w:rPr>
          <w:rFonts w:hint="eastAsia" w:ascii="仿宋_GB2312" w:hAnsi="仿宋_GB2312" w:eastAsia="仿宋_GB2312" w:cs="仿宋_GB2312"/>
          <w:color w:val="auto"/>
          <w:sz w:val="32"/>
          <w:szCs w:val="32"/>
          <w:lang w:val="en-US" w:eastAsia="zh-CN"/>
        </w:rPr>
        <w:t>减少0.0</w:t>
      </w:r>
      <w:r>
        <w:rPr>
          <w:rFonts w:hint="eastAsia" w:ascii="仿宋_GB2312" w:hAnsi="仿宋_GB2312" w:eastAsia="仿宋_GB2312" w:cs="仿宋_GB2312"/>
          <w:color w:val="auto"/>
          <w:sz w:val="32"/>
          <w:szCs w:val="32"/>
          <w:lang w:val="zh-CN"/>
        </w:rPr>
        <w:t>万元</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lang w:val="en-US" w:eastAsia="zh-CN"/>
        </w:rPr>
        <w:t>下降</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rPr>
        <w:t>,主要原因是</w:t>
      </w:r>
      <w:r>
        <w:rPr>
          <w:rFonts w:hint="eastAsia" w:ascii="仿宋_GB2312" w:hAnsi="仿宋_GB2312" w:eastAsia="仿宋_GB2312" w:cs="仿宋_GB2312"/>
          <w:color w:val="auto"/>
          <w:sz w:val="32"/>
          <w:szCs w:val="32"/>
          <w:lang w:val="en-US" w:eastAsia="zh-CN"/>
        </w:rPr>
        <w:t>本年无公车购置费</w:t>
      </w:r>
      <w:r>
        <w:rPr>
          <w:rFonts w:hint="eastAsia" w:ascii="仿宋_GB2312" w:hAnsi="仿宋_GB2312" w:eastAsia="仿宋_GB2312" w:cs="仿宋_GB2312"/>
          <w:color w:val="auto"/>
          <w:sz w:val="32"/>
          <w:szCs w:val="32"/>
          <w:lang w:val="zh-CN"/>
        </w:rPr>
        <w:t>。</w:t>
      </w:r>
    </w:p>
    <w:p w14:paraId="13A33838">
      <w:pPr>
        <w:spacing w:before="100" w:beforeLines="0" w:after="100" w:afterLines="0"/>
        <w:ind w:firstLine="643" w:firstLineChars="20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公务用车运行维护费</w:t>
      </w:r>
      <w:r>
        <w:rPr>
          <w:rFonts w:hint="eastAsia" w:ascii="仿宋_GB2312" w:hAnsi="仿宋_GB2312" w:eastAsia="仿宋_GB2312" w:cs="仿宋_GB2312"/>
          <w:color w:val="auto"/>
          <w:sz w:val="32"/>
          <w:szCs w:val="32"/>
          <w:lang w:val="en-US"/>
        </w:rPr>
        <w:t>全年</w:t>
      </w:r>
      <w:r>
        <w:rPr>
          <w:rFonts w:hint="eastAsia" w:ascii="仿宋_GB2312" w:hAnsi="仿宋_GB2312" w:eastAsia="仿宋_GB2312" w:cs="仿宋_GB2312"/>
          <w:color w:val="auto"/>
          <w:sz w:val="32"/>
          <w:szCs w:val="32"/>
          <w:lang w:val="zh-CN"/>
        </w:rPr>
        <w:t>预算数为26.40万元,支出决算为26.40万元,决算数小于预算数的主要原因是</w:t>
      </w:r>
      <w:r>
        <w:rPr>
          <w:rFonts w:hint="eastAsia" w:ascii="仿宋_GB2312" w:hAnsi="仿宋_GB2312" w:eastAsia="仿宋_GB2312" w:cs="仿宋_GB2312"/>
          <w:color w:val="auto"/>
          <w:sz w:val="32"/>
          <w:szCs w:val="32"/>
          <w:lang w:val="en-US" w:eastAsia="zh-CN"/>
        </w:rPr>
        <w:t>本年培训任务增加，车辆运行经费增加</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rPr>
        <w:t>较上年决算数</w:t>
      </w:r>
      <w:r>
        <w:rPr>
          <w:rFonts w:hint="eastAsia" w:ascii="仿宋_GB2312" w:hAnsi="仿宋_GB2312" w:eastAsia="仿宋_GB2312" w:cs="仿宋_GB2312"/>
          <w:color w:val="auto"/>
          <w:sz w:val="32"/>
          <w:szCs w:val="32"/>
          <w:lang w:val="en-US" w:eastAsia="zh-CN"/>
        </w:rPr>
        <w:t>增加4.01</w:t>
      </w:r>
      <w:r>
        <w:rPr>
          <w:rFonts w:hint="eastAsia" w:ascii="仿宋_GB2312" w:hAnsi="仿宋_GB2312" w:eastAsia="仿宋_GB2312" w:cs="仿宋_GB2312"/>
          <w:color w:val="auto"/>
          <w:sz w:val="32"/>
          <w:szCs w:val="32"/>
          <w:lang w:val="zh-CN"/>
        </w:rPr>
        <w:t>万元</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lang w:val="en-US" w:eastAsia="zh-CN"/>
        </w:rPr>
        <w:t>增长17.89</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rPr>
        <w:t>,主要原因是</w:t>
      </w:r>
      <w:r>
        <w:rPr>
          <w:rFonts w:hint="eastAsia" w:ascii="仿宋_GB2312" w:hAnsi="仿宋_GB2312" w:eastAsia="仿宋_GB2312" w:cs="仿宋_GB2312"/>
          <w:color w:val="auto"/>
          <w:sz w:val="32"/>
          <w:szCs w:val="32"/>
          <w:lang w:val="en-US" w:eastAsia="zh-CN"/>
        </w:rPr>
        <w:t>本年培训任务增加，车辆运行经费增加</w:t>
      </w:r>
      <w:r>
        <w:rPr>
          <w:rFonts w:hint="eastAsia" w:ascii="仿宋_GB2312" w:hAnsi="仿宋_GB2312" w:eastAsia="仿宋_GB2312" w:cs="仿宋_GB2312"/>
          <w:color w:val="auto"/>
          <w:sz w:val="32"/>
          <w:szCs w:val="32"/>
          <w:lang w:val="zh-CN"/>
        </w:rPr>
        <w:t>。</w:t>
      </w:r>
    </w:p>
    <w:p w14:paraId="4D947E01">
      <w:pPr>
        <w:numPr>
          <w:ilvl w:val="0"/>
          <w:numId w:val="0"/>
        </w:numPr>
        <w:spacing w:before="100" w:beforeLines="0" w:after="100" w:afterLines="0"/>
        <w:ind w:firstLine="640" w:firstLineChars="200"/>
        <w:jc w:val="left"/>
        <w:rPr>
          <w:rFonts w:hint="eastAsia" w:ascii="仿宋_GB2312" w:hAnsi="仿宋_GB2312" w:eastAsia="仿宋_GB2312" w:cs="仿宋_GB2312"/>
          <w:color w:val="FF0000"/>
          <w:sz w:val="32"/>
          <w:szCs w:val="32"/>
          <w:lang w:val="zh-CN"/>
        </w:rPr>
      </w:pPr>
      <w:r>
        <w:rPr>
          <w:rFonts w:hint="eastAsia" w:ascii="仿宋_GB2312" w:hAnsi="仿宋_GB2312" w:eastAsia="仿宋_GB2312" w:cs="仿宋_GB2312"/>
          <w:color w:val="000000" w:themeColor="text1"/>
          <w:kern w:val="2"/>
          <w:sz w:val="32"/>
          <w:szCs w:val="32"/>
          <w:lang w:val="zh-CN"/>
          <w14:textFill>
            <w14:solidFill>
              <w14:schemeClr w14:val="tx1"/>
            </w14:solidFill>
          </w14:textFill>
        </w:rPr>
        <w:t>3.</w:t>
      </w:r>
      <w:r>
        <w:rPr>
          <w:rFonts w:hint="eastAsia" w:ascii="仿宋_GB2312" w:hAnsi="仿宋_GB2312" w:eastAsia="仿宋_GB2312" w:cs="仿宋_GB2312"/>
          <w:b/>
          <w:color w:val="auto"/>
          <w:sz w:val="32"/>
          <w:szCs w:val="32"/>
          <w:lang w:val="zh-CN"/>
        </w:rPr>
        <w:t>公务接待费</w:t>
      </w:r>
      <w:r>
        <w:rPr>
          <w:rFonts w:hint="eastAsia" w:ascii="仿宋_GB2312" w:hAnsi="仿宋_GB2312" w:eastAsia="仿宋_GB2312" w:cs="仿宋_GB2312"/>
          <w:color w:val="auto"/>
          <w:sz w:val="32"/>
          <w:szCs w:val="32"/>
          <w:lang w:val="en-US"/>
        </w:rPr>
        <w:t>全</w:t>
      </w:r>
      <w:r>
        <w:rPr>
          <w:rFonts w:hint="eastAsia" w:ascii="仿宋_GB2312" w:hAnsi="仿宋_GB2312" w:eastAsia="仿宋_GB2312" w:cs="仿宋_GB2312"/>
          <w:color w:val="auto"/>
          <w:sz w:val="32"/>
          <w:szCs w:val="32"/>
          <w:lang w:val="zh-CN"/>
        </w:rPr>
        <w:t>年预算数为5.44万元,支出决算为0.00万元,决算数小于预算数的主要原因是</w:t>
      </w:r>
      <w:r>
        <w:rPr>
          <w:rFonts w:hint="eastAsia" w:ascii="仿宋_GB2312" w:hAnsi="仿宋_GB2312" w:eastAsia="仿宋_GB2312" w:cs="仿宋_GB2312"/>
          <w:color w:val="auto"/>
          <w:sz w:val="32"/>
          <w:szCs w:val="32"/>
          <w:lang w:val="en-US" w:eastAsia="zh-CN"/>
        </w:rPr>
        <w:t>本年无公务接待费</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rPr>
        <w:t>较上年决算数</w:t>
      </w:r>
      <w:r>
        <w:rPr>
          <w:rFonts w:hint="eastAsia" w:ascii="仿宋_GB2312" w:hAnsi="仿宋_GB2312" w:eastAsia="仿宋_GB2312" w:cs="仿宋_GB2312"/>
          <w:color w:val="auto"/>
          <w:sz w:val="32"/>
          <w:szCs w:val="32"/>
          <w:lang w:val="en-US" w:eastAsia="zh-CN"/>
        </w:rPr>
        <w:t>减少0.0</w:t>
      </w:r>
      <w:r>
        <w:rPr>
          <w:rFonts w:hint="eastAsia" w:ascii="仿宋_GB2312" w:hAnsi="仿宋_GB2312" w:eastAsia="仿宋_GB2312" w:cs="仿宋_GB2312"/>
          <w:color w:val="auto"/>
          <w:sz w:val="32"/>
          <w:szCs w:val="32"/>
          <w:lang w:val="zh-CN"/>
        </w:rPr>
        <w:t>万元</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lang w:val="en-US" w:eastAsia="zh-CN"/>
        </w:rPr>
        <w:t>下降0</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rPr>
        <w:t>,主要原因是</w:t>
      </w:r>
      <w:r>
        <w:rPr>
          <w:rFonts w:hint="eastAsia" w:ascii="仿宋_GB2312" w:hAnsi="仿宋_GB2312" w:eastAsia="仿宋_GB2312" w:cs="仿宋_GB2312"/>
          <w:color w:val="auto"/>
          <w:sz w:val="32"/>
          <w:szCs w:val="32"/>
          <w:lang w:val="en-US" w:eastAsia="zh-CN"/>
        </w:rPr>
        <w:t>本年无公务接待费支出</w:t>
      </w:r>
      <w:r>
        <w:rPr>
          <w:rFonts w:hint="eastAsia" w:ascii="仿宋_GB2312" w:hAnsi="仿宋_GB2312" w:eastAsia="仿宋_GB2312" w:cs="仿宋_GB2312"/>
          <w:color w:val="auto"/>
          <w:sz w:val="32"/>
          <w:szCs w:val="32"/>
          <w:lang w:val="zh-CN"/>
        </w:rPr>
        <w:t>。</w:t>
      </w:r>
    </w:p>
    <w:p w14:paraId="3110D959">
      <w:pPr>
        <w:numPr>
          <w:ilvl w:val="0"/>
          <w:numId w:val="0"/>
        </w:numPr>
        <w:spacing w:before="100" w:beforeLines="0" w:after="100" w:afterLines="0"/>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外事接待费支出</w:t>
      </w:r>
      <w:r>
        <w:rPr>
          <w:rFonts w:hint="eastAsia" w:ascii="仿宋_GB2312" w:hAnsi="仿宋_GB2312" w:eastAsia="仿宋_GB2312" w:cs="仿宋_GB2312"/>
          <w:color w:val="auto"/>
          <w:sz w:val="32"/>
          <w:szCs w:val="32"/>
          <w:lang w:val="en-US" w:eastAsia="zh-CN"/>
        </w:rPr>
        <w:t>0.00万元</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eastAsia="zh-CN"/>
        </w:rPr>
        <w:t>主要原因是本年无公务接待费支出</w:t>
      </w:r>
      <w:r>
        <w:rPr>
          <w:rFonts w:hint="eastAsia" w:ascii="仿宋_GB2312" w:hAnsi="仿宋_GB2312" w:eastAsia="仿宋_GB2312" w:cs="仿宋_GB2312"/>
          <w:color w:val="auto"/>
          <w:sz w:val="32"/>
          <w:szCs w:val="32"/>
          <w:lang w:val="zh-CN"/>
        </w:rPr>
        <w:t>。</w:t>
      </w:r>
    </w:p>
    <w:p w14:paraId="47378DE5">
      <w:pPr>
        <w:numPr>
          <w:ilvl w:val="0"/>
          <w:numId w:val="0"/>
        </w:numPr>
        <w:spacing w:before="100" w:beforeLines="0" w:after="100" w:afterLines="0"/>
        <w:ind w:firstLine="320" w:firstLineChars="1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其他国内公务接待支出0.00万元。主要原因是本年无其他国内公务接待支出</w:t>
      </w:r>
      <w:r>
        <w:rPr>
          <w:rFonts w:hint="eastAsia" w:ascii="仿宋_GB2312" w:hAnsi="仿宋_GB2312" w:eastAsia="仿宋_GB2312" w:cs="仿宋_GB2312"/>
          <w:color w:val="auto"/>
          <w:sz w:val="32"/>
          <w:szCs w:val="32"/>
          <w:lang w:val="zh-CN"/>
        </w:rPr>
        <w:t>。</w:t>
      </w:r>
    </w:p>
    <w:p w14:paraId="65A1F7A4">
      <w:pPr>
        <w:numPr>
          <w:ilvl w:val="0"/>
          <w:numId w:val="0"/>
        </w:numPr>
        <w:spacing w:before="100" w:beforeLines="0" w:after="100" w:afterLines="0"/>
        <w:ind w:left="0" w:leftChars="0" w:firstLine="0" w:firstLineChars="0"/>
        <w:jc w:val="left"/>
        <w:rPr>
          <w:rFonts w:hint="eastAsia" w:ascii="黑体" w:hAnsi="黑体" w:eastAsia="黑体" w:cs="黑体"/>
          <w:b/>
          <w:color w:val="auto"/>
          <w:sz w:val="32"/>
          <w:szCs w:val="32"/>
          <w:lang w:val="zh-CN"/>
        </w:rPr>
      </w:pPr>
      <w:r>
        <w:rPr>
          <w:rFonts w:hint="eastAsia" w:ascii="黑体" w:hAnsi="黑体" w:eastAsia="黑体" w:cs="黑体"/>
          <w:b/>
          <w:color w:val="auto"/>
          <w:kern w:val="2"/>
          <w:sz w:val="32"/>
          <w:szCs w:val="32"/>
          <w:lang w:val="zh-CN"/>
        </w:rPr>
        <w:t>(三)</w:t>
      </w:r>
      <w:r>
        <w:rPr>
          <w:rFonts w:hint="eastAsia" w:ascii="黑体" w:hAnsi="黑体" w:eastAsia="黑体" w:cs="黑体"/>
          <w:b/>
          <w:color w:val="auto"/>
          <w:sz w:val="32"/>
          <w:szCs w:val="32"/>
          <w:lang w:val="zh-CN"/>
        </w:rPr>
        <w:t>“三公”经费财政拨款支出决算实物量情况</w:t>
      </w:r>
    </w:p>
    <w:p w14:paraId="55B1F709">
      <w:pPr>
        <w:spacing w:before="100" w:beforeLines="0" w:after="100" w:afterLines="0"/>
        <w:ind w:firstLine="640" w:firstLineChars="20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2023年度本部门</w:t>
      </w:r>
      <w:r>
        <w:rPr>
          <w:rFonts w:hint="eastAsia" w:ascii="仿宋_GB2312" w:hAnsi="仿宋_GB2312" w:eastAsia="仿宋_GB2312" w:cs="仿宋_GB2312"/>
          <w:b/>
          <w:color w:val="auto"/>
          <w:sz w:val="32"/>
          <w:szCs w:val="32"/>
          <w:lang w:val="zh-CN"/>
        </w:rPr>
        <w:t>因公出国(境)</w:t>
      </w:r>
      <w:r>
        <w:rPr>
          <w:rFonts w:hint="eastAsia" w:ascii="仿宋_GB2312" w:hAnsi="仿宋_GB2312" w:eastAsia="仿宋_GB2312" w:cs="仿宋_GB2312"/>
          <w:color w:val="auto"/>
          <w:sz w:val="32"/>
          <w:szCs w:val="32"/>
          <w:lang w:val="zh-CN"/>
        </w:rPr>
        <w:t>共计0个团组,0人；</w:t>
      </w:r>
      <w:r>
        <w:rPr>
          <w:rFonts w:hint="eastAsia" w:ascii="仿宋_GB2312" w:hAnsi="仿宋_GB2312" w:eastAsia="仿宋_GB2312" w:cs="仿宋_GB2312"/>
          <w:b/>
          <w:color w:val="auto"/>
          <w:sz w:val="32"/>
          <w:szCs w:val="32"/>
          <w:lang w:val="zh-CN"/>
        </w:rPr>
        <w:t>公务用车购置</w:t>
      </w:r>
      <w:r>
        <w:rPr>
          <w:rFonts w:hint="eastAsia" w:ascii="仿宋_GB2312" w:hAnsi="仿宋_GB2312" w:eastAsia="仿宋_GB2312" w:cs="仿宋_GB2312"/>
          <w:color w:val="auto"/>
          <w:sz w:val="32"/>
          <w:szCs w:val="32"/>
          <w:lang w:val="zh-CN"/>
        </w:rPr>
        <w:t>0辆,</w:t>
      </w:r>
      <w:r>
        <w:rPr>
          <w:rFonts w:hint="eastAsia" w:ascii="仿宋_GB2312" w:hAnsi="仿宋_GB2312" w:eastAsia="仿宋_GB2312" w:cs="仿宋_GB2312"/>
          <w:b/>
          <w:color w:val="auto"/>
          <w:sz w:val="32"/>
          <w:szCs w:val="32"/>
          <w:lang w:val="zh-CN"/>
        </w:rPr>
        <w:t>公务用车保有量</w:t>
      </w:r>
      <w:r>
        <w:rPr>
          <w:rFonts w:hint="eastAsia" w:ascii="仿宋_GB2312" w:hAnsi="仿宋_GB2312" w:eastAsia="仿宋_GB2312" w:cs="仿宋_GB2312"/>
          <w:color w:val="auto"/>
          <w:sz w:val="32"/>
          <w:szCs w:val="32"/>
          <w:lang w:val="zh-CN"/>
        </w:rPr>
        <w:t>为11辆；</w:t>
      </w:r>
      <w:r>
        <w:rPr>
          <w:rFonts w:hint="eastAsia" w:ascii="仿宋_GB2312" w:hAnsi="仿宋_GB2312" w:eastAsia="仿宋_GB2312" w:cs="仿宋_GB2312"/>
          <w:b/>
          <w:color w:val="auto"/>
          <w:sz w:val="32"/>
          <w:szCs w:val="32"/>
          <w:lang w:val="zh-CN"/>
        </w:rPr>
        <w:t>国内公务接待</w:t>
      </w:r>
      <w:r>
        <w:rPr>
          <w:rFonts w:hint="eastAsia" w:ascii="仿宋_GB2312" w:hAnsi="仿宋_GB2312" w:eastAsia="仿宋_GB2312" w:cs="仿宋_GB2312"/>
          <w:color w:val="auto"/>
          <w:sz w:val="32"/>
          <w:szCs w:val="32"/>
          <w:lang w:val="zh-CN"/>
        </w:rPr>
        <w:t>0批次0人,其中：</w:t>
      </w:r>
      <w:r>
        <w:rPr>
          <w:rFonts w:hint="eastAsia" w:ascii="仿宋_GB2312" w:hAnsi="仿宋_GB2312" w:eastAsia="仿宋_GB2312" w:cs="仿宋_GB2312"/>
          <w:b/>
          <w:color w:val="auto"/>
          <w:sz w:val="32"/>
          <w:szCs w:val="32"/>
          <w:lang w:val="zh-CN"/>
        </w:rPr>
        <w:t>外事接待</w:t>
      </w:r>
      <w:r>
        <w:rPr>
          <w:rFonts w:hint="eastAsia" w:ascii="仿宋_GB2312" w:hAnsi="仿宋_GB2312" w:eastAsia="仿宋_GB2312" w:cs="仿宋_GB2312"/>
          <w:color w:val="auto"/>
          <w:sz w:val="32"/>
          <w:szCs w:val="32"/>
          <w:lang w:val="zh-CN"/>
        </w:rPr>
        <w:t>0批次,0人；</w:t>
      </w:r>
      <w:r>
        <w:rPr>
          <w:rFonts w:hint="eastAsia" w:ascii="仿宋_GB2312" w:hAnsi="仿宋_GB2312" w:eastAsia="仿宋_GB2312" w:cs="仿宋_GB2312"/>
          <w:b/>
          <w:color w:val="auto"/>
          <w:sz w:val="32"/>
          <w:szCs w:val="32"/>
          <w:lang w:val="zh-CN"/>
        </w:rPr>
        <w:t>国(境)外公务接待</w:t>
      </w:r>
      <w:r>
        <w:rPr>
          <w:rFonts w:hint="eastAsia" w:ascii="仿宋_GB2312" w:hAnsi="仿宋_GB2312" w:eastAsia="仿宋_GB2312" w:cs="仿宋_GB2312"/>
          <w:color w:val="auto"/>
          <w:sz w:val="32"/>
          <w:szCs w:val="32"/>
          <w:lang w:val="zh-CN"/>
        </w:rPr>
        <w:t>0批次,0人。</w:t>
      </w:r>
    </w:p>
    <w:p w14:paraId="7C92D871">
      <w:pPr>
        <w:spacing w:before="100" w:beforeLines="0" w:after="100" w:afterLines="0"/>
        <w:jc w:val="left"/>
        <w:rPr>
          <w:rFonts w:hint="eastAsia" w:ascii="黑体" w:hAnsi="黑体" w:eastAsia="黑体" w:cs="黑体"/>
          <w:b/>
          <w:bCs/>
          <w:color w:val="auto"/>
          <w:sz w:val="32"/>
          <w:szCs w:val="32"/>
          <w:lang w:val="zh-CN" w:eastAsia="zh-CN"/>
        </w:rPr>
      </w:pPr>
      <w:r>
        <w:rPr>
          <w:rFonts w:hint="eastAsia" w:ascii="黑体" w:hAnsi="黑体" w:eastAsia="黑体" w:cs="黑体"/>
          <w:b/>
          <w:bCs/>
          <w:color w:val="auto"/>
          <w:sz w:val="32"/>
          <w:szCs w:val="32"/>
          <w:lang w:val="en-US" w:eastAsia="zh-CN"/>
        </w:rPr>
        <w:t>十</w:t>
      </w:r>
      <w:r>
        <w:rPr>
          <w:rFonts w:hint="eastAsia" w:ascii="黑体" w:hAnsi="黑体" w:eastAsia="黑体" w:cs="黑体"/>
          <w:b/>
          <w:bCs/>
          <w:color w:val="auto"/>
          <w:sz w:val="32"/>
          <w:szCs w:val="32"/>
          <w:lang w:val="zh-CN" w:eastAsia="zh-CN"/>
        </w:rPr>
        <w:t>、机关运行经费支出情况说明</w:t>
      </w:r>
    </w:p>
    <w:p w14:paraId="4E4A8452">
      <w:pPr>
        <w:spacing w:before="100" w:beforeLines="0" w:after="100" w:afterLines="0"/>
        <w:ind w:firstLine="640" w:firstLineChars="20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2023年度本部门机关运行经费支出0.00万元,机关运行经费主要用于开支办公费、印刷费、水电费、邮电费、取暖费、差旅费、维修（护）费、劳务费、公务用车运行维护费、其他交通费等。机关运行经费较上年决算数减少0.0万元,下降%,主要原因是</w:t>
      </w:r>
      <w:r>
        <w:rPr>
          <w:rFonts w:hint="eastAsia" w:ascii="仿宋_GB2312" w:hAnsi="仿宋_GB2312" w:eastAsia="仿宋_GB2312" w:cs="仿宋_GB2312"/>
          <w:color w:val="auto"/>
          <w:sz w:val="32"/>
          <w:szCs w:val="32"/>
          <w:lang w:val="en-US" w:eastAsia="zh-CN"/>
        </w:rPr>
        <w:t>本年无</w:t>
      </w:r>
      <w:r>
        <w:rPr>
          <w:rFonts w:hint="eastAsia" w:ascii="仿宋_GB2312" w:hAnsi="仿宋_GB2312" w:eastAsia="仿宋_GB2312" w:cs="仿宋_GB2312"/>
          <w:color w:val="auto"/>
          <w:sz w:val="32"/>
          <w:szCs w:val="32"/>
          <w:lang w:val="zh-CN"/>
        </w:rPr>
        <w:t>机关运行经费。</w:t>
      </w:r>
    </w:p>
    <w:p w14:paraId="02C02B71">
      <w:pPr>
        <w:spacing w:before="100" w:beforeLines="0" w:after="100" w:afterLines="0"/>
        <w:ind w:firstLine="640" w:firstLineChars="200"/>
        <w:jc w:val="left"/>
        <w:rPr>
          <w:rFonts w:hint="eastAsia" w:ascii="仿宋_GB2312" w:hAnsi="仿宋_GB2312" w:eastAsia="仿宋_GB2312" w:cs="仿宋_GB2312"/>
          <w:b/>
          <w:bCs/>
          <w:color w:val="auto"/>
          <w:sz w:val="32"/>
          <w:szCs w:val="32"/>
          <w:lang w:val="zh-CN" w:eastAsia="zh-CN"/>
        </w:rPr>
      </w:pPr>
      <w:r>
        <w:rPr>
          <w:rFonts w:hint="eastAsia" w:ascii="仿宋_GB2312" w:hAnsi="仿宋_GB2312" w:eastAsia="仿宋_GB2312" w:cs="仿宋_GB2312"/>
          <w:color w:val="auto"/>
          <w:sz w:val="32"/>
          <w:szCs w:val="32"/>
          <w:lang w:val="zh-CN"/>
        </w:rPr>
        <w:t>本年度会议费支出0.00万元,较上年决算数减少0.0万元,下降%,主要原因是</w:t>
      </w:r>
      <w:r>
        <w:rPr>
          <w:rFonts w:hint="eastAsia" w:ascii="仿宋_GB2312" w:hAnsi="仿宋_GB2312" w:eastAsia="仿宋_GB2312" w:cs="仿宋_GB2312"/>
          <w:color w:val="auto"/>
          <w:sz w:val="32"/>
          <w:szCs w:val="32"/>
          <w:lang w:val="en-US" w:eastAsia="zh-CN"/>
        </w:rPr>
        <w:t>本单位无会议费支出</w:t>
      </w:r>
      <w:r>
        <w:rPr>
          <w:rFonts w:hint="eastAsia" w:ascii="仿宋_GB2312" w:hAnsi="仿宋_GB2312" w:eastAsia="仿宋_GB2312" w:cs="仿宋_GB2312"/>
          <w:color w:val="auto"/>
          <w:sz w:val="32"/>
          <w:szCs w:val="32"/>
          <w:lang w:val="zh-CN"/>
        </w:rPr>
        <w:t>。本年度培训费支出0.00万元,较上年决算数减少162.19万元,下降100.0%,主要原因是</w:t>
      </w:r>
      <w:r>
        <w:rPr>
          <w:rFonts w:hint="eastAsia" w:ascii="仿宋_GB2312" w:hAnsi="仿宋_GB2312" w:eastAsia="仿宋_GB2312" w:cs="仿宋_GB2312"/>
          <w:color w:val="auto"/>
          <w:sz w:val="32"/>
          <w:szCs w:val="32"/>
          <w:lang w:val="en-US" w:eastAsia="zh-CN"/>
        </w:rPr>
        <w:t>本单位无机关运行相关经费，故2023年调整科目</w:t>
      </w:r>
      <w:r>
        <w:rPr>
          <w:rFonts w:hint="eastAsia" w:ascii="仿宋_GB2312" w:hAnsi="仿宋_GB2312" w:eastAsia="仿宋_GB2312" w:cs="仿宋_GB2312"/>
          <w:color w:val="auto"/>
          <w:sz w:val="32"/>
          <w:szCs w:val="32"/>
          <w:lang w:val="zh-CN"/>
        </w:rPr>
        <w:t>。</w:t>
      </w:r>
    </w:p>
    <w:p w14:paraId="0F445722">
      <w:pPr>
        <w:spacing w:before="100" w:beforeLines="0" w:after="100" w:afterLines="0"/>
        <w:jc w:val="left"/>
        <w:rPr>
          <w:rFonts w:hint="eastAsia" w:ascii="黑体" w:hAnsi="黑体" w:eastAsia="黑体" w:cs="黑体"/>
          <w:b/>
          <w:bCs/>
          <w:color w:val="auto"/>
          <w:sz w:val="32"/>
          <w:szCs w:val="32"/>
          <w:lang w:val="zh-CN" w:eastAsia="zh-CN"/>
        </w:rPr>
      </w:pPr>
      <w:r>
        <w:rPr>
          <w:rFonts w:hint="eastAsia" w:ascii="黑体" w:hAnsi="黑体" w:eastAsia="黑体" w:cs="黑体"/>
          <w:b/>
          <w:bCs/>
          <w:color w:val="auto"/>
          <w:sz w:val="32"/>
          <w:szCs w:val="32"/>
          <w:lang w:val="zh-CN" w:eastAsia="zh-CN"/>
        </w:rPr>
        <w:t>十一、政府采购支出情况说明</w:t>
      </w:r>
    </w:p>
    <w:p w14:paraId="79D09293">
      <w:pPr>
        <w:spacing w:before="100" w:beforeLines="0" w:after="100" w:afterLines="0"/>
        <w:ind w:firstLine="640" w:firstLineChars="20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2023年度本部门政府采购支出合计169.36万元,其中：政府采购货物支出134.61万元、政府采购工程支出34.74万元、政府采购服务支出0.00万元。授予中小企业合同金额169.36万元,占政府采购支出总额的100.00%,其中：授予小微企业合同金额6.56万元,占政府采购支出总额的3.87%。</w:t>
      </w:r>
    </w:p>
    <w:p w14:paraId="39609547">
      <w:pPr>
        <w:spacing w:before="100" w:beforeLines="0" w:after="100" w:afterLines="0"/>
        <w:jc w:val="left"/>
        <w:rPr>
          <w:rFonts w:hint="eastAsia" w:ascii="黑体" w:hAnsi="黑体" w:eastAsia="黑体" w:cs="黑体"/>
          <w:b/>
          <w:bCs/>
          <w:color w:val="auto"/>
          <w:sz w:val="32"/>
          <w:szCs w:val="32"/>
          <w:lang w:val="zh-CN" w:eastAsia="zh-CN"/>
        </w:rPr>
      </w:pPr>
      <w:r>
        <w:rPr>
          <w:rFonts w:hint="eastAsia" w:ascii="黑体" w:hAnsi="黑体" w:eastAsia="黑体" w:cs="黑体"/>
          <w:b/>
          <w:bCs/>
          <w:color w:val="auto"/>
          <w:sz w:val="32"/>
          <w:szCs w:val="32"/>
          <w:lang w:val="en-US" w:eastAsia="zh-CN"/>
        </w:rPr>
        <w:t>十二</w:t>
      </w:r>
      <w:r>
        <w:rPr>
          <w:rFonts w:hint="eastAsia" w:ascii="黑体" w:hAnsi="黑体" w:eastAsia="黑体" w:cs="黑体"/>
          <w:b/>
          <w:bCs/>
          <w:color w:val="auto"/>
          <w:sz w:val="32"/>
          <w:szCs w:val="32"/>
          <w:lang w:val="zh-CN" w:eastAsia="zh-CN"/>
        </w:rPr>
        <w:t>、国有资产占用情况说明</w:t>
      </w:r>
    </w:p>
    <w:p w14:paraId="1E32D6D9">
      <w:pPr>
        <w:spacing w:before="100" w:beforeLines="0" w:after="100" w:afterLines="0"/>
        <w:ind w:firstLine="640" w:firstLineChars="20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截至2023年12月31日,本部门共有车辆11辆,其中,副部(省)级及以上领导用车0辆、主要领导干部用车0辆、机要通信用车0辆、应急保障用车0辆、执法执勤用车0辆,特种专业技术用车0辆,离退休干部用车0辆,其他用车11辆,其他用车主要是用于培训班接送学员及师资，保障培训班运行。单价100万元(含)以上设备2台(套)。</w:t>
      </w:r>
    </w:p>
    <w:p w14:paraId="26742172">
      <w:pPr>
        <w:spacing w:before="100" w:beforeLines="0" w:after="100" w:afterLines="0"/>
        <w:jc w:val="left"/>
        <w:rPr>
          <w:rFonts w:hint="eastAsia" w:ascii="黑体" w:hAnsi="黑体" w:eastAsia="黑体" w:cs="黑体"/>
          <w:b/>
          <w:bCs/>
          <w:color w:val="auto"/>
          <w:sz w:val="32"/>
          <w:szCs w:val="32"/>
          <w:lang w:val="zh-CN" w:eastAsia="zh-CN"/>
        </w:rPr>
      </w:pPr>
      <w:r>
        <w:rPr>
          <w:rFonts w:hint="eastAsia" w:ascii="黑体" w:hAnsi="黑体" w:eastAsia="黑体" w:cs="黑体"/>
          <w:b/>
          <w:bCs/>
          <w:color w:val="auto"/>
          <w:sz w:val="32"/>
          <w:szCs w:val="32"/>
          <w:lang w:val="zh-CN" w:eastAsia="zh-CN"/>
        </w:rPr>
        <w:t>十三、其他需要说明的情况</w:t>
      </w:r>
    </w:p>
    <w:p w14:paraId="45A8602A">
      <w:pPr>
        <w:spacing w:before="100" w:beforeLines="0" w:after="100" w:afterLines="0"/>
        <w:ind w:firstLine="640" w:firstLineChars="20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由于决算公开表格中金额数值应当保留两位小数，公开数据为四舍五入计算结果，个别数据合计项与分项之和存在小数点后差额，特此说明。</w:t>
      </w:r>
    </w:p>
    <w:p w14:paraId="3497F505">
      <w:pPr>
        <w:spacing w:before="100" w:beforeLines="0" w:after="100" w:afterLines="0"/>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具体部门决算批复内容请详见附件1。</w:t>
      </w:r>
    </w:p>
    <w:p w14:paraId="3AF5CC91">
      <w:pPr>
        <w:spacing w:before="100" w:beforeLines="0" w:after="100" w:afterLines="0"/>
        <w:jc w:val="center"/>
        <w:rPr>
          <w:rFonts w:hint="eastAsia" w:ascii="黑体" w:hAnsi="黑体" w:eastAsia="黑体" w:cs="黑体"/>
          <w:b/>
          <w:bCs/>
          <w:color w:val="auto"/>
          <w:sz w:val="32"/>
          <w:szCs w:val="32"/>
          <w:lang w:val="zh-CN" w:eastAsia="zh-CN"/>
        </w:rPr>
      </w:pPr>
      <w:r>
        <w:rPr>
          <w:rFonts w:hint="eastAsia" w:ascii="黑体" w:hAnsi="黑体" w:eastAsia="黑体" w:cs="黑体"/>
          <w:b/>
          <w:bCs/>
          <w:color w:val="auto"/>
          <w:sz w:val="32"/>
          <w:szCs w:val="32"/>
          <w:lang w:val="zh-CN" w:eastAsia="zh-CN"/>
        </w:rPr>
        <w:t>第四部分</w:t>
      </w:r>
      <w:r>
        <w:rPr>
          <w:rFonts w:hint="eastAsia" w:ascii="黑体" w:hAnsi="黑体" w:eastAsia="黑体" w:cs="黑体"/>
          <w:b/>
          <w:bCs/>
          <w:color w:val="auto"/>
          <w:sz w:val="32"/>
          <w:szCs w:val="32"/>
          <w:lang w:val="en-US" w:eastAsia="zh-CN"/>
        </w:rPr>
        <w:t xml:space="preserve">  </w:t>
      </w:r>
      <w:r>
        <w:rPr>
          <w:rFonts w:hint="eastAsia" w:ascii="黑体" w:hAnsi="黑体" w:eastAsia="黑体" w:cs="黑体"/>
          <w:b/>
          <w:bCs/>
          <w:color w:val="auto"/>
          <w:sz w:val="32"/>
          <w:szCs w:val="32"/>
          <w:lang w:val="zh-CN" w:eastAsia="zh-CN"/>
        </w:rPr>
        <w:t>预算绩效情况说明</w:t>
      </w:r>
    </w:p>
    <w:p w14:paraId="6C1EA21A">
      <w:pPr>
        <w:spacing w:before="100" w:beforeLines="0" w:after="100" w:afterLines="0"/>
        <w:ind w:firstLine="643" w:firstLineChars="200"/>
        <w:jc w:val="left"/>
        <w:rPr>
          <w:rFonts w:hint="eastAsia" w:ascii="黑体" w:hAnsi="黑体" w:eastAsia="黑体" w:cs="黑体"/>
          <w:b/>
          <w:bCs/>
          <w:color w:val="auto"/>
          <w:sz w:val="32"/>
          <w:szCs w:val="32"/>
          <w:lang w:val="zh-CN" w:eastAsia="zh-CN"/>
        </w:rPr>
      </w:pPr>
      <w:r>
        <w:rPr>
          <w:rFonts w:hint="eastAsia" w:ascii="黑体" w:hAnsi="黑体" w:eastAsia="黑体" w:cs="黑体"/>
          <w:b/>
          <w:bCs/>
          <w:color w:val="auto"/>
          <w:sz w:val="32"/>
          <w:szCs w:val="32"/>
          <w:lang w:val="zh-CN" w:eastAsia="zh-CN"/>
        </w:rPr>
        <w:t>一、预算绩效管理工作开展情况</w:t>
      </w:r>
    </w:p>
    <w:p w14:paraId="1BB62688">
      <w:pPr>
        <w:spacing w:before="100" w:beforeLines="0" w:after="100" w:afterLines="0"/>
        <w:ind w:firstLine="640" w:firstLineChars="200"/>
        <w:jc w:val="left"/>
        <w:rPr>
          <w:rFonts w:hint="eastAsia" w:ascii="仿宋_GB2312" w:hAnsi="仿宋_GB2312" w:eastAsia="仿宋_GB2312" w:cs="仿宋_GB2312"/>
          <w:color w:val="auto"/>
          <w:kern w:val="0"/>
          <w:sz w:val="32"/>
          <w:szCs w:val="32"/>
          <w:highlight w:val="none"/>
          <w:lang w:val="en-US"/>
        </w:rPr>
      </w:pPr>
      <w:r>
        <w:rPr>
          <w:rFonts w:hint="eastAsia" w:ascii="仿宋_GB2312" w:hAnsi="仿宋_GB2312" w:eastAsia="仿宋_GB2312" w:cs="仿宋_GB2312"/>
          <w:color w:val="auto"/>
          <w:kern w:val="0"/>
          <w:sz w:val="32"/>
          <w:szCs w:val="32"/>
          <w:highlight w:val="none"/>
          <w:lang w:val="en-US"/>
        </w:rPr>
        <w:t>根据预算绩效管理要求,本部门对</w:t>
      </w:r>
      <w:r>
        <w:rPr>
          <w:rFonts w:hint="eastAsia" w:ascii="仿宋_GB2312" w:hAnsi="仿宋_GB2312" w:eastAsia="仿宋_GB2312" w:cs="仿宋_GB2312"/>
          <w:color w:val="auto"/>
          <w:kern w:val="0"/>
          <w:sz w:val="32"/>
          <w:szCs w:val="32"/>
          <w:highlight w:val="none"/>
          <w:lang w:val="en-US" w:eastAsia="zh-CN"/>
        </w:rPr>
        <w:t>2023</w:t>
      </w:r>
      <w:r>
        <w:rPr>
          <w:rFonts w:hint="eastAsia" w:ascii="仿宋_GB2312" w:hAnsi="仿宋_GB2312" w:eastAsia="仿宋_GB2312" w:cs="仿宋_GB2312"/>
          <w:color w:val="auto"/>
          <w:kern w:val="0"/>
          <w:sz w:val="32"/>
          <w:szCs w:val="32"/>
          <w:highlight w:val="none"/>
          <w:lang w:val="en-US"/>
        </w:rPr>
        <w:t>年度一般公共预算项目支出全面开展绩效自评,其中,一级项目</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lang w:val="en-US"/>
        </w:rPr>
        <w:t>个,二级项目</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lang w:val="en-US"/>
        </w:rPr>
        <w:t>个,共涉及资金</w:t>
      </w:r>
      <w:r>
        <w:rPr>
          <w:rFonts w:hint="eastAsia" w:ascii="仿宋_GB2312" w:hAnsi="仿宋_GB2312" w:eastAsia="仿宋_GB2312" w:cs="仿宋_GB2312"/>
          <w:color w:val="auto"/>
          <w:kern w:val="0"/>
          <w:sz w:val="32"/>
          <w:szCs w:val="32"/>
          <w:highlight w:val="none"/>
          <w:lang w:val="en-US" w:eastAsia="zh-CN"/>
        </w:rPr>
        <w:t>1368.89万元</w:t>
      </w:r>
      <w:r>
        <w:rPr>
          <w:rFonts w:hint="eastAsia" w:ascii="仿宋_GB2312" w:hAnsi="仿宋_GB2312" w:eastAsia="仿宋_GB2312" w:cs="仿宋_GB2312"/>
          <w:color w:val="auto"/>
          <w:kern w:val="0"/>
          <w:sz w:val="32"/>
          <w:szCs w:val="32"/>
          <w:highlight w:val="none"/>
          <w:lang w:val="en-US"/>
        </w:rPr>
        <w:t>,占一般公共预算项目支出总额的</w:t>
      </w:r>
      <w:r>
        <w:rPr>
          <w:rFonts w:hint="eastAsia" w:ascii="仿宋_GB2312" w:hAnsi="仿宋_GB2312" w:eastAsia="仿宋_GB2312" w:cs="仿宋_GB2312"/>
          <w:color w:val="auto"/>
          <w:kern w:val="0"/>
          <w:sz w:val="32"/>
          <w:szCs w:val="32"/>
          <w:highlight w:val="none"/>
          <w:lang w:val="en-US" w:eastAsia="zh-CN"/>
        </w:rPr>
        <w:t>66.46</w:t>
      </w:r>
      <w:r>
        <w:rPr>
          <w:rFonts w:hint="eastAsia" w:ascii="仿宋_GB2312" w:hAnsi="仿宋_GB2312" w:eastAsia="仿宋_GB2312" w:cs="仿宋_GB2312"/>
          <w:color w:val="auto"/>
          <w:kern w:val="0"/>
          <w:sz w:val="32"/>
          <w:szCs w:val="32"/>
          <w:highlight w:val="none"/>
          <w:lang w:val="en-US"/>
        </w:rPr>
        <w:t>%。对</w:t>
      </w:r>
      <w:r>
        <w:rPr>
          <w:rFonts w:hint="eastAsia" w:ascii="仿宋_GB2312" w:hAnsi="仿宋_GB2312" w:eastAsia="仿宋_GB2312" w:cs="仿宋_GB2312"/>
          <w:color w:val="auto"/>
          <w:kern w:val="0"/>
          <w:sz w:val="32"/>
          <w:szCs w:val="32"/>
          <w:highlight w:val="none"/>
          <w:lang w:val="en-US" w:eastAsia="zh-CN"/>
        </w:rPr>
        <w:t>2023</w:t>
      </w:r>
      <w:r>
        <w:rPr>
          <w:rFonts w:hint="eastAsia" w:ascii="仿宋_GB2312" w:hAnsi="仿宋_GB2312" w:eastAsia="仿宋_GB2312" w:cs="仿宋_GB2312"/>
          <w:color w:val="auto"/>
          <w:kern w:val="0"/>
          <w:sz w:val="32"/>
          <w:szCs w:val="32"/>
          <w:highlight w:val="none"/>
          <w:lang w:val="en-US"/>
        </w:rPr>
        <w:t>年度</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lang w:val="en-US"/>
        </w:rPr>
        <w:t>个政府性基金预算项目开展绩效自评,共涉及资金</w:t>
      </w:r>
      <w:r>
        <w:rPr>
          <w:rFonts w:hint="eastAsia" w:ascii="仿宋_GB2312" w:hAnsi="仿宋_GB2312" w:eastAsia="仿宋_GB2312" w:cs="仿宋_GB2312"/>
          <w:color w:val="auto"/>
          <w:kern w:val="0"/>
          <w:sz w:val="32"/>
          <w:szCs w:val="32"/>
          <w:highlight w:val="none"/>
          <w:lang w:val="en-US" w:eastAsia="zh-CN"/>
        </w:rPr>
        <w:t>0万元</w:t>
      </w:r>
      <w:r>
        <w:rPr>
          <w:rFonts w:hint="eastAsia" w:ascii="仿宋_GB2312" w:hAnsi="仿宋_GB2312" w:eastAsia="仿宋_GB2312" w:cs="仿宋_GB2312"/>
          <w:color w:val="auto"/>
          <w:kern w:val="0"/>
          <w:sz w:val="32"/>
          <w:szCs w:val="32"/>
          <w:highlight w:val="none"/>
          <w:lang w:val="en-US"/>
        </w:rPr>
        <w:t>,占政府性基金预算项目支出总额的</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lang w:val="en-US"/>
        </w:rPr>
        <w:t>%。组织对</w:t>
      </w:r>
      <w:r>
        <w:rPr>
          <w:rFonts w:hint="eastAsia" w:ascii="仿宋_GB2312" w:hAnsi="仿宋_GB2312" w:eastAsia="仿宋_GB2312" w:cs="仿宋_GB2312"/>
          <w:color w:val="auto"/>
          <w:kern w:val="0"/>
          <w:sz w:val="32"/>
          <w:szCs w:val="32"/>
          <w:highlight w:val="none"/>
          <w:lang w:val="en-US" w:eastAsia="zh-CN"/>
        </w:rPr>
        <w:t>2023</w:t>
      </w:r>
      <w:r>
        <w:rPr>
          <w:rFonts w:hint="eastAsia" w:ascii="仿宋_GB2312" w:hAnsi="仿宋_GB2312" w:eastAsia="仿宋_GB2312" w:cs="仿宋_GB2312"/>
          <w:color w:val="auto"/>
          <w:kern w:val="0"/>
          <w:sz w:val="32"/>
          <w:szCs w:val="32"/>
          <w:highlight w:val="none"/>
          <w:lang w:val="en-US"/>
        </w:rPr>
        <w:t>年度</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lang w:val="en-US"/>
        </w:rPr>
        <w:t>个国有资本经营预算项目开展绩效自评,共涉及资金</w:t>
      </w:r>
      <w:r>
        <w:rPr>
          <w:rFonts w:hint="eastAsia" w:ascii="仿宋_GB2312" w:hAnsi="仿宋_GB2312" w:eastAsia="仿宋_GB2312" w:cs="仿宋_GB2312"/>
          <w:color w:val="auto"/>
          <w:kern w:val="0"/>
          <w:sz w:val="32"/>
          <w:szCs w:val="32"/>
          <w:highlight w:val="none"/>
          <w:lang w:val="en-US" w:eastAsia="zh-CN"/>
        </w:rPr>
        <w:t>0万元</w:t>
      </w:r>
      <w:r>
        <w:rPr>
          <w:rFonts w:hint="eastAsia" w:ascii="仿宋_GB2312" w:hAnsi="仿宋_GB2312" w:eastAsia="仿宋_GB2312" w:cs="仿宋_GB2312"/>
          <w:color w:val="auto"/>
          <w:kern w:val="0"/>
          <w:sz w:val="32"/>
          <w:szCs w:val="32"/>
          <w:highlight w:val="none"/>
          <w:lang w:val="en-US"/>
        </w:rPr>
        <w:t>,占国有资本经营预算项目支出总额的</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lang w:val="en-US"/>
        </w:rPr>
        <w:t>%。组织对“电费补助”“少数民族法制教学研究经费”等</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lang w:val="en-US"/>
        </w:rPr>
        <w:t>个项目开展了部门评价,涉及一般公共预算支出</w:t>
      </w:r>
      <w:r>
        <w:rPr>
          <w:rFonts w:hint="eastAsia" w:ascii="仿宋_GB2312" w:hAnsi="仿宋_GB2312" w:eastAsia="仿宋_GB2312" w:cs="仿宋_GB2312"/>
          <w:color w:val="auto"/>
          <w:kern w:val="0"/>
          <w:sz w:val="32"/>
          <w:szCs w:val="32"/>
          <w:highlight w:val="none"/>
          <w:lang w:val="en-US" w:eastAsia="zh-CN"/>
        </w:rPr>
        <w:t>160.00万元</w:t>
      </w:r>
      <w:r>
        <w:rPr>
          <w:rFonts w:hint="eastAsia" w:ascii="仿宋_GB2312" w:hAnsi="仿宋_GB2312" w:eastAsia="仿宋_GB2312" w:cs="仿宋_GB2312"/>
          <w:color w:val="auto"/>
          <w:kern w:val="0"/>
          <w:sz w:val="32"/>
          <w:szCs w:val="32"/>
          <w:highlight w:val="none"/>
          <w:lang w:val="en-US"/>
        </w:rPr>
        <w:t>,政府性基金预算支出</w:t>
      </w:r>
      <w:r>
        <w:rPr>
          <w:rFonts w:hint="eastAsia" w:ascii="仿宋_GB2312" w:hAnsi="仿宋_GB2312" w:eastAsia="仿宋_GB2312" w:cs="仿宋_GB2312"/>
          <w:color w:val="auto"/>
          <w:kern w:val="0"/>
          <w:sz w:val="32"/>
          <w:szCs w:val="32"/>
          <w:highlight w:val="none"/>
          <w:lang w:val="en-US" w:eastAsia="zh-CN"/>
        </w:rPr>
        <w:t>0万元</w:t>
      </w:r>
      <w:r>
        <w:rPr>
          <w:rFonts w:hint="eastAsia" w:ascii="仿宋_GB2312" w:hAnsi="仿宋_GB2312" w:eastAsia="仿宋_GB2312" w:cs="仿宋_GB2312"/>
          <w:color w:val="auto"/>
          <w:kern w:val="0"/>
          <w:sz w:val="32"/>
          <w:szCs w:val="32"/>
          <w:highlight w:val="none"/>
          <w:lang w:val="en-US"/>
        </w:rPr>
        <w:t>,国有资本经营预算支出</w:t>
      </w:r>
      <w:r>
        <w:rPr>
          <w:rFonts w:hint="eastAsia" w:ascii="仿宋_GB2312" w:hAnsi="仿宋_GB2312" w:eastAsia="仿宋_GB2312" w:cs="仿宋_GB2312"/>
          <w:color w:val="auto"/>
          <w:kern w:val="0"/>
          <w:sz w:val="32"/>
          <w:szCs w:val="32"/>
          <w:highlight w:val="none"/>
          <w:lang w:val="en-US" w:eastAsia="zh-CN"/>
        </w:rPr>
        <w:t>0万元</w:t>
      </w:r>
      <w:r>
        <w:rPr>
          <w:rFonts w:hint="eastAsia" w:ascii="仿宋_GB2312" w:hAnsi="仿宋_GB2312" w:eastAsia="仿宋_GB2312" w:cs="仿宋_GB2312"/>
          <w:color w:val="auto"/>
          <w:kern w:val="0"/>
          <w:sz w:val="32"/>
          <w:szCs w:val="32"/>
          <w:highlight w:val="none"/>
          <w:lang w:val="en-US"/>
        </w:rPr>
        <w:t>。从评价情况来看,项目总体组织规范，通过项目</w:t>
      </w:r>
      <w:r>
        <w:rPr>
          <w:rFonts w:hint="eastAsia" w:ascii="仿宋_GB2312" w:hAnsi="仿宋_GB2312" w:eastAsia="仿宋_GB2312" w:cs="仿宋_GB2312"/>
          <w:color w:val="auto"/>
          <w:kern w:val="0"/>
          <w:sz w:val="32"/>
          <w:szCs w:val="32"/>
          <w:highlight w:val="none"/>
          <w:lang w:val="en-US" w:eastAsia="zh-CN"/>
        </w:rPr>
        <w:t>的</w:t>
      </w:r>
      <w:r>
        <w:rPr>
          <w:rFonts w:hint="eastAsia" w:ascii="仿宋_GB2312" w:hAnsi="仿宋_GB2312" w:eastAsia="仿宋_GB2312" w:cs="仿宋_GB2312"/>
          <w:color w:val="auto"/>
          <w:kern w:val="0"/>
          <w:sz w:val="32"/>
          <w:szCs w:val="32"/>
          <w:highlight w:val="none"/>
          <w:lang w:val="en-US"/>
        </w:rPr>
        <w:t>实施，达到了项目预期效果。</w:t>
      </w:r>
    </w:p>
    <w:p w14:paraId="14AA9208">
      <w:pPr>
        <w:spacing w:before="100" w:beforeLines="0" w:after="100" w:afterLines="0"/>
        <w:ind w:firstLine="643" w:firstLineChars="200"/>
        <w:jc w:val="left"/>
        <w:rPr>
          <w:rFonts w:hint="eastAsia" w:ascii="黑体" w:hAnsi="黑体" w:eastAsia="黑体" w:cs="黑体"/>
          <w:b/>
          <w:bCs/>
          <w:color w:val="auto"/>
          <w:sz w:val="32"/>
          <w:szCs w:val="32"/>
          <w:lang w:val="zh-CN" w:eastAsia="zh-CN"/>
        </w:rPr>
      </w:pPr>
      <w:r>
        <w:rPr>
          <w:rFonts w:hint="eastAsia" w:ascii="黑体" w:hAnsi="黑体" w:eastAsia="黑体" w:cs="黑体"/>
          <w:b/>
          <w:bCs/>
          <w:color w:val="auto"/>
          <w:sz w:val="32"/>
          <w:szCs w:val="32"/>
          <w:lang w:val="zh-CN" w:eastAsia="zh-CN"/>
        </w:rPr>
        <w:t>二、绩效自评结果</w:t>
      </w:r>
    </w:p>
    <w:p w14:paraId="53AE9F1C">
      <w:pPr>
        <w:keepNext w:val="0"/>
        <w:keepLines w:val="0"/>
        <w:pageBreakBefore w:val="0"/>
        <w:widowControl w:val="0"/>
        <w:suppressLineNumbers/>
        <w:kinsoku/>
        <w:wordWrap/>
        <w:overflowPunct/>
        <w:topLinePunct w:val="0"/>
        <w:autoSpaceDE/>
        <w:autoSpaceDN/>
        <w:bidi w:val="0"/>
        <w:adjustRightInd/>
        <w:snapToGrid/>
        <w:spacing w:beforeLines="0" w:afterLines="0"/>
        <w:ind w:firstLine="480" w:firstLineChars="150"/>
        <w:jc w:val="both"/>
        <w:textAlignment w:val="auto"/>
        <w:rPr>
          <w:rFonts w:hint="eastAsia" w:ascii="仿宋_GB2312" w:hAnsi="仿宋_GB2312" w:eastAsia="仿宋_GB2312" w:cs="仿宋_GB2312"/>
          <w:color w:val="auto"/>
          <w:kern w:val="0"/>
          <w:sz w:val="32"/>
          <w:szCs w:val="32"/>
          <w:highlight w:val="none"/>
          <w:lang w:val="en-US"/>
        </w:rPr>
      </w:pPr>
      <w:r>
        <w:rPr>
          <w:rFonts w:hint="eastAsia" w:ascii="仿宋_GB2312" w:hAnsi="仿宋_GB2312" w:eastAsia="仿宋_GB2312" w:cs="仿宋_GB2312"/>
          <w:color w:val="auto"/>
          <w:kern w:val="0"/>
          <w:sz w:val="32"/>
          <w:szCs w:val="32"/>
          <w:highlight w:val="none"/>
          <w:lang w:val="en-US"/>
        </w:rPr>
        <w:t>我部门在</w:t>
      </w:r>
      <w:r>
        <w:rPr>
          <w:rFonts w:hint="eastAsia" w:ascii="仿宋_GB2312" w:hAnsi="仿宋_GB2312" w:eastAsia="仿宋_GB2312" w:cs="仿宋_GB2312"/>
          <w:color w:val="auto"/>
          <w:kern w:val="0"/>
          <w:sz w:val="32"/>
          <w:szCs w:val="32"/>
          <w:highlight w:val="none"/>
          <w:lang w:val="en-US" w:eastAsia="zh-CN"/>
        </w:rPr>
        <w:t>2023</w:t>
      </w:r>
      <w:r>
        <w:rPr>
          <w:rFonts w:hint="eastAsia" w:ascii="仿宋_GB2312" w:hAnsi="仿宋_GB2312" w:eastAsia="仿宋_GB2312" w:cs="仿宋_GB2312"/>
          <w:color w:val="auto"/>
          <w:kern w:val="0"/>
          <w:sz w:val="32"/>
          <w:szCs w:val="32"/>
          <w:highlight w:val="none"/>
          <w:lang w:val="en-US"/>
        </w:rPr>
        <w:t>年度部门决算中反映电费补助、培训费等</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lang w:val="en-US"/>
        </w:rPr>
        <w:t>个项目绩效自评结果。</w:t>
      </w:r>
    </w:p>
    <w:p w14:paraId="030BE216">
      <w:pPr>
        <w:keepNext w:val="0"/>
        <w:keepLines w:val="0"/>
        <w:pageBreakBefore w:val="0"/>
        <w:widowControl w:val="0"/>
        <w:suppressLineNumbers/>
        <w:kinsoku/>
        <w:wordWrap/>
        <w:overflowPunct/>
        <w:topLinePunct w:val="0"/>
        <w:autoSpaceDE/>
        <w:autoSpaceDN/>
        <w:bidi w:val="0"/>
        <w:adjustRightInd/>
        <w:snapToGrid/>
        <w:spacing w:beforeLines="0" w:afterLines="0"/>
        <w:ind w:firstLine="640" w:firstLineChars="200"/>
        <w:jc w:val="both"/>
        <w:textAlignment w:val="auto"/>
        <w:rPr>
          <w:rFonts w:hint="eastAsia" w:ascii="仿宋_GB2312" w:hAnsi="仿宋_GB2312" w:eastAsia="仿宋_GB2312" w:cs="仿宋_GB2312"/>
          <w:color w:val="auto"/>
          <w:kern w:val="0"/>
          <w:sz w:val="32"/>
          <w:szCs w:val="32"/>
          <w:lang w:val="en-US"/>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val="en-US"/>
        </w:rPr>
        <w:t>电费补助</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rPr>
        <w:t>项目绩效自评情况：根据年初设定的绩效目标,项目绩效自评得分为</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lang w:val="en-US"/>
        </w:rPr>
        <w:t>分。项目全年预算数为</w:t>
      </w:r>
      <w:r>
        <w:rPr>
          <w:rFonts w:hint="eastAsia" w:ascii="仿宋_GB2312" w:hAnsi="仿宋_GB2312" w:eastAsia="仿宋_GB2312" w:cs="仿宋_GB2312"/>
          <w:color w:val="auto"/>
          <w:kern w:val="0"/>
          <w:sz w:val="32"/>
          <w:szCs w:val="32"/>
          <w:lang w:val="en-US" w:eastAsia="zh-CN"/>
        </w:rPr>
        <w:t>60万元</w:t>
      </w:r>
      <w:r>
        <w:rPr>
          <w:rFonts w:hint="eastAsia" w:ascii="仿宋_GB2312" w:hAnsi="仿宋_GB2312" w:eastAsia="仿宋_GB2312" w:cs="仿宋_GB2312"/>
          <w:color w:val="auto"/>
          <w:kern w:val="0"/>
          <w:sz w:val="32"/>
          <w:szCs w:val="32"/>
          <w:lang w:val="en-US"/>
        </w:rPr>
        <w:t>,执行数为</w:t>
      </w:r>
      <w:r>
        <w:rPr>
          <w:rFonts w:hint="eastAsia" w:ascii="仿宋_GB2312" w:hAnsi="仿宋_GB2312" w:eastAsia="仿宋_GB2312" w:cs="仿宋_GB2312"/>
          <w:color w:val="auto"/>
          <w:kern w:val="0"/>
          <w:sz w:val="32"/>
          <w:szCs w:val="32"/>
          <w:lang w:val="en-US" w:eastAsia="zh-CN"/>
        </w:rPr>
        <w:t>60万元</w:t>
      </w:r>
      <w:r>
        <w:rPr>
          <w:rFonts w:hint="eastAsia" w:ascii="仿宋_GB2312" w:hAnsi="仿宋_GB2312" w:eastAsia="仿宋_GB2312" w:cs="仿宋_GB2312"/>
          <w:color w:val="auto"/>
          <w:kern w:val="0"/>
          <w:sz w:val="32"/>
          <w:szCs w:val="32"/>
          <w:lang w:val="en-US"/>
        </w:rPr>
        <w:t>,完成预算的</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lang w:val="en-US"/>
        </w:rPr>
        <w:t>%。项目绩效目标完成情况：保障了我院全年电力正常运转，改善了学院的教学、办公、生活环境、高质量保障了培训教学任务，创造了良好的生活和学习环境，为学院教学质量高质量发展奠定了良好的基础。发现的主要问题及原因：</w:t>
      </w:r>
      <w:r>
        <w:rPr>
          <w:rFonts w:hint="eastAsia" w:ascii="仿宋_GB2312" w:hAnsi="仿宋_GB2312" w:eastAsia="仿宋_GB2312" w:cs="仿宋_GB2312"/>
          <w:color w:val="auto"/>
          <w:kern w:val="0"/>
          <w:sz w:val="32"/>
          <w:szCs w:val="32"/>
          <w:lang w:val="en-US" w:eastAsia="zh-CN"/>
        </w:rPr>
        <w:t>无偏差</w:t>
      </w:r>
      <w:r>
        <w:rPr>
          <w:rFonts w:hint="eastAsia" w:ascii="仿宋_GB2312" w:hAnsi="仿宋_GB2312" w:eastAsia="仿宋_GB2312" w:cs="仿宋_GB2312"/>
          <w:color w:val="auto"/>
          <w:kern w:val="0"/>
          <w:sz w:val="32"/>
          <w:szCs w:val="32"/>
          <w:lang w:val="en-US"/>
        </w:rPr>
        <w:t>。下一步改进措施：</w:t>
      </w:r>
      <w:r>
        <w:rPr>
          <w:rFonts w:hint="eastAsia" w:ascii="仿宋_GB2312" w:hAnsi="仿宋_GB2312" w:eastAsia="仿宋_GB2312" w:cs="仿宋_GB2312"/>
          <w:color w:val="auto"/>
          <w:kern w:val="0"/>
          <w:sz w:val="32"/>
          <w:szCs w:val="32"/>
          <w:lang w:val="en-US" w:eastAsia="zh-CN"/>
        </w:rPr>
        <w:t>无</w:t>
      </w:r>
      <w:r>
        <w:rPr>
          <w:rFonts w:hint="eastAsia" w:ascii="仿宋_GB2312" w:hAnsi="仿宋_GB2312" w:eastAsia="仿宋_GB2312" w:cs="仿宋_GB2312"/>
          <w:color w:val="auto"/>
          <w:kern w:val="0"/>
          <w:sz w:val="32"/>
          <w:szCs w:val="32"/>
          <w:lang w:val="en-US"/>
        </w:rPr>
        <w:t>。电费补助项目绩效自评情况：本次绩效自评综合评定电费补助项目支出绩效得分为100分，绩效等级为“优秀”。</w:t>
      </w:r>
    </w:p>
    <w:p w14:paraId="16C9699D">
      <w:pPr>
        <w:keepNext w:val="0"/>
        <w:keepLines w:val="0"/>
        <w:pageBreakBefore w:val="0"/>
        <w:widowControl w:val="0"/>
        <w:suppressLineNumbers/>
        <w:kinsoku/>
        <w:wordWrap/>
        <w:overflowPunct/>
        <w:topLinePunct w:val="0"/>
        <w:autoSpaceDE/>
        <w:autoSpaceDN/>
        <w:bidi w:val="0"/>
        <w:adjustRightInd/>
        <w:snapToGrid/>
        <w:spacing w:beforeLines="0" w:afterLines="0"/>
        <w:ind w:firstLine="640" w:firstLineChars="200"/>
        <w:jc w:val="both"/>
        <w:textAlignment w:val="auto"/>
        <w:rPr>
          <w:rFonts w:hint="eastAsia" w:ascii="仿宋_GB2312" w:hAnsi="仿宋_GB2312" w:eastAsia="仿宋_GB2312" w:cs="仿宋_GB2312"/>
          <w:color w:val="auto"/>
          <w:kern w:val="0"/>
          <w:sz w:val="32"/>
          <w:szCs w:val="32"/>
          <w:lang w:val="en-US"/>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val="en-US"/>
        </w:rPr>
        <w:t>培训费</w:t>
      </w:r>
      <w:r>
        <w:rPr>
          <w:rFonts w:hint="eastAsia" w:ascii="仿宋_GB2312" w:hAnsi="仿宋_GB2312" w:eastAsia="仿宋_GB2312" w:cs="仿宋_GB2312"/>
          <w:color w:val="auto"/>
          <w:kern w:val="0"/>
          <w:sz w:val="32"/>
          <w:szCs w:val="32"/>
          <w:lang w:val="en-US" w:eastAsia="zh-CN"/>
        </w:rPr>
        <w:t>”项目</w:t>
      </w:r>
      <w:r>
        <w:rPr>
          <w:rFonts w:hint="eastAsia" w:ascii="仿宋_GB2312" w:hAnsi="仿宋_GB2312" w:eastAsia="仿宋_GB2312" w:cs="仿宋_GB2312"/>
          <w:color w:val="auto"/>
          <w:kern w:val="0"/>
          <w:sz w:val="32"/>
          <w:szCs w:val="32"/>
          <w:lang w:val="en-US"/>
        </w:rPr>
        <w:t>绩效自评情况：根据年初设定的绩效目标,项目绩效自评得分为</w:t>
      </w:r>
      <w:r>
        <w:rPr>
          <w:rFonts w:hint="eastAsia" w:ascii="仿宋_GB2312" w:hAnsi="仿宋_GB2312" w:eastAsia="仿宋_GB2312" w:cs="仿宋_GB2312"/>
          <w:color w:val="auto"/>
          <w:kern w:val="0"/>
          <w:sz w:val="32"/>
          <w:szCs w:val="32"/>
          <w:lang w:val="en-US" w:eastAsia="zh-CN"/>
        </w:rPr>
        <w:t>96.63</w:t>
      </w:r>
      <w:r>
        <w:rPr>
          <w:rFonts w:hint="eastAsia" w:ascii="仿宋_GB2312" w:hAnsi="仿宋_GB2312" w:eastAsia="仿宋_GB2312" w:cs="仿宋_GB2312"/>
          <w:color w:val="auto"/>
          <w:kern w:val="0"/>
          <w:sz w:val="32"/>
          <w:szCs w:val="32"/>
          <w:lang w:val="en-US"/>
        </w:rPr>
        <w:t>分。项目全年预算数为</w:t>
      </w:r>
      <w:r>
        <w:rPr>
          <w:rFonts w:hint="eastAsia" w:ascii="仿宋_GB2312" w:hAnsi="仿宋_GB2312" w:eastAsia="仿宋_GB2312" w:cs="仿宋_GB2312"/>
          <w:color w:val="auto"/>
          <w:kern w:val="0"/>
          <w:sz w:val="32"/>
          <w:szCs w:val="32"/>
          <w:lang w:val="en-US" w:eastAsia="zh-CN"/>
        </w:rPr>
        <w:t>873.89万元</w:t>
      </w:r>
      <w:r>
        <w:rPr>
          <w:rFonts w:hint="eastAsia" w:ascii="仿宋_GB2312" w:hAnsi="仿宋_GB2312" w:eastAsia="仿宋_GB2312" w:cs="仿宋_GB2312"/>
          <w:color w:val="auto"/>
          <w:kern w:val="0"/>
          <w:sz w:val="32"/>
          <w:szCs w:val="32"/>
          <w:lang w:val="en-US"/>
        </w:rPr>
        <w:t>,执行数为</w:t>
      </w:r>
      <w:r>
        <w:rPr>
          <w:rFonts w:hint="eastAsia" w:ascii="仿宋_GB2312" w:hAnsi="仿宋_GB2312" w:eastAsia="仿宋_GB2312" w:cs="仿宋_GB2312"/>
          <w:color w:val="auto"/>
          <w:kern w:val="0"/>
          <w:sz w:val="32"/>
          <w:szCs w:val="32"/>
          <w:lang w:val="en-US" w:eastAsia="zh-CN"/>
        </w:rPr>
        <w:t>873.89万元</w:t>
      </w:r>
      <w:r>
        <w:rPr>
          <w:rFonts w:hint="eastAsia" w:ascii="仿宋_GB2312" w:hAnsi="仿宋_GB2312" w:eastAsia="仿宋_GB2312" w:cs="仿宋_GB2312"/>
          <w:color w:val="auto"/>
          <w:kern w:val="0"/>
          <w:sz w:val="32"/>
          <w:szCs w:val="32"/>
          <w:lang w:val="en-US"/>
        </w:rPr>
        <w:t>,完成预算的</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lang w:val="en-US"/>
        </w:rPr>
        <w:t>%。项目绩效目标完成情况：举办各类培训班61期以上，培训学员大于5265余人次；举办为期1个月的培养汉藏双语法律学历生数量，参与，实现全省政法各系统民族地区法律人才全覆盖，达到政法各类干部,干警能用双语处理政法事务，化解民族地区群众各类纠纷，促进民族团结和地区稳定，完成省委司法体制机制改革中赋予法官学院的各项培训任务。发现的主要问题及原因：“开展培训次数、培训人次”指标目标值设置偏低，我院全年举办培训班次61期，培训学员5200余人次，年度完成情况大于目标值的130%。下一步改进措施：加强预算绩效管理，提高绩效目标编制的准确性、合理性。培训费项目绩效自评情况：本次绩效自评综合评定培训费项目支出绩效得分为96.63分，绩效等级为“优秀”。</w:t>
      </w:r>
    </w:p>
    <w:p w14:paraId="14860801">
      <w:pPr>
        <w:keepNext w:val="0"/>
        <w:keepLines w:val="0"/>
        <w:pageBreakBefore w:val="0"/>
        <w:widowControl w:val="0"/>
        <w:suppressLineNumbers/>
        <w:kinsoku/>
        <w:wordWrap/>
        <w:overflowPunct/>
        <w:topLinePunct w:val="0"/>
        <w:autoSpaceDE/>
        <w:autoSpaceDN/>
        <w:bidi w:val="0"/>
        <w:adjustRightInd/>
        <w:snapToGrid/>
        <w:spacing w:beforeLines="0" w:afterLines="0"/>
        <w:ind w:firstLine="640" w:firstLineChars="200"/>
        <w:jc w:val="both"/>
        <w:textAlignment w:val="auto"/>
        <w:rPr>
          <w:rFonts w:hint="eastAsia" w:ascii="仿宋_GB2312" w:hAnsi="仿宋_GB2312" w:eastAsia="仿宋_GB2312" w:cs="仿宋_GB2312"/>
          <w:color w:val="auto"/>
          <w:kern w:val="0"/>
          <w:sz w:val="32"/>
          <w:szCs w:val="32"/>
          <w:lang w:val="en-US"/>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val="en-US"/>
        </w:rPr>
        <w:t>全省法院业务费</w:t>
      </w:r>
      <w:r>
        <w:rPr>
          <w:rFonts w:hint="eastAsia" w:ascii="仿宋_GB2312" w:hAnsi="仿宋_GB2312" w:eastAsia="仿宋_GB2312" w:cs="仿宋_GB2312"/>
          <w:color w:val="auto"/>
          <w:kern w:val="0"/>
          <w:sz w:val="32"/>
          <w:szCs w:val="32"/>
          <w:lang w:val="en-US" w:eastAsia="zh-CN"/>
        </w:rPr>
        <w:t>”项目</w:t>
      </w:r>
      <w:r>
        <w:rPr>
          <w:rFonts w:hint="eastAsia" w:ascii="仿宋_GB2312" w:hAnsi="仿宋_GB2312" w:eastAsia="仿宋_GB2312" w:cs="仿宋_GB2312"/>
          <w:color w:val="auto"/>
          <w:kern w:val="0"/>
          <w:sz w:val="32"/>
          <w:szCs w:val="32"/>
          <w:lang w:val="en-US"/>
        </w:rPr>
        <w:t>绩效自评情况：根据年初设定的绩效目标,项目绩效自评得分为</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lang w:val="en-US"/>
        </w:rPr>
        <w:t>分。项目全年预算数为</w:t>
      </w:r>
      <w:r>
        <w:rPr>
          <w:rFonts w:hint="eastAsia" w:ascii="仿宋_GB2312" w:hAnsi="仿宋_GB2312" w:eastAsia="仿宋_GB2312" w:cs="仿宋_GB2312"/>
          <w:color w:val="auto"/>
          <w:kern w:val="0"/>
          <w:sz w:val="32"/>
          <w:szCs w:val="32"/>
          <w:lang w:val="en-US" w:eastAsia="zh-CN"/>
        </w:rPr>
        <w:t>235万元</w:t>
      </w:r>
      <w:r>
        <w:rPr>
          <w:rFonts w:hint="eastAsia" w:ascii="仿宋_GB2312" w:hAnsi="仿宋_GB2312" w:eastAsia="仿宋_GB2312" w:cs="仿宋_GB2312"/>
          <w:color w:val="auto"/>
          <w:kern w:val="0"/>
          <w:sz w:val="32"/>
          <w:szCs w:val="32"/>
          <w:lang w:val="en-US"/>
        </w:rPr>
        <w:t>,执行数为</w:t>
      </w:r>
      <w:r>
        <w:rPr>
          <w:rFonts w:hint="eastAsia" w:ascii="仿宋_GB2312" w:hAnsi="仿宋_GB2312" w:eastAsia="仿宋_GB2312" w:cs="仿宋_GB2312"/>
          <w:color w:val="auto"/>
          <w:kern w:val="0"/>
          <w:sz w:val="32"/>
          <w:szCs w:val="32"/>
          <w:lang w:val="en-US" w:eastAsia="zh-CN"/>
        </w:rPr>
        <w:t>235万元</w:t>
      </w:r>
      <w:r>
        <w:rPr>
          <w:rFonts w:hint="eastAsia" w:ascii="仿宋_GB2312" w:hAnsi="仿宋_GB2312" w:eastAsia="仿宋_GB2312" w:cs="仿宋_GB2312"/>
          <w:color w:val="auto"/>
          <w:kern w:val="0"/>
          <w:sz w:val="32"/>
          <w:szCs w:val="32"/>
          <w:lang w:val="en-US"/>
        </w:rPr>
        <w:t>,完成预算的</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lang w:val="en-US"/>
        </w:rPr>
        <w:t>%。项目绩效目标完成情况：</w:t>
      </w:r>
      <w:r>
        <w:rPr>
          <w:rFonts w:hint="eastAsia" w:ascii="仿宋_GB2312" w:hAnsi="仿宋_GB2312" w:eastAsia="仿宋_GB2312" w:cs="仿宋_GB2312"/>
          <w:color w:val="auto"/>
          <w:kern w:val="0"/>
          <w:sz w:val="32"/>
          <w:szCs w:val="32"/>
          <w:lang w:val="en-US" w:eastAsia="zh-CN"/>
        </w:rPr>
        <w:t>一是</w:t>
      </w:r>
      <w:r>
        <w:rPr>
          <w:rFonts w:hint="eastAsia" w:ascii="仿宋_GB2312" w:hAnsi="仿宋_GB2312" w:eastAsia="仿宋_GB2312" w:cs="仿宋_GB2312"/>
          <w:color w:val="auto"/>
          <w:kern w:val="0"/>
          <w:sz w:val="32"/>
          <w:szCs w:val="32"/>
          <w:lang w:val="en-US"/>
        </w:rPr>
        <w:t>保障了单位正常工作顺利开展，提高工作效率。</w:t>
      </w:r>
      <w:r>
        <w:rPr>
          <w:rFonts w:hint="eastAsia" w:ascii="仿宋_GB2312" w:hAnsi="仿宋_GB2312" w:eastAsia="仿宋_GB2312" w:cs="仿宋_GB2312"/>
          <w:color w:val="auto"/>
          <w:kern w:val="0"/>
          <w:sz w:val="32"/>
          <w:szCs w:val="32"/>
          <w:lang w:val="en-US" w:eastAsia="zh-CN"/>
        </w:rPr>
        <w:t>二是给工作人员提供安全，良好的司法工作环境，完成对网络的日常维护工作，打造全省法院教育培训信息管理平台，助力推进法治社会建设。</w:t>
      </w:r>
      <w:r>
        <w:rPr>
          <w:rFonts w:hint="eastAsia" w:ascii="仿宋_GB2312" w:hAnsi="仿宋_GB2312" w:eastAsia="仿宋_GB2312" w:cs="仿宋_GB2312"/>
          <w:color w:val="auto"/>
          <w:kern w:val="0"/>
          <w:sz w:val="32"/>
          <w:szCs w:val="32"/>
          <w:lang w:val="en-US"/>
        </w:rPr>
        <w:t>发现的主要问题及原因：</w:t>
      </w:r>
      <w:r>
        <w:rPr>
          <w:rFonts w:hint="eastAsia" w:ascii="仿宋_GB2312" w:hAnsi="仿宋_GB2312" w:eastAsia="仿宋_GB2312" w:cs="仿宋_GB2312"/>
          <w:color w:val="auto"/>
          <w:kern w:val="0"/>
          <w:sz w:val="32"/>
          <w:szCs w:val="32"/>
          <w:lang w:val="en-US" w:eastAsia="zh-CN"/>
        </w:rPr>
        <w:t>无偏差。</w:t>
      </w:r>
      <w:r>
        <w:rPr>
          <w:rFonts w:hint="eastAsia" w:ascii="仿宋_GB2312" w:hAnsi="仿宋_GB2312" w:eastAsia="仿宋_GB2312" w:cs="仿宋_GB2312"/>
          <w:color w:val="auto"/>
          <w:kern w:val="0"/>
          <w:sz w:val="32"/>
          <w:szCs w:val="32"/>
          <w:lang w:val="en-US"/>
        </w:rPr>
        <w:t>下一步改进措施：</w:t>
      </w:r>
      <w:r>
        <w:rPr>
          <w:rFonts w:hint="eastAsia" w:ascii="仿宋_GB2312" w:hAnsi="仿宋_GB2312" w:eastAsia="仿宋_GB2312" w:cs="仿宋_GB2312"/>
          <w:color w:val="auto"/>
          <w:kern w:val="0"/>
          <w:sz w:val="32"/>
          <w:szCs w:val="32"/>
          <w:lang w:val="en-US" w:eastAsia="zh-CN"/>
        </w:rPr>
        <w:t>无</w:t>
      </w:r>
      <w:r>
        <w:rPr>
          <w:rFonts w:hint="eastAsia" w:ascii="仿宋_GB2312" w:hAnsi="仿宋_GB2312" w:eastAsia="仿宋_GB2312" w:cs="仿宋_GB2312"/>
          <w:color w:val="auto"/>
          <w:kern w:val="0"/>
          <w:sz w:val="32"/>
          <w:szCs w:val="32"/>
          <w:lang w:val="en-US"/>
        </w:rPr>
        <w:t>。</w:t>
      </w:r>
      <w:r>
        <w:rPr>
          <w:rFonts w:hint="eastAsia" w:ascii="仿宋_GB2312" w:hAnsi="仿宋_GB2312" w:eastAsia="仿宋_GB2312" w:cs="仿宋_GB2312"/>
          <w:color w:val="auto"/>
          <w:kern w:val="0"/>
          <w:sz w:val="32"/>
          <w:szCs w:val="32"/>
          <w:lang w:val="en-US" w:eastAsia="zh-CN"/>
        </w:rPr>
        <w:t>全省法院业务费</w:t>
      </w:r>
      <w:r>
        <w:rPr>
          <w:rFonts w:hint="eastAsia" w:ascii="仿宋_GB2312" w:hAnsi="仿宋_GB2312" w:eastAsia="仿宋_GB2312" w:cs="仿宋_GB2312"/>
          <w:color w:val="auto"/>
          <w:kern w:val="0"/>
          <w:sz w:val="32"/>
          <w:szCs w:val="32"/>
          <w:lang w:val="en-US"/>
        </w:rPr>
        <w:t>项目绩效自评情况：本次绩效自评综合评定全省法院业务费项目支出绩效得分为100分，绩效等级为“优秀”。</w:t>
      </w:r>
    </w:p>
    <w:p w14:paraId="163FBAD1">
      <w:pPr>
        <w:keepNext w:val="0"/>
        <w:keepLines w:val="0"/>
        <w:pageBreakBefore w:val="0"/>
        <w:widowControl w:val="0"/>
        <w:suppressLineNumbers/>
        <w:kinsoku/>
        <w:wordWrap/>
        <w:overflowPunct/>
        <w:topLinePunct w:val="0"/>
        <w:autoSpaceDE/>
        <w:autoSpaceDN/>
        <w:bidi w:val="0"/>
        <w:adjustRightInd/>
        <w:snapToGrid/>
        <w:spacing w:beforeLines="0" w:afterLines="0"/>
        <w:ind w:firstLine="640" w:firstLineChars="200"/>
        <w:jc w:val="both"/>
        <w:textAlignment w:val="auto"/>
        <w:rPr>
          <w:rFonts w:hint="eastAsia" w:ascii="仿宋_GB2312" w:hAnsi="仿宋_GB2312" w:eastAsia="仿宋_GB2312" w:cs="仿宋_GB2312"/>
          <w:color w:val="auto"/>
          <w:kern w:val="0"/>
          <w:sz w:val="32"/>
          <w:szCs w:val="32"/>
          <w:lang w:val="en-US"/>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val="en-US"/>
        </w:rPr>
        <w:t>少数民族法制教学研究经费</w:t>
      </w:r>
      <w:r>
        <w:rPr>
          <w:rFonts w:hint="eastAsia" w:ascii="仿宋_GB2312" w:hAnsi="仿宋_GB2312" w:eastAsia="仿宋_GB2312" w:cs="仿宋_GB2312"/>
          <w:color w:val="auto"/>
          <w:kern w:val="0"/>
          <w:sz w:val="32"/>
          <w:szCs w:val="32"/>
          <w:lang w:val="en-US" w:eastAsia="zh-CN"/>
        </w:rPr>
        <w:t>”项目</w:t>
      </w:r>
      <w:r>
        <w:rPr>
          <w:rFonts w:hint="eastAsia" w:ascii="仿宋_GB2312" w:hAnsi="仿宋_GB2312" w:eastAsia="仿宋_GB2312" w:cs="仿宋_GB2312"/>
          <w:color w:val="auto"/>
          <w:kern w:val="0"/>
          <w:sz w:val="32"/>
          <w:szCs w:val="32"/>
          <w:lang w:val="en-US"/>
        </w:rPr>
        <w:t>绩效自评情况：根据年初设定的绩效目标,项目绩效自评得分为</w:t>
      </w:r>
      <w:r>
        <w:rPr>
          <w:rFonts w:hint="eastAsia" w:ascii="仿宋_GB2312" w:hAnsi="仿宋_GB2312" w:eastAsia="仿宋_GB2312" w:cs="仿宋_GB2312"/>
          <w:color w:val="auto"/>
          <w:kern w:val="0"/>
          <w:sz w:val="32"/>
          <w:szCs w:val="32"/>
          <w:lang w:val="en-US" w:eastAsia="zh-CN"/>
        </w:rPr>
        <w:t>96.63</w:t>
      </w:r>
      <w:r>
        <w:rPr>
          <w:rFonts w:hint="eastAsia" w:ascii="仿宋_GB2312" w:hAnsi="仿宋_GB2312" w:eastAsia="仿宋_GB2312" w:cs="仿宋_GB2312"/>
          <w:color w:val="auto"/>
          <w:kern w:val="0"/>
          <w:sz w:val="32"/>
          <w:szCs w:val="32"/>
          <w:lang w:val="en-US"/>
        </w:rPr>
        <w:t>分。项目全年预算数为</w:t>
      </w:r>
      <w:r>
        <w:rPr>
          <w:rFonts w:hint="eastAsia" w:ascii="仿宋_GB2312" w:hAnsi="仿宋_GB2312" w:eastAsia="仿宋_GB2312" w:cs="仿宋_GB2312"/>
          <w:color w:val="auto"/>
          <w:kern w:val="0"/>
          <w:sz w:val="32"/>
          <w:szCs w:val="32"/>
          <w:lang w:val="en-US" w:eastAsia="zh-CN"/>
        </w:rPr>
        <w:t>100万元</w:t>
      </w:r>
      <w:r>
        <w:rPr>
          <w:rFonts w:hint="eastAsia" w:ascii="仿宋_GB2312" w:hAnsi="仿宋_GB2312" w:eastAsia="仿宋_GB2312" w:cs="仿宋_GB2312"/>
          <w:color w:val="auto"/>
          <w:kern w:val="0"/>
          <w:sz w:val="32"/>
          <w:szCs w:val="32"/>
          <w:lang w:val="en-US"/>
        </w:rPr>
        <w:t>,执行数为</w:t>
      </w:r>
      <w:r>
        <w:rPr>
          <w:rFonts w:hint="eastAsia" w:ascii="仿宋_GB2312" w:hAnsi="仿宋_GB2312" w:eastAsia="仿宋_GB2312" w:cs="仿宋_GB2312"/>
          <w:color w:val="auto"/>
          <w:kern w:val="0"/>
          <w:sz w:val="32"/>
          <w:szCs w:val="32"/>
          <w:lang w:val="en-US" w:eastAsia="zh-CN"/>
        </w:rPr>
        <w:t>100万元</w:t>
      </w:r>
      <w:r>
        <w:rPr>
          <w:rFonts w:hint="eastAsia" w:ascii="仿宋_GB2312" w:hAnsi="仿宋_GB2312" w:eastAsia="仿宋_GB2312" w:cs="仿宋_GB2312"/>
          <w:color w:val="auto"/>
          <w:kern w:val="0"/>
          <w:sz w:val="32"/>
          <w:szCs w:val="32"/>
          <w:lang w:val="en-US"/>
        </w:rPr>
        <w:t>,完成预算的</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lang w:val="en-US"/>
        </w:rPr>
        <w:t>%。项目绩效目标完成情况：我院实际开展课题5个以上，开展专题调研8次以上，在进行课题调研和专题调研的基础上，形成专题调研报告和论文10篇以上。发现的主要问题及原因：课题研究数量指标年度目标值=2个，全年实际完成5个课题研究，目标值设置偏低。下一步改进措施：下年度将加强预算绩效管理，提高绩效目标编制的准确性、合理性。少数民族法制教学研究经费项目本次绩效自评综合评定少数民族法制教学研究经费项目支出绩效得分为98.38分，绩效等级为“优秀”。</w:t>
      </w:r>
    </w:p>
    <w:p w14:paraId="6C913DB5">
      <w:pPr>
        <w:keepNext w:val="0"/>
        <w:keepLines w:val="0"/>
        <w:pageBreakBefore w:val="0"/>
        <w:widowControl w:val="0"/>
        <w:suppressLineNumbers/>
        <w:kinsoku/>
        <w:wordWrap/>
        <w:overflowPunct/>
        <w:topLinePunct w:val="0"/>
        <w:autoSpaceDE/>
        <w:autoSpaceDN/>
        <w:bidi w:val="0"/>
        <w:adjustRightInd/>
        <w:snapToGrid/>
        <w:spacing w:beforeLines="0" w:afterLines="0"/>
        <w:ind w:firstLine="640" w:firstLineChars="200"/>
        <w:jc w:val="both"/>
        <w:textAlignment w:val="auto"/>
        <w:rPr>
          <w:rFonts w:hint="eastAsia" w:ascii="仿宋_GB2312" w:hAnsi="仿宋_GB2312" w:eastAsia="仿宋_GB2312" w:cs="仿宋_GB2312"/>
          <w:color w:val="auto"/>
          <w:kern w:val="0"/>
          <w:sz w:val="32"/>
          <w:szCs w:val="32"/>
          <w:lang w:val="en-US"/>
        </w:rPr>
      </w:pP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lang w:val="en-US"/>
        </w:rPr>
        <w:t>物业费</w:t>
      </w:r>
      <w:r>
        <w:rPr>
          <w:rFonts w:hint="eastAsia" w:ascii="仿宋_GB2312" w:hAnsi="仿宋_GB2312" w:eastAsia="仿宋_GB2312" w:cs="仿宋_GB2312"/>
          <w:color w:val="auto"/>
          <w:kern w:val="0"/>
          <w:sz w:val="32"/>
          <w:szCs w:val="32"/>
          <w:lang w:val="en-US" w:eastAsia="zh-CN"/>
        </w:rPr>
        <w:t>”项目</w:t>
      </w:r>
      <w:r>
        <w:rPr>
          <w:rFonts w:hint="eastAsia" w:ascii="仿宋_GB2312" w:hAnsi="仿宋_GB2312" w:eastAsia="仿宋_GB2312" w:cs="仿宋_GB2312"/>
          <w:color w:val="auto"/>
          <w:kern w:val="0"/>
          <w:sz w:val="32"/>
          <w:szCs w:val="32"/>
          <w:lang w:val="en-US"/>
        </w:rPr>
        <w:t>绩效自评情况：根据年初设定的绩效目标,项目绩效自评得分为</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lang w:val="en-US"/>
        </w:rPr>
        <w:t>分。项目全年预算数为</w:t>
      </w:r>
      <w:r>
        <w:rPr>
          <w:rFonts w:hint="eastAsia" w:ascii="仿宋_GB2312" w:hAnsi="仿宋_GB2312" w:eastAsia="仿宋_GB2312" w:cs="仿宋_GB2312"/>
          <w:color w:val="auto"/>
          <w:kern w:val="0"/>
          <w:sz w:val="32"/>
          <w:szCs w:val="32"/>
          <w:lang w:val="en-US" w:eastAsia="zh-CN"/>
        </w:rPr>
        <w:t>100万元</w:t>
      </w:r>
      <w:r>
        <w:rPr>
          <w:rFonts w:hint="eastAsia" w:ascii="仿宋_GB2312" w:hAnsi="仿宋_GB2312" w:eastAsia="仿宋_GB2312" w:cs="仿宋_GB2312"/>
          <w:color w:val="auto"/>
          <w:kern w:val="0"/>
          <w:sz w:val="32"/>
          <w:szCs w:val="32"/>
          <w:lang w:val="en-US"/>
        </w:rPr>
        <w:t>,执行数为</w:t>
      </w:r>
      <w:r>
        <w:rPr>
          <w:rFonts w:hint="eastAsia" w:ascii="仿宋_GB2312" w:hAnsi="仿宋_GB2312" w:eastAsia="仿宋_GB2312" w:cs="仿宋_GB2312"/>
          <w:color w:val="auto"/>
          <w:kern w:val="0"/>
          <w:sz w:val="32"/>
          <w:szCs w:val="32"/>
          <w:lang w:val="en-US" w:eastAsia="zh-CN"/>
        </w:rPr>
        <w:t>100万元</w:t>
      </w:r>
      <w:r>
        <w:rPr>
          <w:rFonts w:hint="eastAsia" w:ascii="仿宋_GB2312" w:hAnsi="仿宋_GB2312" w:eastAsia="仿宋_GB2312" w:cs="仿宋_GB2312"/>
          <w:color w:val="auto"/>
          <w:kern w:val="0"/>
          <w:sz w:val="32"/>
          <w:szCs w:val="32"/>
          <w:lang w:val="en-US"/>
        </w:rPr>
        <w:t>,完成预算的</w:t>
      </w:r>
      <w:r>
        <w:rPr>
          <w:rFonts w:hint="eastAsia" w:ascii="仿宋_GB2312" w:hAnsi="仿宋_GB2312" w:eastAsia="仿宋_GB2312" w:cs="仿宋_GB2312"/>
          <w:color w:val="auto"/>
          <w:kern w:val="0"/>
          <w:sz w:val="32"/>
          <w:szCs w:val="32"/>
          <w:lang w:val="en-US" w:eastAsia="zh-CN"/>
        </w:rPr>
        <w:t>100</w:t>
      </w:r>
      <w:r>
        <w:rPr>
          <w:rFonts w:hint="eastAsia" w:ascii="仿宋_GB2312" w:hAnsi="仿宋_GB2312" w:eastAsia="仿宋_GB2312" w:cs="仿宋_GB2312"/>
          <w:color w:val="auto"/>
          <w:kern w:val="0"/>
          <w:sz w:val="32"/>
          <w:szCs w:val="32"/>
          <w:lang w:val="en-US"/>
        </w:rPr>
        <w:t>%。项目绩效目标完成情况：保障了学院各项工作顺利开展，后勤保障能力进一步得到提升，工作环境明显改善。我院水、电、暖供应正常，确保了各项工作圆满顺利完成。发现的主要问题及原因：</w:t>
      </w:r>
      <w:r>
        <w:rPr>
          <w:rFonts w:hint="eastAsia" w:ascii="仿宋_GB2312" w:hAnsi="仿宋_GB2312" w:eastAsia="仿宋_GB2312" w:cs="仿宋_GB2312"/>
          <w:color w:val="auto"/>
          <w:kern w:val="0"/>
          <w:sz w:val="32"/>
          <w:szCs w:val="32"/>
          <w:lang w:val="en-US" w:eastAsia="zh-CN"/>
        </w:rPr>
        <w:t>无偏差</w:t>
      </w:r>
      <w:r>
        <w:rPr>
          <w:rFonts w:hint="eastAsia" w:ascii="仿宋_GB2312" w:hAnsi="仿宋_GB2312" w:eastAsia="仿宋_GB2312" w:cs="仿宋_GB2312"/>
          <w:color w:val="auto"/>
          <w:kern w:val="0"/>
          <w:sz w:val="32"/>
          <w:szCs w:val="32"/>
          <w:lang w:val="en-US"/>
        </w:rPr>
        <w:t>。下一步改进措施：</w:t>
      </w:r>
      <w:r>
        <w:rPr>
          <w:rFonts w:hint="eastAsia" w:ascii="仿宋_GB2312" w:hAnsi="仿宋_GB2312" w:eastAsia="仿宋_GB2312" w:cs="仿宋_GB2312"/>
          <w:color w:val="auto"/>
          <w:kern w:val="0"/>
          <w:sz w:val="32"/>
          <w:szCs w:val="32"/>
          <w:lang w:val="en-US" w:eastAsia="zh-CN"/>
        </w:rPr>
        <w:t>无</w:t>
      </w:r>
      <w:r>
        <w:rPr>
          <w:rFonts w:hint="eastAsia" w:ascii="仿宋_GB2312" w:hAnsi="仿宋_GB2312" w:eastAsia="仿宋_GB2312" w:cs="仿宋_GB2312"/>
          <w:color w:val="auto"/>
          <w:kern w:val="0"/>
          <w:sz w:val="32"/>
          <w:szCs w:val="32"/>
          <w:lang w:val="en-US"/>
        </w:rPr>
        <w:t>。</w:t>
      </w:r>
      <w:r>
        <w:rPr>
          <w:rFonts w:hint="eastAsia" w:ascii="仿宋_GB2312" w:hAnsi="仿宋_GB2312" w:eastAsia="仿宋_GB2312" w:cs="仿宋_GB2312"/>
          <w:color w:val="auto"/>
          <w:kern w:val="0"/>
          <w:sz w:val="32"/>
          <w:szCs w:val="32"/>
          <w:lang w:val="en-US" w:eastAsia="zh-CN"/>
        </w:rPr>
        <w:t>物业</w:t>
      </w:r>
      <w:r>
        <w:rPr>
          <w:rFonts w:hint="eastAsia" w:ascii="仿宋_GB2312" w:hAnsi="仿宋_GB2312" w:eastAsia="仿宋_GB2312" w:cs="仿宋_GB2312"/>
          <w:color w:val="auto"/>
          <w:kern w:val="0"/>
          <w:sz w:val="32"/>
          <w:szCs w:val="32"/>
          <w:lang w:val="en-US"/>
        </w:rPr>
        <w:t>费项目绩效自评情况：本次绩效自评综合评定物业费项目支出绩效得分为100分，绩效等级为“优秀”。</w:t>
      </w:r>
    </w:p>
    <w:p w14:paraId="35B6304E">
      <w:pPr>
        <w:spacing w:before="100" w:beforeLines="0" w:after="100" w:afterLines="0"/>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具体部门预算执行情况绩效自评和预算执行情况绩效自评报表内容请详见附件2、附件3。</w:t>
      </w:r>
    </w:p>
    <w:p w14:paraId="772AE9AE">
      <w:pPr>
        <w:spacing w:before="100" w:beforeLines="0" w:after="100" w:afterLines="0"/>
        <w:ind w:firstLine="643" w:firstLineChars="200"/>
        <w:jc w:val="left"/>
        <w:rPr>
          <w:rFonts w:hint="eastAsia" w:ascii="黑体" w:hAnsi="黑体" w:eastAsia="黑体" w:cs="黑体"/>
          <w:b/>
          <w:bCs/>
          <w:color w:val="auto"/>
          <w:sz w:val="32"/>
          <w:szCs w:val="32"/>
          <w:lang w:val="zh-CN" w:eastAsia="zh-CN"/>
        </w:rPr>
      </w:pPr>
      <w:r>
        <w:rPr>
          <w:rFonts w:hint="eastAsia" w:ascii="黑体" w:hAnsi="黑体" w:eastAsia="黑体" w:cs="黑体"/>
          <w:b/>
          <w:bCs/>
          <w:color w:val="auto"/>
          <w:sz w:val="32"/>
          <w:szCs w:val="32"/>
          <w:lang w:val="zh-CN" w:eastAsia="zh-CN"/>
        </w:rPr>
        <w:t>三、部门绩效评价结果</w:t>
      </w:r>
    </w:p>
    <w:p w14:paraId="5F116503">
      <w:pPr>
        <w:spacing w:before="100" w:beforeLines="0" w:after="100" w:afterLines="0"/>
        <w:ind w:firstLine="640" w:firstLineChars="200"/>
        <w:jc w:val="both"/>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评价认为，“电费补助、少数民族法制教学研究经费”项目立项程序规范，依据充分，项目实施必要。在专项资金统一保障下，项目顺利开展，项目实施流程严谨，执行管理到位，资金使用效果良好。项目总体组织规范，通过项目实施，</w:t>
      </w:r>
      <w:r>
        <w:rPr>
          <w:rFonts w:hint="eastAsia" w:ascii="仿宋_GB2312" w:hAnsi="仿宋_GB2312" w:eastAsia="仿宋_GB2312" w:cs="仿宋_GB2312"/>
          <w:color w:val="auto"/>
          <w:sz w:val="32"/>
          <w:szCs w:val="32"/>
          <w:lang w:val="en-US" w:eastAsia="zh-CN"/>
        </w:rPr>
        <w:t>达到了项目预期效果</w:t>
      </w:r>
      <w:r>
        <w:rPr>
          <w:rFonts w:hint="eastAsia" w:ascii="仿宋_GB2312" w:hAnsi="仿宋_GB2312" w:eastAsia="仿宋_GB2312" w:cs="仿宋_GB2312"/>
          <w:color w:val="auto"/>
          <w:sz w:val="32"/>
          <w:szCs w:val="32"/>
          <w:lang w:val="zh-CN"/>
        </w:rPr>
        <w:t>。但项目也存在绩效目标编制不准确等问题。</w:t>
      </w:r>
    </w:p>
    <w:p w14:paraId="3BBD1000">
      <w:pPr>
        <w:spacing w:before="100" w:beforeLines="0" w:after="100" w:afterLines="0"/>
        <w:ind w:firstLine="640" w:firstLineChars="200"/>
        <w:jc w:val="left"/>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具体部门预算执行情况重点绩效自评和预算执行情况重点绩效自评报表内容请详见附件4。</w:t>
      </w:r>
    </w:p>
    <w:p w14:paraId="066D8E36">
      <w:pPr>
        <w:spacing w:before="100" w:beforeLines="0" w:after="100" w:afterLines="0"/>
        <w:jc w:val="center"/>
        <w:rPr>
          <w:rFonts w:hint="eastAsia" w:ascii="黑体" w:hAnsi="黑体" w:eastAsia="黑体" w:cs="黑体"/>
          <w:color w:val="auto"/>
          <w:sz w:val="32"/>
          <w:szCs w:val="32"/>
          <w:lang w:val="zh-CN"/>
        </w:rPr>
      </w:pPr>
      <w:r>
        <w:rPr>
          <w:rFonts w:hint="eastAsia" w:ascii="黑体" w:hAnsi="黑体" w:eastAsia="黑体" w:cs="黑体"/>
          <w:b/>
          <w:bCs/>
          <w:color w:val="auto"/>
          <w:sz w:val="32"/>
          <w:szCs w:val="32"/>
          <w:lang w:val="zh-CN" w:eastAsia="zh-CN"/>
        </w:rPr>
        <w:t>第五部分</w:t>
      </w:r>
      <w:r>
        <w:rPr>
          <w:rFonts w:hint="eastAsia" w:ascii="黑体" w:hAnsi="黑体" w:eastAsia="黑体" w:cs="黑体"/>
          <w:b/>
          <w:bCs/>
          <w:color w:val="auto"/>
          <w:sz w:val="32"/>
          <w:szCs w:val="32"/>
          <w:lang w:val="en-US" w:eastAsia="zh-CN"/>
        </w:rPr>
        <w:t xml:space="preserve">  </w:t>
      </w:r>
      <w:r>
        <w:rPr>
          <w:rFonts w:hint="eastAsia" w:ascii="黑体" w:hAnsi="黑体" w:eastAsia="黑体" w:cs="黑体"/>
          <w:b/>
          <w:bCs/>
          <w:color w:val="auto"/>
          <w:sz w:val="32"/>
          <w:szCs w:val="32"/>
          <w:lang w:val="zh-CN" w:eastAsia="zh-CN"/>
        </w:rPr>
        <w:t>名词解释</w:t>
      </w:r>
    </w:p>
    <w:p w14:paraId="73D86703">
      <w:pPr>
        <w:spacing w:before="100" w:beforeLines="0" w:after="100" w:afterLines="0"/>
        <w:ind w:firstLine="643" w:firstLineChars="200"/>
        <w:jc w:val="both"/>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一、财政拨款收入</w:t>
      </w:r>
      <w:r>
        <w:rPr>
          <w:rFonts w:hint="eastAsia" w:ascii="仿宋_GB2312" w:hAnsi="仿宋_GB2312" w:eastAsia="仿宋_GB2312" w:cs="仿宋_GB2312"/>
          <w:color w:val="auto"/>
          <w:sz w:val="32"/>
          <w:szCs w:val="32"/>
          <w:lang w:val="zh-CN"/>
        </w:rPr>
        <w:t>：指本年度从同级财政部门取得的财政拨款,包括一般公共预算财政拨款、政府性基金预算财政拨款和国有资本经营预算财政拨款。</w:t>
      </w:r>
    </w:p>
    <w:p w14:paraId="1FE9FBFD">
      <w:pPr>
        <w:spacing w:before="100" w:beforeLines="0" w:after="100" w:afterLines="0"/>
        <w:ind w:firstLine="643" w:firstLineChars="200"/>
        <w:jc w:val="both"/>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二、事业收入</w:t>
      </w:r>
      <w:r>
        <w:rPr>
          <w:rFonts w:hint="eastAsia" w:ascii="仿宋_GB2312" w:hAnsi="仿宋_GB2312" w:eastAsia="仿宋_GB2312" w:cs="仿宋_GB2312"/>
          <w:color w:val="auto"/>
          <w:sz w:val="32"/>
          <w:szCs w:val="32"/>
          <w:lang w:val="zh-CN"/>
        </w:rPr>
        <w:t>：指事业单位开展专业业务活动及其辅助活动取得的收入。</w:t>
      </w:r>
    </w:p>
    <w:p w14:paraId="647683DE">
      <w:pPr>
        <w:spacing w:before="100" w:beforeLines="0" w:after="100" w:afterLines="0"/>
        <w:ind w:firstLine="643" w:firstLineChars="200"/>
        <w:jc w:val="both"/>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三、经营收入</w:t>
      </w:r>
      <w:r>
        <w:rPr>
          <w:rFonts w:hint="eastAsia" w:ascii="仿宋_GB2312" w:hAnsi="仿宋_GB2312" w:eastAsia="仿宋_GB2312" w:cs="仿宋_GB2312"/>
          <w:color w:val="auto"/>
          <w:sz w:val="32"/>
          <w:szCs w:val="32"/>
          <w:lang w:val="zh-CN"/>
        </w:rPr>
        <w:t>：指事业单位在专业业务活动及其辅助活动之外开展非独立核算经营活动取得的收入。</w:t>
      </w:r>
    </w:p>
    <w:p w14:paraId="35AAD358">
      <w:pPr>
        <w:spacing w:before="100" w:beforeLines="0" w:after="100" w:afterLines="0"/>
        <w:ind w:firstLine="643" w:firstLineChars="200"/>
        <w:jc w:val="both"/>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四、其他收入</w:t>
      </w:r>
      <w:r>
        <w:rPr>
          <w:rFonts w:hint="eastAsia" w:ascii="仿宋_GB2312" w:hAnsi="仿宋_GB2312" w:eastAsia="仿宋_GB2312" w:cs="仿宋_GB2312"/>
          <w:color w:val="auto"/>
          <w:sz w:val="32"/>
          <w:szCs w:val="32"/>
          <w:lang w:val="zh-CN"/>
        </w:rPr>
        <w:t>：指除上述“财政拨款收入”“事业收入”、“经营收入”以外的收入。</w:t>
      </w:r>
    </w:p>
    <w:p w14:paraId="34262930">
      <w:pPr>
        <w:spacing w:before="100" w:beforeLines="0" w:after="100" w:afterLines="0"/>
        <w:ind w:firstLine="643" w:firstLineChars="200"/>
        <w:jc w:val="both"/>
        <w:rPr>
          <w:rFonts w:hint="eastAsia" w:ascii="仿宋_GB2312" w:hAnsi="仿宋_GB2312" w:eastAsia="仿宋_GB2312" w:cs="仿宋_GB2312"/>
          <w:b w:val="0"/>
          <w:bCs w:val="0"/>
          <w:color w:val="auto"/>
          <w:sz w:val="32"/>
          <w:szCs w:val="32"/>
          <w:lang w:val="zh-CN"/>
        </w:rPr>
      </w:pPr>
      <w:r>
        <w:rPr>
          <w:rFonts w:hint="eastAsia" w:ascii="仿宋_GB2312" w:hAnsi="仿宋_GB2312" w:eastAsia="仿宋_GB2312" w:cs="仿宋_GB2312"/>
          <w:b/>
          <w:bCs/>
          <w:color w:val="auto"/>
          <w:sz w:val="32"/>
          <w:szCs w:val="32"/>
          <w:lang w:val="zh-CN"/>
        </w:rPr>
        <w:t>五、使用非财政拨款结余（含专用结余）：</w:t>
      </w:r>
      <w:r>
        <w:rPr>
          <w:rFonts w:hint="eastAsia" w:ascii="仿宋_GB2312" w:hAnsi="仿宋_GB2312" w:eastAsia="仿宋_GB2312" w:cs="仿宋_GB2312"/>
          <w:b w:val="0"/>
          <w:bCs w:val="0"/>
          <w:color w:val="auto"/>
          <w:sz w:val="32"/>
          <w:szCs w:val="32"/>
          <w:lang w:val="zh-CN"/>
        </w:rPr>
        <w:t>指事业单位按照预算管理要求使用非财政拨款结余弥补收支差额的金额，以及使用专用结余安排支出的金额。</w:t>
      </w:r>
    </w:p>
    <w:p w14:paraId="6E57AA85">
      <w:pPr>
        <w:spacing w:before="100" w:beforeLines="0" w:after="100" w:afterLines="0"/>
        <w:ind w:firstLine="643" w:firstLineChars="200"/>
        <w:jc w:val="both"/>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六、年初结转和结余</w:t>
      </w:r>
      <w:r>
        <w:rPr>
          <w:rFonts w:hint="eastAsia" w:ascii="仿宋_GB2312" w:hAnsi="仿宋_GB2312" w:eastAsia="仿宋_GB2312" w:cs="仿宋_GB2312"/>
          <w:color w:val="auto"/>
          <w:sz w:val="32"/>
          <w:szCs w:val="32"/>
          <w:lang w:val="zh-CN"/>
        </w:rPr>
        <w:t>：指单位上年结转至本年使用的基本支出结转、项目支出结转和结余、经营结余。</w:t>
      </w:r>
    </w:p>
    <w:p w14:paraId="6D0BDE93">
      <w:pPr>
        <w:spacing w:before="100" w:beforeLines="0" w:after="100" w:afterLines="0"/>
        <w:ind w:firstLine="643" w:firstLineChars="200"/>
        <w:jc w:val="both"/>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七、结余分配</w:t>
      </w:r>
      <w:r>
        <w:rPr>
          <w:rFonts w:hint="eastAsia" w:ascii="仿宋_GB2312" w:hAnsi="仿宋_GB2312" w:eastAsia="仿宋_GB2312" w:cs="仿宋_GB2312"/>
          <w:color w:val="auto"/>
          <w:sz w:val="32"/>
          <w:szCs w:val="32"/>
          <w:lang w:val="zh-CN"/>
        </w:rPr>
        <w:t>：指单位按照会计制度规定缴纳的所得税、提取的专用结余以及转入非财政拨款结余的金额等。</w:t>
      </w:r>
    </w:p>
    <w:p w14:paraId="7D08DCCE">
      <w:pPr>
        <w:spacing w:before="100" w:beforeLines="0" w:after="100" w:afterLines="0"/>
        <w:ind w:firstLine="643" w:firstLineChars="200"/>
        <w:jc w:val="both"/>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八、年末结转和结余</w:t>
      </w:r>
      <w:r>
        <w:rPr>
          <w:rFonts w:hint="eastAsia" w:ascii="仿宋_GB2312" w:hAnsi="仿宋_GB2312" w:eastAsia="仿宋_GB2312" w:cs="仿宋_GB2312"/>
          <w:color w:val="auto"/>
          <w:sz w:val="32"/>
          <w:szCs w:val="32"/>
          <w:lang w:val="zh-CN"/>
        </w:rPr>
        <w:t>：指单位按有关规定结转到下年的基本支出结转、项目支出结转和结余、经营结余。</w:t>
      </w:r>
    </w:p>
    <w:p w14:paraId="01F5F65B">
      <w:pPr>
        <w:spacing w:before="100" w:beforeLines="0" w:after="100" w:afterLines="0"/>
        <w:ind w:firstLine="643" w:firstLineChars="200"/>
        <w:jc w:val="both"/>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九、基本支出</w:t>
      </w:r>
      <w:r>
        <w:rPr>
          <w:rFonts w:hint="eastAsia" w:ascii="仿宋_GB2312" w:hAnsi="仿宋_GB2312" w:eastAsia="仿宋_GB2312" w:cs="仿宋_GB2312"/>
          <w:color w:val="auto"/>
          <w:sz w:val="32"/>
          <w:szCs w:val="32"/>
          <w:lang w:val="zh-CN"/>
        </w:rPr>
        <w:t>：指为保障机构正常运转、完成日常工作任务而发生的人员经费和公用经费。</w:t>
      </w:r>
    </w:p>
    <w:p w14:paraId="3D9BFB50">
      <w:pPr>
        <w:spacing w:before="100" w:beforeLines="0" w:after="100" w:afterLines="0"/>
        <w:ind w:firstLine="643" w:firstLineChars="200"/>
        <w:jc w:val="both"/>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十、项目支出</w:t>
      </w:r>
      <w:r>
        <w:rPr>
          <w:rFonts w:hint="eastAsia" w:ascii="仿宋_GB2312" w:hAnsi="仿宋_GB2312" w:eastAsia="仿宋_GB2312" w:cs="仿宋_GB2312"/>
          <w:color w:val="auto"/>
          <w:sz w:val="32"/>
          <w:szCs w:val="32"/>
          <w:lang w:val="zh-CN"/>
        </w:rPr>
        <w:t>：指在基本支出之外为完成特定行政任务或事业发展目标所发生的支出。</w:t>
      </w:r>
    </w:p>
    <w:p w14:paraId="37E21A73">
      <w:pPr>
        <w:spacing w:before="100" w:beforeLines="0" w:after="100" w:afterLines="0"/>
        <w:ind w:firstLine="643" w:firstLineChars="200"/>
        <w:jc w:val="both"/>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十一、经营支出</w:t>
      </w:r>
      <w:r>
        <w:rPr>
          <w:rFonts w:hint="eastAsia" w:ascii="仿宋_GB2312" w:hAnsi="仿宋_GB2312" w:eastAsia="仿宋_GB2312" w:cs="仿宋_GB2312"/>
          <w:color w:val="auto"/>
          <w:sz w:val="32"/>
          <w:szCs w:val="32"/>
          <w:lang w:val="zh-CN"/>
        </w:rPr>
        <w:t>：指事业单位在专业业务活动及其辅助活动之外开展非独立核算经营活动发生的支出。</w:t>
      </w:r>
    </w:p>
    <w:p w14:paraId="65F6049C">
      <w:pPr>
        <w:spacing w:before="100" w:beforeLines="0" w:after="100" w:afterLines="0"/>
        <w:ind w:firstLine="643" w:firstLineChars="200"/>
        <w:jc w:val="both"/>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十二、“三公”经费</w:t>
      </w:r>
      <w:r>
        <w:rPr>
          <w:rFonts w:hint="eastAsia" w:ascii="仿宋_GB2312" w:hAnsi="仿宋_GB2312" w:eastAsia="仿宋_GB2312" w:cs="仿宋_GB2312"/>
          <w:color w:val="auto"/>
          <w:sz w:val="32"/>
          <w:szCs w:val="32"/>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A36EE8C">
      <w:pPr>
        <w:spacing w:before="100" w:beforeLines="0" w:after="100" w:afterLines="0"/>
        <w:ind w:firstLine="643" w:firstLineChars="200"/>
        <w:jc w:val="both"/>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十三、机关运行经费</w:t>
      </w:r>
      <w:r>
        <w:rPr>
          <w:rFonts w:hint="eastAsia" w:ascii="仿宋_GB2312" w:hAnsi="仿宋_GB2312" w:eastAsia="仿宋_GB2312" w:cs="仿宋_GB2312"/>
          <w:color w:val="auto"/>
          <w:sz w:val="32"/>
          <w:szCs w:val="32"/>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8406FB2">
      <w:pPr>
        <w:spacing w:before="100" w:beforeLines="0" w:after="100" w:afterLines="0"/>
        <w:ind w:firstLine="643" w:firstLineChars="200"/>
        <w:jc w:val="both"/>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十四、社会保障和就业支出（类）行政事业单位养老支出（款）机关事业单位基本养老保险缴费支出（项）：</w:t>
      </w:r>
      <w:r>
        <w:rPr>
          <w:rFonts w:hint="eastAsia" w:ascii="仿宋_GB2312" w:hAnsi="仿宋_GB2312" w:eastAsia="仿宋_GB2312" w:cs="仿宋_GB2312"/>
          <w:color w:val="auto"/>
          <w:sz w:val="32"/>
          <w:szCs w:val="32"/>
          <w:lang w:val="zh-CN"/>
        </w:rPr>
        <w:t>反映机关事业单位实施养老保险制度由单位缴纳的基本养老保险支出。</w:t>
      </w:r>
    </w:p>
    <w:p w14:paraId="40E56B38">
      <w:pPr>
        <w:spacing w:before="100" w:beforeLines="0" w:after="100" w:afterLines="0"/>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附件1：2023年甘肃省法官学院决算公开表</w:t>
      </w:r>
    </w:p>
    <w:p w14:paraId="23BFF035">
      <w:pPr>
        <w:spacing w:before="100" w:beforeLines="0" w:after="100" w:afterLines="0"/>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附件2：2023年度甘肃省法官学院部门预算执行情况绩效自评报告</w:t>
      </w:r>
    </w:p>
    <w:p w14:paraId="3372A843">
      <w:pPr>
        <w:spacing w:before="100" w:beforeLines="0" w:after="100" w:afterLines="0"/>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附件3：2023年度甘肃省法官学院省级预算执行情况绩效自评报表</w:t>
      </w:r>
    </w:p>
    <w:p w14:paraId="577D0AD7">
      <w:pPr>
        <w:spacing w:before="100" w:beforeLines="0" w:after="100" w:afterLines="0"/>
        <w:ind w:firstLine="640" w:firstLineChars="200"/>
        <w:jc w:val="both"/>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附件4：2023年度甘肃省法官学院重点项目绩效评价报告</w:t>
      </w:r>
      <w:bookmarkStart w:id="2" w:name="_GoBack"/>
      <w:bookmarkEnd w:id="2"/>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爱奇艺黑体">
    <w:panose1 w:val="00000000000000000000"/>
    <w:charset w:val="00"/>
    <w:family w:val="auto"/>
    <w:pitch w:val="default"/>
    <w:sig w:usb0="00000003" w:usb1="0000004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2NmI3MDRmMzM5ODk0YjdhZDhiZDJiNTUxMWQyZjIifQ=="/>
  </w:docVars>
  <w:rsids>
    <w:rsidRoot w:val="00000000"/>
    <w:rsid w:val="165015D4"/>
    <w:rsid w:val="1F44749F"/>
    <w:rsid w:val="2DEC008F"/>
    <w:rsid w:val="2F661C3D"/>
    <w:rsid w:val="39EF43DE"/>
    <w:rsid w:val="420951C2"/>
    <w:rsid w:val="473331FE"/>
    <w:rsid w:val="502618E8"/>
    <w:rsid w:val="57D12E04"/>
    <w:rsid w:val="66E11182"/>
    <w:rsid w:val="68816B5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1"/>
    <w:basedOn w:val="1"/>
    <w:next w:val="1"/>
    <w:qFormat/>
    <w:uiPriority w:val="0"/>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6.xml"/><Relationship Id="rId8" Type="http://schemas.openxmlformats.org/officeDocument/2006/relationships/customXml" Target="../customXml/item5.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9.xml"/><Relationship Id="rId11" Type="http://schemas.openxmlformats.org/officeDocument/2006/relationships/customXml" Target="../customXml/item8.xml"/><Relationship Id="rId10" Type="http://schemas.openxmlformats.org/officeDocument/2006/relationships/customXml" Target="../customXml/item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2.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5.xml><?xml version="1.0" encoding="utf-8"?>
<Properties xmlns:vt="http://schemas.openxmlformats.org/officeDocument/2006/docPropsVTypes" xmlns="http://schemas.openxmlformats.org/officeDocument/2006/extended-properties">
  <Template>Normal.dotm</Template>
  <TotalTime>1</TotalTime>
  <Pages>15</Pages>
  <Words>7172</Words>
  <Characters>19277</Characters>
  <Application>WPS Office_11.1.0.12980_F1E327BC-269C-435d-A152-05C5408002CA</Application>
  <DocSecurity>0</DocSecurity>
  <Lines>0</Lines>
  <Paragraphs>0</Paragraphs>
  <CharactersWithSpaces>19281</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2024-08-09T09:53:21Z</dcterms:modified>
</cp:core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8.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Props1.xml><?xml version="1.0" encoding="utf-8"?>
<ds:datastoreItem xmlns:ds="http://schemas.openxmlformats.org/officeDocument/2006/customXml" ds:itemID="{dde014e6-c86b-41c1-ac74-3577c5a8ccc3}">
  <ds:schemaRefs/>
</ds:datastoreItem>
</file>

<file path=customXml/itemProps2.xml><?xml version="1.0" encoding="utf-8"?>
<ds:datastoreItem xmlns:ds="http://schemas.openxmlformats.org/officeDocument/2006/customXml" ds:itemID="{599665dc-1571-4266-902d-909ce1b91d06}">
  <ds:schemaRefs/>
</ds:datastoreItem>
</file>

<file path=customXml/itemProps3.xml><?xml version="1.0" encoding="utf-8"?>
<ds:datastoreItem xmlns:ds="http://schemas.openxmlformats.org/officeDocument/2006/customXml" ds:itemID="{66014b14-7d6e-4be3-87a0-e7b33e7c43f4}">
  <ds:schemaRefs/>
</ds:datastoreItem>
</file>

<file path=customXml/itemProps4.xml><?xml version="1.0" encoding="utf-8"?>
<ds:datastoreItem xmlns:ds="http://schemas.openxmlformats.org/officeDocument/2006/customXml" ds:itemID="{167114fb-a444-45e3-9c0f-18e073bf1f05}">
  <ds:schemaRefs/>
</ds:datastoreItem>
</file>

<file path=customXml/itemProps5.xml><?xml version="1.0" encoding="utf-8"?>
<ds:datastoreItem xmlns:ds="http://schemas.openxmlformats.org/officeDocument/2006/customXml" ds:itemID="{a41ea2c0-5456-48c1-9dc4-cd2a445f85d3}">
  <ds:schemaRefs/>
</ds:datastoreItem>
</file>

<file path=customXml/itemProps6.xml><?xml version="1.0" encoding="utf-8"?>
<ds:datastoreItem xmlns:ds="http://schemas.openxmlformats.org/officeDocument/2006/customXml" ds:itemID="{8649213d-b532-4187-af34-c4469092e62d}">
  <ds:schemaRefs/>
</ds:datastoreItem>
</file>

<file path=customXml/itemProps7.xml><?xml version="1.0" encoding="utf-8"?>
<ds:datastoreItem xmlns:ds="http://schemas.openxmlformats.org/officeDocument/2006/customXml" ds:itemID="{804f396c-f506-488e-bc09-32100984dc0b}">
  <ds:schemaRefs/>
</ds:datastoreItem>
</file>

<file path=customXml/itemProps8.xml><?xml version="1.0" encoding="utf-8"?>
<ds:datastoreItem xmlns:ds="http://schemas.openxmlformats.org/officeDocument/2006/customXml" ds:itemID="{30ef7d4d-00e5-4166-9a56-1a08dd5b0f21}">
  <ds:schemaRefs/>
</ds:datastoreItem>
</file>

<file path=customXml/itemProps9.xml><?xml version="1.0" encoding="utf-8"?>
<ds:datastoreItem xmlns:ds="http://schemas.openxmlformats.org/officeDocument/2006/customXml" ds:itemID="{c6f89184-b67f-4bde-bb44-677c3cb648b1}">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6436</Words>
  <Characters>7045</Characters>
  <Lines>0</Lines>
  <Paragraphs>0</Paragraphs>
  <TotalTime>9</TotalTime>
  <ScaleCrop>false</ScaleCrop>
  <LinksUpToDate>false</LinksUpToDate>
  <CharactersWithSpaces>7056</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WPS_1648450384</cp:lastModifiedBy>
  <dcterms:modified xsi:type="dcterms:W3CDTF">2024-08-22T02:10:12Z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E06D266F13EA4024808CEEADBAD91186_11</vt:lpwstr>
  </property>
</Properties>
</file>