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AC2DB">
      <w:pPr>
        <w:pStyle w:val="8"/>
        <w:overflowPunct w:val="0"/>
        <w:spacing w:line="560" w:lineRule="exact"/>
        <w:rPr>
          <w:rFonts w:ascii="仿宋_GB2312"/>
        </w:rPr>
      </w:pPr>
    </w:p>
    <w:p w14:paraId="3FE58B17">
      <w:pPr>
        <w:overflowPunct w:val="0"/>
        <w:spacing w:line="560" w:lineRule="exact"/>
        <w:ind w:left="6" w:right="4"/>
        <w:jc w:val="center"/>
        <w:rPr>
          <w:rFonts w:hint="eastAsia" w:ascii="宋体" w:hAnsi="宋体" w:eastAsia="宋体" w:cs="Times New Roman"/>
          <w:b/>
          <w:sz w:val="44"/>
          <w:szCs w:val="44"/>
        </w:rPr>
      </w:pPr>
    </w:p>
    <w:p w14:paraId="7E566B25">
      <w:pPr>
        <w:overflowPunct w:val="0"/>
        <w:spacing w:line="560" w:lineRule="exact"/>
        <w:ind w:left="6" w:right="4"/>
        <w:jc w:val="center"/>
        <w:rPr>
          <w:rFonts w:hint="eastAsia" w:ascii="宋体" w:hAnsi="宋体" w:eastAsia="宋体" w:cs="Times New Roman"/>
          <w:b/>
          <w:sz w:val="44"/>
          <w:szCs w:val="44"/>
        </w:rPr>
      </w:pPr>
    </w:p>
    <w:p w14:paraId="73F20BEC">
      <w:pPr>
        <w:overflowPunct w:val="0"/>
        <w:spacing w:line="560" w:lineRule="exact"/>
        <w:ind w:left="6" w:right="4"/>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sz w:val="44"/>
          <w:szCs w:val="44"/>
        </w:rPr>
        <w:t>2023年度甘肃省高级人民法院重点项目</w:t>
      </w:r>
    </w:p>
    <w:p w14:paraId="48FF4B49">
      <w:pPr>
        <w:overflowPunct w:val="0"/>
        <w:spacing w:line="560" w:lineRule="exact"/>
        <w:ind w:left="6" w:right="4"/>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—电费补助项目绩效评价报告</w:t>
      </w:r>
    </w:p>
    <w:p w14:paraId="32657F78">
      <w:pPr>
        <w:pStyle w:val="8"/>
        <w:overflowPunct w:val="0"/>
        <w:spacing w:line="560" w:lineRule="exact"/>
        <w:rPr>
          <w:sz w:val="56"/>
        </w:rPr>
      </w:pPr>
    </w:p>
    <w:p w14:paraId="0473C04A">
      <w:pPr>
        <w:pStyle w:val="9"/>
        <w:spacing w:line="560" w:lineRule="exact"/>
      </w:pPr>
    </w:p>
    <w:p w14:paraId="4BF2DB23">
      <w:pPr>
        <w:pStyle w:val="8"/>
        <w:overflowPunct w:val="0"/>
        <w:spacing w:line="560" w:lineRule="exact"/>
        <w:rPr>
          <w:sz w:val="56"/>
        </w:rPr>
      </w:pPr>
    </w:p>
    <w:p w14:paraId="725166B4">
      <w:pPr>
        <w:pStyle w:val="9"/>
        <w:spacing w:line="560" w:lineRule="exact"/>
        <w:rPr>
          <w:sz w:val="56"/>
        </w:rPr>
      </w:pPr>
    </w:p>
    <w:p w14:paraId="64A8912B">
      <w:pPr>
        <w:spacing w:line="560" w:lineRule="exact"/>
        <w:ind w:firstLine="300" w:firstLineChars="100"/>
        <w:rPr>
          <w:rFonts w:hint="eastAsia" w:ascii="仿宋_GB2312" w:hAnsi="仿宋" w:eastAsia="仿宋_GB2312" w:cs="仿宋"/>
          <w:sz w:val="30"/>
          <w:szCs w:val="32"/>
          <w:u w:val="single"/>
        </w:rPr>
      </w:pPr>
      <w:r>
        <w:rPr>
          <w:rFonts w:hint="eastAsia" w:ascii="仿宋_GB2312" w:hAnsi="仿宋" w:eastAsia="仿宋_GB2312" w:cs="仿宋"/>
          <w:sz w:val="30"/>
          <w:szCs w:val="32"/>
        </w:rPr>
        <w:t>评价类型：</w:t>
      </w:r>
      <w:r>
        <w:rPr>
          <w:rFonts w:hint="eastAsia" w:ascii="仿宋_GB2312" w:hAnsi="仿宋" w:eastAsia="仿宋_GB2312" w:cs="仿宋"/>
          <w:sz w:val="30"/>
          <w:szCs w:val="32"/>
          <w:u w:val="single"/>
        </w:rPr>
        <w:t>□实施过程评价</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☑完成结果评价</w:t>
      </w:r>
    </w:p>
    <w:p w14:paraId="31D2FA86">
      <w:pPr>
        <w:spacing w:line="560" w:lineRule="exact"/>
        <w:ind w:left="1800" w:right="456" w:rightChars="217" w:hanging="1800" w:hangingChars="600"/>
        <w:jc w:val="left"/>
        <w:rPr>
          <w:rFonts w:hint="eastAsia" w:ascii="仿宋_GB2312" w:hAnsi="仿宋" w:eastAsia="仿宋_GB2312" w:cs="仿宋"/>
          <w:sz w:val="30"/>
          <w:szCs w:val="32"/>
          <w:u w:val="single"/>
        </w:rPr>
      </w:pPr>
      <w:r>
        <w:rPr>
          <w:rFonts w:hint="eastAsia" w:ascii="仿宋_GB2312" w:hAnsi="仿宋" w:eastAsia="仿宋_GB2312" w:cs="仿宋"/>
          <w:sz w:val="30"/>
          <w:szCs w:val="32"/>
        </w:rPr>
        <w:t xml:space="preserve">  项目名称：</w:t>
      </w:r>
      <w:r>
        <w:rPr>
          <w:rFonts w:hint="eastAsia" w:ascii="仿宋_GB2312" w:hAnsi="仿宋" w:eastAsia="仿宋_GB2312" w:cs="仿宋"/>
          <w:sz w:val="30"/>
          <w:szCs w:val="32"/>
          <w:u w:val="single"/>
        </w:rPr>
        <w:t xml:space="preserve"> 2023年度甘肃省高级人民法院重点项目</w:t>
      </w:r>
    </w:p>
    <w:p w14:paraId="5A58299F">
      <w:pPr>
        <w:spacing w:line="560" w:lineRule="exact"/>
        <w:ind w:left="1791" w:leftChars="710" w:right="456" w:rightChars="217" w:hanging="300" w:hangingChars="1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 xml:space="preserve">——电费补助   </w:t>
      </w:r>
    </w:p>
    <w:p w14:paraId="56D6C3FF">
      <w:pPr>
        <w:spacing w:line="560" w:lineRule="exact"/>
        <w:ind w:left="1800" w:right="456" w:rightChars="217" w:hanging="1800" w:hangingChars="6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主管部门：</w:t>
      </w:r>
      <w:r>
        <w:rPr>
          <w:rFonts w:hint="eastAsia" w:ascii="仿宋_GB2312" w:hAnsi="仿宋" w:eastAsia="仿宋_GB2312" w:cs="仿宋"/>
          <w:sz w:val="30"/>
          <w:szCs w:val="32"/>
          <w:u w:val="single"/>
        </w:rPr>
        <w:t xml:space="preserve"> 甘肃省高级人民法院</w:t>
      </w:r>
      <w:r>
        <w:rPr>
          <w:rFonts w:hint="eastAsia" w:ascii="仿宋_GB2312" w:hAnsi="仿宋" w:eastAsia="仿宋_GB2312" w:cs="仿宋"/>
          <w:sz w:val="30"/>
          <w:szCs w:val="32"/>
          <w:u w:val="single"/>
          <w:lang w:val="en-US" w:eastAsia="zh-CN"/>
        </w:rPr>
        <w:t xml:space="preserve">                </w:t>
      </w:r>
      <w:r>
        <w:rPr>
          <w:rFonts w:hint="eastAsia" w:ascii="仿宋_GB2312" w:hAnsi="仿宋" w:eastAsia="仿宋_GB2312" w:cs="仿宋"/>
          <w:sz w:val="30"/>
          <w:szCs w:val="32"/>
          <w:u w:val="single"/>
        </w:rPr>
        <w:t xml:space="preserve"> </w:t>
      </w:r>
    </w:p>
    <w:p w14:paraId="36343B13">
      <w:pPr>
        <w:spacing w:line="560" w:lineRule="exact"/>
        <w:ind w:left="1800" w:right="456" w:rightChars="217" w:hanging="1800" w:hangingChars="600"/>
        <w:jc w:val="left"/>
        <w:rPr>
          <w:rFonts w:hint="eastAsia" w:ascii="仿宋_GB2312" w:hAnsi="仿宋" w:eastAsia="仿宋_GB2312" w:cs="仿宋"/>
          <w:sz w:val="30"/>
          <w:szCs w:val="32"/>
          <w:u w:val="single"/>
        </w:rPr>
      </w:pPr>
      <w:r>
        <w:rPr>
          <w:rFonts w:hint="eastAsia" w:ascii="仿宋_GB2312" w:hAnsi="仿宋" w:eastAsia="仿宋_GB2312" w:cs="仿宋"/>
          <w:sz w:val="30"/>
          <w:szCs w:val="32"/>
        </w:rPr>
        <w:t xml:space="preserve">  评价时间： </w:t>
      </w:r>
      <w:r>
        <w:rPr>
          <w:rFonts w:hint="eastAsia" w:ascii="仿宋_GB2312" w:hAnsi="仿宋" w:eastAsia="仿宋_GB2312" w:cs="仿宋"/>
          <w:sz w:val="30"/>
          <w:szCs w:val="32"/>
          <w:u w:val="single"/>
        </w:rPr>
        <w:t>2023年01月01日至 2023年12月31日</w:t>
      </w:r>
    </w:p>
    <w:p w14:paraId="07BA6B65">
      <w:pPr>
        <w:spacing w:line="560" w:lineRule="exact"/>
        <w:ind w:left="1800" w:right="456" w:rightChars="217" w:hanging="1800" w:hangingChars="6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组织方式：</w:t>
      </w:r>
      <w:r>
        <w:rPr>
          <w:rFonts w:hint="eastAsia" w:ascii="仿宋_GB2312" w:hAnsi="仿宋" w:eastAsia="仿宋_GB2312" w:cs="仿宋"/>
          <w:sz w:val="30"/>
          <w:szCs w:val="32"/>
          <w:u w:val="single"/>
        </w:rPr>
        <w:t>□财政部门</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 xml:space="preserve"> ☑主管部门</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□项目单位</w:t>
      </w:r>
      <w:r>
        <w:rPr>
          <w:rFonts w:hint="eastAsia" w:ascii="仿宋_GB2312" w:hAnsi="仿宋" w:eastAsia="仿宋_GB2312" w:cs="仿宋"/>
          <w:sz w:val="30"/>
          <w:szCs w:val="32"/>
        </w:rPr>
        <w:t xml:space="preserve"> </w:t>
      </w:r>
    </w:p>
    <w:p w14:paraId="3750338A">
      <w:pPr>
        <w:spacing w:line="560" w:lineRule="exact"/>
        <w:ind w:left="1800" w:right="456" w:rightChars="217" w:hanging="1800" w:hangingChars="6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评价机构：</w:t>
      </w:r>
      <w:r>
        <w:rPr>
          <w:rFonts w:hint="eastAsia" w:ascii="仿宋_GB2312" w:hAnsi="仿宋" w:eastAsia="仿宋_GB2312" w:cs="仿宋"/>
          <w:sz w:val="30"/>
          <w:szCs w:val="32"/>
          <w:u w:val="single"/>
        </w:rPr>
        <w:t>☑中介机构</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□专家组</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□项目单位评价组</w:t>
      </w:r>
    </w:p>
    <w:p w14:paraId="6D6EFEAE">
      <w:pPr>
        <w:spacing w:line="560" w:lineRule="exact"/>
        <w:rPr>
          <w:rFonts w:hint="eastAsia" w:ascii="仿宋_GB2312" w:hAnsi="仿宋" w:eastAsia="仿宋_GB2312" w:cs="仿宋"/>
          <w:sz w:val="30"/>
          <w:szCs w:val="32"/>
        </w:rPr>
      </w:pPr>
    </w:p>
    <w:p w14:paraId="6573B7D1">
      <w:pPr>
        <w:spacing w:line="560" w:lineRule="exact"/>
        <w:ind w:left="4800" w:hanging="4800" w:hangingChars="1600"/>
        <w:rPr>
          <w:rFonts w:hint="eastAsia" w:ascii="仿宋_GB2312" w:hAnsi="仿宋" w:eastAsia="仿宋_GB2312" w:cs="仿宋"/>
          <w:sz w:val="30"/>
          <w:szCs w:val="32"/>
        </w:rPr>
      </w:pPr>
      <w:r>
        <w:rPr>
          <w:rFonts w:hint="eastAsia" w:ascii="仿宋_GB2312" w:hAnsi="仿宋" w:eastAsia="仿宋_GB2312" w:cs="仿宋"/>
          <w:sz w:val="30"/>
          <w:szCs w:val="32"/>
        </w:rPr>
        <w:t xml:space="preserve">           </w:t>
      </w:r>
    </w:p>
    <w:p w14:paraId="121917C4">
      <w:pPr>
        <w:spacing w:line="560" w:lineRule="exact"/>
        <w:ind w:left="4800" w:hanging="4800" w:hangingChars="1600"/>
        <w:rPr>
          <w:rFonts w:hint="eastAsia" w:ascii="仿宋_GB2312" w:hAnsi="仿宋" w:eastAsia="仿宋_GB2312" w:cs="仿宋"/>
          <w:sz w:val="30"/>
          <w:szCs w:val="32"/>
        </w:rPr>
      </w:pPr>
      <w:r>
        <w:rPr>
          <w:rFonts w:hint="eastAsia" w:ascii="仿宋_GB2312" w:hAnsi="仿宋" w:eastAsia="仿宋_GB2312" w:cs="仿宋"/>
          <w:sz w:val="30"/>
          <w:szCs w:val="32"/>
        </w:rPr>
        <w:t xml:space="preserve">  </w:t>
      </w:r>
    </w:p>
    <w:p w14:paraId="7880CBE0">
      <w:pPr>
        <w:spacing w:line="560" w:lineRule="exact"/>
        <w:ind w:right="456" w:rightChars="217" w:firstLine="300" w:firstLineChars="100"/>
        <w:jc w:val="center"/>
        <w:rPr>
          <w:rFonts w:hint="eastAsia" w:ascii="宋体" w:hAnsi="宋体" w:eastAsia="宋体" w:cs="宋体"/>
          <w:sz w:val="30"/>
          <w:szCs w:val="32"/>
        </w:rPr>
      </w:pPr>
      <w:r>
        <w:rPr>
          <w:rFonts w:hint="eastAsia" w:ascii="宋体" w:hAnsi="宋体" w:eastAsia="宋体" w:cs="宋体"/>
          <w:sz w:val="30"/>
          <w:szCs w:val="32"/>
        </w:rPr>
        <w:t>评价单位：甘肃卓诚财务咨询有限公司</w:t>
      </w:r>
    </w:p>
    <w:p w14:paraId="1CB6ADBE">
      <w:pPr>
        <w:spacing w:line="560" w:lineRule="exact"/>
        <w:ind w:right="456" w:rightChars="217" w:firstLine="1500" w:firstLineChars="500"/>
        <w:rPr>
          <w:rFonts w:hint="eastAsia" w:ascii="宋体" w:hAnsi="宋体" w:eastAsia="宋体" w:cs="宋体"/>
          <w:sz w:val="30"/>
          <w:szCs w:val="32"/>
        </w:rPr>
        <w:sectPr>
          <w:headerReference r:id="rId3" w:type="default"/>
          <w:footerReference r:id="rId4" w:type="default"/>
          <w:pgSz w:w="11906" w:h="16838"/>
          <w:pgMar w:top="1440" w:right="1800" w:bottom="1440" w:left="1800" w:header="851" w:footer="992" w:gutter="0"/>
          <w:cols w:space="720" w:num="1"/>
          <w:titlePg/>
          <w:docGrid w:type="lines" w:linePitch="312" w:charSpace="0"/>
        </w:sectPr>
      </w:pPr>
      <w:r>
        <w:rPr>
          <w:rFonts w:hint="eastAsia" w:ascii="宋体" w:hAnsi="宋体" w:eastAsia="宋体" w:cs="宋体"/>
          <w:sz w:val="30"/>
          <w:szCs w:val="32"/>
        </w:rPr>
        <w:t>编制日期：2024年7月31日</w:t>
      </w:r>
    </w:p>
    <w:sdt>
      <w:sdtPr>
        <w:rPr>
          <w:rFonts w:hint="eastAsia" w:ascii="宋体" w:hAnsi="宋体" w:eastAsia="宋体" w:cs="宋体"/>
          <w:color w:val="FF0000"/>
          <w:sz w:val="40"/>
          <w:szCs w:val="40"/>
        </w:rPr>
        <w:id w:val="147453237"/>
        <w15:color w:val="DBDBDB"/>
        <w:docPartObj>
          <w:docPartGallery w:val="Table of Contents"/>
          <w:docPartUnique/>
        </w:docPartObj>
      </w:sdtPr>
      <w:sdtEndPr>
        <w:rPr>
          <w:rFonts w:hint="eastAsia" w:ascii="宋体" w:hAnsi="宋体" w:eastAsia="宋体" w:cs="宋体"/>
          <w:b/>
          <w:bCs/>
          <w:color w:val="FF0000"/>
          <w:sz w:val="32"/>
          <w:szCs w:val="44"/>
          <w:highlight w:val="yellow"/>
        </w:rPr>
      </w:sdtEndPr>
      <w:sdtContent>
        <w:p w14:paraId="7146E26F">
          <w:pPr>
            <w:spacing w:line="560" w:lineRule="exact"/>
            <w:jc w:val="center"/>
            <w:rPr>
              <w:rFonts w:hint="eastAsia" w:ascii="宋体" w:hAnsi="宋体" w:eastAsia="宋体" w:cs="宋体"/>
              <w:b/>
              <w:bCs/>
              <w:sz w:val="36"/>
              <w:szCs w:val="36"/>
            </w:rPr>
          </w:pPr>
          <w:r>
            <w:rPr>
              <w:rFonts w:hint="eastAsia" w:ascii="宋体" w:hAnsi="宋体" w:eastAsia="宋体" w:cs="宋体"/>
              <w:b/>
              <w:bCs/>
              <w:sz w:val="36"/>
              <w:szCs w:val="36"/>
            </w:rPr>
            <w:t>目  录</w:t>
          </w:r>
        </w:p>
        <w:p w14:paraId="6A349DF0">
          <w:pPr>
            <w:pStyle w:val="15"/>
            <w:tabs>
              <w:tab w:val="right" w:leader="dot" w:pos="8306"/>
            </w:tabs>
            <w:spacing w:line="56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highlight w:val="yellow"/>
            </w:rPr>
            <w:fldChar w:fldCharType="begin"/>
          </w:r>
          <w:r>
            <w:rPr>
              <w:rFonts w:hint="eastAsia" w:ascii="方正仿宋_GB2312" w:hAnsi="方正仿宋_GB2312" w:eastAsia="方正仿宋_GB2312" w:cs="方正仿宋_GB2312"/>
              <w:b/>
              <w:bCs/>
              <w:sz w:val="28"/>
              <w:szCs w:val="28"/>
              <w:highlight w:val="yellow"/>
            </w:rPr>
            <w:instrText xml:space="preserve">TOC \o "1-2" \h \u </w:instrText>
          </w:r>
          <w:r>
            <w:rPr>
              <w:rFonts w:hint="eastAsia" w:ascii="方正仿宋_GB2312" w:hAnsi="方正仿宋_GB2312" w:eastAsia="方正仿宋_GB2312" w:cs="方正仿宋_GB2312"/>
              <w:b/>
              <w:bCs/>
              <w:sz w:val="28"/>
              <w:szCs w:val="28"/>
              <w:highlight w:val="yellow"/>
            </w:rPr>
            <w:fldChar w:fldCharType="separate"/>
          </w:r>
          <w:r>
            <w:fldChar w:fldCharType="begin"/>
          </w:r>
          <w:r>
            <w:instrText xml:space="preserve"> HYPERLINK \l "_Toc10839" </w:instrText>
          </w:r>
          <w:r>
            <w:fldChar w:fldCharType="separate"/>
          </w:r>
          <w:r>
            <w:rPr>
              <w:rFonts w:hint="eastAsia" w:ascii="方正仿宋_GB2312" w:hAnsi="方正仿宋_GB2312" w:eastAsia="方正仿宋_GB2312" w:cs="方正仿宋_GB2312"/>
              <w:b/>
              <w:bCs/>
              <w:sz w:val="28"/>
              <w:szCs w:val="28"/>
            </w:rPr>
            <w:t>摘   要</w:t>
          </w:r>
          <w:r>
            <w:rPr>
              <w:rFonts w:hint="eastAsia" w:ascii="方正仿宋_GB2312" w:hAnsi="方正仿宋_GB2312" w:eastAsia="方正仿宋_GB2312" w:cs="方正仿宋_GB2312"/>
              <w:b/>
              <w:bCs/>
              <w:sz w:val="28"/>
              <w:szCs w:val="28"/>
            </w:rPr>
            <w:tab/>
          </w:r>
          <w:r>
            <w:rPr>
              <w:rFonts w:hint="eastAsia" w:ascii="方正仿宋_GB2312" w:hAnsi="方正仿宋_GB2312" w:eastAsia="方正仿宋_GB2312" w:cs="方正仿宋_GB2312"/>
              <w:b/>
              <w:bCs/>
              <w:sz w:val="28"/>
              <w:szCs w:val="28"/>
            </w:rPr>
            <w:fldChar w:fldCharType="begin"/>
          </w:r>
          <w:r>
            <w:rPr>
              <w:rFonts w:hint="eastAsia" w:ascii="方正仿宋_GB2312" w:hAnsi="方正仿宋_GB2312" w:eastAsia="方正仿宋_GB2312" w:cs="方正仿宋_GB2312"/>
              <w:b/>
              <w:bCs/>
              <w:sz w:val="28"/>
              <w:szCs w:val="28"/>
            </w:rPr>
            <w:instrText xml:space="preserve"> PAGEREF _Toc10839 \h </w:instrText>
          </w:r>
          <w:r>
            <w:rPr>
              <w:rFonts w:hint="eastAsia" w:ascii="方正仿宋_GB2312" w:hAnsi="方正仿宋_GB2312" w:eastAsia="方正仿宋_GB2312" w:cs="方正仿宋_GB2312"/>
              <w:b/>
              <w:bCs/>
              <w:sz w:val="28"/>
              <w:szCs w:val="28"/>
            </w:rPr>
            <w:fldChar w:fldCharType="separate"/>
          </w:r>
          <w:r>
            <w:rPr>
              <w:rFonts w:hint="eastAsia" w:ascii="方正仿宋_GB2312" w:hAnsi="方正仿宋_GB2312" w:eastAsia="方正仿宋_GB2312" w:cs="方正仿宋_GB2312"/>
              <w:b/>
              <w:bCs/>
              <w:sz w:val="28"/>
              <w:szCs w:val="28"/>
            </w:rPr>
            <w:t>1</w:t>
          </w:r>
          <w:r>
            <w:rPr>
              <w:rFonts w:hint="eastAsia" w:ascii="方正仿宋_GB2312" w:hAnsi="方正仿宋_GB2312" w:eastAsia="方正仿宋_GB2312" w:cs="方正仿宋_GB2312"/>
              <w:b/>
              <w:bCs/>
              <w:sz w:val="28"/>
              <w:szCs w:val="28"/>
            </w:rPr>
            <w:fldChar w:fldCharType="end"/>
          </w:r>
          <w:r>
            <w:rPr>
              <w:rFonts w:hint="eastAsia" w:ascii="方正仿宋_GB2312" w:hAnsi="方正仿宋_GB2312" w:eastAsia="方正仿宋_GB2312" w:cs="方正仿宋_GB2312"/>
              <w:b/>
              <w:bCs/>
              <w:sz w:val="28"/>
              <w:szCs w:val="28"/>
            </w:rPr>
            <w:fldChar w:fldCharType="end"/>
          </w:r>
        </w:p>
        <w:p w14:paraId="6D8D4D28">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"_Toc18841" </w:instrText>
          </w:r>
          <w:r>
            <w:fldChar w:fldCharType="separate"/>
          </w:r>
          <w:r>
            <w:rPr>
              <w:rFonts w:hint="eastAsia" w:ascii="方正仿宋_GB2312" w:hAnsi="方正仿宋_GB2312" w:eastAsia="方正仿宋_GB2312" w:cs="方正仿宋_GB2312"/>
              <w:sz w:val="28"/>
              <w:szCs w:val="28"/>
            </w:rPr>
            <w:t xml:space="preserve">一、 </w:t>
          </w:r>
          <w:r>
            <w:rPr>
              <w:rFonts w:hint="eastAsia" w:ascii="方正仿宋_GB2312" w:hAnsi="方正仿宋_GB2312" w:eastAsia="方正仿宋_GB2312" w:cs="方正仿宋_GB2312"/>
              <w:bCs/>
              <w:sz w:val="28"/>
              <w:szCs w:val="28"/>
            </w:rPr>
            <w:t>项目基本情况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_Toc18841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2DA40231">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"_Toc11847" </w:instrText>
          </w:r>
          <w:r>
            <w:fldChar w:fldCharType="separate"/>
          </w:r>
          <w:r>
            <w:rPr>
              <w:rFonts w:hint="eastAsia" w:ascii="方正仿宋_GB2312" w:hAnsi="方正仿宋_GB2312" w:eastAsia="方正仿宋_GB2312" w:cs="方正仿宋_GB2312"/>
              <w:bCs/>
              <w:sz w:val="28"/>
              <w:szCs w:val="28"/>
            </w:rPr>
            <w:t>（一）项目立项背景及实施目的</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_Toc11847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D08F6D2">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"_Toc2959" </w:instrText>
          </w:r>
          <w:r>
            <w:fldChar w:fldCharType="separate"/>
          </w:r>
          <w:r>
            <w:rPr>
              <w:rFonts w:hint="eastAsia" w:ascii="方正仿宋_GB2312" w:hAnsi="方正仿宋_GB2312" w:eastAsia="方正仿宋_GB2312" w:cs="方正仿宋_GB2312"/>
              <w:bCs/>
              <w:sz w:val="28"/>
              <w:szCs w:val="28"/>
            </w:rPr>
            <w:t>（二）项目预算安排和支出情况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_Toc2959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3103D444">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"_Toc6579" </w:instrText>
          </w:r>
          <w:r>
            <w:fldChar w:fldCharType="separate"/>
          </w:r>
          <w:r>
            <w:rPr>
              <w:rFonts w:hint="eastAsia" w:ascii="方正仿宋_GB2312" w:hAnsi="方正仿宋_GB2312" w:eastAsia="方正仿宋_GB2312" w:cs="方正仿宋_GB2312"/>
              <w:bCs/>
              <w:sz w:val="28"/>
              <w:szCs w:val="28"/>
            </w:rPr>
            <w:t>（三）项目实施情况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_Toc6579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A9C793A">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"_Toc9944" </w:instrText>
          </w:r>
          <w:r>
            <w:fldChar w:fldCharType="separate"/>
          </w:r>
          <w:r>
            <w:rPr>
              <w:rFonts w:hint="eastAsia" w:ascii="方正仿宋_GB2312" w:hAnsi="方正仿宋_GB2312" w:eastAsia="方正仿宋_GB2312" w:cs="方正仿宋_GB2312"/>
              <w:bCs/>
              <w:sz w:val="28"/>
              <w:szCs w:val="28"/>
            </w:rPr>
            <w:t>二、评价结论和绩效分析</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_Toc9944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6A3CD79">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"_Toc7748" </w:instrText>
          </w:r>
          <w:r>
            <w:fldChar w:fldCharType="separate"/>
          </w:r>
          <w:r>
            <w:rPr>
              <w:rFonts w:hint="eastAsia" w:ascii="方正仿宋_GB2312" w:hAnsi="方正仿宋_GB2312" w:eastAsia="方正仿宋_GB2312" w:cs="方正仿宋_GB2312"/>
              <w:bCs/>
              <w:sz w:val="28"/>
              <w:szCs w:val="28"/>
            </w:rPr>
            <w:t>（一）综合评价结论</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_Toc7748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982C280">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"_Toc18580" </w:instrText>
          </w:r>
          <w:r>
            <w:fldChar w:fldCharType="separate"/>
          </w:r>
          <w:r>
            <w:rPr>
              <w:rFonts w:hint="eastAsia" w:ascii="方正仿宋_GB2312" w:hAnsi="方正仿宋_GB2312" w:eastAsia="方正仿宋_GB2312" w:cs="方正仿宋_GB2312"/>
              <w:bCs/>
              <w:sz w:val="28"/>
              <w:szCs w:val="28"/>
            </w:rPr>
            <w:t>（二）绩效分析</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_Toc18580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FABA7D7">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"_Toc3865" </w:instrText>
          </w:r>
          <w:r>
            <w:fldChar w:fldCharType="separate"/>
          </w:r>
          <w:r>
            <w:rPr>
              <w:rFonts w:hint="eastAsia" w:ascii="方正仿宋_GB2312" w:hAnsi="方正仿宋_GB2312" w:eastAsia="方正仿宋_GB2312" w:cs="方正仿宋_GB2312"/>
              <w:kern w:val="44"/>
              <w:sz w:val="28"/>
              <w:szCs w:val="28"/>
            </w:rPr>
            <w:t>三、</w:t>
          </w:r>
          <w:r>
            <w:rPr>
              <w:rFonts w:hint="eastAsia" w:ascii="方正仿宋_GB2312" w:hAnsi="方正仿宋_GB2312" w:eastAsia="方正仿宋_GB2312" w:cs="方正仿宋_GB2312"/>
              <w:sz w:val="28"/>
              <w:szCs w:val="28"/>
            </w:rPr>
            <w:t>存在问题及原因分析</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_Toc3865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AAF6444">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"_Toc13439" </w:instrText>
          </w:r>
          <w:r>
            <w:fldChar w:fldCharType="separate"/>
          </w:r>
          <w:r>
            <w:rPr>
              <w:rFonts w:hint="eastAsia" w:ascii="方正仿宋_GB2312" w:hAnsi="方正仿宋_GB2312" w:eastAsia="方正仿宋_GB2312" w:cs="方正仿宋_GB2312"/>
              <w:kern w:val="44"/>
              <w:sz w:val="28"/>
              <w:szCs w:val="28"/>
            </w:rPr>
            <w:t>四、</w:t>
          </w:r>
          <w:r>
            <w:rPr>
              <w:rFonts w:hint="eastAsia" w:ascii="方正仿宋_GB2312" w:hAnsi="方正仿宋_GB2312" w:eastAsia="方正仿宋_GB2312" w:cs="方正仿宋_GB2312"/>
              <w:sz w:val="28"/>
              <w:szCs w:val="28"/>
            </w:rPr>
            <w:t>有关建议</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_Toc13439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8C367D0">
          <w:pPr>
            <w:pStyle w:val="15"/>
            <w:tabs>
              <w:tab w:val="right" w:leader="dot" w:pos="8306"/>
            </w:tabs>
            <w:spacing w:line="560" w:lineRule="exact"/>
            <w:rPr>
              <w:rFonts w:hint="eastAsia" w:ascii="方正仿宋_GB2312" w:hAnsi="方正仿宋_GB2312" w:eastAsia="方正仿宋_GB2312" w:cs="方正仿宋_GB2312"/>
              <w:b/>
              <w:bCs/>
              <w:sz w:val="28"/>
              <w:szCs w:val="28"/>
            </w:rPr>
          </w:pPr>
          <w:r>
            <w:fldChar w:fldCharType="begin"/>
          </w:r>
          <w:r>
            <w:instrText xml:space="preserve"> HYPERLINK \l "_Toc13050" </w:instrText>
          </w:r>
          <w:r>
            <w:fldChar w:fldCharType="separate"/>
          </w:r>
          <w:r>
            <w:rPr>
              <w:rFonts w:hint="eastAsia" w:ascii="方正仿宋_GB2312" w:hAnsi="方正仿宋_GB2312" w:eastAsia="方正仿宋_GB2312" w:cs="方正仿宋_GB2312"/>
              <w:b/>
              <w:bCs/>
              <w:sz w:val="28"/>
              <w:szCs w:val="28"/>
            </w:rPr>
            <w:t>电费补助绩效评价报告</w:t>
          </w:r>
          <w:r>
            <w:rPr>
              <w:rFonts w:hint="eastAsia" w:ascii="方正仿宋_GB2312" w:hAnsi="方正仿宋_GB2312" w:eastAsia="方正仿宋_GB2312" w:cs="方正仿宋_GB2312"/>
              <w:b/>
              <w:bCs/>
              <w:sz w:val="28"/>
              <w:szCs w:val="28"/>
            </w:rPr>
            <w:tab/>
          </w:r>
          <w:r>
            <w:rPr>
              <w:rFonts w:hint="eastAsia" w:ascii="方正仿宋_GB2312" w:hAnsi="方正仿宋_GB2312" w:eastAsia="方正仿宋_GB2312" w:cs="方正仿宋_GB2312"/>
              <w:b/>
              <w:bCs/>
              <w:sz w:val="28"/>
              <w:szCs w:val="28"/>
            </w:rPr>
            <w:fldChar w:fldCharType="begin"/>
          </w:r>
          <w:r>
            <w:rPr>
              <w:rFonts w:hint="eastAsia" w:ascii="方正仿宋_GB2312" w:hAnsi="方正仿宋_GB2312" w:eastAsia="方正仿宋_GB2312" w:cs="方正仿宋_GB2312"/>
              <w:b/>
              <w:bCs/>
              <w:sz w:val="28"/>
              <w:szCs w:val="28"/>
            </w:rPr>
            <w:instrText xml:space="preserve"> PAGEREF _Toc13050 \h </w:instrText>
          </w:r>
          <w:r>
            <w:rPr>
              <w:rFonts w:hint="eastAsia" w:ascii="方正仿宋_GB2312" w:hAnsi="方正仿宋_GB2312" w:eastAsia="方正仿宋_GB2312" w:cs="方正仿宋_GB2312"/>
              <w:b/>
              <w:bCs/>
              <w:sz w:val="28"/>
              <w:szCs w:val="28"/>
            </w:rPr>
            <w:fldChar w:fldCharType="separate"/>
          </w:r>
          <w:r>
            <w:rPr>
              <w:rFonts w:hint="eastAsia" w:ascii="方正仿宋_GB2312" w:hAnsi="方正仿宋_GB2312" w:eastAsia="方正仿宋_GB2312" w:cs="方正仿宋_GB2312"/>
              <w:b/>
              <w:bCs/>
              <w:sz w:val="28"/>
              <w:szCs w:val="28"/>
            </w:rPr>
            <w:t>4</w:t>
          </w:r>
          <w:r>
            <w:rPr>
              <w:rFonts w:hint="eastAsia" w:ascii="方正仿宋_GB2312" w:hAnsi="方正仿宋_GB2312" w:eastAsia="方正仿宋_GB2312" w:cs="方正仿宋_GB2312"/>
              <w:b/>
              <w:bCs/>
              <w:sz w:val="28"/>
              <w:szCs w:val="28"/>
            </w:rPr>
            <w:fldChar w:fldCharType="end"/>
          </w:r>
          <w:r>
            <w:rPr>
              <w:rFonts w:hint="eastAsia" w:ascii="方正仿宋_GB2312" w:hAnsi="方正仿宋_GB2312" w:eastAsia="方正仿宋_GB2312" w:cs="方正仿宋_GB2312"/>
              <w:b/>
              <w:bCs/>
              <w:sz w:val="28"/>
              <w:szCs w:val="28"/>
            </w:rPr>
            <w:fldChar w:fldCharType="end"/>
          </w:r>
        </w:p>
        <w:p w14:paraId="4A688554">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"_Toc22194" </w:instrText>
          </w:r>
          <w:r>
            <w:fldChar w:fldCharType="separate"/>
          </w:r>
          <w:r>
            <w:rPr>
              <w:rFonts w:hint="eastAsia" w:ascii="方正仿宋_GB2312" w:hAnsi="方正仿宋_GB2312" w:eastAsia="方正仿宋_GB2312" w:cs="方正仿宋_GB2312"/>
              <w:sz w:val="28"/>
              <w:szCs w:val="28"/>
            </w:rPr>
            <w:t>一、项目基本情况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_Toc22194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4</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77C60770">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"_Toc3920" </w:instrText>
          </w:r>
          <w:r>
            <w:fldChar w:fldCharType="separate"/>
          </w:r>
          <w:r>
            <w:rPr>
              <w:rFonts w:hint="eastAsia" w:ascii="方正仿宋_GB2312" w:hAnsi="方正仿宋_GB2312" w:eastAsia="方正仿宋_GB2312" w:cs="方正仿宋_GB2312"/>
              <w:bCs/>
              <w:sz w:val="28"/>
              <w:szCs w:val="28"/>
            </w:rPr>
            <w:t>（一）项目立项背景</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_Toc3920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4</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E3DD71A">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"_Toc3408" </w:instrText>
          </w:r>
          <w:r>
            <w:fldChar w:fldCharType="separate"/>
          </w:r>
          <w:r>
            <w:rPr>
              <w:rFonts w:hint="eastAsia" w:ascii="方正仿宋_GB2312" w:hAnsi="方正仿宋_GB2312" w:eastAsia="方正仿宋_GB2312" w:cs="方正仿宋_GB2312"/>
              <w:bCs/>
              <w:sz w:val="28"/>
              <w:szCs w:val="28"/>
            </w:rPr>
            <w:t>（二）项目预算安排及使用情况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_Toc3408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4</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3A9F54B">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"_Toc27702" </w:instrText>
          </w:r>
          <w:r>
            <w:fldChar w:fldCharType="separate"/>
          </w:r>
          <w:r>
            <w:rPr>
              <w:rFonts w:hint="eastAsia" w:ascii="方正仿宋_GB2312" w:hAnsi="方正仿宋_GB2312" w:eastAsia="方正仿宋_GB2312" w:cs="方正仿宋_GB2312"/>
              <w:bCs/>
              <w:sz w:val="28"/>
              <w:szCs w:val="28"/>
            </w:rPr>
            <w:t>（三）项目计划内容及实施情况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_Toc27702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4</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0AD78A0">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"_Toc9591" </w:instrText>
          </w:r>
          <w:r>
            <w:fldChar w:fldCharType="separate"/>
          </w:r>
          <w:r>
            <w:rPr>
              <w:rFonts w:hint="eastAsia" w:ascii="方正仿宋_GB2312" w:hAnsi="方正仿宋_GB2312" w:eastAsia="方正仿宋_GB2312" w:cs="方正仿宋_GB2312"/>
              <w:bCs/>
              <w:sz w:val="28"/>
              <w:szCs w:val="28"/>
            </w:rPr>
            <w:t>（四）项目组织管理</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_Toc9591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5</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3BE14499">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"_Toc9703" </w:instrText>
          </w:r>
          <w:r>
            <w:fldChar w:fldCharType="separate"/>
          </w:r>
          <w:r>
            <w:rPr>
              <w:rFonts w:hint="eastAsia" w:ascii="方正仿宋_GB2312" w:hAnsi="方正仿宋_GB2312" w:eastAsia="方正仿宋_GB2312" w:cs="方正仿宋_GB2312"/>
              <w:sz w:val="28"/>
              <w:szCs w:val="28"/>
            </w:rPr>
            <w:t>二、项目绩效目标</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_Toc9703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6</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28511992">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"_Toc9425" </w:instrText>
          </w:r>
          <w:r>
            <w:fldChar w:fldCharType="separate"/>
          </w:r>
          <w:r>
            <w:rPr>
              <w:rFonts w:hint="eastAsia" w:ascii="方正仿宋_GB2312" w:hAnsi="方正仿宋_GB2312" w:eastAsia="方正仿宋_GB2312" w:cs="方正仿宋_GB2312"/>
              <w:bCs/>
              <w:sz w:val="28"/>
              <w:szCs w:val="28"/>
            </w:rPr>
            <w:t>（一）总体目标</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_Toc9425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6</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7CFAF805">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"_Toc3108" </w:instrText>
          </w:r>
          <w:r>
            <w:fldChar w:fldCharType="separate"/>
          </w:r>
          <w:r>
            <w:rPr>
              <w:rFonts w:hint="eastAsia" w:ascii="方正仿宋_GB2312" w:hAnsi="方正仿宋_GB2312" w:eastAsia="方正仿宋_GB2312" w:cs="方正仿宋_GB2312"/>
              <w:bCs/>
              <w:sz w:val="28"/>
              <w:szCs w:val="28"/>
            </w:rPr>
            <w:t>（二）年度目标</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_Toc3108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6</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3FF82A45">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"_Toc27864" </w:instrText>
          </w:r>
          <w:r>
            <w:fldChar w:fldCharType="separate"/>
          </w:r>
          <w:r>
            <w:rPr>
              <w:rFonts w:hint="eastAsia" w:ascii="方正仿宋_GB2312" w:hAnsi="方正仿宋_GB2312" w:eastAsia="方正仿宋_GB2312" w:cs="方正仿宋_GB2312"/>
              <w:sz w:val="28"/>
              <w:szCs w:val="28"/>
            </w:rPr>
            <w:t>三、评价基本情况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_Toc27864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7</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126FF4A2">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"_Toc24770" </w:instrText>
          </w:r>
          <w:r>
            <w:fldChar w:fldCharType="separate"/>
          </w:r>
          <w:r>
            <w:rPr>
              <w:rFonts w:hint="eastAsia" w:ascii="方正仿宋_GB2312" w:hAnsi="方正仿宋_GB2312" w:eastAsia="方正仿宋_GB2312" w:cs="方正仿宋_GB2312"/>
              <w:bCs/>
              <w:sz w:val="28"/>
              <w:szCs w:val="28"/>
            </w:rPr>
            <w:t>（一）评价目的</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_Toc24770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7</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35C212B5">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"_Toc31971" </w:instrText>
          </w:r>
          <w:r>
            <w:fldChar w:fldCharType="separate"/>
          </w:r>
          <w:r>
            <w:rPr>
              <w:rFonts w:hint="eastAsia" w:ascii="方正仿宋_GB2312" w:hAnsi="方正仿宋_GB2312" w:eastAsia="方正仿宋_GB2312" w:cs="方正仿宋_GB2312"/>
              <w:bCs/>
              <w:sz w:val="28"/>
              <w:szCs w:val="28"/>
            </w:rPr>
            <w:t>（二）评价对象与范围</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_Toc31971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8</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F3A151B">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"_Toc21268" </w:instrText>
          </w:r>
          <w:r>
            <w:fldChar w:fldCharType="separate"/>
          </w:r>
          <w:r>
            <w:rPr>
              <w:rFonts w:hint="eastAsia" w:ascii="方正仿宋_GB2312" w:hAnsi="方正仿宋_GB2312" w:eastAsia="方正仿宋_GB2312" w:cs="方正仿宋_GB2312"/>
              <w:bCs/>
              <w:sz w:val="28"/>
              <w:szCs w:val="28"/>
            </w:rPr>
            <w:t>（三）评价依据</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_Toc21268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8</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8118EBC">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"_Toc23095" </w:instrText>
          </w:r>
          <w:r>
            <w:fldChar w:fldCharType="separate"/>
          </w:r>
          <w:r>
            <w:rPr>
              <w:rFonts w:hint="eastAsia" w:ascii="方正仿宋_GB2312" w:hAnsi="方正仿宋_GB2312" w:eastAsia="方正仿宋_GB2312" w:cs="方正仿宋_GB2312"/>
              <w:bCs/>
              <w:sz w:val="28"/>
              <w:szCs w:val="28"/>
            </w:rPr>
            <w:t>（四）评价原则、评价方法</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_Toc23095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9</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696F4763">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"_Toc27969" </w:instrText>
          </w:r>
          <w:r>
            <w:fldChar w:fldCharType="separate"/>
          </w:r>
          <w:r>
            <w:rPr>
              <w:rFonts w:hint="eastAsia" w:ascii="方正仿宋_GB2312" w:hAnsi="方正仿宋_GB2312" w:eastAsia="方正仿宋_GB2312" w:cs="方正仿宋_GB2312"/>
              <w:bCs/>
              <w:sz w:val="28"/>
              <w:szCs w:val="28"/>
            </w:rPr>
            <w:t>（五）绩效评价指标体系</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_Toc27969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11</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625B7A47">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"_Toc21765" </w:instrText>
          </w:r>
          <w:r>
            <w:fldChar w:fldCharType="separate"/>
          </w:r>
          <w:r>
            <w:rPr>
              <w:rFonts w:hint="eastAsia" w:ascii="方正仿宋_GB2312" w:hAnsi="方正仿宋_GB2312" w:eastAsia="方正仿宋_GB2312" w:cs="方正仿宋_GB2312"/>
              <w:bCs/>
              <w:sz w:val="28"/>
              <w:szCs w:val="28"/>
            </w:rPr>
            <w:t>（六）绩效评价工作过程</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_Toc21765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13</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A01CEDA">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"_Toc23599" </w:instrText>
          </w:r>
          <w:r>
            <w:fldChar w:fldCharType="separate"/>
          </w:r>
          <w:r>
            <w:rPr>
              <w:rFonts w:hint="eastAsia" w:ascii="方正仿宋_GB2312" w:hAnsi="方正仿宋_GB2312" w:eastAsia="方正仿宋_GB2312" w:cs="方正仿宋_GB2312"/>
              <w:sz w:val="28"/>
              <w:szCs w:val="28"/>
            </w:rPr>
            <w:t>四、评价结论及分析</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_Toc23599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16</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6B5D6193">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"_Toc27451" </w:instrText>
          </w:r>
          <w:r>
            <w:fldChar w:fldCharType="separate"/>
          </w:r>
          <w:r>
            <w:rPr>
              <w:rFonts w:hint="eastAsia" w:ascii="方正仿宋_GB2312" w:hAnsi="方正仿宋_GB2312" w:eastAsia="方正仿宋_GB2312" w:cs="方正仿宋_GB2312"/>
              <w:sz w:val="28"/>
              <w:szCs w:val="28"/>
            </w:rPr>
            <w:t>五、绩效评价指标分析</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_Toc27451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17</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EA43D1F">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"_Toc28841" </w:instrText>
          </w:r>
          <w:r>
            <w:fldChar w:fldCharType="separate"/>
          </w:r>
          <w:r>
            <w:rPr>
              <w:rFonts w:hint="eastAsia" w:ascii="方正仿宋_GB2312" w:hAnsi="方正仿宋_GB2312" w:eastAsia="方正仿宋_GB2312" w:cs="方正仿宋_GB2312"/>
              <w:bCs/>
              <w:sz w:val="28"/>
              <w:szCs w:val="28"/>
            </w:rPr>
            <w:t>（一）项目决策情况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_Toc28841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18</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01CB2D3B">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"_Toc10269" </w:instrText>
          </w:r>
          <w:r>
            <w:fldChar w:fldCharType="separate"/>
          </w:r>
          <w:r>
            <w:rPr>
              <w:rFonts w:hint="eastAsia" w:ascii="方正仿宋_GB2312" w:hAnsi="方正仿宋_GB2312" w:eastAsia="方正仿宋_GB2312" w:cs="方正仿宋_GB2312"/>
              <w:bCs/>
              <w:sz w:val="28"/>
              <w:szCs w:val="28"/>
            </w:rPr>
            <w:t>（二）项目过程情况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_Toc10269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20</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0400A4AF">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"_Toc19515" </w:instrText>
          </w:r>
          <w:r>
            <w:fldChar w:fldCharType="separate"/>
          </w:r>
          <w:r>
            <w:rPr>
              <w:rFonts w:hint="eastAsia" w:ascii="方正仿宋_GB2312" w:hAnsi="方正仿宋_GB2312" w:eastAsia="方正仿宋_GB2312" w:cs="方正仿宋_GB2312"/>
              <w:bCs/>
              <w:sz w:val="28"/>
              <w:szCs w:val="28"/>
            </w:rPr>
            <w:t>（三）项目产出情况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_Toc19515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23</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5420F10">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"_Toc23395" </w:instrText>
          </w:r>
          <w:r>
            <w:fldChar w:fldCharType="separate"/>
          </w:r>
          <w:r>
            <w:rPr>
              <w:rFonts w:hint="eastAsia" w:ascii="方正仿宋_GB2312" w:hAnsi="方正仿宋_GB2312" w:eastAsia="方正仿宋_GB2312" w:cs="方正仿宋_GB2312"/>
              <w:bCs/>
              <w:sz w:val="28"/>
              <w:szCs w:val="28"/>
            </w:rPr>
            <w:t>（四）项目产出情况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_Toc23395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23</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402D9421">
          <w:pPr>
            <w:pStyle w:val="16"/>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"_Toc27285" </w:instrText>
          </w:r>
          <w:r>
            <w:fldChar w:fldCharType="separate"/>
          </w:r>
          <w:r>
            <w:rPr>
              <w:rFonts w:hint="eastAsia" w:ascii="方正仿宋_GB2312" w:hAnsi="方正仿宋_GB2312" w:eastAsia="方正仿宋_GB2312" w:cs="方正仿宋_GB2312"/>
              <w:bCs/>
              <w:sz w:val="28"/>
              <w:szCs w:val="28"/>
            </w:rPr>
            <w:t>（五）项目效益情况</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_Toc27285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24</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6F19894D">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"_Toc14706" </w:instrText>
          </w:r>
          <w:r>
            <w:fldChar w:fldCharType="separate"/>
          </w:r>
          <w:r>
            <w:rPr>
              <w:rFonts w:hint="eastAsia" w:ascii="方正仿宋_GB2312" w:hAnsi="方正仿宋_GB2312" w:eastAsia="方正仿宋_GB2312" w:cs="方正仿宋_GB2312"/>
              <w:sz w:val="28"/>
              <w:szCs w:val="28"/>
            </w:rPr>
            <w:t>六、项目主要经验及做法</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_Toc14706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25</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69F09C5">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"_Toc22485" </w:instrText>
          </w:r>
          <w:r>
            <w:fldChar w:fldCharType="separate"/>
          </w:r>
          <w:r>
            <w:rPr>
              <w:rFonts w:hint="eastAsia" w:ascii="方正仿宋_GB2312" w:hAnsi="方正仿宋_GB2312" w:eastAsia="方正仿宋_GB2312" w:cs="方正仿宋_GB2312"/>
              <w:sz w:val="28"/>
              <w:szCs w:val="28"/>
            </w:rPr>
            <w:t>七、存在的问题及原因分析</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_Toc22485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26</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5CAF78F8">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"_Toc18072" </w:instrText>
          </w:r>
          <w:r>
            <w:fldChar w:fldCharType="separate"/>
          </w:r>
          <w:r>
            <w:rPr>
              <w:rFonts w:hint="eastAsia" w:ascii="方正仿宋_GB2312" w:hAnsi="方正仿宋_GB2312" w:eastAsia="方正仿宋_GB2312" w:cs="方正仿宋_GB2312"/>
              <w:sz w:val="28"/>
              <w:szCs w:val="28"/>
            </w:rPr>
            <w:t>八、有关建议</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_Toc18072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26</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6DFDA10F">
          <w:pPr>
            <w:pStyle w:val="15"/>
            <w:tabs>
              <w:tab w:val="right" w:leader="dot" w:pos="8306"/>
            </w:tabs>
            <w:spacing w:line="560" w:lineRule="exact"/>
            <w:rPr>
              <w:rFonts w:hint="eastAsia" w:ascii="方正仿宋_GB2312" w:hAnsi="方正仿宋_GB2312" w:eastAsia="方正仿宋_GB2312" w:cs="方正仿宋_GB2312"/>
              <w:sz w:val="28"/>
              <w:szCs w:val="28"/>
            </w:rPr>
          </w:pPr>
          <w:r>
            <w:fldChar w:fldCharType="begin"/>
          </w:r>
          <w:r>
            <w:instrText xml:space="preserve"> HYPERLINK \l "_Toc30050" </w:instrText>
          </w:r>
          <w:r>
            <w:fldChar w:fldCharType="separate"/>
          </w:r>
          <w:r>
            <w:rPr>
              <w:rFonts w:hint="eastAsia" w:ascii="方正仿宋_GB2312" w:hAnsi="方正仿宋_GB2312" w:eastAsia="方正仿宋_GB2312" w:cs="方正仿宋_GB2312"/>
              <w:sz w:val="28"/>
              <w:szCs w:val="28"/>
            </w:rPr>
            <w:t>九、需要说明的问题</w:t>
          </w:r>
          <w:r>
            <w:rPr>
              <w:rFonts w:hint="eastAsia" w:ascii="方正仿宋_GB2312" w:hAnsi="方正仿宋_GB2312" w:eastAsia="方正仿宋_GB2312" w:cs="方正仿宋_GB2312"/>
              <w:sz w:val="28"/>
              <w:szCs w:val="28"/>
            </w:rPr>
            <w:tab/>
          </w:r>
          <w:r>
            <w:rPr>
              <w:rFonts w:hint="eastAsia" w:ascii="方正仿宋_GB2312" w:hAnsi="方正仿宋_GB2312" w:eastAsia="方正仿宋_GB2312" w:cs="方正仿宋_GB2312"/>
              <w:sz w:val="28"/>
              <w:szCs w:val="28"/>
            </w:rPr>
            <w:fldChar w:fldCharType="begin"/>
          </w:r>
          <w:r>
            <w:rPr>
              <w:rFonts w:hint="eastAsia" w:ascii="方正仿宋_GB2312" w:hAnsi="方正仿宋_GB2312" w:eastAsia="方正仿宋_GB2312" w:cs="方正仿宋_GB2312"/>
              <w:sz w:val="28"/>
              <w:szCs w:val="28"/>
            </w:rPr>
            <w:instrText xml:space="preserve"> PAGEREF _Toc30050 \h </w:instrText>
          </w:r>
          <w:r>
            <w:rPr>
              <w:rFonts w:hint="eastAsia" w:ascii="方正仿宋_GB2312" w:hAnsi="方正仿宋_GB2312" w:eastAsia="方正仿宋_GB2312" w:cs="方正仿宋_GB2312"/>
              <w:sz w:val="28"/>
              <w:szCs w:val="28"/>
            </w:rPr>
            <w:fldChar w:fldCharType="separate"/>
          </w:r>
          <w:r>
            <w:rPr>
              <w:rFonts w:hint="eastAsia" w:ascii="方正仿宋_GB2312" w:hAnsi="方正仿宋_GB2312" w:eastAsia="方正仿宋_GB2312" w:cs="方正仿宋_GB2312"/>
              <w:sz w:val="28"/>
              <w:szCs w:val="28"/>
            </w:rPr>
            <w:t>27</w:t>
          </w:r>
          <w:r>
            <w:rPr>
              <w:rFonts w:hint="eastAsia" w:ascii="方正仿宋_GB2312" w:hAnsi="方正仿宋_GB2312" w:eastAsia="方正仿宋_GB2312" w:cs="方正仿宋_GB2312"/>
              <w:sz w:val="28"/>
              <w:szCs w:val="28"/>
            </w:rPr>
            <w:fldChar w:fldCharType="end"/>
          </w:r>
          <w:r>
            <w:rPr>
              <w:rFonts w:hint="eastAsia" w:ascii="方正仿宋_GB2312" w:hAnsi="方正仿宋_GB2312" w:eastAsia="方正仿宋_GB2312" w:cs="方正仿宋_GB2312"/>
              <w:sz w:val="28"/>
              <w:szCs w:val="28"/>
            </w:rPr>
            <w:fldChar w:fldCharType="end"/>
          </w:r>
        </w:p>
        <w:p w14:paraId="2ECAE2A2">
          <w:pPr>
            <w:pStyle w:val="8"/>
            <w:overflowPunct w:val="0"/>
            <w:spacing w:line="560" w:lineRule="exact"/>
            <w:rPr>
              <w:rFonts w:hint="eastAsia" w:ascii="宋体" w:hAnsi="宋体" w:eastAsia="宋体"/>
              <w:b/>
              <w:bCs/>
              <w:szCs w:val="44"/>
              <w:highlight w:val="yellow"/>
            </w:rPr>
            <w:sectPr>
              <w:headerReference r:id="rId6" w:type="first"/>
              <w:footerReference r:id="rId8" w:type="first"/>
              <w:headerReference r:id="rId5" w:type="default"/>
              <w:footerReference r:id="rId7" w:type="default"/>
              <w:pgSz w:w="11906" w:h="16838"/>
              <w:pgMar w:top="1440" w:right="1800" w:bottom="1440" w:left="1800" w:header="851" w:footer="992" w:gutter="0"/>
              <w:pgNumType w:start="1"/>
              <w:cols w:space="425" w:num="1"/>
              <w:titlePg/>
              <w:docGrid w:type="lines" w:linePitch="312" w:charSpace="0"/>
            </w:sectPr>
          </w:pPr>
          <w:r>
            <w:rPr>
              <w:rFonts w:hint="eastAsia" w:ascii="方正仿宋_GB2312" w:hAnsi="方正仿宋_GB2312" w:eastAsia="方正仿宋_GB2312" w:cs="方正仿宋_GB2312"/>
              <w:bCs/>
              <w:sz w:val="28"/>
              <w:szCs w:val="28"/>
              <w:highlight w:val="yellow"/>
            </w:rPr>
            <w:fldChar w:fldCharType="end"/>
          </w:r>
        </w:p>
      </w:sdtContent>
    </w:sdt>
    <w:p w14:paraId="6A9A779C">
      <w:pPr>
        <w:pStyle w:val="8"/>
        <w:overflowPunct w:val="0"/>
        <w:spacing w:line="560" w:lineRule="exact"/>
        <w:jc w:val="center"/>
        <w:outlineLvl w:val="0"/>
        <w:rPr>
          <w:rFonts w:hint="eastAsia" w:ascii="方正小标宋简体" w:hAnsi="宋体" w:eastAsia="方正小标宋简体"/>
          <w:sz w:val="44"/>
          <w:szCs w:val="44"/>
        </w:rPr>
      </w:pPr>
      <w:bookmarkStart w:id="0" w:name="_Toc10839"/>
      <w:r>
        <w:rPr>
          <w:rFonts w:hint="eastAsia" w:ascii="方正小标宋简体" w:hAnsi="宋体" w:eastAsia="方正小标宋简体"/>
          <w:sz w:val="44"/>
          <w:szCs w:val="44"/>
        </w:rPr>
        <w:t xml:space="preserve">摘 </w:t>
      </w:r>
      <w:r>
        <w:rPr>
          <w:rFonts w:ascii="方正小标宋简体" w:hAnsi="宋体" w:eastAsia="方正小标宋简体"/>
          <w:sz w:val="44"/>
          <w:szCs w:val="44"/>
        </w:rPr>
        <w:t xml:space="preserve">  </w:t>
      </w:r>
      <w:r>
        <w:rPr>
          <w:rFonts w:hint="eastAsia" w:ascii="方正小标宋简体" w:hAnsi="宋体" w:eastAsia="方正小标宋简体"/>
          <w:sz w:val="44"/>
          <w:szCs w:val="44"/>
        </w:rPr>
        <w:t>要</w:t>
      </w:r>
      <w:bookmarkEnd w:id="0"/>
    </w:p>
    <w:p w14:paraId="44C2F3B4">
      <w:pPr>
        <w:overflowPunct w:val="0"/>
        <w:spacing w:line="560" w:lineRule="exact"/>
        <w:ind w:firstLine="420" w:firstLineChars="200"/>
        <w:jc w:val="center"/>
        <w:rPr>
          <w:highlight w:val="yellow"/>
        </w:rPr>
      </w:pPr>
    </w:p>
    <w:p w14:paraId="0EBAE23F">
      <w:pPr>
        <w:pStyle w:val="40"/>
        <w:spacing w:line="560" w:lineRule="exact"/>
        <w:rPr>
          <w:rFonts w:hint="eastAsia"/>
        </w:rPr>
      </w:pPr>
      <w:bookmarkStart w:id="1" w:name="_Toc3638"/>
      <w:bookmarkStart w:id="2" w:name="_Toc18841"/>
      <w:bookmarkStart w:id="3" w:name="_Toc13873"/>
      <w:r>
        <w:rPr>
          <w:rFonts w:hint="eastAsia"/>
        </w:rPr>
        <w:t>一、项目基本情况</w:t>
      </w:r>
      <w:bookmarkEnd w:id="1"/>
      <w:bookmarkEnd w:id="2"/>
      <w:bookmarkEnd w:id="3"/>
    </w:p>
    <w:p w14:paraId="43C48B99">
      <w:pPr>
        <w:pStyle w:val="42"/>
        <w:spacing w:line="560" w:lineRule="exact"/>
        <w:rPr>
          <w:rFonts w:hint="eastAsia"/>
        </w:rPr>
      </w:pPr>
      <w:bookmarkStart w:id="4" w:name="_Toc4031"/>
      <w:bookmarkStart w:id="5" w:name="_Toc11847"/>
      <w:bookmarkStart w:id="6" w:name="_Toc30374"/>
      <w:r>
        <w:rPr>
          <w:rFonts w:hint="eastAsia"/>
        </w:rPr>
        <w:t>（一）项目立项背景及实施目的</w:t>
      </w:r>
      <w:bookmarkEnd w:id="4"/>
      <w:bookmarkEnd w:id="5"/>
      <w:bookmarkEnd w:id="6"/>
    </w:p>
    <w:p w14:paraId="317D52C6">
      <w:pPr>
        <w:pStyle w:val="47"/>
        <w:rPr>
          <w:rFonts w:hint="eastAsia"/>
        </w:rPr>
      </w:pPr>
      <w:bookmarkStart w:id="7" w:name="_Toc24239"/>
      <w:r>
        <w:rPr>
          <w:rFonts w:hint="eastAsia"/>
        </w:rPr>
        <w:t>进一步改善学院的教学、办公、生活环境，保障学院正常教学任务，科学运作，高质量完成教学培训任务，严格按照节能要求，运用高新技术保障学院生活用电、教学用电等，创造良好的学院生活环境和学习环境，为提高学校的教学质量奠定基础</w:t>
      </w:r>
      <w:r>
        <w:rPr>
          <w:rFonts w:hint="eastAsia"/>
          <w:lang w:eastAsia="zh-CN"/>
        </w:rPr>
        <w:t>，</w:t>
      </w:r>
      <w:r>
        <w:rPr>
          <w:rFonts w:hint="eastAsia"/>
          <w:lang w:val="en-US" w:eastAsia="zh-CN"/>
        </w:rPr>
        <w:t>特设立此项目</w:t>
      </w:r>
      <w:r>
        <w:rPr>
          <w:rFonts w:hint="eastAsia"/>
        </w:rPr>
        <w:t>。</w:t>
      </w:r>
    </w:p>
    <w:p w14:paraId="42422D3E">
      <w:pPr>
        <w:pStyle w:val="42"/>
        <w:rPr>
          <w:rFonts w:hint="eastAsia"/>
        </w:rPr>
      </w:pPr>
      <w:bookmarkStart w:id="8" w:name="_Toc2959"/>
      <w:bookmarkStart w:id="9" w:name="_Toc15128"/>
      <w:r>
        <w:rPr>
          <w:rFonts w:hint="eastAsia"/>
        </w:rPr>
        <w:t>（二）项目预算安排和支出情况</w:t>
      </w:r>
      <w:bookmarkEnd w:id="7"/>
      <w:bookmarkEnd w:id="8"/>
      <w:bookmarkEnd w:id="9"/>
    </w:p>
    <w:p w14:paraId="554D729A">
      <w:pPr>
        <w:pStyle w:val="47"/>
        <w:rPr>
          <w:rFonts w:hint="eastAsia"/>
        </w:rPr>
      </w:pPr>
      <w:r>
        <w:rPr>
          <w:rFonts w:hint="eastAsia"/>
        </w:rPr>
        <w:t>2023年甘肃省法官学院电费补助全年预算数60.00万元。截至2023年12月31日，电费补助项目实际支出60.00万元，预算执行率100.00%。</w:t>
      </w:r>
    </w:p>
    <w:p w14:paraId="594F9A08">
      <w:pPr>
        <w:pStyle w:val="8"/>
        <w:spacing w:line="560" w:lineRule="exact"/>
        <w:ind w:firstLine="643" w:firstLineChars="200"/>
        <w:outlineLvl w:val="1"/>
        <w:rPr>
          <w:rFonts w:hint="eastAsia" w:ascii="楷体" w:hAnsi="楷体" w:eastAsia="楷体" w:cs="楷体"/>
          <w:b/>
          <w:bCs/>
        </w:rPr>
      </w:pPr>
      <w:bookmarkStart w:id="10" w:name="_Toc6579"/>
      <w:r>
        <w:rPr>
          <w:rFonts w:hint="eastAsia" w:ascii="楷体" w:hAnsi="楷体" w:eastAsia="楷体" w:cs="楷体"/>
          <w:b/>
          <w:bCs/>
        </w:rPr>
        <w:t>（三）项目实施情况</w:t>
      </w:r>
      <w:bookmarkEnd w:id="10"/>
    </w:p>
    <w:p w14:paraId="010BB59E">
      <w:pPr>
        <w:pStyle w:val="47"/>
        <w:rPr>
          <w:rFonts w:hint="eastAsia"/>
        </w:rPr>
      </w:pPr>
      <w:bookmarkStart w:id="11" w:name="_Toc25984"/>
      <w:bookmarkStart w:id="12" w:name="_Toc26463"/>
      <w:bookmarkStart w:id="13" w:name="_Toc29824"/>
      <w:r>
        <w:rPr>
          <w:rFonts w:hint="eastAsia"/>
        </w:rPr>
        <w:t>保障了</w:t>
      </w:r>
      <w:r>
        <w:rPr>
          <w:rFonts w:hint="eastAsia"/>
          <w:lang w:val="en-US" w:eastAsia="zh-CN"/>
        </w:rPr>
        <w:t>甘肃省法官学院</w:t>
      </w:r>
      <w:r>
        <w:rPr>
          <w:rFonts w:hint="eastAsia"/>
        </w:rPr>
        <w:t>全年电力正常运转，改善了学院的教学、办公、生活环境、高质量保障了培训教学任务，创造了良好的生活和学习环境，为学院教学质量高质量发展奠定了良好的基础。</w:t>
      </w:r>
      <w:bookmarkEnd w:id="11"/>
    </w:p>
    <w:p w14:paraId="35B465D5">
      <w:pPr>
        <w:pStyle w:val="8"/>
        <w:spacing w:line="560" w:lineRule="exact"/>
        <w:ind w:firstLine="640" w:firstLineChars="200"/>
        <w:outlineLvl w:val="0"/>
        <w:rPr>
          <w:rFonts w:hint="eastAsia" w:ascii="仿宋" w:hAnsi="仿宋" w:eastAsia="仿宋" w:cs="仿宋"/>
        </w:rPr>
      </w:pPr>
      <w:bookmarkStart w:id="14" w:name="_Toc9944"/>
      <w:r>
        <w:rPr>
          <w:rFonts w:hint="eastAsia" w:ascii="黑体" w:hAnsi="黑体" w:eastAsia="黑体" w:cs="黑体"/>
        </w:rPr>
        <w:t>二、评价结论和绩效分析</w:t>
      </w:r>
      <w:bookmarkEnd w:id="12"/>
      <w:bookmarkEnd w:id="13"/>
      <w:bookmarkEnd w:id="14"/>
    </w:p>
    <w:p w14:paraId="138057C0">
      <w:pPr>
        <w:pStyle w:val="42"/>
        <w:rPr>
          <w:rFonts w:hint="eastAsia"/>
        </w:rPr>
      </w:pPr>
      <w:bookmarkStart w:id="15" w:name="_Toc11898"/>
      <w:bookmarkStart w:id="16" w:name="_Toc7748"/>
      <w:bookmarkStart w:id="17" w:name="_Toc3082"/>
      <w:r>
        <w:rPr>
          <w:rFonts w:hint="eastAsia"/>
        </w:rPr>
        <w:t>（一）综合评价结论</w:t>
      </w:r>
      <w:bookmarkEnd w:id="15"/>
      <w:bookmarkEnd w:id="16"/>
      <w:bookmarkEnd w:id="17"/>
    </w:p>
    <w:p w14:paraId="3D65804A">
      <w:pPr>
        <w:pStyle w:val="47"/>
        <w:rPr>
          <w:rFonts w:hint="eastAsia"/>
        </w:rPr>
      </w:pPr>
      <w:r>
        <w:rPr>
          <w:rFonts w:hint="eastAsia"/>
        </w:rPr>
        <w:t>评价小组根据项目实际，运用事先设置的评价指标体系及评分标准，对本次绩效评价指标体系进行适当调整，并经过数据采集、问卷调查及访谈、专家论证等，客观公正地评价，评定2023年度电费补助项目综合评价得分为</w:t>
      </w:r>
      <w:r>
        <w:rPr>
          <w:rFonts w:hint="eastAsia"/>
          <w:lang w:val="en-US" w:eastAsia="zh-CN"/>
        </w:rPr>
        <w:t>97.34</w:t>
      </w:r>
      <w:r>
        <w:rPr>
          <w:rFonts w:hint="eastAsia"/>
        </w:rPr>
        <w:t>分，评价等级为“优”。</w:t>
      </w:r>
    </w:p>
    <w:p w14:paraId="288C5095">
      <w:pPr>
        <w:pStyle w:val="8"/>
        <w:spacing w:line="560" w:lineRule="exact"/>
        <w:ind w:firstLine="643" w:firstLineChars="200"/>
        <w:outlineLvl w:val="1"/>
        <w:rPr>
          <w:rStyle w:val="44"/>
          <w:rFonts w:hint="eastAsia"/>
        </w:rPr>
      </w:pPr>
      <w:bookmarkStart w:id="18" w:name="_Toc14316"/>
      <w:bookmarkStart w:id="19" w:name="_Toc18580"/>
      <w:bookmarkStart w:id="20" w:name="_Toc24181"/>
      <w:r>
        <w:rPr>
          <w:rFonts w:hint="eastAsia" w:ascii="楷体" w:hAnsi="楷体" w:eastAsia="楷体" w:cs="楷体"/>
          <w:b/>
          <w:bCs/>
        </w:rPr>
        <w:t>（</w:t>
      </w:r>
      <w:r>
        <w:rPr>
          <w:rStyle w:val="44"/>
          <w:rFonts w:hint="eastAsia"/>
        </w:rPr>
        <w:t>二）绩效分析</w:t>
      </w:r>
      <w:bookmarkEnd w:id="18"/>
      <w:bookmarkEnd w:id="19"/>
      <w:bookmarkEnd w:id="20"/>
    </w:p>
    <w:p w14:paraId="7DC5DF07">
      <w:pPr>
        <w:pStyle w:val="47"/>
        <w:rPr>
          <w:rFonts w:hint="default" w:eastAsia="仿宋_GB2312"/>
          <w:highlight w:val="yellow"/>
          <w:lang w:val="en-US" w:eastAsia="zh-CN"/>
        </w:rPr>
      </w:pPr>
      <w:r>
        <w:rPr>
          <w:rFonts w:hint="eastAsia"/>
        </w:rPr>
        <w:t>评价认为，电费补助项目立项程序规范，依据充分，项目实施必要。在专项资金统一保障下，项目顺利开展，项目实施流程严谨，执行管理到位，资金使用效果良好。项目总体组织规范，通过项目实施，保障了学院的教学、办公、生活环境的用电，处理断电事件的安全应急工作。</w:t>
      </w:r>
      <w:r>
        <w:rPr>
          <w:rFonts w:hint="eastAsia"/>
          <w:lang w:val="en-US" w:eastAsia="zh-CN"/>
        </w:rPr>
        <w:t>但存在资金使用有待规范以及</w:t>
      </w:r>
      <w:r>
        <w:rPr>
          <w:rFonts w:hint="eastAsia" w:ascii="仿宋_GB2312" w:hAnsi="仿宋_GB2312" w:eastAsia="仿宋_GB2312" w:cs="仿宋_GB2312"/>
          <w:sz w:val="32"/>
          <w:szCs w:val="32"/>
          <w:highlight w:val="none"/>
          <w:lang w:val="en-US" w:eastAsia="zh-CN"/>
        </w:rPr>
        <w:t>制度执行</w:t>
      </w:r>
      <w:r>
        <w:rPr>
          <w:rFonts w:hint="eastAsia" w:cs="仿宋_GB2312"/>
          <w:sz w:val="32"/>
          <w:szCs w:val="32"/>
          <w:highlight w:val="none"/>
          <w:lang w:val="en-US" w:eastAsia="zh-CN"/>
        </w:rPr>
        <w:t>有待完善的问题。</w:t>
      </w:r>
    </w:p>
    <w:p w14:paraId="741C36C0">
      <w:pPr>
        <w:pStyle w:val="2"/>
        <w:keepNext w:val="0"/>
        <w:keepLines w:val="0"/>
        <w:spacing w:before="0" w:after="0" w:line="560" w:lineRule="exact"/>
        <w:ind w:firstLine="640" w:firstLineChars="200"/>
        <w:rPr>
          <w:rFonts w:hint="eastAsia" w:ascii="黑体" w:hAnsi="黑体" w:eastAsia="黑体" w:cs="黑体"/>
          <w:b w:val="0"/>
          <w:sz w:val="32"/>
          <w:szCs w:val="32"/>
        </w:rPr>
      </w:pPr>
      <w:bookmarkStart w:id="21" w:name="_Toc16038"/>
      <w:bookmarkStart w:id="22" w:name="_Toc26660"/>
      <w:bookmarkStart w:id="23" w:name="_Toc3865"/>
      <w:r>
        <w:rPr>
          <w:rFonts w:hint="eastAsia" w:ascii="黑体" w:hAnsi="黑体" w:eastAsia="黑体" w:cs="黑体"/>
          <w:b w:val="0"/>
          <w:sz w:val="32"/>
          <w:szCs w:val="32"/>
        </w:rPr>
        <w:t>三、存在问题</w:t>
      </w:r>
      <w:bookmarkEnd w:id="21"/>
      <w:bookmarkEnd w:id="22"/>
      <w:bookmarkEnd w:id="23"/>
    </w:p>
    <w:p w14:paraId="1879F95A">
      <w:pPr>
        <w:pStyle w:val="8"/>
        <w:spacing w:line="560" w:lineRule="exact"/>
        <w:ind w:firstLine="643" w:firstLineChars="200"/>
        <w:outlineLvl w:val="1"/>
        <w:rPr>
          <w:rStyle w:val="44"/>
          <w:rFonts w:hint="eastAsia" w:eastAsia="楷体"/>
          <w:lang w:val="en-US" w:eastAsia="zh-CN"/>
        </w:rPr>
      </w:pPr>
      <w:bookmarkStart w:id="24" w:name="_Toc13439"/>
      <w:bookmarkStart w:id="25" w:name="_Toc7706"/>
      <w:r>
        <w:rPr>
          <w:rFonts w:hint="eastAsia" w:ascii="楷体" w:hAnsi="楷体" w:eastAsia="楷体" w:cs="楷体"/>
          <w:b/>
          <w:bCs/>
        </w:rPr>
        <w:t>（</w:t>
      </w:r>
      <w:r>
        <w:rPr>
          <w:rStyle w:val="44"/>
          <w:rFonts w:hint="eastAsia" w:eastAsia="楷体"/>
          <w:lang w:val="en-US" w:eastAsia="zh-CN"/>
        </w:rPr>
        <w:t>一</w:t>
      </w:r>
      <w:r>
        <w:rPr>
          <w:rStyle w:val="44"/>
          <w:rFonts w:hint="eastAsia"/>
        </w:rPr>
        <w:t>）</w:t>
      </w:r>
      <w:r>
        <w:rPr>
          <w:rStyle w:val="44"/>
          <w:rFonts w:hint="eastAsia" w:eastAsia="楷体"/>
          <w:lang w:val="en-US" w:eastAsia="zh-CN"/>
        </w:rPr>
        <w:t>资金管理有待完善</w:t>
      </w:r>
    </w:p>
    <w:p w14:paraId="6A0CCC35">
      <w:pPr>
        <w:pStyle w:val="8"/>
        <w:spacing w:line="560" w:lineRule="exact"/>
        <w:ind w:firstLine="640" w:firstLineChars="200"/>
        <w:outlineLvl w:val="1"/>
        <w:rPr>
          <w:rFonts w:hint="eastAsia" w:ascii="仿宋_GB2312" w:hAnsi="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经查验</w:t>
      </w:r>
      <w:r>
        <w:rPr>
          <w:rFonts w:hint="eastAsia" w:ascii="仿宋_GB2312" w:hAnsi="仿宋_GB2312" w:cs="仿宋_GB2312"/>
          <w:kern w:val="2"/>
          <w:sz w:val="32"/>
          <w:szCs w:val="32"/>
          <w:highlight w:val="none"/>
          <w:lang w:val="en-US" w:eastAsia="zh-CN" w:bidi="ar-SA"/>
        </w:rPr>
        <w:t>甘肃省法官学院</w:t>
      </w:r>
      <w:r>
        <w:rPr>
          <w:rFonts w:hint="eastAsia" w:ascii="仿宋_GB2312" w:hAnsi="仿宋_GB2312" w:eastAsia="仿宋_GB2312" w:cs="仿宋_GB2312"/>
          <w:kern w:val="2"/>
          <w:sz w:val="32"/>
          <w:szCs w:val="32"/>
          <w:highlight w:val="none"/>
          <w:lang w:val="en-US" w:eastAsia="zh-CN" w:bidi="ar-SA"/>
        </w:rPr>
        <w:t>相关合同协议、会计凭证等资料，</w:t>
      </w:r>
      <w:r>
        <w:rPr>
          <w:rFonts w:hint="eastAsia" w:ascii="仿宋_GB2312" w:hAnsi="仿宋_GB2312" w:cs="仿宋_GB2312"/>
          <w:kern w:val="2"/>
          <w:sz w:val="32"/>
          <w:szCs w:val="32"/>
          <w:highlight w:val="none"/>
          <w:lang w:val="en-US" w:eastAsia="zh-CN" w:bidi="ar-SA"/>
        </w:rPr>
        <w:t>存在超10,000.00元以上费用支出缺失</w:t>
      </w:r>
      <w:r>
        <w:rPr>
          <w:rFonts w:hint="eastAsia" w:ascii="仿宋_GB2312" w:eastAsia="仿宋_GB2312"/>
          <w:sz w:val="32"/>
          <w:szCs w:val="32"/>
          <w:shd w:val="clear" w:color="auto" w:fill="FFFFFF"/>
        </w:rPr>
        <w:t>院务集体讨论</w:t>
      </w:r>
      <w:r>
        <w:rPr>
          <w:rFonts w:hint="eastAsia"/>
          <w:sz w:val="32"/>
          <w:szCs w:val="32"/>
          <w:shd w:val="clear" w:color="auto" w:fill="FFFFFF"/>
          <w:lang w:val="en-US" w:eastAsia="zh-CN"/>
        </w:rPr>
        <w:t>会议纪要的问题。</w:t>
      </w:r>
    </w:p>
    <w:p w14:paraId="074F465D">
      <w:pPr>
        <w:pStyle w:val="8"/>
        <w:spacing w:line="560" w:lineRule="exact"/>
        <w:ind w:firstLine="643" w:firstLineChars="200"/>
        <w:outlineLvl w:val="1"/>
        <w:rPr>
          <w:rStyle w:val="44"/>
          <w:rFonts w:hint="eastAsia" w:eastAsia="楷体"/>
          <w:lang w:val="en-US" w:eastAsia="zh-CN"/>
        </w:rPr>
      </w:pPr>
      <w:r>
        <w:rPr>
          <w:rFonts w:hint="eastAsia" w:ascii="楷体" w:hAnsi="楷体" w:eastAsia="楷体" w:cs="楷体"/>
          <w:b/>
          <w:bCs/>
        </w:rPr>
        <w:t>（</w:t>
      </w:r>
      <w:r>
        <w:rPr>
          <w:rStyle w:val="44"/>
          <w:rFonts w:hint="eastAsia" w:eastAsia="楷体"/>
          <w:lang w:val="en-US" w:eastAsia="zh-CN"/>
        </w:rPr>
        <w:t>二</w:t>
      </w:r>
      <w:r>
        <w:rPr>
          <w:rStyle w:val="44"/>
          <w:rFonts w:hint="eastAsia"/>
        </w:rPr>
        <w:t>）</w:t>
      </w:r>
      <w:r>
        <w:rPr>
          <w:rStyle w:val="44"/>
          <w:rFonts w:hint="eastAsia" w:eastAsia="楷体"/>
          <w:lang w:val="en-US" w:eastAsia="zh-CN"/>
        </w:rPr>
        <w:t>组织实施有待完善</w:t>
      </w:r>
    </w:p>
    <w:p w14:paraId="6151F35E">
      <w:pPr>
        <w:pStyle w:val="8"/>
        <w:spacing w:line="560" w:lineRule="exact"/>
        <w:ind w:firstLine="640" w:firstLineChars="200"/>
        <w:outlineLvl w:val="1"/>
        <w:rPr>
          <w:rFonts w:hint="default"/>
          <w:lang w:val="en-US" w:eastAsia="zh-CN"/>
        </w:rPr>
      </w:pPr>
      <w:r>
        <w:rPr>
          <w:rFonts w:hint="eastAsia" w:ascii="仿宋_GB2312" w:hAnsi="仿宋_GB2312" w:eastAsia="仿宋_GB2312" w:cs="仿宋_GB2312"/>
          <w:kern w:val="2"/>
          <w:sz w:val="32"/>
          <w:szCs w:val="32"/>
          <w:highlight w:val="none"/>
          <w:lang w:val="en-US" w:eastAsia="zh-CN" w:bidi="ar-SA"/>
        </w:rPr>
        <w:t>经查验</w:t>
      </w:r>
      <w:r>
        <w:rPr>
          <w:rFonts w:hint="eastAsia" w:ascii="仿宋_GB2312" w:hAnsi="仿宋_GB2312" w:cs="仿宋_GB2312"/>
          <w:kern w:val="2"/>
          <w:sz w:val="32"/>
          <w:szCs w:val="32"/>
          <w:highlight w:val="none"/>
          <w:lang w:val="en-US" w:eastAsia="zh-CN" w:bidi="ar-SA"/>
        </w:rPr>
        <w:t>甘肃省法官学院</w:t>
      </w:r>
      <w:r>
        <w:rPr>
          <w:rFonts w:hint="eastAsia" w:ascii="仿宋_GB2312" w:hAnsi="仿宋_GB2312" w:eastAsia="仿宋_GB2312" w:cs="仿宋_GB2312"/>
          <w:kern w:val="2"/>
          <w:sz w:val="32"/>
          <w:szCs w:val="32"/>
          <w:highlight w:val="none"/>
          <w:lang w:val="en-US" w:eastAsia="zh-CN" w:bidi="ar-SA"/>
        </w:rPr>
        <w:t>相关合同协议、会计凭证等资料，存在</w:t>
      </w:r>
      <w:r>
        <w:rPr>
          <w:rFonts w:hint="eastAsia" w:ascii="仿宋_GB2312" w:hAnsi="仿宋_GB2312" w:cs="仿宋_GB2312"/>
          <w:kern w:val="2"/>
          <w:sz w:val="32"/>
          <w:szCs w:val="32"/>
          <w:highlight w:val="none"/>
          <w:lang w:val="en-US" w:eastAsia="zh-CN" w:bidi="ar-SA"/>
        </w:rPr>
        <w:t>支出经费审批不规范的问题</w:t>
      </w:r>
      <w:r>
        <w:rPr>
          <w:rFonts w:hint="eastAsia"/>
          <w:sz w:val="32"/>
          <w:szCs w:val="32"/>
          <w:shd w:val="clear" w:color="auto" w:fill="FFFFFF"/>
          <w:lang w:val="en-US" w:eastAsia="zh-CN"/>
        </w:rPr>
        <w:t>。</w:t>
      </w:r>
    </w:p>
    <w:p w14:paraId="0CA70A9E">
      <w:pPr>
        <w:pStyle w:val="2"/>
        <w:keepNext w:val="0"/>
        <w:keepLines w:val="0"/>
        <w:numPr>
          <w:ilvl w:val="0"/>
          <w:numId w:val="0"/>
        </w:numPr>
        <w:spacing w:before="0" w:after="0" w:line="560" w:lineRule="exact"/>
        <w:ind w:firstLine="640" w:firstLineChars="200"/>
        <w:rPr>
          <w:rFonts w:hint="eastAsia" w:ascii="黑体" w:hAnsi="黑体" w:eastAsia="黑体" w:cs="黑体"/>
          <w:b w:val="0"/>
          <w:sz w:val="32"/>
          <w:szCs w:val="32"/>
        </w:rPr>
      </w:pPr>
      <w:r>
        <w:rPr>
          <w:rFonts w:hint="eastAsia" w:ascii="黑体" w:hAnsi="黑体" w:eastAsia="黑体" w:cs="黑体"/>
          <w:b w:val="0"/>
          <w:bCs/>
          <w:kern w:val="44"/>
          <w:sz w:val="32"/>
          <w:szCs w:val="32"/>
          <w:lang w:val="en-US" w:eastAsia="zh-CN" w:bidi="ar-SA"/>
        </w:rPr>
        <w:t>四、</w:t>
      </w:r>
      <w:r>
        <w:rPr>
          <w:rFonts w:hint="eastAsia" w:ascii="黑体" w:hAnsi="黑体" w:eastAsia="黑体" w:cs="黑体"/>
          <w:b w:val="0"/>
          <w:sz w:val="32"/>
          <w:szCs w:val="32"/>
        </w:rPr>
        <w:t>有关建议</w:t>
      </w:r>
      <w:bookmarkEnd w:id="24"/>
      <w:bookmarkEnd w:id="25"/>
    </w:p>
    <w:p w14:paraId="31385F05">
      <w:pPr>
        <w:overflowPunct w:val="0"/>
        <w:spacing w:line="560" w:lineRule="exact"/>
        <w:ind w:firstLine="643" w:firstLineChars="200"/>
        <w:outlineLvl w:val="1"/>
        <w:rPr>
          <w:rStyle w:val="31"/>
          <w:rFonts w:hint="eastAsia" w:ascii="楷体" w:hAnsi="楷体" w:eastAsia="楷体" w:cs="楷体"/>
          <w:b/>
          <w:bCs w:val="0"/>
          <w:szCs w:val="32"/>
          <w:lang w:eastAsia="zh-CN"/>
        </w:rPr>
      </w:pPr>
      <w:r>
        <w:rPr>
          <w:rStyle w:val="31"/>
          <w:rFonts w:hint="eastAsia" w:ascii="楷体" w:hAnsi="楷体" w:eastAsia="楷体" w:cs="楷体"/>
          <w:b/>
          <w:bCs w:val="0"/>
          <w:szCs w:val="32"/>
          <w:lang w:eastAsia="zh-CN"/>
        </w:rPr>
        <w:t>（</w:t>
      </w:r>
      <w:r>
        <w:rPr>
          <w:rStyle w:val="31"/>
          <w:rFonts w:hint="eastAsia" w:ascii="楷体" w:hAnsi="楷体" w:eastAsia="楷体" w:cs="楷体"/>
          <w:b/>
          <w:bCs w:val="0"/>
          <w:szCs w:val="32"/>
          <w:lang w:val="en-US" w:eastAsia="zh-CN"/>
        </w:rPr>
        <w:t>一</w:t>
      </w:r>
      <w:r>
        <w:rPr>
          <w:rStyle w:val="31"/>
          <w:rFonts w:hint="eastAsia" w:ascii="楷体" w:hAnsi="楷体" w:eastAsia="楷体" w:cs="楷体"/>
          <w:b/>
          <w:bCs w:val="0"/>
          <w:szCs w:val="32"/>
          <w:lang w:eastAsia="zh-CN"/>
        </w:rPr>
        <w:t>）加强</w:t>
      </w:r>
      <w:r>
        <w:rPr>
          <w:rStyle w:val="31"/>
          <w:rFonts w:hint="eastAsia" w:ascii="楷体" w:hAnsi="楷体" w:eastAsia="楷体" w:cs="楷体"/>
          <w:b/>
          <w:bCs w:val="0"/>
          <w:szCs w:val="32"/>
          <w:lang w:val="en-US" w:eastAsia="zh-CN"/>
        </w:rPr>
        <w:t>专项资金</w:t>
      </w:r>
      <w:r>
        <w:rPr>
          <w:rStyle w:val="31"/>
          <w:rFonts w:hint="eastAsia" w:ascii="楷体" w:hAnsi="楷体" w:eastAsia="楷体" w:cs="楷体"/>
          <w:b/>
          <w:bCs w:val="0"/>
          <w:szCs w:val="32"/>
          <w:lang w:eastAsia="zh-CN"/>
        </w:rPr>
        <w:t>管理，提高资金使用效益</w:t>
      </w:r>
    </w:p>
    <w:p w14:paraId="0C55ECA6">
      <w:pPr>
        <w:overflowPunct w:val="0"/>
        <w:spacing w:line="560" w:lineRule="exact"/>
        <w:ind w:firstLine="640" w:firstLineChars="200"/>
        <w:outlineLvl w:val="1"/>
        <w:rPr>
          <w:rStyle w:val="31"/>
          <w:rFonts w:hint="eastAsia" w:ascii="楷体" w:hAnsi="楷体" w:eastAsia="仿宋_GB2312" w:cs="楷体"/>
          <w:b w:val="0"/>
          <w:bCs/>
          <w:szCs w:val="32"/>
          <w:lang w:eastAsia="zh-CN"/>
        </w:rPr>
      </w:pPr>
      <w:r>
        <w:rPr>
          <w:rStyle w:val="31"/>
          <w:rFonts w:hint="eastAsia" w:ascii="楷体" w:hAnsi="楷体" w:eastAsia="仿宋_GB2312" w:cs="楷体"/>
          <w:b w:val="0"/>
          <w:bCs/>
          <w:szCs w:val="32"/>
          <w:lang w:eastAsia="zh-CN"/>
        </w:rPr>
        <w:t>一是要细化具体内容。结合单位实际和发展需要补充完善现行“三重一大”制度上的疏漏和不足，细化该制度的具体程序和操作流程，注重“三重一大”制度的针对性、操作性，避免流于形式。二是增强领导班子成员集体决策意识，严格决策程序，并注重档案的收集完整和保管。</w:t>
      </w:r>
      <w:r>
        <w:rPr>
          <w:rStyle w:val="31"/>
          <w:rFonts w:hint="eastAsia" w:ascii="楷体" w:hAnsi="楷体" w:eastAsia="仿宋_GB2312" w:cs="楷体"/>
          <w:b w:val="0"/>
          <w:bCs/>
          <w:szCs w:val="32"/>
          <w:lang w:val="en-US" w:eastAsia="zh-CN"/>
        </w:rPr>
        <w:t>三是</w:t>
      </w:r>
      <w:r>
        <w:rPr>
          <w:rStyle w:val="31"/>
          <w:rFonts w:hint="eastAsia" w:ascii="楷体" w:hAnsi="楷体" w:eastAsia="仿宋_GB2312" w:cs="楷体"/>
          <w:b w:val="0"/>
          <w:bCs/>
          <w:szCs w:val="32"/>
          <w:lang w:eastAsia="zh-CN"/>
        </w:rPr>
        <w:t>审计、财务等部门，也要以“主动参与，源头把握”为工作思路，做好对“三重一大”事项制度落实的全过程监督。</w:t>
      </w:r>
    </w:p>
    <w:p w14:paraId="55AB171E">
      <w:pPr>
        <w:overflowPunct w:val="0"/>
        <w:spacing w:line="560" w:lineRule="exact"/>
        <w:ind w:firstLine="643" w:firstLineChars="200"/>
        <w:outlineLvl w:val="1"/>
        <w:rPr>
          <w:rStyle w:val="31"/>
          <w:rFonts w:hint="default" w:ascii="楷体" w:hAnsi="楷体" w:eastAsia="楷体" w:cs="楷体"/>
          <w:b/>
          <w:bCs w:val="0"/>
          <w:szCs w:val="32"/>
          <w:lang w:val="en-US" w:eastAsia="zh-CN"/>
        </w:rPr>
      </w:pPr>
      <w:r>
        <w:rPr>
          <w:rStyle w:val="31"/>
          <w:rFonts w:hint="eastAsia" w:ascii="楷体" w:hAnsi="楷体" w:eastAsia="楷体" w:cs="楷体"/>
          <w:b/>
          <w:bCs w:val="0"/>
          <w:szCs w:val="32"/>
          <w:lang w:val="en-US" w:eastAsia="zh-CN"/>
        </w:rPr>
        <w:t>（二）加强经费报销的审核监督，确保审批程序规范</w:t>
      </w:r>
    </w:p>
    <w:p w14:paraId="70400108">
      <w:pPr>
        <w:overflowPunct w:val="0"/>
        <w:spacing w:line="560" w:lineRule="exact"/>
        <w:ind w:firstLine="640" w:firstLineChars="200"/>
        <w:outlineLvl w:val="1"/>
        <w:rPr>
          <w:rStyle w:val="31"/>
          <w:rFonts w:hint="eastAsia" w:ascii="楷体" w:hAnsi="楷体" w:eastAsia="仿宋_GB2312" w:cs="楷体"/>
          <w:b w:val="0"/>
          <w:bCs/>
          <w:szCs w:val="32"/>
        </w:rPr>
      </w:pPr>
      <w:r>
        <w:rPr>
          <w:rStyle w:val="31"/>
          <w:rFonts w:hint="eastAsia" w:ascii="楷体" w:hAnsi="楷体" w:eastAsia="仿宋_GB2312" w:cs="楷体"/>
          <w:b w:val="0"/>
          <w:bCs/>
          <w:szCs w:val="32"/>
        </w:rPr>
        <w:t>加强经费报销的审核监督，确保审批程序规范，会计人员应对原始凭证进行审核和监督，不得受理不真实、不合法的原始凭证；对弄虚作假严重违法的原始凭证应予以扣留，并及时向负责人报告；应退回记载不明确、不完整的原始凭证，并要求经办人员更正补充。</w:t>
      </w:r>
    </w:p>
    <w:p w14:paraId="15CAB60C">
      <w:pPr>
        <w:pStyle w:val="2"/>
        <w:keepNext w:val="0"/>
        <w:keepLines w:val="0"/>
        <w:numPr>
          <w:ilvl w:val="0"/>
          <w:numId w:val="0"/>
        </w:numPr>
        <w:spacing w:before="0" w:after="0" w:line="560" w:lineRule="exact"/>
        <w:ind w:firstLine="640" w:firstLineChars="200"/>
        <w:rPr>
          <w:rFonts w:hint="eastAsia" w:ascii="黑体" w:hAnsi="黑体" w:eastAsia="黑体" w:cs="黑体"/>
          <w:b w:val="0"/>
          <w:sz w:val="32"/>
          <w:szCs w:val="32"/>
        </w:rPr>
      </w:pPr>
    </w:p>
    <w:p w14:paraId="49B01C0B">
      <w:pPr>
        <w:numPr>
          <w:numId w:val="0"/>
        </w:numPr>
        <w:rPr>
          <w:rFonts w:hint="eastAsia"/>
        </w:rPr>
      </w:pPr>
    </w:p>
    <w:p w14:paraId="483DAB93">
      <w:pPr>
        <w:pStyle w:val="8"/>
        <w:overflowPunct w:val="0"/>
        <w:spacing w:line="560" w:lineRule="exact"/>
        <w:ind w:firstLine="640" w:firstLineChars="200"/>
        <w:rPr>
          <w:rFonts w:hint="eastAsia" w:ascii="仿宋_GB2312" w:hAnsi="仿宋_GB2312" w:cs="仿宋_GB2312"/>
        </w:rPr>
      </w:pPr>
      <w:bookmarkStart w:id="26" w:name="_Toc1784"/>
      <w:bookmarkStart w:id="27" w:name="_Toc2283"/>
    </w:p>
    <w:p w14:paraId="1BD006FA">
      <w:pPr>
        <w:overflowPunct w:val="0"/>
        <w:spacing w:line="560" w:lineRule="exact"/>
        <w:jc w:val="center"/>
        <w:rPr>
          <w:rFonts w:hint="eastAsia" w:ascii="方正小标宋简体" w:hAnsi="宋体" w:eastAsia="方正小标宋简体"/>
          <w:sz w:val="44"/>
          <w:szCs w:val="44"/>
          <w:highlight w:val="yellow"/>
        </w:rPr>
        <w:sectPr>
          <w:headerReference r:id="rId9" w:type="first"/>
          <w:footerReference r:id="rId11" w:type="first"/>
          <w:footerReference r:id="rId10" w:type="default"/>
          <w:pgSz w:w="11906" w:h="16838"/>
          <w:pgMar w:top="1440" w:right="1803" w:bottom="1440" w:left="1633" w:header="851" w:footer="992" w:gutter="0"/>
          <w:pgNumType w:start="1"/>
          <w:cols w:space="0" w:num="1"/>
          <w:titlePg/>
          <w:docGrid w:type="lines" w:linePitch="312" w:charSpace="0"/>
        </w:sectPr>
      </w:pPr>
    </w:p>
    <w:p w14:paraId="6229D6B2">
      <w:pPr>
        <w:overflowPunct w:val="0"/>
        <w:spacing w:line="560" w:lineRule="exact"/>
        <w:jc w:val="center"/>
        <w:outlineLvl w:val="0"/>
        <w:rPr>
          <w:rFonts w:hint="eastAsia" w:ascii="方正小标宋简体" w:hAnsi="宋体" w:eastAsia="方正小标宋简体"/>
          <w:sz w:val="44"/>
          <w:szCs w:val="44"/>
        </w:rPr>
      </w:pPr>
      <w:bookmarkStart w:id="28" w:name="_Toc2289"/>
      <w:bookmarkStart w:id="29" w:name="_Toc24182"/>
      <w:r>
        <w:rPr>
          <w:rFonts w:hint="eastAsia" w:ascii="方正小标宋简体" w:hAnsi="宋体" w:eastAsia="方正小标宋简体"/>
          <w:sz w:val="44"/>
          <w:szCs w:val="44"/>
        </w:rPr>
        <w:t>2023年度甘肃省高级人民法院重点项目</w:t>
      </w:r>
      <w:bookmarkEnd w:id="28"/>
      <w:bookmarkEnd w:id="29"/>
    </w:p>
    <w:p w14:paraId="08FD6EAD">
      <w:pPr>
        <w:overflowPunct w:val="0"/>
        <w:spacing w:line="560" w:lineRule="exact"/>
        <w:jc w:val="center"/>
        <w:outlineLvl w:val="0"/>
        <w:rPr>
          <w:rFonts w:hint="eastAsia" w:ascii="方正小标宋简体" w:hAnsi="宋体" w:eastAsia="方正小标宋简体"/>
          <w:sz w:val="44"/>
          <w:szCs w:val="44"/>
        </w:rPr>
      </w:pPr>
      <w:bookmarkStart w:id="30" w:name="_Toc7337"/>
      <w:bookmarkStart w:id="31" w:name="_Toc13050"/>
      <w:bookmarkStart w:id="32" w:name="_Toc31482"/>
      <w:r>
        <w:rPr>
          <w:rFonts w:hint="eastAsia" w:ascii="方正小标宋简体" w:hAnsi="宋体" w:eastAsia="方正小标宋简体"/>
          <w:sz w:val="44"/>
          <w:szCs w:val="44"/>
        </w:rPr>
        <w:t>—</w:t>
      </w:r>
      <w:bookmarkStart w:id="33" w:name="_Toc13609"/>
      <w:r>
        <w:rPr>
          <w:rFonts w:hint="eastAsia" w:ascii="方正小标宋简体" w:hAnsi="宋体" w:eastAsia="方正小标宋简体"/>
          <w:sz w:val="44"/>
          <w:szCs w:val="44"/>
        </w:rPr>
        <w:t>电费补助绩效评价报告</w:t>
      </w:r>
      <w:bookmarkEnd w:id="30"/>
      <w:bookmarkEnd w:id="31"/>
      <w:bookmarkEnd w:id="32"/>
      <w:bookmarkEnd w:id="33"/>
    </w:p>
    <w:p w14:paraId="1E7E5C68">
      <w:pPr>
        <w:pStyle w:val="8"/>
        <w:overflowPunct w:val="0"/>
        <w:spacing w:before="156" w:beforeLines="50" w:after="156" w:afterLines="50" w:line="560" w:lineRule="exact"/>
        <w:ind w:firstLine="560" w:firstLineChars="200"/>
        <w:jc w:val="right"/>
        <w:outlineLvl w:val="0"/>
        <w:rPr>
          <w:rFonts w:ascii="黑体" w:eastAsia="黑体"/>
          <w:sz w:val="28"/>
          <w:szCs w:val="28"/>
        </w:rPr>
      </w:pPr>
      <w:bookmarkStart w:id="34" w:name="_Toc11834"/>
      <w:bookmarkStart w:id="35" w:name="_Toc26720"/>
      <w:bookmarkStart w:id="36" w:name="_Toc9789"/>
      <w:bookmarkStart w:id="37" w:name="_Toc20544"/>
      <w:bookmarkStart w:id="38" w:name="_Toc23461"/>
      <w:bookmarkStart w:id="39" w:name="_Toc18839"/>
      <w:bookmarkStart w:id="40" w:name="_Toc13825"/>
      <w:bookmarkStart w:id="41" w:name="_Toc28166"/>
      <w:r>
        <w:rPr>
          <w:rFonts w:hint="eastAsia" w:ascii="楷体" w:hAnsi="楷体" w:eastAsia="楷体" w:cs="楷体"/>
          <w:sz w:val="28"/>
          <w:szCs w:val="28"/>
        </w:rPr>
        <w:t>甘卓诚咨字【2024】第198号</w:t>
      </w:r>
      <w:bookmarkEnd w:id="34"/>
      <w:bookmarkEnd w:id="35"/>
      <w:bookmarkEnd w:id="36"/>
      <w:bookmarkEnd w:id="37"/>
      <w:bookmarkEnd w:id="38"/>
      <w:bookmarkEnd w:id="39"/>
      <w:bookmarkEnd w:id="40"/>
    </w:p>
    <w:p w14:paraId="3FBCF507">
      <w:pPr>
        <w:pStyle w:val="40"/>
      </w:pPr>
      <w:bookmarkStart w:id="42" w:name="_Toc22194"/>
      <w:r>
        <w:rPr>
          <w:rFonts w:hint="eastAsia"/>
        </w:rPr>
        <w:t>一、项目基本情况</w:t>
      </w:r>
      <w:bookmarkEnd w:id="26"/>
      <w:bookmarkEnd w:id="27"/>
      <w:bookmarkEnd w:id="41"/>
      <w:bookmarkEnd w:id="42"/>
    </w:p>
    <w:p w14:paraId="131EB98B">
      <w:pPr>
        <w:pStyle w:val="42"/>
        <w:rPr>
          <w:rFonts w:hint="eastAsia"/>
        </w:rPr>
      </w:pPr>
      <w:bookmarkStart w:id="43" w:name="_Toc21843"/>
      <w:bookmarkStart w:id="44" w:name="_Toc11404"/>
      <w:bookmarkStart w:id="45" w:name="_Toc3920"/>
      <w:r>
        <w:rPr>
          <w:rFonts w:hint="eastAsia"/>
        </w:rPr>
        <w:t>（一）项目立项背景</w:t>
      </w:r>
      <w:bookmarkEnd w:id="43"/>
      <w:bookmarkEnd w:id="44"/>
      <w:bookmarkEnd w:id="45"/>
    </w:p>
    <w:p w14:paraId="6FFAE28D">
      <w:pPr>
        <w:pStyle w:val="47"/>
        <w:rPr>
          <w:rFonts w:hint="eastAsia"/>
        </w:rPr>
      </w:pPr>
      <w:bookmarkStart w:id="46" w:name="_Toc10699"/>
      <w:bookmarkStart w:id="47" w:name="_Toc27159"/>
      <w:r>
        <w:rPr>
          <w:rFonts w:hint="eastAsia"/>
        </w:rPr>
        <w:t>进一步改善学院的教学、办公、生活环境，保障学院正常教学任务，科学运作，高质量完成教学培训任务，严格按照节能要求，运用高新技术保障学院生活用电、教学用电等，创造良好的学院生活环境和学习环境，为提高学校的教学质量奠定基础</w:t>
      </w:r>
      <w:r>
        <w:rPr>
          <w:rFonts w:hint="eastAsia"/>
          <w:lang w:eastAsia="zh-CN"/>
        </w:rPr>
        <w:t>，</w:t>
      </w:r>
      <w:r>
        <w:rPr>
          <w:rFonts w:hint="eastAsia"/>
          <w:lang w:val="en-US" w:eastAsia="zh-CN"/>
        </w:rPr>
        <w:t>特设立此项目</w:t>
      </w:r>
      <w:r>
        <w:rPr>
          <w:rFonts w:hint="eastAsia"/>
        </w:rPr>
        <w:t>。</w:t>
      </w:r>
    </w:p>
    <w:p w14:paraId="23767965">
      <w:pPr>
        <w:pStyle w:val="42"/>
        <w:rPr>
          <w:rFonts w:hint="eastAsia"/>
        </w:rPr>
      </w:pPr>
      <w:bookmarkStart w:id="48" w:name="_Toc3408"/>
      <w:r>
        <w:rPr>
          <w:rFonts w:hint="eastAsia"/>
        </w:rPr>
        <w:t>（二）项目预算安排及使用情况</w:t>
      </w:r>
      <w:bookmarkEnd w:id="46"/>
      <w:bookmarkEnd w:id="47"/>
      <w:bookmarkEnd w:id="48"/>
    </w:p>
    <w:p w14:paraId="2712C95D">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1.预算安排情况</w:t>
      </w:r>
    </w:p>
    <w:p w14:paraId="599511D9">
      <w:pPr>
        <w:pStyle w:val="8"/>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电费补助项目资金</w:t>
      </w:r>
      <w:r>
        <w:rPr>
          <w:rStyle w:val="48"/>
          <w:rFonts w:hint="eastAsia"/>
        </w:rPr>
        <w:t>主要用于高新能源水源热泵设备，学员宿舍、办公楼、热冷空调等费用支出</w:t>
      </w:r>
      <w:r>
        <w:rPr>
          <w:rFonts w:hint="eastAsia" w:ascii="仿宋_GB2312" w:hAnsi="仿宋_GB2312" w:cs="仿宋_GB2312"/>
        </w:rPr>
        <w:t>。根据甘肃省高级人民法院2023年度预算安排，该项目全年预算资金60.00万元。</w:t>
      </w:r>
    </w:p>
    <w:p w14:paraId="03D00543">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2.资金使用情况</w:t>
      </w:r>
    </w:p>
    <w:p w14:paraId="17B65F49">
      <w:pPr>
        <w:pStyle w:val="47"/>
        <w:rPr>
          <w:rFonts w:hint="eastAsia"/>
        </w:rPr>
      </w:pPr>
      <w:r>
        <w:rPr>
          <w:rFonts w:hint="eastAsia"/>
        </w:rPr>
        <w:t>截至2023年12月31日，电费补助项目实际支出60.00万元，预算执行率100.00%。</w:t>
      </w:r>
    </w:p>
    <w:p w14:paraId="76E49F7F">
      <w:pPr>
        <w:pStyle w:val="42"/>
        <w:rPr>
          <w:rFonts w:hint="eastAsia"/>
        </w:rPr>
      </w:pPr>
      <w:bookmarkStart w:id="49" w:name="_Toc32586"/>
      <w:bookmarkStart w:id="50" w:name="_Toc15106"/>
      <w:bookmarkStart w:id="51" w:name="_Toc27702"/>
      <w:r>
        <w:rPr>
          <w:rFonts w:hint="eastAsia"/>
        </w:rPr>
        <w:t>（三）项目计划内容及实施情况</w:t>
      </w:r>
      <w:bookmarkEnd w:id="49"/>
      <w:bookmarkEnd w:id="50"/>
      <w:bookmarkEnd w:id="51"/>
    </w:p>
    <w:p w14:paraId="0C2330EA">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1.项目计划内容</w:t>
      </w:r>
    </w:p>
    <w:p w14:paraId="6EFD44F4">
      <w:pPr>
        <w:pStyle w:val="47"/>
        <w:rPr>
          <w:rFonts w:hint="eastAsia"/>
        </w:rPr>
      </w:pPr>
      <w:r>
        <w:rPr>
          <w:rFonts w:hint="eastAsia"/>
        </w:rPr>
        <w:t>严格执行财务管理制度，按季度按时缴纳电费，确保缴纳流程合法合规，若发生断电等突发事件，由安全应急处置工作领导小组统一指挥、处理断电事件的安全应急工作。</w:t>
      </w:r>
    </w:p>
    <w:p w14:paraId="2EFA1677">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2.项目实施情况</w:t>
      </w:r>
    </w:p>
    <w:p w14:paraId="6FEC7383">
      <w:pPr>
        <w:pStyle w:val="47"/>
        <w:rPr>
          <w:rFonts w:hint="eastAsia"/>
        </w:rPr>
      </w:pPr>
      <w:bookmarkStart w:id="52" w:name="_Toc4999"/>
      <w:bookmarkStart w:id="53" w:name="_Toc25356"/>
      <w:bookmarkStart w:id="54" w:name="_Toc4490"/>
      <w:r>
        <w:rPr>
          <w:rFonts w:hint="eastAsia"/>
        </w:rPr>
        <w:t>保障了甘肃省法官学院全年电力正常运转，改善了学院的教学、办公、生活环境、高质量保障了培训教学任务，创造了良好的生活和学习环境，为学院教学质量高质量发展奠定了良好的基础。</w:t>
      </w:r>
      <w:bookmarkEnd w:id="52"/>
    </w:p>
    <w:p w14:paraId="528DFFE7">
      <w:pPr>
        <w:pStyle w:val="42"/>
        <w:rPr>
          <w:rFonts w:hint="eastAsia"/>
        </w:rPr>
      </w:pPr>
      <w:bookmarkStart w:id="55" w:name="_Toc9591"/>
      <w:r>
        <w:rPr>
          <w:rFonts w:hint="eastAsia"/>
        </w:rPr>
        <w:t>（四）项目组织管理</w:t>
      </w:r>
      <w:bookmarkEnd w:id="53"/>
      <w:bookmarkEnd w:id="54"/>
      <w:bookmarkEnd w:id="55"/>
    </w:p>
    <w:p w14:paraId="23A56931">
      <w:pPr>
        <w:pStyle w:val="8"/>
        <w:overflowPunct w:val="0"/>
        <w:spacing w:line="560" w:lineRule="exact"/>
        <w:ind w:firstLine="643" w:firstLineChars="200"/>
        <w:rPr>
          <w:rFonts w:hint="eastAsia" w:ascii="仿宋_GB2312" w:hAnsi="仿宋_GB2312" w:cs="仿宋_GB2312"/>
          <w:b/>
          <w:bCs/>
        </w:rPr>
      </w:pPr>
      <w:r>
        <w:rPr>
          <w:rFonts w:hint="eastAsia" w:ascii="仿宋_GB2312" w:hAnsi="仿宋_GB2312" w:cs="仿宋_GB2312"/>
          <w:b/>
          <w:bCs/>
        </w:rPr>
        <w:t>1.项目组织流程</w:t>
      </w:r>
    </w:p>
    <w:p w14:paraId="2BD011EA">
      <w:pPr>
        <w:pStyle w:val="47"/>
        <w:rPr>
          <w:rFonts w:hint="eastAsia"/>
        </w:rPr>
      </w:pPr>
      <w:r>
        <w:rPr>
          <w:rFonts w:hint="eastAsia"/>
        </w:rPr>
        <w:t>预算资金拨付单位：甘肃省财政厅是本项目预算资金的拨付单位，负责项目预算的审核批复，保证电费补助项目资金及时、足额拨付到位。</w:t>
      </w:r>
    </w:p>
    <w:p w14:paraId="6153929C">
      <w:pPr>
        <w:pStyle w:val="47"/>
        <w:rPr>
          <w:rFonts w:hint="eastAsia"/>
          <w:highlight w:val="yellow"/>
        </w:rPr>
      </w:pPr>
      <w:r>
        <w:rPr>
          <w:rFonts w:hint="eastAsia"/>
        </w:rPr>
        <w:t>项目主管部门：甘肃省高级人民法院是本项目的主管部门，负责开展监督管理和绩效考评等工作，并对资金分配和使用的全过程进行监督、检查、评估、考核及奖惩，保证资金有效使用等。</w:t>
      </w:r>
    </w:p>
    <w:p w14:paraId="1AEDA3D9">
      <w:pPr>
        <w:pStyle w:val="47"/>
        <w:rPr>
          <w:rFonts w:hint="eastAsia"/>
        </w:rPr>
      </w:pPr>
      <w:r>
        <w:rPr>
          <w:rFonts w:hint="eastAsia"/>
        </w:rPr>
        <w:t>预算执行单位：甘肃省法官学院负责及时缴纳电费，保障全年电力正常运转，提高教育、生活用电环境。</w:t>
      </w:r>
    </w:p>
    <w:p w14:paraId="19E2CAF2">
      <w:pPr>
        <w:pStyle w:val="8"/>
        <w:overflowPunct w:val="0"/>
        <w:spacing w:line="560" w:lineRule="exact"/>
        <w:ind w:firstLine="643" w:firstLineChars="200"/>
        <w:rPr>
          <w:rFonts w:hint="eastAsia" w:ascii="仿宋_GB2312" w:hAnsi="仿宋_GB2312" w:cs="仿宋_GB2312"/>
          <w:b/>
          <w:bCs/>
        </w:rPr>
      </w:pPr>
      <w:r>
        <w:rPr>
          <w:rFonts w:hint="eastAsia" w:ascii="仿宋_GB2312" w:hAnsi="仿宋_GB2312" w:cs="仿宋_GB2312"/>
          <w:b/>
          <w:bCs/>
        </w:rPr>
        <w:t>2.项目实施流程</w:t>
      </w:r>
    </w:p>
    <w:p w14:paraId="03093A00">
      <w:pPr>
        <w:pStyle w:val="47"/>
        <w:rPr>
          <w:rFonts w:hint="eastAsia"/>
        </w:rPr>
      </w:pPr>
      <w:r>
        <w:rPr>
          <w:rFonts w:hint="eastAsia"/>
        </w:rPr>
        <w:t>电费补助项目</w:t>
      </w:r>
      <w:r>
        <w:t>的实施大体分为制定年度工作计划、项目执行和资金支付三个阶段。</w:t>
      </w:r>
    </w:p>
    <w:p w14:paraId="1CD89162">
      <w:pPr>
        <w:pStyle w:val="47"/>
        <w:rPr>
          <w:rFonts w:hint="eastAsia"/>
        </w:rPr>
      </w:pPr>
      <w:r>
        <w:rPr>
          <w:rFonts w:hint="eastAsia"/>
        </w:rPr>
        <w:t>（1）</w:t>
      </w:r>
      <w:r>
        <w:t>制定年度工作计划。预算执行</w:t>
      </w:r>
      <w:r>
        <w:rPr>
          <w:rFonts w:hint="eastAsia"/>
        </w:rPr>
        <w:t>部门</w:t>
      </w:r>
      <w:r>
        <w:t>制定年度工作计划，编制项目预算和绩效目标。在编制下一年度项目预算之前，首先制定下一年度的</w:t>
      </w:r>
      <w:r>
        <w:rPr>
          <w:rFonts w:hint="eastAsia"/>
        </w:rPr>
        <w:t>电费补助</w:t>
      </w:r>
      <w:r>
        <w:t>相关工作及相应的资金使用计划，在初步明确下一年度工作计划和资金使用计划的基础上，依据工作计划和资金使用计划、有关年度预算编制要求以及往年项目预算和经费支出情况合理测算和编制项目经费预算和绩效目标，经审核通过后报</w:t>
      </w:r>
      <w:r>
        <w:rPr>
          <w:rFonts w:hint="eastAsia"/>
        </w:rPr>
        <w:t>甘肃</w:t>
      </w:r>
      <w:r>
        <w:t>省财政厅审批，</w:t>
      </w:r>
      <w:r>
        <w:rPr>
          <w:rFonts w:hint="eastAsia"/>
        </w:rPr>
        <w:t>甘肃</w:t>
      </w:r>
      <w:r>
        <w:t>省财政厅按规定程序批复下达项目预算</w:t>
      </w:r>
      <w:r>
        <w:rPr>
          <w:rFonts w:hint="eastAsia"/>
        </w:rPr>
        <w:t>。</w:t>
      </w:r>
    </w:p>
    <w:p w14:paraId="3767C392">
      <w:pPr>
        <w:pStyle w:val="8"/>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（2）</w:t>
      </w:r>
      <w:r>
        <w:rPr>
          <w:rFonts w:ascii="仿宋_GB2312" w:hAnsi="仿宋_GB2312" w:cs="仿宋_GB2312"/>
        </w:rPr>
        <w:t>项目执行。项目预算和绩效目标批复下达以后</w:t>
      </w:r>
      <w:r>
        <w:rPr>
          <w:rFonts w:hint="eastAsia" w:ascii="仿宋_GB2312" w:hAnsi="仿宋_GB2312" w:cs="仿宋_GB2312"/>
          <w:lang w:eastAsia="zh-CN"/>
        </w:rPr>
        <w:t>，</w:t>
      </w:r>
      <w:r>
        <w:rPr>
          <w:rFonts w:hint="eastAsia" w:ascii="仿宋_GB2312" w:hAnsi="仿宋_GB2312" w:cs="仿宋_GB2312"/>
          <w:lang w:val="en-US" w:eastAsia="zh-CN"/>
        </w:rPr>
        <w:t>甘肃省法官学院</w:t>
      </w:r>
      <w:r>
        <w:rPr>
          <w:rFonts w:ascii="仿宋_GB2312" w:hAnsi="仿宋_GB2312" w:cs="仿宋_GB2312"/>
        </w:rPr>
        <w:t>按照工作计划、项目预算以及绩效目标组织开展</w:t>
      </w:r>
      <w:r>
        <w:rPr>
          <w:rFonts w:hint="eastAsia" w:ascii="仿宋_GB2312" w:hAnsi="仿宋_GB2312" w:cs="仿宋_GB2312"/>
        </w:rPr>
        <w:t>工作</w:t>
      </w:r>
      <w:r>
        <w:rPr>
          <w:rFonts w:ascii="仿宋_GB2312" w:hAnsi="仿宋_GB2312" w:cs="仿宋_GB2312"/>
        </w:rPr>
        <w:t>，完成年初制定的工作计划</w:t>
      </w:r>
      <w:r>
        <w:rPr>
          <w:rFonts w:hint="eastAsia" w:ascii="仿宋_GB2312" w:hAnsi="仿宋_GB2312" w:cs="仿宋_GB2312"/>
        </w:rPr>
        <w:t>。</w:t>
      </w:r>
    </w:p>
    <w:p w14:paraId="242C478A">
      <w:pPr>
        <w:pStyle w:val="47"/>
        <w:rPr>
          <w:rFonts w:hint="eastAsia"/>
        </w:rPr>
      </w:pPr>
      <w:r>
        <w:rPr>
          <w:rFonts w:hint="eastAsia"/>
        </w:rPr>
        <w:t>（3）</w:t>
      </w:r>
      <w:r>
        <w:t>资金支付。在组织正常开展</w:t>
      </w:r>
      <w:r>
        <w:rPr>
          <w:rFonts w:hint="eastAsia"/>
        </w:rPr>
        <w:t>项目</w:t>
      </w:r>
      <w:r>
        <w:t>实施工作的基础上，严格按照项目预算、内部管理制度流程以及项目进度要求完成项目经费支付以及相应的会计核算工作</w:t>
      </w:r>
      <w:r>
        <w:rPr>
          <w:rFonts w:hint="eastAsia"/>
        </w:rPr>
        <w:t>。</w:t>
      </w:r>
    </w:p>
    <w:p w14:paraId="49D7A54A">
      <w:pPr>
        <w:pStyle w:val="8"/>
        <w:overflowPunct w:val="0"/>
        <w:spacing w:line="560" w:lineRule="exact"/>
        <w:ind w:firstLine="643" w:firstLineChars="200"/>
        <w:rPr>
          <w:rFonts w:hint="eastAsia" w:ascii="仿宋_GB2312" w:hAnsi="仿宋_GB2312" w:cs="仿宋_GB2312"/>
          <w:b/>
          <w:bCs/>
        </w:rPr>
      </w:pPr>
      <w:r>
        <w:rPr>
          <w:rFonts w:hint="eastAsia" w:ascii="仿宋_GB2312" w:hAnsi="仿宋_GB2312" w:cs="仿宋_GB2312"/>
          <w:b/>
          <w:bCs/>
        </w:rPr>
        <w:t>3.资金管理流程</w:t>
      </w:r>
    </w:p>
    <w:p w14:paraId="1D349571">
      <w:pPr>
        <w:pStyle w:val="47"/>
        <w:rPr>
          <w:rFonts w:hint="eastAsia"/>
        </w:rPr>
      </w:pPr>
      <w:bookmarkStart w:id="56" w:name="_Toc4494"/>
      <w:bookmarkStart w:id="57" w:name="_Toc7214"/>
      <w:bookmarkStart w:id="58" w:name="_Toc319"/>
      <w:bookmarkStart w:id="59" w:name="_Toc29508"/>
      <w:r>
        <w:rPr>
          <w:rFonts w:hint="eastAsia"/>
        </w:rPr>
        <w:t>《甘肃省法官学院财务管理制度》明确规定了经费报销实行统一审核，分级审批制度，基本原则是执行国家有关</w:t>
      </w:r>
      <w:r>
        <w:rPr>
          <w:rFonts w:hint="eastAsia"/>
          <w:lang w:eastAsia="zh-CN"/>
        </w:rPr>
        <w:t>法律法规</w:t>
      </w:r>
      <w:r>
        <w:rPr>
          <w:rFonts w:hint="eastAsia"/>
        </w:rPr>
        <w:t>和财务规章制度遵守政府会计准则，厉行节约，量入为出，保证重点，兼顾一般为中心，充分发挥资金的使用效益</w:t>
      </w:r>
      <w:bookmarkEnd w:id="56"/>
      <w:bookmarkEnd w:id="57"/>
    </w:p>
    <w:p w14:paraId="5A741991">
      <w:pPr>
        <w:pStyle w:val="40"/>
      </w:pPr>
      <w:bookmarkStart w:id="60" w:name="_Toc9703"/>
      <w:r>
        <w:rPr>
          <w:rFonts w:hint="eastAsia"/>
        </w:rPr>
        <w:t>二、项目绩效目标</w:t>
      </w:r>
      <w:bookmarkEnd w:id="58"/>
      <w:bookmarkEnd w:id="59"/>
      <w:bookmarkEnd w:id="60"/>
    </w:p>
    <w:p w14:paraId="4360A13C">
      <w:pPr>
        <w:pStyle w:val="42"/>
        <w:rPr>
          <w:rFonts w:hint="eastAsia"/>
        </w:rPr>
      </w:pPr>
      <w:bookmarkStart w:id="61" w:name="_Toc21140"/>
      <w:bookmarkStart w:id="62" w:name="_Toc28577"/>
      <w:bookmarkStart w:id="63" w:name="_Toc9425"/>
      <w:r>
        <w:rPr>
          <w:rFonts w:hint="eastAsia"/>
        </w:rPr>
        <w:t>（一）总体目标</w:t>
      </w:r>
      <w:bookmarkEnd w:id="61"/>
      <w:bookmarkEnd w:id="62"/>
      <w:bookmarkEnd w:id="63"/>
    </w:p>
    <w:p w14:paraId="53A27EC6">
      <w:pPr>
        <w:pStyle w:val="8"/>
        <w:overflowPunct w:val="0"/>
        <w:spacing w:line="560" w:lineRule="exact"/>
        <w:ind w:firstLine="640" w:firstLineChars="200"/>
        <w:outlineLvl w:val="1"/>
        <w:rPr>
          <w:rFonts w:hint="eastAsia" w:ascii="仿宋_GB2312" w:hAnsi="仿宋_GB2312" w:cs="仿宋_GB2312"/>
        </w:rPr>
      </w:pPr>
      <w:bookmarkStart w:id="64" w:name="_Toc25279"/>
      <w:bookmarkStart w:id="65" w:name="_Toc32085"/>
      <w:bookmarkStart w:id="66" w:name="_Toc26047"/>
      <w:r>
        <w:rPr>
          <w:rFonts w:hint="eastAsia" w:ascii="仿宋_GB2312" w:hAnsi="仿宋_GB2312" w:cs="仿宋_GB2312"/>
        </w:rPr>
        <w:t>及时缴纳电费，保障甘肃省法官学院全年电力正常运转，每期培训班学员宿舍照明、空调、动力用电、生活用电、教学用电等全部是满负荷运转，用电需求较大。改善学院的教学、办公、生活环境，保障学院正常教学任务，科学运作，高质量完成教学培训任务。</w:t>
      </w:r>
      <w:bookmarkEnd w:id="64"/>
    </w:p>
    <w:p w14:paraId="35B3C459">
      <w:pPr>
        <w:pStyle w:val="42"/>
        <w:rPr>
          <w:rFonts w:hint="eastAsia"/>
        </w:rPr>
      </w:pPr>
      <w:bookmarkStart w:id="67" w:name="_Toc3108"/>
      <w:r>
        <w:rPr>
          <w:rFonts w:hint="eastAsia"/>
        </w:rPr>
        <w:t>（二）年度目标</w:t>
      </w:r>
      <w:bookmarkEnd w:id="65"/>
      <w:bookmarkEnd w:id="66"/>
      <w:bookmarkEnd w:id="67"/>
    </w:p>
    <w:p w14:paraId="6AB39734">
      <w:pPr>
        <w:pStyle w:val="9"/>
        <w:spacing w:line="560" w:lineRule="exact"/>
        <w:ind w:firstLine="640" w:firstLineChars="200"/>
        <w:rPr>
          <w:rFonts w:hint="eastAsia" w:ascii="仿宋_GB2312" w:hAnsi="仿宋_GB2312" w:eastAsia="仿宋_GB2312" w:cs="仿宋_GB2312"/>
          <w:sz w:val="32"/>
          <w:szCs w:val="32"/>
        </w:rPr>
      </w:pPr>
      <w:bookmarkStart w:id="68" w:name="_Toc11613"/>
      <w:bookmarkStart w:id="69" w:name="_Toc7330"/>
      <w:r>
        <w:rPr>
          <w:rFonts w:hint="eastAsia" w:ascii="仿宋_GB2312" w:hAnsi="仿宋_GB2312" w:eastAsia="仿宋_GB2312" w:cs="仿宋_GB2312"/>
          <w:sz w:val="32"/>
          <w:szCs w:val="32"/>
        </w:rPr>
        <w:t>及时缴纳电费，日常维修维护工作顺利进行，保障甘肃省法官学院全年电力正常运转，进一步改善学院的教学、办公、生活环境，使学院正常教学任务能够科学运作，高质量完成教学培训任务。具体指标详见下表：</w:t>
      </w:r>
      <w:bookmarkEnd w:id="68"/>
      <w:bookmarkEnd w:id="69"/>
    </w:p>
    <w:tbl>
      <w:tblPr>
        <w:tblStyle w:val="19"/>
        <w:tblpPr w:leftFromText="180" w:rightFromText="180" w:vertAnchor="text" w:horzAnchor="page" w:tblpX="1736" w:tblpY="28"/>
        <w:tblOverlap w:val="never"/>
        <w:tblW w:w="4895" w:type="pct"/>
        <w:tblInd w:w="0" w:type="dxa"/>
        <w:tblLayout w:type="autofit"/>
        <w:tblCellMar>
          <w:top w:w="0" w:type="dxa"/>
          <w:left w:w="108" w:type="dxa"/>
          <w:bottom w:w="0" w:type="dxa"/>
          <w:right w:w="108" w:type="dxa"/>
        </w:tblCellMar>
      </w:tblPr>
      <w:tblGrid>
        <w:gridCol w:w="1627"/>
        <w:gridCol w:w="1778"/>
        <w:gridCol w:w="3241"/>
        <w:gridCol w:w="1858"/>
      </w:tblGrid>
      <w:tr w14:paraId="062233B9">
        <w:tblPrEx>
          <w:tblCellMar>
            <w:top w:w="0" w:type="dxa"/>
            <w:left w:w="108" w:type="dxa"/>
            <w:bottom w:w="0" w:type="dxa"/>
            <w:right w:w="108" w:type="dxa"/>
          </w:tblCellMar>
        </w:tblPrEx>
        <w:trPr>
          <w:trHeight w:val="567" w:hRule="atLeast"/>
        </w:trPr>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17C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bookmarkStart w:id="70" w:name="_Toc11016"/>
            <w:bookmarkStart w:id="71" w:name="_Toc24688"/>
            <w:r>
              <w:rPr>
                <w:rFonts w:hint="eastAsia" w:ascii="宋体" w:hAnsi="宋体" w:eastAsia="宋体" w:cs="宋体"/>
                <w:b/>
                <w:bCs/>
                <w:kern w:val="0"/>
                <w:sz w:val="20"/>
                <w:szCs w:val="20"/>
                <w:lang w:bidi="ar"/>
              </w:rPr>
              <w:t>一级指标</w:t>
            </w:r>
          </w:p>
        </w:tc>
        <w:tc>
          <w:tcPr>
            <w:tcW w:w="10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708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73FB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A549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r>
      <w:tr w14:paraId="5F99D9C6">
        <w:tblPrEx>
          <w:tblCellMar>
            <w:top w:w="0" w:type="dxa"/>
            <w:left w:w="108" w:type="dxa"/>
            <w:bottom w:w="0" w:type="dxa"/>
            <w:right w:w="108" w:type="dxa"/>
          </w:tblCellMar>
        </w:tblPrEx>
        <w:trPr>
          <w:trHeight w:val="454" w:hRule="atLeast"/>
        </w:trPr>
        <w:tc>
          <w:tcPr>
            <w:tcW w:w="956" w:type="pct"/>
            <w:tcBorders>
              <w:top w:val="single" w:color="000000" w:sz="4" w:space="0"/>
              <w:left w:val="single" w:color="000000" w:sz="4" w:space="0"/>
              <w:right w:val="single" w:color="000000" w:sz="4" w:space="0"/>
            </w:tcBorders>
            <w:shd w:val="clear" w:color="auto" w:fill="auto"/>
            <w:vAlign w:val="center"/>
          </w:tcPr>
          <w:p w14:paraId="38DCA41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成本指标</w:t>
            </w:r>
          </w:p>
        </w:tc>
        <w:tc>
          <w:tcPr>
            <w:tcW w:w="1045" w:type="pct"/>
            <w:tcBorders>
              <w:top w:val="single" w:color="000000" w:sz="4" w:space="0"/>
              <w:left w:val="single" w:color="000000" w:sz="4" w:space="0"/>
              <w:right w:val="single" w:color="000000" w:sz="4" w:space="0"/>
            </w:tcBorders>
            <w:shd w:val="clear" w:color="auto" w:fill="auto"/>
            <w:vAlign w:val="center"/>
          </w:tcPr>
          <w:p w14:paraId="7708B9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经济成本指标</w:t>
            </w: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AAD1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成本控制情况</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5088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预算内</w:t>
            </w:r>
          </w:p>
        </w:tc>
      </w:tr>
      <w:tr w14:paraId="4628EA25">
        <w:tblPrEx>
          <w:tblCellMar>
            <w:top w:w="0" w:type="dxa"/>
            <w:left w:w="108" w:type="dxa"/>
            <w:bottom w:w="0" w:type="dxa"/>
            <w:right w:w="108" w:type="dxa"/>
          </w:tblCellMar>
        </w:tblPrEx>
        <w:trPr>
          <w:trHeight w:val="567" w:hRule="atLeast"/>
        </w:trPr>
        <w:tc>
          <w:tcPr>
            <w:tcW w:w="956" w:type="pct"/>
            <w:vMerge w:val="restart"/>
            <w:tcBorders>
              <w:top w:val="single" w:color="000000" w:sz="4" w:space="0"/>
              <w:left w:val="single" w:color="000000" w:sz="4" w:space="0"/>
              <w:right w:val="single" w:color="000000" w:sz="4" w:space="0"/>
            </w:tcBorders>
            <w:shd w:val="clear" w:color="auto" w:fill="auto"/>
            <w:vAlign w:val="center"/>
          </w:tcPr>
          <w:p w14:paraId="2D29D77F">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产出目标</w:t>
            </w:r>
          </w:p>
        </w:tc>
        <w:tc>
          <w:tcPr>
            <w:tcW w:w="1045" w:type="pct"/>
            <w:tcBorders>
              <w:top w:val="single" w:color="000000" w:sz="4" w:space="0"/>
              <w:left w:val="single" w:color="000000" w:sz="4" w:space="0"/>
              <w:right w:val="single" w:color="000000" w:sz="4" w:space="0"/>
            </w:tcBorders>
            <w:shd w:val="clear" w:color="auto" w:fill="auto"/>
            <w:vAlign w:val="center"/>
          </w:tcPr>
          <w:p w14:paraId="04A8B28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r>
              <w:rPr>
                <w:rFonts w:hint="eastAsia" w:ascii="宋体" w:hAnsi="宋体" w:eastAsia="宋体" w:cs="宋体"/>
                <w:sz w:val="20"/>
                <w:szCs w:val="20"/>
              </w:rPr>
              <w:t>数量指标</w:t>
            </w: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A35B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用电度数</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02E0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≤60万度</w:t>
            </w:r>
          </w:p>
        </w:tc>
      </w:tr>
      <w:tr w14:paraId="745E575D">
        <w:tblPrEx>
          <w:tblCellMar>
            <w:top w:w="0" w:type="dxa"/>
            <w:left w:w="108" w:type="dxa"/>
            <w:bottom w:w="0" w:type="dxa"/>
            <w:right w:w="108" w:type="dxa"/>
          </w:tblCellMar>
        </w:tblPrEx>
        <w:trPr>
          <w:trHeight w:val="567" w:hRule="atLeast"/>
        </w:trPr>
        <w:tc>
          <w:tcPr>
            <w:tcW w:w="956" w:type="pct"/>
            <w:vMerge w:val="continue"/>
            <w:tcBorders>
              <w:left w:val="single" w:color="000000" w:sz="4" w:space="0"/>
              <w:right w:val="single" w:color="000000" w:sz="4" w:space="0"/>
            </w:tcBorders>
            <w:shd w:val="clear" w:color="auto" w:fill="auto"/>
            <w:vAlign w:val="center"/>
          </w:tcPr>
          <w:p w14:paraId="1B0F0A6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tcBorders>
              <w:top w:val="single" w:color="auto" w:sz="4" w:space="0"/>
              <w:left w:val="single" w:color="000000" w:sz="4" w:space="0"/>
              <w:bottom w:val="single" w:color="auto" w:sz="4" w:space="0"/>
              <w:right w:val="single" w:color="000000" w:sz="4" w:space="0"/>
            </w:tcBorders>
            <w:shd w:val="clear" w:color="auto" w:fill="auto"/>
            <w:vAlign w:val="center"/>
          </w:tcPr>
          <w:p w14:paraId="5160DCF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质量目标</w:t>
            </w: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34B0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电力运行稳定率</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9598B">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7"/>
                <w:rFonts w:hint="eastAsia" w:ascii="宋体" w:hAnsi="宋体" w:eastAsia="宋体" w:cs="宋体"/>
                <w:lang w:bidi="ar"/>
              </w:rPr>
            </w:pPr>
            <w:r>
              <w:rPr>
                <w:rFonts w:hint="eastAsia" w:ascii="宋体" w:hAnsi="宋体" w:eastAsia="宋体" w:cs="宋体"/>
                <w:color w:val="000000"/>
                <w:kern w:val="0"/>
                <w:sz w:val="20"/>
                <w:szCs w:val="20"/>
                <w:lang w:bidi="ar"/>
              </w:rPr>
              <w:t>≥98%</w:t>
            </w:r>
          </w:p>
        </w:tc>
      </w:tr>
      <w:tr w14:paraId="7E3376CD">
        <w:tblPrEx>
          <w:tblCellMar>
            <w:top w:w="0" w:type="dxa"/>
            <w:left w:w="108" w:type="dxa"/>
            <w:bottom w:w="0" w:type="dxa"/>
            <w:right w:w="108" w:type="dxa"/>
          </w:tblCellMar>
        </w:tblPrEx>
        <w:trPr>
          <w:trHeight w:val="567" w:hRule="atLeast"/>
        </w:trPr>
        <w:tc>
          <w:tcPr>
            <w:tcW w:w="956" w:type="pct"/>
            <w:vMerge w:val="continue"/>
            <w:tcBorders>
              <w:left w:val="single" w:color="000000" w:sz="4" w:space="0"/>
              <w:right w:val="single" w:color="000000" w:sz="4" w:space="0"/>
            </w:tcBorders>
            <w:shd w:val="clear" w:color="auto" w:fill="auto"/>
            <w:vAlign w:val="center"/>
          </w:tcPr>
          <w:p w14:paraId="7D6E1C3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restart"/>
            <w:tcBorders>
              <w:top w:val="single" w:color="auto" w:sz="4" w:space="0"/>
              <w:left w:val="single" w:color="000000" w:sz="4" w:space="0"/>
              <w:right w:val="single" w:color="000000" w:sz="4" w:space="0"/>
            </w:tcBorders>
            <w:shd w:val="clear" w:color="auto" w:fill="auto"/>
            <w:vAlign w:val="center"/>
          </w:tcPr>
          <w:p w14:paraId="1757EC5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时效目标</w:t>
            </w: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26B2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24小时内电力故障处理及时性</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E36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及时</w:t>
            </w:r>
          </w:p>
        </w:tc>
      </w:tr>
      <w:tr w14:paraId="53D0F42B">
        <w:tblPrEx>
          <w:tblCellMar>
            <w:top w:w="0" w:type="dxa"/>
            <w:left w:w="108" w:type="dxa"/>
            <w:bottom w:w="0" w:type="dxa"/>
            <w:right w:w="108" w:type="dxa"/>
          </w:tblCellMar>
        </w:tblPrEx>
        <w:trPr>
          <w:trHeight w:val="567" w:hRule="atLeast"/>
        </w:trPr>
        <w:tc>
          <w:tcPr>
            <w:tcW w:w="956" w:type="pct"/>
            <w:vMerge w:val="continue"/>
            <w:tcBorders>
              <w:left w:val="single" w:color="000000" w:sz="4" w:space="0"/>
              <w:bottom w:val="single" w:color="000000" w:sz="4" w:space="0"/>
              <w:right w:val="single" w:color="000000" w:sz="4" w:space="0"/>
            </w:tcBorders>
            <w:shd w:val="clear" w:color="auto" w:fill="auto"/>
            <w:vAlign w:val="center"/>
          </w:tcPr>
          <w:p w14:paraId="4B25A6A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left w:val="single" w:color="000000" w:sz="4" w:space="0"/>
              <w:bottom w:val="single" w:color="000000" w:sz="4" w:space="0"/>
              <w:right w:val="single" w:color="000000" w:sz="4" w:space="0"/>
            </w:tcBorders>
            <w:shd w:val="clear" w:color="auto" w:fill="auto"/>
            <w:vAlign w:val="center"/>
          </w:tcPr>
          <w:p w14:paraId="1EF00BE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BBB3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缴纳电费及时性</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C435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及时</w:t>
            </w:r>
          </w:p>
        </w:tc>
      </w:tr>
      <w:tr w14:paraId="1EC2AB80">
        <w:tblPrEx>
          <w:tblCellMar>
            <w:top w:w="0" w:type="dxa"/>
            <w:left w:w="108" w:type="dxa"/>
            <w:bottom w:w="0" w:type="dxa"/>
            <w:right w:w="108" w:type="dxa"/>
          </w:tblCellMar>
        </w:tblPrEx>
        <w:trPr>
          <w:trHeight w:val="567" w:hRule="atLeast"/>
        </w:trPr>
        <w:tc>
          <w:tcPr>
            <w:tcW w:w="956" w:type="pct"/>
            <w:vMerge w:val="restart"/>
            <w:tcBorders>
              <w:top w:val="single" w:color="000000" w:sz="4" w:space="0"/>
              <w:left w:val="single" w:color="000000" w:sz="4" w:space="0"/>
              <w:right w:val="single" w:color="000000" w:sz="4" w:space="0"/>
            </w:tcBorders>
            <w:shd w:val="clear" w:color="auto" w:fill="auto"/>
            <w:vAlign w:val="center"/>
          </w:tcPr>
          <w:p w14:paraId="15339CD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效益指标</w:t>
            </w:r>
          </w:p>
        </w:tc>
        <w:tc>
          <w:tcPr>
            <w:tcW w:w="10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DB7E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社会效益</w:t>
            </w: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2C0C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sz w:val="20"/>
                <w:szCs w:val="20"/>
              </w:rPr>
              <w:t>保障法官学院各项业务正常运行</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195E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sz w:val="20"/>
                <w:szCs w:val="20"/>
              </w:rPr>
              <w:t>保障</w:t>
            </w:r>
          </w:p>
        </w:tc>
      </w:tr>
      <w:tr w14:paraId="31BDAA89">
        <w:tblPrEx>
          <w:tblCellMar>
            <w:top w:w="0" w:type="dxa"/>
            <w:left w:w="108" w:type="dxa"/>
            <w:bottom w:w="0" w:type="dxa"/>
            <w:right w:w="108" w:type="dxa"/>
          </w:tblCellMar>
        </w:tblPrEx>
        <w:trPr>
          <w:trHeight w:val="567" w:hRule="atLeast"/>
        </w:trPr>
        <w:tc>
          <w:tcPr>
            <w:tcW w:w="956" w:type="pct"/>
            <w:vMerge w:val="continue"/>
            <w:tcBorders>
              <w:left w:val="single" w:color="000000" w:sz="4" w:space="0"/>
              <w:right w:val="single" w:color="000000" w:sz="4" w:space="0"/>
            </w:tcBorders>
            <w:shd w:val="clear" w:color="auto" w:fill="auto"/>
            <w:vAlign w:val="center"/>
          </w:tcPr>
          <w:p w14:paraId="369E1101">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restart"/>
            <w:tcBorders>
              <w:top w:val="single" w:color="000000" w:sz="4" w:space="0"/>
              <w:left w:val="single" w:color="000000" w:sz="4" w:space="0"/>
              <w:right w:val="single" w:color="000000" w:sz="4" w:space="0"/>
            </w:tcBorders>
            <w:shd w:val="clear" w:color="auto" w:fill="auto"/>
            <w:vAlign w:val="center"/>
          </w:tcPr>
          <w:p w14:paraId="09E22135">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服务对象满意度指标</w:t>
            </w: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6A897">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sz w:val="20"/>
                <w:szCs w:val="20"/>
              </w:rPr>
              <w:t>学员满意度</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EE0F5">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sz w:val="20"/>
                <w:szCs w:val="20"/>
              </w:rPr>
              <w:t>≥98%</w:t>
            </w:r>
          </w:p>
        </w:tc>
      </w:tr>
      <w:tr w14:paraId="63B062FA">
        <w:tblPrEx>
          <w:tblCellMar>
            <w:top w:w="0" w:type="dxa"/>
            <w:left w:w="108" w:type="dxa"/>
            <w:bottom w:w="0" w:type="dxa"/>
            <w:right w:w="108" w:type="dxa"/>
          </w:tblCellMar>
        </w:tblPrEx>
        <w:trPr>
          <w:trHeight w:val="567" w:hRule="atLeast"/>
        </w:trPr>
        <w:tc>
          <w:tcPr>
            <w:tcW w:w="956" w:type="pct"/>
            <w:vMerge w:val="continue"/>
            <w:tcBorders>
              <w:left w:val="single" w:color="000000" w:sz="4" w:space="0"/>
              <w:bottom w:val="single" w:color="000000" w:sz="4" w:space="0"/>
              <w:right w:val="single" w:color="000000" w:sz="4" w:space="0"/>
            </w:tcBorders>
            <w:shd w:val="clear" w:color="auto" w:fill="auto"/>
            <w:vAlign w:val="center"/>
          </w:tcPr>
          <w:p w14:paraId="10EED0BF">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left w:val="single" w:color="000000" w:sz="4" w:space="0"/>
              <w:bottom w:val="single" w:color="000000" w:sz="4" w:space="0"/>
              <w:right w:val="single" w:color="000000" w:sz="4" w:space="0"/>
            </w:tcBorders>
            <w:shd w:val="clear" w:color="auto" w:fill="auto"/>
            <w:vAlign w:val="center"/>
          </w:tcPr>
          <w:p w14:paraId="1F45ED63">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82BE9">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学院工作人员满意度</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9CD8A">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≥98%</w:t>
            </w:r>
          </w:p>
        </w:tc>
      </w:tr>
    </w:tbl>
    <w:p w14:paraId="7E03A26E">
      <w:pPr>
        <w:pStyle w:val="40"/>
      </w:pPr>
      <w:bookmarkStart w:id="72" w:name="_Toc27864"/>
      <w:r>
        <w:rPr>
          <w:rFonts w:hint="eastAsia"/>
        </w:rPr>
        <w:t>三、评价基本情况</w:t>
      </w:r>
      <w:bookmarkEnd w:id="70"/>
      <w:bookmarkEnd w:id="71"/>
      <w:bookmarkEnd w:id="72"/>
    </w:p>
    <w:p w14:paraId="199A3726">
      <w:pPr>
        <w:pStyle w:val="42"/>
        <w:rPr>
          <w:rFonts w:hint="eastAsia"/>
        </w:rPr>
      </w:pPr>
      <w:bookmarkStart w:id="73" w:name="_Toc5301"/>
      <w:bookmarkStart w:id="74" w:name="_Toc24770"/>
      <w:r>
        <w:rPr>
          <w:rFonts w:hint="eastAsia"/>
        </w:rPr>
        <w:t>（一）评价目的</w:t>
      </w:r>
      <w:bookmarkEnd w:id="73"/>
      <w:bookmarkEnd w:id="74"/>
    </w:p>
    <w:p w14:paraId="3353C387">
      <w:pPr>
        <w:pStyle w:val="47"/>
        <w:rPr>
          <w:rFonts w:hint="eastAsia"/>
        </w:rPr>
      </w:pPr>
      <w:r>
        <w:rPr>
          <w:rFonts w:hint="eastAsia"/>
        </w:rPr>
        <w:t>本次绩效评价工作，通过运用规范的绩效评价指标体系和科学的绩效评价方法，全面客观地评价电费补助项目资金的执行情况、资金使用情况，对项目的绩效情况进行综合分析，与预期绩效目标进行对比，总结电费补助项目实施的成果与经验，揭示存在的问题与不足，在此基础上进一步优化资金使用、完善项目管理，为下一步的预算安排提供参考，不断提高资金的使用效益。</w:t>
      </w:r>
    </w:p>
    <w:p w14:paraId="1E61E572">
      <w:pPr>
        <w:pStyle w:val="47"/>
        <w:rPr>
          <w:rFonts w:hint="eastAsia"/>
        </w:rPr>
      </w:pPr>
      <w:r>
        <w:rPr>
          <w:rFonts w:hint="eastAsia"/>
        </w:rPr>
        <w:t>本次绩效评价的侧重点和切入点：</w:t>
      </w:r>
    </w:p>
    <w:p w14:paraId="278D4FA1">
      <w:pPr>
        <w:pStyle w:val="47"/>
        <w:rPr>
          <w:rFonts w:hint="eastAsia"/>
        </w:rPr>
      </w:pPr>
      <w:r>
        <w:rPr>
          <w:rFonts w:hint="eastAsia"/>
        </w:rPr>
        <w:t>1.重点关注项目资金使用管理以及保障项目预期绩效目标实现的相关措施；</w:t>
      </w:r>
    </w:p>
    <w:p w14:paraId="5E99915B">
      <w:pPr>
        <w:pStyle w:val="47"/>
        <w:rPr>
          <w:rFonts w:hint="eastAsia"/>
        </w:rPr>
      </w:pPr>
      <w:r>
        <w:rPr>
          <w:rFonts w:hint="eastAsia"/>
        </w:rPr>
        <w:t>2.重点关注采购流程规范性、资金使用合规性、项目合同管理的有效性以及通过采购项目的实施为法院带来的产出与效益。</w:t>
      </w:r>
    </w:p>
    <w:p w14:paraId="08387A92">
      <w:pPr>
        <w:pStyle w:val="42"/>
        <w:rPr>
          <w:rFonts w:hint="eastAsia"/>
        </w:rPr>
      </w:pPr>
      <w:bookmarkStart w:id="75" w:name="_Toc2071"/>
      <w:bookmarkStart w:id="76" w:name="_Toc31971"/>
      <w:r>
        <w:rPr>
          <w:rFonts w:hint="eastAsia"/>
        </w:rPr>
        <w:t>（二）评价对象与范围</w:t>
      </w:r>
      <w:bookmarkEnd w:id="75"/>
      <w:bookmarkEnd w:id="76"/>
    </w:p>
    <w:p w14:paraId="79431669">
      <w:pPr>
        <w:pStyle w:val="47"/>
        <w:rPr>
          <w:rFonts w:hint="eastAsia"/>
        </w:rPr>
      </w:pPr>
      <w:r>
        <w:rPr>
          <w:rFonts w:hint="eastAsia"/>
        </w:rPr>
        <w:t>本次评价对象为甘肃省高级人民法院2023年绩效评价重点项目电费补助。</w:t>
      </w:r>
    </w:p>
    <w:p w14:paraId="0A8D30E4">
      <w:pPr>
        <w:pStyle w:val="47"/>
        <w:rPr>
          <w:rFonts w:hint="eastAsia"/>
        </w:rPr>
      </w:pPr>
      <w:r>
        <w:rPr>
          <w:rFonts w:hint="eastAsia"/>
        </w:rPr>
        <w:t>评价范围为电费补助项目预算资金60.00万元的资金使用和项目实施效益情况，评价基准日为2023年12月31日。</w:t>
      </w:r>
    </w:p>
    <w:p w14:paraId="087288BF">
      <w:pPr>
        <w:pStyle w:val="42"/>
        <w:rPr>
          <w:rFonts w:hint="eastAsia"/>
        </w:rPr>
      </w:pPr>
      <w:bookmarkStart w:id="77" w:name="_Toc17041"/>
      <w:bookmarkStart w:id="78" w:name="_Toc21268"/>
      <w:r>
        <w:rPr>
          <w:rFonts w:hint="eastAsia"/>
        </w:rPr>
        <w:t>（三）评价依据</w:t>
      </w:r>
      <w:bookmarkEnd w:id="77"/>
      <w:bookmarkEnd w:id="78"/>
    </w:p>
    <w:p w14:paraId="4C6E079B">
      <w:pPr>
        <w:pStyle w:val="47"/>
        <w:rPr>
          <w:rFonts w:hint="eastAsia"/>
        </w:rPr>
      </w:pPr>
      <w:bookmarkStart w:id="79" w:name="_Toc17840"/>
      <w:r>
        <w:rPr>
          <w:rFonts w:hint="eastAsia"/>
        </w:rPr>
        <w:t>1.《中华人民共和国预算法》；</w:t>
      </w:r>
    </w:p>
    <w:p w14:paraId="5DA26140">
      <w:pPr>
        <w:pStyle w:val="47"/>
        <w:rPr>
          <w:rFonts w:hint="eastAsia"/>
        </w:rPr>
      </w:pPr>
      <w:r>
        <w:rPr>
          <w:rFonts w:hint="eastAsia"/>
        </w:rPr>
        <w:t>2.《中华人民共和国预算法实施条例》；</w:t>
      </w:r>
    </w:p>
    <w:p w14:paraId="4ECC12A0">
      <w:pPr>
        <w:pStyle w:val="47"/>
        <w:rPr>
          <w:rFonts w:hint="eastAsia"/>
        </w:rPr>
      </w:pPr>
      <w:r>
        <w:rPr>
          <w:rFonts w:hint="eastAsia"/>
        </w:rPr>
        <w:t>3.《中共中央 国务院关于全面实施预算绩效管理的意见》（中发〔2018〕34号）；</w:t>
      </w:r>
    </w:p>
    <w:p w14:paraId="7BB53F74">
      <w:pPr>
        <w:pStyle w:val="47"/>
        <w:rPr>
          <w:rFonts w:hint="eastAsia"/>
        </w:rPr>
      </w:pPr>
      <w:r>
        <w:rPr>
          <w:rFonts w:hint="eastAsia"/>
        </w:rPr>
        <w:t>4.《财政部关于印发〈项目支出绩效评价管理办法〉的通知》（财预〔2021〕10号）；</w:t>
      </w:r>
    </w:p>
    <w:p w14:paraId="6977777C">
      <w:pPr>
        <w:pStyle w:val="47"/>
        <w:rPr>
          <w:rFonts w:hint="eastAsia"/>
        </w:rPr>
      </w:pPr>
      <w:r>
        <w:rPr>
          <w:rFonts w:hint="eastAsia"/>
        </w:rPr>
        <w:t>5.财政部《关于委托第三方机构参与预算绩效管理的指导意见》（财预〔2021〕6号）；</w:t>
      </w:r>
    </w:p>
    <w:p w14:paraId="2EC9D595">
      <w:pPr>
        <w:pStyle w:val="47"/>
        <w:rPr>
          <w:rFonts w:hint="eastAsia"/>
        </w:rPr>
      </w:pPr>
      <w:r>
        <w:rPr>
          <w:rFonts w:hint="eastAsia"/>
        </w:rPr>
        <w:t>6.财政部关于印发《第三方机构预算绩效评价业务监督管理暂行办法》的通知（财监〔2021〕4号）；</w:t>
      </w:r>
    </w:p>
    <w:p w14:paraId="075947C1">
      <w:pPr>
        <w:pStyle w:val="47"/>
        <w:rPr>
          <w:rFonts w:hint="eastAsia"/>
        </w:rPr>
      </w:pPr>
      <w:r>
        <w:rPr>
          <w:rFonts w:hint="eastAsia"/>
        </w:rPr>
        <w:t>7.《中共甘肃省委 甘肃省人民政府关于全面实施预算绩效管理的实施意见》（甘发〔2018〕32号）；</w:t>
      </w:r>
    </w:p>
    <w:p w14:paraId="7A685349">
      <w:pPr>
        <w:pStyle w:val="47"/>
        <w:rPr>
          <w:rFonts w:hint="eastAsia"/>
        </w:rPr>
      </w:pPr>
      <w:r>
        <w:rPr>
          <w:rFonts w:hint="eastAsia"/>
        </w:rPr>
        <w:t>8.甘肃省财政厅关于印发《甘肃省省级预算绩效管理办法》等6个办法和规程的通知（甘财绩〔2020〕5号）；</w:t>
      </w:r>
    </w:p>
    <w:p w14:paraId="4F537A22">
      <w:pPr>
        <w:pStyle w:val="47"/>
        <w:rPr>
          <w:rFonts w:hint="eastAsia"/>
        </w:rPr>
      </w:pPr>
      <w:r>
        <w:rPr>
          <w:rFonts w:hint="eastAsia"/>
        </w:rPr>
        <w:t>9.《甘肃省省级项目支出绩效部门评价和财政评价工作规程》（甘财绩〔2021〕5号）；</w:t>
      </w:r>
    </w:p>
    <w:p w14:paraId="47AEF922">
      <w:pPr>
        <w:pStyle w:val="47"/>
        <w:rPr>
          <w:rFonts w:hint="eastAsia"/>
        </w:rPr>
      </w:pPr>
      <w:r>
        <w:rPr>
          <w:rFonts w:hint="eastAsia"/>
        </w:rPr>
        <w:t>10.《甘肃省财政厅关于开展2022年度省级预算执行情况部门和财政重点绩效评价工作的通知》（甘财绩〔2023〕3号）；</w:t>
      </w:r>
    </w:p>
    <w:p w14:paraId="7A78CD42">
      <w:pPr>
        <w:pStyle w:val="47"/>
        <w:rPr>
          <w:rFonts w:hint="eastAsia"/>
        </w:rPr>
      </w:pPr>
      <w:r>
        <w:rPr>
          <w:rFonts w:hint="eastAsia"/>
        </w:rPr>
        <w:t>11.</w:t>
      </w:r>
      <w:r>
        <w:rPr>
          <w:rFonts w:hint="eastAsia"/>
          <w:lang w:val="en-US" w:eastAsia="zh-CN"/>
        </w:rPr>
        <w:t>甘肃省法官学院</w:t>
      </w:r>
      <w:r>
        <w:rPr>
          <w:rFonts w:hint="eastAsia"/>
        </w:rPr>
        <w:t>职责相关规定；</w:t>
      </w:r>
    </w:p>
    <w:p w14:paraId="21607E9B">
      <w:pPr>
        <w:pStyle w:val="47"/>
        <w:rPr>
          <w:rFonts w:hint="eastAsia"/>
        </w:rPr>
      </w:pPr>
      <w:r>
        <w:rPr>
          <w:rFonts w:hint="eastAsia"/>
        </w:rPr>
        <w:t>12.行业相关政策、行业标准及专业技术规范；</w:t>
      </w:r>
    </w:p>
    <w:p w14:paraId="54711BB3">
      <w:pPr>
        <w:pStyle w:val="47"/>
        <w:rPr>
          <w:rFonts w:hint="eastAsia"/>
        </w:rPr>
      </w:pPr>
      <w:r>
        <w:rPr>
          <w:rFonts w:hint="eastAsia"/>
        </w:rPr>
        <w:t>13.被评价单位提供的立项背景、实施方案、预算批复相关文件、绩效目标、自评价相关资料、财政资金拨付凭证、工程全过程资料和项目实施效果等资料；</w:t>
      </w:r>
    </w:p>
    <w:p w14:paraId="732403EB">
      <w:pPr>
        <w:pStyle w:val="47"/>
        <w:rPr>
          <w:rFonts w:hint="eastAsia"/>
        </w:rPr>
      </w:pPr>
      <w:r>
        <w:rPr>
          <w:rFonts w:hint="eastAsia"/>
        </w:rPr>
        <w:t>14.本级人大审查结果报告、审计报告及决定，财政监督稽核报告等；</w:t>
      </w:r>
    </w:p>
    <w:p w14:paraId="3CABF04E">
      <w:pPr>
        <w:pStyle w:val="47"/>
        <w:rPr>
          <w:rFonts w:hint="eastAsia"/>
        </w:rPr>
      </w:pPr>
      <w:r>
        <w:rPr>
          <w:rFonts w:hint="eastAsia"/>
        </w:rPr>
        <w:t>15.评价组收集、调研、访谈、问卷调查获取的其他相关资料。</w:t>
      </w:r>
    </w:p>
    <w:p w14:paraId="738A475A">
      <w:pPr>
        <w:pStyle w:val="42"/>
        <w:rPr>
          <w:rFonts w:hint="eastAsia"/>
        </w:rPr>
      </w:pPr>
      <w:bookmarkStart w:id="80" w:name="_Toc23095"/>
      <w:r>
        <w:rPr>
          <w:rFonts w:hint="eastAsia"/>
        </w:rPr>
        <w:t>（四）评价原则、评价方法</w:t>
      </w:r>
      <w:bookmarkEnd w:id="79"/>
      <w:bookmarkEnd w:id="80"/>
    </w:p>
    <w:p w14:paraId="2E36F492">
      <w:pPr>
        <w:overflowPunct w:val="0"/>
        <w:spacing w:line="560" w:lineRule="exact"/>
        <w:ind w:firstLine="643" w:firstLineChars="200"/>
        <w:outlineLvl w:val="2"/>
        <w:rPr>
          <w:rFonts w:hint="eastAsia" w:ascii="仿宋_GB2312" w:hAnsi="仿宋_GB2312" w:eastAsia="仿宋_GB2312" w:cs="仿宋_GB2312"/>
          <w:b/>
          <w:sz w:val="32"/>
          <w:szCs w:val="32"/>
        </w:rPr>
      </w:pPr>
      <w:bookmarkStart w:id="81" w:name="_Toc32216"/>
      <w:bookmarkStart w:id="82" w:name="_Toc19294"/>
      <w:bookmarkStart w:id="83" w:name="_Toc32314"/>
      <w:bookmarkStart w:id="84" w:name="_Toc5841"/>
      <w:bookmarkStart w:id="85" w:name="_Toc2871"/>
      <w:bookmarkStart w:id="86" w:name="_Toc3229"/>
      <w:bookmarkStart w:id="87" w:name="_Toc15543"/>
      <w:bookmarkStart w:id="88" w:name="_Toc28403"/>
      <w:bookmarkStart w:id="89" w:name="_Toc25746"/>
      <w:bookmarkStart w:id="90" w:name="_Toc17493"/>
      <w:bookmarkStart w:id="91" w:name="_Toc7306"/>
      <w:r>
        <w:rPr>
          <w:rStyle w:val="31"/>
          <w:rFonts w:hint="eastAsia" w:ascii="仿宋_GB2312" w:hAnsi="仿宋_GB2312" w:eastAsia="仿宋_GB2312" w:cs="仿宋_GB2312"/>
          <w:szCs w:val="32"/>
        </w:rPr>
        <w:t>1.评价原则</w:t>
      </w:r>
      <w:bookmarkEnd w:id="81"/>
      <w:bookmarkEnd w:id="82"/>
      <w:bookmarkEnd w:id="83"/>
      <w:bookmarkEnd w:id="84"/>
      <w:bookmarkEnd w:id="85"/>
      <w:bookmarkEnd w:id="86"/>
      <w:bookmarkEnd w:id="87"/>
      <w:bookmarkEnd w:id="88"/>
      <w:bookmarkEnd w:id="89"/>
      <w:bookmarkEnd w:id="90"/>
      <w:bookmarkEnd w:id="91"/>
    </w:p>
    <w:p w14:paraId="33AC3A45">
      <w:pPr>
        <w:pStyle w:val="47"/>
        <w:rPr>
          <w:rFonts w:hint="eastAsia"/>
        </w:rPr>
      </w:pPr>
      <w:r>
        <w:rPr>
          <w:rFonts w:hint="eastAsia"/>
        </w:rPr>
        <w:t>（1）科学规范。严格执行规定的流程步骤，做到指标合理、标准科学、方法适当、结果可信，严格执行规定程序和工作流程，科学设定评价标准和指标体系，坚持定量与定性分析相结合，客观准确地反映财政资金绩效情况，提高全过程预算绩效管理质量。</w:t>
      </w:r>
    </w:p>
    <w:p w14:paraId="71614A05">
      <w:pPr>
        <w:pStyle w:val="47"/>
        <w:rPr>
          <w:rFonts w:hint="eastAsia"/>
        </w:rPr>
      </w:pPr>
      <w:r>
        <w:rPr>
          <w:rFonts w:hint="eastAsia"/>
        </w:rPr>
        <w:t>（2）绩效相关。评价结果应当清晰反映绩效目标的实现情况以及预算支出和绩效之间的对应关系。以绩效为核心导向，将事前绩效评估、绩效目标管理、绩效运行监控、绩效评价、评价结果反馈及应用深度融入预算管理的全过程，实现财政资金使用效益最大化。</w:t>
      </w:r>
    </w:p>
    <w:p w14:paraId="4990BBEF">
      <w:pPr>
        <w:pStyle w:val="47"/>
        <w:rPr>
          <w:rFonts w:hint="eastAsia"/>
        </w:rPr>
      </w:pPr>
      <w:r>
        <w:rPr>
          <w:rFonts w:hint="eastAsia"/>
        </w:rPr>
        <w:t>（3）公开透明。评价结果应当符合真实、客观、公正的要求，依法依规公开并接受监督。预算绩效管理主体应按照政府信息公开有关规定，主动向同级人大报告、向社会公开相关绩效信息和评价结果，自觉接受各方监督，不断提高财政资金使用的透明度。</w:t>
      </w:r>
    </w:p>
    <w:p w14:paraId="00669FD7">
      <w:pPr>
        <w:pStyle w:val="47"/>
        <w:rPr>
          <w:rFonts w:hint="eastAsia"/>
        </w:rPr>
      </w:pPr>
      <w:r>
        <w:rPr>
          <w:rFonts w:hint="eastAsia"/>
        </w:rPr>
        <w:t>（4）激励约束。评价结果与项目的设立、保留、整合、调整和退出相挂钩，作为完善政策、改进管理、安排预算的重要依据。建立健全预算绩效管理激励约束机制，体现奖优罚劣和激励相容导向，切实做到花钱必问效、无效必问责。</w:t>
      </w:r>
    </w:p>
    <w:p w14:paraId="18451E70">
      <w:pPr>
        <w:overflowPunct w:val="0"/>
        <w:spacing w:line="560" w:lineRule="exact"/>
        <w:ind w:firstLine="643" w:firstLineChars="200"/>
        <w:outlineLvl w:val="2"/>
        <w:rPr>
          <w:rStyle w:val="31"/>
          <w:rFonts w:hint="eastAsia" w:ascii="仿宋_GB2312" w:hAnsi="仿宋_GB2312" w:eastAsia="仿宋_GB2312" w:cs="仿宋_GB2312"/>
          <w:szCs w:val="32"/>
        </w:rPr>
      </w:pPr>
      <w:bookmarkStart w:id="92" w:name="_Toc15034"/>
      <w:bookmarkStart w:id="93" w:name="_Toc11918"/>
      <w:bookmarkStart w:id="94" w:name="_Toc15129"/>
      <w:bookmarkStart w:id="95" w:name="_Toc7156"/>
      <w:bookmarkStart w:id="96" w:name="_Toc1839"/>
      <w:bookmarkStart w:id="97" w:name="_Toc24950"/>
      <w:bookmarkStart w:id="98" w:name="_Toc14631"/>
      <w:bookmarkStart w:id="99" w:name="_Toc15552"/>
      <w:bookmarkStart w:id="100" w:name="_Toc1742"/>
      <w:bookmarkStart w:id="101" w:name="_Toc12173"/>
      <w:r>
        <w:rPr>
          <w:rStyle w:val="31"/>
          <w:rFonts w:hint="eastAsia" w:ascii="仿宋_GB2312" w:hAnsi="仿宋_GB2312" w:eastAsia="仿宋_GB2312" w:cs="仿宋_GB2312"/>
          <w:szCs w:val="32"/>
        </w:rPr>
        <w:t>2.评价方法</w:t>
      </w:r>
      <w:bookmarkEnd w:id="92"/>
    </w:p>
    <w:bookmarkEnd w:id="93"/>
    <w:bookmarkEnd w:id="94"/>
    <w:bookmarkEnd w:id="95"/>
    <w:bookmarkEnd w:id="96"/>
    <w:bookmarkEnd w:id="97"/>
    <w:bookmarkEnd w:id="98"/>
    <w:bookmarkEnd w:id="99"/>
    <w:bookmarkEnd w:id="100"/>
    <w:bookmarkEnd w:id="101"/>
    <w:p w14:paraId="1AB78430">
      <w:pPr>
        <w:pStyle w:val="47"/>
        <w:rPr>
          <w:rFonts w:hint="eastAsia"/>
        </w:rPr>
      </w:pPr>
      <w:r>
        <w:rPr>
          <w:rFonts w:hint="eastAsia"/>
        </w:rPr>
        <w:t>本次绩效评价按照规范、科学、合理的要求，采用定量和定性分析相结合，第三方评价机构现场核实、资料评审相结合，综合运用比较法、因素分析法和公众评判法等方法进行评价，对项目预算执行情况的经济性、效率性、效益性进行客观公正的分析评价，确保评价结论公正客观，评价意见有效可用。</w:t>
      </w:r>
    </w:p>
    <w:p w14:paraId="7020A574">
      <w:pPr>
        <w:pStyle w:val="47"/>
        <w:rPr>
          <w:rFonts w:hint="eastAsia"/>
        </w:rPr>
      </w:pPr>
      <w:r>
        <w:rPr>
          <w:rFonts w:hint="eastAsia"/>
        </w:rPr>
        <w:t>（1）比较法。是指通过对绩效目标与实际实施效果的对比，综合分析绩效目标实现程度。</w:t>
      </w:r>
    </w:p>
    <w:p w14:paraId="08AE53DF">
      <w:pPr>
        <w:pStyle w:val="47"/>
        <w:rPr>
          <w:rFonts w:hint="eastAsia"/>
        </w:rPr>
      </w:pPr>
      <w:r>
        <w:rPr>
          <w:rFonts w:hint="eastAsia"/>
        </w:rPr>
        <w:t>（2）因素分析法。将影响投入和产出各项因素罗列出来进行分析，通过不同因素的权重评比，进行综合评分，最终确定项目的效率性和效益性。</w:t>
      </w:r>
    </w:p>
    <w:p w14:paraId="7CAE3E5A">
      <w:pPr>
        <w:pStyle w:val="47"/>
        <w:rPr>
          <w:rFonts w:hint="eastAsia"/>
        </w:rPr>
      </w:pPr>
      <w:r>
        <w:rPr>
          <w:rFonts w:hint="eastAsia"/>
        </w:rPr>
        <w:t>（3）</w:t>
      </w:r>
      <w:r>
        <w:rPr>
          <w:rFonts w:hint="eastAsia"/>
          <w:kern w:val="0"/>
          <w:lang w:bidi="ar"/>
        </w:rPr>
        <w:t>公众评判</w:t>
      </w:r>
      <w:r>
        <w:rPr>
          <w:rFonts w:hint="eastAsia"/>
        </w:rPr>
        <w:t>法。是指通过专家评估、公众问卷对财政支出效果进行评判，评价绩效目标实现程度。</w:t>
      </w:r>
    </w:p>
    <w:p w14:paraId="463BDC7F">
      <w:pPr>
        <w:pStyle w:val="47"/>
        <w:rPr>
          <w:rFonts w:hint="eastAsia"/>
          <w:lang w:bidi="ar"/>
        </w:rPr>
      </w:pPr>
      <w:r>
        <w:rPr>
          <w:rFonts w:hint="eastAsia"/>
          <w:lang w:bidi="ar"/>
        </w:rPr>
        <w:t>（4）成本效益分析法。是将投入与产出、效益进行关联性分析的方法。</w:t>
      </w:r>
    </w:p>
    <w:p w14:paraId="0BD29C51">
      <w:pPr>
        <w:pStyle w:val="47"/>
        <w:rPr>
          <w:rFonts w:hint="eastAsia"/>
          <w:lang w:bidi="ar"/>
        </w:rPr>
      </w:pPr>
      <w:r>
        <w:rPr>
          <w:rFonts w:hint="eastAsia"/>
          <w:lang w:bidi="ar"/>
        </w:rPr>
        <w:t>（5）访谈法。评价小组现场访谈相关专业人员，根据被询问者的答复收集客观的、不带偏见的事实材料。</w:t>
      </w:r>
    </w:p>
    <w:p w14:paraId="0DB9E5F6">
      <w:pPr>
        <w:pStyle w:val="42"/>
        <w:rPr>
          <w:rFonts w:hint="eastAsia"/>
        </w:rPr>
      </w:pPr>
      <w:bookmarkStart w:id="102" w:name="_Toc4958"/>
      <w:bookmarkStart w:id="103" w:name="_Toc27969"/>
      <w:r>
        <w:rPr>
          <w:rFonts w:hint="eastAsia"/>
        </w:rPr>
        <w:t>（五）绩效评价指标体系</w:t>
      </w:r>
      <w:bookmarkEnd w:id="102"/>
      <w:bookmarkEnd w:id="103"/>
    </w:p>
    <w:p w14:paraId="5B442224">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1.指标体系设计的总体思路</w:t>
      </w:r>
    </w:p>
    <w:p w14:paraId="0A163E47">
      <w:pPr>
        <w:pStyle w:val="47"/>
        <w:rPr>
          <w:rFonts w:hint="eastAsia"/>
          <w:lang w:bidi="ar"/>
        </w:rPr>
      </w:pPr>
      <w:r>
        <w:rPr>
          <w:rFonts w:hint="eastAsia"/>
          <w:lang w:bidi="ar"/>
        </w:rPr>
        <w:t>根据</w:t>
      </w:r>
      <w:r>
        <w:rPr>
          <w:rFonts w:hint="eastAsia"/>
        </w:rPr>
        <w:t>《甘肃省省级项目支出绩效部门评价和财政评价工作规程》</w:t>
      </w:r>
      <w:r>
        <w:rPr>
          <w:rFonts w:hint="eastAsia"/>
          <w:lang w:bidi="ar"/>
        </w:rPr>
        <w:t>要求，从电费补助项目预算、立项、批复、实施、资金申请、拨付以及使用是否遵守规定、是否真实、是否及时，以结果为导向，根据指标类型设定定性与定量标准，决策、过程、成本、产出、效益分配比例为20:20:10:30:20。本次评价侧重项目产出与效益方面，产出和效益指标权重为50%。</w:t>
      </w:r>
    </w:p>
    <w:p w14:paraId="2E13CED0">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2.绩效评价指标体系</w:t>
      </w:r>
    </w:p>
    <w:p w14:paraId="07C5E098">
      <w:pPr>
        <w:pStyle w:val="47"/>
        <w:rPr>
          <w:rFonts w:hint="eastAsia"/>
        </w:rPr>
      </w:pPr>
      <w:r>
        <w:rPr>
          <w:rFonts w:hint="eastAsia"/>
        </w:rPr>
        <w:t>项目评价指标划分为三级，综合评价一级指标包括项目决策指标、过程指标、成本指标、产出指标、效益指标。二、三级评价指标根据项目实际情况制定了可量化、可操作的细化绩效目标，指标分值根据项目指标重要程度、项目实施阶段等因素综合确定（项目评价指标体系详见附表1）。</w:t>
      </w:r>
    </w:p>
    <w:p w14:paraId="6597A163">
      <w:pPr>
        <w:pStyle w:val="47"/>
        <w:rPr>
          <w:rFonts w:hint="eastAsia"/>
        </w:rPr>
      </w:pPr>
      <w:r>
        <w:rPr>
          <w:rFonts w:hint="eastAsia"/>
        </w:rPr>
        <w:t>（1）项目决策指标为一级指标，权重20分。重点关注项目立项的政策依据是否充分，是否符合国家相关法律法规、部门规章、发展规划及职能；立项流程是否合规，项目申请设立过程是否符合相关要求；项目是否设定绩效目标，设定的绩效目标依据是否充分、符合客观实际，是否能做到细化、量化和可衡量；项目预算编制是否经过科学论证，预算额度与年度目标是否相适应；资金安排依据是否充分，安排额度是否与项目相适应。</w:t>
      </w:r>
    </w:p>
    <w:p w14:paraId="45FD34A0">
      <w:pPr>
        <w:pStyle w:val="47"/>
        <w:rPr>
          <w:rFonts w:hint="eastAsia"/>
        </w:rPr>
      </w:pPr>
      <w:r>
        <w:rPr>
          <w:rFonts w:hint="eastAsia"/>
        </w:rPr>
        <w:t>（2）项目过程指标为一级指标，权重20分。重点关注专项资金是否及时到位，保障项目执行；项目资金是否按照预算执行；资金使用范围和方向是否符合专项资金管理规定；专项资金和业务管理制度是否健全、是否符合相关法律法规并得到有效执行；项目是否按照规定实施；是否遵守相关法律法规和相关管理规定，按时向社会公告项目实施情况。</w:t>
      </w:r>
    </w:p>
    <w:p w14:paraId="5CBB9D6E">
      <w:pPr>
        <w:pStyle w:val="47"/>
        <w:rPr>
          <w:rFonts w:hint="eastAsia"/>
        </w:rPr>
      </w:pPr>
      <w:r>
        <w:rPr>
          <w:rFonts w:hint="eastAsia"/>
        </w:rPr>
        <w:t>（3）成本指标为一级指标，权重10分。重点关注成本控制情况，项目实际支出是否超出预算，用以反映和考核项目的成本节约程度。</w:t>
      </w:r>
    </w:p>
    <w:p w14:paraId="347670F1">
      <w:pPr>
        <w:pStyle w:val="47"/>
        <w:rPr>
          <w:rFonts w:hint="eastAsia"/>
        </w:rPr>
      </w:pPr>
      <w:r>
        <w:rPr>
          <w:rFonts w:hint="eastAsia"/>
        </w:rPr>
        <w:t>（4）项目产出指标为一级指标，权重30分。从数量、质量、时效三个方面分析项目的产出情况，重点关注项目实施的实际产出数与计划产出数的比率。</w:t>
      </w:r>
    </w:p>
    <w:p w14:paraId="05FC78EF">
      <w:pPr>
        <w:pStyle w:val="47"/>
        <w:rPr>
          <w:rFonts w:hint="eastAsia"/>
        </w:rPr>
      </w:pPr>
      <w:r>
        <w:rPr>
          <w:rFonts w:hint="eastAsia"/>
        </w:rPr>
        <w:t>（5）项目效益指标为一级指标，权重20分。从社会效益、满意度指标两个方面分析项目实施产生的效益，重点项目的实施产生效益是否达到预期。</w:t>
      </w:r>
    </w:p>
    <w:p w14:paraId="58759B8B">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 xml:space="preserve">3.评价标准 </w:t>
      </w:r>
    </w:p>
    <w:p w14:paraId="5A41112C">
      <w:pPr>
        <w:pStyle w:val="47"/>
        <w:rPr>
          <w:rFonts w:hint="eastAsia"/>
        </w:rPr>
      </w:pPr>
      <w:r>
        <w:rPr>
          <w:rFonts w:hint="eastAsia"/>
        </w:rPr>
        <w:t xml:space="preserve">本次绩效评价结果采取评分与评级相结合的形式。 </w:t>
      </w:r>
    </w:p>
    <w:p w14:paraId="00CD96CF">
      <w:pPr>
        <w:pStyle w:val="47"/>
        <w:rPr>
          <w:rFonts w:hint="eastAsia"/>
        </w:rPr>
      </w:pPr>
      <w:r>
        <w:rPr>
          <w:rFonts w:hint="eastAsia"/>
        </w:rPr>
        <w:t>（</w:t>
      </w:r>
      <w:r>
        <w:t>1</w:t>
      </w:r>
      <w:r>
        <w:rPr>
          <w:rFonts w:hint="eastAsia"/>
        </w:rPr>
        <w:t>）评价评分。采用定性与定量评价相结合的方法，对定性评价指标采取分析打分，对定量评价指标采用量化打分，评价综合得分采用百分制，满分为</w:t>
      </w:r>
      <w:r>
        <w:t>100</w:t>
      </w:r>
      <w:r>
        <w:rPr>
          <w:rFonts w:hint="eastAsia"/>
        </w:rPr>
        <w:t>分。</w:t>
      </w:r>
    </w:p>
    <w:p w14:paraId="1B8CEF7E">
      <w:pPr>
        <w:pStyle w:val="47"/>
      </w:pPr>
      <w:r>
        <w:rPr>
          <w:rFonts w:hint="eastAsia"/>
        </w:rPr>
        <w:t>（2）评价等级。依据财政部《关于印发〈项目支出绩效评价管理办法〉的通知》（财预</w:t>
      </w:r>
      <w:r>
        <w:rPr>
          <w:rFonts w:hint="eastAsia" w:ascii="宋体" w:hAnsi="宋体" w:eastAsia="宋体" w:cs="宋体"/>
        </w:rPr>
        <w:t>〔</w:t>
      </w:r>
      <w:r>
        <w:t>2020</w:t>
      </w:r>
      <w:r>
        <w:rPr>
          <w:rFonts w:hint="eastAsia" w:ascii="宋体" w:hAnsi="宋体" w:eastAsia="宋体" w:cs="宋体"/>
        </w:rPr>
        <w:t>〕</w:t>
      </w:r>
      <w:r>
        <w:t>10</w:t>
      </w:r>
      <w:r>
        <w:rPr>
          <w:rFonts w:hint="eastAsia"/>
        </w:rPr>
        <w:t>号），绩效评价结果评分分值与评价等级的对应关系如下：</w:t>
      </w:r>
    </w:p>
    <w:p w14:paraId="6DB6D9BD">
      <w:pPr>
        <w:widowControl/>
        <w:spacing w:line="560" w:lineRule="exact"/>
        <w:jc w:val="center"/>
      </w:pPr>
      <w:r>
        <w:rPr>
          <w:rFonts w:hint="eastAsia" w:ascii="宋体" w:hAnsi="宋体" w:eastAsia="宋体" w:cs="宋体"/>
          <w:color w:val="000000"/>
          <w:kern w:val="0"/>
          <w:sz w:val="28"/>
          <w:szCs w:val="28"/>
          <w:lang w:bidi="ar"/>
        </w:rPr>
        <w:t>绩效评价结果评分分值与评价等级表</w:t>
      </w:r>
    </w:p>
    <w:tbl>
      <w:tblPr>
        <w:tblStyle w:val="20"/>
        <w:tblW w:w="4875" w:type="pct"/>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6"/>
        <w:gridCol w:w="1737"/>
        <w:gridCol w:w="1737"/>
        <w:gridCol w:w="1737"/>
        <w:gridCol w:w="1632"/>
      </w:tblGrid>
      <w:tr w14:paraId="734E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0" w:type="pct"/>
            <w:vAlign w:val="center"/>
          </w:tcPr>
          <w:p w14:paraId="7E3E2B11">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评价等级</w:t>
            </w:r>
          </w:p>
        </w:tc>
        <w:tc>
          <w:tcPr>
            <w:tcW w:w="1025" w:type="pct"/>
            <w:vAlign w:val="center"/>
          </w:tcPr>
          <w:p w14:paraId="6B8DB080">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优</w:t>
            </w:r>
          </w:p>
        </w:tc>
        <w:tc>
          <w:tcPr>
            <w:tcW w:w="1025" w:type="pct"/>
            <w:vAlign w:val="center"/>
          </w:tcPr>
          <w:p w14:paraId="0C417E55">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良</w:t>
            </w:r>
          </w:p>
        </w:tc>
        <w:tc>
          <w:tcPr>
            <w:tcW w:w="1025" w:type="pct"/>
            <w:vAlign w:val="center"/>
          </w:tcPr>
          <w:p w14:paraId="13B7208A">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中</w:t>
            </w:r>
          </w:p>
        </w:tc>
        <w:tc>
          <w:tcPr>
            <w:tcW w:w="963" w:type="pct"/>
            <w:vAlign w:val="center"/>
          </w:tcPr>
          <w:p w14:paraId="1CE0B5AB">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差</w:t>
            </w:r>
          </w:p>
        </w:tc>
      </w:tr>
      <w:tr w14:paraId="6023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0" w:type="pct"/>
            <w:vAlign w:val="center"/>
          </w:tcPr>
          <w:p w14:paraId="0137F247">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评分分值</w:t>
            </w:r>
          </w:p>
        </w:tc>
        <w:tc>
          <w:tcPr>
            <w:tcW w:w="1025" w:type="pct"/>
            <w:vAlign w:val="center"/>
          </w:tcPr>
          <w:p w14:paraId="3239D301">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≥90</w:t>
            </w:r>
          </w:p>
        </w:tc>
        <w:tc>
          <w:tcPr>
            <w:tcW w:w="1025" w:type="pct"/>
            <w:vAlign w:val="center"/>
          </w:tcPr>
          <w:p w14:paraId="2161F54A">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＜90，≥80</w:t>
            </w:r>
          </w:p>
        </w:tc>
        <w:tc>
          <w:tcPr>
            <w:tcW w:w="1025" w:type="pct"/>
            <w:vAlign w:val="center"/>
          </w:tcPr>
          <w:p w14:paraId="4B209C55">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＜80，≥60</w:t>
            </w:r>
          </w:p>
        </w:tc>
        <w:tc>
          <w:tcPr>
            <w:tcW w:w="963" w:type="pct"/>
            <w:vAlign w:val="center"/>
          </w:tcPr>
          <w:p w14:paraId="7CCEC37B">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＜60</w:t>
            </w:r>
          </w:p>
        </w:tc>
      </w:tr>
    </w:tbl>
    <w:p w14:paraId="3042F6FF">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4.数据来源及证据收集方式</w:t>
      </w:r>
    </w:p>
    <w:p w14:paraId="04D886C5">
      <w:pPr>
        <w:pStyle w:val="47"/>
        <w:rPr>
          <w:rFonts w:hint="eastAsia"/>
        </w:rPr>
      </w:pPr>
      <w:r>
        <w:rPr>
          <w:rFonts w:hint="eastAsia"/>
        </w:rPr>
        <w:t>本次绩效评价的证据收集途径主要有：</w:t>
      </w:r>
    </w:p>
    <w:p w14:paraId="4C4F7DC5">
      <w:pPr>
        <w:pStyle w:val="8"/>
        <w:tabs>
          <w:tab w:val="left" w:pos="510"/>
          <w:tab w:val="left" w:pos="675"/>
        </w:tabs>
        <w:overflowPunct w:val="0"/>
        <w:spacing w:line="560" w:lineRule="exact"/>
        <w:ind w:firstLine="640" w:firstLineChars="200"/>
        <w:rPr>
          <w:rFonts w:hint="eastAsia" w:ascii="仿宋_GB2312" w:hAnsi="仿宋_GB2312" w:cs="仿宋_GB2312"/>
          <w:szCs w:val="28"/>
        </w:rPr>
      </w:pPr>
      <w:bookmarkStart w:id="104" w:name="_Toc8104"/>
      <w:r>
        <w:rPr>
          <w:rFonts w:hint="eastAsia" w:ascii="仿宋_GB2312" w:hAnsi="仿宋_GB2312" w:cs="仿宋_GB2312"/>
          <w:szCs w:val="28"/>
        </w:rPr>
        <w:t>评价组在前期调研的基础上，按照资料清单，收集法规文件、会议记录、财务凭证等资料，并通过发放调查问卷等方式收集佐证材料证据，全面考察项目执行情况。</w:t>
      </w:r>
    </w:p>
    <w:p w14:paraId="7EDAF833">
      <w:pPr>
        <w:pStyle w:val="8"/>
        <w:tabs>
          <w:tab w:val="left" w:pos="510"/>
          <w:tab w:val="left" w:pos="675"/>
        </w:tabs>
        <w:overflowPunct w:val="0"/>
        <w:spacing w:line="560" w:lineRule="exact"/>
        <w:ind w:firstLine="640" w:firstLineChars="200"/>
        <w:rPr>
          <w:rFonts w:hint="eastAsia" w:ascii="仿宋_GB2312" w:hAnsi="仿宋_GB2312" w:cs="仿宋_GB2312"/>
          <w:szCs w:val="28"/>
        </w:rPr>
      </w:pPr>
      <w:r>
        <w:rPr>
          <w:rFonts w:hint="eastAsia" w:ascii="仿宋_GB2312" w:hAnsi="仿宋_GB2312" w:cs="仿宋_GB2312"/>
          <w:szCs w:val="28"/>
        </w:rPr>
        <w:t>本次绩效评价的证据收集途径主要有：</w:t>
      </w:r>
    </w:p>
    <w:p w14:paraId="6BAF51A8">
      <w:pPr>
        <w:pStyle w:val="47"/>
        <w:rPr>
          <w:rFonts w:hint="eastAsia"/>
        </w:rPr>
      </w:pPr>
      <w:r>
        <w:rPr>
          <w:rFonts w:hint="eastAsia"/>
        </w:rPr>
        <w:t>（1）由甘肃省法官学院提供基础数据资料；</w:t>
      </w:r>
    </w:p>
    <w:p w14:paraId="2D50B411">
      <w:pPr>
        <w:pStyle w:val="47"/>
        <w:rPr>
          <w:rFonts w:hint="eastAsia"/>
        </w:rPr>
      </w:pPr>
      <w:r>
        <w:rPr>
          <w:rFonts w:hint="eastAsia"/>
        </w:rPr>
        <w:t>（2）通过与甘肃省法官学院相关工作人员交流，获取信息，了解项目的成效；</w:t>
      </w:r>
    </w:p>
    <w:p w14:paraId="42D13717">
      <w:pPr>
        <w:pStyle w:val="47"/>
        <w:rPr>
          <w:rFonts w:hint="eastAsia"/>
        </w:rPr>
      </w:pPr>
      <w:r>
        <w:rPr>
          <w:rFonts w:hint="eastAsia"/>
        </w:rPr>
        <w:t>（3）对项目服务对象进行问卷调查，获取满意度数据。</w:t>
      </w:r>
    </w:p>
    <w:p w14:paraId="35F93864">
      <w:pPr>
        <w:pStyle w:val="42"/>
        <w:rPr>
          <w:rFonts w:hint="eastAsia"/>
        </w:rPr>
      </w:pPr>
      <w:bookmarkStart w:id="105" w:name="_Toc21765"/>
      <w:r>
        <w:rPr>
          <w:rFonts w:hint="eastAsia"/>
        </w:rPr>
        <w:t>（六）绩效评价工作过程</w:t>
      </w:r>
      <w:bookmarkEnd w:id="104"/>
      <w:bookmarkEnd w:id="105"/>
    </w:p>
    <w:p w14:paraId="32070873">
      <w:pPr>
        <w:pStyle w:val="47"/>
        <w:rPr>
          <w:rFonts w:hint="eastAsia"/>
        </w:rPr>
      </w:pPr>
      <w:bookmarkStart w:id="106" w:name="_Toc95"/>
      <w:bookmarkStart w:id="107" w:name="_Toc31135"/>
      <w:bookmarkStart w:id="108" w:name="_Toc1946"/>
      <w:bookmarkStart w:id="109" w:name="_Toc3172"/>
      <w:bookmarkStart w:id="110" w:name="_Toc19094"/>
      <w:bookmarkStart w:id="111" w:name="_Toc10150"/>
      <w:bookmarkStart w:id="112" w:name="_Toc30609"/>
      <w:bookmarkStart w:id="113" w:name="_Toc27041"/>
      <w:r>
        <w:rPr>
          <w:rFonts w:hint="eastAsia"/>
        </w:rPr>
        <w:t>绩效评价工作过程主要包括准备阶段、实施阶段、撰写报告阶段三个阶段。</w:t>
      </w:r>
      <w:bookmarkEnd w:id="106"/>
      <w:bookmarkEnd w:id="107"/>
      <w:bookmarkEnd w:id="108"/>
      <w:bookmarkEnd w:id="109"/>
      <w:bookmarkEnd w:id="110"/>
      <w:bookmarkEnd w:id="111"/>
      <w:bookmarkEnd w:id="112"/>
      <w:bookmarkEnd w:id="113"/>
    </w:p>
    <w:p w14:paraId="356F768F">
      <w:pPr>
        <w:pStyle w:val="4"/>
        <w:keepNext w:val="0"/>
        <w:keepLines w:val="0"/>
        <w:overflowPunct w:val="0"/>
        <w:spacing w:before="0" w:after="0" w:line="560" w:lineRule="exact"/>
        <w:ind w:firstLine="643" w:firstLineChars="200"/>
        <w:rPr>
          <w:rFonts w:hint="eastAsia" w:ascii="仿宋_GB2312" w:hAnsi="仿宋_GB2312" w:eastAsia="仿宋_GB2312" w:cs="仿宋_GB2312"/>
          <w:color w:val="000000" w:themeColor="text1"/>
          <w:szCs w:val="32"/>
          <w14:textFill>
            <w14:solidFill>
              <w14:schemeClr w14:val="tx1"/>
            </w14:solidFill>
          </w14:textFill>
        </w:rPr>
      </w:pPr>
      <w:r>
        <w:rPr>
          <w:rFonts w:hint="eastAsia" w:ascii="仿宋_GB2312" w:hAnsi="仿宋_GB2312" w:eastAsia="仿宋_GB2312" w:cs="仿宋_GB2312"/>
          <w:color w:val="000000" w:themeColor="text1"/>
          <w:szCs w:val="32"/>
          <w14:textFill>
            <w14:solidFill>
              <w14:schemeClr w14:val="tx1"/>
            </w14:solidFill>
          </w14:textFill>
        </w:rPr>
        <w:t>1.准备阶段</w:t>
      </w:r>
    </w:p>
    <w:p w14:paraId="12231E1A">
      <w:pPr>
        <w:pStyle w:val="47"/>
        <w:rPr>
          <w:rFonts w:hint="eastAsia"/>
        </w:rPr>
      </w:pPr>
      <w:r>
        <w:rPr>
          <w:rFonts w:hint="eastAsia"/>
        </w:rPr>
        <w:t>（1）确定绩效评价组</w:t>
      </w:r>
    </w:p>
    <w:p w14:paraId="3F4D64A9">
      <w:pPr>
        <w:pStyle w:val="47"/>
        <w:rPr>
          <w:rFonts w:hint="eastAsia"/>
          <w:szCs w:val="28"/>
        </w:rPr>
      </w:pPr>
      <w:r>
        <w:rPr>
          <w:rFonts w:hint="eastAsia"/>
        </w:rPr>
        <w:t>甘肃省高级人民法院安排部署本次绩效评价工作，我公司及时确定绩效评价对象和范围、成立评价工作组、开展前期调研、研究制定绩效评价工作方案、组织专家论证，明确了工作范围和职责，组织评价组人员进行业务培训，认真组织学习了相关政策法规制度、评价指标体系和评价方案，明确评价工作程序及要求，解析评价指标体系，使各参评人员对绩效评价情况做进一步了解。</w:t>
      </w:r>
      <w:r>
        <w:rPr>
          <w:rFonts w:hint="eastAsia"/>
          <w:szCs w:val="28"/>
        </w:rPr>
        <w:t>评价工作组人员名单及职责分工情况见下表：</w:t>
      </w:r>
    </w:p>
    <w:tbl>
      <w:tblPr>
        <w:tblStyle w:val="20"/>
        <w:tblW w:w="4960" w:type="pct"/>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195"/>
        <w:gridCol w:w="1517"/>
        <w:gridCol w:w="2148"/>
        <w:gridCol w:w="2871"/>
      </w:tblGrid>
      <w:tr w14:paraId="6850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blHeader/>
        </w:trPr>
        <w:tc>
          <w:tcPr>
            <w:tcW w:w="514" w:type="pct"/>
            <w:vAlign w:val="center"/>
          </w:tcPr>
          <w:p w14:paraId="03143754">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序号</w:t>
            </w:r>
          </w:p>
        </w:tc>
        <w:tc>
          <w:tcPr>
            <w:tcW w:w="693" w:type="pct"/>
            <w:vAlign w:val="center"/>
          </w:tcPr>
          <w:p w14:paraId="7B9F604E">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姓名</w:t>
            </w:r>
          </w:p>
        </w:tc>
        <w:tc>
          <w:tcPr>
            <w:tcW w:w="880" w:type="pct"/>
            <w:vAlign w:val="center"/>
          </w:tcPr>
          <w:p w14:paraId="21DA8EC5">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职务</w:t>
            </w:r>
          </w:p>
        </w:tc>
        <w:tc>
          <w:tcPr>
            <w:tcW w:w="1246" w:type="pct"/>
            <w:vAlign w:val="center"/>
          </w:tcPr>
          <w:p w14:paraId="5B328AF4">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职称和职业资格</w:t>
            </w:r>
          </w:p>
        </w:tc>
        <w:tc>
          <w:tcPr>
            <w:tcW w:w="1665" w:type="pct"/>
          </w:tcPr>
          <w:p w14:paraId="266C44FE">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工作内容</w:t>
            </w:r>
          </w:p>
        </w:tc>
      </w:tr>
      <w:tr w14:paraId="2EE2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vAlign w:val="center"/>
          </w:tcPr>
          <w:p w14:paraId="676A9AE1">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1</w:t>
            </w:r>
          </w:p>
        </w:tc>
        <w:tc>
          <w:tcPr>
            <w:tcW w:w="693" w:type="pct"/>
            <w:vAlign w:val="center"/>
          </w:tcPr>
          <w:p w14:paraId="3DF02245">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郑生伟</w:t>
            </w:r>
          </w:p>
        </w:tc>
        <w:tc>
          <w:tcPr>
            <w:tcW w:w="880" w:type="pct"/>
            <w:vAlign w:val="center"/>
          </w:tcPr>
          <w:p w14:paraId="5BBFA0B0">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审核人</w:t>
            </w:r>
          </w:p>
        </w:tc>
        <w:tc>
          <w:tcPr>
            <w:tcW w:w="1246" w:type="pct"/>
            <w:vAlign w:val="center"/>
          </w:tcPr>
          <w:p w14:paraId="618BE9FF">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绩效评价师</w:t>
            </w:r>
          </w:p>
        </w:tc>
        <w:tc>
          <w:tcPr>
            <w:tcW w:w="1665" w:type="pct"/>
            <w:vAlign w:val="center"/>
          </w:tcPr>
          <w:p w14:paraId="1B12E416">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绩效评价指导、复核</w:t>
            </w:r>
          </w:p>
        </w:tc>
      </w:tr>
      <w:tr w14:paraId="58CE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514" w:type="pct"/>
            <w:vAlign w:val="center"/>
          </w:tcPr>
          <w:p w14:paraId="051DC9A5">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2</w:t>
            </w:r>
          </w:p>
        </w:tc>
        <w:tc>
          <w:tcPr>
            <w:tcW w:w="693" w:type="pct"/>
            <w:vAlign w:val="center"/>
          </w:tcPr>
          <w:p w14:paraId="79787730">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刘燕</w:t>
            </w:r>
          </w:p>
        </w:tc>
        <w:tc>
          <w:tcPr>
            <w:tcW w:w="880" w:type="pct"/>
            <w:vAlign w:val="center"/>
          </w:tcPr>
          <w:p w14:paraId="336FB804">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主评人</w:t>
            </w:r>
          </w:p>
        </w:tc>
        <w:tc>
          <w:tcPr>
            <w:tcW w:w="1246" w:type="pct"/>
            <w:vAlign w:val="center"/>
          </w:tcPr>
          <w:p w14:paraId="43A5A5DB">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绩效评价师</w:t>
            </w:r>
          </w:p>
        </w:tc>
        <w:tc>
          <w:tcPr>
            <w:tcW w:w="1665" w:type="pct"/>
            <w:vAlign w:val="center"/>
          </w:tcPr>
          <w:p w14:paraId="45260D0D">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制定评价方案、评价报告撰写、现场及非现场评价</w:t>
            </w:r>
          </w:p>
        </w:tc>
      </w:tr>
      <w:tr w14:paraId="7021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vAlign w:val="center"/>
          </w:tcPr>
          <w:p w14:paraId="251746D1">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3</w:t>
            </w:r>
          </w:p>
        </w:tc>
        <w:tc>
          <w:tcPr>
            <w:tcW w:w="693" w:type="pct"/>
            <w:vAlign w:val="center"/>
          </w:tcPr>
          <w:p w14:paraId="5D87CE54">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赵悦江</w:t>
            </w:r>
          </w:p>
        </w:tc>
        <w:tc>
          <w:tcPr>
            <w:tcW w:w="880" w:type="pct"/>
            <w:vAlign w:val="center"/>
          </w:tcPr>
          <w:p w14:paraId="706CBB88">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组员</w:t>
            </w:r>
          </w:p>
        </w:tc>
        <w:tc>
          <w:tcPr>
            <w:tcW w:w="1246" w:type="pct"/>
            <w:vAlign w:val="center"/>
          </w:tcPr>
          <w:p w14:paraId="14D557FE">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restart"/>
            <w:vAlign w:val="center"/>
          </w:tcPr>
          <w:p w14:paraId="5055EE66">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资料收集、审核、整理分析、现场及非现场评价</w:t>
            </w:r>
          </w:p>
        </w:tc>
      </w:tr>
      <w:tr w14:paraId="6558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514" w:type="pct"/>
            <w:vAlign w:val="center"/>
          </w:tcPr>
          <w:p w14:paraId="6A871461">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4</w:t>
            </w:r>
          </w:p>
        </w:tc>
        <w:tc>
          <w:tcPr>
            <w:tcW w:w="1195" w:type="dxa"/>
            <w:vAlign w:val="center"/>
          </w:tcPr>
          <w:p w14:paraId="4494F81F">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吕晓芳</w:t>
            </w:r>
          </w:p>
        </w:tc>
        <w:tc>
          <w:tcPr>
            <w:tcW w:w="880" w:type="pct"/>
            <w:vAlign w:val="center"/>
          </w:tcPr>
          <w:p w14:paraId="22B248A8">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组员</w:t>
            </w:r>
          </w:p>
        </w:tc>
        <w:tc>
          <w:tcPr>
            <w:tcW w:w="1246" w:type="pct"/>
            <w:vAlign w:val="center"/>
          </w:tcPr>
          <w:p w14:paraId="3D3BE843">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continue"/>
          </w:tcPr>
          <w:p w14:paraId="2F361233">
            <w:pPr>
              <w:overflowPunct w:val="0"/>
              <w:spacing w:line="560" w:lineRule="exact"/>
              <w:rPr>
                <w:rFonts w:hint="eastAsia" w:ascii="宋体" w:hAnsi="宋体" w:eastAsia="宋体" w:cs="Times New Roman"/>
                <w:sz w:val="24"/>
                <w:szCs w:val="24"/>
                <w:shd w:val="clear" w:color="auto" w:fill="FFFFFF"/>
              </w:rPr>
            </w:pPr>
          </w:p>
        </w:tc>
      </w:tr>
      <w:tr w14:paraId="6509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vAlign w:val="center"/>
          </w:tcPr>
          <w:p w14:paraId="0334ED48">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5</w:t>
            </w:r>
          </w:p>
        </w:tc>
        <w:tc>
          <w:tcPr>
            <w:tcW w:w="1195" w:type="dxa"/>
            <w:vAlign w:val="center"/>
          </w:tcPr>
          <w:p w14:paraId="59A74544">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向文霞</w:t>
            </w:r>
          </w:p>
        </w:tc>
        <w:tc>
          <w:tcPr>
            <w:tcW w:w="880" w:type="pct"/>
            <w:vAlign w:val="center"/>
          </w:tcPr>
          <w:p w14:paraId="3DE4ED5D">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组员</w:t>
            </w:r>
          </w:p>
        </w:tc>
        <w:tc>
          <w:tcPr>
            <w:tcW w:w="1246" w:type="pct"/>
            <w:vAlign w:val="center"/>
          </w:tcPr>
          <w:p w14:paraId="5DC66D91">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continue"/>
          </w:tcPr>
          <w:p w14:paraId="5092D0C2">
            <w:pPr>
              <w:overflowPunct w:val="0"/>
              <w:spacing w:line="560" w:lineRule="exact"/>
              <w:rPr>
                <w:rFonts w:hint="eastAsia" w:ascii="宋体" w:hAnsi="宋体" w:eastAsia="宋体" w:cs="Times New Roman"/>
                <w:sz w:val="24"/>
                <w:szCs w:val="24"/>
                <w:shd w:val="clear" w:color="auto" w:fill="FFFFFF"/>
              </w:rPr>
            </w:pPr>
          </w:p>
        </w:tc>
      </w:tr>
      <w:tr w14:paraId="03B5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vAlign w:val="center"/>
          </w:tcPr>
          <w:p w14:paraId="73DDB45D">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6</w:t>
            </w:r>
          </w:p>
        </w:tc>
        <w:tc>
          <w:tcPr>
            <w:tcW w:w="693" w:type="pct"/>
            <w:vAlign w:val="center"/>
          </w:tcPr>
          <w:p w14:paraId="43EB6AC5">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杨世勋</w:t>
            </w:r>
          </w:p>
        </w:tc>
        <w:tc>
          <w:tcPr>
            <w:tcW w:w="880" w:type="pct"/>
            <w:vAlign w:val="center"/>
          </w:tcPr>
          <w:p w14:paraId="0674B47F">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组员</w:t>
            </w:r>
          </w:p>
        </w:tc>
        <w:tc>
          <w:tcPr>
            <w:tcW w:w="1246" w:type="pct"/>
            <w:vAlign w:val="center"/>
          </w:tcPr>
          <w:p w14:paraId="2393B25A">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continue"/>
          </w:tcPr>
          <w:p w14:paraId="43E710D7">
            <w:pPr>
              <w:overflowPunct w:val="0"/>
              <w:spacing w:line="560" w:lineRule="exact"/>
              <w:rPr>
                <w:rFonts w:hint="eastAsia" w:ascii="宋体" w:hAnsi="宋体" w:eastAsia="宋体" w:cs="Times New Roman"/>
                <w:sz w:val="24"/>
                <w:szCs w:val="24"/>
                <w:shd w:val="clear" w:color="auto" w:fill="FFFFFF"/>
              </w:rPr>
            </w:pPr>
          </w:p>
        </w:tc>
      </w:tr>
    </w:tbl>
    <w:p w14:paraId="1C936F2B">
      <w:pPr>
        <w:pStyle w:val="47"/>
        <w:rPr>
          <w:rFonts w:hint="eastAsia"/>
        </w:rPr>
      </w:pPr>
      <w:r>
        <w:rPr>
          <w:rFonts w:hint="eastAsia"/>
        </w:rPr>
        <w:t>（2）评价时间安排</w:t>
      </w:r>
    </w:p>
    <w:p w14:paraId="3F04690E">
      <w:pPr>
        <w:pStyle w:val="47"/>
        <w:rPr>
          <w:rFonts w:hint="eastAsia"/>
        </w:rPr>
      </w:pPr>
      <w:r>
        <w:rPr>
          <w:rFonts w:hint="eastAsia"/>
        </w:rPr>
        <w:t>根据甘肃省高级人民法院要求，确定评价时间为2024年7月1日—2024年7月31日。</w:t>
      </w:r>
    </w:p>
    <w:p w14:paraId="4CF58B55">
      <w:pPr>
        <w:pStyle w:val="4"/>
        <w:keepNext w:val="0"/>
        <w:keepLines w:val="0"/>
        <w:overflowPunct w:val="0"/>
        <w:spacing w:before="0" w:after="0" w:line="560" w:lineRule="exact"/>
        <w:ind w:firstLine="643" w:firstLineChars="200"/>
        <w:rPr>
          <w:rFonts w:hint="eastAsia" w:ascii="仿宋_GB2312" w:hAnsi="仿宋_GB2312" w:eastAsia="仿宋_GB2312" w:cs="仿宋_GB2312"/>
          <w:color w:val="000000" w:themeColor="text1"/>
          <w:szCs w:val="32"/>
          <w14:textFill>
            <w14:solidFill>
              <w14:schemeClr w14:val="tx1"/>
            </w14:solidFill>
          </w14:textFill>
        </w:rPr>
      </w:pPr>
      <w:r>
        <w:rPr>
          <w:rFonts w:hint="eastAsia" w:ascii="仿宋_GB2312" w:hAnsi="仿宋_GB2312" w:eastAsia="仿宋_GB2312" w:cs="仿宋_GB2312"/>
          <w:color w:val="000000" w:themeColor="text1"/>
          <w:szCs w:val="32"/>
          <w14:textFill>
            <w14:solidFill>
              <w14:schemeClr w14:val="tx1"/>
            </w14:solidFill>
          </w14:textFill>
        </w:rPr>
        <w:t>2.实施阶段</w:t>
      </w:r>
    </w:p>
    <w:p w14:paraId="76609214">
      <w:pPr>
        <w:pStyle w:val="47"/>
        <w:rPr>
          <w:rFonts w:hint="eastAsia"/>
        </w:rPr>
      </w:pPr>
      <w:r>
        <w:rPr>
          <w:rFonts w:hint="eastAsia"/>
        </w:rPr>
        <w:t>（1）递交资料清单</w:t>
      </w:r>
    </w:p>
    <w:p w14:paraId="6B31A3BD">
      <w:pPr>
        <w:pStyle w:val="8"/>
        <w:tabs>
          <w:tab w:val="left" w:pos="510"/>
          <w:tab w:val="left" w:pos="675"/>
        </w:tabs>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绩效评价组在拟开展现场评价的5个工作日前向甘肃省法官学院发送资料清单，甘肃省法官学院提前准备评价资料。</w:t>
      </w:r>
    </w:p>
    <w:p w14:paraId="2DE1253C">
      <w:pPr>
        <w:pStyle w:val="47"/>
        <w:rPr>
          <w:rFonts w:hint="eastAsia"/>
        </w:rPr>
      </w:pPr>
      <w:r>
        <w:rPr>
          <w:rFonts w:hint="eastAsia"/>
        </w:rPr>
        <w:t>（2）进驻评价单位</w:t>
      </w:r>
    </w:p>
    <w:p w14:paraId="234CFA36">
      <w:pPr>
        <w:pStyle w:val="47"/>
        <w:rPr>
          <w:rFonts w:hint="eastAsia"/>
        </w:rPr>
      </w:pPr>
      <w:r>
        <w:rPr>
          <w:rFonts w:hint="eastAsia"/>
        </w:rPr>
        <w:t>评价组按时进驻甘肃省法官学院，根据工作方案，对相关工作人员进行了访谈，本次访谈旨在通过与相关工作人员进行沟通，了解项目基本情况以及重点工作任务完成情况，听取项目的目标设定及完成程度、组织管理制度建立健全及落实情况、预算支出执行情况、财务管理状况、资产管理情况和项目实施产生的效益效果等情况介绍。</w:t>
      </w:r>
    </w:p>
    <w:p w14:paraId="786F48B4">
      <w:pPr>
        <w:pStyle w:val="8"/>
        <w:tabs>
          <w:tab w:val="left" w:pos="510"/>
          <w:tab w:val="left" w:pos="675"/>
        </w:tabs>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（3）资料分析及复核</w:t>
      </w:r>
    </w:p>
    <w:p w14:paraId="79B60F25">
      <w:pPr>
        <w:pStyle w:val="47"/>
        <w:rPr>
          <w:rFonts w:hint="eastAsia"/>
        </w:rPr>
      </w:pPr>
      <w:r>
        <w:rPr>
          <w:rFonts w:hint="eastAsia"/>
        </w:rPr>
        <w:t>根据访谈了解情况对甘肃省法官学院提供的资料进行核对，核实其真实性。结合资料进行现场查看，核实甘肃省法官学院各项重点工作任务的完成情况的真实性和规范性。</w:t>
      </w:r>
    </w:p>
    <w:p w14:paraId="558B1D47">
      <w:pPr>
        <w:pStyle w:val="47"/>
        <w:rPr>
          <w:rFonts w:hint="eastAsia"/>
        </w:rPr>
      </w:pPr>
      <w:r>
        <w:rPr>
          <w:rFonts w:hint="eastAsia"/>
        </w:rPr>
        <w:t>（4）进行现场评分</w:t>
      </w:r>
    </w:p>
    <w:p w14:paraId="2C47DD27">
      <w:pPr>
        <w:pStyle w:val="47"/>
        <w:rPr>
          <w:rFonts w:hint="eastAsia"/>
        </w:rPr>
      </w:pPr>
      <w:r>
        <w:rPr>
          <w:rFonts w:hint="eastAsia"/>
        </w:rPr>
        <w:t>针对评价中发现的问题与甘肃省法官学院及时沟通，对各项评价指标进行分析讨论，经反复分析、研究，按设计的评价指标体系进行现场评价打分。</w:t>
      </w:r>
    </w:p>
    <w:p w14:paraId="4DBE9DFA">
      <w:pPr>
        <w:pStyle w:val="47"/>
        <w:rPr>
          <w:rFonts w:hint="eastAsia"/>
        </w:rPr>
      </w:pPr>
      <w:r>
        <w:rPr>
          <w:rFonts w:hint="eastAsia"/>
        </w:rPr>
        <w:t>（5）开展社会调查</w:t>
      </w:r>
    </w:p>
    <w:p w14:paraId="5986CCF8">
      <w:pPr>
        <w:pStyle w:val="47"/>
        <w:rPr>
          <w:rFonts w:hint="eastAsia"/>
        </w:rPr>
      </w:pPr>
      <w:r>
        <w:rPr>
          <w:rFonts w:hint="eastAsia"/>
        </w:rPr>
        <w:t>根据绩效评价方案中确定的调查对象、调查内容，随机抽取项目受益对象进行调查，发放并收回调查问卷，对调查问卷进行了统计分析。</w:t>
      </w:r>
    </w:p>
    <w:p w14:paraId="02F4EAFD">
      <w:pPr>
        <w:pStyle w:val="4"/>
        <w:keepNext w:val="0"/>
        <w:keepLines w:val="0"/>
        <w:overflowPunct w:val="0"/>
        <w:spacing w:before="0" w:after="0" w:line="560" w:lineRule="exact"/>
        <w:ind w:firstLine="643" w:firstLineChars="200"/>
        <w:rPr>
          <w:rFonts w:hint="eastAsia" w:ascii="仿宋_GB2312" w:hAnsi="仿宋_GB2312" w:eastAsia="仿宋_GB2312" w:cs="仿宋_GB2312"/>
          <w:color w:val="000000" w:themeColor="text1"/>
          <w:szCs w:val="32"/>
          <w14:textFill>
            <w14:solidFill>
              <w14:schemeClr w14:val="tx1"/>
            </w14:solidFill>
          </w14:textFill>
        </w:rPr>
      </w:pPr>
      <w:r>
        <w:rPr>
          <w:rFonts w:hint="eastAsia" w:ascii="仿宋_GB2312" w:hAnsi="仿宋_GB2312" w:eastAsia="仿宋_GB2312" w:cs="仿宋_GB2312"/>
          <w:color w:val="000000" w:themeColor="text1"/>
          <w:szCs w:val="32"/>
          <w14:textFill>
            <w14:solidFill>
              <w14:schemeClr w14:val="tx1"/>
            </w14:solidFill>
          </w14:textFill>
        </w:rPr>
        <w:t>3.撰写报告阶段</w:t>
      </w:r>
    </w:p>
    <w:p w14:paraId="7359464D">
      <w:pPr>
        <w:pStyle w:val="47"/>
        <w:rPr>
          <w:rFonts w:hint="eastAsia"/>
        </w:rPr>
      </w:pPr>
      <w:r>
        <w:rPr>
          <w:rFonts w:hint="eastAsia"/>
        </w:rPr>
        <w:t>（1）撰写绩效评价报告</w:t>
      </w:r>
    </w:p>
    <w:p w14:paraId="544D2FB6">
      <w:pPr>
        <w:pStyle w:val="47"/>
        <w:rPr>
          <w:rFonts w:hint="eastAsia"/>
        </w:rPr>
      </w:pPr>
      <w:r>
        <w:rPr>
          <w:rFonts w:hint="eastAsia"/>
        </w:rPr>
        <w:t>评价小组根据现场评价收集的资料，运用科学、合理的绩效评价指标、评价标准和评价方法，对项目支出的经济性、效率性和效益性进行客观、公正地评价，及时撰写绩效评价报告，并做到依据充分、数据真实、内容完整、客观公正、结论明确、建议可行。</w:t>
      </w:r>
    </w:p>
    <w:p w14:paraId="6E91D524">
      <w:pPr>
        <w:pStyle w:val="47"/>
        <w:rPr>
          <w:rFonts w:hint="eastAsia"/>
        </w:rPr>
      </w:pPr>
      <w:r>
        <w:rPr>
          <w:rFonts w:hint="eastAsia"/>
        </w:rPr>
        <w:t>（2）绩效评价报告征求意见</w:t>
      </w:r>
    </w:p>
    <w:p w14:paraId="7D29F9E9">
      <w:pPr>
        <w:pStyle w:val="47"/>
        <w:rPr>
          <w:rFonts w:hint="eastAsia"/>
        </w:rPr>
      </w:pPr>
      <w:r>
        <w:rPr>
          <w:rFonts w:hint="eastAsia"/>
        </w:rPr>
        <w:t>绩效评价报告初稿完成后，征求甘肃省法官学院的意见，根据反馈的有效意见对评价报告进行修改。</w:t>
      </w:r>
    </w:p>
    <w:p w14:paraId="4AE13FAF">
      <w:pPr>
        <w:pStyle w:val="47"/>
        <w:rPr>
          <w:rFonts w:hint="eastAsia"/>
        </w:rPr>
      </w:pPr>
      <w:r>
        <w:rPr>
          <w:rFonts w:hint="eastAsia"/>
        </w:rPr>
        <w:t>（3）提交绩效评价报告</w:t>
      </w:r>
    </w:p>
    <w:p w14:paraId="422FE804">
      <w:pPr>
        <w:overflowPunct w:val="0"/>
        <w:spacing w:line="560" w:lineRule="exact"/>
        <w:ind w:firstLine="640" w:firstLineChars="200"/>
        <w:rPr>
          <w:rFonts w:hint="eastAsia" w:ascii="仿宋_GB2312" w:hAnsi="仿宋_GB2312" w:eastAsia="仿宋_GB2312" w:cs="仿宋_GB2312"/>
          <w:sz w:val="32"/>
          <w:szCs w:val="32"/>
        </w:rPr>
      </w:pPr>
      <w:r>
        <w:rPr>
          <w:rStyle w:val="48"/>
          <w:rFonts w:hint="eastAsia"/>
        </w:rPr>
        <w:t>绩效评价报告及评价数据资料经绩效评价负责人和被评价单位确定，在规定时间内按照规定的格式、要</w:t>
      </w:r>
      <w:r>
        <w:rPr>
          <w:rFonts w:hint="eastAsia" w:ascii="仿宋_GB2312" w:hAnsi="仿宋_GB2312" w:eastAsia="仿宋_GB2312" w:cs="仿宋_GB2312"/>
          <w:sz w:val="32"/>
          <w:szCs w:val="32"/>
        </w:rPr>
        <w:t>求，提交甘肃省法官学院及财政部门。</w:t>
      </w:r>
    </w:p>
    <w:p w14:paraId="2DDC51FA">
      <w:pPr>
        <w:pStyle w:val="40"/>
      </w:pPr>
      <w:bookmarkStart w:id="114" w:name="_Toc22550"/>
      <w:bookmarkStart w:id="115" w:name="_Toc6529"/>
      <w:bookmarkStart w:id="116" w:name="_Toc23599"/>
      <w:r>
        <w:rPr>
          <w:rFonts w:hint="eastAsia"/>
        </w:rPr>
        <w:t>四、评价结论及分析</w:t>
      </w:r>
      <w:bookmarkEnd w:id="114"/>
      <w:bookmarkEnd w:id="115"/>
      <w:bookmarkEnd w:id="116"/>
      <w:r>
        <w:rPr>
          <w:rFonts w:hint="eastAsia"/>
        </w:rPr>
        <w:t xml:space="preserve"> </w:t>
      </w:r>
    </w:p>
    <w:p w14:paraId="16678F42">
      <w:pPr>
        <w:pStyle w:val="47"/>
      </w:pPr>
      <w:r>
        <w:rPr>
          <w:rFonts w:hint="eastAsia"/>
        </w:rPr>
        <w:t>评价小组根据项目实际，运用事先设置的评价指标体系及评分标准，对本次绩效评价指标体系进行适当调整，并经过数据采集、问卷调查及访谈、专家论证等，客观公正地评价，评定2023年度电费补助项目综合评价得分为</w:t>
      </w:r>
      <w:r>
        <w:rPr>
          <w:rFonts w:hint="eastAsia"/>
          <w:lang w:val="en-US" w:eastAsia="zh-CN"/>
        </w:rPr>
        <w:t>97</w:t>
      </w:r>
      <w:r>
        <w:rPr>
          <w:rFonts w:hint="eastAsia"/>
        </w:rPr>
        <w:t>.</w:t>
      </w:r>
      <w:r>
        <w:rPr>
          <w:rFonts w:hint="eastAsia"/>
          <w:lang w:val="en-US" w:eastAsia="zh-CN"/>
        </w:rPr>
        <w:t>34</w:t>
      </w:r>
      <w:r>
        <w:rPr>
          <w:rFonts w:hint="eastAsia"/>
        </w:rPr>
        <w:t>分，评价等级为“优”。指标具体得分情况见下表：</w:t>
      </w:r>
    </w:p>
    <w:tbl>
      <w:tblPr>
        <w:tblStyle w:val="19"/>
        <w:tblW w:w="8588" w:type="dxa"/>
        <w:tblInd w:w="96" w:type="dxa"/>
        <w:tblLayout w:type="autofit"/>
        <w:tblCellMar>
          <w:top w:w="0" w:type="dxa"/>
          <w:left w:w="108" w:type="dxa"/>
          <w:bottom w:w="0" w:type="dxa"/>
          <w:right w:w="108" w:type="dxa"/>
        </w:tblCellMar>
      </w:tblPr>
      <w:tblGrid>
        <w:gridCol w:w="1116"/>
        <w:gridCol w:w="1113"/>
        <w:gridCol w:w="2662"/>
        <w:gridCol w:w="1223"/>
        <w:gridCol w:w="1222"/>
        <w:gridCol w:w="1252"/>
      </w:tblGrid>
      <w:tr w14:paraId="16CFE8DE">
        <w:tblPrEx>
          <w:tblCellMar>
            <w:top w:w="0" w:type="dxa"/>
            <w:left w:w="108" w:type="dxa"/>
            <w:bottom w:w="0" w:type="dxa"/>
            <w:right w:w="108" w:type="dxa"/>
          </w:tblCellMar>
        </w:tblPrEx>
        <w:trPr>
          <w:trHeight w:val="454" w:hRule="atLeast"/>
          <w:tblHeader/>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B8F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一级指标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DB7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43AF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87AF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CD7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252" w:type="dxa"/>
            <w:tcBorders>
              <w:top w:val="single" w:color="000000" w:sz="4" w:space="0"/>
              <w:left w:val="single" w:color="000000" w:sz="4" w:space="0"/>
              <w:bottom w:val="single" w:color="auto" w:sz="4" w:space="0"/>
              <w:right w:val="single" w:color="000000" w:sz="4" w:space="0"/>
            </w:tcBorders>
            <w:shd w:val="clear" w:color="auto" w:fill="auto"/>
            <w:vAlign w:val="center"/>
          </w:tcPr>
          <w:p w14:paraId="51126CF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1F25EDBF">
        <w:tblPrEx>
          <w:tblCellMar>
            <w:top w:w="0" w:type="dxa"/>
            <w:left w:w="108" w:type="dxa"/>
            <w:bottom w:w="0" w:type="dxa"/>
            <w:right w:w="108" w:type="dxa"/>
          </w:tblCellMar>
        </w:tblPrEx>
        <w:trPr>
          <w:trHeight w:val="454" w:hRule="atLeast"/>
        </w:trPr>
        <w:tc>
          <w:tcPr>
            <w:tcW w:w="1116" w:type="dxa"/>
            <w:vMerge w:val="restart"/>
            <w:tcBorders>
              <w:top w:val="single" w:color="000000" w:sz="4" w:space="0"/>
              <w:left w:val="single" w:color="000000" w:sz="4" w:space="0"/>
              <w:right w:val="single" w:color="000000" w:sz="4" w:space="0"/>
            </w:tcBorders>
            <w:shd w:val="clear" w:color="auto" w:fill="auto"/>
            <w:vAlign w:val="center"/>
          </w:tcPr>
          <w:p w14:paraId="107082A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决策指标</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00B4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项目立项</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99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立项依据充分性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4777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4733771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2B205EE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4DB444C">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200741B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EFD3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DE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立项程序规范性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FF6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6B171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75A50E4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68B23D6C">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5D4458E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1113" w:type="dxa"/>
            <w:vMerge w:val="restart"/>
            <w:tcBorders>
              <w:top w:val="single" w:color="000000" w:sz="4" w:space="0"/>
              <w:left w:val="single" w:color="000000" w:sz="4" w:space="0"/>
              <w:right w:val="single" w:color="000000" w:sz="4" w:space="0"/>
            </w:tcBorders>
            <w:shd w:val="clear" w:color="auto" w:fill="auto"/>
            <w:vAlign w:val="center"/>
          </w:tcPr>
          <w:p w14:paraId="301CD8B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绩效目标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BEF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绩效目标合理性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7D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F74707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432186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10357251">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61590D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p>
        </w:tc>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2444CFE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947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绩效指标明确性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535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3BC731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30EBD2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4C3322D8">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0D5AE2F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984A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资金投入  </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76B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预算编制科学性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2B1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50044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3188F6E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2D58440C">
        <w:tblPrEx>
          <w:tblCellMar>
            <w:top w:w="0" w:type="dxa"/>
            <w:left w:w="108" w:type="dxa"/>
            <w:bottom w:w="0" w:type="dxa"/>
            <w:right w:w="108" w:type="dxa"/>
          </w:tblCellMar>
        </w:tblPrEx>
        <w:trPr>
          <w:trHeight w:val="454" w:hRule="atLeast"/>
        </w:trPr>
        <w:tc>
          <w:tcPr>
            <w:tcW w:w="1116" w:type="dxa"/>
            <w:vMerge w:val="continue"/>
            <w:tcBorders>
              <w:left w:val="single" w:color="000000" w:sz="4" w:space="0"/>
              <w:bottom w:val="single" w:color="000000" w:sz="4" w:space="0"/>
              <w:right w:val="single" w:color="000000" w:sz="4" w:space="0"/>
            </w:tcBorders>
            <w:shd w:val="clear" w:color="auto" w:fill="auto"/>
            <w:vAlign w:val="center"/>
          </w:tcPr>
          <w:p w14:paraId="2138278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A587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5F4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资金分配合理性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9B4F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279874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44F6C08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1CD7543B">
        <w:tblPrEx>
          <w:tblCellMar>
            <w:top w:w="0" w:type="dxa"/>
            <w:left w:w="108" w:type="dxa"/>
            <w:bottom w:w="0" w:type="dxa"/>
            <w:right w:w="108" w:type="dxa"/>
          </w:tblCellMar>
        </w:tblPrEx>
        <w:trPr>
          <w:trHeight w:val="454" w:hRule="atLeast"/>
        </w:trPr>
        <w:tc>
          <w:tcPr>
            <w:tcW w:w="1116" w:type="dxa"/>
            <w:vMerge w:val="restart"/>
            <w:tcBorders>
              <w:top w:val="single" w:color="000000" w:sz="4" w:space="0"/>
              <w:left w:val="single" w:color="000000" w:sz="4" w:space="0"/>
              <w:right w:val="single" w:color="000000" w:sz="4" w:space="0"/>
            </w:tcBorders>
            <w:shd w:val="clear" w:color="auto" w:fill="auto"/>
            <w:vAlign w:val="center"/>
          </w:tcPr>
          <w:p w14:paraId="40A3F8CA">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过程指标</w:t>
            </w:r>
          </w:p>
        </w:tc>
        <w:tc>
          <w:tcPr>
            <w:tcW w:w="1113" w:type="dxa"/>
            <w:vMerge w:val="restart"/>
            <w:tcBorders>
              <w:top w:val="single" w:color="000000" w:sz="4" w:space="0"/>
              <w:left w:val="single" w:color="000000" w:sz="4" w:space="0"/>
              <w:right w:val="single" w:color="000000" w:sz="4" w:space="0"/>
            </w:tcBorders>
            <w:shd w:val="clear" w:color="auto" w:fill="auto"/>
            <w:vAlign w:val="center"/>
          </w:tcPr>
          <w:p w14:paraId="099CECF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资金管理</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8DE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资金到位率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39C6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3</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1A2024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3</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3B93715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263C3169">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121B36DF">
            <w:pPr>
              <w:keepNext w:val="0"/>
              <w:keepLines w:val="0"/>
              <w:pageBreakBefore w:val="0"/>
              <w:widowControl/>
              <w:kinsoku/>
              <w:wordWrap/>
              <w:overflowPunct/>
              <w:topLinePunct w:val="0"/>
              <w:autoSpaceDE/>
              <w:autoSpaceDN/>
              <w:bidi w:val="0"/>
              <w:adjustRightInd/>
              <w:snapToGrid/>
              <w:spacing w:line="240" w:lineRule="auto"/>
              <w:textAlignment w:val="center"/>
              <w:rPr>
                <w:rFonts w:hint="eastAsia" w:ascii="宋体" w:hAnsi="宋体" w:eastAsia="宋体" w:cs="宋体"/>
                <w:kern w:val="0"/>
                <w:sz w:val="20"/>
                <w:szCs w:val="20"/>
                <w:lang w:bidi="ar"/>
              </w:rPr>
            </w:pPr>
          </w:p>
        </w:tc>
        <w:tc>
          <w:tcPr>
            <w:tcW w:w="1113" w:type="dxa"/>
            <w:vMerge w:val="continue"/>
            <w:tcBorders>
              <w:left w:val="single" w:color="000000" w:sz="4" w:space="0"/>
              <w:right w:val="single" w:color="000000" w:sz="4" w:space="0"/>
            </w:tcBorders>
            <w:shd w:val="clear" w:color="auto" w:fill="auto"/>
            <w:vAlign w:val="center"/>
          </w:tcPr>
          <w:p w14:paraId="78E2659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3B4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预算执行率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897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3</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14F8D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3</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521B09E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6715CDB0">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5B5E759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1113" w:type="dxa"/>
            <w:vMerge w:val="continue"/>
            <w:tcBorders>
              <w:left w:val="single" w:color="000000" w:sz="4" w:space="0"/>
              <w:bottom w:val="single" w:color="auto" w:sz="4" w:space="0"/>
              <w:right w:val="single" w:color="000000" w:sz="4" w:space="0"/>
            </w:tcBorders>
            <w:shd w:val="clear" w:color="auto" w:fill="auto"/>
            <w:vAlign w:val="center"/>
          </w:tcPr>
          <w:p w14:paraId="0E13761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7EF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资金使用合规性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41B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4</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A81444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eastAsia="zh-CN" w:bidi="ar"/>
              </w:rPr>
            </w:pPr>
            <w:r>
              <w:rPr>
                <w:rFonts w:hint="eastAsia" w:ascii="宋体" w:hAnsi="宋体" w:eastAsia="宋体" w:cs="宋体"/>
                <w:color w:val="000000"/>
                <w:kern w:val="0"/>
                <w:sz w:val="20"/>
                <w:szCs w:val="20"/>
                <w:lang w:val="en-US" w:eastAsia="zh-CN" w:bidi="ar"/>
              </w:rPr>
              <w:t>3</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32F37B0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val="en-US" w:eastAsia="zh-CN" w:bidi="ar"/>
              </w:rPr>
              <w:t>75</w:t>
            </w:r>
            <w:r>
              <w:rPr>
                <w:rFonts w:hint="eastAsia" w:ascii="宋体" w:hAnsi="宋体" w:eastAsia="宋体" w:cs="宋体"/>
                <w:color w:val="000000"/>
                <w:kern w:val="0"/>
                <w:sz w:val="20"/>
                <w:szCs w:val="20"/>
                <w:lang w:bidi="ar"/>
              </w:rPr>
              <w:t>.00%</w:t>
            </w:r>
          </w:p>
        </w:tc>
      </w:tr>
      <w:tr w14:paraId="3A682CA0">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456FF05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1113" w:type="dxa"/>
            <w:vMerge w:val="restart"/>
            <w:tcBorders>
              <w:top w:val="single" w:color="auto" w:sz="4" w:space="0"/>
              <w:left w:val="single" w:color="000000" w:sz="4" w:space="0"/>
              <w:right w:val="single" w:color="000000" w:sz="4" w:space="0"/>
            </w:tcBorders>
            <w:shd w:val="clear" w:color="auto" w:fill="auto"/>
            <w:vAlign w:val="center"/>
          </w:tcPr>
          <w:p w14:paraId="2A68DD3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组织实施      </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E5D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管理制度健全性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DF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6F801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0D02957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436B478C">
        <w:tblPrEx>
          <w:tblCellMar>
            <w:top w:w="0" w:type="dxa"/>
            <w:left w:w="108" w:type="dxa"/>
            <w:bottom w:w="0" w:type="dxa"/>
            <w:right w:w="108" w:type="dxa"/>
          </w:tblCellMar>
        </w:tblPrEx>
        <w:trPr>
          <w:trHeight w:val="454" w:hRule="atLeast"/>
        </w:trPr>
        <w:tc>
          <w:tcPr>
            <w:tcW w:w="1116" w:type="dxa"/>
            <w:vMerge w:val="continue"/>
            <w:tcBorders>
              <w:left w:val="single" w:color="000000" w:sz="4" w:space="0"/>
              <w:bottom w:val="single" w:color="auto" w:sz="4" w:space="0"/>
              <w:right w:val="single" w:color="000000" w:sz="4" w:space="0"/>
            </w:tcBorders>
            <w:shd w:val="clear" w:color="auto" w:fill="auto"/>
            <w:vAlign w:val="center"/>
          </w:tcPr>
          <w:p w14:paraId="030FF11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0"/>
                <w:szCs w:val="20"/>
                <w:lang w:bidi="ar"/>
              </w:rPr>
            </w:pPr>
          </w:p>
        </w:tc>
        <w:tc>
          <w:tcPr>
            <w:tcW w:w="1113" w:type="dxa"/>
            <w:vMerge w:val="continue"/>
            <w:tcBorders>
              <w:left w:val="single" w:color="000000" w:sz="4" w:space="0"/>
              <w:bottom w:val="single" w:color="auto" w:sz="4" w:space="0"/>
              <w:right w:val="single" w:color="000000" w:sz="4" w:space="0"/>
            </w:tcBorders>
            <w:shd w:val="clear" w:color="auto" w:fill="auto"/>
            <w:vAlign w:val="center"/>
          </w:tcPr>
          <w:p w14:paraId="540B3CFD">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C5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制度执行有效性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8FC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1A0A7C0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kern w:val="0"/>
                <w:sz w:val="20"/>
                <w:szCs w:val="20"/>
                <w:lang w:val="en-US" w:eastAsia="zh-CN" w:bidi="ar"/>
              </w:rPr>
            </w:pPr>
            <w:r>
              <w:rPr>
                <w:rFonts w:hint="eastAsia" w:ascii="宋体" w:hAnsi="宋体" w:eastAsia="宋体" w:cs="宋体"/>
                <w:color w:val="000000"/>
                <w:kern w:val="0"/>
                <w:sz w:val="20"/>
                <w:szCs w:val="20"/>
                <w:lang w:val="en-US" w:eastAsia="zh-CN" w:bidi="ar"/>
              </w:rPr>
              <w:t>3.34</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482F520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val="en-US" w:eastAsia="zh-CN" w:bidi="ar"/>
              </w:rPr>
              <w:t>66</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8</w:t>
            </w:r>
            <w:r>
              <w:rPr>
                <w:rFonts w:hint="eastAsia" w:ascii="宋体" w:hAnsi="宋体" w:eastAsia="宋体" w:cs="宋体"/>
                <w:color w:val="000000"/>
                <w:kern w:val="0"/>
                <w:sz w:val="20"/>
                <w:szCs w:val="20"/>
                <w:lang w:bidi="ar"/>
              </w:rPr>
              <w:t>0%</w:t>
            </w:r>
          </w:p>
        </w:tc>
      </w:tr>
      <w:tr w14:paraId="793C78CD">
        <w:tblPrEx>
          <w:tblCellMar>
            <w:top w:w="0" w:type="dxa"/>
            <w:left w:w="108" w:type="dxa"/>
            <w:bottom w:w="0" w:type="dxa"/>
            <w:right w:w="108" w:type="dxa"/>
          </w:tblCellMar>
        </w:tblPrEx>
        <w:trPr>
          <w:trHeight w:val="454" w:hRule="atLeast"/>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38BD60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成本指标</w:t>
            </w:r>
          </w:p>
        </w:tc>
        <w:tc>
          <w:tcPr>
            <w:tcW w:w="1113" w:type="dxa"/>
            <w:tcBorders>
              <w:top w:val="single" w:color="auto" w:sz="4" w:space="0"/>
              <w:left w:val="single" w:color="auto" w:sz="4" w:space="0"/>
              <w:bottom w:val="single" w:color="auto" w:sz="4" w:space="0"/>
              <w:right w:val="single" w:color="auto" w:sz="4" w:space="0"/>
            </w:tcBorders>
            <w:shd w:val="clear" w:color="auto" w:fill="auto"/>
            <w:vAlign w:val="center"/>
          </w:tcPr>
          <w:p w14:paraId="4F2DE6F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经济成本指标</w:t>
            </w:r>
          </w:p>
        </w:tc>
        <w:tc>
          <w:tcPr>
            <w:tcW w:w="2662" w:type="dxa"/>
            <w:tcBorders>
              <w:top w:val="single" w:color="000000" w:sz="4" w:space="0"/>
              <w:left w:val="single" w:color="auto" w:sz="4" w:space="0"/>
              <w:bottom w:val="single" w:color="000000" w:sz="4" w:space="0"/>
              <w:right w:val="single" w:color="000000" w:sz="4" w:space="0"/>
            </w:tcBorders>
            <w:shd w:val="clear" w:color="auto" w:fill="auto"/>
            <w:vAlign w:val="center"/>
          </w:tcPr>
          <w:p w14:paraId="1EF1A50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成本控制情况</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B28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1A51DF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27FD5FB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5FBB42FA">
        <w:tblPrEx>
          <w:tblCellMar>
            <w:top w:w="0" w:type="dxa"/>
            <w:left w:w="108" w:type="dxa"/>
            <w:bottom w:w="0" w:type="dxa"/>
            <w:right w:w="108" w:type="dxa"/>
          </w:tblCellMar>
        </w:tblPrEx>
        <w:trPr>
          <w:trHeight w:val="654" w:hRule="atLeast"/>
        </w:trPr>
        <w:tc>
          <w:tcPr>
            <w:tcW w:w="1116" w:type="dxa"/>
            <w:vMerge w:val="restart"/>
            <w:tcBorders>
              <w:top w:val="single" w:color="auto" w:sz="4" w:space="0"/>
              <w:left w:val="single" w:color="000000" w:sz="4" w:space="0"/>
              <w:right w:val="single" w:color="000000" w:sz="4" w:space="0"/>
            </w:tcBorders>
            <w:shd w:val="clear" w:color="auto" w:fill="auto"/>
            <w:vAlign w:val="center"/>
          </w:tcPr>
          <w:p w14:paraId="21C2D612">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3"/>
                <w:rFonts w:hint="default"/>
                <w:color w:val="auto"/>
                <w:lang w:bidi="ar"/>
              </w:rPr>
            </w:pPr>
            <w:r>
              <w:rPr>
                <w:rFonts w:hint="eastAsia" w:ascii="宋体" w:hAnsi="宋体" w:eastAsia="宋体" w:cs="宋体"/>
                <w:kern w:val="0"/>
                <w:sz w:val="20"/>
                <w:szCs w:val="20"/>
                <w:lang w:bidi="ar"/>
              </w:rPr>
              <w:t>产出指标</w:t>
            </w:r>
          </w:p>
        </w:tc>
        <w:tc>
          <w:tcPr>
            <w:tcW w:w="1113" w:type="dxa"/>
            <w:tcBorders>
              <w:top w:val="single" w:color="auto" w:sz="4" w:space="0"/>
              <w:left w:val="single" w:color="000000" w:sz="4" w:space="0"/>
              <w:right w:val="single" w:color="000000" w:sz="4" w:space="0"/>
            </w:tcBorders>
            <w:shd w:val="clear" w:color="auto" w:fill="auto"/>
            <w:vAlign w:val="center"/>
          </w:tcPr>
          <w:p w14:paraId="0E05A9BB">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r>
              <w:rPr>
                <w:rStyle w:val="33"/>
                <w:rFonts w:hint="default"/>
                <w:color w:val="auto"/>
                <w:lang w:bidi="ar"/>
              </w:rPr>
              <w:t>数量指标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7094F">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3"/>
                <w:rFonts w:hint="default"/>
                <w:color w:val="auto"/>
                <w:lang w:bidi="ar"/>
              </w:rPr>
            </w:pPr>
            <w:r>
              <w:rPr>
                <w:rFonts w:hint="eastAsia" w:ascii="宋体" w:hAnsi="宋体" w:eastAsia="宋体" w:cs="宋体"/>
                <w:kern w:val="0"/>
                <w:sz w:val="20"/>
                <w:szCs w:val="20"/>
                <w:lang w:bidi="ar"/>
              </w:rPr>
              <w:t>用电度数</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5052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41AD78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6765939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322927F5">
        <w:tblPrEx>
          <w:tblCellMar>
            <w:top w:w="0" w:type="dxa"/>
            <w:left w:w="108" w:type="dxa"/>
            <w:bottom w:w="0" w:type="dxa"/>
            <w:right w:w="108" w:type="dxa"/>
          </w:tblCellMar>
        </w:tblPrEx>
        <w:trPr>
          <w:trHeight w:val="767" w:hRule="atLeast"/>
        </w:trPr>
        <w:tc>
          <w:tcPr>
            <w:tcW w:w="1116" w:type="dxa"/>
            <w:vMerge w:val="continue"/>
            <w:tcBorders>
              <w:left w:val="single" w:color="000000" w:sz="4" w:space="0"/>
              <w:right w:val="single" w:color="000000" w:sz="4" w:space="0"/>
            </w:tcBorders>
            <w:shd w:val="clear" w:color="auto" w:fill="auto"/>
            <w:vAlign w:val="center"/>
          </w:tcPr>
          <w:p w14:paraId="0D73887D">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p>
        </w:tc>
        <w:tc>
          <w:tcPr>
            <w:tcW w:w="1113" w:type="dxa"/>
            <w:tcBorders>
              <w:top w:val="single" w:color="auto" w:sz="4" w:space="0"/>
              <w:left w:val="single" w:color="000000" w:sz="4" w:space="0"/>
              <w:bottom w:val="single" w:color="auto" w:sz="4" w:space="0"/>
              <w:right w:val="single" w:color="000000" w:sz="4" w:space="0"/>
            </w:tcBorders>
            <w:shd w:val="clear" w:color="auto" w:fill="auto"/>
            <w:vAlign w:val="center"/>
          </w:tcPr>
          <w:p w14:paraId="78E857A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质量指标</w:t>
            </w:r>
          </w:p>
        </w:tc>
        <w:tc>
          <w:tcPr>
            <w:tcW w:w="2662" w:type="dxa"/>
            <w:tcBorders>
              <w:top w:val="single" w:color="auto" w:sz="4" w:space="0"/>
              <w:left w:val="single" w:color="000000" w:sz="4" w:space="0"/>
              <w:bottom w:val="single" w:color="000000" w:sz="4" w:space="0"/>
              <w:right w:val="single" w:color="000000" w:sz="4" w:space="0"/>
            </w:tcBorders>
            <w:shd w:val="clear" w:color="auto" w:fill="auto"/>
            <w:vAlign w:val="center"/>
          </w:tcPr>
          <w:p w14:paraId="60DE6B43">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3"/>
                <w:rFonts w:hint="default"/>
                <w:color w:val="auto"/>
                <w:lang w:bidi="ar"/>
              </w:rPr>
            </w:pPr>
            <w:r>
              <w:rPr>
                <w:rFonts w:hint="eastAsia" w:ascii="宋体" w:hAnsi="宋体" w:eastAsia="宋体" w:cs="宋体"/>
                <w:kern w:val="0"/>
                <w:sz w:val="20"/>
                <w:szCs w:val="20"/>
                <w:lang w:bidi="ar"/>
              </w:rPr>
              <w:t>电力运行稳定率</w:t>
            </w:r>
          </w:p>
        </w:tc>
        <w:tc>
          <w:tcPr>
            <w:tcW w:w="1223" w:type="dxa"/>
            <w:tcBorders>
              <w:top w:val="single" w:color="auto" w:sz="4" w:space="0"/>
              <w:left w:val="single" w:color="auto" w:sz="4" w:space="0"/>
              <w:bottom w:val="nil"/>
              <w:right w:val="nil"/>
            </w:tcBorders>
            <w:shd w:val="clear" w:color="auto" w:fill="auto"/>
            <w:vAlign w:val="center"/>
          </w:tcPr>
          <w:p w14:paraId="7B174E3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2" w:type="dxa"/>
            <w:tcBorders>
              <w:top w:val="nil"/>
              <w:left w:val="single" w:color="auto" w:sz="4" w:space="0"/>
              <w:bottom w:val="single" w:color="auto" w:sz="4" w:space="0"/>
              <w:right w:val="single" w:color="auto" w:sz="4" w:space="0"/>
            </w:tcBorders>
            <w:shd w:val="clear" w:color="auto" w:fill="auto"/>
            <w:vAlign w:val="center"/>
          </w:tcPr>
          <w:p w14:paraId="5C4C2E1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w:t>
            </w:r>
          </w:p>
        </w:tc>
        <w:tc>
          <w:tcPr>
            <w:tcW w:w="1252" w:type="dxa"/>
            <w:tcBorders>
              <w:top w:val="single" w:color="auto" w:sz="4" w:space="0"/>
              <w:left w:val="nil"/>
              <w:bottom w:val="single" w:color="auto" w:sz="4" w:space="0"/>
              <w:right w:val="single" w:color="auto" w:sz="4" w:space="0"/>
            </w:tcBorders>
            <w:shd w:val="clear" w:color="auto" w:fill="auto"/>
            <w:vAlign w:val="center"/>
          </w:tcPr>
          <w:p w14:paraId="6F1E5B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70F4A17F">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5AD48910">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p>
        </w:tc>
        <w:tc>
          <w:tcPr>
            <w:tcW w:w="1113" w:type="dxa"/>
            <w:vMerge w:val="restart"/>
            <w:tcBorders>
              <w:top w:val="single" w:color="auto" w:sz="4" w:space="0"/>
              <w:left w:val="single" w:color="000000" w:sz="4" w:space="0"/>
              <w:right w:val="single" w:color="000000" w:sz="4" w:space="0"/>
            </w:tcBorders>
            <w:shd w:val="clear" w:color="auto" w:fill="auto"/>
            <w:vAlign w:val="center"/>
          </w:tcPr>
          <w:p w14:paraId="73110D19">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3"/>
                <w:rFonts w:hint="default"/>
                <w:color w:val="auto"/>
                <w:lang w:bidi="ar"/>
              </w:rPr>
            </w:pPr>
            <w:r>
              <w:rPr>
                <w:rFonts w:hint="eastAsia" w:ascii="宋体" w:hAnsi="宋体" w:eastAsia="宋体" w:cs="宋体"/>
                <w:kern w:val="0"/>
                <w:sz w:val="20"/>
                <w:szCs w:val="20"/>
                <w:lang w:bidi="ar"/>
              </w:rPr>
              <w:t>时效指标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9E6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24小时内电力故障处理及时性</w:t>
            </w:r>
          </w:p>
        </w:tc>
        <w:tc>
          <w:tcPr>
            <w:tcW w:w="1223" w:type="dxa"/>
            <w:tcBorders>
              <w:top w:val="single" w:color="auto" w:sz="4" w:space="0"/>
              <w:left w:val="single" w:color="auto" w:sz="4" w:space="0"/>
              <w:bottom w:val="nil"/>
              <w:right w:val="nil"/>
            </w:tcBorders>
            <w:shd w:val="clear" w:color="auto" w:fill="auto"/>
            <w:vAlign w:val="center"/>
          </w:tcPr>
          <w:p w14:paraId="4C85A2C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22" w:type="dxa"/>
            <w:tcBorders>
              <w:top w:val="nil"/>
              <w:left w:val="single" w:color="auto" w:sz="4" w:space="0"/>
              <w:bottom w:val="single" w:color="auto" w:sz="4" w:space="0"/>
              <w:right w:val="single" w:color="auto" w:sz="4" w:space="0"/>
            </w:tcBorders>
            <w:shd w:val="clear" w:color="auto" w:fill="auto"/>
            <w:vAlign w:val="center"/>
          </w:tcPr>
          <w:p w14:paraId="7B09B79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52" w:type="dxa"/>
            <w:tcBorders>
              <w:top w:val="single" w:color="auto" w:sz="4" w:space="0"/>
              <w:left w:val="nil"/>
              <w:bottom w:val="single" w:color="auto" w:sz="4" w:space="0"/>
              <w:right w:val="single" w:color="auto" w:sz="4" w:space="0"/>
            </w:tcBorders>
            <w:shd w:val="clear" w:color="auto" w:fill="auto"/>
            <w:vAlign w:val="center"/>
          </w:tcPr>
          <w:p w14:paraId="52BAA90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7C38C8A7">
        <w:tblPrEx>
          <w:tblCellMar>
            <w:top w:w="0" w:type="dxa"/>
            <w:left w:w="108" w:type="dxa"/>
            <w:bottom w:w="0" w:type="dxa"/>
            <w:right w:w="108" w:type="dxa"/>
          </w:tblCellMar>
        </w:tblPrEx>
        <w:trPr>
          <w:trHeight w:val="454" w:hRule="atLeast"/>
        </w:trPr>
        <w:tc>
          <w:tcPr>
            <w:tcW w:w="1116" w:type="dxa"/>
            <w:vMerge w:val="continue"/>
            <w:tcBorders>
              <w:left w:val="single" w:color="000000" w:sz="4" w:space="0"/>
              <w:bottom w:val="single" w:color="auto" w:sz="4" w:space="0"/>
              <w:right w:val="single" w:color="000000" w:sz="4" w:space="0"/>
            </w:tcBorders>
            <w:shd w:val="clear" w:color="auto" w:fill="auto"/>
            <w:vAlign w:val="center"/>
          </w:tcPr>
          <w:p w14:paraId="20EB03A8">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p>
        </w:tc>
        <w:tc>
          <w:tcPr>
            <w:tcW w:w="1113" w:type="dxa"/>
            <w:vMerge w:val="continue"/>
            <w:tcBorders>
              <w:left w:val="single" w:color="000000" w:sz="4" w:space="0"/>
              <w:bottom w:val="single" w:color="auto" w:sz="4" w:space="0"/>
              <w:right w:val="single" w:color="000000" w:sz="4" w:space="0"/>
            </w:tcBorders>
            <w:shd w:val="clear" w:color="auto" w:fill="auto"/>
            <w:vAlign w:val="center"/>
          </w:tcPr>
          <w:p w14:paraId="05451B0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p>
        </w:tc>
        <w:tc>
          <w:tcPr>
            <w:tcW w:w="2662" w:type="dxa"/>
            <w:tcBorders>
              <w:top w:val="single" w:color="000000" w:sz="4" w:space="0"/>
              <w:left w:val="single" w:color="000000" w:sz="4" w:space="0"/>
              <w:bottom w:val="single" w:color="auto" w:sz="4" w:space="0"/>
              <w:right w:val="single" w:color="000000" w:sz="4" w:space="0"/>
            </w:tcBorders>
            <w:shd w:val="clear" w:color="auto" w:fill="auto"/>
            <w:vAlign w:val="center"/>
          </w:tcPr>
          <w:p w14:paraId="19AA41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缴纳电费及时性</w:t>
            </w:r>
          </w:p>
        </w:tc>
        <w:tc>
          <w:tcPr>
            <w:tcW w:w="1223" w:type="dxa"/>
            <w:tcBorders>
              <w:top w:val="single" w:color="auto" w:sz="4" w:space="0"/>
              <w:left w:val="single" w:color="auto" w:sz="4" w:space="0"/>
              <w:bottom w:val="single" w:color="auto" w:sz="4" w:space="0"/>
              <w:right w:val="nil"/>
            </w:tcBorders>
            <w:shd w:val="clear" w:color="auto" w:fill="auto"/>
            <w:vAlign w:val="center"/>
          </w:tcPr>
          <w:p w14:paraId="6EEBFB8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22" w:type="dxa"/>
            <w:tcBorders>
              <w:top w:val="nil"/>
              <w:left w:val="single" w:color="auto" w:sz="4" w:space="0"/>
              <w:bottom w:val="single" w:color="auto" w:sz="4" w:space="0"/>
              <w:right w:val="single" w:color="auto" w:sz="4" w:space="0"/>
            </w:tcBorders>
            <w:shd w:val="clear" w:color="auto" w:fill="auto"/>
            <w:vAlign w:val="center"/>
          </w:tcPr>
          <w:p w14:paraId="19D001C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52" w:type="dxa"/>
            <w:tcBorders>
              <w:top w:val="single" w:color="auto" w:sz="4" w:space="0"/>
              <w:left w:val="nil"/>
              <w:bottom w:val="single" w:color="auto" w:sz="4" w:space="0"/>
              <w:right w:val="single" w:color="auto" w:sz="4" w:space="0"/>
            </w:tcBorders>
            <w:shd w:val="clear" w:color="auto" w:fill="auto"/>
            <w:vAlign w:val="center"/>
          </w:tcPr>
          <w:p w14:paraId="1355A84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4BD95068">
        <w:tblPrEx>
          <w:tblCellMar>
            <w:top w:w="0" w:type="dxa"/>
            <w:left w:w="108" w:type="dxa"/>
            <w:bottom w:w="0" w:type="dxa"/>
            <w:right w:w="108" w:type="dxa"/>
          </w:tblCellMar>
        </w:tblPrEx>
        <w:trPr>
          <w:trHeight w:val="454" w:hRule="atLeast"/>
        </w:trPr>
        <w:tc>
          <w:tcPr>
            <w:tcW w:w="1116" w:type="dxa"/>
            <w:vMerge w:val="restart"/>
            <w:tcBorders>
              <w:top w:val="single" w:color="auto" w:sz="4" w:space="0"/>
              <w:left w:val="single" w:color="000000" w:sz="4" w:space="0"/>
              <w:right w:val="single" w:color="000000" w:sz="4" w:space="0"/>
            </w:tcBorders>
            <w:shd w:val="clear" w:color="auto" w:fill="auto"/>
            <w:vAlign w:val="center"/>
          </w:tcPr>
          <w:p w14:paraId="288470BE">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3"/>
                <w:rFonts w:hint="default"/>
                <w:color w:val="auto"/>
                <w:lang w:bidi="ar"/>
              </w:rPr>
            </w:pPr>
            <w:r>
              <w:rPr>
                <w:rFonts w:hint="eastAsia" w:ascii="宋体" w:hAnsi="宋体" w:eastAsia="宋体" w:cs="宋体"/>
                <w:kern w:val="0"/>
                <w:sz w:val="20"/>
                <w:szCs w:val="20"/>
                <w:lang w:bidi="ar"/>
              </w:rPr>
              <w:t>效益指标</w:t>
            </w:r>
          </w:p>
        </w:tc>
        <w:tc>
          <w:tcPr>
            <w:tcW w:w="1113" w:type="dxa"/>
            <w:tcBorders>
              <w:top w:val="single" w:color="auto" w:sz="4" w:space="0"/>
              <w:left w:val="single" w:color="000000" w:sz="4" w:space="0"/>
              <w:right w:val="single" w:color="000000" w:sz="4" w:space="0"/>
            </w:tcBorders>
            <w:shd w:val="clear" w:color="auto" w:fill="auto"/>
            <w:vAlign w:val="center"/>
          </w:tcPr>
          <w:p w14:paraId="0EBBA38A">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3"/>
                <w:rFonts w:hint="default"/>
                <w:color w:val="auto"/>
                <w:lang w:bidi="ar"/>
              </w:rPr>
            </w:pPr>
            <w:r>
              <w:rPr>
                <w:rFonts w:hint="eastAsia" w:ascii="宋体" w:hAnsi="宋体" w:eastAsia="宋体" w:cs="宋体"/>
                <w:kern w:val="0"/>
                <w:sz w:val="20"/>
                <w:szCs w:val="20"/>
                <w:lang w:bidi="ar"/>
              </w:rPr>
              <w:t>社会效益指标</w:t>
            </w:r>
          </w:p>
        </w:tc>
        <w:tc>
          <w:tcPr>
            <w:tcW w:w="2662" w:type="dxa"/>
            <w:tcBorders>
              <w:top w:val="single" w:color="auto" w:sz="4" w:space="0"/>
              <w:left w:val="single" w:color="000000" w:sz="4" w:space="0"/>
              <w:bottom w:val="single" w:color="000000" w:sz="4" w:space="0"/>
              <w:right w:val="single" w:color="000000" w:sz="4" w:space="0"/>
            </w:tcBorders>
            <w:shd w:val="clear" w:color="auto" w:fill="auto"/>
            <w:vAlign w:val="center"/>
          </w:tcPr>
          <w:p w14:paraId="10A008D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保障法官学院各项业务正常运行</w:t>
            </w:r>
          </w:p>
        </w:tc>
        <w:tc>
          <w:tcPr>
            <w:tcW w:w="1223" w:type="dxa"/>
            <w:tcBorders>
              <w:top w:val="single" w:color="auto" w:sz="4" w:space="0"/>
              <w:left w:val="single" w:color="auto" w:sz="4" w:space="0"/>
              <w:bottom w:val="nil"/>
              <w:right w:val="nil"/>
            </w:tcBorders>
            <w:shd w:val="clear" w:color="auto" w:fill="auto"/>
            <w:vAlign w:val="center"/>
          </w:tcPr>
          <w:p w14:paraId="2334646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0138DCD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w:t>
            </w:r>
          </w:p>
        </w:tc>
        <w:tc>
          <w:tcPr>
            <w:tcW w:w="1252" w:type="dxa"/>
            <w:tcBorders>
              <w:top w:val="single" w:color="auto" w:sz="4" w:space="0"/>
              <w:left w:val="nil"/>
              <w:bottom w:val="single" w:color="auto" w:sz="4" w:space="0"/>
              <w:right w:val="single" w:color="auto" w:sz="4" w:space="0"/>
            </w:tcBorders>
            <w:shd w:val="clear" w:color="auto" w:fill="auto"/>
            <w:vAlign w:val="center"/>
          </w:tcPr>
          <w:p w14:paraId="28495D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2788FA09">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2D9BCCA1">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p>
        </w:tc>
        <w:tc>
          <w:tcPr>
            <w:tcW w:w="1113" w:type="dxa"/>
            <w:vMerge w:val="restart"/>
            <w:tcBorders>
              <w:top w:val="single" w:color="auto" w:sz="4" w:space="0"/>
              <w:left w:val="single" w:color="000000" w:sz="4" w:space="0"/>
              <w:right w:val="single" w:color="000000" w:sz="4" w:space="0"/>
            </w:tcBorders>
            <w:shd w:val="clear" w:color="auto" w:fill="auto"/>
            <w:vAlign w:val="center"/>
          </w:tcPr>
          <w:p w14:paraId="74699977">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3"/>
                <w:rFonts w:hint="default"/>
                <w:color w:val="auto"/>
                <w:lang w:bidi="ar"/>
              </w:rPr>
            </w:pPr>
            <w:r>
              <w:rPr>
                <w:rFonts w:hint="eastAsia" w:ascii="宋体" w:hAnsi="宋体" w:eastAsia="宋体" w:cs="宋体"/>
                <w:kern w:val="0"/>
                <w:sz w:val="20"/>
                <w:szCs w:val="20"/>
                <w:lang w:bidi="ar"/>
              </w:rPr>
              <w:t>满意度指标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7526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学员满意度</w:t>
            </w:r>
          </w:p>
        </w:tc>
        <w:tc>
          <w:tcPr>
            <w:tcW w:w="1223" w:type="dxa"/>
            <w:tcBorders>
              <w:top w:val="single" w:color="auto" w:sz="4" w:space="0"/>
              <w:left w:val="single" w:color="auto" w:sz="4" w:space="0"/>
              <w:bottom w:val="nil"/>
              <w:right w:val="nil"/>
            </w:tcBorders>
            <w:shd w:val="clear" w:color="auto" w:fill="auto"/>
            <w:vAlign w:val="center"/>
          </w:tcPr>
          <w:p w14:paraId="328737F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2" w:type="dxa"/>
            <w:tcBorders>
              <w:top w:val="nil"/>
              <w:left w:val="single" w:color="auto" w:sz="4" w:space="0"/>
              <w:bottom w:val="single" w:color="auto" w:sz="4" w:space="0"/>
              <w:right w:val="single" w:color="auto" w:sz="4" w:space="0"/>
            </w:tcBorders>
            <w:shd w:val="clear" w:color="auto" w:fill="auto"/>
            <w:vAlign w:val="center"/>
          </w:tcPr>
          <w:p w14:paraId="3ABAD3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52" w:type="dxa"/>
            <w:tcBorders>
              <w:top w:val="single" w:color="auto" w:sz="4" w:space="0"/>
              <w:left w:val="nil"/>
              <w:bottom w:val="single" w:color="auto" w:sz="4" w:space="0"/>
              <w:right w:val="single" w:color="auto" w:sz="4" w:space="0"/>
            </w:tcBorders>
            <w:shd w:val="clear" w:color="auto" w:fill="auto"/>
            <w:vAlign w:val="center"/>
          </w:tcPr>
          <w:p w14:paraId="74B0AB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19580BAF">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593E9802">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p>
        </w:tc>
        <w:tc>
          <w:tcPr>
            <w:tcW w:w="1113" w:type="dxa"/>
            <w:vMerge w:val="continue"/>
            <w:tcBorders>
              <w:top w:val="single" w:color="auto" w:sz="4" w:space="0"/>
              <w:left w:val="single" w:color="000000" w:sz="4" w:space="0"/>
              <w:right w:val="single" w:color="000000" w:sz="4" w:space="0"/>
            </w:tcBorders>
            <w:shd w:val="clear" w:color="auto" w:fill="auto"/>
            <w:vAlign w:val="center"/>
          </w:tcPr>
          <w:p w14:paraId="7628E6AE">
            <w:pPr>
              <w:keepNext w:val="0"/>
              <w:keepLines w:val="0"/>
              <w:pageBreakBefore w:val="0"/>
              <w:kinsoku/>
              <w:wordWrap/>
              <w:overflowPunct/>
              <w:topLinePunct w:val="0"/>
              <w:autoSpaceDE/>
              <w:autoSpaceDN/>
              <w:bidi w:val="0"/>
              <w:adjustRightInd/>
              <w:snapToGrid/>
              <w:spacing w:line="240" w:lineRule="auto"/>
              <w:jc w:val="center"/>
              <w:rPr>
                <w:rStyle w:val="33"/>
                <w:rFonts w:hint="default"/>
                <w:color w:val="auto"/>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6E01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学院工作人员满意度</w:t>
            </w:r>
          </w:p>
        </w:tc>
        <w:tc>
          <w:tcPr>
            <w:tcW w:w="1223" w:type="dxa"/>
            <w:tcBorders>
              <w:top w:val="single" w:color="auto" w:sz="4" w:space="0"/>
              <w:left w:val="single" w:color="auto" w:sz="4" w:space="0"/>
              <w:bottom w:val="nil"/>
              <w:right w:val="nil"/>
            </w:tcBorders>
            <w:shd w:val="clear" w:color="auto" w:fill="auto"/>
            <w:vAlign w:val="center"/>
          </w:tcPr>
          <w:p w14:paraId="52DE5C6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2" w:type="dxa"/>
            <w:tcBorders>
              <w:top w:val="nil"/>
              <w:left w:val="single" w:color="auto" w:sz="4" w:space="0"/>
              <w:bottom w:val="single" w:color="auto" w:sz="4" w:space="0"/>
              <w:right w:val="single" w:color="auto" w:sz="4" w:space="0"/>
            </w:tcBorders>
            <w:shd w:val="clear" w:color="auto" w:fill="auto"/>
            <w:vAlign w:val="center"/>
          </w:tcPr>
          <w:p w14:paraId="307E1ED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52" w:type="dxa"/>
            <w:tcBorders>
              <w:top w:val="single" w:color="auto" w:sz="4" w:space="0"/>
              <w:left w:val="nil"/>
              <w:bottom w:val="single" w:color="auto" w:sz="4" w:space="0"/>
              <w:right w:val="single" w:color="auto" w:sz="4" w:space="0"/>
            </w:tcBorders>
            <w:shd w:val="clear" w:color="auto" w:fill="auto"/>
            <w:vAlign w:val="center"/>
          </w:tcPr>
          <w:p w14:paraId="4394D36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D1A725C">
        <w:tblPrEx>
          <w:tblCellMar>
            <w:top w:w="0" w:type="dxa"/>
            <w:left w:w="108" w:type="dxa"/>
            <w:bottom w:w="0" w:type="dxa"/>
            <w:right w:w="108" w:type="dxa"/>
          </w:tblCellMar>
        </w:tblPrEx>
        <w:trPr>
          <w:trHeight w:val="454" w:hRule="atLeast"/>
        </w:trPr>
        <w:tc>
          <w:tcPr>
            <w:tcW w:w="4891"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14:paraId="1BCAC05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1223" w:type="dxa"/>
            <w:tcBorders>
              <w:top w:val="single" w:color="000000" w:sz="4" w:space="0"/>
              <w:left w:val="single" w:color="auto" w:sz="4" w:space="0"/>
              <w:bottom w:val="single" w:color="000000" w:sz="4" w:space="0"/>
              <w:right w:val="single" w:color="000000" w:sz="4" w:space="0"/>
            </w:tcBorders>
            <w:shd w:val="clear" w:color="auto" w:fill="auto"/>
            <w:vAlign w:val="center"/>
          </w:tcPr>
          <w:p w14:paraId="010BAFA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100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8B66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b/>
                <w:bCs/>
                <w:kern w:val="0"/>
                <w:sz w:val="20"/>
                <w:szCs w:val="20"/>
                <w:lang w:val="en-US" w:eastAsia="zh-CN" w:bidi="ar"/>
              </w:rPr>
            </w:pPr>
            <w:r>
              <w:rPr>
                <w:rFonts w:hint="eastAsia" w:ascii="宋体" w:hAnsi="宋体" w:eastAsia="宋体" w:cs="宋体"/>
                <w:b/>
                <w:bCs/>
                <w:color w:val="000000"/>
                <w:kern w:val="0"/>
                <w:sz w:val="20"/>
                <w:szCs w:val="20"/>
                <w:lang w:val="en-US" w:eastAsia="zh-CN" w:bidi="ar"/>
              </w:rPr>
              <w:t>97.34</w:t>
            </w:r>
          </w:p>
        </w:tc>
        <w:tc>
          <w:tcPr>
            <w:tcW w:w="1252" w:type="dxa"/>
            <w:tcBorders>
              <w:top w:val="single" w:color="auto" w:sz="4" w:space="0"/>
              <w:left w:val="single" w:color="000000" w:sz="4" w:space="0"/>
              <w:bottom w:val="single" w:color="000000" w:sz="4" w:space="0"/>
              <w:right w:val="single" w:color="000000" w:sz="4" w:space="0"/>
            </w:tcBorders>
            <w:shd w:val="clear" w:color="auto" w:fill="auto"/>
            <w:vAlign w:val="center"/>
          </w:tcPr>
          <w:p w14:paraId="26E2FA1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val="en-US" w:eastAsia="zh-CN" w:bidi="ar"/>
              </w:rPr>
              <w:t>97</w:t>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34</w:t>
            </w:r>
            <w:r>
              <w:rPr>
                <w:rFonts w:hint="eastAsia" w:ascii="宋体" w:hAnsi="宋体" w:eastAsia="宋体" w:cs="宋体"/>
                <w:b/>
                <w:bCs/>
                <w:color w:val="000000"/>
                <w:kern w:val="0"/>
                <w:sz w:val="20"/>
                <w:szCs w:val="20"/>
                <w:lang w:bidi="ar"/>
              </w:rPr>
              <w:t>%</w:t>
            </w:r>
          </w:p>
        </w:tc>
      </w:tr>
    </w:tbl>
    <w:p w14:paraId="2C3858D7">
      <w:pPr>
        <w:pStyle w:val="47"/>
        <w:rPr>
          <w:rFonts w:hint="eastAsia"/>
        </w:rPr>
      </w:pPr>
      <w:bookmarkStart w:id="117" w:name="_Toc10740"/>
      <w:r>
        <w:rPr>
          <w:rFonts w:hint="eastAsia"/>
        </w:rPr>
        <w:t>评价认为，电费补助项目立项程序规范，依据充分，项目实施必要。在专项资金统一保障下，项目顺利开展，项目实施流程严谨，执行管理到位，资金使用效果良好。项目总体组织规范，</w:t>
      </w:r>
      <w:r>
        <w:rPr>
          <w:rFonts w:hint="eastAsia"/>
          <w:lang w:val="en-US" w:eastAsia="zh-CN"/>
        </w:rPr>
        <w:t>但该项目也存在资金使用有待规范以及</w:t>
      </w:r>
      <w:r>
        <w:rPr>
          <w:rFonts w:hint="eastAsia" w:ascii="仿宋_GB2312" w:hAnsi="仿宋_GB2312" w:eastAsia="仿宋_GB2312" w:cs="仿宋_GB2312"/>
          <w:sz w:val="32"/>
          <w:szCs w:val="32"/>
          <w:highlight w:val="none"/>
          <w:lang w:val="en-US" w:eastAsia="zh-CN"/>
        </w:rPr>
        <w:t>制度执行</w:t>
      </w:r>
      <w:r>
        <w:rPr>
          <w:rFonts w:hint="eastAsia" w:cs="仿宋_GB2312"/>
          <w:sz w:val="32"/>
          <w:szCs w:val="32"/>
          <w:highlight w:val="none"/>
          <w:lang w:val="en-US" w:eastAsia="zh-CN"/>
        </w:rPr>
        <w:t>有待完善的问题</w:t>
      </w:r>
      <w:r>
        <w:rPr>
          <w:rFonts w:hint="eastAsia"/>
        </w:rPr>
        <w:t>。</w:t>
      </w:r>
      <w:bookmarkEnd w:id="117"/>
    </w:p>
    <w:p w14:paraId="6B1AF1C2">
      <w:pPr>
        <w:pStyle w:val="40"/>
        <w:rPr>
          <w:highlight w:val="yellow"/>
        </w:rPr>
      </w:pPr>
      <w:bookmarkStart w:id="118" w:name="_Toc27451"/>
      <w:bookmarkStart w:id="119" w:name="_Toc30293"/>
      <w:bookmarkStart w:id="120" w:name="_Toc25412"/>
      <w:r>
        <w:rPr>
          <w:rFonts w:hint="eastAsia"/>
        </w:rPr>
        <w:t>五、绩效评价指标分析</w:t>
      </w:r>
      <w:bookmarkEnd w:id="118"/>
      <w:bookmarkEnd w:id="119"/>
      <w:bookmarkEnd w:id="120"/>
    </w:p>
    <w:p w14:paraId="11ED72B3">
      <w:pPr>
        <w:tabs>
          <w:tab w:val="left" w:pos="3780"/>
        </w:tabs>
        <w:overflowPunct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电费补助</w:t>
      </w:r>
      <w:r>
        <w:rPr>
          <w:rFonts w:hint="eastAsia" w:ascii="仿宋_GB2312" w:hAnsi="仿宋_GB2312" w:eastAsia="仿宋_GB2312" w:cs="仿宋_GB2312"/>
          <w:sz w:val="32"/>
          <w:szCs w:val="32"/>
          <w:highlight w:val="none"/>
        </w:rPr>
        <w:t>项目绩效评价分级设计项目决策、过程、</w:t>
      </w:r>
      <w:r>
        <w:rPr>
          <w:rFonts w:hint="eastAsia" w:ascii="仿宋_GB2312" w:hAnsi="仿宋_GB2312" w:eastAsia="仿宋_GB2312" w:cs="仿宋_GB2312"/>
          <w:sz w:val="32"/>
          <w:szCs w:val="32"/>
          <w:highlight w:val="none"/>
          <w:lang w:val="en-US" w:eastAsia="zh-CN"/>
        </w:rPr>
        <w:t>成本、</w:t>
      </w:r>
      <w:r>
        <w:rPr>
          <w:rFonts w:hint="eastAsia" w:ascii="仿宋_GB2312" w:hAnsi="仿宋_GB2312" w:eastAsia="仿宋_GB2312" w:cs="仿宋_GB2312"/>
          <w:sz w:val="32"/>
          <w:szCs w:val="32"/>
          <w:highlight w:val="none"/>
        </w:rPr>
        <w:t>产出、效益</w:t>
      </w:r>
      <w:r>
        <w:rPr>
          <w:rFonts w:hint="eastAsia" w:ascii="仿宋_GB2312" w:hAnsi="仿宋_GB2312" w:eastAsia="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个一级指标，一级指标具体得分情况见下表：</w:t>
      </w:r>
    </w:p>
    <w:p w14:paraId="1839CB77">
      <w:pPr>
        <w:overflowPunct w:val="0"/>
        <w:spacing w:before="156" w:beforeLines="50" w:after="156" w:afterLines="50"/>
        <w:jc w:val="left"/>
        <w:rPr>
          <w:rFonts w:cs="黑体" w:asciiTheme="minorEastAsia" w:hAnsiTheme="minorEastAsia"/>
          <w:sz w:val="28"/>
          <w:szCs w:val="24"/>
          <w:highlight w:val="yellow"/>
        </w:rPr>
      </w:pPr>
      <w:r>
        <w:rPr>
          <w:rFonts w:hint="eastAsia" w:asciiTheme="minorEastAsia" w:hAnsiTheme="minorEastAsia" w:cstheme="minorEastAsia"/>
          <w:kern w:val="0"/>
          <w:sz w:val="28"/>
          <w:szCs w:val="28"/>
          <w:highlight w:val="none"/>
        </w:rPr>
        <w:drawing>
          <wp:inline distT="0" distB="0" distL="114300" distR="114300">
            <wp:extent cx="5433060" cy="3860165"/>
            <wp:effectExtent l="4445" t="4445" r="18415" b="63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0615D21">
      <w:pPr>
        <w:pStyle w:val="8"/>
        <w:overflowPunct w:val="0"/>
        <w:spacing w:line="560" w:lineRule="exact"/>
        <w:ind w:firstLine="643" w:firstLineChars="200"/>
        <w:outlineLvl w:val="1"/>
        <w:rPr>
          <w:rFonts w:hint="eastAsia" w:ascii="楷体" w:hAnsi="楷体" w:eastAsia="楷体" w:cs="楷体"/>
          <w:b/>
          <w:bCs/>
        </w:rPr>
      </w:pPr>
      <w:bookmarkStart w:id="121" w:name="_Toc30072"/>
      <w:bookmarkStart w:id="122" w:name="_Toc28841"/>
      <w:bookmarkStart w:id="123" w:name="_Toc23689"/>
      <w:r>
        <w:rPr>
          <w:rFonts w:hint="eastAsia" w:ascii="楷体" w:hAnsi="楷体" w:eastAsia="楷体" w:cs="楷体"/>
          <w:b/>
          <w:bCs/>
        </w:rPr>
        <w:t>（一）项目决策情况</w:t>
      </w:r>
      <w:bookmarkEnd w:id="121"/>
      <w:bookmarkEnd w:id="122"/>
      <w:bookmarkEnd w:id="123"/>
    </w:p>
    <w:p w14:paraId="32BCC3D3">
      <w:pPr>
        <w:pStyle w:val="47"/>
        <w:rPr>
          <w:rFonts w:hint="eastAsia"/>
        </w:rPr>
      </w:pPr>
      <w:r>
        <w:rPr>
          <w:rFonts w:hint="eastAsia"/>
        </w:rPr>
        <w:t>项目决策指标包括项目立项、绩效目标、资金投入三个二级指标，项目立项指标包括立项依据充分性、立项程序规范性两个三级指标，绩效目标指标包括绩效目标合理性、绩效指标明确性两个三级指标，资金投入指标包括预算编制科学性、资金分配合理性两个三级指标。指标分值20分，评价得分20分，得分率100.00%。</w:t>
      </w:r>
    </w:p>
    <w:tbl>
      <w:tblPr>
        <w:tblStyle w:val="20"/>
        <w:tblW w:w="8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2198"/>
        <w:gridCol w:w="835"/>
        <w:gridCol w:w="1186"/>
        <w:gridCol w:w="1181"/>
        <w:gridCol w:w="805"/>
        <w:gridCol w:w="1241"/>
      </w:tblGrid>
      <w:tr w14:paraId="6AF4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240" w:type="dxa"/>
            <w:tcBorders>
              <w:top w:val="single" w:color="auto" w:sz="12" w:space="0"/>
              <w:left w:val="nil"/>
              <w:bottom w:val="dotted" w:color="auto" w:sz="4" w:space="0"/>
              <w:right w:val="dotted" w:color="auto" w:sz="4" w:space="0"/>
            </w:tcBorders>
            <w:shd w:val="clear" w:color="auto" w:fill="BDD6EE" w:themeFill="accent1" w:themeFillTint="66"/>
            <w:vAlign w:val="center"/>
          </w:tcPr>
          <w:p w14:paraId="2BE4D2A5">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2198"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1BF50F9D">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835"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3A54829B">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186"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7F93CD6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181"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49E2B878">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805"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660D8914">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241" w:type="dxa"/>
            <w:tcBorders>
              <w:top w:val="single" w:color="auto" w:sz="12" w:space="0"/>
              <w:left w:val="dotted" w:color="auto" w:sz="4" w:space="0"/>
              <w:bottom w:val="dotted" w:color="auto" w:sz="4" w:space="0"/>
              <w:right w:val="nil"/>
            </w:tcBorders>
            <w:shd w:val="clear" w:color="auto" w:fill="BDD6EE" w:themeFill="accent1" w:themeFillTint="66"/>
            <w:vAlign w:val="center"/>
          </w:tcPr>
          <w:p w14:paraId="7BADEF3A">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02AB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restart"/>
            <w:tcBorders>
              <w:top w:val="dotted" w:color="auto" w:sz="4" w:space="0"/>
              <w:left w:val="nil"/>
              <w:bottom w:val="dotted" w:color="auto" w:sz="4" w:space="0"/>
              <w:right w:val="dotted" w:color="auto" w:sz="4" w:space="0"/>
            </w:tcBorders>
            <w:vAlign w:val="center"/>
          </w:tcPr>
          <w:p w14:paraId="1DEF8A31">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项目立项</w:t>
            </w:r>
          </w:p>
        </w:tc>
        <w:tc>
          <w:tcPr>
            <w:tcW w:w="2198" w:type="dxa"/>
            <w:tcBorders>
              <w:top w:val="dotted" w:color="auto" w:sz="4" w:space="0"/>
              <w:left w:val="dotted" w:color="auto" w:sz="4" w:space="0"/>
              <w:bottom w:val="dotted" w:color="auto" w:sz="4" w:space="0"/>
              <w:right w:val="dotted" w:color="auto" w:sz="4" w:space="0"/>
            </w:tcBorders>
            <w:vAlign w:val="center"/>
          </w:tcPr>
          <w:p w14:paraId="46498EC1">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立项依据充分性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255F5DC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6209201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充分</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67965E6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充分</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3BCF1BF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41" w:type="dxa"/>
            <w:tcBorders>
              <w:top w:val="dotted" w:color="auto" w:sz="4" w:space="0"/>
              <w:left w:val="dotted" w:color="auto" w:sz="4" w:space="0"/>
              <w:bottom w:val="dotted" w:color="auto" w:sz="4" w:space="0"/>
              <w:right w:val="nil"/>
            </w:tcBorders>
            <w:shd w:val="clear" w:color="auto" w:fill="auto"/>
            <w:vAlign w:val="center"/>
          </w:tcPr>
          <w:p w14:paraId="57F47C4E">
            <w:pPr>
              <w:widowControl/>
              <w:spacing w:line="560" w:lineRule="exact"/>
              <w:jc w:val="right"/>
              <w:textAlignment w:val="center"/>
              <w:rPr>
                <w:rFonts w:hint="eastAsia" w:ascii="宋体" w:hAnsi="宋体" w:eastAsia="宋体" w:cs="宋体"/>
                <w:kern w:val="0"/>
                <w:sz w:val="20"/>
                <w:szCs w:val="20"/>
              </w:rPr>
            </w:pPr>
            <w:r>
              <w:rPr>
                <w:rFonts w:hint="eastAsia" w:ascii="宋体" w:hAnsi="宋体" w:eastAsia="宋体" w:cs="宋体"/>
                <w:color w:val="000000"/>
                <w:kern w:val="0"/>
                <w:sz w:val="20"/>
                <w:szCs w:val="20"/>
                <w:lang w:bidi="ar"/>
              </w:rPr>
              <w:t>100.00%</w:t>
            </w:r>
          </w:p>
        </w:tc>
      </w:tr>
      <w:tr w14:paraId="6F30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continue"/>
            <w:tcBorders>
              <w:top w:val="dotted" w:color="auto" w:sz="4" w:space="0"/>
              <w:left w:val="nil"/>
              <w:bottom w:val="dotted" w:color="auto" w:sz="4" w:space="0"/>
              <w:right w:val="dotted" w:color="auto" w:sz="4" w:space="0"/>
            </w:tcBorders>
            <w:vAlign w:val="center"/>
          </w:tcPr>
          <w:p w14:paraId="124FE65A">
            <w:pPr>
              <w:spacing w:line="560" w:lineRule="exact"/>
              <w:jc w:val="center"/>
              <w:rPr>
                <w:rFonts w:hint="eastAsia" w:ascii="宋体" w:hAnsi="宋体" w:eastAsia="宋体" w:cs="宋体"/>
                <w:bCs/>
                <w:sz w:val="20"/>
                <w:szCs w:val="20"/>
              </w:rPr>
            </w:pPr>
          </w:p>
        </w:tc>
        <w:tc>
          <w:tcPr>
            <w:tcW w:w="2198" w:type="dxa"/>
            <w:tcBorders>
              <w:top w:val="dotted" w:color="auto" w:sz="4" w:space="0"/>
              <w:left w:val="dotted" w:color="auto" w:sz="4" w:space="0"/>
              <w:bottom w:val="dotted" w:color="auto" w:sz="4" w:space="0"/>
              <w:right w:val="dotted" w:color="auto" w:sz="4" w:space="0"/>
            </w:tcBorders>
            <w:vAlign w:val="center"/>
          </w:tcPr>
          <w:p w14:paraId="46B4BFB2">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立项程序规范性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0ADF0DA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69A896B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规范</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46167F8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规范</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2DBA4B0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41" w:type="dxa"/>
            <w:tcBorders>
              <w:top w:val="dotted" w:color="auto" w:sz="4" w:space="0"/>
              <w:left w:val="dotted" w:color="auto" w:sz="4" w:space="0"/>
              <w:bottom w:val="dotted" w:color="auto" w:sz="4" w:space="0"/>
              <w:right w:val="nil"/>
            </w:tcBorders>
            <w:shd w:val="clear" w:color="auto" w:fill="auto"/>
            <w:vAlign w:val="center"/>
          </w:tcPr>
          <w:p w14:paraId="050F0851">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7E51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restart"/>
            <w:tcBorders>
              <w:top w:val="dotted" w:color="auto" w:sz="4" w:space="0"/>
              <w:left w:val="nil"/>
              <w:bottom w:val="dotted" w:color="auto" w:sz="4" w:space="0"/>
              <w:right w:val="dotted" w:color="auto" w:sz="4" w:space="0"/>
            </w:tcBorders>
            <w:vAlign w:val="center"/>
          </w:tcPr>
          <w:p w14:paraId="3912AA53">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绩效目标</w:t>
            </w:r>
          </w:p>
        </w:tc>
        <w:tc>
          <w:tcPr>
            <w:tcW w:w="2198" w:type="dxa"/>
            <w:tcBorders>
              <w:top w:val="dotted" w:color="auto" w:sz="4" w:space="0"/>
              <w:left w:val="dotted" w:color="auto" w:sz="4" w:space="0"/>
              <w:bottom w:val="dotted" w:color="auto" w:sz="4" w:space="0"/>
              <w:right w:val="dotted" w:color="auto" w:sz="4" w:space="0"/>
            </w:tcBorders>
            <w:vAlign w:val="center"/>
          </w:tcPr>
          <w:p w14:paraId="5E291359">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绩效目标合理性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7A5398F3">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306DE32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15470853">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0ED54F0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41" w:type="dxa"/>
            <w:tcBorders>
              <w:top w:val="dotted" w:color="auto" w:sz="4" w:space="0"/>
              <w:left w:val="dotted" w:color="auto" w:sz="4" w:space="0"/>
              <w:bottom w:val="dotted" w:color="auto" w:sz="4" w:space="0"/>
              <w:right w:val="nil"/>
            </w:tcBorders>
            <w:shd w:val="clear" w:color="auto" w:fill="auto"/>
            <w:vAlign w:val="center"/>
          </w:tcPr>
          <w:p w14:paraId="64CC7505">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2B69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continue"/>
            <w:tcBorders>
              <w:top w:val="dotted" w:color="auto" w:sz="4" w:space="0"/>
              <w:left w:val="nil"/>
              <w:bottom w:val="dotted" w:color="auto" w:sz="4" w:space="0"/>
              <w:right w:val="dotted" w:color="auto" w:sz="4" w:space="0"/>
            </w:tcBorders>
            <w:vAlign w:val="center"/>
          </w:tcPr>
          <w:p w14:paraId="6B9E331D">
            <w:pPr>
              <w:spacing w:line="560" w:lineRule="exact"/>
              <w:jc w:val="center"/>
              <w:rPr>
                <w:rFonts w:hint="eastAsia" w:ascii="宋体" w:hAnsi="宋体" w:eastAsia="宋体" w:cs="宋体"/>
                <w:bCs/>
                <w:sz w:val="20"/>
                <w:szCs w:val="20"/>
              </w:rPr>
            </w:pPr>
          </w:p>
        </w:tc>
        <w:tc>
          <w:tcPr>
            <w:tcW w:w="2198" w:type="dxa"/>
            <w:tcBorders>
              <w:top w:val="dotted" w:color="auto" w:sz="4" w:space="0"/>
              <w:left w:val="dotted" w:color="auto" w:sz="4" w:space="0"/>
              <w:bottom w:val="dotted" w:color="auto" w:sz="4" w:space="0"/>
              <w:right w:val="dotted" w:color="auto" w:sz="4" w:space="0"/>
            </w:tcBorders>
            <w:vAlign w:val="center"/>
          </w:tcPr>
          <w:p w14:paraId="103335FA">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绩效指标明确性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7E1A8A2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4B3B67C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明确</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7107CEF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明确</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1FA58C6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5</w:t>
            </w:r>
          </w:p>
        </w:tc>
        <w:tc>
          <w:tcPr>
            <w:tcW w:w="1241" w:type="dxa"/>
            <w:tcBorders>
              <w:top w:val="dotted" w:color="auto" w:sz="4" w:space="0"/>
              <w:left w:val="dotted" w:color="auto" w:sz="4" w:space="0"/>
              <w:bottom w:val="dotted" w:color="auto" w:sz="4" w:space="0"/>
              <w:right w:val="nil"/>
            </w:tcBorders>
            <w:shd w:val="clear" w:color="auto" w:fill="auto"/>
            <w:vAlign w:val="center"/>
          </w:tcPr>
          <w:p w14:paraId="7EAFCC1F">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7665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restart"/>
            <w:tcBorders>
              <w:top w:val="dotted" w:color="auto" w:sz="4" w:space="0"/>
              <w:left w:val="nil"/>
              <w:bottom w:val="dotted" w:color="auto" w:sz="4" w:space="0"/>
              <w:right w:val="dotted" w:color="auto" w:sz="4" w:space="0"/>
            </w:tcBorders>
            <w:vAlign w:val="center"/>
          </w:tcPr>
          <w:p w14:paraId="444C809B">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资金投入</w:t>
            </w:r>
          </w:p>
        </w:tc>
        <w:tc>
          <w:tcPr>
            <w:tcW w:w="2198" w:type="dxa"/>
            <w:tcBorders>
              <w:top w:val="dotted" w:color="auto" w:sz="4" w:space="0"/>
              <w:left w:val="dotted" w:color="auto" w:sz="4" w:space="0"/>
              <w:bottom w:val="dotted" w:color="auto" w:sz="4" w:space="0"/>
              <w:right w:val="dotted" w:color="auto" w:sz="4" w:space="0"/>
            </w:tcBorders>
            <w:vAlign w:val="center"/>
          </w:tcPr>
          <w:p w14:paraId="1243CD1F">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预算编制科学性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43B750C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342CFFD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科学</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23E03A3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科学</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151AED7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41" w:type="dxa"/>
            <w:tcBorders>
              <w:top w:val="dotted" w:color="auto" w:sz="4" w:space="0"/>
              <w:left w:val="dotted" w:color="auto" w:sz="4" w:space="0"/>
              <w:bottom w:val="dotted" w:color="auto" w:sz="4" w:space="0"/>
              <w:right w:val="nil"/>
            </w:tcBorders>
            <w:shd w:val="clear" w:color="auto" w:fill="auto"/>
            <w:vAlign w:val="center"/>
          </w:tcPr>
          <w:p w14:paraId="16364D62">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6A93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continue"/>
            <w:tcBorders>
              <w:top w:val="dotted" w:color="auto" w:sz="4" w:space="0"/>
              <w:left w:val="nil"/>
              <w:bottom w:val="dotted" w:color="auto" w:sz="4" w:space="0"/>
              <w:right w:val="dotted" w:color="auto" w:sz="4" w:space="0"/>
            </w:tcBorders>
            <w:vAlign w:val="center"/>
          </w:tcPr>
          <w:p w14:paraId="41128645">
            <w:pPr>
              <w:spacing w:line="560" w:lineRule="exact"/>
              <w:jc w:val="center"/>
              <w:rPr>
                <w:rFonts w:hint="eastAsia" w:ascii="宋体" w:hAnsi="宋体" w:eastAsia="宋体" w:cs="宋体"/>
                <w:bCs/>
                <w:sz w:val="20"/>
                <w:szCs w:val="20"/>
              </w:rPr>
            </w:pPr>
          </w:p>
        </w:tc>
        <w:tc>
          <w:tcPr>
            <w:tcW w:w="2198" w:type="dxa"/>
            <w:tcBorders>
              <w:top w:val="dotted" w:color="auto" w:sz="4" w:space="0"/>
              <w:left w:val="dotted" w:color="auto" w:sz="4" w:space="0"/>
              <w:bottom w:val="dotted" w:color="auto" w:sz="4" w:space="0"/>
              <w:right w:val="dotted" w:color="auto" w:sz="4" w:space="0"/>
            </w:tcBorders>
            <w:vAlign w:val="center"/>
          </w:tcPr>
          <w:p w14:paraId="0D09FD71">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资金分配合理性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41A1162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358D227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4FCF1BB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10FF9EEE">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41" w:type="dxa"/>
            <w:tcBorders>
              <w:top w:val="dotted" w:color="auto" w:sz="4" w:space="0"/>
              <w:left w:val="dotted" w:color="auto" w:sz="4" w:space="0"/>
              <w:bottom w:val="dotted" w:color="auto" w:sz="4" w:space="0"/>
              <w:right w:val="nil"/>
            </w:tcBorders>
            <w:shd w:val="clear" w:color="auto" w:fill="auto"/>
            <w:vAlign w:val="center"/>
          </w:tcPr>
          <w:p w14:paraId="7C0F6236">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3E19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38" w:type="dxa"/>
            <w:gridSpan w:val="2"/>
            <w:tcBorders>
              <w:top w:val="dotted" w:color="auto" w:sz="4" w:space="0"/>
              <w:left w:val="nil"/>
              <w:bottom w:val="single" w:color="auto" w:sz="12" w:space="0"/>
              <w:right w:val="dotted" w:color="auto" w:sz="4" w:space="0"/>
            </w:tcBorders>
            <w:shd w:val="clear" w:color="auto" w:fill="BDD6EE" w:themeFill="accent1" w:themeFillTint="66"/>
            <w:vAlign w:val="center"/>
          </w:tcPr>
          <w:p w14:paraId="133C6BC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835"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5972027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20</w:t>
            </w:r>
          </w:p>
        </w:tc>
        <w:tc>
          <w:tcPr>
            <w:tcW w:w="1186"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12EBBF0F">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1181"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61BD7C0D">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805"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1B57CA9F">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20</w:t>
            </w:r>
          </w:p>
        </w:tc>
        <w:tc>
          <w:tcPr>
            <w:tcW w:w="1241" w:type="dxa"/>
            <w:tcBorders>
              <w:top w:val="dotted" w:color="auto" w:sz="4" w:space="0"/>
              <w:left w:val="dotted" w:color="auto" w:sz="4" w:space="0"/>
              <w:bottom w:val="single" w:color="auto" w:sz="12" w:space="0"/>
              <w:right w:val="nil"/>
            </w:tcBorders>
            <w:shd w:val="clear" w:color="auto" w:fill="BDD6EE" w:themeFill="accent1" w:themeFillTint="66"/>
            <w:vAlign w:val="center"/>
          </w:tcPr>
          <w:p w14:paraId="4C0B5CAF">
            <w:pPr>
              <w:widowControl/>
              <w:spacing w:line="560" w:lineRule="exact"/>
              <w:jc w:val="right"/>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100.00%</w:t>
            </w:r>
          </w:p>
        </w:tc>
      </w:tr>
    </w:tbl>
    <w:p w14:paraId="5EE3EB1C">
      <w:pPr>
        <w:pStyle w:val="4"/>
        <w:spacing w:before="0" w:after="0" w:line="560" w:lineRule="exact"/>
        <w:ind w:firstLine="643" w:firstLineChars="200"/>
        <w:rPr>
          <w:rFonts w:hint="eastAsia" w:ascii="仿宋_GB2312" w:hAnsi="仿宋_GB2312" w:eastAsia="仿宋_GB2312" w:cs="仿宋_GB2312"/>
          <w:b w:val="0"/>
          <w:bCs/>
          <w:szCs w:val="32"/>
        </w:rPr>
      </w:pPr>
      <w:r>
        <w:rPr>
          <w:rFonts w:hint="eastAsia" w:ascii="仿宋_GB2312" w:hAnsi="仿宋_GB2312" w:eastAsia="仿宋_GB2312" w:cs="仿宋_GB2312"/>
          <w:bCs/>
          <w:szCs w:val="32"/>
        </w:rPr>
        <w:t>1.项目立项</w:t>
      </w:r>
    </w:p>
    <w:p w14:paraId="105C775C">
      <w:pPr>
        <w:pStyle w:val="47"/>
        <w:rPr>
          <w:rFonts w:hint="eastAsia"/>
        </w:rPr>
      </w:pPr>
      <w:r>
        <w:rPr>
          <w:rFonts w:hint="eastAsia"/>
        </w:rPr>
        <w:t>电费补助项目严格按照预算绩效制度管理流程履行了项目立项手续，项目立项依据充分、立项程序规范，立项工作达到预期目标。</w:t>
      </w:r>
    </w:p>
    <w:p w14:paraId="57F76ECD">
      <w:pPr>
        <w:pStyle w:val="47"/>
        <w:rPr>
          <w:rFonts w:hint="eastAsia"/>
        </w:rPr>
      </w:pPr>
      <w:r>
        <w:rPr>
          <w:rFonts w:hint="eastAsia"/>
        </w:rPr>
        <w:t>（1）立项依据充分性</w:t>
      </w:r>
    </w:p>
    <w:p w14:paraId="2877506E">
      <w:pPr>
        <w:pStyle w:val="47"/>
        <w:rPr>
          <w:rFonts w:hint="eastAsia"/>
        </w:rPr>
      </w:pPr>
      <w:r>
        <w:rPr>
          <w:rFonts w:hint="eastAsia"/>
        </w:rPr>
        <w:t>立项依据充分性：指标分2.5分，评价得分为2.5分。进一步改善甘肃省法官学院的教学、办公、生活环境，保障学院正常教学任务，科学运作，高质量完成教学培训任务，严格按照节能要求，运用高新技术保障学院生活用电、教学用电等，创造良好的学院生活环境和学习环境，为提高学校的教学质量奠定基础。</w:t>
      </w:r>
      <w:r>
        <w:rPr>
          <w:rFonts w:hint="eastAsia" w:ascii="仿宋_GB2312" w:hAnsi="仿宋_GB2312" w:eastAsia="仿宋_GB2312" w:cs="仿宋_GB2312"/>
          <w:sz w:val="32"/>
          <w:szCs w:val="32"/>
          <w:highlight w:val="none"/>
          <w:lang w:val="en-US" w:eastAsia="zh-CN"/>
        </w:rPr>
        <w:t>项</w:t>
      </w:r>
      <w:r>
        <w:rPr>
          <w:rFonts w:hint="eastAsia" w:ascii="仿宋_GB2312" w:hAnsi="仿宋_GB2312" w:eastAsia="仿宋_GB2312" w:cs="仿宋_GB2312"/>
          <w:sz w:val="32"/>
          <w:szCs w:val="32"/>
          <w:highlight w:val="none"/>
        </w:rPr>
        <w:t>目</w:t>
      </w:r>
      <w:r>
        <w:rPr>
          <w:rFonts w:hint="eastAsia" w:ascii="仿宋_GB2312" w:hAnsi="仿宋_GB2312" w:eastAsia="仿宋_GB2312" w:cs="仿宋_GB2312"/>
          <w:sz w:val="32"/>
          <w:szCs w:val="32"/>
          <w:highlight w:val="none"/>
          <w:lang w:val="en-US" w:eastAsia="zh-CN"/>
        </w:rPr>
        <w:t>设立符合国家发展规划和党政决策；项目与甘肃省高级人民法院的主要职能相符，属于</w:t>
      </w:r>
      <w:r>
        <w:rPr>
          <w:rFonts w:hint="eastAsia" w:cs="仿宋_GB2312"/>
          <w:sz w:val="32"/>
          <w:szCs w:val="32"/>
          <w:highlight w:val="none"/>
          <w:lang w:val="en-US" w:eastAsia="zh-CN"/>
        </w:rPr>
        <w:t>甘肃省法官学院</w:t>
      </w:r>
      <w:r>
        <w:rPr>
          <w:rFonts w:hint="eastAsia" w:ascii="仿宋_GB2312" w:hAnsi="仿宋_GB2312" w:eastAsia="仿宋_GB2312" w:cs="仿宋_GB2312"/>
          <w:sz w:val="32"/>
          <w:szCs w:val="32"/>
          <w:highlight w:val="none"/>
          <w:lang w:val="en-US" w:eastAsia="zh-CN"/>
        </w:rPr>
        <w:t>的职责范围；项目属于财政支持范围，符合中央、地方事权支出责任划分原则；项目与</w:t>
      </w:r>
      <w:r>
        <w:rPr>
          <w:rFonts w:hint="eastAsia" w:cs="仿宋_GB2312"/>
          <w:sz w:val="32"/>
          <w:szCs w:val="32"/>
          <w:highlight w:val="none"/>
          <w:lang w:val="en-US" w:eastAsia="zh-CN"/>
        </w:rPr>
        <w:t>甘肃省法官学院</w:t>
      </w:r>
      <w:r>
        <w:rPr>
          <w:rFonts w:hint="eastAsia" w:ascii="仿宋_GB2312" w:hAnsi="仿宋_GB2312" w:eastAsia="仿宋_GB2312" w:cs="仿宋_GB2312"/>
          <w:sz w:val="32"/>
          <w:szCs w:val="32"/>
          <w:highlight w:val="none"/>
          <w:lang w:val="en-US" w:eastAsia="zh-CN"/>
        </w:rPr>
        <w:t>其他相关项目不重复。评价认为，项目立项依据充分</w:t>
      </w:r>
      <w:r>
        <w:rPr>
          <w:rFonts w:hint="eastAsia" w:ascii="仿宋_GB2312" w:hAnsi="仿宋_GB2312" w:eastAsia="仿宋_GB2312" w:cs="仿宋_GB2312"/>
          <w:sz w:val="32"/>
          <w:szCs w:val="32"/>
          <w:highlight w:val="none"/>
        </w:rPr>
        <w:t>，立项符合法规政策。</w:t>
      </w:r>
    </w:p>
    <w:p w14:paraId="7E693D72">
      <w:pPr>
        <w:pStyle w:val="47"/>
        <w:rPr>
          <w:rFonts w:hint="eastAsia"/>
        </w:rPr>
      </w:pPr>
      <w:r>
        <w:rPr>
          <w:rFonts w:hint="eastAsia"/>
        </w:rPr>
        <w:t>（2）立项程序规范性</w:t>
      </w:r>
    </w:p>
    <w:p w14:paraId="0DE34F84">
      <w:pPr>
        <w:pStyle w:val="26"/>
        <w:overflowPunct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项程序规范性：指标分值2.5分，评价得分2.5分。该项资金主要用于法官学院按季度按时缴纳电费改善学院的教学、办公、生活环境，项目根据《最高人民法院关于进一步加强人民法院文化建设的意见》《关于进一步加强人民法院文化建设的意见》等政策依据设立。评价认为，项目立项依据充分，立项符合相关法规政策，属于专项资金支持范围。</w:t>
      </w:r>
    </w:p>
    <w:p w14:paraId="2B73E819">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14:paraId="04C598D5">
      <w:pPr>
        <w:pStyle w:val="26"/>
        <w:overflowPunct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14:paraId="31731666">
      <w:pPr>
        <w:pStyle w:val="47"/>
        <w:rPr>
          <w:rFonts w:hint="eastAsia"/>
        </w:rPr>
      </w:pPr>
      <w:r>
        <w:rPr>
          <w:rFonts w:hint="eastAsia"/>
        </w:rPr>
        <w:t>绩效目标合理性：指标分值5分，评价得分5分。项目严格按照省财政厅《甘肃省省级预算绩效目标管理办法》要求，科学规范设置了绩效目标和评价指标，</w:t>
      </w:r>
      <w:r>
        <w:rPr>
          <w:rFonts w:hint="eastAsia" w:ascii="仿宋_GB2312" w:hAnsi="仿宋_GB2312" w:eastAsia="仿宋_GB2312" w:cs="仿宋_GB2312"/>
          <w:sz w:val="32"/>
          <w:szCs w:val="32"/>
          <w:highlight w:val="none"/>
        </w:rPr>
        <w:t>绩效目标与实际工作具有相关性；与预算确定的投资额相匹配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评价认为，项目绩效目标编制合理</w:t>
      </w:r>
      <w:r>
        <w:rPr>
          <w:rFonts w:hint="eastAsia" w:ascii="仿宋_GB2312" w:hAnsi="仿宋_GB2312" w:eastAsia="仿宋_GB2312" w:cs="仿宋_GB2312"/>
          <w:sz w:val="32"/>
          <w:szCs w:val="32"/>
          <w:highlight w:val="none"/>
        </w:rPr>
        <w:t>。</w:t>
      </w:r>
    </w:p>
    <w:p w14:paraId="3C635206">
      <w:pPr>
        <w:pStyle w:val="26"/>
        <w:overflowPunct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14:paraId="50E1FEAA">
      <w:pPr>
        <w:pStyle w:val="47"/>
        <w:rPr>
          <w:rFonts w:hint="eastAsia"/>
        </w:rPr>
      </w:pPr>
      <w:r>
        <w:rPr>
          <w:rFonts w:hint="eastAsia"/>
        </w:rPr>
        <w:t>绩效指标明确性：指标分值5分，评价得分5分。</w:t>
      </w:r>
      <w:r>
        <w:t>经核查</w:t>
      </w:r>
      <w:r>
        <w:rPr>
          <w:rFonts w:hint="eastAsia"/>
          <w:lang w:val="en-US" w:eastAsia="zh-CN"/>
        </w:rPr>
        <w:t>甘肃省法官学院</w:t>
      </w:r>
      <w:r>
        <w:rPr>
          <w:rFonts w:hint="eastAsia"/>
        </w:rPr>
        <w:t>年初制定</w:t>
      </w:r>
      <w:r>
        <w:rPr>
          <w:rFonts w:hint="eastAsia"/>
          <w:lang w:val="en-US" w:eastAsia="zh-CN"/>
        </w:rPr>
        <w:t>的</w:t>
      </w:r>
      <w:r>
        <w:t>《202</w:t>
      </w:r>
      <w:r>
        <w:rPr>
          <w:rFonts w:hint="eastAsia"/>
        </w:rPr>
        <w:t>3</w:t>
      </w:r>
      <w:r>
        <w:t>年度省级部门</w:t>
      </w:r>
      <w:r>
        <w:rPr>
          <w:rFonts w:hint="eastAsia"/>
        </w:rPr>
        <w:t>电费补助</w:t>
      </w:r>
      <w:r>
        <w:t>预算项目绩效目标表》，设置的绩效指标能够将项目绩效目标细化分解为具体的绩效指标，指标目标值清晰、可衡量</w:t>
      </w:r>
      <w:r>
        <w:rPr>
          <w:rFonts w:hint="eastAsia"/>
        </w:rPr>
        <w:t>；与项目年度计划相对应；与预算确定的项目投资额或资金量相匹配。</w:t>
      </w:r>
    </w:p>
    <w:p w14:paraId="59F46A2D">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14:paraId="3E5123A1">
      <w:pPr>
        <w:pStyle w:val="26"/>
        <w:overflowPunct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电费补助项目资金投入方向符合政策规定，按照年度预算合理分配。</w:t>
      </w:r>
    </w:p>
    <w:p w14:paraId="1B8F2850">
      <w:pPr>
        <w:pStyle w:val="26"/>
        <w:overflowPunct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14:paraId="111A22CF">
      <w:pPr>
        <w:pStyle w:val="47"/>
        <w:rPr>
          <w:rFonts w:hint="eastAsia"/>
        </w:rPr>
      </w:pPr>
      <w:r>
        <w:rPr>
          <w:rFonts w:hint="eastAsia"/>
        </w:rPr>
        <w:t>预算编制科学性：指标分值2.5分，评价得分2.5分。电费补助项目实施前，法官学院严格按照预算管理制度，分析研究并制定项目专项资金使用计划，且经人代会上会通过，预算内容与项目内容匹配，预算额度测算依据充分，按照标准编制，预算确定的项目资金量与工作任务相匹配。本次评价认为，项目预算编制规范。</w:t>
      </w:r>
    </w:p>
    <w:p w14:paraId="140C2458">
      <w:pPr>
        <w:pStyle w:val="26"/>
        <w:overflowPunct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14:paraId="24FD12B1">
      <w:pPr>
        <w:pStyle w:val="47"/>
        <w:rPr>
          <w:rFonts w:hint="eastAsia"/>
        </w:rPr>
      </w:pPr>
      <w:bookmarkStart w:id="124" w:name="_Toc10475"/>
      <w:r>
        <w:rPr>
          <w:rFonts w:hint="eastAsia"/>
        </w:rPr>
        <w:t>资金分配合理性：指标分值2.5分，评价得分2.5分。</w:t>
      </w:r>
      <w:bookmarkEnd w:id="124"/>
      <w:bookmarkStart w:id="125" w:name="_Toc22593"/>
      <w:bookmarkStart w:id="126" w:name="_Toc5353"/>
      <w:r>
        <w:rPr>
          <w:rFonts w:hint="eastAsia"/>
        </w:rPr>
        <w:t>项目的预算编制首先主要依据《预算法》与《全省法院系统项目预算资金申报使用管理规程》等文件要求，其次通过制定工作计划、工作要点等科学的方式确定预算编制，项目预算内容与项目实施内容匹配，预算编制经过科学论证，预算额度测算依据充分，按照标准编制，确定的项目资金量与工作任务相匹配。</w:t>
      </w:r>
    </w:p>
    <w:p w14:paraId="27CC2EE5">
      <w:pPr>
        <w:pStyle w:val="42"/>
        <w:rPr>
          <w:rFonts w:hint="eastAsia"/>
        </w:rPr>
      </w:pPr>
      <w:bookmarkStart w:id="127" w:name="_Toc10269"/>
      <w:r>
        <w:rPr>
          <w:rFonts w:hint="eastAsia"/>
        </w:rPr>
        <w:t>（二）项目过程情况</w:t>
      </w:r>
      <w:bookmarkEnd w:id="125"/>
      <w:bookmarkEnd w:id="126"/>
      <w:bookmarkEnd w:id="127"/>
    </w:p>
    <w:p w14:paraId="77592F2A">
      <w:pPr>
        <w:pStyle w:val="47"/>
        <w:rPr>
          <w:rFonts w:hint="eastAsia"/>
        </w:rPr>
      </w:pPr>
      <w:r>
        <w:rPr>
          <w:rFonts w:hint="eastAsia"/>
        </w:rPr>
        <w:t>项目过程指标包括资金管理、组织实施两个二级指标。资金管理指标包括资金到位率、预算执行率、资金使用合规性三个三级指标，组织实施指标包括管理制度健全性、制度执行有效性、绩效管理规范性三个三级指标。指标分值20分，评价得分</w:t>
      </w:r>
      <w:r>
        <w:rPr>
          <w:rFonts w:hint="eastAsia"/>
          <w:lang w:val="en-US" w:eastAsia="zh-CN"/>
        </w:rPr>
        <w:t>17.34</w:t>
      </w:r>
      <w:r>
        <w:rPr>
          <w:rFonts w:hint="eastAsia"/>
        </w:rPr>
        <w:t>分，得分率</w:t>
      </w:r>
      <w:r>
        <w:rPr>
          <w:rFonts w:hint="eastAsia"/>
          <w:lang w:val="en-US" w:eastAsia="zh-CN"/>
        </w:rPr>
        <w:t>86</w:t>
      </w:r>
      <w:r>
        <w:rPr>
          <w:rFonts w:hint="eastAsia"/>
        </w:rPr>
        <w:t>.</w:t>
      </w:r>
      <w:r>
        <w:rPr>
          <w:rFonts w:hint="eastAsia"/>
          <w:lang w:val="en-US" w:eastAsia="zh-CN"/>
        </w:rPr>
        <w:t>7</w:t>
      </w:r>
      <w:r>
        <w:rPr>
          <w:rFonts w:hint="eastAsia"/>
        </w:rPr>
        <w:t>0%。</w:t>
      </w:r>
    </w:p>
    <w:tbl>
      <w:tblPr>
        <w:tblStyle w:val="20"/>
        <w:tblW w:w="0" w:type="auto"/>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201"/>
        <w:gridCol w:w="1836"/>
        <w:gridCol w:w="999"/>
        <w:gridCol w:w="1151"/>
        <w:gridCol w:w="1170"/>
        <w:gridCol w:w="1048"/>
        <w:gridCol w:w="1065"/>
      </w:tblGrid>
      <w:tr w14:paraId="1B4BB44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blHeader/>
        </w:trPr>
        <w:tc>
          <w:tcPr>
            <w:tcW w:w="1201" w:type="dxa"/>
            <w:tcBorders>
              <w:tl2br w:val="nil"/>
              <w:tr2bl w:val="nil"/>
            </w:tcBorders>
            <w:shd w:val="clear" w:color="auto" w:fill="BDD6EE" w:themeFill="accent1" w:themeFillTint="66"/>
            <w:vAlign w:val="center"/>
          </w:tcPr>
          <w:p w14:paraId="4ACA39E0">
            <w:pPr>
              <w:widowControl/>
              <w:spacing w:line="560" w:lineRule="exact"/>
              <w:jc w:val="center"/>
              <w:textAlignment w:val="center"/>
              <w:rPr>
                <w:rFonts w:hint="eastAsia" w:ascii="宋体" w:hAnsi="宋体" w:eastAsia="宋体" w:cs="宋体"/>
                <w:b/>
                <w:bCs/>
                <w:kern w:val="0"/>
                <w:sz w:val="20"/>
                <w:szCs w:val="20"/>
                <w:lang w:bidi="ar"/>
              </w:rPr>
            </w:pPr>
            <w:bookmarkStart w:id="128" w:name="_Hlk167346931"/>
            <w:r>
              <w:rPr>
                <w:rFonts w:hint="eastAsia" w:ascii="宋体" w:hAnsi="宋体" w:eastAsia="宋体" w:cs="宋体"/>
                <w:b/>
                <w:bCs/>
                <w:kern w:val="0"/>
                <w:sz w:val="20"/>
                <w:szCs w:val="20"/>
                <w:lang w:bidi="ar"/>
              </w:rPr>
              <w:t>二级指标</w:t>
            </w:r>
          </w:p>
        </w:tc>
        <w:tc>
          <w:tcPr>
            <w:tcW w:w="1836" w:type="dxa"/>
            <w:tcBorders>
              <w:tl2br w:val="nil"/>
              <w:tr2bl w:val="nil"/>
            </w:tcBorders>
            <w:shd w:val="clear" w:color="auto" w:fill="BDD6EE" w:themeFill="accent1" w:themeFillTint="66"/>
            <w:vAlign w:val="center"/>
          </w:tcPr>
          <w:p w14:paraId="17C3CB7F">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999" w:type="dxa"/>
            <w:tcBorders>
              <w:tl2br w:val="nil"/>
              <w:tr2bl w:val="nil"/>
            </w:tcBorders>
            <w:shd w:val="clear" w:color="auto" w:fill="BDD6EE" w:themeFill="accent1" w:themeFillTint="66"/>
            <w:vAlign w:val="center"/>
          </w:tcPr>
          <w:p w14:paraId="2EED9BD7">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151" w:type="dxa"/>
            <w:tcBorders>
              <w:tl2br w:val="nil"/>
              <w:tr2bl w:val="nil"/>
            </w:tcBorders>
            <w:shd w:val="clear" w:color="auto" w:fill="BDD6EE" w:themeFill="accent1" w:themeFillTint="66"/>
            <w:vAlign w:val="center"/>
          </w:tcPr>
          <w:p w14:paraId="65D751C4">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170" w:type="dxa"/>
            <w:tcBorders>
              <w:tl2br w:val="nil"/>
              <w:tr2bl w:val="nil"/>
            </w:tcBorders>
            <w:shd w:val="clear" w:color="auto" w:fill="BDD6EE" w:themeFill="accent1" w:themeFillTint="66"/>
            <w:vAlign w:val="center"/>
          </w:tcPr>
          <w:p w14:paraId="2680DAAB">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1048" w:type="dxa"/>
            <w:tcBorders>
              <w:tl2br w:val="nil"/>
              <w:tr2bl w:val="nil"/>
            </w:tcBorders>
            <w:shd w:val="clear" w:color="auto" w:fill="BDD6EE" w:themeFill="accent1" w:themeFillTint="66"/>
            <w:vAlign w:val="center"/>
          </w:tcPr>
          <w:p w14:paraId="2FCF5BF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065" w:type="dxa"/>
            <w:tcBorders>
              <w:tl2br w:val="nil"/>
              <w:tr2bl w:val="nil"/>
            </w:tcBorders>
            <w:shd w:val="clear" w:color="auto" w:fill="BDD6EE" w:themeFill="accent1" w:themeFillTint="66"/>
            <w:vAlign w:val="center"/>
          </w:tcPr>
          <w:p w14:paraId="6CA7FD2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1DB3A6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restart"/>
            <w:tcBorders>
              <w:tl2br w:val="nil"/>
              <w:tr2bl w:val="nil"/>
            </w:tcBorders>
            <w:vAlign w:val="center"/>
          </w:tcPr>
          <w:p w14:paraId="5A02A723">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资金管理</w:t>
            </w:r>
          </w:p>
        </w:tc>
        <w:tc>
          <w:tcPr>
            <w:tcW w:w="1836" w:type="dxa"/>
            <w:tcBorders>
              <w:tl2br w:val="nil"/>
              <w:tr2bl w:val="nil"/>
            </w:tcBorders>
            <w:vAlign w:val="center"/>
          </w:tcPr>
          <w:p w14:paraId="6205A17D">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资金到位率</w:t>
            </w:r>
          </w:p>
        </w:tc>
        <w:tc>
          <w:tcPr>
            <w:tcW w:w="999" w:type="dxa"/>
            <w:tcBorders>
              <w:tl2br w:val="nil"/>
              <w:tr2bl w:val="nil"/>
            </w:tcBorders>
            <w:shd w:val="clear" w:color="auto" w:fill="auto"/>
            <w:vAlign w:val="center"/>
          </w:tcPr>
          <w:p w14:paraId="1991D606">
            <w:pPr>
              <w:widowControl/>
              <w:spacing w:line="560" w:lineRule="exact"/>
              <w:jc w:val="center"/>
              <w:textAlignment w:val="center"/>
              <w:rPr>
                <w:rFonts w:hint="eastAsia" w:ascii="宋体" w:hAnsi="宋体" w:eastAsia="宋体" w:cs="宋体"/>
                <w:kern w:val="0"/>
                <w:sz w:val="20"/>
                <w:szCs w:val="20"/>
              </w:rPr>
            </w:pPr>
            <w:r>
              <w:rPr>
                <w:rFonts w:hint="eastAsia" w:ascii="宋体" w:hAnsi="宋体" w:eastAsia="宋体" w:cs="宋体"/>
                <w:color w:val="000000"/>
                <w:kern w:val="0"/>
                <w:sz w:val="20"/>
                <w:szCs w:val="20"/>
                <w:lang w:bidi="ar"/>
              </w:rPr>
              <w:t>3</w:t>
            </w:r>
          </w:p>
        </w:tc>
        <w:tc>
          <w:tcPr>
            <w:tcW w:w="1151" w:type="dxa"/>
            <w:tcBorders>
              <w:tl2br w:val="nil"/>
              <w:tr2bl w:val="nil"/>
            </w:tcBorders>
            <w:shd w:val="clear" w:color="auto" w:fill="auto"/>
            <w:vAlign w:val="center"/>
          </w:tcPr>
          <w:p w14:paraId="51032713">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c>
          <w:tcPr>
            <w:tcW w:w="1170" w:type="dxa"/>
            <w:tcBorders>
              <w:tl2br w:val="nil"/>
              <w:tr2bl w:val="nil"/>
            </w:tcBorders>
            <w:shd w:val="clear" w:color="auto" w:fill="auto"/>
            <w:vAlign w:val="center"/>
          </w:tcPr>
          <w:p w14:paraId="4969F224">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c>
          <w:tcPr>
            <w:tcW w:w="1048" w:type="dxa"/>
            <w:tcBorders>
              <w:tl2br w:val="nil"/>
              <w:tr2bl w:val="nil"/>
            </w:tcBorders>
            <w:shd w:val="clear" w:color="auto" w:fill="auto"/>
            <w:vAlign w:val="center"/>
          </w:tcPr>
          <w:p w14:paraId="187A1C42">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3</w:t>
            </w:r>
          </w:p>
        </w:tc>
        <w:tc>
          <w:tcPr>
            <w:tcW w:w="1065" w:type="dxa"/>
            <w:tcBorders>
              <w:tl2br w:val="nil"/>
              <w:tr2bl w:val="nil"/>
            </w:tcBorders>
            <w:shd w:val="clear" w:color="auto" w:fill="auto"/>
            <w:vAlign w:val="center"/>
          </w:tcPr>
          <w:p w14:paraId="2464DC9B">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4A2417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6062C8ED">
            <w:pPr>
              <w:spacing w:line="560" w:lineRule="exact"/>
              <w:jc w:val="center"/>
              <w:rPr>
                <w:rFonts w:hint="eastAsia" w:ascii="宋体" w:hAnsi="宋体" w:eastAsia="宋体" w:cs="宋体"/>
                <w:b/>
                <w:bCs/>
                <w:sz w:val="20"/>
                <w:szCs w:val="20"/>
              </w:rPr>
            </w:pPr>
          </w:p>
        </w:tc>
        <w:tc>
          <w:tcPr>
            <w:tcW w:w="1836" w:type="dxa"/>
            <w:tcBorders>
              <w:tl2br w:val="nil"/>
              <w:tr2bl w:val="nil"/>
            </w:tcBorders>
            <w:vAlign w:val="center"/>
          </w:tcPr>
          <w:p w14:paraId="046AB671">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预算执行率</w:t>
            </w:r>
          </w:p>
        </w:tc>
        <w:tc>
          <w:tcPr>
            <w:tcW w:w="999" w:type="dxa"/>
            <w:tcBorders>
              <w:tl2br w:val="nil"/>
              <w:tr2bl w:val="nil"/>
            </w:tcBorders>
            <w:shd w:val="clear" w:color="auto" w:fill="auto"/>
            <w:vAlign w:val="center"/>
          </w:tcPr>
          <w:p w14:paraId="0B8EB334">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3</w:t>
            </w:r>
          </w:p>
        </w:tc>
        <w:tc>
          <w:tcPr>
            <w:tcW w:w="1151" w:type="dxa"/>
            <w:tcBorders>
              <w:tl2br w:val="nil"/>
              <w:tr2bl w:val="nil"/>
            </w:tcBorders>
            <w:shd w:val="clear" w:color="auto" w:fill="auto"/>
            <w:vAlign w:val="center"/>
          </w:tcPr>
          <w:p w14:paraId="6EB1360F">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c>
          <w:tcPr>
            <w:tcW w:w="1170" w:type="dxa"/>
            <w:tcBorders>
              <w:tl2br w:val="nil"/>
              <w:tr2bl w:val="nil"/>
            </w:tcBorders>
            <w:shd w:val="clear" w:color="auto" w:fill="auto"/>
            <w:vAlign w:val="center"/>
          </w:tcPr>
          <w:p w14:paraId="46037103">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c>
          <w:tcPr>
            <w:tcW w:w="1048" w:type="dxa"/>
            <w:tcBorders>
              <w:tl2br w:val="nil"/>
              <w:tr2bl w:val="nil"/>
            </w:tcBorders>
            <w:shd w:val="clear" w:color="auto" w:fill="auto"/>
            <w:vAlign w:val="center"/>
          </w:tcPr>
          <w:p w14:paraId="781EFC11">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3</w:t>
            </w:r>
          </w:p>
        </w:tc>
        <w:tc>
          <w:tcPr>
            <w:tcW w:w="1065" w:type="dxa"/>
            <w:tcBorders>
              <w:tl2br w:val="nil"/>
              <w:tr2bl w:val="nil"/>
            </w:tcBorders>
            <w:shd w:val="clear" w:color="auto" w:fill="auto"/>
            <w:vAlign w:val="center"/>
          </w:tcPr>
          <w:p w14:paraId="48EBE7C8">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2C57E34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11599486">
            <w:pPr>
              <w:spacing w:line="560" w:lineRule="exact"/>
              <w:jc w:val="center"/>
              <w:rPr>
                <w:rFonts w:hint="eastAsia" w:ascii="宋体" w:hAnsi="宋体" w:eastAsia="宋体" w:cs="宋体"/>
                <w:b/>
                <w:bCs/>
                <w:sz w:val="20"/>
                <w:szCs w:val="20"/>
              </w:rPr>
            </w:pPr>
          </w:p>
        </w:tc>
        <w:tc>
          <w:tcPr>
            <w:tcW w:w="1836" w:type="dxa"/>
            <w:tcBorders>
              <w:tl2br w:val="nil"/>
              <w:tr2bl w:val="nil"/>
            </w:tcBorders>
            <w:vAlign w:val="center"/>
          </w:tcPr>
          <w:p w14:paraId="08700BD8">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资金使用合规性</w:t>
            </w:r>
          </w:p>
        </w:tc>
        <w:tc>
          <w:tcPr>
            <w:tcW w:w="999" w:type="dxa"/>
            <w:tcBorders>
              <w:tl2br w:val="nil"/>
              <w:tr2bl w:val="nil"/>
            </w:tcBorders>
            <w:shd w:val="clear" w:color="auto" w:fill="auto"/>
            <w:vAlign w:val="center"/>
          </w:tcPr>
          <w:p w14:paraId="193303ED">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4</w:t>
            </w:r>
          </w:p>
        </w:tc>
        <w:tc>
          <w:tcPr>
            <w:tcW w:w="1151" w:type="dxa"/>
            <w:tcBorders>
              <w:tl2br w:val="nil"/>
              <w:tr2bl w:val="nil"/>
            </w:tcBorders>
            <w:shd w:val="clear" w:color="auto" w:fill="auto"/>
            <w:vAlign w:val="center"/>
          </w:tcPr>
          <w:p w14:paraId="7B71E775">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合规</w:t>
            </w:r>
          </w:p>
        </w:tc>
        <w:tc>
          <w:tcPr>
            <w:tcW w:w="1170" w:type="dxa"/>
            <w:tcBorders>
              <w:tl2br w:val="nil"/>
              <w:tr2bl w:val="nil"/>
            </w:tcBorders>
            <w:shd w:val="clear" w:color="auto" w:fill="auto"/>
            <w:vAlign w:val="center"/>
          </w:tcPr>
          <w:p w14:paraId="3C04379C">
            <w:pPr>
              <w:widowControl/>
              <w:spacing w:line="560" w:lineRule="exact"/>
              <w:jc w:val="center"/>
              <w:textAlignment w:val="center"/>
              <w:rPr>
                <w:rFonts w:hint="eastAsia" w:ascii="宋体" w:hAnsi="宋体" w:eastAsia="宋体" w:cs="宋体"/>
                <w:sz w:val="20"/>
                <w:szCs w:val="20"/>
                <w:lang w:eastAsia="zh-CN"/>
              </w:rPr>
            </w:pPr>
            <w:r>
              <w:rPr>
                <w:rFonts w:hint="eastAsia" w:ascii="宋体" w:hAnsi="宋体" w:eastAsia="宋体" w:cs="宋体"/>
                <w:color w:val="000000"/>
                <w:kern w:val="0"/>
                <w:sz w:val="20"/>
                <w:szCs w:val="20"/>
                <w:lang w:val="en-US" w:eastAsia="zh-CN" w:bidi="ar"/>
              </w:rPr>
              <w:t>有待规范</w:t>
            </w:r>
          </w:p>
        </w:tc>
        <w:tc>
          <w:tcPr>
            <w:tcW w:w="1048" w:type="dxa"/>
            <w:tcBorders>
              <w:tl2br w:val="nil"/>
              <w:tr2bl w:val="nil"/>
            </w:tcBorders>
            <w:shd w:val="clear" w:color="auto" w:fill="auto"/>
            <w:vAlign w:val="center"/>
          </w:tcPr>
          <w:p w14:paraId="1D3D23AB">
            <w:pPr>
              <w:widowControl/>
              <w:spacing w:line="560" w:lineRule="exact"/>
              <w:jc w:val="center"/>
              <w:textAlignment w:val="center"/>
              <w:rPr>
                <w:rFonts w:hint="eastAsia" w:ascii="宋体" w:hAnsi="宋体" w:eastAsia="宋体" w:cs="宋体"/>
                <w:sz w:val="20"/>
                <w:szCs w:val="20"/>
                <w:lang w:eastAsia="zh-CN"/>
              </w:rPr>
            </w:pPr>
            <w:r>
              <w:rPr>
                <w:rFonts w:hint="eastAsia" w:ascii="宋体" w:hAnsi="宋体" w:eastAsia="宋体" w:cs="宋体"/>
                <w:color w:val="000000"/>
                <w:kern w:val="0"/>
                <w:sz w:val="20"/>
                <w:szCs w:val="20"/>
                <w:lang w:val="en-US" w:eastAsia="zh-CN" w:bidi="ar"/>
              </w:rPr>
              <w:t>3</w:t>
            </w:r>
          </w:p>
        </w:tc>
        <w:tc>
          <w:tcPr>
            <w:tcW w:w="1065" w:type="dxa"/>
            <w:tcBorders>
              <w:tl2br w:val="nil"/>
              <w:tr2bl w:val="nil"/>
            </w:tcBorders>
            <w:shd w:val="clear" w:color="auto" w:fill="auto"/>
            <w:vAlign w:val="center"/>
          </w:tcPr>
          <w:p w14:paraId="6F86966D">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val="en-US" w:eastAsia="zh-CN" w:bidi="ar"/>
              </w:rPr>
              <w:t>75</w:t>
            </w:r>
            <w:r>
              <w:rPr>
                <w:rFonts w:hint="eastAsia" w:ascii="宋体" w:hAnsi="宋体" w:eastAsia="宋体" w:cs="宋体"/>
                <w:color w:val="000000"/>
                <w:kern w:val="0"/>
                <w:sz w:val="20"/>
                <w:szCs w:val="20"/>
                <w:lang w:bidi="ar"/>
              </w:rPr>
              <w:t>.00%</w:t>
            </w:r>
          </w:p>
        </w:tc>
      </w:tr>
      <w:tr w14:paraId="161B647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restart"/>
            <w:tcBorders>
              <w:tl2br w:val="nil"/>
              <w:tr2bl w:val="nil"/>
            </w:tcBorders>
            <w:vAlign w:val="center"/>
          </w:tcPr>
          <w:p w14:paraId="094215B1">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组织实施</w:t>
            </w:r>
          </w:p>
        </w:tc>
        <w:tc>
          <w:tcPr>
            <w:tcW w:w="1836" w:type="dxa"/>
            <w:tcBorders>
              <w:tl2br w:val="nil"/>
              <w:tr2bl w:val="nil"/>
            </w:tcBorders>
            <w:vAlign w:val="center"/>
          </w:tcPr>
          <w:p w14:paraId="3B9F0DC4">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管理制度健全性</w:t>
            </w:r>
          </w:p>
        </w:tc>
        <w:tc>
          <w:tcPr>
            <w:tcW w:w="999" w:type="dxa"/>
            <w:tcBorders>
              <w:tl2br w:val="nil"/>
              <w:tr2bl w:val="nil"/>
            </w:tcBorders>
            <w:shd w:val="clear" w:color="auto" w:fill="auto"/>
            <w:vAlign w:val="center"/>
          </w:tcPr>
          <w:p w14:paraId="2345233E">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5</w:t>
            </w:r>
          </w:p>
        </w:tc>
        <w:tc>
          <w:tcPr>
            <w:tcW w:w="1151" w:type="dxa"/>
            <w:tcBorders>
              <w:tl2br w:val="nil"/>
              <w:tr2bl w:val="nil"/>
            </w:tcBorders>
            <w:shd w:val="clear" w:color="auto" w:fill="auto"/>
            <w:vAlign w:val="center"/>
          </w:tcPr>
          <w:p w14:paraId="0EE84BA7">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健全</w:t>
            </w:r>
          </w:p>
        </w:tc>
        <w:tc>
          <w:tcPr>
            <w:tcW w:w="1170" w:type="dxa"/>
            <w:tcBorders>
              <w:tl2br w:val="nil"/>
              <w:tr2bl w:val="nil"/>
            </w:tcBorders>
            <w:shd w:val="clear" w:color="auto" w:fill="auto"/>
            <w:vAlign w:val="center"/>
          </w:tcPr>
          <w:p w14:paraId="0021477D">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健全</w:t>
            </w:r>
          </w:p>
        </w:tc>
        <w:tc>
          <w:tcPr>
            <w:tcW w:w="1048" w:type="dxa"/>
            <w:tcBorders>
              <w:tl2br w:val="nil"/>
              <w:tr2bl w:val="nil"/>
            </w:tcBorders>
            <w:shd w:val="clear" w:color="auto" w:fill="auto"/>
            <w:vAlign w:val="center"/>
          </w:tcPr>
          <w:p w14:paraId="0BE0D991">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5</w:t>
            </w:r>
          </w:p>
        </w:tc>
        <w:tc>
          <w:tcPr>
            <w:tcW w:w="1065" w:type="dxa"/>
            <w:tcBorders>
              <w:tl2br w:val="nil"/>
              <w:tr2bl w:val="nil"/>
            </w:tcBorders>
            <w:shd w:val="clear" w:color="auto" w:fill="auto"/>
            <w:vAlign w:val="center"/>
          </w:tcPr>
          <w:p w14:paraId="7A9E5BD4">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2F3168D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771183F9">
            <w:pPr>
              <w:widowControl/>
              <w:spacing w:line="560" w:lineRule="exact"/>
              <w:jc w:val="center"/>
              <w:textAlignment w:val="center"/>
              <w:rPr>
                <w:rFonts w:hint="eastAsia" w:ascii="宋体" w:hAnsi="宋体" w:eastAsia="宋体" w:cs="宋体"/>
                <w:kern w:val="0"/>
                <w:sz w:val="20"/>
                <w:szCs w:val="20"/>
                <w:lang w:bidi="ar"/>
              </w:rPr>
            </w:pPr>
          </w:p>
        </w:tc>
        <w:tc>
          <w:tcPr>
            <w:tcW w:w="1836" w:type="dxa"/>
            <w:tcBorders>
              <w:tl2br w:val="nil"/>
              <w:tr2bl w:val="nil"/>
            </w:tcBorders>
            <w:vAlign w:val="center"/>
          </w:tcPr>
          <w:p w14:paraId="601D2A7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制度执行有效性</w:t>
            </w:r>
          </w:p>
        </w:tc>
        <w:tc>
          <w:tcPr>
            <w:tcW w:w="999" w:type="dxa"/>
            <w:tcBorders>
              <w:tl2br w:val="nil"/>
              <w:tr2bl w:val="nil"/>
            </w:tcBorders>
            <w:shd w:val="clear" w:color="auto" w:fill="auto"/>
            <w:vAlign w:val="center"/>
          </w:tcPr>
          <w:p w14:paraId="7DF88EB7">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5</w:t>
            </w:r>
          </w:p>
        </w:tc>
        <w:tc>
          <w:tcPr>
            <w:tcW w:w="1151" w:type="dxa"/>
            <w:tcBorders>
              <w:tl2br w:val="nil"/>
              <w:tr2bl w:val="nil"/>
            </w:tcBorders>
            <w:shd w:val="clear" w:color="auto" w:fill="auto"/>
            <w:vAlign w:val="center"/>
          </w:tcPr>
          <w:p w14:paraId="279F713A">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有效</w:t>
            </w:r>
          </w:p>
        </w:tc>
        <w:tc>
          <w:tcPr>
            <w:tcW w:w="1170" w:type="dxa"/>
            <w:tcBorders>
              <w:tl2br w:val="nil"/>
              <w:tr2bl w:val="nil"/>
            </w:tcBorders>
            <w:shd w:val="clear" w:color="auto" w:fill="auto"/>
            <w:vAlign w:val="center"/>
          </w:tcPr>
          <w:p w14:paraId="6F229802">
            <w:pPr>
              <w:widowControl/>
              <w:spacing w:line="560" w:lineRule="exact"/>
              <w:jc w:val="center"/>
              <w:textAlignment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有待规范</w:t>
            </w:r>
          </w:p>
        </w:tc>
        <w:tc>
          <w:tcPr>
            <w:tcW w:w="1048" w:type="dxa"/>
            <w:tcBorders>
              <w:tl2br w:val="nil"/>
              <w:tr2bl w:val="nil"/>
            </w:tcBorders>
            <w:shd w:val="clear" w:color="auto" w:fill="auto"/>
            <w:vAlign w:val="center"/>
          </w:tcPr>
          <w:p w14:paraId="4456FE92">
            <w:pPr>
              <w:widowControl/>
              <w:spacing w:line="560" w:lineRule="exact"/>
              <w:jc w:val="center"/>
              <w:textAlignment w:val="center"/>
              <w:rPr>
                <w:rFonts w:hint="default" w:ascii="宋体" w:hAnsi="宋体" w:eastAsia="宋体" w:cs="宋体"/>
                <w:sz w:val="20"/>
                <w:szCs w:val="20"/>
                <w:lang w:val="en-US" w:eastAsia="zh-CN"/>
              </w:rPr>
            </w:pPr>
            <w:r>
              <w:rPr>
                <w:rFonts w:hint="eastAsia" w:ascii="宋体" w:hAnsi="宋体" w:eastAsia="宋体" w:cs="宋体"/>
                <w:color w:val="000000"/>
                <w:kern w:val="0"/>
                <w:sz w:val="20"/>
                <w:szCs w:val="20"/>
                <w:lang w:val="en-US" w:eastAsia="zh-CN" w:bidi="ar"/>
              </w:rPr>
              <w:t>3.34</w:t>
            </w:r>
          </w:p>
        </w:tc>
        <w:tc>
          <w:tcPr>
            <w:tcW w:w="1065" w:type="dxa"/>
            <w:tcBorders>
              <w:tl2br w:val="nil"/>
              <w:tr2bl w:val="nil"/>
            </w:tcBorders>
            <w:shd w:val="clear" w:color="auto" w:fill="auto"/>
            <w:vAlign w:val="center"/>
          </w:tcPr>
          <w:p w14:paraId="4AC84F8F">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val="en-US" w:eastAsia="zh-CN" w:bidi="ar"/>
              </w:rPr>
              <w:t>66</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8</w:t>
            </w:r>
            <w:r>
              <w:rPr>
                <w:rFonts w:hint="eastAsia" w:ascii="宋体" w:hAnsi="宋体" w:eastAsia="宋体" w:cs="宋体"/>
                <w:color w:val="000000"/>
                <w:kern w:val="0"/>
                <w:sz w:val="20"/>
                <w:szCs w:val="20"/>
                <w:lang w:bidi="ar"/>
              </w:rPr>
              <w:t>0%</w:t>
            </w:r>
          </w:p>
        </w:tc>
      </w:tr>
      <w:tr w14:paraId="790DEEB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3037" w:type="dxa"/>
            <w:gridSpan w:val="2"/>
            <w:tcBorders>
              <w:tl2br w:val="nil"/>
              <w:tr2bl w:val="nil"/>
            </w:tcBorders>
            <w:shd w:val="clear" w:color="auto" w:fill="BDD6EE" w:themeFill="accent1" w:themeFillTint="66"/>
            <w:vAlign w:val="center"/>
          </w:tcPr>
          <w:p w14:paraId="56B749F8">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999" w:type="dxa"/>
            <w:tcBorders>
              <w:tl2br w:val="nil"/>
              <w:tr2bl w:val="nil"/>
            </w:tcBorders>
            <w:shd w:val="clear" w:color="auto" w:fill="BDD6EE" w:themeFill="accent1" w:themeFillTint="66"/>
            <w:vAlign w:val="center"/>
          </w:tcPr>
          <w:p w14:paraId="38AB0ED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20</w:t>
            </w:r>
          </w:p>
        </w:tc>
        <w:tc>
          <w:tcPr>
            <w:tcW w:w="1151" w:type="dxa"/>
            <w:tcBorders>
              <w:tl2br w:val="nil"/>
              <w:tr2bl w:val="nil"/>
            </w:tcBorders>
            <w:shd w:val="clear" w:color="auto" w:fill="BDD6EE" w:themeFill="accent1" w:themeFillTint="66"/>
            <w:vAlign w:val="center"/>
          </w:tcPr>
          <w:p w14:paraId="7D876B16">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w:t>
            </w:r>
          </w:p>
        </w:tc>
        <w:tc>
          <w:tcPr>
            <w:tcW w:w="1170" w:type="dxa"/>
            <w:tcBorders>
              <w:tl2br w:val="nil"/>
              <w:tr2bl w:val="nil"/>
            </w:tcBorders>
            <w:shd w:val="clear" w:color="auto" w:fill="BDD6EE" w:themeFill="accent1" w:themeFillTint="66"/>
            <w:vAlign w:val="center"/>
          </w:tcPr>
          <w:p w14:paraId="3187BD26">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w:t>
            </w:r>
          </w:p>
        </w:tc>
        <w:tc>
          <w:tcPr>
            <w:tcW w:w="1048" w:type="dxa"/>
            <w:tcBorders>
              <w:tl2br w:val="nil"/>
              <w:tr2bl w:val="nil"/>
            </w:tcBorders>
            <w:shd w:val="clear" w:color="auto" w:fill="BDD6EE" w:themeFill="accent1" w:themeFillTint="66"/>
            <w:vAlign w:val="center"/>
          </w:tcPr>
          <w:p w14:paraId="75D2300E">
            <w:pPr>
              <w:widowControl/>
              <w:spacing w:line="560" w:lineRule="exact"/>
              <w:jc w:val="center"/>
              <w:textAlignment w:val="center"/>
              <w:rPr>
                <w:rFonts w:hint="default" w:ascii="宋体" w:hAnsi="宋体" w:eastAsia="宋体" w:cs="宋体"/>
                <w:b/>
                <w:bCs/>
                <w:kern w:val="0"/>
                <w:sz w:val="20"/>
                <w:szCs w:val="20"/>
                <w:lang w:val="en-US" w:eastAsia="zh-CN" w:bidi="ar"/>
              </w:rPr>
            </w:pPr>
            <w:r>
              <w:rPr>
                <w:rFonts w:hint="eastAsia" w:ascii="宋体" w:hAnsi="宋体" w:eastAsia="宋体" w:cs="宋体"/>
                <w:b/>
                <w:bCs/>
                <w:color w:val="000000"/>
                <w:kern w:val="0"/>
                <w:sz w:val="20"/>
                <w:szCs w:val="20"/>
                <w:lang w:val="en-US" w:eastAsia="zh-CN" w:bidi="ar"/>
              </w:rPr>
              <w:t>17.34</w:t>
            </w:r>
          </w:p>
        </w:tc>
        <w:tc>
          <w:tcPr>
            <w:tcW w:w="1065" w:type="dxa"/>
            <w:tcBorders>
              <w:tl2br w:val="nil"/>
              <w:tr2bl w:val="nil"/>
            </w:tcBorders>
            <w:shd w:val="clear" w:color="auto" w:fill="BDD6EE" w:themeFill="accent1" w:themeFillTint="66"/>
            <w:vAlign w:val="center"/>
          </w:tcPr>
          <w:p w14:paraId="5390AA9C">
            <w:pPr>
              <w:widowControl/>
              <w:spacing w:line="560" w:lineRule="exact"/>
              <w:jc w:val="right"/>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val="en-US" w:eastAsia="zh-CN" w:bidi="ar"/>
              </w:rPr>
              <w:t>86</w:t>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7</w:t>
            </w:r>
            <w:r>
              <w:rPr>
                <w:rFonts w:hint="eastAsia" w:ascii="宋体" w:hAnsi="宋体" w:eastAsia="宋体" w:cs="宋体"/>
                <w:b/>
                <w:bCs/>
                <w:color w:val="000000"/>
                <w:kern w:val="0"/>
                <w:sz w:val="20"/>
                <w:szCs w:val="20"/>
                <w:lang w:bidi="ar"/>
              </w:rPr>
              <w:t>0%</w:t>
            </w:r>
          </w:p>
        </w:tc>
      </w:tr>
      <w:bookmarkEnd w:id="128"/>
    </w:tbl>
    <w:p w14:paraId="7A416099">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rPr>
        <w:t>1.资金管理</w:t>
      </w:r>
    </w:p>
    <w:p w14:paraId="0ADE0E2C">
      <w:pPr>
        <w:pStyle w:val="47"/>
        <w:rPr>
          <w:rFonts w:hint="eastAsia"/>
        </w:rPr>
      </w:pPr>
      <w:r>
        <w:rPr>
          <w:rFonts w:hint="eastAsia"/>
        </w:rPr>
        <w:t>（1）资金到位率</w:t>
      </w:r>
    </w:p>
    <w:p w14:paraId="78C0E681">
      <w:pPr>
        <w:pStyle w:val="47"/>
        <w:rPr>
          <w:rFonts w:hint="eastAsia"/>
        </w:rPr>
      </w:pPr>
      <w:r>
        <w:rPr>
          <w:rFonts w:hint="eastAsia"/>
        </w:rPr>
        <w:t>资金到位率：指标分值3分，评价得分3分。电费补助额度60.00万元，</w:t>
      </w:r>
      <w:r>
        <w:rPr>
          <w:rFonts w:hint="eastAsia"/>
          <w:lang w:val="en-US" w:eastAsia="zh-CN"/>
        </w:rPr>
        <w:t>年初随部门预算同步下达，</w:t>
      </w:r>
      <w:r>
        <w:rPr>
          <w:rFonts w:hint="eastAsia"/>
        </w:rPr>
        <w:t>专项资金及时足额到位，到位率100.00%。</w:t>
      </w:r>
    </w:p>
    <w:p w14:paraId="6869FF5B">
      <w:pPr>
        <w:pStyle w:val="47"/>
        <w:rPr>
          <w:rFonts w:hint="eastAsia"/>
        </w:rPr>
      </w:pPr>
      <w:r>
        <w:rPr>
          <w:rFonts w:hint="eastAsia"/>
        </w:rPr>
        <w:t>（2）预算执行率</w:t>
      </w:r>
    </w:p>
    <w:p w14:paraId="39A14AF6">
      <w:pPr>
        <w:pStyle w:val="47"/>
        <w:rPr>
          <w:rFonts w:hint="eastAsia"/>
        </w:rPr>
      </w:pPr>
      <w:r>
        <w:rPr>
          <w:rFonts w:hint="eastAsia"/>
        </w:rPr>
        <w:t>预算执行率：指标分值3分，评价得分3分。电费补助项目全年预算数60.00万元，全年执行数60.00万元，无结余资金，专项经费预算执行率100.00%。</w:t>
      </w:r>
    </w:p>
    <w:p w14:paraId="015CAFFD">
      <w:pPr>
        <w:pStyle w:val="47"/>
        <w:rPr>
          <w:rFonts w:hint="eastAsia"/>
        </w:rPr>
      </w:pPr>
      <w:r>
        <w:rPr>
          <w:rFonts w:hint="eastAsia"/>
        </w:rPr>
        <w:t>（3）资金使用合规性</w:t>
      </w:r>
    </w:p>
    <w:p w14:paraId="1F3C5787">
      <w:pPr>
        <w:pStyle w:val="47"/>
        <w:rPr>
          <w:rFonts w:hint="eastAsia"/>
        </w:rPr>
      </w:pPr>
      <w:r>
        <w:rPr>
          <w:rFonts w:hint="eastAsia"/>
        </w:rPr>
        <w:t>资金使用合规性：指标分值4分，评价得分</w:t>
      </w:r>
      <w:r>
        <w:rPr>
          <w:rFonts w:hint="eastAsia"/>
          <w:lang w:val="en-US" w:eastAsia="zh-CN"/>
        </w:rPr>
        <w:t>3</w:t>
      </w:r>
      <w:r>
        <w:rPr>
          <w:rFonts w:hint="eastAsia"/>
        </w:rPr>
        <w:t>分。评价组通过查阅国家及地方财务法规及文件办法，对比分析项目实施单位财务制度办法，经查看财务凭证及附件，比较分析资金落实情况、资金使用情况及财务监控情况，评价认为专项资金的使用基本符合国家财经法规和财务管理制度以及《</w:t>
      </w:r>
      <w:bookmarkStart w:id="129" w:name="_Toc28817"/>
      <w:r>
        <w:rPr>
          <w:rFonts w:hint="eastAsia"/>
        </w:rPr>
        <w:t>甘肃省法官学院财务管理办法</w:t>
      </w:r>
      <w:bookmarkEnd w:id="129"/>
      <w:r>
        <w:rPr>
          <w:rFonts w:hint="eastAsia"/>
        </w:rPr>
        <w:t>》等制度要求，资金支出的审批程序完整，符合项目预算批复或合同规定的用途，未发现截留、虚列支出情况，按规定实施政府采购和政府购买服务。</w:t>
      </w:r>
      <w:r>
        <w:rPr>
          <w:rFonts w:hint="eastAsia"/>
          <w:lang w:val="en-US" w:eastAsia="zh-CN"/>
        </w:rPr>
        <w:t>但也存</w:t>
      </w:r>
      <w:r>
        <w:rPr>
          <w:rFonts w:hint="eastAsia" w:ascii="仿宋_GB2312" w:hAnsi="仿宋_GB2312" w:eastAsia="仿宋_GB2312" w:cs="仿宋_GB2312"/>
          <w:sz w:val="32"/>
          <w:szCs w:val="32"/>
          <w:highlight w:val="none"/>
          <w:lang w:val="en-US" w:eastAsia="zh-CN"/>
        </w:rPr>
        <w:t>在</w:t>
      </w:r>
      <w:r>
        <w:rPr>
          <w:rFonts w:hint="eastAsia" w:cs="仿宋_GB2312"/>
          <w:sz w:val="32"/>
          <w:szCs w:val="32"/>
          <w:highlight w:val="none"/>
          <w:lang w:val="en-US" w:eastAsia="zh-CN"/>
        </w:rPr>
        <w:t>大额支出未集中决议，不符合“</w:t>
      </w:r>
      <w:r>
        <w:rPr>
          <w:rFonts w:hint="eastAsia"/>
        </w:rPr>
        <w:t>《甘肃省法官学院财务管理办法》</w:t>
      </w:r>
      <w:r>
        <w:rPr>
          <w:rFonts w:hint="eastAsia" w:cs="仿宋_GB2312"/>
          <w:sz w:val="32"/>
          <w:szCs w:val="32"/>
          <w:highlight w:val="none"/>
          <w:lang w:val="en-US" w:eastAsia="zh-CN"/>
        </w:rPr>
        <w:t>第九条 支出审批权限。支出金额在10000元（含）以上支出，由经办部门提出书面申请及详细用款计划（预算）提交院务会议集体讨论研究决定”。</w:t>
      </w:r>
      <w:r>
        <w:rPr>
          <w:rFonts w:hint="eastAsia" w:ascii="仿宋_GB2312" w:hAnsi="仿宋_GB2312" w:eastAsia="仿宋_GB2312" w:cs="仿宋_GB2312"/>
          <w:sz w:val="32"/>
          <w:szCs w:val="32"/>
          <w:highlight w:val="none"/>
          <w:lang w:val="en-US" w:eastAsia="zh-CN"/>
        </w:rPr>
        <w:t>评价认为，</w:t>
      </w:r>
      <w:r>
        <w:rPr>
          <w:rFonts w:hint="eastAsia" w:cs="仿宋_GB2312"/>
          <w:sz w:val="32"/>
          <w:szCs w:val="32"/>
          <w:highlight w:val="none"/>
          <w:lang w:val="en-US" w:eastAsia="zh-CN"/>
        </w:rPr>
        <w:t>资金使用</w:t>
      </w:r>
      <w:r>
        <w:rPr>
          <w:rFonts w:hint="eastAsia" w:ascii="仿宋_GB2312" w:hAnsi="仿宋_GB2312" w:eastAsia="仿宋_GB2312" w:cs="仿宋_GB2312"/>
          <w:sz w:val="32"/>
          <w:szCs w:val="32"/>
          <w:highlight w:val="none"/>
          <w:lang w:val="en-US" w:eastAsia="zh-CN"/>
        </w:rPr>
        <w:t>有待进一步规范，扣</w:t>
      </w:r>
      <w:r>
        <w:rPr>
          <w:rFonts w:hint="eastAsia"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分</w:t>
      </w:r>
      <w:r>
        <w:rPr>
          <w:rFonts w:hint="eastAsia" w:ascii="仿宋_GB2312" w:hAnsi="仿宋_GB2312" w:eastAsia="仿宋_GB2312" w:cs="仿宋_GB2312"/>
          <w:sz w:val="32"/>
          <w:szCs w:val="32"/>
          <w:highlight w:val="none"/>
        </w:rPr>
        <w:t>。</w:t>
      </w:r>
    </w:p>
    <w:p w14:paraId="639848E8">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rPr>
        <w:t>2.组织实施</w:t>
      </w:r>
    </w:p>
    <w:p w14:paraId="2B094D75">
      <w:pPr>
        <w:pStyle w:val="26"/>
        <w:overflowPunct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14:paraId="28B0CD8F">
      <w:pPr>
        <w:pStyle w:val="47"/>
        <w:rPr>
          <w:rFonts w:hint="eastAsia"/>
        </w:rPr>
      </w:pPr>
      <w:r>
        <w:rPr>
          <w:rFonts w:hint="eastAsia"/>
        </w:rPr>
        <w:t>管理制度健全性：指标分值5分，评价得分5分。为加强和规范省级预算项目经费管理，提高项目工作质量和资金效益，《</w:t>
      </w:r>
      <w:r>
        <w:rPr>
          <w:rFonts w:hint="eastAsia"/>
          <w:lang w:val="en-US" w:eastAsia="zh-CN"/>
        </w:rPr>
        <w:t>甘肃省法官学院制度汇编</w:t>
      </w:r>
      <w:r>
        <w:rPr>
          <w:rFonts w:hint="eastAsia"/>
        </w:rPr>
        <w:t>》对于</w:t>
      </w:r>
      <w:r>
        <w:rPr>
          <w:rFonts w:hint="eastAsia"/>
          <w:lang w:val="en-US" w:eastAsia="zh-CN"/>
        </w:rPr>
        <w:t>甘肃省法官学院</w:t>
      </w:r>
      <w:r>
        <w:rPr>
          <w:rFonts w:hint="eastAsia"/>
        </w:rPr>
        <w:t>各项工作的实施提供了强有力的政策制度支撑。评价认为，</w:t>
      </w:r>
      <w:r>
        <w:rPr>
          <w:rFonts w:hint="eastAsia"/>
          <w:lang w:val="en-US" w:eastAsia="zh-CN"/>
        </w:rPr>
        <w:t>甘肃省法官学院</w:t>
      </w:r>
      <w:r>
        <w:rPr>
          <w:rFonts w:hint="eastAsia"/>
        </w:rPr>
        <w:t>制定了适用于本项目的财务管理制度及业务管理制度，且符合相关财务及业务制度的规定，制度健全。</w:t>
      </w:r>
    </w:p>
    <w:p w14:paraId="353E1E6C">
      <w:pPr>
        <w:pStyle w:val="47"/>
        <w:rPr>
          <w:rFonts w:hint="eastAsia"/>
        </w:rPr>
      </w:pPr>
      <w:r>
        <w:rPr>
          <w:rFonts w:hint="eastAsia"/>
        </w:rPr>
        <w:t>（2）制度执行有效性</w:t>
      </w:r>
    </w:p>
    <w:p w14:paraId="367B1344">
      <w:pPr>
        <w:pStyle w:val="47"/>
        <w:rPr>
          <w:rFonts w:hint="default"/>
          <w:lang w:val="en-US"/>
        </w:rPr>
      </w:pPr>
      <w:r>
        <w:rPr>
          <w:rFonts w:hint="eastAsia"/>
        </w:rPr>
        <w:t>制度执行有效性：指标分值5分，评价得分</w:t>
      </w:r>
      <w:r>
        <w:rPr>
          <w:rFonts w:hint="eastAsia"/>
          <w:lang w:val="en-US" w:eastAsia="zh-CN"/>
        </w:rPr>
        <w:t>3.34</w:t>
      </w:r>
      <w:r>
        <w:rPr>
          <w:rFonts w:hint="eastAsia"/>
        </w:rPr>
        <w:t>分。项目的执行遵守法律法规和相关管理规定，严格按照项目计划实施，项目资料齐全并及时归档，项目实施过程中，基本能够按照制度管理进行资金申请和下达、使用、监督。资金拨付符合相关法律法规的管理规定，符合制度执行有效性要求，项目所需手续符合要求。</w:t>
      </w:r>
      <w:r>
        <w:rPr>
          <w:rFonts w:hint="eastAsia"/>
          <w:lang w:val="en-US" w:eastAsia="zh-CN"/>
        </w:rPr>
        <w:t>甘肃省法官学院</w:t>
      </w:r>
      <w:r>
        <w:rPr>
          <w:rFonts w:hint="eastAsia"/>
        </w:rPr>
        <w:t>依据相关项目资金的科目规范核算资金，纳入部门决算。评价认为，制度执行总体有效。经查验甘肃省法官学院</w:t>
      </w:r>
      <w:bookmarkStart w:id="177" w:name="_GoBack"/>
      <w:bookmarkEnd w:id="177"/>
      <w:r>
        <w:rPr>
          <w:rFonts w:hint="eastAsia"/>
        </w:rPr>
        <w:t>相关合同协议、会计凭证等资料</w:t>
      </w:r>
      <w:r>
        <w:rPr>
          <w:rFonts w:hint="eastAsia"/>
          <w:lang w:eastAsia="zh-CN"/>
        </w:rPr>
        <w:t>，</w:t>
      </w:r>
      <w:r>
        <w:rPr>
          <w:rFonts w:hint="eastAsia" w:ascii="仿宋_GB2312" w:hAnsi="仿宋_GB2312" w:eastAsia="仿宋_GB2312" w:cs="仿宋_GB2312"/>
          <w:sz w:val="32"/>
          <w:szCs w:val="32"/>
          <w:highlight w:val="none"/>
          <w:lang w:val="en-US" w:eastAsia="zh-CN"/>
        </w:rPr>
        <w:t>存在</w:t>
      </w:r>
      <w:r>
        <w:rPr>
          <w:rFonts w:hint="eastAsia" w:cs="仿宋_GB2312"/>
          <w:sz w:val="32"/>
          <w:szCs w:val="32"/>
          <w:highlight w:val="none"/>
          <w:lang w:val="en-US" w:eastAsia="zh-CN"/>
        </w:rPr>
        <w:t>支出经费未进行</w:t>
      </w:r>
      <w:r>
        <w:rPr>
          <w:rFonts w:hint="eastAsia" w:ascii="仿宋_GB2312" w:eastAsia="仿宋_GB2312"/>
          <w:sz w:val="32"/>
          <w:szCs w:val="32"/>
          <w:shd w:val="clear" w:color="auto" w:fill="FFFFFF"/>
        </w:rPr>
        <w:t>书面申请及</w:t>
      </w:r>
      <w:r>
        <w:rPr>
          <w:rFonts w:hint="eastAsia"/>
          <w:sz w:val="32"/>
          <w:szCs w:val="32"/>
          <w:shd w:val="clear" w:color="auto" w:fill="FFFFFF"/>
          <w:lang w:val="en-US" w:eastAsia="zh-CN"/>
        </w:rPr>
        <w:t>出具</w:t>
      </w:r>
      <w:r>
        <w:rPr>
          <w:rFonts w:hint="eastAsia" w:ascii="仿宋_GB2312" w:eastAsia="仿宋_GB2312"/>
          <w:sz w:val="32"/>
          <w:szCs w:val="32"/>
          <w:shd w:val="clear" w:color="auto" w:fill="FFFFFF"/>
        </w:rPr>
        <w:t>详细用款计划</w:t>
      </w:r>
      <w:r>
        <w:rPr>
          <w:rFonts w:hint="eastAsia" w:ascii="仿宋_GB2312" w:hAnsi="仿宋_GB2312" w:eastAsia="仿宋_GB2312" w:cs="仿宋_GB2312"/>
          <w:sz w:val="32"/>
          <w:szCs w:val="32"/>
          <w:highlight w:val="none"/>
          <w:lang w:val="en-US" w:eastAsia="zh-CN"/>
        </w:rPr>
        <w:t>的问题，</w:t>
      </w:r>
      <w:r>
        <w:rPr>
          <w:rFonts w:hint="eastAsia"/>
        </w:rPr>
        <w:t>本次评价认为，</w:t>
      </w:r>
      <w:r>
        <w:rPr>
          <w:rFonts w:hint="eastAsia"/>
          <w:lang w:val="en-US" w:eastAsia="zh-CN"/>
        </w:rPr>
        <w:t>制度执行有待提升，扣1.66分。</w:t>
      </w:r>
    </w:p>
    <w:p w14:paraId="209A8FD9">
      <w:pPr>
        <w:pStyle w:val="42"/>
        <w:rPr>
          <w:rFonts w:hint="eastAsia"/>
        </w:rPr>
      </w:pPr>
      <w:bookmarkStart w:id="130" w:name="_Toc19515"/>
      <w:r>
        <w:rPr>
          <w:rFonts w:hint="eastAsia"/>
        </w:rPr>
        <w:t>（三）项目产出情况</w:t>
      </w:r>
      <w:bookmarkEnd w:id="130"/>
    </w:p>
    <w:p w14:paraId="1B0D77FB">
      <w:pPr>
        <w:pStyle w:val="47"/>
        <w:rPr>
          <w:rFonts w:hint="eastAsia"/>
        </w:rPr>
      </w:pPr>
      <w:r>
        <w:rPr>
          <w:rFonts w:hint="eastAsia"/>
        </w:rPr>
        <w:t>项目成本指标包括经济成本指标一个二级指标，指标分值10分，评价得分10分，得分率100.00%。</w:t>
      </w:r>
    </w:p>
    <w:tbl>
      <w:tblPr>
        <w:tblStyle w:val="20"/>
        <w:tblW w:w="8493"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559"/>
        <w:gridCol w:w="2002"/>
        <w:gridCol w:w="813"/>
        <w:gridCol w:w="1084"/>
        <w:gridCol w:w="1084"/>
        <w:gridCol w:w="867"/>
        <w:gridCol w:w="1084"/>
      </w:tblGrid>
      <w:tr w14:paraId="22AC02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69" w:hRule="atLeast"/>
          <w:tblHeader/>
        </w:trPr>
        <w:tc>
          <w:tcPr>
            <w:tcW w:w="1559" w:type="dxa"/>
            <w:tcBorders>
              <w:tl2br w:val="nil"/>
              <w:tr2bl w:val="nil"/>
            </w:tcBorders>
            <w:shd w:val="clear" w:color="auto" w:fill="BDD6EE" w:themeFill="accent1" w:themeFillTint="66"/>
            <w:vAlign w:val="center"/>
          </w:tcPr>
          <w:p w14:paraId="4EB9AE5B">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2002" w:type="dxa"/>
            <w:tcBorders>
              <w:tl2br w:val="nil"/>
              <w:tr2bl w:val="nil"/>
            </w:tcBorders>
            <w:shd w:val="clear" w:color="auto" w:fill="BDD6EE" w:themeFill="accent1" w:themeFillTint="66"/>
            <w:vAlign w:val="center"/>
          </w:tcPr>
          <w:p w14:paraId="69AC7116">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813" w:type="dxa"/>
            <w:tcBorders>
              <w:tl2br w:val="nil"/>
              <w:tr2bl w:val="nil"/>
            </w:tcBorders>
            <w:shd w:val="clear" w:color="auto" w:fill="BDD6EE" w:themeFill="accent1" w:themeFillTint="66"/>
            <w:vAlign w:val="center"/>
          </w:tcPr>
          <w:p w14:paraId="434BC14B">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084" w:type="dxa"/>
            <w:tcBorders>
              <w:tl2br w:val="nil"/>
              <w:tr2bl w:val="nil"/>
            </w:tcBorders>
            <w:shd w:val="clear" w:color="auto" w:fill="BDD6EE" w:themeFill="accent1" w:themeFillTint="66"/>
            <w:vAlign w:val="center"/>
          </w:tcPr>
          <w:p w14:paraId="2C600833">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084" w:type="dxa"/>
            <w:tcBorders>
              <w:tl2br w:val="nil"/>
              <w:tr2bl w:val="nil"/>
            </w:tcBorders>
            <w:shd w:val="clear" w:color="auto" w:fill="BDD6EE" w:themeFill="accent1" w:themeFillTint="66"/>
            <w:vAlign w:val="center"/>
          </w:tcPr>
          <w:p w14:paraId="35988291">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867" w:type="dxa"/>
            <w:tcBorders>
              <w:tl2br w:val="nil"/>
              <w:tr2bl w:val="nil"/>
            </w:tcBorders>
            <w:shd w:val="clear" w:color="auto" w:fill="BDD6EE" w:themeFill="accent1" w:themeFillTint="66"/>
            <w:vAlign w:val="center"/>
          </w:tcPr>
          <w:p w14:paraId="09426501">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084" w:type="dxa"/>
            <w:tcBorders>
              <w:tl2br w:val="nil"/>
              <w:tr2bl w:val="nil"/>
            </w:tcBorders>
            <w:shd w:val="clear" w:color="auto" w:fill="BDD6EE" w:themeFill="accent1" w:themeFillTint="66"/>
            <w:vAlign w:val="center"/>
          </w:tcPr>
          <w:p w14:paraId="7D49C06A">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22FB085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69" w:hRule="atLeast"/>
        </w:trPr>
        <w:tc>
          <w:tcPr>
            <w:tcW w:w="1559" w:type="dxa"/>
            <w:tcBorders>
              <w:tl2br w:val="nil"/>
              <w:tr2bl w:val="nil"/>
            </w:tcBorders>
            <w:vAlign w:val="center"/>
          </w:tcPr>
          <w:p w14:paraId="33200EE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产出成本</w:t>
            </w:r>
          </w:p>
        </w:tc>
        <w:tc>
          <w:tcPr>
            <w:tcW w:w="2002" w:type="dxa"/>
            <w:tcBorders>
              <w:tl2br w:val="nil"/>
              <w:tr2bl w:val="nil"/>
            </w:tcBorders>
            <w:shd w:val="clear" w:color="auto" w:fill="auto"/>
            <w:vAlign w:val="center"/>
          </w:tcPr>
          <w:p w14:paraId="43D3D3A1">
            <w:pPr>
              <w:widowControl/>
              <w:spacing w:line="560" w:lineRule="exact"/>
              <w:jc w:val="lef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成本控制情况</w:t>
            </w:r>
          </w:p>
        </w:tc>
        <w:tc>
          <w:tcPr>
            <w:tcW w:w="813" w:type="dxa"/>
            <w:tcBorders>
              <w:tl2br w:val="nil"/>
              <w:tr2bl w:val="nil"/>
            </w:tcBorders>
            <w:shd w:val="clear" w:color="auto" w:fill="auto"/>
            <w:vAlign w:val="center"/>
          </w:tcPr>
          <w:p w14:paraId="19227DA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084" w:type="dxa"/>
            <w:tcBorders>
              <w:tl2br w:val="nil"/>
              <w:tr2bl w:val="nil"/>
            </w:tcBorders>
            <w:shd w:val="clear" w:color="auto" w:fill="auto"/>
            <w:vAlign w:val="center"/>
          </w:tcPr>
          <w:p w14:paraId="37F42AA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预算内</w:t>
            </w:r>
          </w:p>
        </w:tc>
        <w:tc>
          <w:tcPr>
            <w:tcW w:w="1084" w:type="dxa"/>
            <w:tcBorders>
              <w:tl2br w:val="nil"/>
              <w:tr2bl w:val="nil"/>
            </w:tcBorders>
            <w:shd w:val="clear" w:color="auto" w:fill="auto"/>
            <w:vAlign w:val="center"/>
          </w:tcPr>
          <w:p w14:paraId="4E41979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c>
          <w:tcPr>
            <w:tcW w:w="867" w:type="dxa"/>
            <w:tcBorders>
              <w:tl2br w:val="nil"/>
              <w:tr2bl w:val="nil"/>
            </w:tcBorders>
            <w:shd w:val="clear" w:color="auto" w:fill="auto"/>
            <w:vAlign w:val="center"/>
          </w:tcPr>
          <w:p w14:paraId="6B79A1E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084" w:type="dxa"/>
            <w:tcBorders>
              <w:tl2br w:val="nil"/>
              <w:tr2bl w:val="nil"/>
            </w:tcBorders>
            <w:shd w:val="clear" w:color="auto" w:fill="auto"/>
            <w:vAlign w:val="center"/>
          </w:tcPr>
          <w:p w14:paraId="5400D017">
            <w:pPr>
              <w:widowControl/>
              <w:spacing w:line="560" w:lineRule="exact"/>
              <w:jc w:val="right"/>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1326CD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69" w:hRule="atLeast"/>
        </w:trPr>
        <w:tc>
          <w:tcPr>
            <w:tcW w:w="3561" w:type="dxa"/>
            <w:gridSpan w:val="2"/>
            <w:tcBorders>
              <w:tl2br w:val="nil"/>
              <w:tr2bl w:val="nil"/>
            </w:tcBorders>
            <w:shd w:val="clear" w:color="auto" w:fill="BDD6EE" w:themeFill="accent1" w:themeFillTint="66"/>
            <w:vAlign w:val="center"/>
          </w:tcPr>
          <w:p w14:paraId="4D80F84F">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813" w:type="dxa"/>
            <w:tcBorders>
              <w:tl2br w:val="nil"/>
              <w:tr2bl w:val="nil"/>
            </w:tcBorders>
            <w:shd w:val="clear" w:color="auto" w:fill="BDD6EE" w:themeFill="accent1" w:themeFillTint="66"/>
            <w:vAlign w:val="center"/>
          </w:tcPr>
          <w:p w14:paraId="2A1B320B">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10</w:t>
            </w:r>
          </w:p>
        </w:tc>
        <w:tc>
          <w:tcPr>
            <w:tcW w:w="1084" w:type="dxa"/>
            <w:tcBorders>
              <w:tl2br w:val="nil"/>
              <w:tr2bl w:val="nil"/>
            </w:tcBorders>
            <w:shd w:val="clear" w:color="auto" w:fill="BDD6EE" w:themeFill="accent1" w:themeFillTint="66"/>
            <w:vAlign w:val="center"/>
          </w:tcPr>
          <w:p w14:paraId="33B3D9E6">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1084" w:type="dxa"/>
            <w:tcBorders>
              <w:tl2br w:val="nil"/>
              <w:tr2bl w:val="nil"/>
            </w:tcBorders>
            <w:shd w:val="clear" w:color="auto" w:fill="BDD6EE" w:themeFill="accent1" w:themeFillTint="66"/>
            <w:vAlign w:val="center"/>
          </w:tcPr>
          <w:p w14:paraId="3515327A">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867" w:type="dxa"/>
            <w:tcBorders>
              <w:tl2br w:val="nil"/>
              <w:tr2bl w:val="nil"/>
            </w:tcBorders>
            <w:shd w:val="clear" w:color="auto" w:fill="BDD6EE" w:themeFill="accent1" w:themeFillTint="66"/>
            <w:vAlign w:val="center"/>
          </w:tcPr>
          <w:p w14:paraId="1E93DADC">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10</w:t>
            </w:r>
          </w:p>
        </w:tc>
        <w:tc>
          <w:tcPr>
            <w:tcW w:w="1084" w:type="dxa"/>
            <w:tcBorders>
              <w:tl2br w:val="nil"/>
              <w:tr2bl w:val="nil"/>
            </w:tcBorders>
            <w:shd w:val="clear" w:color="auto" w:fill="BDD6EE" w:themeFill="accent1" w:themeFillTint="66"/>
            <w:vAlign w:val="center"/>
          </w:tcPr>
          <w:p w14:paraId="2534E0C7">
            <w:pPr>
              <w:widowControl/>
              <w:spacing w:line="560" w:lineRule="exact"/>
              <w:jc w:val="right"/>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100.00%</w:t>
            </w:r>
          </w:p>
        </w:tc>
      </w:tr>
    </w:tbl>
    <w:p w14:paraId="0D8EA79B">
      <w:pPr>
        <w:pStyle w:val="47"/>
        <w:rPr>
          <w:rFonts w:hint="eastAsia"/>
        </w:rPr>
      </w:pPr>
      <w:r>
        <w:rPr>
          <w:rFonts w:hint="eastAsia"/>
        </w:rPr>
        <w:t>成本控制情况：指标分值10分，评价得分10分。甘肃省法官学院积极响应国家相关政策，坚持节约资金的原则，严格控制项目预算金额，在保障审判服务正常开展的同时，降低成本开支，电费补助项目成本控制在60.00万元预算以内，未超出预算。</w:t>
      </w:r>
    </w:p>
    <w:p w14:paraId="2897ABBC">
      <w:pPr>
        <w:pStyle w:val="42"/>
        <w:rPr>
          <w:rFonts w:hint="eastAsia"/>
        </w:rPr>
      </w:pPr>
      <w:bookmarkStart w:id="131" w:name="_Toc23395"/>
      <w:bookmarkStart w:id="132" w:name="_Toc20113"/>
      <w:bookmarkStart w:id="133" w:name="_Toc3677"/>
      <w:r>
        <w:rPr>
          <w:rFonts w:hint="eastAsia"/>
        </w:rPr>
        <w:t>（四）项目产出情况</w:t>
      </w:r>
      <w:bookmarkEnd w:id="131"/>
      <w:bookmarkEnd w:id="132"/>
      <w:bookmarkEnd w:id="133"/>
    </w:p>
    <w:p w14:paraId="55C4A726">
      <w:pPr>
        <w:pStyle w:val="47"/>
        <w:rPr>
          <w:rFonts w:hint="eastAsia"/>
        </w:rPr>
      </w:pPr>
      <w:r>
        <w:rPr>
          <w:rFonts w:hint="eastAsia"/>
        </w:rPr>
        <w:t>项目产出指标包括产出数量、产出质量、产出时效三个二级指标，指标分值30分，评价得分30分，得分率100.00%。</w:t>
      </w:r>
    </w:p>
    <w:tbl>
      <w:tblPr>
        <w:tblStyle w:val="20"/>
        <w:tblW w:w="8647"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14"/>
        <w:gridCol w:w="2217"/>
        <w:gridCol w:w="831"/>
        <w:gridCol w:w="1225"/>
        <w:gridCol w:w="1204"/>
        <w:gridCol w:w="946"/>
        <w:gridCol w:w="1110"/>
      </w:tblGrid>
      <w:tr w14:paraId="523E9CF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blHeader/>
        </w:trPr>
        <w:tc>
          <w:tcPr>
            <w:tcW w:w="1114" w:type="dxa"/>
            <w:tcBorders>
              <w:tl2br w:val="nil"/>
              <w:tr2bl w:val="nil"/>
            </w:tcBorders>
            <w:shd w:val="clear" w:color="auto" w:fill="BDD6EE" w:themeFill="accent1" w:themeFillTint="66"/>
            <w:vAlign w:val="center"/>
          </w:tcPr>
          <w:p w14:paraId="0A8FC24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2217" w:type="dxa"/>
            <w:tcBorders>
              <w:tl2br w:val="nil"/>
              <w:tr2bl w:val="nil"/>
            </w:tcBorders>
            <w:shd w:val="clear" w:color="auto" w:fill="BDD6EE" w:themeFill="accent1" w:themeFillTint="66"/>
            <w:vAlign w:val="center"/>
          </w:tcPr>
          <w:p w14:paraId="31BA9C4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831" w:type="dxa"/>
            <w:tcBorders>
              <w:tl2br w:val="nil"/>
              <w:tr2bl w:val="nil"/>
            </w:tcBorders>
            <w:shd w:val="clear" w:color="auto" w:fill="BDD6EE" w:themeFill="accent1" w:themeFillTint="66"/>
            <w:vAlign w:val="center"/>
          </w:tcPr>
          <w:p w14:paraId="414783C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225" w:type="dxa"/>
            <w:tcBorders>
              <w:tl2br w:val="nil"/>
              <w:tr2bl w:val="nil"/>
            </w:tcBorders>
            <w:shd w:val="clear" w:color="auto" w:fill="BDD6EE" w:themeFill="accent1" w:themeFillTint="66"/>
            <w:vAlign w:val="center"/>
          </w:tcPr>
          <w:p w14:paraId="1AFFA93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204" w:type="dxa"/>
            <w:tcBorders>
              <w:tl2br w:val="nil"/>
              <w:tr2bl w:val="nil"/>
            </w:tcBorders>
            <w:shd w:val="clear" w:color="auto" w:fill="BDD6EE" w:themeFill="accent1" w:themeFillTint="66"/>
            <w:vAlign w:val="center"/>
          </w:tcPr>
          <w:p w14:paraId="088434E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946" w:type="dxa"/>
            <w:tcBorders>
              <w:tl2br w:val="nil"/>
              <w:tr2bl w:val="nil"/>
            </w:tcBorders>
            <w:shd w:val="clear" w:color="auto" w:fill="BDD6EE" w:themeFill="accent1" w:themeFillTint="66"/>
            <w:vAlign w:val="center"/>
          </w:tcPr>
          <w:p w14:paraId="4BEF605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110" w:type="dxa"/>
            <w:tcBorders>
              <w:tl2br w:val="nil"/>
              <w:tr2bl w:val="nil"/>
            </w:tcBorders>
            <w:shd w:val="clear" w:color="auto" w:fill="BDD6EE" w:themeFill="accent1" w:themeFillTint="66"/>
            <w:vAlign w:val="center"/>
          </w:tcPr>
          <w:p w14:paraId="252852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60BCE85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tcBorders>
              <w:tl2br w:val="nil"/>
              <w:tr2bl w:val="nil"/>
            </w:tcBorders>
            <w:vAlign w:val="center"/>
          </w:tcPr>
          <w:p w14:paraId="3C1BA69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数量指标</w:t>
            </w:r>
          </w:p>
        </w:tc>
        <w:tc>
          <w:tcPr>
            <w:tcW w:w="2217" w:type="dxa"/>
            <w:tcBorders>
              <w:tl2br w:val="nil"/>
              <w:tr2bl w:val="nil"/>
            </w:tcBorders>
            <w:shd w:val="clear" w:color="auto" w:fill="auto"/>
            <w:vAlign w:val="center"/>
          </w:tcPr>
          <w:p w14:paraId="44A303B8">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用电度数</w:t>
            </w:r>
          </w:p>
        </w:tc>
        <w:tc>
          <w:tcPr>
            <w:tcW w:w="831" w:type="dxa"/>
            <w:tcBorders>
              <w:tl2br w:val="nil"/>
              <w:tr2bl w:val="nil"/>
            </w:tcBorders>
            <w:shd w:val="clear" w:color="auto" w:fill="auto"/>
            <w:vAlign w:val="center"/>
          </w:tcPr>
          <w:p w14:paraId="7E2BD86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5" w:type="dxa"/>
            <w:tcBorders>
              <w:tl2br w:val="nil"/>
              <w:tr2bl w:val="nil"/>
            </w:tcBorders>
            <w:shd w:val="clear" w:color="auto" w:fill="auto"/>
            <w:vAlign w:val="center"/>
          </w:tcPr>
          <w:p w14:paraId="04F35F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≤60万度</w:t>
            </w:r>
          </w:p>
        </w:tc>
        <w:tc>
          <w:tcPr>
            <w:tcW w:w="1204" w:type="dxa"/>
            <w:tcBorders>
              <w:tl2br w:val="nil"/>
              <w:tr2bl w:val="nil"/>
            </w:tcBorders>
            <w:shd w:val="clear" w:color="auto" w:fill="auto"/>
            <w:vAlign w:val="center"/>
          </w:tcPr>
          <w:p w14:paraId="732D7F2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60万度</w:t>
            </w:r>
          </w:p>
        </w:tc>
        <w:tc>
          <w:tcPr>
            <w:tcW w:w="946" w:type="dxa"/>
            <w:tcBorders>
              <w:tl2br w:val="nil"/>
              <w:tr2bl w:val="nil"/>
            </w:tcBorders>
            <w:shd w:val="clear" w:color="auto" w:fill="auto"/>
            <w:vAlign w:val="center"/>
          </w:tcPr>
          <w:p w14:paraId="7B7706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110" w:type="dxa"/>
            <w:tcBorders>
              <w:tl2br w:val="nil"/>
              <w:tr2bl w:val="nil"/>
            </w:tcBorders>
            <w:shd w:val="clear" w:color="auto" w:fill="auto"/>
            <w:vAlign w:val="center"/>
          </w:tcPr>
          <w:p w14:paraId="4C60BED5">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3E56B68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tcBorders>
              <w:tl2br w:val="nil"/>
              <w:tr2bl w:val="nil"/>
            </w:tcBorders>
            <w:vAlign w:val="center"/>
          </w:tcPr>
          <w:p w14:paraId="62351C1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质量指标</w:t>
            </w:r>
          </w:p>
        </w:tc>
        <w:tc>
          <w:tcPr>
            <w:tcW w:w="2217" w:type="dxa"/>
            <w:tcBorders>
              <w:tl2br w:val="nil"/>
              <w:tr2bl w:val="nil"/>
            </w:tcBorders>
            <w:shd w:val="clear" w:color="auto" w:fill="auto"/>
            <w:vAlign w:val="center"/>
          </w:tcPr>
          <w:p w14:paraId="6C10BB33">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电力运行稳定率</w:t>
            </w:r>
          </w:p>
        </w:tc>
        <w:tc>
          <w:tcPr>
            <w:tcW w:w="831" w:type="dxa"/>
            <w:tcBorders>
              <w:tl2br w:val="nil"/>
              <w:tr2bl w:val="nil"/>
            </w:tcBorders>
            <w:shd w:val="clear" w:color="auto" w:fill="auto"/>
            <w:vAlign w:val="center"/>
          </w:tcPr>
          <w:p w14:paraId="5A65AD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5" w:type="dxa"/>
            <w:tcBorders>
              <w:tl2br w:val="nil"/>
              <w:tr2bl w:val="nil"/>
            </w:tcBorders>
            <w:shd w:val="clear" w:color="auto" w:fill="auto"/>
            <w:vAlign w:val="center"/>
          </w:tcPr>
          <w:p w14:paraId="2F6DB22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≥98%</w:t>
            </w:r>
          </w:p>
        </w:tc>
        <w:tc>
          <w:tcPr>
            <w:tcW w:w="1204" w:type="dxa"/>
            <w:tcBorders>
              <w:tl2br w:val="nil"/>
              <w:tr2bl w:val="nil"/>
            </w:tcBorders>
            <w:shd w:val="clear" w:color="auto" w:fill="auto"/>
            <w:vAlign w:val="center"/>
          </w:tcPr>
          <w:p w14:paraId="72A61E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98%</w:t>
            </w:r>
          </w:p>
        </w:tc>
        <w:tc>
          <w:tcPr>
            <w:tcW w:w="946" w:type="dxa"/>
            <w:tcBorders>
              <w:tl2br w:val="nil"/>
              <w:tr2bl w:val="nil"/>
            </w:tcBorders>
            <w:shd w:val="clear" w:color="auto" w:fill="auto"/>
            <w:vAlign w:val="center"/>
          </w:tcPr>
          <w:p w14:paraId="2960C1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110" w:type="dxa"/>
            <w:tcBorders>
              <w:tl2br w:val="nil"/>
              <w:tr2bl w:val="nil"/>
            </w:tcBorders>
            <w:shd w:val="clear" w:color="auto" w:fill="auto"/>
            <w:vAlign w:val="center"/>
          </w:tcPr>
          <w:p w14:paraId="754427A6">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4D3D13F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restart"/>
            <w:tcBorders>
              <w:tl2br w:val="nil"/>
              <w:tr2bl w:val="nil"/>
            </w:tcBorders>
            <w:vAlign w:val="center"/>
          </w:tcPr>
          <w:p w14:paraId="4440DBB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时效指标</w:t>
            </w:r>
          </w:p>
        </w:tc>
        <w:tc>
          <w:tcPr>
            <w:tcW w:w="2217" w:type="dxa"/>
            <w:tcBorders>
              <w:tl2br w:val="nil"/>
              <w:tr2bl w:val="nil"/>
            </w:tcBorders>
            <w:shd w:val="clear" w:color="auto" w:fill="auto"/>
            <w:vAlign w:val="center"/>
          </w:tcPr>
          <w:p w14:paraId="3EF44DF7">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24小时内电力故障处理及时性</w:t>
            </w:r>
          </w:p>
        </w:tc>
        <w:tc>
          <w:tcPr>
            <w:tcW w:w="831" w:type="dxa"/>
            <w:tcBorders>
              <w:tl2br w:val="nil"/>
              <w:tr2bl w:val="nil"/>
            </w:tcBorders>
            <w:shd w:val="clear" w:color="auto" w:fill="auto"/>
            <w:vAlign w:val="center"/>
          </w:tcPr>
          <w:p w14:paraId="1B8193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5" w:type="dxa"/>
            <w:tcBorders>
              <w:tl2br w:val="nil"/>
              <w:tr2bl w:val="nil"/>
            </w:tcBorders>
            <w:shd w:val="clear" w:color="auto" w:fill="auto"/>
            <w:vAlign w:val="center"/>
          </w:tcPr>
          <w:p w14:paraId="0E47168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及时</w:t>
            </w:r>
          </w:p>
        </w:tc>
        <w:tc>
          <w:tcPr>
            <w:tcW w:w="1204" w:type="dxa"/>
            <w:tcBorders>
              <w:tl2br w:val="nil"/>
              <w:tr2bl w:val="nil"/>
            </w:tcBorders>
            <w:shd w:val="clear" w:color="auto" w:fill="auto"/>
            <w:vAlign w:val="center"/>
          </w:tcPr>
          <w:p w14:paraId="08F195A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c>
          <w:tcPr>
            <w:tcW w:w="946" w:type="dxa"/>
            <w:tcBorders>
              <w:tl2br w:val="nil"/>
              <w:tr2bl w:val="nil"/>
            </w:tcBorders>
            <w:shd w:val="clear" w:color="auto" w:fill="auto"/>
            <w:vAlign w:val="center"/>
          </w:tcPr>
          <w:p w14:paraId="6128658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110" w:type="dxa"/>
            <w:tcBorders>
              <w:tl2br w:val="nil"/>
              <w:tr2bl w:val="nil"/>
            </w:tcBorders>
            <w:shd w:val="clear" w:color="auto" w:fill="auto"/>
            <w:vAlign w:val="center"/>
          </w:tcPr>
          <w:p w14:paraId="3B8410CC">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4A338DA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continue"/>
            <w:tcBorders>
              <w:tl2br w:val="nil"/>
              <w:tr2bl w:val="nil"/>
            </w:tcBorders>
            <w:shd w:val="clear" w:color="auto" w:fill="BDD6EE" w:themeFill="accent1" w:themeFillTint="66"/>
            <w:vAlign w:val="center"/>
          </w:tcPr>
          <w:p w14:paraId="08D1970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p>
        </w:tc>
        <w:tc>
          <w:tcPr>
            <w:tcW w:w="2217" w:type="dxa"/>
            <w:tcBorders>
              <w:tl2br w:val="nil"/>
              <w:tr2bl w:val="nil"/>
            </w:tcBorders>
            <w:shd w:val="clear" w:color="auto" w:fill="auto"/>
            <w:vAlign w:val="center"/>
          </w:tcPr>
          <w:p w14:paraId="214929E1">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缴纳电费及时性</w:t>
            </w:r>
          </w:p>
        </w:tc>
        <w:tc>
          <w:tcPr>
            <w:tcW w:w="831" w:type="dxa"/>
            <w:tcBorders>
              <w:tl2br w:val="nil"/>
              <w:tr2bl w:val="nil"/>
            </w:tcBorders>
            <w:shd w:val="clear" w:color="auto" w:fill="auto"/>
            <w:vAlign w:val="center"/>
          </w:tcPr>
          <w:p w14:paraId="15C2FDD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5" w:type="dxa"/>
            <w:tcBorders>
              <w:tl2br w:val="nil"/>
              <w:tr2bl w:val="nil"/>
            </w:tcBorders>
            <w:shd w:val="clear" w:color="auto" w:fill="auto"/>
            <w:vAlign w:val="center"/>
          </w:tcPr>
          <w:p w14:paraId="12600F3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及时</w:t>
            </w:r>
          </w:p>
        </w:tc>
        <w:tc>
          <w:tcPr>
            <w:tcW w:w="1204" w:type="dxa"/>
            <w:tcBorders>
              <w:tl2br w:val="nil"/>
              <w:tr2bl w:val="nil"/>
            </w:tcBorders>
            <w:shd w:val="clear" w:color="auto" w:fill="auto"/>
            <w:vAlign w:val="center"/>
          </w:tcPr>
          <w:p w14:paraId="5A6EB61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c>
          <w:tcPr>
            <w:tcW w:w="946" w:type="dxa"/>
            <w:tcBorders>
              <w:tl2br w:val="nil"/>
              <w:tr2bl w:val="nil"/>
            </w:tcBorders>
            <w:shd w:val="clear" w:color="auto" w:fill="auto"/>
            <w:vAlign w:val="center"/>
          </w:tcPr>
          <w:p w14:paraId="4AC180C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110" w:type="dxa"/>
            <w:tcBorders>
              <w:tl2br w:val="nil"/>
              <w:tr2bl w:val="nil"/>
            </w:tcBorders>
            <w:shd w:val="clear" w:color="auto" w:fill="auto"/>
            <w:vAlign w:val="center"/>
          </w:tcPr>
          <w:p w14:paraId="398F687E">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71AB741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3331" w:type="dxa"/>
            <w:gridSpan w:val="2"/>
            <w:tcBorders>
              <w:tl2br w:val="nil"/>
              <w:tr2bl w:val="nil"/>
            </w:tcBorders>
            <w:shd w:val="clear" w:color="auto" w:fill="BDD6EE" w:themeFill="accent1" w:themeFillTint="66"/>
            <w:vAlign w:val="center"/>
          </w:tcPr>
          <w:p w14:paraId="61A12AB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831" w:type="dxa"/>
            <w:tcBorders>
              <w:tl2br w:val="nil"/>
              <w:tr2bl w:val="nil"/>
            </w:tcBorders>
            <w:shd w:val="clear" w:color="auto" w:fill="BDD6EE" w:themeFill="accent1" w:themeFillTint="66"/>
            <w:vAlign w:val="center"/>
          </w:tcPr>
          <w:p w14:paraId="57B3619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30</w:t>
            </w:r>
          </w:p>
        </w:tc>
        <w:tc>
          <w:tcPr>
            <w:tcW w:w="1225" w:type="dxa"/>
            <w:tcBorders>
              <w:tl2br w:val="nil"/>
              <w:tr2bl w:val="nil"/>
            </w:tcBorders>
            <w:shd w:val="clear" w:color="auto" w:fill="BDD6EE" w:themeFill="accent1" w:themeFillTint="66"/>
            <w:vAlign w:val="center"/>
          </w:tcPr>
          <w:p w14:paraId="37E0D91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1204" w:type="dxa"/>
            <w:tcBorders>
              <w:tl2br w:val="nil"/>
              <w:tr2bl w:val="nil"/>
            </w:tcBorders>
            <w:shd w:val="clear" w:color="auto" w:fill="BDD6EE" w:themeFill="accent1" w:themeFillTint="66"/>
            <w:vAlign w:val="center"/>
          </w:tcPr>
          <w:p w14:paraId="39870B1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946" w:type="dxa"/>
            <w:tcBorders>
              <w:tl2br w:val="nil"/>
              <w:tr2bl w:val="nil"/>
            </w:tcBorders>
            <w:shd w:val="clear" w:color="auto" w:fill="BDD6EE" w:themeFill="accent1" w:themeFillTint="66"/>
            <w:vAlign w:val="center"/>
          </w:tcPr>
          <w:p w14:paraId="612B35D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30</w:t>
            </w:r>
          </w:p>
        </w:tc>
        <w:tc>
          <w:tcPr>
            <w:tcW w:w="1110" w:type="dxa"/>
            <w:tcBorders>
              <w:tl2br w:val="nil"/>
              <w:tr2bl w:val="nil"/>
            </w:tcBorders>
            <w:shd w:val="clear" w:color="auto" w:fill="BDD6EE" w:themeFill="accent1" w:themeFillTint="66"/>
            <w:vAlign w:val="center"/>
          </w:tcPr>
          <w:p w14:paraId="40858CBB">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100.00%</w:t>
            </w:r>
          </w:p>
        </w:tc>
      </w:tr>
    </w:tbl>
    <w:p w14:paraId="4D3BC1F0">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1.数量指标</w:t>
      </w:r>
    </w:p>
    <w:p w14:paraId="502C5228">
      <w:pPr>
        <w:pStyle w:val="47"/>
        <w:rPr>
          <w:rFonts w:hint="eastAsia"/>
        </w:rPr>
      </w:pPr>
      <w:r>
        <w:rPr>
          <w:rFonts w:hint="eastAsia"/>
        </w:rPr>
        <w:t>用电度数：指标分值10分，评价得分10分。甘肃省法官学院全年用电60万度，本年度日常维护范围覆盖率达到100.00%，保证了学院高新能源水源热泵设备，学员宿舍、办公楼、热冷空调等正常运行。</w:t>
      </w:r>
    </w:p>
    <w:p w14:paraId="27940177">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2.质量指标</w:t>
      </w:r>
    </w:p>
    <w:p w14:paraId="710CA995">
      <w:pPr>
        <w:pStyle w:val="47"/>
        <w:rPr>
          <w:rFonts w:hint="eastAsia"/>
          <w:color w:val="000000" w:themeColor="text1"/>
          <w14:textFill>
            <w14:solidFill>
              <w14:schemeClr w14:val="tx1"/>
            </w14:solidFill>
          </w14:textFill>
        </w:rPr>
      </w:pPr>
      <w:bookmarkStart w:id="134" w:name="_Toc27458"/>
      <w:bookmarkStart w:id="135" w:name="_Toc7509"/>
      <w:r>
        <w:rPr>
          <w:rFonts w:hint="eastAsia"/>
          <w:color w:val="000000" w:themeColor="text1"/>
          <w14:textFill>
            <w14:solidFill>
              <w14:schemeClr w14:val="tx1"/>
            </w14:solidFill>
          </w14:textFill>
        </w:rPr>
        <w:t>电力运行稳定率：指标分值10分，评价得分10分。甘肃省法官</w:t>
      </w:r>
      <w:r>
        <w:rPr>
          <w:rFonts w:hint="eastAsia"/>
        </w:rPr>
        <w:t>学院全年对电力设备进行维护维修，电力运行稳定，稳定率达到98%，为学院开展各项工作提供了有效保障，创造了良好的生活和学习环境，为学院教学质量高质量发展奠定了良好的基础。</w:t>
      </w:r>
    </w:p>
    <w:bookmarkEnd w:id="134"/>
    <w:bookmarkEnd w:id="135"/>
    <w:p w14:paraId="71EDA211">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3.时效指标</w:t>
      </w:r>
    </w:p>
    <w:p w14:paraId="566150F1">
      <w:pPr>
        <w:pStyle w:val="47"/>
        <w:rPr>
          <w:rFonts w:hint="eastAsia"/>
        </w:rPr>
      </w:pPr>
      <w:r>
        <w:rPr>
          <w:rFonts w:hint="eastAsia"/>
        </w:rPr>
        <w:t>24小时内电力故障处理及时性：指标分值5分，评价得分5分。该指标反映全年24小时内电力故障处理是否在规定期限内。本年度甘肃省法官学院24小时内电力故障处理及时到位。</w:t>
      </w:r>
    </w:p>
    <w:p w14:paraId="2045644B">
      <w:pPr>
        <w:pStyle w:val="47"/>
        <w:rPr>
          <w:rFonts w:hint="eastAsia"/>
          <w:color w:val="000000" w:themeColor="text1"/>
          <w14:textFill>
            <w14:solidFill>
              <w14:schemeClr w14:val="tx1"/>
            </w14:solidFill>
          </w14:textFill>
        </w:rPr>
      </w:pPr>
      <w:r>
        <w:rPr>
          <w:color w:val="000000" w:themeColor="text1"/>
          <w14:textFill>
            <w14:solidFill>
              <w14:schemeClr w14:val="tx1"/>
            </w14:solidFill>
          </w14:textFill>
        </w:rPr>
        <w:t>缴纳电费及时性</w:t>
      </w:r>
      <w:r>
        <w:rPr>
          <w:rFonts w:hint="eastAsia"/>
          <w:color w:val="000000" w:themeColor="text1"/>
          <w14:textFill>
            <w14:solidFill>
              <w14:schemeClr w14:val="tx1"/>
            </w14:solidFill>
          </w14:textFill>
        </w:rPr>
        <w:t>：指标分值5分，评价得分5分。</w:t>
      </w:r>
      <w:r>
        <w:rPr>
          <w:rFonts w:hint="eastAsia"/>
        </w:rPr>
        <w:t>甘肃省法官学院按时缴纳电费，保障了学院的用电需求，为学院开展各项工作提供了有效保障。</w:t>
      </w:r>
    </w:p>
    <w:p w14:paraId="70A75827">
      <w:pPr>
        <w:pStyle w:val="8"/>
        <w:overflowPunct w:val="0"/>
        <w:spacing w:line="560" w:lineRule="exact"/>
        <w:ind w:firstLine="643" w:firstLineChars="200"/>
        <w:outlineLvl w:val="1"/>
        <w:rPr>
          <w:rFonts w:hint="eastAsia" w:ascii="楷体" w:hAnsi="楷体" w:eastAsia="楷体" w:cs="楷体"/>
          <w:b/>
          <w:bCs/>
        </w:rPr>
      </w:pPr>
      <w:bookmarkStart w:id="136" w:name="_Toc27285"/>
      <w:bookmarkStart w:id="137" w:name="_Toc4582"/>
      <w:bookmarkStart w:id="138" w:name="_Toc19675"/>
      <w:r>
        <w:rPr>
          <w:rFonts w:hint="eastAsia" w:ascii="楷体" w:hAnsi="楷体" w:eastAsia="楷体" w:cs="楷体"/>
          <w:b/>
          <w:bCs/>
        </w:rPr>
        <w:t>（五）项目效益情况</w:t>
      </w:r>
      <w:bookmarkEnd w:id="136"/>
      <w:bookmarkEnd w:id="137"/>
      <w:bookmarkEnd w:id="138"/>
    </w:p>
    <w:p w14:paraId="3605047F">
      <w:pPr>
        <w:pStyle w:val="47"/>
        <w:rPr>
          <w:rFonts w:hint="eastAsia"/>
        </w:rPr>
      </w:pPr>
      <w:r>
        <w:rPr>
          <w:rFonts w:hint="eastAsia"/>
        </w:rPr>
        <w:t>项目效益指标包括社会效益指标、服务对象满意度两个二级指标，下设两个三级指标，指标分值20分，评价得分20分，得分率100.00%。</w:t>
      </w:r>
    </w:p>
    <w:tbl>
      <w:tblPr>
        <w:tblStyle w:val="20"/>
        <w:tblW w:w="0" w:type="auto"/>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421"/>
        <w:gridCol w:w="1961"/>
        <w:gridCol w:w="868"/>
        <w:gridCol w:w="1236"/>
        <w:gridCol w:w="1255"/>
        <w:gridCol w:w="742"/>
        <w:gridCol w:w="987"/>
      </w:tblGrid>
      <w:tr w14:paraId="71A8A6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blHeader/>
        </w:trPr>
        <w:tc>
          <w:tcPr>
            <w:tcW w:w="1421" w:type="dxa"/>
            <w:tcBorders>
              <w:tl2br w:val="nil"/>
              <w:tr2bl w:val="nil"/>
            </w:tcBorders>
            <w:shd w:val="clear" w:color="auto" w:fill="BDD6EE" w:themeFill="accent1" w:themeFillTint="66"/>
            <w:vAlign w:val="center"/>
          </w:tcPr>
          <w:p w14:paraId="58AAA07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1961" w:type="dxa"/>
            <w:tcBorders>
              <w:tl2br w:val="nil"/>
              <w:tr2bl w:val="nil"/>
            </w:tcBorders>
            <w:shd w:val="clear" w:color="auto" w:fill="BDD6EE" w:themeFill="accent1" w:themeFillTint="66"/>
            <w:vAlign w:val="center"/>
          </w:tcPr>
          <w:p w14:paraId="0BC635F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868" w:type="dxa"/>
            <w:tcBorders>
              <w:tl2br w:val="nil"/>
              <w:tr2bl w:val="nil"/>
            </w:tcBorders>
            <w:shd w:val="clear" w:color="auto" w:fill="BDD6EE" w:themeFill="accent1" w:themeFillTint="66"/>
            <w:vAlign w:val="center"/>
          </w:tcPr>
          <w:p w14:paraId="7E3B01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236" w:type="dxa"/>
            <w:tcBorders>
              <w:tl2br w:val="nil"/>
              <w:tr2bl w:val="nil"/>
            </w:tcBorders>
            <w:shd w:val="clear" w:color="auto" w:fill="BDD6EE" w:themeFill="accent1" w:themeFillTint="66"/>
            <w:vAlign w:val="center"/>
          </w:tcPr>
          <w:p w14:paraId="783C963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255" w:type="dxa"/>
            <w:tcBorders>
              <w:tl2br w:val="nil"/>
              <w:tr2bl w:val="nil"/>
            </w:tcBorders>
            <w:shd w:val="clear" w:color="auto" w:fill="BDD6EE" w:themeFill="accent1" w:themeFillTint="66"/>
            <w:vAlign w:val="center"/>
          </w:tcPr>
          <w:p w14:paraId="424B26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742" w:type="dxa"/>
            <w:tcBorders>
              <w:tl2br w:val="nil"/>
              <w:tr2bl w:val="nil"/>
            </w:tcBorders>
            <w:shd w:val="clear" w:color="auto" w:fill="BDD6EE" w:themeFill="accent1" w:themeFillTint="66"/>
            <w:vAlign w:val="center"/>
          </w:tcPr>
          <w:p w14:paraId="127074E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987" w:type="dxa"/>
            <w:tcBorders>
              <w:tl2br w:val="nil"/>
              <w:tr2bl w:val="nil"/>
            </w:tcBorders>
            <w:shd w:val="clear" w:color="auto" w:fill="BDD6EE" w:themeFill="accent1" w:themeFillTint="66"/>
            <w:vAlign w:val="center"/>
          </w:tcPr>
          <w:p w14:paraId="084598B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068E767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421" w:type="dxa"/>
            <w:tcBorders>
              <w:tl2br w:val="nil"/>
              <w:tr2bl w:val="nil"/>
            </w:tcBorders>
            <w:vAlign w:val="center"/>
          </w:tcPr>
          <w:p w14:paraId="278271E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 xml:space="preserve">社会效益指标      </w:t>
            </w:r>
          </w:p>
        </w:tc>
        <w:tc>
          <w:tcPr>
            <w:tcW w:w="1961" w:type="dxa"/>
            <w:tcBorders>
              <w:tl2br w:val="nil"/>
              <w:tr2bl w:val="nil"/>
            </w:tcBorders>
            <w:shd w:val="clear" w:color="auto" w:fill="auto"/>
            <w:vAlign w:val="center"/>
          </w:tcPr>
          <w:p w14:paraId="540634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保障人民法院日常办公需求有效性</w:t>
            </w:r>
          </w:p>
        </w:tc>
        <w:tc>
          <w:tcPr>
            <w:tcW w:w="868" w:type="dxa"/>
            <w:tcBorders>
              <w:tl2br w:val="nil"/>
              <w:tr2bl w:val="nil"/>
            </w:tcBorders>
            <w:shd w:val="clear" w:color="auto" w:fill="auto"/>
            <w:vAlign w:val="center"/>
          </w:tcPr>
          <w:p w14:paraId="1448264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36" w:type="dxa"/>
            <w:tcBorders>
              <w:tl2br w:val="nil"/>
              <w:tr2bl w:val="nil"/>
            </w:tcBorders>
            <w:shd w:val="clear" w:color="auto" w:fill="auto"/>
            <w:vAlign w:val="center"/>
          </w:tcPr>
          <w:p w14:paraId="4A1B17D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有效</w:t>
            </w:r>
          </w:p>
        </w:tc>
        <w:tc>
          <w:tcPr>
            <w:tcW w:w="1255" w:type="dxa"/>
            <w:tcBorders>
              <w:tl2br w:val="nil"/>
              <w:tr2bl w:val="nil"/>
            </w:tcBorders>
            <w:shd w:val="clear" w:color="auto" w:fill="auto"/>
            <w:vAlign w:val="center"/>
          </w:tcPr>
          <w:p w14:paraId="5042B8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c>
          <w:tcPr>
            <w:tcW w:w="742" w:type="dxa"/>
            <w:tcBorders>
              <w:tl2br w:val="nil"/>
              <w:tr2bl w:val="nil"/>
            </w:tcBorders>
            <w:shd w:val="clear" w:color="auto" w:fill="auto"/>
            <w:vAlign w:val="center"/>
          </w:tcPr>
          <w:p w14:paraId="5F2644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987" w:type="dxa"/>
            <w:tcBorders>
              <w:tl2br w:val="nil"/>
              <w:tr2bl w:val="nil"/>
            </w:tcBorders>
            <w:shd w:val="clear" w:color="auto" w:fill="auto"/>
            <w:vAlign w:val="center"/>
          </w:tcPr>
          <w:p w14:paraId="4C82CF8D">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r>
      <w:tr w14:paraId="53A30C4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421" w:type="dxa"/>
            <w:vMerge w:val="restart"/>
            <w:tcBorders>
              <w:tl2br w:val="nil"/>
              <w:tr2bl w:val="nil"/>
            </w:tcBorders>
            <w:vAlign w:val="center"/>
          </w:tcPr>
          <w:p w14:paraId="7DF64A1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满意度指标</w:t>
            </w:r>
          </w:p>
        </w:tc>
        <w:tc>
          <w:tcPr>
            <w:tcW w:w="1961" w:type="dxa"/>
            <w:tcBorders>
              <w:tl2br w:val="nil"/>
              <w:tr2bl w:val="nil"/>
            </w:tcBorders>
            <w:shd w:val="clear" w:color="auto" w:fill="auto"/>
            <w:vAlign w:val="center"/>
          </w:tcPr>
          <w:p w14:paraId="46864BE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学员满意度</w:t>
            </w:r>
          </w:p>
        </w:tc>
        <w:tc>
          <w:tcPr>
            <w:tcW w:w="868" w:type="dxa"/>
            <w:tcBorders>
              <w:tl2br w:val="nil"/>
              <w:tr2bl w:val="nil"/>
            </w:tcBorders>
            <w:shd w:val="clear" w:color="auto" w:fill="auto"/>
            <w:vAlign w:val="center"/>
          </w:tcPr>
          <w:p w14:paraId="3AA661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36" w:type="dxa"/>
            <w:tcBorders>
              <w:tl2br w:val="nil"/>
              <w:tr2bl w:val="nil"/>
            </w:tcBorders>
            <w:shd w:val="clear" w:color="auto" w:fill="auto"/>
            <w:vAlign w:val="center"/>
          </w:tcPr>
          <w:p w14:paraId="5B55406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≥98%</w:t>
            </w:r>
          </w:p>
        </w:tc>
        <w:tc>
          <w:tcPr>
            <w:tcW w:w="1255" w:type="dxa"/>
            <w:tcBorders>
              <w:tl2br w:val="nil"/>
              <w:tr2bl w:val="nil"/>
            </w:tcBorders>
            <w:shd w:val="clear" w:color="auto" w:fill="auto"/>
            <w:vAlign w:val="center"/>
          </w:tcPr>
          <w:p w14:paraId="2252B7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99.00%</w:t>
            </w:r>
          </w:p>
        </w:tc>
        <w:tc>
          <w:tcPr>
            <w:tcW w:w="742" w:type="dxa"/>
            <w:tcBorders>
              <w:tl2br w:val="nil"/>
              <w:tr2bl w:val="nil"/>
            </w:tcBorders>
            <w:shd w:val="clear" w:color="auto" w:fill="auto"/>
            <w:vAlign w:val="center"/>
          </w:tcPr>
          <w:p w14:paraId="3DC0895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987" w:type="dxa"/>
            <w:tcBorders>
              <w:tl2br w:val="nil"/>
              <w:tr2bl w:val="nil"/>
            </w:tcBorders>
            <w:shd w:val="clear" w:color="auto" w:fill="auto"/>
            <w:vAlign w:val="center"/>
          </w:tcPr>
          <w:p w14:paraId="7A1EB5E7">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r>
      <w:tr w14:paraId="27A4D87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27" w:hRule="atLeast"/>
        </w:trPr>
        <w:tc>
          <w:tcPr>
            <w:tcW w:w="1421" w:type="dxa"/>
            <w:vMerge w:val="continue"/>
            <w:tcBorders>
              <w:tl2br w:val="nil"/>
              <w:tr2bl w:val="nil"/>
            </w:tcBorders>
            <w:shd w:val="clear" w:color="auto" w:fill="BDD6EE" w:themeFill="accent1" w:themeFillTint="66"/>
            <w:vAlign w:val="center"/>
          </w:tcPr>
          <w:p w14:paraId="087735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p>
        </w:tc>
        <w:tc>
          <w:tcPr>
            <w:tcW w:w="1961" w:type="dxa"/>
            <w:tcBorders>
              <w:tl2br w:val="nil"/>
              <w:tr2bl w:val="nil"/>
            </w:tcBorders>
            <w:shd w:val="clear" w:color="auto" w:fill="auto"/>
            <w:vAlign w:val="center"/>
          </w:tcPr>
          <w:p w14:paraId="5B75B43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kern w:val="0"/>
                <w:sz w:val="20"/>
                <w:szCs w:val="20"/>
                <w:lang w:bidi="ar"/>
              </w:rPr>
              <w:t>学院工作人员满意度</w:t>
            </w:r>
          </w:p>
        </w:tc>
        <w:tc>
          <w:tcPr>
            <w:tcW w:w="868" w:type="dxa"/>
            <w:tcBorders>
              <w:tl2br w:val="nil"/>
              <w:tr2bl w:val="nil"/>
            </w:tcBorders>
            <w:shd w:val="clear" w:color="auto" w:fill="auto"/>
            <w:vAlign w:val="center"/>
          </w:tcPr>
          <w:p w14:paraId="7E2DBF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36" w:type="dxa"/>
            <w:tcBorders>
              <w:tl2br w:val="nil"/>
              <w:tr2bl w:val="nil"/>
            </w:tcBorders>
            <w:shd w:val="clear" w:color="auto" w:fill="auto"/>
            <w:vAlign w:val="center"/>
          </w:tcPr>
          <w:p w14:paraId="7CE3C80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≥98%</w:t>
            </w:r>
          </w:p>
        </w:tc>
        <w:tc>
          <w:tcPr>
            <w:tcW w:w="1255" w:type="dxa"/>
            <w:tcBorders>
              <w:tl2br w:val="nil"/>
              <w:tr2bl w:val="nil"/>
            </w:tcBorders>
            <w:shd w:val="clear" w:color="auto" w:fill="auto"/>
            <w:vAlign w:val="center"/>
          </w:tcPr>
          <w:p w14:paraId="02695E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99.00%</w:t>
            </w:r>
          </w:p>
        </w:tc>
        <w:tc>
          <w:tcPr>
            <w:tcW w:w="742" w:type="dxa"/>
            <w:tcBorders>
              <w:tl2br w:val="nil"/>
              <w:tr2bl w:val="nil"/>
            </w:tcBorders>
            <w:shd w:val="clear" w:color="auto" w:fill="auto"/>
            <w:vAlign w:val="center"/>
          </w:tcPr>
          <w:p w14:paraId="7922962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987" w:type="dxa"/>
            <w:tcBorders>
              <w:tl2br w:val="nil"/>
              <w:tr2bl w:val="nil"/>
            </w:tcBorders>
            <w:shd w:val="clear" w:color="auto" w:fill="auto"/>
            <w:vAlign w:val="center"/>
          </w:tcPr>
          <w:p w14:paraId="63A3EAE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r>
      <w:tr w14:paraId="5AA69E7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3382" w:type="dxa"/>
            <w:gridSpan w:val="2"/>
            <w:tcBorders>
              <w:tl2br w:val="nil"/>
              <w:tr2bl w:val="nil"/>
            </w:tcBorders>
            <w:shd w:val="clear" w:color="auto" w:fill="BDD6EE" w:themeFill="accent1" w:themeFillTint="66"/>
            <w:vAlign w:val="center"/>
          </w:tcPr>
          <w:p w14:paraId="1251DC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868" w:type="dxa"/>
            <w:tcBorders>
              <w:tl2br w:val="nil"/>
              <w:tr2bl w:val="nil"/>
            </w:tcBorders>
            <w:shd w:val="clear" w:color="auto" w:fill="BDD6EE" w:themeFill="accent1" w:themeFillTint="66"/>
            <w:vAlign w:val="center"/>
          </w:tcPr>
          <w:p w14:paraId="5839668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20</w:t>
            </w:r>
          </w:p>
        </w:tc>
        <w:tc>
          <w:tcPr>
            <w:tcW w:w="1236" w:type="dxa"/>
            <w:tcBorders>
              <w:tl2br w:val="nil"/>
              <w:tr2bl w:val="nil"/>
            </w:tcBorders>
            <w:shd w:val="clear" w:color="auto" w:fill="BDD6EE" w:themeFill="accent1" w:themeFillTint="66"/>
            <w:vAlign w:val="center"/>
          </w:tcPr>
          <w:p w14:paraId="1077F45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w:t>
            </w:r>
          </w:p>
        </w:tc>
        <w:tc>
          <w:tcPr>
            <w:tcW w:w="1255" w:type="dxa"/>
            <w:tcBorders>
              <w:tl2br w:val="nil"/>
              <w:tr2bl w:val="nil"/>
            </w:tcBorders>
            <w:shd w:val="clear" w:color="auto" w:fill="BDD6EE" w:themeFill="accent1" w:themeFillTint="66"/>
            <w:vAlign w:val="center"/>
          </w:tcPr>
          <w:p w14:paraId="308B3EE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w:t>
            </w:r>
          </w:p>
        </w:tc>
        <w:tc>
          <w:tcPr>
            <w:tcW w:w="742" w:type="dxa"/>
            <w:tcBorders>
              <w:tl2br w:val="nil"/>
              <w:tr2bl w:val="nil"/>
            </w:tcBorders>
            <w:shd w:val="clear" w:color="auto" w:fill="BDD6EE" w:themeFill="accent1" w:themeFillTint="66"/>
            <w:vAlign w:val="center"/>
          </w:tcPr>
          <w:p w14:paraId="67B2547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20</w:t>
            </w:r>
          </w:p>
        </w:tc>
        <w:tc>
          <w:tcPr>
            <w:tcW w:w="987" w:type="dxa"/>
            <w:tcBorders>
              <w:tl2br w:val="nil"/>
              <w:tr2bl w:val="nil"/>
            </w:tcBorders>
            <w:shd w:val="clear" w:color="auto" w:fill="BDD6EE" w:themeFill="accent1" w:themeFillTint="66"/>
            <w:vAlign w:val="center"/>
          </w:tcPr>
          <w:p w14:paraId="17169EB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100.00%</w:t>
            </w:r>
          </w:p>
        </w:tc>
      </w:tr>
    </w:tbl>
    <w:p w14:paraId="248C98B8">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rPr>
        <w:t>1.社会效益指标</w:t>
      </w:r>
    </w:p>
    <w:p w14:paraId="080AB1CA">
      <w:pPr>
        <w:pStyle w:val="47"/>
        <w:rPr>
          <w:rFonts w:hint="eastAsia"/>
        </w:rPr>
      </w:pPr>
      <w:r>
        <w:rPr>
          <w:rFonts w:hint="eastAsia"/>
        </w:rPr>
        <w:t>保障人民法院日常办公需求有效性：指标分值10分，评价得分10分。保障甘肃省法官学院工作、学习有序正常执行，按季度按时缴纳电费，保障学院生活用电、教学用电，创造良好的学院生活环境和学习环境。</w:t>
      </w:r>
    </w:p>
    <w:p w14:paraId="61573275">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lang w:val="en-US" w:eastAsia="zh-CN"/>
        </w:rPr>
        <w:t>2</w:t>
      </w:r>
      <w:r>
        <w:rPr>
          <w:rFonts w:hint="eastAsia" w:ascii="仿宋_GB2312" w:hAnsi="仿宋_GB2312" w:cs="仿宋_GB2312"/>
          <w:b/>
          <w:bCs/>
        </w:rPr>
        <w:t>.满意度情况</w:t>
      </w:r>
    </w:p>
    <w:p w14:paraId="2706397C">
      <w:pPr>
        <w:pStyle w:val="47"/>
        <w:rPr>
          <w:rFonts w:hint="eastAsia"/>
          <w:lang w:val="en-US" w:eastAsia="zh-CN"/>
        </w:rPr>
      </w:pPr>
      <w:bookmarkStart w:id="139" w:name="_Toc23326"/>
      <w:bookmarkStart w:id="140" w:name="_Toc5674"/>
      <w:bookmarkStart w:id="141" w:name="_Toc2918"/>
      <w:bookmarkStart w:id="142" w:name="_Toc63435075"/>
      <w:bookmarkStart w:id="143" w:name="_Toc4285"/>
      <w:bookmarkStart w:id="144" w:name="_Toc64731198"/>
      <w:bookmarkStart w:id="145" w:name="_Toc65235686"/>
      <w:r>
        <w:rPr>
          <w:rFonts w:hint="eastAsia"/>
        </w:rPr>
        <w:t>学员满意度、学院工作人员满意度，指标分值10分，评价得分10分</w:t>
      </w:r>
      <w:bookmarkEnd w:id="139"/>
      <w:bookmarkEnd w:id="140"/>
      <w:bookmarkEnd w:id="141"/>
      <w:bookmarkEnd w:id="142"/>
      <w:bookmarkEnd w:id="143"/>
      <w:bookmarkEnd w:id="144"/>
      <w:bookmarkEnd w:id="145"/>
      <w:r>
        <w:rPr>
          <w:rFonts w:hint="eastAsia"/>
          <w:lang w:val="en-US" w:eastAsia="zh-CN"/>
        </w:rPr>
        <w:t>。</w:t>
      </w:r>
    </w:p>
    <w:p w14:paraId="4A72AA43">
      <w:pPr>
        <w:pStyle w:val="47"/>
        <w:rPr>
          <w:rFonts w:hint="eastAsia"/>
        </w:rPr>
      </w:pPr>
      <w:r>
        <w:rPr>
          <w:rFonts w:hint="eastAsia"/>
        </w:rPr>
        <w:t>评价组针对服务对象“学员、工作人员”</w:t>
      </w:r>
      <w:r>
        <w:rPr>
          <w:rFonts w:hint="eastAsia"/>
          <w:lang w:val="en-US" w:eastAsia="zh-CN"/>
        </w:rPr>
        <w:t>满意度进行了问卷调查</w:t>
      </w:r>
      <w:r>
        <w:rPr>
          <w:rFonts w:hint="eastAsia"/>
        </w:rPr>
        <w:t>，考核电费补助项目的工作成果，以评价项目产出的效益。经调查，发现工作人员对学院及时缴纳电费改善学院教学、办公环境比较满意，保障了学院正常教学任务的开展，创造了良好的学院生活环境和学习环境，学员们对</w:t>
      </w:r>
      <w:r>
        <w:rPr>
          <w:rFonts w:hint="eastAsia"/>
          <w:lang w:val="en-US" w:eastAsia="zh-CN"/>
        </w:rPr>
        <w:t>甘肃省法官学院</w:t>
      </w:r>
      <w:r>
        <w:rPr>
          <w:rFonts w:hint="eastAsia"/>
        </w:rPr>
        <w:t>给予了良好评价经反馈，本年度学员满意度达到99%、学院工作人员满意度达到99%。</w:t>
      </w:r>
    </w:p>
    <w:p w14:paraId="44B78B51">
      <w:pPr>
        <w:pStyle w:val="40"/>
        <w:rPr>
          <w:rFonts w:hint="eastAsia"/>
        </w:rPr>
      </w:pPr>
      <w:bookmarkStart w:id="146" w:name="_Toc14706"/>
      <w:bookmarkStart w:id="147" w:name="_Toc27911"/>
      <w:bookmarkStart w:id="148" w:name="_Toc14909"/>
      <w:r>
        <w:rPr>
          <w:rFonts w:hint="eastAsia"/>
        </w:rPr>
        <w:t>六、项目主要经验及做法</w:t>
      </w:r>
      <w:bookmarkEnd w:id="146"/>
      <w:bookmarkEnd w:id="147"/>
      <w:bookmarkEnd w:id="148"/>
    </w:p>
    <w:p w14:paraId="152D1678">
      <w:pPr>
        <w:pStyle w:val="47"/>
        <w:rPr>
          <w:rFonts w:hint="eastAsia"/>
        </w:rPr>
      </w:pPr>
      <w:bookmarkStart w:id="149" w:name="_Toc51"/>
      <w:bookmarkStart w:id="150" w:name="_Toc25717"/>
      <w:bookmarkStart w:id="151" w:name="_Toc15152"/>
      <w:r>
        <w:rPr>
          <w:rFonts w:hint="eastAsia"/>
        </w:rPr>
        <w:t>继续加强教育、办公等电力运行保障工作，有力支撑法官培训教学及科研工作的顺利开展。有序</w:t>
      </w:r>
      <w:r>
        <w:rPr>
          <w:rFonts w:hint="eastAsia"/>
          <w:lang w:val="en-US" w:eastAsia="zh-CN"/>
        </w:rPr>
        <w:t>对</w:t>
      </w:r>
      <w:r>
        <w:rPr>
          <w:rFonts w:hint="eastAsia"/>
        </w:rPr>
        <w:t>学院的高能源设备以及办公教学区域等运行情况进行巡查，及时对断电等突发状况，做出安全的应急措施，提升学院运行水平。加强对电力安全自查、功能优化，按照培训和工作业务需求变化调整系统配置，提升学院教学、生活体验满意度。</w:t>
      </w:r>
      <w:bookmarkEnd w:id="149"/>
    </w:p>
    <w:p w14:paraId="201876E1">
      <w:pPr>
        <w:pStyle w:val="8"/>
        <w:overflowPunct w:val="0"/>
        <w:spacing w:line="560" w:lineRule="exact"/>
        <w:ind w:firstLine="640" w:firstLineChars="200"/>
        <w:outlineLvl w:val="0"/>
        <w:rPr>
          <w:rFonts w:hint="eastAsia" w:ascii="黑体" w:hAnsi="黑体" w:eastAsia="黑体" w:cs="仿宋"/>
        </w:rPr>
      </w:pPr>
      <w:bookmarkStart w:id="152" w:name="_Toc22485"/>
      <w:r>
        <w:rPr>
          <w:rFonts w:hint="eastAsia" w:ascii="黑体" w:hAnsi="黑体" w:eastAsia="黑体" w:cs="仿宋"/>
        </w:rPr>
        <w:t>七、存在的问题及原因分析</w:t>
      </w:r>
      <w:bookmarkEnd w:id="150"/>
      <w:bookmarkEnd w:id="151"/>
      <w:bookmarkEnd w:id="152"/>
    </w:p>
    <w:p w14:paraId="77B0FA79">
      <w:pPr>
        <w:overflowPunct w:val="0"/>
        <w:spacing w:line="560" w:lineRule="exact"/>
        <w:ind w:firstLine="643" w:firstLineChars="200"/>
        <w:outlineLvl w:val="1"/>
        <w:rPr>
          <w:rStyle w:val="31"/>
          <w:rFonts w:hint="default" w:ascii="楷体" w:hAnsi="楷体" w:eastAsia="楷体" w:cs="楷体"/>
          <w:szCs w:val="32"/>
          <w:highlight w:val="yellow"/>
          <w:lang w:val="en-US" w:eastAsia="zh-CN"/>
        </w:rPr>
      </w:pPr>
      <w:bookmarkStart w:id="153" w:name="_Toc22417"/>
      <w:bookmarkStart w:id="154" w:name="_Toc27415"/>
      <w:bookmarkStart w:id="155" w:name="_Toc2874"/>
      <w:bookmarkStart w:id="156" w:name="_Toc7160"/>
      <w:bookmarkStart w:id="157" w:name="_Toc10454"/>
      <w:bookmarkStart w:id="158" w:name="_Toc4102"/>
      <w:bookmarkStart w:id="159" w:name="_Toc31893"/>
      <w:bookmarkStart w:id="160" w:name="_Toc18641"/>
      <w:bookmarkStart w:id="161" w:name="_Toc31283"/>
      <w:bookmarkStart w:id="162" w:name="_Toc17195"/>
      <w:bookmarkStart w:id="163" w:name="_Toc11984"/>
      <w:bookmarkStart w:id="164" w:name="_Toc12328"/>
      <w:bookmarkStart w:id="165" w:name="_Toc14622"/>
      <w:bookmarkStart w:id="166" w:name="_Toc19507"/>
      <w:bookmarkStart w:id="167" w:name="_Toc15618"/>
      <w:bookmarkStart w:id="168" w:name="_Toc29421"/>
      <w:r>
        <w:rPr>
          <w:rStyle w:val="31"/>
          <w:rFonts w:hint="eastAsia" w:ascii="楷体" w:hAnsi="楷体" w:eastAsia="楷体" w:cs="楷体"/>
          <w:szCs w:val="32"/>
          <w:highlight w:val="none"/>
        </w:rPr>
        <w:t>（</w:t>
      </w:r>
      <w:r>
        <w:rPr>
          <w:rStyle w:val="31"/>
          <w:rFonts w:hint="eastAsia" w:ascii="楷体" w:hAnsi="楷体" w:eastAsia="楷体" w:cs="楷体"/>
          <w:szCs w:val="32"/>
          <w:highlight w:val="none"/>
          <w:lang w:val="en-US" w:eastAsia="zh-CN"/>
        </w:rPr>
        <w:t>一</w:t>
      </w:r>
      <w:r>
        <w:rPr>
          <w:rStyle w:val="31"/>
          <w:rFonts w:hint="eastAsia" w:ascii="楷体" w:hAnsi="楷体" w:eastAsia="楷体" w:cs="楷体"/>
          <w:szCs w:val="32"/>
          <w:highlight w:val="none"/>
        </w:rPr>
        <w:t>）</w:t>
      </w:r>
      <w:r>
        <w:rPr>
          <w:rStyle w:val="31"/>
          <w:rFonts w:hint="eastAsia" w:ascii="楷体" w:hAnsi="楷体" w:eastAsia="楷体" w:cs="楷体"/>
          <w:szCs w:val="32"/>
          <w:highlight w:val="none"/>
          <w:lang w:val="en-US" w:eastAsia="zh-CN"/>
        </w:rPr>
        <w:t>资金管理有待进一步完善</w:t>
      </w:r>
    </w:p>
    <w:p w14:paraId="307EA8ED">
      <w:pPr>
        <w:pStyle w:val="47"/>
        <w:bidi w:val="0"/>
        <w:rPr>
          <w:rFonts w:hint="default" w:eastAsia="仿宋_GB2312"/>
          <w:lang w:val="en-US" w:eastAsia="zh-CN"/>
        </w:rPr>
      </w:pPr>
      <w:r>
        <w:rPr>
          <w:rFonts w:hint="eastAsia" w:ascii="仿宋_GB2312" w:hAnsi="仿宋_GB2312" w:eastAsia="仿宋_GB2312" w:cs="仿宋_GB2312"/>
          <w:kern w:val="2"/>
          <w:sz w:val="32"/>
          <w:szCs w:val="32"/>
          <w:highlight w:val="none"/>
          <w:lang w:val="en-US" w:eastAsia="zh-CN" w:bidi="ar-SA"/>
        </w:rPr>
        <w:t>经查验甘肃省法官学院相关合同协议、会计凭证等资料，</w:t>
      </w:r>
      <w:r>
        <w:rPr>
          <w:rFonts w:hint="eastAsia" w:cs="仿宋_GB2312"/>
          <w:kern w:val="2"/>
          <w:sz w:val="32"/>
          <w:szCs w:val="32"/>
          <w:highlight w:val="none"/>
          <w:lang w:val="en-US" w:eastAsia="zh-CN" w:bidi="ar-SA"/>
        </w:rPr>
        <w:t>存在资金使用管理不规范情况。如：2023年4月44号记账凭证，支付学院3月份电费138,948.02元。2023年5月1号记账凭证，支付学院4月份电费89,415.91元。未见</w:t>
      </w:r>
      <w:r>
        <w:rPr>
          <w:rFonts w:hint="eastAsia" w:ascii="仿宋_GB2312" w:eastAsia="仿宋_GB2312"/>
          <w:sz w:val="32"/>
          <w:szCs w:val="32"/>
          <w:shd w:val="clear" w:color="auto" w:fill="FFFFFF"/>
        </w:rPr>
        <w:t>院务集体讨论</w:t>
      </w:r>
      <w:r>
        <w:rPr>
          <w:rFonts w:hint="eastAsia"/>
          <w:sz w:val="32"/>
          <w:szCs w:val="32"/>
          <w:shd w:val="clear" w:color="auto" w:fill="FFFFFF"/>
          <w:lang w:val="en-US" w:eastAsia="zh-CN"/>
        </w:rPr>
        <w:t>会议纪要。</w:t>
      </w:r>
      <w:r>
        <w:rPr>
          <w:rFonts w:hint="eastAsia" w:cs="仿宋_GB2312"/>
          <w:sz w:val="32"/>
          <w:szCs w:val="32"/>
          <w:highlight w:val="none"/>
          <w:lang w:val="en-US" w:eastAsia="zh-CN"/>
        </w:rPr>
        <w:t>不符合“</w:t>
      </w:r>
      <w:r>
        <w:rPr>
          <w:rFonts w:hint="eastAsia"/>
        </w:rPr>
        <w:t>《甘肃省法官学院财务管理办法》</w:t>
      </w:r>
      <w:r>
        <w:rPr>
          <w:rFonts w:hint="eastAsia" w:cs="仿宋_GB2312"/>
          <w:sz w:val="32"/>
          <w:szCs w:val="32"/>
          <w:highlight w:val="none"/>
          <w:lang w:val="en-US" w:eastAsia="zh-CN"/>
        </w:rPr>
        <w:t>第九条 支出审批权限。支出金额在10000元（含）以上支出，由经办部门提出书面申请及详细用款计划（预算）提交院务会议集体讨论研究决定”。</w:t>
      </w:r>
    </w:p>
    <w:p w14:paraId="79E7515C">
      <w:pPr>
        <w:overflowPunct w:val="0"/>
        <w:spacing w:line="560" w:lineRule="exact"/>
        <w:ind w:firstLine="643" w:firstLineChars="200"/>
        <w:outlineLvl w:val="1"/>
        <w:rPr>
          <w:rStyle w:val="31"/>
          <w:rFonts w:hint="default" w:ascii="楷体" w:hAnsi="楷体" w:eastAsia="楷体" w:cs="楷体"/>
          <w:szCs w:val="32"/>
          <w:highlight w:val="yellow"/>
          <w:lang w:val="en-US" w:eastAsia="zh-CN"/>
        </w:rPr>
      </w:pPr>
      <w:r>
        <w:rPr>
          <w:rStyle w:val="31"/>
          <w:rFonts w:hint="eastAsia" w:ascii="楷体" w:hAnsi="楷体" w:eastAsia="楷体" w:cs="楷体"/>
          <w:szCs w:val="32"/>
          <w:highlight w:val="none"/>
        </w:rPr>
        <w:t>（</w:t>
      </w:r>
      <w:r>
        <w:rPr>
          <w:rStyle w:val="31"/>
          <w:rFonts w:hint="eastAsia" w:ascii="楷体" w:hAnsi="楷体" w:eastAsia="楷体" w:cs="楷体"/>
          <w:szCs w:val="32"/>
          <w:highlight w:val="none"/>
          <w:lang w:val="en-US" w:eastAsia="zh-CN"/>
        </w:rPr>
        <w:t>二</w:t>
      </w:r>
      <w:r>
        <w:rPr>
          <w:rStyle w:val="31"/>
          <w:rFonts w:hint="eastAsia" w:ascii="楷体" w:hAnsi="楷体" w:eastAsia="楷体" w:cs="楷体"/>
          <w:szCs w:val="32"/>
          <w:highlight w:val="none"/>
        </w:rPr>
        <w:t>）</w:t>
      </w:r>
      <w:bookmarkEnd w:id="153"/>
      <w:bookmarkEnd w:id="154"/>
      <w:bookmarkEnd w:id="155"/>
      <w:bookmarkEnd w:id="156"/>
      <w:bookmarkEnd w:id="157"/>
      <w:bookmarkEnd w:id="158"/>
      <w:bookmarkEnd w:id="159"/>
      <w:bookmarkEnd w:id="160"/>
      <w:bookmarkEnd w:id="161"/>
      <w:r>
        <w:rPr>
          <w:rStyle w:val="31"/>
          <w:rFonts w:hint="eastAsia" w:ascii="楷体" w:hAnsi="楷体" w:eastAsia="楷体" w:cs="楷体"/>
          <w:szCs w:val="32"/>
          <w:highlight w:val="none"/>
          <w:lang w:val="en-US" w:eastAsia="zh-CN"/>
        </w:rPr>
        <w:t>组织实施有待进一步完善</w:t>
      </w:r>
    </w:p>
    <w:p w14:paraId="4988C577">
      <w:pPr>
        <w:overflowPunct w:val="0"/>
        <w:spacing w:line="560" w:lineRule="exact"/>
        <w:ind w:firstLine="640" w:firstLineChars="200"/>
        <w:outlineLvl w:val="1"/>
        <w:rPr>
          <w:rStyle w:val="31"/>
          <w:rFonts w:hint="eastAsia" w:ascii="仿宋_GB2312" w:hAnsi="仿宋_GB2312" w:eastAsia="仿宋_GB2312" w:cs="仿宋_GB2312"/>
          <w:b w:val="0"/>
          <w:bCs/>
          <w:sz w:val="32"/>
          <w:szCs w:val="32"/>
          <w:lang w:val="en-US"/>
        </w:rPr>
      </w:pPr>
      <w:r>
        <w:rPr>
          <w:rFonts w:hint="eastAsia" w:ascii="仿宋_GB2312" w:hAnsi="仿宋_GB2312" w:eastAsia="仿宋_GB2312" w:cs="仿宋_GB2312"/>
          <w:kern w:val="2"/>
          <w:sz w:val="32"/>
          <w:szCs w:val="32"/>
          <w:highlight w:val="none"/>
          <w:lang w:val="en-US" w:eastAsia="zh-CN" w:bidi="ar-SA"/>
        </w:rPr>
        <w:t>经查验甘肃省法官学院相关合同协议、会计凭证等资料，存在制度执行不规范的情况。如：2023年7月43号记账凭证和，支付学院北区2023年4.5月份绿化灌溉电费2,118.41元，2023年7月96号记账凭证，支付学院北区山坡绿化灌溉电费1,273.85元，凭证后未见</w:t>
      </w:r>
      <w:r>
        <w:rPr>
          <w:rFonts w:hint="eastAsia" w:ascii="仿宋_GB2312" w:hAnsi="仿宋_GB2312" w:eastAsia="仿宋_GB2312" w:cs="仿宋_GB2312"/>
          <w:sz w:val="32"/>
          <w:szCs w:val="32"/>
          <w:shd w:val="clear" w:color="auto" w:fill="FFFFFF"/>
        </w:rPr>
        <w:t>详细用款计划</w:t>
      </w:r>
      <w:r>
        <w:rPr>
          <w:rFonts w:hint="eastAsia" w:ascii="仿宋_GB2312" w:hAnsi="仿宋_GB2312" w:eastAsia="仿宋_GB2312" w:cs="仿宋_GB2312"/>
          <w:kern w:val="2"/>
          <w:sz w:val="32"/>
          <w:szCs w:val="32"/>
          <w:highlight w:val="none"/>
          <w:lang w:val="en-US" w:eastAsia="zh-CN" w:bidi="ar-SA"/>
        </w:rPr>
        <w:t>。不符合“</w:t>
      </w:r>
      <w:r>
        <w:rPr>
          <w:rFonts w:hint="eastAsia" w:ascii="仿宋_GB2312" w:hAnsi="仿宋_GB2312" w:eastAsia="仿宋_GB2312" w:cs="仿宋_GB2312"/>
          <w:sz w:val="32"/>
          <w:szCs w:val="32"/>
        </w:rPr>
        <w:t>《甘肃省法官学院财务管理办法》</w:t>
      </w:r>
      <w:r>
        <w:rPr>
          <w:rFonts w:hint="eastAsia" w:ascii="仿宋_GB2312" w:hAnsi="仿宋_GB2312" w:eastAsia="仿宋_GB2312" w:cs="仿宋_GB2312"/>
          <w:sz w:val="32"/>
          <w:szCs w:val="32"/>
          <w:highlight w:val="none"/>
          <w:lang w:val="en-US" w:eastAsia="zh-CN"/>
        </w:rPr>
        <w:t>第九条 支出审批权限。</w:t>
      </w:r>
      <w:r>
        <w:rPr>
          <w:rFonts w:hint="eastAsia" w:ascii="仿宋_GB2312" w:hAnsi="仿宋_GB2312" w:eastAsia="仿宋_GB2312" w:cs="仿宋_GB2312"/>
          <w:sz w:val="32"/>
          <w:szCs w:val="32"/>
          <w:shd w:val="clear" w:color="auto" w:fill="FFFFFF"/>
        </w:rPr>
        <w:t>支出金额在1000元至3000元（不含）以下的支出由经办部门提出书面申请及详细用款计划（预算），经经办部门负责人和主管财务领导（办公室负责人）审核，报主管财务院领导审批</w:t>
      </w:r>
      <w:r>
        <w:rPr>
          <w:rFonts w:hint="eastAsia" w:ascii="仿宋_GB2312" w:hAnsi="仿宋_GB2312" w:eastAsia="仿宋_GB2312" w:cs="仿宋_GB2312"/>
          <w:kern w:val="2"/>
          <w:sz w:val="32"/>
          <w:szCs w:val="32"/>
          <w:highlight w:val="none"/>
          <w:lang w:val="en-US" w:eastAsia="zh-CN" w:bidi="ar-SA"/>
        </w:rPr>
        <w:t>”。</w:t>
      </w:r>
    </w:p>
    <w:bookmarkEnd w:id="162"/>
    <w:bookmarkEnd w:id="163"/>
    <w:bookmarkEnd w:id="164"/>
    <w:bookmarkEnd w:id="165"/>
    <w:bookmarkEnd w:id="166"/>
    <w:bookmarkEnd w:id="167"/>
    <w:bookmarkEnd w:id="168"/>
    <w:p w14:paraId="423DC6E5">
      <w:pPr>
        <w:pStyle w:val="8"/>
        <w:overflowPunct w:val="0"/>
        <w:spacing w:line="560" w:lineRule="exact"/>
        <w:ind w:firstLine="640" w:firstLineChars="200"/>
        <w:outlineLvl w:val="0"/>
        <w:rPr>
          <w:rFonts w:hint="eastAsia" w:ascii="黑体" w:hAnsi="黑体" w:eastAsia="黑体" w:cs="仿宋"/>
        </w:rPr>
      </w:pPr>
      <w:bookmarkStart w:id="169" w:name="_Toc15149"/>
      <w:bookmarkStart w:id="170" w:name="_Toc18072"/>
      <w:bookmarkStart w:id="171" w:name="_Toc20992"/>
      <w:r>
        <w:rPr>
          <w:rFonts w:hint="eastAsia" w:ascii="黑体" w:hAnsi="黑体" w:eastAsia="黑体" w:cs="仿宋"/>
        </w:rPr>
        <w:t>八、有关建议</w:t>
      </w:r>
      <w:bookmarkEnd w:id="169"/>
      <w:bookmarkEnd w:id="170"/>
      <w:bookmarkEnd w:id="171"/>
    </w:p>
    <w:p w14:paraId="738700CE">
      <w:pPr>
        <w:overflowPunct w:val="0"/>
        <w:spacing w:line="560" w:lineRule="exact"/>
        <w:ind w:firstLine="643" w:firstLineChars="200"/>
        <w:outlineLvl w:val="1"/>
        <w:rPr>
          <w:rStyle w:val="31"/>
          <w:rFonts w:hint="eastAsia" w:ascii="楷体" w:hAnsi="楷体" w:eastAsia="楷体" w:cs="楷体"/>
          <w:b/>
          <w:bCs w:val="0"/>
          <w:szCs w:val="32"/>
          <w:lang w:eastAsia="zh-CN"/>
        </w:rPr>
      </w:pPr>
      <w:bookmarkStart w:id="172" w:name="_Toc14765"/>
      <w:bookmarkStart w:id="173" w:name="_Toc8653"/>
      <w:r>
        <w:rPr>
          <w:rStyle w:val="31"/>
          <w:rFonts w:hint="eastAsia" w:ascii="楷体" w:hAnsi="楷体" w:eastAsia="楷体" w:cs="楷体"/>
          <w:b/>
          <w:bCs w:val="0"/>
          <w:szCs w:val="32"/>
          <w:lang w:eastAsia="zh-CN"/>
        </w:rPr>
        <w:t>（</w:t>
      </w:r>
      <w:r>
        <w:rPr>
          <w:rStyle w:val="31"/>
          <w:rFonts w:hint="eastAsia" w:ascii="楷体" w:hAnsi="楷体" w:eastAsia="楷体" w:cs="楷体"/>
          <w:b/>
          <w:bCs w:val="0"/>
          <w:szCs w:val="32"/>
          <w:lang w:val="en-US" w:eastAsia="zh-CN"/>
        </w:rPr>
        <w:t>一</w:t>
      </w:r>
      <w:r>
        <w:rPr>
          <w:rStyle w:val="31"/>
          <w:rFonts w:hint="eastAsia" w:ascii="楷体" w:hAnsi="楷体" w:eastAsia="楷体" w:cs="楷体"/>
          <w:b/>
          <w:bCs w:val="0"/>
          <w:szCs w:val="32"/>
          <w:lang w:eastAsia="zh-CN"/>
        </w:rPr>
        <w:t>）加强</w:t>
      </w:r>
      <w:r>
        <w:rPr>
          <w:rStyle w:val="31"/>
          <w:rFonts w:hint="eastAsia" w:ascii="楷体" w:hAnsi="楷体" w:eastAsia="楷体" w:cs="楷体"/>
          <w:b/>
          <w:bCs w:val="0"/>
          <w:szCs w:val="32"/>
          <w:lang w:val="en-US" w:eastAsia="zh-CN"/>
        </w:rPr>
        <w:t>专项资金</w:t>
      </w:r>
      <w:r>
        <w:rPr>
          <w:rStyle w:val="31"/>
          <w:rFonts w:hint="eastAsia" w:ascii="楷体" w:hAnsi="楷体" w:eastAsia="楷体" w:cs="楷体"/>
          <w:b/>
          <w:bCs w:val="0"/>
          <w:szCs w:val="32"/>
          <w:lang w:eastAsia="zh-CN"/>
        </w:rPr>
        <w:t>管理，提高资金使用效益</w:t>
      </w:r>
    </w:p>
    <w:p w14:paraId="38BBB7BE">
      <w:pPr>
        <w:overflowPunct w:val="0"/>
        <w:spacing w:line="560" w:lineRule="exact"/>
        <w:ind w:firstLine="640" w:firstLineChars="200"/>
        <w:outlineLvl w:val="1"/>
        <w:rPr>
          <w:rStyle w:val="31"/>
          <w:rFonts w:hint="eastAsia" w:ascii="楷体" w:hAnsi="楷体" w:eastAsia="仿宋_GB2312" w:cs="楷体"/>
          <w:b w:val="0"/>
          <w:bCs/>
          <w:szCs w:val="32"/>
          <w:lang w:eastAsia="zh-CN"/>
        </w:rPr>
      </w:pPr>
      <w:r>
        <w:rPr>
          <w:rStyle w:val="31"/>
          <w:rFonts w:hint="eastAsia" w:ascii="楷体" w:hAnsi="楷体" w:eastAsia="仿宋_GB2312" w:cs="楷体"/>
          <w:b w:val="0"/>
          <w:bCs/>
          <w:szCs w:val="32"/>
          <w:lang w:eastAsia="zh-CN"/>
        </w:rPr>
        <w:t>一是要细化具体内容。结合单位实际和发展需要补充完善现行“三重一大”制度上的疏漏和不足，应遵循规范化、制度化、程序化的原则，以保证决策过程的科学民主和结果的公正合理，细化该制度的具体程序和操作流程，注重“三重一大”制度的针对性、操作性，避免流于形式。二是增强领导班子成员集体决策意识，严格决策程序，对“三重一大”事项必须坚持事先调查论证、会上集体讨论等规定，会议记录要体现每位发言者的表达意愿，并注重档案的收集完整和保管。</w:t>
      </w:r>
      <w:r>
        <w:rPr>
          <w:rStyle w:val="31"/>
          <w:rFonts w:hint="eastAsia" w:ascii="楷体" w:hAnsi="楷体" w:eastAsia="仿宋_GB2312" w:cs="楷体"/>
          <w:b w:val="0"/>
          <w:bCs/>
          <w:szCs w:val="32"/>
          <w:lang w:val="en-US" w:eastAsia="zh-CN"/>
        </w:rPr>
        <w:t>三是</w:t>
      </w:r>
      <w:r>
        <w:rPr>
          <w:rStyle w:val="31"/>
          <w:rFonts w:hint="eastAsia" w:ascii="楷体" w:hAnsi="楷体" w:eastAsia="仿宋_GB2312" w:cs="楷体"/>
          <w:b w:val="0"/>
          <w:bCs/>
          <w:szCs w:val="32"/>
          <w:lang w:eastAsia="zh-CN"/>
        </w:rPr>
        <w:t>审计、财务等部门，也要以“主动参与，源头把握”为工作思路，做好对“三重一大”事项制度落实的全过程监督。</w:t>
      </w:r>
    </w:p>
    <w:p w14:paraId="7DBD61AE">
      <w:pPr>
        <w:overflowPunct w:val="0"/>
        <w:spacing w:line="560" w:lineRule="exact"/>
        <w:ind w:firstLine="643" w:firstLineChars="200"/>
        <w:outlineLvl w:val="1"/>
        <w:rPr>
          <w:rStyle w:val="31"/>
          <w:rFonts w:hint="default" w:ascii="楷体" w:hAnsi="楷体" w:eastAsia="楷体" w:cs="楷体"/>
          <w:b/>
          <w:bCs w:val="0"/>
          <w:szCs w:val="32"/>
          <w:lang w:val="en-US" w:eastAsia="zh-CN"/>
        </w:rPr>
      </w:pPr>
      <w:r>
        <w:rPr>
          <w:rStyle w:val="31"/>
          <w:rFonts w:hint="eastAsia" w:ascii="楷体" w:hAnsi="楷体" w:eastAsia="楷体" w:cs="楷体"/>
          <w:b/>
          <w:bCs w:val="0"/>
          <w:szCs w:val="32"/>
          <w:lang w:val="en-US" w:eastAsia="zh-CN"/>
        </w:rPr>
        <w:t>（二）加强经费报销的审核监督，确保审批程序规范</w:t>
      </w:r>
    </w:p>
    <w:p w14:paraId="0354AD41">
      <w:pPr>
        <w:overflowPunct w:val="0"/>
        <w:spacing w:line="560" w:lineRule="exact"/>
        <w:ind w:firstLine="640" w:firstLineChars="200"/>
        <w:outlineLvl w:val="1"/>
        <w:rPr>
          <w:rStyle w:val="31"/>
          <w:rFonts w:hint="eastAsia" w:ascii="楷体" w:hAnsi="楷体" w:eastAsia="仿宋_GB2312" w:cs="楷体"/>
          <w:b w:val="0"/>
          <w:bCs/>
          <w:szCs w:val="32"/>
        </w:rPr>
      </w:pPr>
      <w:r>
        <w:rPr>
          <w:rStyle w:val="31"/>
          <w:rFonts w:hint="eastAsia" w:ascii="楷体" w:hAnsi="楷体" w:eastAsia="仿宋_GB2312" w:cs="楷体"/>
          <w:b w:val="0"/>
          <w:bCs/>
          <w:szCs w:val="32"/>
        </w:rPr>
        <w:t>加强经费报销的审核监督，确保审批程序规范，会计人员应对原始凭证进行审核和监督，不得受理不真实、不合法的原始凭证；对弄虚作假严重违法的原始凭证应予以扣留，并及时向负责人报告；应退回记载不明确、不完整的原始凭证，并要求经办人员更正补充。</w:t>
      </w:r>
    </w:p>
    <w:p w14:paraId="162219D8">
      <w:pPr>
        <w:pStyle w:val="8"/>
        <w:overflowPunct w:val="0"/>
        <w:spacing w:line="560" w:lineRule="exact"/>
        <w:ind w:firstLine="640" w:firstLineChars="200"/>
        <w:outlineLvl w:val="0"/>
        <w:rPr>
          <w:rFonts w:hint="eastAsia" w:ascii="黑体" w:hAnsi="黑体" w:eastAsia="黑体" w:cs="仿宋"/>
        </w:rPr>
      </w:pPr>
      <w:bookmarkStart w:id="174" w:name="_Toc30050"/>
      <w:r>
        <w:rPr>
          <w:rFonts w:hint="eastAsia" w:ascii="黑体" w:hAnsi="黑体" w:eastAsia="黑体" w:cs="仿宋"/>
        </w:rPr>
        <w:t>九、需要说明的问题</w:t>
      </w:r>
      <w:bookmarkEnd w:id="172"/>
      <w:bookmarkEnd w:id="173"/>
      <w:bookmarkEnd w:id="174"/>
    </w:p>
    <w:p w14:paraId="087C4AB5">
      <w:pPr>
        <w:pStyle w:val="8"/>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无。</w:t>
      </w:r>
      <w:bookmarkStart w:id="175" w:name="_Toc28005"/>
    </w:p>
    <w:p w14:paraId="2B99388C">
      <w:pPr>
        <w:pStyle w:val="8"/>
        <w:overflowPunct w:val="0"/>
        <w:spacing w:line="560" w:lineRule="exact"/>
        <w:jc w:val="left"/>
        <w:rPr>
          <w:rFonts w:hint="eastAsia" w:ascii="仿宋_GB2312" w:hAnsi="仿宋_GB2312" w:cs="仿宋_GB2312"/>
        </w:rPr>
      </w:pPr>
    </w:p>
    <w:p w14:paraId="3865B162">
      <w:pPr>
        <w:pStyle w:val="8"/>
        <w:overflowPunct w:val="0"/>
        <w:spacing w:line="560" w:lineRule="exact"/>
        <w:jc w:val="left"/>
        <w:rPr>
          <w:rFonts w:hint="eastAsia" w:ascii="仿宋_GB2312" w:hAnsi="仿宋_GB2312" w:cs="仿宋_GB2312"/>
        </w:rPr>
      </w:pPr>
    </w:p>
    <w:p w14:paraId="3F7C3AC4">
      <w:pPr>
        <w:pStyle w:val="8"/>
        <w:overflowPunct w:val="0"/>
        <w:spacing w:line="560" w:lineRule="exact"/>
        <w:jc w:val="left"/>
        <w:rPr>
          <w:rFonts w:hint="eastAsia" w:ascii="仿宋_GB2312" w:hAnsi="仿宋_GB2312" w:cs="仿宋_GB2312"/>
        </w:rPr>
      </w:pPr>
    </w:p>
    <w:p w14:paraId="58EE0063">
      <w:pPr>
        <w:pStyle w:val="8"/>
        <w:overflowPunct w:val="0"/>
        <w:spacing w:line="560" w:lineRule="exact"/>
        <w:jc w:val="left"/>
        <w:rPr>
          <w:rFonts w:hint="eastAsia" w:ascii="仿宋_GB2312" w:hAnsi="仿宋_GB2312" w:cs="仿宋_GB2312"/>
        </w:rPr>
      </w:pPr>
    </w:p>
    <w:p w14:paraId="5BC2A9C4">
      <w:pPr>
        <w:pStyle w:val="8"/>
        <w:overflowPunct w:val="0"/>
        <w:spacing w:line="560" w:lineRule="exact"/>
        <w:jc w:val="left"/>
        <w:rPr>
          <w:rFonts w:hint="eastAsia" w:ascii="仿宋_GB2312" w:hAnsi="仿宋_GB2312" w:cs="仿宋_GB2312"/>
        </w:rPr>
      </w:pPr>
    </w:p>
    <w:p w14:paraId="6B054010">
      <w:pPr>
        <w:pStyle w:val="8"/>
        <w:overflowPunct w:val="0"/>
        <w:spacing w:line="560" w:lineRule="exact"/>
        <w:jc w:val="left"/>
        <w:rPr>
          <w:rFonts w:hint="eastAsia" w:ascii="仿宋_GB2312" w:hAnsi="仿宋_GB2312" w:cs="仿宋_GB2312"/>
        </w:rPr>
      </w:pPr>
      <w:r>
        <w:rPr>
          <w:rFonts w:hint="eastAsia" w:ascii="仿宋_GB2312" w:hAnsi="仿宋_GB2312" w:cs="仿宋_GB2312"/>
        </w:rPr>
        <w:t>附件：</w:t>
      </w:r>
    </w:p>
    <w:p w14:paraId="0B16D6FC">
      <w:pPr>
        <w:pStyle w:val="8"/>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1.</w:t>
      </w:r>
      <w:bookmarkEnd w:id="175"/>
      <w:r>
        <w:rPr>
          <w:rFonts w:hint="eastAsia" w:ascii="仿宋_GB2312" w:hAnsi="仿宋_GB2312" w:cs="仿宋_GB2312"/>
        </w:rPr>
        <w:t>电费补助项目支出绩效评价评分表</w:t>
      </w:r>
    </w:p>
    <w:p w14:paraId="7EC04AFA">
      <w:pPr>
        <w:pStyle w:val="8"/>
        <w:overflowPunct w:val="0"/>
        <w:spacing w:line="560" w:lineRule="exact"/>
        <w:ind w:firstLine="640" w:firstLineChars="200"/>
        <w:rPr>
          <w:rFonts w:hint="eastAsia" w:ascii="仿宋_GB2312" w:hAnsi="仿宋_GB2312" w:cs="仿宋_GB2312"/>
        </w:rPr>
      </w:pPr>
      <w:bookmarkStart w:id="176" w:name="_Toc15958"/>
      <w:r>
        <w:rPr>
          <w:rFonts w:hint="eastAsia" w:ascii="仿宋_GB2312" w:hAnsi="仿宋_GB2312" w:cs="仿宋_GB2312"/>
        </w:rPr>
        <w:t>2.电费补助项目问题清单</w:t>
      </w:r>
    </w:p>
    <w:bookmarkEnd w:id="176"/>
    <w:p w14:paraId="42A299CC">
      <w:pPr>
        <w:pStyle w:val="14"/>
        <w:overflowPunct w:val="0"/>
        <w:spacing w:line="560" w:lineRule="exact"/>
        <w:rPr>
          <w:rFonts w:hint="eastAsia" w:ascii="仿宋" w:hAnsi="仿宋" w:eastAsia="仿宋" w:cs="仿宋"/>
          <w:sz w:val="32"/>
          <w:szCs w:val="32"/>
        </w:rPr>
      </w:pPr>
    </w:p>
    <w:p w14:paraId="2D92572A">
      <w:pPr>
        <w:pStyle w:val="14"/>
        <w:overflowPunct w:val="0"/>
        <w:spacing w:line="560" w:lineRule="exact"/>
        <w:rPr>
          <w:rFonts w:hint="eastAsia" w:ascii="仿宋_GB2312" w:hAnsi="仿宋_GB2312" w:eastAsia="仿宋_GB2312" w:cs="仿宋_GB2312"/>
          <w:sz w:val="32"/>
          <w:szCs w:val="32"/>
        </w:rPr>
      </w:pPr>
    </w:p>
    <w:p w14:paraId="2C7DFA6A">
      <w:pPr>
        <w:pStyle w:val="14"/>
        <w:overflowPunct w:val="0"/>
        <w:spacing w:line="560" w:lineRule="exact"/>
        <w:rPr>
          <w:rFonts w:hint="eastAsia" w:ascii="仿宋_GB2312" w:hAnsi="仿宋_GB2312" w:eastAsia="仿宋_GB2312" w:cs="仿宋_GB2312"/>
          <w:sz w:val="32"/>
          <w:szCs w:val="32"/>
        </w:rPr>
      </w:pPr>
    </w:p>
    <w:p w14:paraId="419ACFC5">
      <w:pPr>
        <w:pStyle w:val="14"/>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2460CC51">
      <w:pPr>
        <w:pStyle w:val="14"/>
        <w:overflowPunct w:val="0"/>
        <w:spacing w:line="560" w:lineRule="exact"/>
        <w:rPr>
          <w:rFonts w:hint="eastAsia" w:ascii="仿宋_GB2312" w:hAnsi="仿宋_GB2312" w:eastAsia="仿宋_GB2312" w:cs="仿宋_GB2312"/>
          <w:sz w:val="32"/>
          <w:szCs w:val="32"/>
        </w:rPr>
      </w:pPr>
    </w:p>
    <w:p w14:paraId="245AC9D5">
      <w:pPr>
        <w:pStyle w:val="14"/>
        <w:overflowPunct w:val="0"/>
        <w:spacing w:line="560" w:lineRule="exact"/>
        <w:rPr>
          <w:rFonts w:hint="eastAsia" w:ascii="仿宋_GB2312" w:hAnsi="仿宋_GB2312" w:eastAsia="仿宋_GB2312" w:cs="仿宋_GB2312"/>
          <w:sz w:val="32"/>
          <w:szCs w:val="32"/>
        </w:rPr>
      </w:pPr>
    </w:p>
    <w:p w14:paraId="7516AC5E">
      <w:pPr>
        <w:pStyle w:val="14"/>
        <w:overflowPunct w:val="0"/>
        <w:spacing w:line="560" w:lineRule="exact"/>
        <w:rPr>
          <w:rFonts w:hint="eastAsia" w:ascii="仿宋_GB2312" w:hAnsi="仿宋_GB2312" w:eastAsia="仿宋_GB2312" w:cs="仿宋_GB2312"/>
          <w:sz w:val="32"/>
          <w:szCs w:val="32"/>
        </w:rPr>
      </w:pPr>
    </w:p>
    <w:p w14:paraId="1606DA8F">
      <w:pPr>
        <w:pStyle w:val="14"/>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甘肃卓诚财务咨询有限公司</w:t>
      </w:r>
    </w:p>
    <w:p w14:paraId="1404ECD3">
      <w:pPr>
        <w:pStyle w:val="14"/>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06412554">
      <w:pPr>
        <w:pStyle w:val="14"/>
        <w:overflowPunct w:val="0"/>
        <w:spacing w:line="560" w:lineRule="exact"/>
        <w:ind w:firstLine="5120" w:firstLine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2024年7月31日</w:t>
      </w:r>
    </w:p>
    <w:sectPr>
      <w:pgSz w:w="11906" w:h="16838"/>
      <w:pgMar w:top="1440" w:right="1803" w:bottom="1383" w:left="1633" w:header="851" w:footer="992" w:gutter="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F7E902-6426-42F2-9118-DED7D0B421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03D0C22-6E18-49D8-9A0E-8E041A75799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DEE0EFF1-07A0-4CD0-BC80-84B8BF5970CA}"/>
  </w:font>
  <w:font w:name="楷体">
    <w:panose1 w:val="02010609060101010101"/>
    <w:charset w:val="86"/>
    <w:family w:val="modern"/>
    <w:pitch w:val="default"/>
    <w:sig w:usb0="800002BF" w:usb1="38CF7CFA" w:usb2="00000016" w:usb3="00000000" w:csb0="00040001" w:csb1="00000000"/>
    <w:embedRegular r:id="rId4" w:fontKey="{45B67836-FA13-4B9D-A82B-CC619592244C}"/>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5" w:fontKey="{7E075940-0C6F-4CAC-ACD6-225F028C27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D2F7">
    <w:pPr>
      <w:pStyle w:val="9"/>
    </w:pPr>
    <w:r>
      <w:rPr>
        <w:rFonts w:hint="eastAsia" w:ascii="黑体" w:hAnsi="黑体" w:eastAsia="黑体" w:cs="黑体"/>
      </w:rPr>
      <w:t>地址：甘肃省兰州市城关区南滨河东路5148号名城广场1栋1单元20层2016室       电话：0931-2906259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D0AFD">
    <w:pPr>
      <w:pStyle w:val="9"/>
      <w:pBdr>
        <w:top w:val="single" w:color="auto" w:sz="4" w:space="0"/>
      </w:pBdr>
      <w:jc w:val="center"/>
      <w:rPr>
        <w:rFonts w:hint="eastAsia" w:ascii="黑体" w:hAnsi="黑体" w:eastAsia="黑体" w:cs="黑体"/>
      </w:rPr>
    </w:pPr>
    <w:r>
      <w:rPr>
        <w:rFonts w:hint="eastAsia" w:ascii="黑体" w:hAnsi="黑体" w:eastAsia="黑体" w:cs="黑体"/>
      </w:rPr>
      <w:t>地址：甘肃省兰州市城关区南滨河东路5148号名城广场1栋1单元20层2016室       电话：0931-2906259</w:t>
    </w:r>
  </w:p>
  <w:p w14:paraId="0ECACF69">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68CC7">
    <w:pPr>
      <w:pStyle w:val="9"/>
      <w:pBdr>
        <w:top w:val="single" w:color="auto" w:sz="4" w:space="0"/>
      </w:pBdr>
      <w:jc w:val="center"/>
      <w:rPr>
        <w:rFonts w:hint="eastAsia" w:ascii="黑体" w:hAnsi="黑体" w:eastAsia="黑体" w:cs="黑体"/>
      </w:rPr>
    </w:pPr>
    <w:r>
      <w:rPr>
        <w:rFonts w:hint="eastAsia" w:ascii="黑体" w:hAnsi="黑体" w:eastAsia="黑体" w:cs="黑体"/>
      </w:rPr>
      <w:t>地址：甘肃省兰州市城关区南滨河东路5148号名城广场1栋1单元20层2016室       电话：0931-2906259</w:t>
    </w:r>
  </w:p>
  <w:p w14:paraId="5F46DC23">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CA568">
    <w:pPr>
      <w:pStyle w:val="9"/>
      <w:pBdr>
        <w:top w:val="single" w:color="auto" w:sz="4" w:space="0"/>
      </w:pBdr>
      <w:jc w:val="center"/>
      <w:rPr>
        <w:rFonts w:hint="eastAsia" w:ascii="黑体" w:hAnsi="黑体" w:eastAsia="黑体" w:cs="黑体"/>
      </w:rPr>
    </w:pPr>
    <w:r>
      <w:rPr>
        <w:rFonts w:hint="eastAsia" w:ascii="黑体" w:hAnsi="黑体" w:eastAsia="黑体" w:cs="黑体"/>
      </w:rPr>
      <w:t>地址：甘肃省兰州市城关区南滨河东路5148号名城广场1栋1单元20层2016室       电话：0931-2906259</w:t>
    </w:r>
  </w:p>
  <w:p w14:paraId="71EBFC82">
    <w:pPr>
      <w:pStyle w:val="9"/>
    </w:pPr>
    <w:r>
      <mc:AlternateContent>
        <mc:Choice Requires="wps">
          <w:drawing>
            <wp:anchor distT="0" distB="0" distL="114300" distR="114300" simplePos="0" relativeHeight="251659264" behindDoc="0" locked="0" layoutInCell="1" allowOverlap="1">
              <wp:simplePos x="0" y="0"/>
              <wp:positionH relativeFrom="margin">
                <wp:posOffset>2573020</wp:posOffset>
              </wp:positionH>
              <wp:positionV relativeFrom="paragraph">
                <wp:posOffset>114300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7E042">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2.6pt;margin-top:9pt;height:144pt;width:144pt;mso-position-horizontal-relative:margin;mso-wrap-style:none;z-index:251659264;mso-width-relative:page;mso-height-relative:page;" filled="f" stroked="f" coordsize="21600,21600" o:gfxdata="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e1ZgdcAAAAKAQAADwAAAAAAAAABACAAAAAiAAAAZHJzL2Rvd25yZXYueG1sUEsBAhQA&#10;FAAAAAgAh07iQK9j2DAsAgAAVQQAAA4AAAAAAAAAAQAgAAAAJgEAAGRycy9lMm9Eb2MueG1sUEsF&#10;BgAAAAAGAAYAWQEAAMQFAAAAAA==&#10;">
              <v:fill on="f" focussize="0,0"/>
              <v:stroke on="f" weight="0.5pt"/>
              <v:imagedata o:title=""/>
              <o:lock v:ext="edit" aspectratio="f"/>
              <v:textbox inset="0mm,0mm,0mm,0mm" style="mso-fit-shape-to-text:t;">
                <w:txbxContent>
                  <w:p w14:paraId="5C07E042">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15821">
    <w:pPr>
      <w:pStyle w:val="9"/>
      <w:pBdr>
        <w:top w:val="single" w:color="auto" w:sz="4" w:space="1"/>
        <w:left w:val="none" w:color="auto" w:sz="0" w:space="4"/>
        <w:bottom w:val="none" w:color="auto" w:sz="0" w:space="1"/>
        <w:right w:val="none" w:color="auto" w:sz="0" w:space="4"/>
      </w:pBdr>
      <w:spacing w:line="360" w:lineRule="auto"/>
      <w:jc w:val="both"/>
    </w:pPr>
    <w:r>
      <mc:AlternateContent>
        <mc:Choice Requires="wps">
          <w:drawing>
            <wp:anchor distT="0" distB="0" distL="114300" distR="114300" simplePos="0" relativeHeight="251660288" behindDoc="0" locked="0" layoutInCell="1" allowOverlap="1">
              <wp:simplePos x="0" y="0"/>
              <wp:positionH relativeFrom="margin">
                <wp:posOffset>2546985</wp:posOffset>
              </wp:positionH>
              <wp:positionV relativeFrom="paragraph">
                <wp:posOffset>229235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1754E">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0.55pt;margin-top:18.05pt;height:144pt;width:144pt;mso-position-horizontal-relative:margin;mso-wrap-style:none;z-index:251660288;mso-width-relative:page;mso-height-relative:page;" filled="f" stroked="f" coordsize="21600,21600" o:gfxdata="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9GUTBNYAAAAKAQAADwAAAAAAAAABACAAAAAiAAAAZHJzL2Rvd25yZXYueG1sUEsBAhQAFAAA&#10;AAgAh07iQCbVWnMqAgAAVQQAAA4AAAAAAAAAAQAgAAAAJQEAAGRycy9lMm9Eb2MueG1sUEsFBgAA&#10;AAAGAAYAWQEAAMEFAAAAAA==&#10;">
              <v:fill on="f" focussize="0,0"/>
              <v:stroke on="f" weight="0.5pt"/>
              <v:imagedata o:title=""/>
              <o:lock v:ext="edit" aspectratio="f"/>
              <v:textbox inset="0mm,0mm,0mm,0mm" style="mso-fit-shape-to-text:t;">
                <w:txbxContent>
                  <w:p w14:paraId="7811754E">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黑体" w:hAnsi="黑体" w:eastAsia="黑体" w:cs="黑体"/>
      </w:rPr>
      <w:t>地址：甘肃省兰州市城关区南滨河东路5148号名城广场1栋1单元20层2016室       电话：0931-2906259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D89EF">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BAA55">
    <w:pPr>
      <w:pStyle w:val="14"/>
      <w:pBdr>
        <w:bottom w:val="none" w:color="auto" w:sz="0" w:space="0"/>
      </w:pBdr>
    </w:pPr>
    <w:r>
      <w:rPr>
        <w:rFonts w:ascii="仿宋" w:hAnsi="仿宋" w:eastAsia="仿宋" w:cs="仿宋"/>
        <w:b/>
        <w:color w:val="000000" w:themeColor="text1"/>
        <w:u w:val="single"/>
        <w14:textFill>
          <w14:solidFill>
            <w14:schemeClr w14:val="tx1"/>
          </w14:solidFill>
        </w14:textFill>
      </w:rPr>
      <w:drawing>
        <wp:inline distT="0" distB="0" distL="114300" distR="114300">
          <wp:extent cx="407035" cy="348615"/>
          <wp:effectExtent l="0" t="0" r="12065" b="6985"/>
          <wp:docPr id="1" name="图片 1" descr="IMG_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1868"/>
                  <pic:cNvPicPr>
                    <a:picLocks noChangeAspect="1"/>
                  </pic:cNvPicPr>
                </pic:nvPicPr>
                <pic:blipFill>
                  <a:blip r:embed="rId1"/>
                  <a:stretch>
                    <a:fillRect/>
                  </a:stretch>
                </pic:blipFill>
                <pic:spPr>
                  <a:xfrm>
                    <a:off x="0" y="0"/>
                    <a:ext cx="407035" cy="348615"/>
                  </a:xfrm>
                  <a:prstGeom prst="rect">
                    <a:avLst/>
                  </a:prstGeom>
                  <a:noFill/>
                  <a:ln>
                    <a:noFill/>
                  </a:ln>
                </pic:spPr>
              </pic:pic>
            </a:graphicData>
          </a:graphic>
        </wp:inline>
      </w:drawing>
    </w:r>
    <w:r>
      <w:rPr>
        <w:rFonts w:hint="eastAsia" w:ascii="仿宋" w:hAnsi="仿宋" w:eastAsia="仿宋" w:cs="仿宋"/>
        <w:b/>
        <w:color w:val="000000" w:themeColor="text1"/>
        <w:u w:val="single"/>
        <w14:textFill>
          <w14:solidFill>
            <w14:schemeClr w14:val="tx1"/>
          </w14:solidFill>
        </w14:textFill>
      </w:rPr>
      <w:t xml:space="preserve">                                                                        绩效评价报告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8A9F">
    <w:pPr>
      <w:pStyle w:val="14"/>
      <w:pBdr>
        <w:bottom w:val="none" w:color="auto" w:sz="0" w:space="0"/>
      </w:pBdr>
    </w:pPr>
    <w:r>
      <w:rPr>
        <w:rFonts w:ascii="仿宋" w:hAnsi="仿宋" w:eastAsia="仿宋" w:cs="仿宋"/>
        <w:b/>
        <w:color w:val="000000" w:themeColor="text1"/>
        <w:u w:val="single"/>
        <w14:textFill>
          <w14:solidFill>
            <w14:schemeClr w14:val="tx1"/>
          </w14:solidFill>
        </w14:textFill>
      </w:rPr>
      <w:drawing>
        <wp:inline distT="0" distB="0" distL="114300" distR="114300">
          <wp:extent cx="407035" cy="348615"/>
          <wp:effectExtent l="0" t="0" r="12065" b="6985"/>
          <wp:docPr id="2" name="图片 2" descr="IMG_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1868"/>
                  <pic:cNvPicPr>
                    <a:picLocks noChangeAspect="1"/>
                  </pic:cNvPicPr>
                </pic:nvPicPr>
                <pic:blipFill>
                  <a:blip r:embed="rId1"/>
                  <a:stretch>
                    <a:fillRect/>
                  </a:stretch>
                </pic:blipFill>
                <pic:spPr>
                  <a:xfrm>
                    <a:off x="0" y="0"/>
                    <a:ext cx="407035" cy="348615"/>
                  </a:xfrm>
                  <a:prstGeom prst="rect">
                    <a:avLst/>
                  </a:prstGeom>
                  <a:noFill/>
                  <a:ln>
                    <a:noFill/>
                  </a:ln>
                </pic:spPr>
              </pic:pic>
            </a:graphicData>
          </a:graphic>
        </wp:inline>
      </w:drawing>
    </w:r>
    <w:r>
      <w:rPr>
        <w:rFonts w:hint="eastAsia" w:ascii="仿宋" w:hAnsi="仿宋" w:eastAsia="仿宋" w:cs="仿宋"/>
        <w:b/>
        <w:color w:val="000000" w:themeColor="text1"/>
        <w:u w:val="single"/>
        <w14:textFill>
          <w14:solidFill>
            <w14:schemeClr w14:val="tx1"/>
          </w14:solidFill>
        </w14:textFill>
      </w:rPr>
      <w:t xml:space="preserve">                                                                        绩效评价报告</w:t>
    </w:r>
  </w:p>
  <w:p w14:paraId="5DD11059">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31C50">
    <w:pPr>
      <w:pStyle w:val="14"/>
      <w:pBdr>
        <w:bottom w:val="none" w:color="auto" w:sz="0" w:space="0"/>
      </w:pBdr>
    </w:pPr>
    <w:r>
      <w:rPr>
        <w:rFonts w:ascii="仿宋" w:hAnsi="仿宋" w:eastAsia="仿宋" w:cs="仿宋"/>
        <w:b/>
        <w:color w:val="000000" w:themeColor="text1"/>
        <w:u w:val="single"/>
        <w14:textFill>
          <w14:solidFill>
            <w14:schemeClr w14:val="tx1"/>
          </w14:solidFill>
        </w14:textFill>
      </w:rPr>
      <w:drawing>
        <wp:inline distT="0" distB="0" distL="114300" distR="114300">
          <wp:extent cx="407035" cy="348615"/>
          <wp:effectExtent l="0" t="0" r="12065" b="6985"/>
          <wp:docPr id="3" name="图片 3" descr="IMG_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1868"/>
                  <pic:cNvPicPr>
                    <a:picLocks noChangeAspect="1"/>
                  </pic:cNvPicPr>
                </pic:nvPicPr>
                <pic:blipFill>
                  <a:blip r:embed="rId1"/>
                  <a:stretch>
                    <a:fillRect/>
                  </a:stretch>
                </pic:blipFill>
                <pic:spPr>
                  <a:xfrm>
                    <a:off x="0" y="0"/>
                    <a:ext cx="407035" cy="348615"/>
                  </a:xfrm>
                  <a:prstGeom prst="rect">
                    <a:avLst/>
                  </a:prstGeom>
                  <a:noFill/>
                  <a:ln>
                    <a:noFill/>
                  </a:ln>
                </pic:spPr>
              </pic:pic>
            </a:graphicData>
          </a:graphic>
        </wp:inline>
      </w:drawing>
    </w:r>
    <w:r>
      <w:rPr>
        <w:rFonts w:hint="eastAsia" w:ascii="仿宋" w:hAnsi="仿宋" w:eastAsia="仿宋" w:cs="仿宋"/>
        <w:b/>
        <w:color w:val="000000" w:themeColor="text1"/>
        <w:u w:val="single"/>
        <w14:textFill>
          <w14:solidFill>
            <w14:schemeClr w14:val="tx1"/>
          </w14:solidFill>
        </w14:textFill>
      </w:rPr>
      <w:t xml:space="preserve">                                                                        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lYmY1MTgwOGU5Yjc1ZjhiNGE5NWFhODQxN2YyNjIifQ=="/>
  </w:docVars>
  <w:rsids>
    <w:rsidRoot w:val="0F9473FE"/>
    <w:rsid w:val="0000216A"/>
    <w:rsid w:val="00024278"/>
    <w:rsid w:val="00037090"/>
    <w:rsid w:val="00046BCA"/>
    <w:rsid w:val="000518F6"/>
    <w:rsid w:val="00051C05"/>
    <w:rsid w:val="00064326"/>
    <w:rsid w:val="000643BA"/>
    <w:rsid w:val="00065073"/>
    <w:rsid w:val="000753A4"/>
    <w:rsid w:val="000A4E2C"/>
    <w:rsid w:val="000C1B1E"/>
    <w:rsid w:val="000F2060"/>
    <w:rsid w:val="000F34E0"/>
    <w:rsid w:val="00100C77"/>
    <w:rsid w:val="001104A4"/>
    <w:rsid w:val="001105B7"/>
    <w:rsid w:val="00112EEC"/>
    <w:rsid w:val="001318C8"/>
    <w:rsid w:val="00137C9D"/>
    <w:rsid w:val="00140940"/>
    <w:rsid w:val="00141CF0"/>
    <w:rsid w:val="0014363A"/>
    <w:rsid w:val="001531B6"/>
    <w:rsid w:val="0015398F"/>
    <w:rsid w:val="001552B4"/>
    <w:rsid w:val="00170334"/>
    <w:rsid w:val="00172CD5"/>
    <w:rsid w:val="00172DFF"/>
    <w:rsid w:val="00194BF7"/>
    <w:rsid w:val="001B6342"/>
    <w:rsid w:val="001C6C48"/>
    <w:rsid w:val="001D19B7"/>
    <w:rsid w:val="00203DC9"/>
    <w:rsid w:val="0020515B"/>
    <w:rsid w:val="00232042"/>
    <w:rsid w:val="002324DF"/>
    <w:rsid w:val="00246D16"/>
    <w:rsid w:val="002555FD"/>
    <w:rsid w:val="00256EBC"/>
    <w:rsid w:val="00264411"/>
    <w:rsid w:val="00267454"/>
    <w:rsid w:val="0028698A"/>
    <w:rsid w:val="00290093"/>
    <w:rsid w:val="002967A9"/>
    <w:rsid w:val="00296D38"/>
    <w:rsid w:val="002A7299"/>
    <w:rsid w:val="002C6AED"/>
    <w:rsid w:val="002D1330"/>
    <w:rsid w:val="002D789A"/>
    <w:rsid w:val="002D79DD"/>
    <w:rsid w:val="002E3891"/>
    <w:rsid w:val="002E6422"/>
    <w:rsid w:val="002F33E7"/>
    <w:rsid w:val="002F6372"/>
    <w:rsid w:val="00307F85"/>
    <w:rsid w:val="0031439E"/>
    <w:rsid w:val="00351E08"/>
    <w:rsid w:val="00353E30"/>
    <w:rsid w:val="00355885"/>
    <w:rsid w:val="00355CF4"/>
    <w:rsid w:val="003610F3"/>
    <w:rsid w:val="003631E5"/>
    <w:rsid w:val="00363DA7"/>
    <w:rsid w:val="0036744F"/>
    <w:rsid w:val="00375AD2"/>
    <w:rsid w:val="0038540D"/>
    <w:rsid w:val="003947F2"/>
    <w:rsid w:val="00395522"/>
    <w:rsid w:val="00395F53"/>
    <w:rsid w:val="003B223D"/>
    <w:rsid w:val="003B748F"/>
    <w:rsid w:val="003C0E0C"/>
    <w:rsid w:val="003D5C85"/>
    <w:rsid w:val="003F7310"/>
    <w:rsid w:val="003F742B"/>
    <w:rsid w:val="004001D5"/>
    <w:rsid w:val="00416B2C"/>
    <w:rsid w:val="00423018"/>
    <w:rsid w:val="0042328E"/>
    <w:rsid w:val="00427FB9"/>
    <w:rsid w:val="00433725"/>
    <w:rsid w:val="004349C8"/>
    <w:rsid w:val="00436D4B"/>
    <w:rsid w:val="00440370"/>
    <w:rsid w:val="004617FB"/>
    <w:rsid w:val="004718C0"/>
    <w:rsid w:val="004731A6"/>
    <w:rsid w:val="00476AA1"/>
    <w:rsid w:val="0048717A"/>
    <w:rsid w:val="00495970"/>
    <w:rsid w:val="004C148D"/>
    <w:rsid w:val="004C24F5"/>
    <w:rsid w:val="004D25FD"/>
    <w:rsid w:val="004E55D3"/>
    <w:rsid w:val="004F1576"/>
    <w:rsid w:val="005004FB"/>
    <w:rsid w:val="005035F7"/>
    <w:rsid w:val="00504267"/>
    <w:rsid w:val="005047DE"/>
    <w:rsid w:val="00514103"/>
    <w:rsid w:val="00515E36"/>
    <w:rsid w:val="0053373A"/>
    <w:rsid w:val="00533BBE"/>
    <w:rsid w:val="005344A8"/>
    <w:rsid w:val="00536626"/>
    <w:rsid w:val="005530FC"/>
    <w:rsid w:val="00571249"/>
    <w:rsid w:val="00572A18"/>
    <w:rsid w:val="005862D0"/>
    <w:rsid w:val="00597E41"/>
    <w:rsid w:val="005B0FE6"/>
    <w:rsid w:val="005C019D"/>
    <w:rsid w:val="005C09A6"/>
    <w:rsid w:val="005C259C"/>
    <w:rsid w:val="005D164E"/>
    <w:rsid w:val="005E347C"/>
    <w:rsid w:val="005F3E31"/>
    <w:rsid w:val="0061647A"/>
    <w:rsid w:val="00620CB8"/>
    <w:rsid w:val="006303E4"/>
    <w:rsid w:val="00631C33"/>
    <w:rsid w:val="00637972"/>
    <w:rsid w:val="00641904"/>
    <w:rsid w:val="0064468F"/>
    <w:rsid w:val="0065294B"/>
    <w:rsid w:val="006704C2"/>
    <w:rsid w:val="00684C32"/>
    <w:rsid w:val="006A1158"/>
    <w:rsid w:val="006A4011"/>
    <w:rsid w:val="006A471F"/>
    <w:rsid w:val="006A5198"/>
    <w:rsid w:val="006A6FA3"/>
    <w:rsid w:val="006B6EB9"/>
    <w:rsid w:val="006C0F31"/>
    <w:rsid w:val="006C55BC"/>
    <w:rsid w:val="006C56EC"/>
    <w:rsid w:val="006C5913"/>
    <w:rsid w:val="006E2763"/>
    <w:rsid w:val="006F74A7"/>
    <w:rsid w:val="0070777E"/>
    <w:rsid w:val="00736A39"/>
    <w:rsid w:val="007406DE"/>
    <w:rsid w:val="00742173"/>
    <w:rsid w:val="00742474"/>
    <w:rsid w:val="007433B6"/>
    <w:rsid w:val="0074366E"/>
    <w:rsid w:val="00746793"/>
    <w:rsid w:val="0077156E"/>
    <w:rsid w:val="007777B8"/>
    <w:rsid w:val="007805A7"/>
    <w:rsid w:val="0078446E"/>
    <w:rsid w:val="007900CD"/>
    <w:rsid w:val="0079033E"/>
    <w:rsid w:val="00794B37"/>
    <w:rsid w:val="007A100D"/>
    <w:rsid w:val="007C2CDD"/>
    <w:rsid w:val="007C7458"/>
    <w:rsid w:val="007D441F"/>
    <w:rsid w:val="007E3DA4"/>
    <w:rsid w:val="0080585C"/>
    <w:rsid w:val="00822FBE"/>
    <w:rsid w:val="00831664"/>
    <w:rsid w:val="00832BAA"/>
    <w:rsid w:val="00833033"/>
    <w:rsid w:val="008373D0"/>
    <w:rsid w:val="00843CDD"/>
    <w:rsid w:val="00852BC1"/>
    <w:rsid w:val="00866593"/>
    <w:rsid w:val="00867C57"/>
    <w:rsid w:val="00871FEC"/>
    <w:rsid w:val="008847BB"/>
    <w:rsid w:val="00885368"/>
    <w:rsid w:val="008954E9"/>
    <w:rsid w:val="008A3C4C"/>
    <w:rsid w:val="008A4C06"/>
    <w:rsid w:val="008C1FAF"/>
    <w:rsid w:val="008C37C5"/>
    <w:rsid w:val="008C5384"/>
    <w:rsid w:val="008C7D70"/>
    <w:rsid w:val="008D2AEF"/>
    <w:rsid w:val="008D6707"/>
    <w:rsid w:val="008E3D21"/>
    <w:rsid w:val="008E68A7"/>
    <w:rsid w:val="008F2B1F"/>
    <w:rsid w:val="008F3CDC"/>
    <w:rsid w:val="0092595D"/>
    <w:rsid w:val="00951D57"/>
    <w:rsid w:val="009522FA"/>
    <w:rsid w:val="00952A97"/>
    <w:rsid w:val="009532AE"/>
    <w:rsid w:val="009556AA"/>
    <w:rsid w:val="00962C53"/>
    <w:rsid w:val="00984208"/>
    <w:rsid w:val="009A5F10"/>
    <w:rsid w:val="009C488C"/>
    <w:rsid w:val="009C7579"/>
    <w:rsid w:val="00A0647F"/>
    <w:rsid w:val="00A0735D"/>
    <w:rsid w:val="00A130AA"/>
    <w:rsid w:val="00A17548"/>
    <w:rsid w:val="00A4749D"/>
    <w:rsid w:val="00A50ACF"/>
    <w:rsid w:val="00A65C51"/>
    <w:rsid w:val="00A779D6"/>
    <w:rsid w:val="00A92092"/>
    <w:rsid w:val="00A94859"/>
    <w:rsid w:val="00A95371"/>
    <w:rsid w:val="00A96209"/>
    <w:rsid w:val="00AA7F7A"/>
    <w:rsid w:val="00AE6EF7"/>
    <w:rsid w:val="00AF3AD7"/>
    <w:rsid w:val="00B0713C"/>
    <w:rsid w:val="00B07904"/>
    <w:rsid w:val="00B07C4B"/>
    <w:rsid w:val="00B14C20"/>
    <w:rsid w:val="00B2231F"/>
    <w:rsid w:val="00B31FF4"/>
    <w:rsid w:val="00B32DFF"/>
    <w:rsid w:val="00B548B6"/>
    <w:rsid w:val="00B570AE"/>
    <w:rsid w:val="00B61F9A"/>
    <w:rsid w:val="00B77331"/>
    <w:rsid w:val="00B9317B"/>
    <w:rsid w:val="00B95E7C"/>
    <w:rsid w:val="00BC1290"/>
    <w:rsid w:val="00BD3CCA"/>
    <w:rsid w:val="00BD632C"/>
    <w:rsid w:val="00C010A7"/>
    <w:rsid w:val="00C255E1"/>
    <w:rsid w:val="00C34C1C"/>
    <w:rsid w:val="00C4547F"/>
    <w:rsid w:val="00C549D0"/>
    <w:rsid w:val="00C63032"/>
    <w:rsid w:val="00C84D69"/>
    <w:rsid w:val="00CA5249"/>
    <w:rsid w:val="00CB64D6"/>
    <w:rsid w:val="00CC50D8"/>
    <w:rsid w:val="00CD504A"/>
    <w:rsid w:val="00CE12D1"/>
    <w:rsid w:val="00D05F31"/>
    <w:rsid w:val="00D37060"/>
    <w:rsid w:val="00D40F23"/>
    <w:rsid w:val="00D42B30"/>
    <w:rsid w:val="00D52BBB"/>
    <w:rsid w:val="00D71E50"/>
    <w:rsid w:val="00D71E6D"/>
    <w:rsid w:val="00D7279D"/>
    <w:rsid w:val="00D76F46"/>
    <w:rsid w:val="00D97669"/>
    <w:rsid w:val="00DC587B"/>
    <w:rsid w:val="00DC76C2"/>
    <w:rsid w:val="00DD0BB7"/>
    <w:rsid w:val="00DD753B"/>
    <w:rsid w:val="00DE6582"/>
    <w:rsid w:val="00E070C6"/>
    <w:rsid w:val="00E11E05"/>
    <w:rsid w:val="00E35CB0"/>
    <w:rsid w:val="00E64E11"/>
    <w:rsid w:val="00E67E6B"/>
    <w:rsid w:val="00E7278C"/>
    <w:rsid w:val="00EA67DA"/>
    <w:rsid w:val="00EB0813"/>
    <w:rsid w:val="00EB3E1E"/>
    <w:rsid w:val="00ED264E"/>
    <w:rsid w:val="00ED2CC9"/>
    <w:rsid w:val="00ED629E"/>
    <w:rsid w:val="00EE1878"/>
    <w:rsid w:val="00EE1E54"/>
    <w:rsid w:val="00EE2984"/>
    <w:rsid w:val="00F1037C"/>
    <w:rsid w:val="00F12EF7"/>
    <w:rsid w:val="00F613D1"/>
    <w:rsid w:val="00F62C47"/>
    <w:rsid w:val="00F7424A"/>
    <w:rsid w:val="00F772C2"/>
    <w:rsid w:val="00F80F07"/>
    <w:rsid w:val="00F835CD"/>
    <w:rsid w:val="00F97680"/>
    <w:rsid w:val="00FA6867"/>
    <w:rsid w:val="00FB4934"/>
    <w:rsid w:val="00FD1277"/>
    <w:rsid w:val="00FD6444"/>
    <w:rsid w:val="024141DC"/>
    <w:rsid w:val="031318D1"/>
    <w:rsid w:val="03B94246"/>
    <w:rsid w:val="03C2759E"/>
    <w:rsid w:val="03E97283"/>
    <w:rsid w:val="045645C0"/>
    <w:rsid w:val="058A237B"/>
    <w:rsid w:val="06475B39"/>
    <w:rsid w:val="06CD5526"/>
    <w:rsid w:val="06E25862"/>
    <w:rsid w:val="07140A9A"/>
    <w:rsid w:val="07FE1FF0"/>
    <w:rsid w:val="083329D8"/>
    <w:rsid w:val="087072CA"/>
    <w:rsid w:val="08AB0275"/>
    <w:rsid w:val="08C33641"/>
    <w:rsid w:val="08F22909"/>
    <w:rsid w:val="08F75C9D"/>
    <w:rsid w:val="096A282C"/>
    <w:rsid w:val="09B434E5"/>
    <w:rsid w:val="09F53119"/>
    <w:rsid w:val="0A4A5BF8"/>
    <w:rsid w:val="0AE76F27"/>
    <w:rsid w:val="0BD460C1"/>
    <w:rsid w:val="0BF17FA9"/>
    <w:rsid w:val="0C434FF4"/>
    <w:rsid w:val="0C890F59"/>
    <w:rsid w:val="0D9A262A"/>
    <w:rsid w:val="0E170E01"/>
    <w:rsid w:val="0F9473FE"/>
    <w:rsid w:val="0FF03D3B"/>
    <w:rsid w:val="10D92909"/>
    <w:rsid w:val="11205904"/>
    <w:rsid w:val="1133610C"/>
    <w:rsid w:val="116B653C"/>
    <w:rsid w:val="120073C8"/>
    <w:rsid w:val="125C110E"/>
    <w:rsid w:val="125D10BB"/>
    <w:rsid w:val="12694F68"/>
    <w:rsid w:val="12700720"/>
    <w:rsid w:val="12C51DA8"/>
    <w:rsid w:val="13071A5B"/>
    <w:rsid w:val="130F5021"/>
    <w:rsid w:val="13282DDB"/>
    <w:rsid w:val="132C6ADB"/>
    <w:rsid w:val="139D5005"/>
    <w:rsid w:val="142D5185"/>
    <w:rsid w:val="1430449D"/>
    <w:rsid w:val="14DF373A"/>
    <w:rsid w:val="1608508A"/>
    <w:rsid w:val="16A05998"/>
    <w:rsid w:val="16D572E4"/>
    <w:rsid w:val="17401E27"/>
    <w:rsid w:val="178E68E1"/>
    <w:rsid w:val="17B111EE"/>
    <w:rsid w:val="17D44FBD"/>
    <w:rsid w:val="17D86A90"/>
    <w:rsid w:val="187769F1"/>
    <w:rsid w:val="19654911"/>
    <w:rsid w:val="19871A5C"/>
    <w:rsid w:val="1A9E3225"/>
    <w:rsid w:val="1BAA299A"/>
    <w:rsid w:val="1C7E157C"/>
    <w:rsid w:val="1CA81C4F"/>
    <w:rsid w:val="1D006694"/>
    <w:rsid w:val="1E9159EE"/>
    <w:rsid w:val="1EA571D7"/>
    <w:rsid w:val="1EA96F39"/>
    <w:rsid w:val="1F037124"/>
    <w:rsid w:val="1F673C24"/>
    <w:rsid w:val="20232D1B"/>
    <w:rsid w:val="20D203BB"/>
    <w:rsid w:val="226D6F9C"/>
    <w:rsid w:val="22B834CC"/>
    <w:rsid w:val="22BA6C58"/>
    <w:rsid w:val="22F977E7"/>
    <w:rsid w:val="23D30D7C"/>
    <w:rsid w:val="24B3368D"/>
    <w:rsid w:val="24DB6B7A"/>
    <w:rsid w:val="24FF4DBF"/>
    <w:rsid w:val="256D300D"/>
    <w:rsid w:val="258C32D8"/>
    <w:rsid w:val="25D9654E"/>
    <w:rsid w:val="26C47DB8"/>
    <w:rsid w:val="277C2B6C"/>
    <w:rsid w:val="27EC7E96"/>
    <w:rsid w:val="28184F18"/>
    <w:rsid w:val="28BA659C"/>
    <w:rsid w:val="292B4045"/>
    <w:rsid w:val="2A7F50CE"/>
    <w:rsid w:val="2B277B63"/>
    <w:rsid w:val="2B322BF8"/>
    <w:rsid w:val="2B9B5117"/>
    <w:rsid w:val="2C4D184B"/>
    <w:rsid w:val="2CB02D9F"/>
    <w:rsid w:val="2CE52E0A"/>
    <w:rsid w:val="2D637948"/>
    <w:rsid w:val="2D684AB0"/>
    <w:rsid w:val="2DC51834"/>
    <w:rsid w:val="2DDA637C"/>
    <w:rsid w:val="2E3A29A3"/>
    <w:rsid w:val="2EC7583D"/>
    <w:rsid w:val="2F0A59C4"/>
    <w:rsid w:val="30F027A5"/>
    <w:rsid w:val="32076F12"/>
    <w:rsid w:val="321E6765"/>
    <w:rsid w:val="32545E6A"/>
    <w:rsid w:val="32B1544F"/>
    <w:rsid w:val="32F075DE"/>
    <w:rsid w:val="336851BD"/>
    <w:rsid w:val="339B25AB"/>
    <w:rsid w:val="33CF0D98"/>
    <w:rsid w:val="348C146E"/>
    <w:rsid w:val="34F27CC6"/>
    <w:rsid w:val="35A95619"/>
    <w:rsid w:val="35F95F98"/>
    <w:rsid w:val="373B04F2"/>
    <w:rsid w:val="37820855"/>
    <w:rsid w:val="378C532A"/>
    <w:rsid w:val="38830D8A"/>
    <w:rsid w:val="38C45C47"/>
    <w:rsid w:val="3A0379ED"/>
    <w:rsid w:val="3A375EC4"/>
    <w:rsid w:val="3A49589C"/>
    <w:rsid w:val="3A5C534F"/>
    <w:rsid w:val="3A6B1ECF"/>
    <w:rsid w:val="3A906225"/>
    <w:rsid w:val="3BF42446"/>
    <w:rsid w:val="3C06542B"/>
    <w:rsid w:val="3C232A14"/>
    <w:rsid w:val="3C243C4B"/>
    <w:rsid w:val="3C6E1044"/>
    <w:rsid w:val="3CB054DF"/>
    <w:rsid w:val="3CD23946"/>
    <w:rsid w:val="3D261A25"/>
    <w:rsid w:val="3E1D2536"/>
    <w:rsid w:val="3E5A3954"/>
    <w:rsid w:val="3E697A2D"/>
    <w:rsid w:val="3ED45096"/>
    <w:rsid w:val="40692574"/>
    <w:rsid w:val="407927B7"/>
    <w:rsid w:val="40B11F25"/>
    <w:rsid w:val="40B8336F"/>
    <w:rsid w:val="41011831"/>
    <w:rsid w:val="41476C40"/>
    <w:rsid w:val="42C321E3"/>
    <w:rsid w:val="435B2AD7"/>
    <w:rsid w:val="43E65A72"/>
    <w:rsid w:val="440C7F8D"/>
    <w:rsid w:val="4428109E"/>
    <w:rsid w:val="445F69EB"/>
    <w:rsid w:val="44CF424F"/>
    <w:rsid w:val="44FE7ACA"/>
    <w:rsid w:val="454F4568"/>
    <w:rsid w:val="4550785F"/>
    <w:rsid w:val="45706814"/>
    <w:rsid w:val="45AB4E37"/>
    <w:rsid w:val="45B707FB"/>
    <w:rsid w:val="45BE1574"/>
    <w:rsid w:val="46004CC6"/>
    <w:rsid w:val="463A607F"/>
    <w:rsid w:val="46B721AC"/>
    <w:rsid w:val="46CB1893"/>
    <w:rsid w:val="46E23F0F"/>
    <w:rsid w:val="46F63507"/>
    <w:rsid w:val="46F96E62"/>
    <w:rsid w:val="47207120"/>
    <w:rsid w:val="477B2FAE"/>
    <w:rsid w:val="483B5A4C"/>
    <w:rsid w:val="485602DB"/>
    <w:rsid w:val="490002A0"/>
    <w:rsid w:val="494122E2"/>
    <w:rsid w:val="49F22E5E"/>
    <w:rsid w:val="4A133393"/>
    <w:rsid w:val="4A7A052A"/>
    <w:rsid w:val="4AB06881"/>
    <w:rsid w:val="4AB06E12"/>
    <w:rsid w:val="4AB32D0C"/>
    <w:rsid w:val="4AE96514"/>
    <w:rsid w:val="4B231CEA"/>
    <w:rsid w:val="4B286C8B"/>
    <w:rsid w:val="4BA64472"/>
    <w:rsid w:val="4C306A18"/>
    <w:rsid w:val="4CAA463D"/>
    <w:rsid w:val="4CEC18C2"/>
    <w:rsid w:val="4DB115E5"/>
    <w:rsid w:val="4FCE631F"/>
    <w:rsid w:val="4FD5108C"/>
    <w:rsid w:val="4FDA4D75"/>
    <w:rsid w:val="512824DF"/>
    <w:rsid w:val="520B327F"/>
    <w:rsid w:val="52450A6B"/>
    <w:rsid w:val="530A5A72"/>
    <w:rsid w:val="531A233B"/>
    <w:rsid w:val="539C1B4C"/>
    <w:rsid w:val="53C1284C"/>
    <w:rsid w:val="540C51E5"/>
    <w:rsid w:val="54602A07"/>
    <w:rsid w:val="549728DF"/>
    <w:rsid w:val="54AA7074"/>
    <w:rsid w:val="54AF69C2"/>
    <w:rsid w:val="54B06A32"/>
    <w:rsid w:val="54E52762"/>
    <w:rsid w:val="54EA5CFF"/>
    <w:rsid w:val="55444E7D"/>
    <w:rsid w:val="55743D0D"/>
    <w:rsid w:val="55D622FA"/>
    <w:rsid w:val="55EB5D70"/>
    <w:rsid w:val="56314DDD"/>
    <w:rsid w:val="56841443"/>
    <w:rsid w:val="56AF292A"/>
    <w:rsid w:val="56BE6D1E"/>
    <w:rsid w:val="57114DA6"/>
    <w:rsid w:val="574330DD"/>
    <w:rsid w:val="578E547B"/>
    <w:rsid w:val="57BA3C8B"/>
    <w:rsid w:val="587A4EC7"/>
    <w:rsid w:val="5A1C2DE0"/>
    <w:rsid w:val="5A605BC3"/>
    <w:rsid w:val="5B2801B6"/>
    <w:rsid w:val="5B337230"/>
    <w:rsid w:val="5B6A103A"/>
    <w:rsid w:val="5B7250DA"/>
    <w:rsid w:val="5B7B6F90"/>
    <w:rsid w:val="5BC92176"/>
    <w:rsid w:val="5BCC5A39"/>
    <w:rsid w:val="5C0C22DA"/>
    <w:rsid w:val="5CCF29EE"/>
    <w:rsid w:val="5D0C0942"/>
    <w:rsid w:val="5D4D151D"/>
    <w:rsid w:val="5D5C1A81"/>
    <w:rsid w:val="5E215BF2"/>
    <w:rsid w:val="5E681402"/>
    <w:rsid w:val="5EF872DF"/>
    <w:rsid w:val="60A72DA9"/>
    <w:rsid w:val="61887833"/>
    <w:rsid w:val="61B32201"/>
    <w:rsid w:val="62894AA4"/>
    <w:rsid w:val="62D957B2"/>
    <w:rsid w:val="63005858"/>
    <w:rsid w:val="640115C4"/>
    <w:rsid w:val="65527A8B"/>
    <w:rsid w:val="65D06126"/>
    <w:rsid w:val="6604433E"/>
    <w:rsid w:val="66A15EC8"/>
    <w:rsid w:val="66A851F0"/>
    <w:rsid w:val="66F75934"/>
    <w:rsid w:val="67746BAD"/>
    <w:rsid w:val="68807C45"/>
    <w:rsid w:val="69A41DA4"/>
    <w:rsid w:val="69FA2D97"/>
    <w:rsid w:val="6A10235D"/>
    <w:rsid w:val="6A3C4E7F"/>
    <w:rsid w:val="6AF80C0A"/>
    <w:rsid w:val="6B9D61A3"/>
    <w:rsid w:val="6BAA0FA6"/>
    <w:rsid w:val="6D2D3E5E"/>
    <w:rsid w:val="6DEA788D"/>
    <w:rsid w:val="6E2C310F"/>
    <w:rsid w:val="6E433D4C"/>
    <w:rsid w:val="6ED83431"/>
    <w:rsid w:val="6FC00ECA"/>
    <w:rsid w:val="6FCA5E2A"/>
    <w:rsid w:val="6FDA2167"/>
    <w:rsid w:val="70593D8C"/>
    <w:rsid w:val="705D2CAC"/>
    <w:rsid w:val="70D40212"/>
    <w:rsid w:val="71796A7B"/>
    <w:rsid w:val="71C34851"/>
    <w:rsid w:val="71EC2296"/>
    <w:rsid w:val="722D639D"/>
    <w:rsid w:val="723B19A6"/>
    <w:rsid w:val="72DB17DE"/>
    <w:rsid w:val="738B2CF1"/>
    <w:rsid w:val="73B73DD2"/>
    <w:rsid w:val="73EF3D7E"/>
    <w:rsid w:val="73FB02E9"/>
    <w:rsid w:val="74BB61F3"/>
    <w:rsid w:val="74E76ED0"/>
    <w:rsid w:val="7517271E"/>
    <w:rsid w:val="751E4025"/>
    <w:rsid w:val="75E05C86"/>
    <w:rsid w:val="760D4365"/>
    <w:rsid w:val="76651342"/>
    <w:rsid w:val="7705705D"/>
    <w:rsid w:val="770957CF"/>
    <w:rsid w:val="786077DD"/>
    <w:rsid w:val="79050385"/>
    <w:rsid w:val="795B5B2F"/>
    <w:rsid w:val="79976D4D"/>
    <w:rsid w:val="79AB0441"/>
    <w:rsid w:val="7AD419FF"/>
    <w:rsid w:val="7B5F3D7C"/>
    <w:rsid w:val="7BE944F5"/>
    <w:rsid w:val="7C220811"/>
    <w:rsid w:val="7C367028"/>
    <w:rsid w:val="7D0421BC"/>
    <w:rsid w:val="7D367A2D"/>
    <w:rsid w:val="7D635D0C"/>
    <w:rsid w:val="7F042647"/>
    <w:rsid w:val="7F3D0469"/>
    <w:rsid w:val="7F4719A2"/>
    <w:rsid w:val="7FE2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unhideWhenUsed/>
    <w:qFormat/>
    <w:uiPriority w:val="0"/>
    <w:pPr>
      <w:keepNext/>
      <w:keepLines/>
      <w:spacing w:line="360" w:lineRule="auto"/>
      <w:ind w:firstLine="200" w:firstLineChars="200"/>
      <w:outlineLvl w:val="1"/>
    </w:pPr>
    <w:rPr>
      <w:rFonts w:ascii="Arial" w:hAnsi="Arial" w:eastAsia="仿宋"/>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6"/>
    <w:basedOn w:val="1"/>
    <w:next w:val="1"/>
    <w:qFormat/>
    <w:uiPriority w:val="9"/>
    <w:pPr>
      <w:keepNext/>
      <w:keepLines/>
      <w:spacing w:line="360" w:lineRule="auto"/>
      <w:outlineLvl w:val="5"/>
    </w:pPr>
    <w:rPr>
      <w:rFonts w:ascii="Cambria" w:hAnsi="Cambria" w:cs="Times New Roman"/>
      <w:bCs/>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ind w:firstLine="420" w:firstLineChars="200"/>
    </w:pPr>
  </w:style>
  <w:style w:type="paragraph" w:styleId="7">
    <w:name w:val="annotation text"/>
    <w:basedOn w:val="1"/>
    <w:link w:val="34"/>
    <w:qFormat/>
    <w:uiPriority w:val="0"/>
    <w:pPr>
      <w:jc w:val="left"/>
    </w:pPr>
  </w:style>
  <w:style w:type="paragraph" w:styleId="8">
    <w:name w:val="Body Text"/>
    <w:basedOn w:val="1"/>
    <w:next w:val="9"/>
    <w:link w:val="43"/>
    <w:qFormat/>
    <w:uiPriority w:val="1"/>
    <w:rPr>
      <w:rFonts w:eastAsia="仿宋_GB2312"/>
      <w:sz w:val="32"/>
      <w:szCs w:val="32"/>
    </w:rPr>
  </w:style>
  <w:style w:type="paragraph" w:styleId="9">
    <w:name w:val="footer"/>
    <w:basedOn w:val="1"/>
    <w:link w:val="32"/>
    <w:qFormat/>
    <w:uiPriority w:val="99"/>
    <w:pPr>
      <w:tabs>
        <w:tab w:val="center" w:pos="4153"/>
        <w:tab w:val="right" w:pos="8306"/>
      </w:tabs>
      <w:snapToGrid w:val="0"/>
      <w:jc w:val="left"/>
    </w:pPr>
    <w:rPr>
      <w:sz w:val="18"/>
    </w:rPr>
  </w:style>
  <w:style w:type="paragraph" w:styleId="10">
    <w:name w:val="toc 3"/>
    <w:basedOn w:val="1"/>
    <w:next w:val="1"/>
    <w:qFormat/>
    <w:uiPriority w:val="0"/>
    <w:pPr>
      <w:ind w:left="840" w:leftChars="400"/>
    </w:pPr>
  </w:style>
  <w:style w:type="paragraph" w:styleId="11">
    <w:name w:val="Body Text Indent 2"/>
    <w:basedOn w:val="1"/>
    <w:next w:val="12"/>
    <w:qFormat/>
    <w:uiPriority w:val="0"/>
    <w:pPr>
      <w:spacing w:after="120" w:line="480" w:lineRule="auto"/>
      <w:ind w:left="420" w:leftChars="200"/>
    </w:pPr>
    <w:rPr>
      <w:rFonts w:ascii="Calibri" w:hAnsi="Calibri" w:eastAsia="宋体"/>
    </w:rPr>
  </w:style>
  <w:style w:type="paragraph" w:styleId="12">
    <w:name w:val="toc 9"/>
    <w:basedOn w:val="1"/>
    <w:next w:val="1"/>
    <w:qFormat/>
    <w:uiPriority w:val="0"/>
    <w:pPr>
      <w:wordWrap w:val="0"/>
      <w:ind w:left="2975"/>
    </w:pPr>
    <w:rPr>
      <w:rFonts w:ascii="Calibri" w:hAnsi="Calibri" w:eastAsia="宋体" w:cs="Times New Roman"/>
    </w:rPr>
  </w:style>
  <w:style w:type="paragraph" w:styleId="13">
    <w:name w:val="Balloon Text"/>
    <w:basedOn w:val="1"/>
    <w:link w:val="36"/>
    <w:semiHidden/>
    <w:unhideWhenUsed/>
    <w:qFormat/>
    <w:uiPriority w:val="0"/>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index 1"/>
    <w:basedOn w:val="1"/>
    <w:next w:val="1"/>
    <w:qFormat/>
    <w:uiPriority w:val="0"/>
  </w:style>
  <w:style w:type="paragraph" w:styleId="18">
    <w:name w:val="annotation subject"/>
    <w:basedOn w:val="7"/>
    <w:next w:val="7"/>
    <w:link w:val="35"/>
    <w:semiHidden/>
    <w:unhideWhenUsed/>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annotation reference"/>
    <w:basedOn w:val="21"/>
    <w:qFormat/>
    <w:uiPriority w:val="0"/>
    <w:rPr>
      <w:sz w:val="21"/>
      <w:szCs w:val="21"/>
    </w:rPr>
  </w:style>
  <w:style w:type="paragraph" w:customStyle="1" w:styleId="24">
    <w:name w:val="正文文本缩进 21"/>
    <w:basedOn w:val="1"/>
    <w:next w:val="14"/>
    <w:qFormat/>
    <w:uiPriority w:val="0"/>
    <w:pPr>
      <w:spacing w:line="480" w:lineRule="auto"/>
      <w:ind w:left="420" w:leftChars="200"/>
    </w:pPr>
  </w:style>
  <w:style w:type="paragraph" w:customStyle="1" w:styleId="25">
    <w:name w:val="样式  + 首行缩进:  2 字符"/>
    <w:basedOn w:val="1"/>
    <w:qFormat/>
    <w:uiPriority w:val="0"/>
    <w:pPr>
      <w:adjustRightInd w:val="0"/>
      <w:snapToGrid w:val="0"/>
      <w:ind w:firstLine="480"/>
    </w:pPr>
    <w:rPr>
      <w:kern w:val="0"/>
      <w:sz w:val="24"/>
    </w:rPr>
  </w:style>
  <w:style w:type="paragraph" w:styleId="26">
    <w:name w:val="List Paragraph"/>
    <w:basedOn w:val="1"/>
    <w:qFormat/>
    <w:uiPriority w:val="99"/>
    <w:pPr>
      <w:ind w:firstLine="420" w:firstLineChars="200"/>
    </w:p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0">
    <w:name w:val="标题 1 字符"/>
    <w:basedOn w:val="21"/>
    <w:link w:val="2"/>
    <w:qFormat/>
    <w:uiPriority w:val="0"/>
    <w:rPr>
      <w:rFonts w:asciiTheme="minorHAnsi" w:hAnsiTheme="minorHAnsi" w:eastAsiaTheme="minorEastAsia" w:cstheme="minorBidi"/>
      <w:b/>
      <w:bCs/>
      <w:kern w:val="44"/>
      <w:sz w:val="44"/>
      <w:szCs w:val="44"/>
    </w:rPr>
  </w:style>
  <w:style w:type="character" w:customStyle="1" w:styleId="31">
    <w:name w:val="标题 2 字符"/>
    <w:link w:val="3"/>
    <w:qFormat/>
    <w:uiPriority w:val="0"/>
    <w:rPr>
      <w:rFonts w:ascii="Arial" w:hAnsi="Arial" w:eastAsia="仿宋"/>
      <w:b/>
      <w:sz w:val="32"/>
    </w:rPr>
  </w:style>
  <w:style w:type="character" w:customStyle="1" w:styleId="32">
    <w:name w:val="页脚 字符"/>
    <w:basedOn w:val="21"/>
    <w:link w:val="9"/>
    <w:qFormat/>
    <w:uiPriority w:val="99"/>
    <w:rPr>
      <w:rFonts w:asciiTheme="minorHAnsi" w:hAnsiTheme="minorHAnsi" w:eastAsiaTheme="minorEastAsia" w:cstheme="minorBidi"/>
      <w:kern w:val="2"/>
      <w:sz w:val="18"/>
      <w:szCs w:val="22"/>
    </w:rPr>
  </w:style>
  <w:style w:type="character" w:customStyle="1" w:styleId="33">
    <w:name w:val="font11"/>
    <w:basedOn w:val="21"/>
    <w:qFormat/>
    <w:uiPriority w:val="0"/>
    <w:rPr>
      <w:rFonts w:hint="eastAsia" w:ascii="宋体" w:hAnsi="宋体" w:eastAsia="宋体" w:cs="宋体"/>
      <w:color w:val="000000"/>
      <w:sz w:val="20"/>
      <w:szCs w:val="20"/>
      <w:u w:val="none"/>
    </w:rPr>
  </w:style>
  <w:style w:type="character" w:customStyle="1" w:styleId="34">
    <w:name w:val="批注文字 字符"/>
    <w:basedOn w:val="21"/>
    <w:link w:val="7"/>
    <w:qFormat/>
    <w:uiPriority w:val="0"/>
    <w:rPr>
      <w:rFonts w:asciiTheme="minorHAnsi" w:hAnsiTheme="minorHAnsi" w:eastAsiaTheme="minorEastAsia" w:cstheme="minorBidi"/>
      <w:kern w:val="2"/>
      <w:sz w:val="21"/>
      <w:szCs w:val="22"/>
    </w:rPr>
  </w:style>
  <w:style w:type="character" w:customStyle="1" w:styleId="35">
    <w:name w:val="批注主题 字符"/>
    <w:basedOn w:val="34"/>
    <w:link w:val="18"/>
    <w:semiHidden/>
    <w:qFormat/>
    <w:uiPriority w:val="0"/>
    <w:rPr>
      <w:rFonts w:asciiTheme="minorHAnsi" w:hAnsiTheme="minorHAnsi" w:eastAsiaTheme="minorEastAsia" w:cstheme="minorBidi"/>
      <w:b/>
      <w:bCs/>
      <w:kern w:val="2"/>
      <w:sz w:val="21"/>
      <w:szCs w:val="22"/>
    </w:rPr>
  </w:style>
  <w:style w:type="character" w:customStyle="1" w:styleId="36">
    <w:name w:val="批注框文本 字符"/>
    <w:basedOn w:val="21"/>
    <w:link w:val="13"/>
    <w:semiHidden/>
    <w:qFormat/>
    <w:uiPriority w:val="0"/>
    <w:rPr>
      <w:rFonts w:asciiTheme="minorHAnsi" w:hAnsiTheme="minorHAnsi" w:eastAsiaTheme="minorEastAsia" w:cstheme="minorBidi"/>
      <w:kern w:val="2"/>
      <w:sz w:val="18"/>
      <w:szCs w:val="18"/>
    </w:rPr>
  </w:style>
  <w:style w:type="character" w:customStyle="1" w:styleId="37">
    <w:name w:val="font41"/>
    <w:basedOn w:val="21"/>
    <w:qFormat/>
    <w:uiPriority w:val="0"/>
    <w:rPr>
      <w:rFonts w:hint="default" w:ascii="Arial" w:hAnsi="Arial" w:cs="Arial"/>
      <w:color w:val="000000"/>
      <w:sz w:val="20"/>
      <w:szCs w:val="20"/>
      <w:u w:val="none"/>
    </w:rPr>
  </w:style>
  <w:style w:type="character" w:customStyle="1" w:styleId="38">
    <w:name w:val="font21"/>
    <w:basedOn w:val="21"/>
    <w:qFormat/>
    <w:uiPriority w:val="0"/>
    <w:rPr>
      <w:rFonts w:hint="eastAsia" w:ascii="宋体" w:hAnsi="宋体" w:eastAsia="宋体" w:cs="宋体"/>
      <w:color w:val="000000"/>
      <w:sz w:val="20"/>
      <w:szCs w:val="20"/>
      <w:u w:val="none"/>
    </w:rPr>
  </w:style>
  <w:style w:type="character" w:customStyle="1" w:styleId="39">
    <w:name w:val="标题 2 字符1"/>
    <w:link w:val="3"/>
    <w:qFormat/>
    <w:uiPriority w:val="0"/>
    <w:rPr>
      <w:rFonts w:ascii="Arial" w:hAnsi="Arial" w:eastAsia="仿宋"/>
      <w:b/>
      <w:sz w:val="32"/>
    </w:rPr>
  </w:style>
  <w:style w:type="paragraph" w:customStyle="1" w:styleId="40">
    <w:name w:val="A1"/>
    <w:basedOn w:val="1"/>
    <w:link w:val="41"/>
    <w:qFormat/>
    <w:uiPriority w:val="0"/>
    <w:pPr>
      <w:tabs>
        <w:tab w:val="left" w:pos="849"/>
      </w:tabs>
      <w:spacing w:line="556" w:lineRule="exact"/>
      <w:ind w:left="640"/>
      <w:outlineLvl w:val="0"/>
    </w:pPr>
    <w:rPr>
      <w:rFonts w:ascii="黑体" w:hAnsi="黑体" w:eastAsia="黑体" w:cs="黑体"/>
      <w:sz w:val="32"/>
      <w:szCs w:val="32"/>
    </w:rPr>
  </w:style>
  <w:style w:type="character" w:customStyle="1" w:styleId="41">
    <w:name w:val="A1 字符"/>
    <w:basedOn w:val="21"/>
    <w:link w:val="40"/>
    <w:qFormat/>
    <w:uiPriority w:val="0"/>
    <w:rPr>
      <w:rFonts w:ascii="黑体" w:hAnsi="黑体" w:eastAsia="黑体" w:cs="黑体"/>
      <w:kern w:val="2"/>
      <w:sz w:val="32"/>
      <w:szCs w:val="32"/>
    </w:rPr>
  </w:style>
  <w:style w:type="paragraph" w:customStyle="1" w:styleId="42">
    <w:name w:val="A2"/>
    <w:basedOn w:val="8"/>
    <w:link w:val="44"/>
    <w:qFormat/>
    <w:uiPriority w:val="0"/>
    <w:pPr>
      <w:spacing w:line="556" w:lineRule="exact"/>
      <w:ind w:firstLine="643" w:firstLineChars="200"/>
      <w:outlineLvl w:val="1"/>
    </w:pPr>
    <w:rPr>
      <w:rFonts w:ascii="楷体" w:hAnsi="楷体" w:eastAsia="楷体" w:cs="楷体"/>
      <w:b/>
      <w:bCs/>
    </w:rPr>
  </w:style>
  <w:style w:type="character" w:customStyle="1" w:styleId="43">
    <w:name w:val="正文文本 字符"/>
    <w:basedOn w:val="21"/>
    <w:link w:val="8"/>
    <w:qFormat/>
    <w:uiPriority w:val="1"/>
    <w:rPr>
      <w:rFonts w:eastAsia="仿宋_GB2312" w:asciiTheme="minorHAnsi" w:hAnsiTheme="minorHAnsi" w:cstheme="minorBidi"/>
      <w:kern w:val="2"/>
      <w:sz w:val="32"/>
      <w:szCs w:val="32"/>
    </w:rPr>
  </w:style>
  <w:style w:type="character" w:customStyle="1" w:styleId="44">
    <w:name w:val="A2 字符"/>
    <w:basedOn w:val="43"/>
    <w:link w:val="42"/>
    <w:qFormat/>
    <w:uiPriority w:val="0"/>
    <w:rPr>
      <w:rFonts w:ascii="楷体" w:hAnsi="楷体" w:eastAsia="楷体" w:cs="楷体"/>
      <w:b/>
      <w:bCs/>
      <w:kern w:val="2"/>
      <w:sz w:val="32"/>
      <w:szCs w:val="32"/>
    </w:rPr>
  </w:style>
  <w:style w:type="paragraph" w:customStyle="1" w:styleId="45">
    <w:name w:val="样式1"/>
    <w:basedOn w:val="8"/>
    <w:link w:val="46"/>
    <w:qFormat/>
    <w:uiPriority w:val="0"/>
    <w:pPr>
      <w:spacing w:line="560" w:lineRule="exact"/>
      <w:ind w:firstLine="200" w:firstLineChars="200"/>
    </w:pPr>
    <w:rPr>
      <w:rFonts w:ascii="仿宋_GB2312" w:hAnsi="仿宋_GB2312" w:cs="仿宋_GB2312"/>
    </w:rPr>
  </w:style>
  <w:style w:type="character" w:customStyle="1" w:styleId="46">
    <w:name w:val="样式1 字符"/>
    <w:basedOn w:val="43"/>
    <w:link w:val="45"/>
    <w:qFormat/>
    <w:uiPriority w:val="0"/>
    <w:rPr>
      <w:rFonts w:ascii="仿宋_GB2312" w:hAnsi="仿宋_GB2312" w:eastAsia="仿宋_GB2312" w:cs="仿宋_GB2312"/>
      <w:kern w:val="2"/>
      <w:sz w:val="32"/>
      <w:szCs w:val="32"/>
    </w:rPr>
  </w:style>
  <w:style w:type="paragraph" w:customStyle="1" w:styleId="47">
    <w:name w:val="A4"/>
    <w:basedOn w:val="45"/>
    <w:link w:val="48"/>
    <w:qFormat/>
    <w:uiPriority w:val="0"/>
    <w:pPr>
      <w:ind w:firstLine="640"/>
    </w:pPr>
  </w:style>
  <w:style w:type="character" w:customStyle="1" w:styleId="48">
    <w:name w:val="A4 字符"/>
    <w:basedOn w:val="46"/>
    <w:link w:val="47"/>
    <w:qFormat/>
    <w:uiPriority w:val="0"/>
    <w:rPr>
      <w:rFonts w:ascii="仿宋_GB2312" w:hAnsi="仿宋_GB2312" w:eastAsia="仿宋_GB2312" w:cs="仿宋_GB2312"/>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t>       </a:t>
            </a:r>
            <a:r>
              <a:rPr lang="zh-CN"/>
              <a:t>电费补助项目绩效评价指标得分情况</a:t>
            </a:r>
            <a:endParaRPr lang="zh-CN"/>
          </a:p>
        </c:rich>
      </c:tx>
      <c:layout>
        <c:manualLayout>
          <c:xMode val="edge"/>
          <c:yMode val="edge"/>
          <c:x val="0.218101590418557"/>
          <c:y val="0.0201013120536981"/>
        </c:manualLayout>
      </c:layout>
      <c:overlay val="0"/>
      <c:spPr>
        <a:noFill/>
        <a:ln>
          <a:noFill/>
        </a:ln>
        <a:effectLst/>
      </c:spPr>
    </c:title>
    <c:autoTitleDeleted val="0"/>
    <c:plotArea>
      <c:layout>
        <c:manualLayout>
          <c:layoutTarget val="inner"/>
          <c:xMode val="edge"/>
          <c:yMode val="edge"/>
          <c:x val="0.121961347497871"/>
          <c:y val="0.124365532381998"/>
          <c:w val="0.8337"/>
          <c:h val="0.5763"/>
        </c:manualLayout>
      </c:layout>
      <c:barChart>
        <c:barDir val="col"/>
        <c:grouping val="clustered"/>
        <c:varyColors val="0"/>
        <c:ser>
          <c:idx val="0"/>
          <c:order val="0"/>
          <c:tx>
            <c:strRef>
              <c:f>Sheet1!$B$1</c:f>
              <c:strCache>
                <c:ptCount val="1"/>
                <c:pt idx="0">
                  <c:v>权重</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决策指标</c:v>
                </c:pt>
                <c:pt idx="1">
                  <c:v>过程指标</c:v>
                </c:pt>
                <c:pt idx="2">
                  <c:v>成本指标</c:v>
                </c:pt>
                <c:pt idx="3">
                  <c:v>产出指标</c:v>
                </c:pt>
                <c:pt idx="4">
                  <c:v>效益指标</c:v>
                </c:pt>
              </c:strCache>
            </c:strRef>
          </c:cat>
          <c:val>
            <c:numRef>
              <c:f>Sheet1!$B$2:$B$6</c:f>
              <c:numCache>
                <c:formatCode>General</c:formatCode>
                <c:ptCount val="5"/>
                <c:pt idx="0">
                  <c:v>20</c:v>
                </c:pt>
                <c:pt idx="1">
                  <c:v>20</c:v>
                </c:pt>
                <c:pt idx="2">
                  <c:v>10</c:v>
                </c:pt>
                <c:pt idx="3">
                  <c:v>30</c:v>
                </c:pt>
                <c:pt idx="4">
                  <c:v>20</c:v>
                </c:pt>
              </c:numCache>
            </c:numRef>
          </c:val>
        </c:ser>
        <c:ser>
          <c:idx val="1"/>
          <c:order val="1"/>
          <c:tx>
            <c:strRef>
              <c:f>Sheet1!$C$1</c:f>
              <c:strCache>
                <c:ptCount val="1"/>
                <c:pt idx="0">
                  <c:v>得分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决策指标</c:v>
                </c:pt>
                <c:pt idx="1">
                  <c:v>过程指标</c:v>
                </c:pt>
                <c:pt idx="2">
                  <c:v>成本指标</c:v>
                </c:pt>
                <c:pt idx="3">
                  <c:v>产出指标</c:v>
                </c:pt>
                <c:pt idx="4">
                  <c:v>效益指标</c:v>
                </c:pt>
              </c:strCache>
            </c:strRef>
          </c:cat>
          <c:val>
            <c:numRef>
              <c:f>Sheet1!$C$2:$C$6</c:f>
              <c:numCache>
                <c:formatCode>General</c:formatCode>
                <c:ptCount val="5"/>
                <c:pt idx="0">
                  <c:v>20</c:v>
                </c:pt>
                <c:pt idx="1">
                  <c:v>17.34</c:v>
                </c:pt>
                <c:pt idx="2">
                  <c:v>10</c:v>
                </c:pt>
                <c:pt idx="3">
                  <c:v>30</c:v>
                </c:pt>
                <c:pt idx="4">
                  <c:v>20</c:v>
                </c:pt>
              </c:numCache>
            </c:numRef>
          </c:val>
        </c:ser>
        <c:ser>
          <c:idx val="2"/>
          <c:order val="2"/>
          <c:tx>
            <c:strRef>
              <c:f>Sheet1!$D$1</c:f>
              <c:strCache>
                <c:ptCount val="1"/>
                <c:pt idx="0">
                  <c:v>得分率</c:v>
                </c:pt>
              </c:strCache>
            </c:strRef>
          </c:tx>
          <c:spPr>
            <a:solidFill>
              <a:schemeClr val="accent3"/>
            </a:solidFill>
            <a:ln>
              <a:noFill/>
            </a:ln>
            <a:effectLst/>
          </c:spPr>
          <c:invertIfNegative val="0"/>
          <c:dLbls>
            <c:dLbl>
              <c:idx val="0"/>
              <c:layout>
                <c:manualLayout>
                  <c:x val="0.017531556802244"/>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5441795231417"/>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10378681626928"/>
                  <c:y val="0.0049350222075999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22791023842917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决策指标</c:v>
                </c:pt>
                <c:pt idx="1">
                  <c:v>过程指标</c:v>
                </c:pt>
                <c:pt idx="2">
                  <c:v>成本指标</c:v>
                </c:pt>
                <c:pt idx="3">
                  <c:v>产出指标</c:v>
                </c:pt>
                <c:pt idx="4">
                  <c:v>效益指标</c:v>
                </c:pt>
              </c:strCache>
            </c:strRef>
          </c:cat>
          <c:val>
            <c:numRef>
              <c:f>Sheet1!$D$2:$D$6</c:f>
              <c:numCache>
                <c:formatCode>0.00%</c:formatCode>
                <c:ptCount val="5"/>
                <c:pt idx="0">
                  <c:v>1</c:v>
                </c:pt>
                <c:pt idx="1">
                  <c:v>0.867</c:v>
                </c:pt>
                <c:pt idx="2">
                  <c:v>1</c:v>
                </c:pt>
                <c:pt idx="3">
                  <c:v>1</c:v>
                </c:pt>
                <c:pt idx="4">
                  <c:v>1</c:v>
                </c:pt>
              </c:numCache>
            </c:numRef>
          </c:val>
        </c:ser>
        <c:dLbls>
          <c:showLegendKey val="0"/>
          <c:showVal val="1"/>
          <c:showCatName val="0"/>
          <c:showSerName val="0"/>
          <c:showPercent val="0"/>
          <c:showBubbleSize val="0"/>
        </c:dLbls>
        <c:gapWidth val="219"/>
        <c:overlap val="-27"/>
        <c:axId val="-1549276064"/>
        <c:axId val="-1549272256"/>
      </c:barChart>
      <c:catAx>
        <c:axId val="-15492760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49272256"/>
        <c:crosses val="autoZero"/>
        <c:auto val="1"/>
        <c:lblAlgn val="ctr"/>
        <c:lblOffset val="100"/>
        <c:noMultiLvlLbl val="0"/>
      </c:catAx>
      <c:valAx>
        <c:axId val="-1549272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4927606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FDBD11-1D92-48EC-A2E2-01E0962C9A4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31</Pages>
  <Words>11118</Words>
  <Characters>11937</Characters>
  <Lines>103</Lines>
  <Paragraphs>29</Paragraphs>
  <TotalTime>8</TotalTime>
  <ScaleCrop>false</ScaleCrop>
  <LinksUpToDate>false</LinksUpToDate>
  <CharactersWithSpaces>12202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2023-08-31T02:58:00Z</dcterms:created>
  <dc:creator>1129</dc:creator>
  <cp:lastModifiedBy>燕子 13893107503</cp:lastModifiedBy>
  <cp:lastPrinted>2024-07-09T08:19:00Z</cp:lastPrinted>
  <dcterms:modified xsi:type="dcterms:W3CDTF">2024-08-14T08:09:30Z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1922C46CBBDD4F3F8BE9AA93ED84C335_13</vt:lpwstr>
  </property>
</Properties>
</file>