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9250A">
      <w:pPr>
        <w:pStyle w:val="8"/>
        <w:overflowPunct w:val="0"/>
        <w:spacing w:line="560" w:lineRule="exact"/>
      </w:pPr>
    </w:p>
    <w:p w14:paraId="74E5EBCF">
      <w:pPr>
        <w:overflowPunct w:val="0"/>
        <w:spacing w:line="560" w:lineRule="exact"/>
        <w:ind w:left="6" w:right="4"/>
        <w:jc w:val="center"/>
        <w:rPr>
          <w:rFonts w:hint="eastAsia" w:ascii="宋体" w:hAnsi="宋体" w:eastAsia="宋体" w:cs="Times New Roman"/>
          <w:b/>
          <w:sz w:val="44"/>
          <w:szCs w:val="44"/>
        </w:rPr>
      </w:pPr>
    </w:p>
    <w:p w14:paraId="05CD47F5">
      <w:pPr>
        <w:overflowPunct w:val="0"/>
        <w:spacing w:line="560" w:lineRule="exact"/>
        <w:ind w:left="6" w:right="4"/>
        <w:jc w:val="center"/>
        <w:rPr>
          <w:rFonts w:hint="eastAsia" w:ascii="宋体" w:hAnsi="宋体" w:eastAsia="宋体" w:cs="Times New Roman"/>
          <w:b/>
          <w:sz w:val="44"/>
          <w:szCs w:val="44"/>
        </w:rPr>
      </w:pPr>
    </w:p>
    <w:p w14:paraId="7C28886B">
      <w:pPr>
        <w:overflowPunct w:val="0"/>
        <w:spacing w:line="560" w:lineRule="exact"/>
        <w:ind w:left="6" w:right="4"/>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sz w:val="44"/>
          <w:szCs w:val="44"/>
        </w:rPr>
        <w:t>2023年度甘肃省高级人民法院重点项目</w:t>
      </w:r>
    </w:p>
    <w:p w14:paraId="7179A476">
      <w:pPr>
        <w:overflowPunct w:val="0"/>
        <w:spacing w:line="560" w:lineRule="exact"/>
        <w:ind w:left="6" w:right="4"/>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—少数民族法制教学研究经费项目绩效评价报告</w:t>
      </w:r>
    </w:p>
    <w:p w14:paraId="6D0E2AFB">
      <w:pPr>
        <w:pStyle w:val="8"/>
        <w:overflowPunct w:val="0"/>
        <w:spacing w:line="560" w:lineRule="exact"/>
        <w:rPr>
          <w:sz w:val="56"/>
        </w:rPr>
      </w:pPr>
    </w:p>
    <w:p w14:paraId="4B0B3DF7">
      <w:pPr>
        <w:pStyle w:val="13"/>
        <w:spacing w:line="560" w:lineRule="exact"/>
      </w:pPr>
    </w:p>
    <w:p w14:paraId="068DA2FA">
      <w:pPr>
        <w:pStyle w:val="8"/>
        <w:overflowPunct w:val="0"/>
        <w:spacing w:line="560" w:lineRule="exact"/>
        <w:rPr>
          <w:sz w:val="56"/>
        </w:rPr>
      </w:pPr>
    </w:p>
    <w:p w14:paraId="3CD17ACD">
      <w:pPr>
        <w:pStyle w:val="13"/>
        <w:spacing w:line="560" w:lineRule="exact"/>
        <w:rPr>
          <w:sz w:val="56"/>
        </w:rPr>
      </w:pPr>
    </w:p>
    <w:p w14:paraId="7C21E58A">
      <w:pPr>
        <w:spacing w:line="560" w:lineRule="exact"/>
        <w:ind w:firstLine="300" w:firstLineChars="100"/>
        <w:rPr>
          <w:rFonts w:hint="eastAsia" w:ascii="仿宋_GB2312" w:hAnsi="仿宋" w:eastAsia="仿宋_GB2312" w:cs="仿宋"/>
          <w:sz w:val="30"/>
          <w:szCs w:val="32"/>
          <w:u w:val="single"/>
        </w:rPr>
      </w:pPr>
      <w:r>
        <w:rPr>
          <w:rFonts w:hint="eastAsia" w:ascii="仿宋_GB2312" w:hAnsi="仿宋" w:eastAsia="仿宋_GB2312" w:cs="仿宋"/>
          <w:sz w:val="30"/>
          <w:szCs w:val="32"/>
        </w:rPr>
        <w:t>评价类型：</w:t>
      </w:r>
      <w:r>
        <w:rPr>
          <w:rFonts w:hint="eastAsia" w:ascii="仿宋_GB2312" w:hAnsi="仿宋" w:eastAsia="仿宋_GB2312" w:cs="仿宋"/>
          <w:sz w:val="30"/>
          <w:szCs w:val="32"/>
          <w:u w:val="single"/>
        </w:rPr>
        <w:t>□实施过程评价</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☑完成结果评价</w:t>
      </w:r>
    </w:p>
    <w:p w14:paraId="6BAB6114">
      <w:pPr>
        <w:spacing w:line="560" w:lineRule="exact"/>
        <w:ind w:left="1800" w:right="456" w:rightChars="217" w:hanging="1800" w:hangingChars="600"/>
        <w:jc w:val="left"/>
        <w:rPr>
          <w:rFonts w:hint="eastAsia" w:ascii="仿宋_GB2312" w:hAnsi="仿宋" w:eastAsia="仿宋_GB2312" w:cs="仿宋"/>
          <w:sz w:val="30"/>
          <w:szCs w:val="32"/>
          <w:u w:val="single"/>
        </w:rPr>
      </w:pPr>
      <w:r>
        <w:rPr>
          <w:rFonts w:hint="eastAsia" w:ascii="仿宋_GB2312" w:hAnsi="仿宋" w:eastAsia="仿宋_GB2312" w:cs="仿宋"/>
          <w:sz w:val="30"/>
          <w:szCs w:val="32"/>
        </w:rPr>
        <w:t xml:space="preserve">  项目名称：</w:t>
      </w:r>
      <w:r>
        <w:rPr>
          <w:rFonts w:hint="eastAsia" w:ascii="仿宋_GB2312" w:hAnsi="仿宋" w:eastAsia="仿宋_GB2312" w:cs="仿宋"/>
          <w:sz w:val="30"/>
          <w:szCs w:val="32"/>
          <w:u w:val="single"/>
        </w:rPr>
        <w:t xml:space="preserve"> 2023年度甘肃省高级人民法院重点项目  </w:t>
      </w:r>
    </w:p>
    <w:p w14:paraId="0172F6E5">
      <w:pPr>
        <w:spacing w:line="560" w:lineRule="exact"/>
        <w:ind w:left="1791" w:leftChars="710" w:right="456" w:rightChars="217" w:hanging="300" w:hangingChars="1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——少数民族法制教学</w:t>
      </w:r>
      <w:r>
        <w:rPr>
          <w:rFonts w:hint="eastAsia" w:ascii="仿宋_GB2312" w:hAnsi="仿宋" w:eastAsia="仿宋_GB2312" w:cs="仿宋"/>
          <w:sz w:val="30"/>
          <w:szCs w:val="32"/>
          <w:u w:val="single"/>
          <w:lang w:val="en-US" w:eastAsia="zh-CN"/>
        </w:rPr>
        <w:t>研究</w:t>
      </w:r>
      <w:r>
        <w:rPr>
          <w:rFonts w:hint="eastAsia" w:ascii="仿宋_GB2312" w:hAnsi="仿宋" w:eastAsia="仿宋_GB2312" w:cs="仿宋"/>
          <w:sz w:val="30"/>
          <w:szCs w:val="32"/>
          <w:u w:val="single"/>
        </w:rPr>
        <w:t xml:space="preserve">经费          </w:t>
      </w:r>
    </w:p>
    <w:p w14:paraId="63C26062">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主管部门：</w:t>
      </w:r>
      <w:r>
        <w:rPr>
          <w:rFonts w:hint="eastAsia" w:ascii="仿宋_GB2312" w:hAnsi="仿宋" w:eastAsia="仿宋_GB2312" w:cs="仿宋"/>
          <w:sz w:val="30"/>
          <w:szCs w:val="32"/>
          <w:u w:val="single"/>
        </w:rPr>
        <w:t xml:space="preserve"> 甘肃省高级人民法院                   </w:t>
      </w:r>
    </w:p>
    <w:p w14:paraId="5885FB59">
      <w:pPr>
        <w:spacing w:line="560" w:lineRule="exact"/>
        <w:ind w:left="1800" w:right="456" w:rightChars="217" w:hanging="1800" w:hangingChars="600"/>
        <w:jc w:val="left"/>
        <w:rPr>
          <w:rFonts w:hint="eastAsia" w:ascii="仿宋_GB2312" w:hAnsi="仿宋" w:eastAsia="仿宋_GB2312" w:cs="仿宋"/>
          <w:sz w:val="30"/>
          <w:szCs w:val="32"/>
          <w:u w:val="single"/>
        </w:rPr>
      </w:pPr>
      <w:r>
        <w:rPr>
          <w:rFonts w:hint="eastAsia" w:ascii="仿宋_GB2312" w:hAnsi="仿宋" w:eastAsia="仿宋_GB2312" w:cs="仿宋"/>
          <w:sz w:val="30"/>
          <w:szCs w:val="32"/>
        </w:rPr>
        <w:t xml:space="preserve">  评价时间： </w:t>
      </w:r>
      <w:r>
        <w:rPr>
          <w:rFonts w:hint="eastAsia" w:ascii="仿宋_GB2312" w:hAnsi="仿宋" w:eastAsia="仿宋_GB2312" w:cs="仿宋"/>
          <w:sz w:val="30"/>
          <w:szCs w:val="32"/>
          <w:u w:val="single"/>
        </w:rPr>
        <w:t>2023年01月01日至 2023年12月31日</w:t>
      </w:r>
    </w:p>
    <w:p w14:paraId="52F9A5B7">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组织方式：</w:t>
      </w:r>
      <w:r>
        <w:rPr>
          <w:rFonts w:hint="eastAsia" w:ascii="仿宋_GB2312" w:hAnsi="仿宋" w:eastAsia="仿宋_GB2312" w:cs="仿宋"/>
          <w:sz w:val="30"/>
          <w:szCs w:val="32"/>
          <w:u w:val="single"/>
        </w:rPr>
        <w:t>□财政部门</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 xml:space="preserve"> ☑主管部门</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□项目单位</w:t>
      </w:r>
      <w:r>
        <w:rPr>
          <w:rFonts w:hint="eastAsia" w:ascii="仿宋_GB2312" w:hAnsi="仿宋" w:eastAsia="仿宋_GB2312" w:cs="仿宋"/>
          <w:sz w:val="30"/>
          <w:szCs w:val="32"/>
        </w:rPr>
        <w:t xml:space="preserve"> </w:t>
      </w:r>
    </w:p>
    <w:p w14:paraId="78089EAC">
      <w:pPr>
        <w:spacing w:line="560" w:lineRule="exact"/>
        <w:ind w:left="1800" w:right="456" w:rightChars="217" w:hanging="1800" w:hangingChars="600"/>
        <w:jc w:val="left"/>
        <w:rPr>
          <w:rFonts w:hint="eastAsia" w:ascii="仿宋_GB2312" w:hAnsi="仿宋" w:eastAsia="仿宋_GB2312" w:cs="仿宋"/>
          <w:sz w:val="30"/>
          <w:szCs w:val="32"/>
        </w:rPr>
      </w:pPr>
      <w:r>
        <w:rPr>
          <w:rFonts w:hint="eastAsia" w:ascii="仿宋_GB2312" w:hAnsi="仿宋" w:eastAsia="仿宋_GB2312" w:cs="仿宋"/>
          <w:sz w:val="30"/>
          <w:szCs w:val="32"/>
        </w:rPr>
        <w:t xml:space="preserve">  评价机构：</w:t>
      </w:r>
      <w:r>
        <w:rPr>
          <w:rFonts w:hint="eastAsia" w:ascii="仿宋_GB2312" w:hAnsi="仿宋" w:eastAsia="仿宋_GB2312" w:cs="仿宋"/>
          <w:sz w:val="30"/>
          <w:szCs w:val="32"/>
          <w:u w:val="single"/>
        </w:rPr>
        <w:t>☑中介机构</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□专家组</w:t>
      </w:r>
      <w:r>
        <w:rPr>
          <w:rFonts w:hint="eastAsia" w:ascii="仿宋_GB2312" w:hAnsi="仿宋" w:eastAsia="仿宋_GB2312" w:cs="仿宋"/>
          <w:sz w:val="30"/>
          <w:szCs w:val="32"/>
        </w:rPr>
        <w:t xml:space="preserve">   </w:t>
      </w:r>
      <w:r>
        <w:rPr>
          <w:rFonts w:hint="eastAsia" w:ascii="仿宋_GB2312" w:hAnsi="仿宋" w:eastAsia="仿宋_GB2312" w:cs="仿宋"/>
          <w:sz w:val="30"/>
          <w:szCs w:val="32"/>
          <w:u w:val="single"/>
        </w:rPr>
        <w:t>□项目单位评价组</w:t>
      </w:r>
    </w:p>
    <w:p w14:paraId="1DF9B139">
      <w:pPr>
        <w:spacing w:line="560" w:lineRule="exact"/>
        <w:rPr>
          <w:rFonts w:hint="eastAsia" w:ascii="仿宋_GB2312" w:hAnsi="仿宋" w:eastAsia="仿宋_GB2312" w:cs="仿宋"/>
          <w:sz w:val="30"/>
          <w:szCs w:val="32"/>
        </w:rPr>
      </w:pPr>
    </w:p>
    <w:p w14:paraId="068B3E74">
      <w:pPr>
        <w:spacing w:line="560" w:lineRule="exact"/>
        <w:ind w:left="4800" w:hanging="4800" w:hangingChars="1600"/>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p>
    <w:p w14:paraId="619A20F1">
      <w:pPr>
        <w:spacing w:line="560" w:lineRule="exact"/>
        <w:ind w:left="4800" w:hanging="4800" w:hangingChars="1600"/>
        <w:rPr>
          <w:rFonts w:hint="eastAsia" w:ascii="仿宋_GB2312" w:hAnsi="仿宋" w:eastAsia="仿宋_GB2312" w:cs="仿宋"/>
          <w:sz w:val="30"/>
          <w:szCs w:val="32"/>
        </w:rPr>
      </w:pPr>
      <w:r>
        <w:rPr>
          <w:rFonts w:hint="eastAsia" w:ascii="仿宋_GB2312" w:hAnsi="仿宋" w:eastAsia="仿宋_GB2312" w:cs="仿宋"/>
          <w:sz w:val="30"/>
          <w:szCs w:val="32"/>
        </w:rPr>
        <w:t xml:space="preserve">  </w:t>
      </w:r>
    </w:p>
    <w:p w14:paraId="4C1EEE53">
      <w:pPr>
        <w:spacing w:line="560" w:lineRule="exact"/>
        <w:ind w:right="456" w:rightChars="217" w:firstLine="300" w:firstLineChars="100"/>
        <w:jc w:val="center"/>
        <w:rPr>
          <w:rFonts w:hint="eastAsia" w:ascii="宋体" w:hAnsi="宋体" w:eastAsia="宋体" w:cs="宋体"/>
          <w:sz w:val="30"/>
          <w:szCs w:val="32"/>
        </w:rPr>
      </w:pPr>
      <w:r>
        <w:rPr>
          <w:rFonts w:hint="eastAsia" w:ascii="宋体" w:hAnsi="宋体" w:eastAsia="宋体" w:cs="宋体"/>
          <w:sz w:val="30"/>
          <w:szCs w:val="32"/>
        </w:rPr>
        <w:t>评价单位：甘肃卓诚财务咨询有限公司</w:t>
      </w:r>
    </w:p>
    <w:p w14:paraId="3DD1C565">
      <w:pPr>
        <w:spacing w:line="560" w:lineRule="exact"/>
        <w:ind w:right="456" w:rightChars="217" w:firstLine="1500" w:firstLineChars="500"/>
        <w:rPr>
          <w:rFonts w:hint="eastAsia" w:ascii="宋体" w:hAnsi="宋体" w:eastAsia="宋体" w:cs="宋体"/>
          <w:sz w:val="30"/>
          <w:szCs w:val="32"/>
        </w:rPr>
        <w:sectPr>
          <w:headerReference r:id="rId3" w:type="default"/>
          <w:footerReference r:id="rId4" w:type="default"/>
          <w:pgSz w:w="11906" w:h="16838"/>
          <w:pgMar w:top="1440" w:right="1800" w:bottom="1440" w:left="1800" w:header="851" w:footer="992" w:gutter="0"/>
          <w:cols w:space="720" w:num="1"/>
          <w:titlePg/>
          <w:docGrid w:type="lines" w:linePitch="312" w:charSpace="0"/>
        </w:sectPr>
      </w:pPr>
      <w:r>
        <w:rPr>
          <w:rFonts w:hint="eastAsia" w:ascii="宋体" w:hAnsi="宋体" w:eastAsia="宋体" w:cs="宋体"/>
          <w:sz w:val="30"/>
          <w:szCs w:val="32"/>
        </w:rPr>
        <w:t>编制日期：2024年7月31日</w:t>
      </w:r>
    </w:p>
    <w:sdt>
      <w:sdtPr>
        <w:rPr>
          <w:rFonts w:hint="eastAsia" w:ascii="宋体" w:hAnsi="宋体" w:eastAsia="宋体" w:cs="宋体"/>
          <w:color w:val="FF0000"/>
          <w:sz w:val="40"/>
          <w:szCs w:val="40"/>
        </w:rPr>
        <w:id w:val="147453237"/>
        <w15:color w:val="DBDBDB"/>
        <w:docPartObj>
          <w:docPartGallery w:val="Table of Contents"/>
          <w:docPartUnique/>
        </w:docPartObj>
      </w:sdtPr>
      <w:sdtEndPr>
        <w:rPr>
          <w:rFonts w:hint="eastAsia" w:ascii="宋体" w:hAnsi="宋体" w:eastAsia="宋体" w:cs="宋体"/>
          <w:b/>
          <w:bCs/>
          <w:color w:val="FF0000"/>
          <w:sz w:val="32"/>
          <w:szCs w:val="44"/>
          <w:highlight w:val="yellow"/>
        </w:rPr>
      </w:sdtEndPr>
      <w:sdtContent>
        <w:p w14:paraId="48EE76F9">
          <w:pPr>
            <w:spacing w:line="560" w:lineRule="exact"/>
            <w:jc w:val="center"/>
            <w:rPr>
              <w:rFonts w:hint="eastAsia" w:ascii="宋体" w:hAnsi="宋体" w:eastAsia="宋体" w:cs="宋体"/>
              <w:b/>
              <w:bCs/>
              <w:sz w:val="36"/>
              <w:szCs w:val="36"/>
            </w:rPr>
          </w:pPr>
          <w:r>
            <w:rPr>
              <w:rFonts w:hint="eastAsia" w:ascii="宋体" w:hAnsi="宋体" w:eastAsia="宋体" w:cs="宋体"/>
              <w:b/>
              <w:bCs/>
              <w:sz w:val="36"/>
              <w:szCs w:val="36"/>
            </w:rPr>
            <w:t>目  录</w:t>
          </w:r>
        </w:p>
        <w:p w14:paraId="270B325A">
          <w:pPr>
            <w:pStyle w:val="15"/>
            <w:tabs>
              <w:tab w:val="right" w:leader="dot" w:pos="8296"/>
            </w:tabs>
            <w:spacing w:line="560" w:lineRule="exact"/>
            <w:rPr>
              <w:rFonts w:ascii="宋体" w:eastAsia="宋体" w:cs="宋体"/>
              <w:b/>
              <w:bCs/>
              <w:sz w:val="28"/>
              <w:szCs w:val="28"/>
            </w:rPr>
          </w:pP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TOC \o "1-2" \h \u </w:instrText>
          </w:r>
          <w:r>
            <w:rPr>
              <w:rFonts w:hint="eastAsia" w:ascii="宋体" w:hAnsi="宋体" w:eastAsia="宋体" w:cs="宋体"/>
              <w:b/>
              <w:bCs/>
              <w:sz w:val="28"/>
              <w:szCs w:val="28"/>
            </w:rPr>
            <w:fldChar w:fldCharType="separate"/>
          </w:r>
          <w:r>
            <w:fldChar w:fldCharType="begin"/>
          </w:r>
          <w:r>
            <w:instrText xml:space="preserve"> HYPERLINK \l "_Toc174529565" </w:instrText>
          </w:r>
          <w:r>
            <w:fldChar w:fldCharType="separate"/>
          </w:r>
          <w:r>
            <w:rPr>
              <w:rFonts w:hint="eastAsia" w:ascii="宋体" w:eastAsia="宋体" w:cs="宋体"/>
              <w:b/>
              <w:bCs/>
              <w:sz w:val="28"/>
              <w:szCs w:val="28"/>
            </w:rPr>
            <w:t>摘   要</w:t>
          </w:r>
          <w:r>
            <w:rPr>
              <w:rFonts w:hint="eastAsia" w:ascii="宋体" w:eastAsia="宋体" w:cs="宋体"/>
              <w:b/>
              <w:bCs/>
              <w:sz w:val="28"/>
              <w:szCs w:val="28"/>
            </w:rPr>
            <w:tab/>
          </w:r>
          <w:r>
            <w:rPr>
              <w:rFonts w:hint="eastAsia" w:ascii="宋体" w:eastAsia="宋体" w:cs="宋体"/>
              <w:b/>
              <w:bCs/>
              <w:sz w:val="28"/>
              <w:szCs w:val="28"/>
            </w:rPr>
            <w:fldChar w:fldCharType="begin"/>
          </w:r>
          <w:r>
            <w:rPr>
              <w:rFonts w:hint="eastAsia" w:ascii="宋体" w:eastAsia="宋体" w:cs="宋体"/>
              <w:b/>
              <w:bCs/>
              <w:sz w:val="28"/>
              <w:szCs w:val="28"/>
            </w:rPr>
            <w:instrText xml:space="preserve"> </w:instrText>
          </w:r>
          <w:r>
            <w:rPr>
              <w:rFonts w:ascii="宋体" w:eastAsia="宋体" w:cs="宋体"/>
              <w:b/>
              <w:bCs/>
              <w:sz w:val="28"/>
              <w:szCs w:val="28"/>
            </w:rPr>
            <w:instrText xml:space="preserve">PAGEREF _Toc174529565 \h</w:instrText>
          </w:r>
          <w:r>
            <w:rPr>
              <w:rFonts w:hint="eastAsia" w:ascii="宋体" w:eastAsia="宋体" w:cs="宋体"/>
              <w:b/>
              <w:bCs/>
              <w:sz w:val="28"/>
              <w:szCs w:val="28"/>
            </w:rPr>
            <w:instrText xml:space="preserve"> </w:instrText>
          </w:r>
          <w:r>
            <w:rPr>
              <w:rFonts w:hint="eastAsia" w:ascii="宋体" w:eastAsia="宋体" w:cs="宋体"/>
              <w:b/>
              <w:bCs/>
              <w:sz w:val="28"/>
              <w:szCs w:val="28"/>
            </w:rPr>
            <w:fldChar w:fldCharType="separate"/>
          </w:r>
          <w:r>
            <w:rPr>
              <w:rFonts w:ascii="宋体" w:eastAsia="宋体" w:cs="宋体"/>
              <w:b/>
              <w:bCs/>
              <w:sz w:val="28"/>
              <w:szCs w:val="28"/>
            </w:rPr>
            <w:t>1</w:t>
          </w:r>
          <w:r>
            <w:rPr>
              <w:rFonts w:hint="eastAsia" w:ascii="宋体" w:eastAsia="宋体" w:cs="宋体"/>
              <w:b/>
              <w:bCs/>
              <w:sz w:val="28"/>
              <w:szCs w:val="28"/>
            </w:rPr>
            <w:fldChar w:fldCharType="end"/>
          </w:r>
          <w:r>
            <w:rPr>
              <w:rFonts w:hint="eastAsia" w:ascii="宋体" w:eastAsia="宋体" w:cs="宋体"/>
              <w:b/>
              <w:bCs/>
              <w:sz w:val="28"/>
              <w:szCs w:val="28"/>
            </w:rPr>
            <w:fldChar w:fldCharType="end"/>
          </w:r>
        </w:p>
        <w:p w14:paraId="75DBB8DF">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"_Toc174529566" </w:instrText>
          </w:r>
          <w:r>
            <w:fldChar w:fldCharType="separate"/>
          </w:r>
          <w:r>
            <w:rPr>
              <w:rFonts w:hint="eastAsia" w:ascii="宋体" w:hAnsi="宋体" w:eastAsia="宋体" w:cs="宋体"/>
              <w:sz w:val="28"/>
              <w:szCs w:val="28"/>
            </w:rPr>
            <w:t>一、项目基本情况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_Toc174529566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37F2233">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"_Toc174529567" </w:instrText>
          </w:r>
          <w:r>
            <w:fldChar w:fldCharType="separate"/>
          </w:r>
          <w:r>
            <w:rPr>
              <w:rFonts w:hint="eastAsia" w:ascii="宋体" w:hAnsi="宋体" w:eastAsia="宋体" w:cs="宋体"/>
              <w:sz w:val="28"/>
              <w:szCs w:val="28"/>
            </w:rPr>
            <w:t>（一）项目立项背景及实施目的</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_Toc174529567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00DCD46">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"_Toc174529568" </w:instrText>
          </w:r>
          <w:r>
            <w:fldChar w:fldCharType="separate"/>
          </w:r>
          <w:r>
            <w:rPr>
              <w:rFonts w:hint="eastAsia" w:ascii="宋体" w:hAnsi="宋体" w:eastAsia="宋体" w:cs="宋体"/>
              <w:sz w:val="28"/>
              <w:szCs w:val="28"/>
            </w:rPr>
            <w:t>（二）项目预算安排和支出情况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_Toc174529568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5DBA3F1">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"_Toc174529569" </w:instrText>
          </w:r>
          <w:r>
            <w:fldChar w:fldCharType="separate"/>
          </w:r>
          <w:r>
            <w:rPr>
              <w:rFonts w:hint="eastAsia" w:ascii="宋体" w:hAnsi="宋体" w:eastAsia="宋体" w:cs="宋体"/>
              <w:sz w:val="28"/>
              <w:szCs w:val="28"/>
            </w:rPr>
            <w:t>（三）项目实施情况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_Toc174529569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04F23A1">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"_Toc174529570" </w:instrText>
          </w:r>
          <w:r>
            <w:fldChar w:fldCharType="separate"/>
          </w:r>
          <w:r>
            <w:rPr>
              <w:rFonts w:hint="eastAsia" w:ascii="宋体" w:hAnsi="宋体" w:eastAsia="宋体" w:cs="宋体"/>
              <w:sz w:val="28"/>
              <w:szCs w:val="28"/>
            </w:rPr>
            <w:t>二、评价结论和绩效分析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_Toc174529570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E65F142">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"_Toc174529571" </w:instrText>
          </w:r>
          <w:r>
            <w:fldChar w:fldCharType="separate"/>
          </w:r>
          <w:r>
            <w:rPr>
              <w:rFonts w:hint="eastAsia" w:ascii="宋体" w:hAnsi="宋体" w:eastAsia="宋体" w:cs="宋体"/>
              <w:sz w:val="28"/>
              <w:szCs w:val="28"/>
            </w:rPr>
            <w:t>（一）综合评价结论</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_Toc174529571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6BD68A4">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"_Toc174529572" </w:instrText>
          </w:r>
          <w:r>
            <w:fldChar w:fldCharType="separate"/>
          </w:r>
          <w:r>
            <w:rPr>
              <w:rFonts w:hint="eastAsia" w:ascii="宋体" w:hAnsi="宋体" w:eastAsia="宋体" w:cs="宋体"/>
              <w:sz w:val="28"/>
              <w:szCs w:val="28"/>
            </w:rPr>
            <w:t>（二）绩效分析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_Toc174529572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1E1FF27">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"_Toc174529573" </w:instrText>
          </w:r>
          <w:r>
            <w:fldChar w:fldCharType="separate"/>
          </w:r>
          <w:r>
            <w:rPr>
              <w:rFonts w:hint="eastAsia" w:ascii="宋体" w:hAnsi="宋体" w:eastAsia="宋体" w:cs="宋体"/>
              <w:sz w:val="28"/>
              <w:szCs w:val="28"/>
            </w:rPr>
            <w:t>三、存在问题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_Toc174529573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1A2ADFC">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"_Toc174529577" </w:instrText>
          </w:r>
          <w:r>
            <w:fldChar w:fldCharType="separate"/>
          </w:r>
          <w:r>
            <w:rPr>
              <w:rFonts w:hint="eastAsia" w:ascii="宋体" w:hAnsi="宋体" w:eastAsia="宋体" w:cs="宋体"/>
              <w:sz w:val="28"/>
              <w:szCs w:val="28"/>
            </w:rPr>
            <w:t>四、有关建议</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_Toc174529577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4C9C6BD">
          <w:pPr>
            <w:pStyle w:val="15"/>
            <w:tabs>
              <w:tab w:val="right" w:leader="dot" w:pos="8296"/>
            </w:tabs>
            <w:spacing w:line="560" w:lineRule="exact"/>
            <w:rPr>
              <w:rFonts w:hint="eastAsia" w:ascii="宋体" w:hAnsi="宋体" w:eastAsia="宋体" w:cs="宋体"/>
              <w:b/>
              <w:bCs/>
              <w:sz w:val="28"/>
              <w:szCs w:val="28"/>
            </w:rPr>
          </w:pPr>
          <w:r>
            <w:fldChar w:fldCharType="begin"/>
          </w:r>
          <w:r>
            <w:instrText xml:space="preserve"> HYPERLINK \l "_Toc174529581" </w:instrText>
          </w:r>
          <w:r>
            <w:fldChar w:fldCharType="separate"/>
          </w:r>
          <w:r>
            <w:rPr>
              <w:rFonts w:hint="eastAsia" w:ascii="宋体" w:hAnsi="宋体" w:eastAsia="宋体" w:cs="宋体"/>
              <w:b/>
              <w:bCs/>
              <w:sz w:val="28"/>
              <w:szCs w:val="28"/>
            </w:rPr>
            <w:t>2023年度甘肃省高级人民法院重点项目</w:t>
          </w:r>
          <w:r>
            <w:rPr>
              <w:rFonts w:hint="eastAsia" w:ascii="宋体" w:hAnsi="宋体" w:eastAsia="宋体" w:cs="宋体"/>
              <w:b/>
              <w:bCs/>
              <w:sz w:val="28"/>
              <w:szCs w:val="28"/>
            </w:rPr>
            <w:tab/>
          </w:r>
          <w:r>
            <w:rPr>
              <w:rFonts w:hint="eastAsia" w:ascii="宋体" w:hAnsi="宋体" w:eastAsia="宋体" w:cs="宋体"/>
              <w:b/>
              <w:bCs/>
              <w:sz w:val="28"/>
              <w:szCs w:val="28"/>
            </w:rPr>
            <w:fldChar w:fldCharType="end"/>
          </w:r>
          <w:r>
            <w:fldChar w:fldCharType="begin"/>
          </w:r>
          <w:r>
            <w:instrText xml:space="preserve"> HYPERLINK \l "_Toc174529582" </w:instrText>
          </w:r>
          <w:r>
            <w:fldChar w:fldCharType="separate"/>
          </w:r>
          <w:r>
            <w:rPr>
              <w:rFonts w:hint="eastAsia" w:ascii="宋体" w:hAnsi="宋体" w:eastAsia="宋体" w:cs="宋体"/>
              <w:b/>
              <w:bCs/>
              <w:sz w:val="28"/>
              <w:szCs w:val="28"/>
            </w:rPr>
            <w:t>—少数民族法制教学研究经费绩效评价报告</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w:instrText>
          </w:r>
          <w:r>
            <w:rPr>
              <w:rFonts w:ascii="宋体" w:hAnsi="宋体" w:eastAsia="宋体" w:cs="宋体"/>
              <w:b/>
              <w:bCs/>
              <w:sz w:val="28"/>
              <w:szCs w:val="28"/>
            </w:rPr>
            <w:instrText xml:space="preserve">PAGEREF _Toc174529582 \h</w:instrText>
          </w:r>
          <w:r>
            <w:rPr>
              <w:rFonts w:hint="eastAsia" w:ascii="宋体" w:hAnsi="宋体" w:eastAsia="宋体" w:cs="宋体"/>
              <w:b/>
              <w:bCs/>
              <w:sz w:val="28"/>
              <w:szCs w:val="28"/>
            </w:rPr>
            <w:instrText xml:space="preserve"> </w:instrText>
          </w:r>
          <w:r>
            <w:rPr>
              <w:rFonts w:hint="eastAsia" w:ascii="宋体" w:hAnsi="宋体" w:eastAsia="宋体" w:cs="宋体"/>
              <w:b/>
              <w:bCs/>
              <w:sz w:val="28"/>
              <w:szCs w:val="28"/>
            </w:rPr>
            <w:fldChar w:fldCharType="separate"/>
          </w:r>
          <w:r>
            <w:rPr>
              <w:rFonts w:ascii="宋体" w:hAnsi="宋体" w:eastAsia="宋体" w:cs="宋体"/>
              <w:b/>
              <w:bCs/>
              <w:sz w:val="28"/>
              <w:szCs w:val="28"/>
            </w:rPr>
            <w:t>5</w:t>
          </w:r>
          <w:r>
            <w:rPr>
              <w:rFonts w:hint="eastAsia" w:ascii="宋体" w:hAnsi="宋体" w:eastAsia="宋体" w:cs="宋体"/>
              <w:b/>
              <w:bCs/>
              <w:sz w:val="28"/>
              <w:szCs w:val="28"/>
            </w:rPr>
            <w:fldChar w:fldCharType="end"/>
          </w:r>
          <w:r>
            <w:rPr>
              <w:rFonts w:hint="eastAsia" w:ascii="宋体" w:hAnsi="宋体" w:eastAsia="宋体" w:cs="宋体"/>
              <w:b/>
              <w:bCs/>
              <w:sz w:val="28"/>
              <w:szCs w:val="28"/>
            </w:rPr>
            <w:fldChar w:fldCharType="end"/>
          </w:r>
        </w:p>
        <w:p w14:paraId="048BB83F">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"_Toc174529584" </w:instrText>
          </w:r>
          <w:r>
            <w:fldChar w:fldCharType="separate"/>
          </w:r>
          <w:r>
            <w:rPr>
              <w:rFonts w:hint="eastAsia" w:ascii="宋体" w:hAnsi="宋体" w:eastAsia="宋体" w:cs="宋体"/>
              <w:sz w:val="28"/>
              <w:szCs w:val="28"/>
            </w:rPr>
            <w:t>一、项目基本情况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_Toc174529584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7727BAF">
          <w:pPr>
            <w:pStyle w:val="16"/>
            <w:tabs>
              <w:tab w:val="right" w:leader="dot" w:pos="8296"/>
            </w:tabs>
            <w:spacing w:line="560" w:lineRule="exact"/>
            <w:rPr>
              <w:rFonts w:ascii="宋体" w:eastAsia="宋体" w:cs="宋体"/>
              <w:b/>
              <w:bCs/>
              <w:sz w:val="28"/>
              <w:szCs w:val="28"/>
            </w:rPr>
          </w:pPr>
          <w:r>
            <w:fldChar w:fldCharType="begin"/>
          </w:r>
          <w:r>
            <w:instrText xml:space="preserve"> HYPERLINK \l "_Toc174529585" </w:instrText>
          </w:r>
          <w:r>
            <w:fldChar w:fldCharType="separate"/>
          </w:r>
          <w:r>
            <w:rPr>
              <w:rFonts w:hint="eastAsia" w:ascii="宋体" w:eastAsia="宋体" w:cs="宋体"/>
              <w:sz w:val="28"/>
              <w:szCs w:val="28"/>
            </w:rPr>
            <w:t>（一）项目立项背景</w:t>
          </w:r>
          <w:r>
            <w:rPr>
              <w:rFonts w:hint="eastAsia" w:ascii="宋体" w:eastAsia="宋体" w:cs="宋体"/>
              <w:b/>
              <w:bCs/>
              <w:sz w:val="28"/>
              <w:szCs w:val="28"/>
            </w:rPr>
            <w:tab/>
          </w:r>
          <w:r>
            <w:rPr>
              <w:rFonts w:hint="eastAsia" w:ascii="宋体" w:eastAsia="宋体" w:cs="宋体"/>
              <w:b/>
              <w:bCs/>
              <w:sz w:val="28"/>
              <w:szCs w:val="28"/>
            </w:rPr>
            <w:fldChar w:fldCharType="begin"/>
          </w:r>
          <w:r>
            <w:rPr>
              <w:rFonts w:hint="eastAsia" w:ascii="宋体" w:eastAsia="宋体" w:cs="宋体"/>
              <w:b/>
              <w:bCs/>
              <w:sz w:val="28"/>
              <w:szCs w:val="28"/>
            </w:rPr>
            <w:instrText xml:space="preserve"> </w:instrText>
          </w:r>
          <w:r>
            <w:rPr>
              <w:rFonts w:ascii="宋体" w:eastAsia="宋体" w:cs="宋体"/>
              <w:b/>
              <w:bCs/>
              <w:sz w:val="28"/>
              <w:szCs w:val="28"/>
            </w:rPr>
            <w:instrText xml:space="preserve">PAGEREF _Toc174529585 \h</w:instrText>
          </w:r>
          <w:r>
            <w:rPr>
              <w:rFonts w:hint="eastAsia" w:ascii="宋体" w:eastAsia="宋体" w:cs="宋体"/>
              <w:b/>
              <w:bCs/>
              <w:sz w:val="28"/>
              <w:szCs w:val="28"/>
            </w:rPr>
            <w:instrText xml:space="preserve"> </w:instrText>
          </w:r>
          <w:r>
            <w:rPr>
              <w:rFonts w:hint="eastAsia" w:ascii="宋体" w:eastAsia="宋体" w:cs="宋体"/>
              <w:b/>
              <w:bCs/>
              <w:sz w:val="28"/>
              <w:szCs w:val="28"/>
            </w:rPr>
            <w:fldChar w:fldCharType="separate"/>
          </w:r>
          <w:r>
            <w:rPr>
              <w:rFonts w:ascii="宋体" w:eastAsia="宋体" w:cs="宋体"/>
              <w:b/>
              <w:bCs/>
              <w:sz w:val="28"/>
              <w:szCs w:val="28"/>
            </w:rPr>
            <w:t>5</w:t>
          </w:r>
          <w:r>
            <w:rPr>
              <w:rFonts w:hint="eastAsia" w:ascii="宋体" w:eastAsia="宋体" w:cs="宋体"/>
              <w:b/>
              <w:bCs/>
              <w:sz w:val="28"/>
              <w:szCs w:val="28"/>
            </w:rPr>
            <w:fldChar w:fldCharType="end"/>
          </w:r>
          <w:r>
            <w:rPr>
              <w:rFonts w:hint="eastAsia" w:ascii="宋体" w:eastAsia="宋体" w:cs="宋体"/>
              <w:b/>
              <w:bCs/>
              <w:sz w:val="28"/>
              <w:szCs w:val="28"/>
            </w:rPr>
            <w:fldChar w:fldCharType="end"/>
          </w:r>
        </w:p>
        <w:p w14:paraId="753C8E2E">
          <w:pPr>
            <w:pStyle w:val="16"/>
            <w:tabs>
              <w:tab w:val="right" w:leader="dot" w:pos="8296"/>
            </w:tabs>
            <w:spacing w:line="560" w:lineRule="exact"/>
            <w:rPr>
              <w:rFonts w:ascii="宋体" w:eastAsia="宋体" w:cs="宋体"/>
              <w:sz w:val="28"/>
              <w:szCs w:val="28"/>
            </w:rPr>
          </w:pPr>
          <w:r>
            <w:fldChar w:fldCharType="begin"/>
          </w:r>
          <w:r>
            <w:instrText xml:space="preserve"> HYPERLINK \l "_Toc174529586" </w:instrText>
          </w:r>
          <w:r>
            <w:fldChar w:fldCharType="separate"/>
          </w:r>
          <w:r>
            <w:rPr>
              <w:rFonts w:hint="eastAsia" w:ascii="宋体" w:eastAsia="宋体" w:cs="宋体"/>
              <w:sz w:val="28"/>
              <w:szCs w:val="28"/>
            </w:rPr>
            <w:t>（二）项目预算安排及使用情况</w:t>
          </w:r>
          <w:r>
            <w:rPr>
              <w:rFonts w:hint="eastAsia" w:ascii="宋体" w:eastAsia="宋体" w:cs="宋体"/>
              <w:sz w:val="28"/>
              <w:szCs w:val="28"/>
            </w:rPr>
            <w:tab/>
          </w:r>
          <w:r>
            <w:rPr>
              <w:rFonts w:hint="eastAsia" w:ascii="宋体" w:eastAsia="宋体" w:cs="宋体"/>
              <w:sz w:val="28"/>
              <w:szCs w:val="28"/>
            </w:rPr>
            <w:fldChar w:fldCharType="begin"/>
          </w:r>
          <w:r>
            <w:rPr>
              <w:rFonts w:hint="eastAsia" w:ascii="宋体" w:eastAsia="宋体" w:cs="宋体"/>
              <w:sz w:val="28"/>
              <w:szCs w:val="28"/>
            </w:rPr>
            <w:instrText xml:space="preserve"> </w:instrText>
          </w:r>
          <w:r>
            <w:rPr>
              <w:rFonts w:ascii="宋体" w:eastAsia="宋体" w:cs="宋体"/>
              <w:sz w:val="28"/>
              <w:szCs w:val="28"/>
            </w:rPr>
            <w:instrText xml:space="preserve">PAGEREF _Toc174529586 \h</w:instrText>
          </w:r>
          <w:r>
            <w:rPr>
              <w:rFonts w:hint="eastAsia" w:ascii="宋体" w:eastAsia="宋体" w:cs="宋体"/>
              <w:sz w:val="28"/>
              <w:szCs w:val="28"/>
            </w:rPr>
            <w:instrText xml:space="preserve"> </w:instrText>
          </w:r>
          <w:r>
            <w:rPr>
              <w:rFonts w:hint="eastAsia" w:ascii="宋体" w:eastAsia="宋体" w:cs="宋体"/>
              <w:sz w:val="28"/>
              <w:szCs w:val="28"/>
            </w:rPr>
            <w:fldChar w:fldCharType="separate"/>
          </w:r>
          <w:r>
            <w:rPr>
              <w:rFonts w:ascii="宋体" w:eastAsia="宋体" w:cs="宋体"/>
              <w:sz w:val="28"/>
              <w:szCs w:val="28"/>
            </w:rPr>
            <w:t>5</w:t>
          </w:r>
          <w:r>
            <w:rPr>
              <w:rFonts w:hint="eastAsia" w:ascii="宋体" w:eastAsia="宋体" w:cs="宋体"/>
              <w:sz w:val="28"/>
              <w:szCs w:val="28"/>
            </w:rPr>
            <w:fldChar w:fldCharType="end"/>
          </w:r>
          <w:r>
            <w:rPr>
              <w:rFonts w:hint="eastAsia" w:ascii="宋体" w:eastAsia="宋体" w:cs="宋体"/>
              <w:sz w:val="28"/>
              <w:szCs w:val="28"/>
            </w:rPr>
            <w:fldChar w:fldCharType="end"/>
          </w:r>
        </w:p>
        <w:p w14:paraId="1F0B8FBA">
          <w:pPr>
            <w:pStyle w:val="16"/>
            <w:tabs>
              <w:tab w:val="right" w:leader="dot" w:pos="8296"/>
            </w:tabs>
            <w:spacing w:line="560" w:lineRule="exact"/>
            <w:rPr>
              <w:rFonts w:ascii="宋体" w:eastAsia="宋体" w:cs="宋体"/>
              <w:sz w:val="28"/>
              <w:szCs w:val="28"/>
            </w:rPr>
          </w:pPr>
          <w:r>
            <w:fldChar w:fldCharType="begin"/>
          </w:r>
          <w:r>
            <w:instrText xml:space="preserve"> HYPERLINK \l "_Toc174529587" </w:instrText>
          </w:r>
          <w:r>
            <w:fldChar w:fldCharType="separate"/>
          </w:r>
          <w:r>
            <w:rPr>
              <w:rFonts w:hint="eastAsia" w:ascii="宋体" w:eastAsia="宋体" w:cs="宋体"/>
              <w:sz w:val="28"/>
              <w:szCs w:val="28"/>
            </w:rPr>
            <w:t>（三）项目计划内容及实施情况</w:t>
          </w:r>
          <w:r>
            <w:rPr>
              <w:rFonts w:hint="eastAsia" w:ascii="宋体" w:eastAsia="宋体" w:cs="宋体"/>
              <w:sz w:val="28"/>
              <w:szCs w:val="28"/>
            </w:rPr>
            <w:tab/>
          </w:r>
          <w:r>
            <w:rPr>
              <w:rFonts w:hint="eastAsia" w:ascii="宋体" w:eastAsia="宋体" w:cs="宋体"/>
              <w:sz w:val="28"/>
              <w:szCs w:val="28"/>
            </w:rPr>
            <w:fldChar w:fldCharType="begin"/>
          </w:r>
          <w:r>
            <w:rPr>
              <w:rFonts w:hint="eastAsia" w:ascii="宋体" w:eastAsia="宋体" w:cs="宋体"/>
              <w:sz w:val="28"/>
              <w:szCs w:val="28"/>
            </w:rPr>
            <w:instrText xml:space="preserve"> </w:instrText>
          </w:r>
          <w:r>
            <w:rPr>
              <w:rFonts w:ascii="宋体" w:eastAsia="宋体" w:cs="宋体"/>
              <w:sz w:val="28"/>
              <w:szCs w:val="28"/>
            </w:rPr>
            <w:instrText xml:space="preserve">PAGEREF _Toc174529587 \h</w:instrText>
          </w:r>
          <w:r>
            <w:rPr>
              <w:rFonts w:hint="eastAsia" w:ascii="宋体" w:eastAsia="宋体" w:cs="宋体"/>
              <w:sz w:val="28"/>
              <w:szCs w:val="28"/>
            </w:rPr>
            <w:instrText xml:space="preserve"> </w:instrText>
          </w:r>
          <w:r>
            <w:rPr>
              <w:rFonts w:hint="eastAsia" w:ascii="宋体" w:eastAsia="宋体" w:cs="宋体"/>
              <w:sz w:val="28"/>
              <w:szCs w:val="28"/>
            </w:rPr>
            <w:fldChar w:fldCharType="separate"/>
          </w:r>
          <w:r>
            <w:rPr>
              <w:rFonts w:ascii="宋体" w:eastAsia="宋体" w:cs="宋体"/>
              <w:sz w:val="28"/>
              <w:szCs w:val="28"/>
            </w:rPr>
            <w:t>6</w:t>
          </w:r>
          <w:r>
            <w:rPr>
              <w:rFonts w:hint="eastAsia" w:ascii="宋体" w:eastAsia="宋体" w:cs="宋体"/>
              <w:sz w:val="28"/>
              <w:szCs w:val="28"/>
            </w:rPr>
            <w:fldChar w:fldCharType="end"/>
          </w:r>
          <w:r>
            <w:rPr>
              <w:rFonts w:hint="eastAsia" w:ascii="宋体" w:eastAsia="宋体" w:cs="宋体"/>
              <w:sz w:val="28"/>
              <w:szCs w:val="28"/>
            </w:rPr>
            <w:fldChar w:fldCharType="end"/>
          </w:r>
        </w:p>
        <w:p w14:paraId="024ABD63">
          <w:pPr>
            <w:pStyle w:val="16"/>
            <w:tabs>
              <w:tab w:val="right" w:leader="dot" w:pos="8296"/>
            </w:tabs>
            <w:spacing w:line="560" w:lineRule="exact"/>
            <w:rPr>
              <w:rFonts w:ascii="宋体" w:eastAsia="宋体" w:cs="宋体"/>
              <w:sz w:val="28"/>
              <w:szCs w:val="28"/>
            </w:rPr>
          </w:pPr>
          <w:r>
            <w:fldChar w:fldCharType="begin"/>
          </w:r>
          <w:r>
            <w:instrText xml:space="preserve"> HYPERLINK \l "_Toc174529588" </w:instrText>
          </w:r>
          <w:r>
            <w:fldChar w:fldCharType="separate"/>
          </w:r>
          <w:r>
            <w:rPr>
              <w:rFonts w:hint="eastAsia" w:ascii="宋体" w:eastAsia="宋体" w:cs="宋体"/>
              <w:sz w:val="28"/>
              <w:szCs w:val="28"/>
            </w:rPr>
            <w:t>（四）项目组织管理</w:t>
          </w:r>
          <w:r>
            <w:rPr>
              <w:rFonts w:hint="eastAsia" w:ascii="宋体" w:eastAsia="宋体" w:cs="宋体"/>
              <w:sz w:val="28"/>
              <w:szCs w:val="28"/>
            </w:rPr>
            <w:tab/>
          </w:r>
          <w:r>
            <w:rPr>
              <w:rFonts w:hint="eastAsia" w:ascii="宋体" w:eastAsia="宋体" w:cs="宋体"/>
              <w:sz w:val="28"/>
              <w:szCs w:val="28"/>
            </w:rPr>
            <w:fldChar w:fldCharType="begin"/>
          </w:r>
          <w:r>
            <w:rPr>
              <w:rFonts w:hint="eastAsia" w:ascii="宋体" w:eastAsia="宋体" w:cs="宋体"/>
              <w:sz w:val="28"/>
              <w:szCs w:val="28"/>
            </w:rPr>
            <w:instrText xml:space="preserve"> </w:instrText>
          </w:r>
          <w:r>
            <w:rPr>
              <w:rFonts w:ascii="宋体" w:eastAsia="宋体" w:cs="宋体"/>
              <w:sz w:val="28"/>
              <w:szCs w:val="28"/>
            </w:rPr>
            <w:instrText xml:space="preserve">PAGEREF _Toc174529588 \h</w:instrText>
          </w:r>
          <w:r>
            <w:rPr>
              <w:rFonts w:hint="eastAsia" w:ascii="宋体" w:eastAsia="宋体" w:cs="宋体"/>
              <w:sz w:val="28"/>
              <w:szCs w:val="28"/>
            </w:rPr>
            <w:instrText xml:space="preserve"> </w:instrText>
          </w:r>
          <w:r>
            <w:rPr>
              <w:rFonts w:hint="eastAsia" w:ascii="宋体" w:eastAsia="宋体" w:cs="宋体"/>
              <w:sz w:val="28"/>
              <w:szCs w:val="28"/>
            </w:rPr>
            <w:fldChar w:fldCharType="separate"/>
          </w:r>
          <w:r>
            <w:rPr>
              <w:rFonts w:ascii="宋体" w:eastAsia="宋体" w:cs="宋体"/>
              <w:sz w:val="28"/>
              <w:szCs w:val="28"/>
            </w:rPr>
            <w:t>6</w:t>
          </w:r>
          <w:r>
            <w:rPr>
              <w:rFonts w:hint="eastAsia" w:ascii="宋体" w:eastAsia="宋体" w:cs="宋体"/>
              <w:sz w:val="28"/>
              <w:szCs w:val="28"/>
            </w:rPr>
            <w:fldChar w:fldCharType="end"/>
          </w:r>
          <w:r>
            <w:rPr>
              <w:rFonts w:hint="eastAsia" w:ascii="宋体" w:eastAsia="宋体" w:cs="宋体"/>
              <w:sz w:val="28"/>
              <w:szCs w:val="28"/>
            </w:rPr>
            <w:fldChar w:fldCharType="end"/>
          </w:r>
        </w:p>
        <w:p w14:paraId="46014826">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"_Toc174529589" </w:instrText>
          </w:r>
          <w:r>
            <w:fldChar w:fldCharType="separate"/>
          </w:r>
          <w:r>
            <w:rPr>
              <w:rFonts w:hint="eastAsia" w:ascii="宋体" w:hAnsi="宋体" w:eastAsia="宋体" w:cs="宋体"/>
              <w:sz w:val="28"/>
              <w:szCs w:val="28"/>
            </w:rPr>
            <w:t>二、项目绩效目标</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_Toc174529589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EDF433">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"_Toc174529590" </w:instrText>
          </w:r>
          <w:r>
            <w:fldChar w:fldCharType="separate"/>
          </w:r>
          <w:r>
            <w:rPr>
              <w:rFonts w:hint="eastAsia" w:ascii="宋体" w:hAnsi="宋体" w:eastAsia="宋体" w:cs="宋体"/>
              <w:sz w:val="28"/>
              <w:szCs w:val="28"/>
            </w:rPr>
            <w:t>（一）总体目标</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_Toc174529590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C3AAC3A">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"_Toc174529591" </w:instrText>
          </w:r>
          <w:r>
            <w:fldChar w:fldCharType="separate"/>
          </w:r>
          <w:r>
            <w:rPr>
              <w:rFonts w:hint="eastAsia" w:ascii="宋体" w:hAnsi="宋体" w:eastAsia="宋体" w:cs="宋体"/>
              <w:sz w:val="28"/>
              <w:szCs w:val="28"/>
            </w:rPr>
            <w:t>（二）年度目标</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_Toc174529591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76009A5">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"_Toc174529592" </w:instrText>
          </w:r>
          <w:r>
            <w:fldChar w:fldCharType="separate"/>
          </w:r>
          <w:r>
            <w:rPr>
              <w:rFonts w:hint="eastAsia" w:ascii="宋体" w:hAnsi="宋体" w:eastAsia="宋体" w:cs="宋体"/>
              <w:sz w:val="28"/>
              <w:szCs w:val="28"/>
            </w:rPr>
            <w:t>三、评价基本情况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_Toc174529592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DCD38EF">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"_Toc174529593" </w:instrText>
          </w:r>
          <w:r>
            <w:fldChar w:fldCharType="separate"/>
          </w:r>
          <w:r>
            <w:rPr>
              <w:rFonts w:hint="eastAsia" w:ascii="宋体" w:hAnsi="宋体" w:eastAsia="宋体" w:cs="宋体"/>
              <w:sz w:val="28"/>
              <w:szCs w:val="28"/>
            </w:rPr>
            <w:t>（一）评价目的</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_Toc174529593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DAC5E28">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"_Toc174529594" </w:instrText>
          </w:r>
          <w:r>
            <w:fldChar w:fldCharType="separate"/>
          </w:r>
          <w:r>
            <w:rPr>
              <w:rFonts w:hint="eastAsia" w:ascii="宋体" w:hAnsi="宋体" w:eastAsia="宋体" w:cs="宋体"/>
              <w:sz w:val="28"/>
              <w:szCs w:val="28"/>
            </w:rPr>
            <w:t>（二）评价对象与范围</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_Toc174529594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D5D1A3F">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"_Toc174529595" </w:instrText>
          </w:r>
          <w:r>
            <w:fldChar w:fldCharType="separate"/>
          </w:r>
          <w:r>
            <w:rPr>
              <w:rFonts w:hint="eastAsia" w:ascii="宋体" w:hAnsi="宋体" w:eastAsia="宋体" w:cs="宋体"/>
              <w:sz w:val="28"/>
              <w:szCs w:val="28"/>
            </w:rPr>
            <w:t>（三）评价依据</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_Toc174529595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114229A">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"_Toc174529596" </w:instrText>
          </w:r>
          <w:r>
            <w:fldChar w:fldCharType="separate"/>
          </w:r>
          <w:r>
            <w:rPr>
              <w:rFonts w:hint="eastAsia" w:ascii="宋体" w:hAnsi="宋体" w:eastAsia="宋体" w:cs="宋体"/>
              <w:sz w:val="28"/>
              <w:szCs w:val="28"/>
            </w:rPr>
            <w:t>（四）评价原则、评价方法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_Toc174529596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B5A91A3">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"_Toc174529597" </w:instrText>
          </w:r>
          <w:r>
            <w:fldChar w:fldCharType="separate"/>
          </w:r>
          <w:r>
            <w:rPr>
              <w:rFonts w:hint="eastAsia" w:ascii="宋体" w:hAnsi="宋体" w:eastAsia="宋体" w:cs="宋体"/>
              <w:sz w:val="28"/>
              <w:szCs w:val="28"/>
            </w:rPr>
            <w:t>（五）绩效评价指标体系</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_Toc174529597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CA50D63">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"_Toc174529598" </w:instrText>
          </w:r>
          <w:r>
            <w:fldChar w:fldCharType="separate"/>
          </w:r>
          <w:r>
            <w:rPr>
              <w:rFonts w:hint="eastAsia" w:ascii="宋体" w:hAnsi="宋体" w:eastAsia="宋体" w:cs="宋体"/>
              <w:sz w:val="28"/>
              <w:szCs w:val="28"/>
            </w:rPr>
            <w:t>（六）绩效评价工作过程</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_Toc174529598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2A29411">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"_Toc174529599" </w:instrText>
          </w:r>
          <w:r>
            <w:fldChar w:fldCharType="separate"/>
          </w:r>
          <w:r>
            <w:rPr>
              <w:rFonts w:hint="eastAsia" w:ascii="宋体" w:hAnsi="宋体" w:eastAsia="宋体" w:cs="宋体"/>
              <w:sz w:val="28"/>
              <w:szCs w:val="28"/>
            </w:rPr>
            <w:t>四、评价结论及分析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_Toc174529599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E41E9D5">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"_Toc174529600" </w:instrText>
          </w:r>
          <w:r>
            <w:fldChar w:fldCharType="separate"/>
          </w:r>
          <w:r>
            <w:rPr>
              <w:rFonts w:hint="eastAsia" w:ascii="宋体" w:hAnsi="宋体" w:eastAsia="宋体" w:cs="宋体"/>
              <w:sz w:val="28"/>
              <w:szCs w:val="28"/>
            </w:rPr>
            <w:t>五、绩效评价指标分析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_Toc174529600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19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B2DACE2">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"_Toc174529601" </w:instrText>
          </w:r>
          <w:r>
            <w:fldChar w:fldCharType="separate"/>
          </w:r>
          <w:r>
            <w:rPr>
              <w:rFonts w:hint="eastAsia" w:ascii="宋体" w:hAnsi="宋体" w:eastAsia="宋体" w:cs="宋体"/>
              <w:sz w:val="28"/>
              <w:szCs w:val="28"/>
            </w:rPr>
            <w:t>（一）项目决策情况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_Toc174529601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FA2F05C">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"_Toc174529602" </w:instrText>
          </w:r>
          <w:r>
            <w:fldChar w:fldCharType="separate"/>
          </w:r>
          <w:r>
            <w:rPr>
              <w:rFonts w:hint="eastAsia" w:ascii="宋体" w:hAnsi="宋体" w:eastAsia="宋体" w:cs="宋体"/>
              <w:sz w:val="28"/>
              <w:szCs w:val="28"/>
            </w:rPr>
            <w:t>（二）项目过程情况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_Toc174529602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8EBBE27">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"_Toc174529603" </w:instrText>
          </w:r>
          <w:r>
            <w:fldChar w:fldCharType="separate"/>
          </w:r>
          <w:r>
            <w:rPr>
              <w:rFonts w:hint="eastAsia" w:ascii="宋体" w:hAnsi="宋体" w:eastAsia="宋体" w:cs="宋体"/>
              <w:sz w:val="28"/>
              <w:szCs w:val="28"/>
            </w:rPr>
            <w:t>（三）项目成本情况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_Toc174529603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6B63D019">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"_Toc174529604" </w:instrText>
          </w:r>
          <w:r>
            <w:fldChar w:fldCharType="separate"/>
          </w:r>
          <w:r>
            <w:rPr>
              <w:rFonts w:hint="eastAsia" w:ascii="宋体" w:hAnsi="宋体" w:eastAsia="宋体" w:cs="宋体"/>
              <w:sz w:val="28"/>
              <w:szCs w:val="28"/>
            </w:rPr>
            <w:t>（四）项目产出情况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_Toc174529604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D6A9522">
          <w:pPr>
            <w:pStyle w:val="16"/>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"_Toc174529605" </w:instrText>
          </w:r>
          <w:r>
            <w:fldChar w:fldCharType="separate"/>
          </w:r>
          <w:r>
            <w:rPr>
              <w:rFonts w:hint="eastAsia" w:ascii="宋体" w:hAnsi="宋体" w:eastAsia="宋体" w:cs="宋体"/>
              <w:sz w:val="28"/>
              <w:szCs w:val="28"/>
            </w:rPr>
            <w:t>（五）项目效益情况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_Toc174529605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EFFF529">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"_Toc174529606" </w:instrText>
          </w:r>
          <w:r>
            <w:fldChar w:fldCharType="separate"/>
          </w:r>
          <w:r>
            <w:rPr>
              <w:rFonts w:hint="eastAsia" w:ascii="宋体" w:hAnsi="宋体" w:eastAsia="宋体" w:cs="宋体"/>
              <w:sz w:val="28"/>
              <w:szCs w:val="28"/>
            </w:rPr>
            <w:t>六、项目主要经验及做法</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_Toc174529606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29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6C23F27">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"_Toc174529609" </w:instrText>
          </w:r>
          <w:r>
            <w:fldChar w:fldCharType="separate"/>
          </w:r>
          <w:r>
            <w:rPr>
              <w:rFonts w:hint="eastAsia" w:ascii="宋体" w:hAnsi="宋体" w:eastAsia="宋体" w:cs="宋体"/>
              <w:sz w:val="28"/>
              <w:szCs w:val="28"/>
            </w:rPr>
            <w:t>七、存在的问题及原因分析</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_Toc174529609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DD04B87">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"_Toc174529613" </w:instrText>
          </w:r>
          <w:r>
            <w:fldChar w:fldCharType="separate"/>
          </w:r>
          <w:r>
            <w:rPr>
              <w:rFonts w:hint="eastAsia" w:ascii="宋体" w:hAnsi="宋体" w:eastAsia="宋体" w:cs="宋体"/>
              <w:sz w:val="28"/>
              <w:szCs w:val="28"/>
            </w:rPr>
            <w:t>八、有关建议</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_Toc174529613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186284">
          <w:pPr>
            <w:pStyle w:val="15"/>
            <w:tabs>
              <w:tab w:val="right" w:leader="dot" w:pos="8296"/>
            </w:tabs>
            <w:spacing w:line="560" w:lineRule="exact"/>
            <w:rPr>
              <w:rFonts w:hint="eastAsia" w:ascii="宋体" w:hAnsi="宋体" w:eastAsia="宋体" w:cs="宋体"/>
              <w:sz w:val="28"/>
              <w:szCs w:val="28"/>
            </w:rPr>
          </w:pPr>
          <w:r>
            <w:fldChar w:fldCharType="begin"/>
          </w:r>
          <w:r>
            <w:instrText xml:space="preserve"> HYPERLINK \l "_Toc174529615" </w:instrText>
          </w:r>
          <w:r>
            <w:fldChar w:fldCharType="separate"/>
          </w:r>
          <w:r>
            <w:rPr>
              <w:rFonts w:hint="eastAsia" w:ascii="宋体" w:hAnsi="宋体" w:eastAsia="宋体" w:cs="宋体"/>
              <w:sz w:val="28"/>
              <w:szCs w:val="28"/>
            </w:rPr>
            <w:t>九、需要说明的问题</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w:instrText>
          </w:r>
          <w:r>
            <w:rPr>
              <w:rFonts w:ascii="宋体" w:hAnsi="宋体" w:eastAsia="宋体" w:cs="宋体"/>
              <w:sz w:val="28"/>
              <w:szCs w:val="28"/>
            </w:rPr>
            <w:instrText xml:space="preserve">PAGEREF _Toc174529615 \h</w:instrText>
          </w:r>
          <w:r>
            <w:rPr>
              <w:rFonts w:hint="eastAsia" w:ascii="宋体" w:hAnsi="宋体" w:eastAsia="宋体" w:cs="宋体"/>
              <w:sz w:val="28"/>
              <w:szCs w:val="28"/>
            </w:rPr>
            <w:instrText xml:space="preserve"> </w:instrText>
          </w:r>
          <w:r>
            <w:rPr>
              <w:rFonts w:hint="eastAsia" w:ascii="宋体" w:hAnsi="宋体" w:eastAsia="宋体" w:cs="宋体"/>
              <w:sz w:val="28"/>
              <w:szCs w:val="28"/>
            </w:rPr>
            <w:fldChar w:fldCharType="separate"/>
          </w:r>
          <w:r>
            <w:rPr>
              <w:rFonts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E3EBB8D">
          <w:pPr>
            <w:pStyle w:val="8"/>
            <w:overflowPunct w:val="0"/>
            <w:spacing w:line="560" w:lineRule="exact"/>
            <w:rPr>
              <w:rFonts w:hint="eastAsia" w:ascii="宋体" w:hAnsi="宋体" w:eastAsia="宋体"/>
              <w:b/>
              <w:bCs/>
              <w:szCs w:val="44"/>
              <w:highlight w:val="yellow"/>
            </w:rPr>
            <w:sectPr>
              <w:headerReference r:id="rId6" w:type="first"/>
              <w:footerReference r:id="rId8" w:type="first"/>
              <w:headerReference r:id="rId5" w:type="default"/>
              <w:footerReference r:id="rId7" w:type="default"/>
              <w:pgSz w:w="11906" w:h="16838"/>
              <w:pgMar w:top="1440" w:right="1800" w:bottom="1440" w:left="1800" w:header="851" w:footer="992" w:gutter="0"/>
              <w:pgNumType w:start="1"/>
              <w:cols w:space="425" w:num="1"/>
              <w:titlePg/>
              <w:docGrid w:type="lines" w:linePitch="312" w:charSpace="0"/>
            </w:sectPr>
          </w:pPr>
          <w:r>
            <w:rPr>
              <w:rFonts w:hint="eastAsia" w:ascii="宋体" w:hAnsi="宋体" w:eastAsia="宋体" w:cs="宋体"/>
              <w:bCs/>
              <w:sz w:val="28"/>
              <w:szCs w:val="28"/>
            </w:rPr>
            <w:fldChar w:fldCharType="end"/>
          </w:r>
        </w:p>
      </w:sdtContent>
    </w:sdt>
    <w:p w14:paraId="3169363B">
      <w:pPr>
        <w:pStyle w:val="8"/>
        <w:overflowPunct w:val="0"/>
        <w:spacing w:line="560" w:lineRule="exact"/>
        <w:jc w:val="center"/>
        <w:outlineLvl w:val="0"/>
        <w:rPr>
          <w:rFonts w:hint="eastAsia" w:ascii="方正小标宋简体" w:hAnsi="宋体" w:eastAsia="方正小标宋简体"/>
          <w:sz w:val="44"/>
          <w:szCs w:val="44"/>
        </w:rPr>
      </w:pPr>
      <w:bookmarkStart w:id="0" w:name="_Toc174529565"/>
      <w:r>
        <w:rPr>
          <w:rFonts w:hint="eastAsia" w:ascii="方正小标宋简体" w:hAnsi="宋体" w:eastAsia="方正小标宋简体"/>
          <w:sz w:val="44"/>
          <w:szCs w:val="44"/>
        </w:rPr>
        <w:t xml:space="preserve">摘 </w:t>
      </w:r>
      <w:r>
        <w:rPr>
          <w:rFonts w:ascii="方正小标宋简体" w:hAnsi="宋体" w:eastAsia="方正小标宋简体"/>
          <w:sz w:val="44"/>
          <w:szCs w:val="44"/>
        </w:rPr>
        <w:t xml:space="preserve">  </w:t>
      </w:r>
      <w:r>
        <w:rPr>
          <w:rFonts w:hint="eastAsia" w:ascii="方正小标宋简体" w:hAnsi="宋体" w:eastAsia="方正小标宋简体"/>
          <w:sz w:val="44"/>
          <w:szCs w:val="44"/>
        </w:rPr>
        <w:t>要</w:t>
      </w:r>
      <w:bookmarkEnd w:id="0"/>
    </w:p>
    <w:p w14:paraId="56B99103">
      <w:pPr>
        <w:overflowPunct w:val="0"/>
        <w:spacing w:line="560" w:lineRule="exact"/>
        <w:ind w:firstLine="420" w:firstLineChars="200"/>
        <w:jc w:val="center"/>
        <w:rPr>
          <w:highlight w:val="yellow"/>
        </w:rPr>
      </w:pPr>
    </w:p>
    <w:p w14:paraId="25809D5D">
      <w:pPr>
        <w:pStyle w:val="51"/>
        <w:spacing w:line="560" w:lineRule="exact"/>
        <w:rPr>
          <w:rFonts w:hint="eastAsia"/>
        </w:rPr>
      </w:pPr>
      <w:bookmarkStart w:id="1" w:name="_Toc13873"/>
      <w:bookmarkStart w:id="2" w:name="_Toc3638"/>
      <w:bookmarkStart w:id="3" w:name="_Toc174529566"/>
      <w:r>
        <w:rPr>
          <w:rFonts w:hint="eastAsia"/>
          <w:b/>
          <w:bCs w:val="0"/>
        </w:rPr>
        <w:t>一、</w:t>
      </w:r>
      <w:r>
        <w:rPr>
          <w:rFonts w:hint="eastAsia"/>
        </w:rPr>
        <w:t>项</w:t>
      </w:r>
      <w:r>
        <w:rPr>
          <w:rStyle w:val="45"/>
          <w:rFonts w:hint="eastAsia"/>
          <w:b w:val="0"/>
          <w:bCs/>
        </w:rPr>
        <w:t>目基本</w:t>
      </w:r>
      <w:r>
        <w:rPr>
          <w:rFonts w:hint="eastAsia"/>
        </w:rPr>
        <w:t>情况</w:t>
      </w:r>
      <w:bookmarkEnd w:id="1"/>
      <w:bookmarkEnd w:id="2"/>
      <w:bookmarkEnd w:id="3"/>
    </w:p>
    <w:p w14:paraId="4A4C55D8">
      <w:pPr>
        <w:pStyle w:val="8"/>
        <w:spacing w:line="560" w:lineRule="exact"/>
        <w:ind w:firstLine="643" w:firstLineChars="200"/>
        <w:outlineLvl w:val="1"/>
        <w:rPr>
          <w:rFonts w:hint="eastAsia" w:ascii="楷体" w:hAnsi="楷体" w:eastAsia="楷体" w:cs="楷体"/>
          <w:b/>
          <w:bCs/>
        </w:rPr>
      </w:pPr>
      <w:bookmarkStart w:id="4" w:name="_Toc174529567"/>
      <w:bookmarkStart w:id="5" w:name="_Toc30374"/>
      <w:bookmarkStart w:id="6" w:name="_Toc4031"/>
      <w:r>
        <w:rPr>
          <w:rFonts w:hint="eastAsia" w:ascii="楷体" w:hAnsi="楷体" w:eastAsia="楷体" w:cs="楷体"/>
          <w:b/>
          <w:bCs/>
        </w:rPr>
        <w:t>（一）项目</w:t>
      </w:r>
      <w:r>
        <w:rPr>
          <w:rStyle w:val="48"/>
          <w:rFonts w:hint="eastAsia"/>
        </w:rPr>
        <w:t>立项背景及实</w:t>
      </w:r>
      <w:r>
        <w:rPr>
          <w:rFonts w:hint="eastAsia" w:ascii="楷体" w:hAnsi="楷体" w:eastAsia="楷体" w:cs="楷体"/>
          <w:b/>
          <w:bCs/>
        </w:rPr>
        <w:t>施目的</w:t>
      </w:r>
      <w:bookmarkEnd w:id="4"/>
      <w:bookmarkEnd w:id="5"/>
      <w:bookmarkEnd w:id="6"/>
    </w:p>
    <w:p w14:paraId="2671CA81">
      <w:pPr>
        <w:pStyle w:val="49"/>
        <w:spacing w:line="560" w:lineRule="exact"/>
        <w:rPr>
          <w:rFonts w:hint="eastAsia"/>
        </w:rPr>
      </w:pPr>
      <w:bookmarkStart w:id="7" w:name="_Toc24239"/>
      <w:r>
        <w:rPr>
          <w:rFonts w:hint="eastAsia"/>
        </w:rPr>
        <w:t>在社会主义核心价</w:t>
      </w:r>
      <w:r>
        <w:rPr>
          <w:rFonts w:hint="eastAsia"/>
          <w:lang w:eastAsia="zh-CN"/>
        </w:rPr>
        <w:t>值观</w:t>
      </w:r>
      <w:r>
        <w:rPr>
          <w:rFonts w:hint="eastAsia"/>
        </w:rPr>
        <w:t>逐渐完善的当下，民族法制教育对于少数民族地区社会经济发展，法治边疆、边疆的经济发展具有重要的意义。然而，由于部分少数民族地区的经济、文化等较全国部分地区相对滞后，造成少数民族地区法制建设相对落后的情况。因此，该项目致力于少数民族地区的法制教学研究等活动，以推动少数民族地区的法制建设。主要用于打造中华民族共同体法治文化“四个基地”、加强少数民族法治文化建设，全面推进依法治国战略相关费用支出。</w:t>
      </w:r>
    </w:p>
    <w:p w14:paraId="72E80663">
      <w:pPr>
        <w:pStyle w:val="46"/>
        <w:spacing w:line="560" w:lineRule="exact"/>
        <w:rPr>
          <w:rFonts w:hint="eastAsia"/>
        </w:rPr>
      </w:pPr>
      <w:bookmarkStart w:id="8" w:name="_Toc15128"/>
      <w:bookmarkStart w:id="9" w:name="_Toc174529568"/>
      <w:r>
        <w:rPr>
          <w:rFonts w:hint="eastAsia"/>
        </w:rPr>
        <w:t>（二）项目预算安排和支出情况</w:t>
      </w:r>
      <w:bookmarkEnd w:id="7"/>
      <w:bookmarkEnd w:id="8"/>
      <w:bookmarkEnd w:id="9"/>
    </w:p>
    <w:p w14:paraId="2478D1BD">
      <w:pPr>
        <w:pStyle w:val="49"/>
        <w:spacing w:line="560" w:lineRule="exact"/>
        <w:rPr>
          <w:rFonts w:hint="eastAsia"/>
        </w:rPr>
      </w:pPr>
      <w:r>
        <w:rPr>
          <w:rFonts w:hint="eastAsia"/>
        </w:rPr>
        <w:t>2023年甘肃省法官学院少数民族法制教学研究经费全年预算数115.16万元。</w:t>
      </w:r>
    </w:p>
    <w:p w14:paraId="2D3FC00C">
      <w:pPr>
        <w:pStyle w:val="49"/>
        <w:spacing w:line="560" w:lineRule="exact"/>
        <w:rPr>
          <w:rFonts w:hint="eastAsia"/>
        </w:rPr>
      </w:pPr>
      <w:r>
        <w:rPr>
          <w:rFonts w:hint="eastAsia"/>
        </w:rPr>
        <w:t>截至2023年12月31日，少数民族法制教学研究经费项目实际支出115.16万元，预算执行率100.00%。</w:t>
      </w:r>
    </w:p>
    <w:p w14:paraId="1597F9E6">
      <w:pPr>
        <w:pStyle w:val="46"/>
        <w:spacing w:line="560" w:lineRule="exact"/>
        <w:rPr>
          <w:rFonts w:hint="eastAsia"/>
        </w:rPr>
      </w:pPr>
      <w:bookmarkStart w:id="10" w:name="_Toc174529569"/>
      <w:r>
        <w:rPr>
          <w:rFonts w:hint="eastAsia"/>
        </w:rPr>
        <w:t>（三）项目实施情况</w:t>
      </w:r>
      <w:bookmarkEnd w:id="10"/>
    </w:p>
    <w:p w14:paraId="1E01F3F0">
      <w:pPr>
        <w:pStyle w:val="49"/>
        <w:spacing w:line="560" w:lineRule="exact"/>
        <w:rPr>
          <w:rFonts w:hint="eastAsia"/>
        </w:rPr>
      </w:pPr>
      <w:bookmarkStart w:id="11" w:name="_Toc26463"/>
      <w:bookmarkStart w:id="12" w:name="_Toc29824"/>
      <w:r>
        <w:rPr>
          <w:rFonts w:hint="eastAsia"/>
        </w:rPr>
        <w:t>甘肃省法官学院实际开展课题5个以上，开展专题调研8次以上，在进行课题调研和专题调研的基础上，形成专题调研报告和论文10篇以上，促进了对民族地区法制文化的挖掘、整理、科研，展示了民族法制文化研究成果。</w:t>
      </w:r>
    </w:p>
    <w:p w14:paraId="0BB7F8A7">
      <w:pPr>
        <w:pStyle w:val="51"/>
        <w:spacing w:line="560" w:lineRule="exact"/>
        <w:rPr>
          <w:rFonts w:hint="eastAsia" w:ascii="仿宋" w:hAnsi="仿宋" w:eastAsia="仿宋" w:cs="仿宋"/>
        </w:rPr>
      </w:pPr>
      <w:bookmarkStart w:id="13" w:name="_Toc174529570"/>
      <w:r>
        <w:rPr>
          <w:rFonts w:hint="eastAsia"/>
        </w:rPr>
        <w:t>二、评价结论和绩效分析</w:t>
      </w:r>
      <w:bookmarkEnd w:id="11"/>
      <w:bookmarkEnd w:id="12"/>
      <w:bookmarkEnd w:id="13"/>
    </w:p>
    <w:p w14:paraId="604D9587">
      <w:pPr>
        <w:pStyle w:val="46"/>
        <w:spacing w:line="560" w:lineRule="exact"/>
        <w:rPr>
          <w:rFonts w:hint="eastAsia"/>
        </w:rPr>
      </w:pPr>
      <w:bookmarkStart w:id="14" w:name="_Toc174529571"/>
      <w:bookmarkStart w:id="15" w:name="_Toc3082"/>
      <w:bookmarkStart w:id="16" w:name="_Toc11898"/>
      <w:r>
        <w:rPr>
          <w:rFonts w:hint="eastAsia"/>
        </w:rPr>
        <w:t>（一）综合评价结论</w:t>
      </w:r>
      <w:bookmarkEnd w:id="14"/>
      <w:bookmarkEnd w:id="15"/>
      <w:bookmarkEnd w:id="16"/>
    </w:p>
    <w:p w14:paraId="2DFC74FA">
      <w:pPr>
        <w:pStyle w:val="49"/>
        <w:spacing w:line="560" w:lineRule="exact"/>
        <w:rPr>
          <w:rFonts w:hint="eastAsia"/>
        </w:rPr>
      </w:pPr>
      <w:r>
        <w:rPr>
          <w:rFonts w:hint="eastAsia"/>
        </w:rPr>
        <w:t>评价小组根据项目实际，运用事先设置的评价指标体系及评分标准，对本次绩效评价指标体系进行适当调整，并经过数据采集、问卷调查及访谈、专家论证等评价方法，客观公正地评价，评定2023年度少数民族法制教学研究经费项目综合评价得分为</w:t>
      </w:r>
      <w:r>
        <w:rPr>
          <w:rFonts w:hint="eastAsia"/>
          <w:b w:val="0"/>
          <w:bCs w:val="0"/>
        </w:rPr>
        <w:t>9</w:t>
      </w:r>
      <w:r>
        <w:rPr>
          <w:rFonts w:hint="eastAsia"/>
          <w:b w:val="0"/>
          <w:bCs w:val="0"/>
          <w:lang w:val="en-US" w:eastAsia="zh-CN"/>
        </w:rPr>
        <w:t>7.92</w:t>
      </w:r>
      <w:r>
        <w:rPr>
          <w:rFonts w:hint="eastAsia"/>
        </w:rPr>
        <w:t>分，评价等级为“优”。</w:t>
      </w:r>
    </w:p>
    <w:p w14:paraId="0BC16923">
      <w:pPr>
        <w:pStyle w:val="46"/>
        <w:spacing w:line="560" w:lineRule="exact"/>
        <w:rPr>
          <w:rFonts w:hint="eastAsia"/>
        </w:rPr>
      </w:pPr>
      <w:bookmarkStart w:id="17" w:name="_Toc174529572"/>
      <w:bookmarkStart w:id="18" w:name="_Toc24181"/>
      <w:bookmarkStart w:id="19" w:name="_Toc14316"/>
      <w:r>
        <w:rPr>
          <w:rFonts w:hint="eastAsia"/>
        </w:rPr>
        <w:t>（二）绩效分析</w:t>
      </w:r>
      <w:bookmarkEnd w:id="17"/>
      <w:bookmarkEnd w:id="18"/>
      <w:bookmarkEnd w:id="19"/>
    </w:p>
    <w:p w14:paraId="191A2F27">
      <w:pPr>
        <w:pStyle w:val="49"/>
        <w:spacing w:line="560" w:lineRule="exact"/>
        <w:rPr>
          <w:rFonts w:hint="eastAsia"/>
        </w:rPr>
      </w:pPr>
      <w:r>
        <w:rPr>
          <w:rFonts w:hint="eastAsia"/>
        </w:rPr>
        <w:t>评价认为，少数民族法制教学研究经费项目立项程序规范，依据充分，项目实施必要。在专项资金统一保障下，项目顺利开展，项目实施流程严谨，执行管理到位，资金使用效果良好。项目总体组织规范，通过项目实施，加强少数民族法治文化建设，全面推进依法治国。但该项目也存在绩效目标编制不合理、合同管理不规范的问题。</w:t>
      </w:r>
    </w:p>
    <w:p w14:paraId="1F11B111">
      <w:pPr>
        <w:pStyle w:val="51"/>
        <w:spacing w:line="560" w:lineRule="exact"/>
        <w:rPr>
          <w:rFonts w:hint="eastAsia"/>
        </w:rPr>
      </w:pPr>
      <w:bookmarkStart w:id="20" w:name="_Toc26660"/>
      <w:bookmarkStart w:id="21" w:name="_Toc174529573"/>
      <w:bookmarkStart w:id="22" w:name="_Toc16038"/>
      <w:r>
        <w:rPr>
          <w:rFonts w:hint="eastAsia"/>
        </w:rPr>
        <w:t>三、存在问题</w:t>
      </w:r>
      <w:bookmarkEnd w:id="20"/>
      <w:bookmarkEnd w:id="21"/>
      <w:bookmarkEnd w:id="22"/>
    </w:p>
    <w:p w14:paraId="373D0114">
      <w:pPr>
        <w:pStyle w:val="46"/>
        <w:spacing w:line="560" w:lineRule="exact"/>
        <w:rPr>
          <w:rStyle w:val="31"/>
          <w:rFonts w:hint="eastAsia" w:ascii="楷体" w:hAnsi="楷体" w:eastAsia="楷体"/>
          <w:b/>
        </w:rPr>
      </w:pPr>
      <w:bookmarkStart w:id="23" w:name="_Toc174529574"/>
      <w:bookmarkStart w:id="24" w:name="_Toc4321"/>
      <w:bookmarkStart w:id="25" w:name="_Toc16290"/>
      <w:bookmarkStart w:id="26" w:name="_Toc16824"/>
      <w:r>
        <w:rPr>
          <w:rStyle w:val="31"/>
          <w:rFonts w:hint="eastAsia" w:ascii="楷体" w:hAnsi="楷体" w:eastAsia="楷体"/>
          <w:b/>
        </w:rPr>
        <w:t>（一）项目绩效管理有待规范</w:t>
      </w:r>
      <w:bookmarkEnd w:id="23"/>
    </w:p>
    <w:p w14:paraId="01E12226">
      <w:pPr>
        <w:pStyle w:val="49"/>
        <w:spacing w:line="560" w:lineRule="exact"/>
        <w:rPr>
          <w:rFonts w:hint="eastAsia"/>
        </w:rPr>
      </w:pPr>
      <w:r>
        <w:rPr>
          <w:rFonts w:hint="eastAsia"/>
        </w:rPr>
        <w:t>数量指标-课题研究数量年度目标值设置=3个，实际完成值为5个</w:t>
      </w:r>
      <w:r>
        <w:rPr>
          <w:rFonts w:hint="eastAsia"/>
          <w:lang w:eastAsia="zh-CN"/>
        </w:rPr>
        <w:t>。</w:t>
      </w:r>
      <w:r>
        <w:rPr>
          <w:rFonts w:hint="eastAsia"/>
        </w:rPr>
        <w:t>绩效目标设置不合理，年度目标值设置偏低</w:t>
      </w:r>
      <w:r>
        <w:rPr>
          <w:rFonts w:hint="eastAsia"/>
          <w:lang w:eastAsia="zh-CN"/>
        </w:rPr>
        <w:t>，</w:t>
      </w:r>
      <w:r>
        <w:rPr>
          <w:rFonts w:hint="eastAsia"/>
        </w:rPr>
        <w:t>项目预期产出效益和效果不符合正常的业绩水平。</w:t>
      </w:r>
    </w:p>
    <w:p w14:paraId="0A567EED">
      <w:pPr>
        <w:overflowPunct w:val="0"/>
        <w:spacing w:line="560" w:lineRule="exact"/>
        <w:ind w:firstLine="643" w:firstLineChars="200"/>
        <w:outlineLvl w:val="1"/>
        <w:rPr>
          <w:rStyle w:val="31"/>
          <w:rFonts w:hint="eastAsia" w:ascii="楷体" w:hAnsi="楷体" w:eastAsia="楷体" w:cs="楷体"/>
        </w:rPr>
      </w:pPr>
      <w:bookmarkStart w:id="27" w:name="_Toc174529575"/>
      <w:r>
        <w:rPr>
          <w:rStyle w:val="31"/>
          <w:rFonts w:hint="eastAsia" w:ascii="楷体" w:hAnsi="楷体" w:eastAsia="楷体"/>
          <w:b/>
        </w:rPr>
        <w:t>（二）</w:t>
      </w:r>
      <w:bookmarkEnd w:id="27"/>
      <w:r>
        <w:rPr>
          <w:rStyle w:val="31"/>
          <w:rFonts w:hint="eastAsia" w:ascii="楷体" w:hAnsi="楷体" w:eastAsia="楷体" w:cs="楷体"/>
        </w:rPr>
        <w:t>合同管理不规范</w:t>
      </w:r>
    </w:p>
    <w:p w14:paraId="7959CC95">
      <w:pPr>
        <w:pStyle w:val="49"/>
        <w:spacing w:line="560" w:lineRule="exact"/>
        <w:rPr>
          <w:rFonts w:hint="eastAsia"/>
        </w:rPr>
      </w:pPr>
      <w:r>
        <w:rPr>
          <w:rFonts w:hint="eastAsia"/>
        </w:rPr>
        <w:t>经查验甘肃省法官学院相关合同协议、会计凭证等资料，存在个别合同服务起始日期早于合同签订日期，存在先开工后补签合同情况。</w:t>
      </w:r>
    </w:p>
    <w:bookmarkEnd w:id="24"/>
    <w:bookmarkEnd w:id="25"/>
    <w:bookmarkEnd w:id="26"/>
    <w:p w14:paraId="7DBD5184">
      <w:pPr>
        <w:pStyle w:val="51"/>
        <w:spacing w:line="560" w:lineRule="exact"/>
        <w:rPr>
          <w:rFonts w:hint="eastAsia"/>
        </w:rPr>
      </w:pPr>
      <w:bookmarkStart w:id="28" w:name="_Toc174529577"/>
      <w:bookmarkStart w:id="29" w:name="_Toc7706"/>
      <w:r>
        <w:rPr>
          <w:rFonts w:hint="eastAsia"/>
        </w:rPr>
        <w:t>四、有关建议</w:t>
      </w:r>
      <w:bookmarkEnd w:id="28"/>
      <w:bookmarkEnd w:id="29"/>
    </w:p>
    <w:p w14:paraId="72A8C481">
      <w:pPr>
        <w:pStyle w:val="46"/>
        <w:spacing w:line="560" w:lineRule="exact"/>
        <w:rPr>
          <w:rStyle w:val="31"/>
          <w:rFonts w:hint="eastAsia" w:ascii="楷体" w:hAnsi="楷体" w:eastAsia="楷体"/>
          <w:b/>
        </w:rPr>
      </w:pPr>
      <w:bookmarkStart w:id="30" w:name="_Toc174529578"/>
      <w:r>
        <w:rPr>
          <w:rStyle w:val="31"/>
          <w:rFonts w:hint="eastAsia" w:ascii="楷体" w:hAnsi="楷体" w:eastAsia="楷体"/>
          <w:b/>
        </w:rPr>
        <w:t>（一）加强绩效管理，提高资金使用效益</w:t>
      </w:r>
      <w:bookmarkEnd w:id="30"/>
    </w:p>
    <w:p w14:paraId="26C62DCA">
      <w:pPr>
        <w:pStyle w:val="49"/>
        <w:spacing w:line="560" w:lineRule="exact"/>
        <w:rPr>
          <w:rFonts w:hint="eastAsia"/>
          <w:highlight w:val="yellow"/>
        </w:rPr>
      </w:pPr>
      <w:r>
        <w:rPr>
          <w:rFonts w:hint="eastAsia"/>
        </w:rPr>
        <w:t>一是建议甘肃省法官学院加强预算编制的前瞻性，科学、合理地编制年度目标。二是建议甘肃省法官学院进行项目申报时，按照《甘肃省省级预算绩效目标管理办法》的要求，根据本年度项目计划内容和上年度工作量填报绩效目标申报表，绩效目标设定绩效指标时，绩效目标应与计划期内的任务数或计划数相对应，与预算确定的投资额或资金量相匹配；绩效目标应具有可行性，对完成任务目标具有约束力，不宜过高或过低，以更好地反映和考核项目绩效目标与项目实施的相符情况，提高预算管理水平。三是组织开展预算绩效管理相关业务知识和技能培训，帮助甘肃省法官学院相关的业务人员掌握编制绩效目标的原理和方法，从而提高绩效目标编制的水平和质量。</w:t>
      </w:r>
    </w:p>
    <w:p w14:paraId="41825E36">
      <w:pPr>
        <w:pStyle w:val="49"/>
        <w:spacing w:line="560" w:lineRule="exact"/>
        <w:rPr>
          <w:rStyle w:val="31"/>
          <w:rFonts w:hint="eastAsia" w:ascii="楷体" w:hAnsi="楷体" w:eastAsia="楷体"/>
          <w:b/>
        </w:rPr>
      </w:pPr>
      <w:bookmarkStart w:id="31" w:name="_Toc174529579"/>
      <w:r>
        <w:rPr>
          <w:rStyle w:val="31"/>
          <w:rFonts w:ascii="楷体" w:hAnsi="楷体" w:eastAsia="楷体"/>
          <w:b/>
        </w:rPr>
        <w:t>（</w:t>
      </w:r>
      <w:r>
        <w:rPr>
          <w:rStyle w:val="31"/>
          <w:rFonts w:hint="eastAsia" w:ascii="楷体" w:hAnsi="楷体" w:eastAsia="楷体"/>
          <w:b/>
        </w:rPr>
        <w:t>二</w:t>
      </w:r>
      <w:r>
        <w:rPr>
          <w:rStyle w:val="31"/>
          <w:rFonts w:ascii="楷体" w:hAnsi="楷体" w:eastAsia="楷体"/>
          <w:b/>
        </w:rPr>
        <w:t>）</w:t>
      </w:r>
      <w:bookmarkEnd w:id="31"/>
      <w:bookmarkStart w:id="32" w:name="_Toc174529580"/>
      <w:r>
        <w:rPr>
          <w:rStyle w:val="31"/>
          <w:rFonts w:hint="eastAsia" w:ascii="楷体" w:hAnsi="楷体" w:eastAsia="楷体"/>
          <w:b/>
        </w:rPr>
        <w:t>加强合同管理的规范性</w:t>
      </w:r>
      <w:bookmarkEnd w:id="32"/>
    </w:p>
    <w:p w14:paraId="58E05DC4">
      <w:pPr>
        <w:pStyle w:val="49"/>
        <w:spacing w:line="560" w:lineRule="exact"/>
        <w:rPr>
          <w:rFonts w:hint="eastAsia"/>
        </w:rPr>
      </w:pPr>
      <w:r>
        <w:rPr>
          <w:rFonts w:hint="eastAsia"/>
        </w:rPr>
        <w:t>规范合同签订管理，先开展招标工作后签订合同，避免先开展服务后补签合同情况的发生，确保合同内容符合有关规章制度的规定。</w:t>
      </w:r>
    </w:p>
    <w:p w14:paraId="672AE6B2">
      <w:pPr>
        <w:spacing w:line="560" w:lineRule="exact"/>
      </w:pPr>
    </w:p>
    <w:p w14:paraId="3DA7DC06">
      <w:pPr>
        <w:pStyle w:val="8"/>
        <w:overflowPunct w:val="0"/>
        <w:spacing w:line="560" w:lineRule="exact"/>
        <w:ind w:firstLine="640" w:firstLineChars="200"/>
        <w:rPr>
          <w:rFonts w:hint="eastAsia" w:ascii="仿宋_GB2312" w:hAnsi="仿宋_GB2312" w:cs="仿宋_GB2312"/>
          <w:highlight w:val="yellow"/>
        </w:rPr>
      </w:pPr>
      <w:bookmarkStart w:id="33" w:name="_Toc1784"/>
      <w:bookmarkStart w:id="34" w:name="_Toc2283"/>
    </w:p>
    <w:p w14:paraId="41916DAE">
      <w:pPr>
        <w:overflowPunct w:val="0"/>
        <w:spacing w:line="560" w:lineRule="exact"/>
        <w:jc w:val="center"/>
        <w:rPr>
          <w:rFonts w:hint="eastAsia" w:ascii="方正小标宋简体" w:hAnsi="宋体" w:eastAsia="方正小标宋简体"/>
          <w:sz w:val="44"/>
          <w:szCs w:val="44"/>
          <w:highlight w:val="yellow"/>
        </w:rPr>
        <w:sectPr>
          <w:headerReference r:id="rId9" w:type="first"/>
          <w:footerReference r:id="rId11" w:type="first"/>
          <w:footerReference r:id="rId10" w:type="default"/>
          <w:pgSz w:w="11906" w:h="16838"/>
          <w:pgMar w:top="1440" w:right="1803" w:bottom="1440" w:left="1633" w:header="851" w:footer="992" w:gutter="0"/>
          <w:pgNumType w:start="1"/>
          <w:cols w:space="0" w:num="1"/>
          <w:titlePg/>
          <w:docGrid w:type="lines" w:linePitch="312" w:charSpace="0"/>
        </w:sectPr>
      </w:pPr>
    </w:p>
    <w:p w14:paraId="50D44852">
      <w:pPr>
        <w:overflowPunct w:val="0"/>
        <w:spacing w:line="560" w:lineRule="exact"/>
        <w:jc w:val="center"/>
        <w:outlineLvl w:val="0"/>
        <w:rPr>
          <w:rFonts w:hint="eastAsia" w:ascii="方正小标宋简体" w:hAnsi="宋体" w:eastAsia="方正小标宋简体"/>
          <w:sz w:val="44"/>
          <w:szCs w:val="44"/>
        </w:rPr>
      </w:pPr>
      <w:bookmarkStart w:id="35" w:name="_Toc174529581"/>
      <w:bookmarkStart w:id="36" w:name="_Toc2289"/>
      <w:r>
        <w:rPr>
          <w:rFonts w:hint="eastAsia" w:ascii="方正小标宋简体" w:hAnsi="宋体" w:eastAsia="方正小标宋简体"/>
          <w:sz w:val="44"/>
          <w:szCs w:val="44"/>
        </w:rPr>
        <w:t>2023年度甘肃省高级人民法院重点项目</w:t>
      </w:r>
      <w:bookmarkEnd w:id="35"/>
      <w:bookmarkEnd w:id="36"/>
    </w:p>
    <w:p w14:paraId="69A5C643">
      <w:pPr>
        <w:overflowPunct w:val="0"/>
        <w:spacing w:line="560" w:lineRule="exact"/>
        <w:jc w:val="center"/>
        <w:outlineLvl w:val="0"/>
        <w:rPr>
          <w:rFonts w:hint="eastAsia" w:ascii="方正小标宋简体" w:hAnsi="宋体" w:eastAsia="方正小标宋简体"/>
          <w:sz w:val="44"/>
          <w:szCs w:val="44"/>
        </w:rPr>
      </w:pPr>
      <w:bookmarkStart w:id="37" w:name="_Toc7337"/>
      <w:bookmarkStart w:id="38" w:name="_Toc174529582"/>
      <w:r>
        <w:rPr>
          <w:rFonts w:hint="eastAsia" w:ascii="方正小标宋简体" w:hAnsi="宋体" w:eastAsia="方正小标宋简体"/>
          <w:sz w:val="44"/>
          <w:szCs w:val="44"/>
        </w:rPr>
        <w:t>—少数民族法制教学研究经费</w:t>
      </w:r>
      <w:bookmarkStart w:id="39" w:name="_Toc13609"/>
      <w:r>
        <w:rPr>
          <w:rFonts w:hint="eastAsia" w:ascii="方正小标宋简体" w:hAnsi="宋体" w:eastAsia="方正小标宋简体"/>
          <w:sz w:val="44"/>
          <w:szCs w:val="44"/>
        </w:rPr>
        <w:t>绩效评价报告</w:t>
      </w:r>
      <w:bookmarkEnd w:id="37"/>
      <w:bookmarkEnd w:id="38"/>
      <w:bookmarkEnd w:id="39"/>
    </w:p>
    <w:p w14:paraId="70273711">
      <w:pPr>
        <w:pStyle w:val="8"/>
        <w:overflowPunct w:val="0"/>
        <w:spacing w:before="156" w:beforeLines="50" w:after="156" w:afterLines="50" w:line="560" w:lineRule="exact"/>
        <w:ind w:firstLine="560" w:firstLineChars="200"/>
        <w:jc w:val="right"/>
        <w:outlineLvl w:val="0"/>
        <w:rPr>
          <w:rFonts w:ascii="黑体" w:eastAsia="黑体"/>
          <w:sz w:val="28"/>
          <w:szCs w:val="28"/>
        </w:rPr>
      </w:pPr>
      <w:bookmarkStart w:id="40" w:name="_Toc9789"/>
      <w:bookmarkStart w:id="41" w:name="_Toc13825"/>
      <w:bookmarkStart w:id="42" w:name="_Toc174529583"/>
      <w:bookmarkStart w:id="43" w:name="_Toc20544"/>
      <w:bookmarkStart w:id="44" w:name="_Toc11834"/>
      <w:bookmarkStart w:id="45" w:name="_Toc26720"/>
      <w:bookmarkStart w:id="46" w:name="_Toc28166"/>
      <w:r>
        <w:rPr>
          <w:rFonts w:hint="eastAsia" w:ascii="楷体" w:hAnsi="楷体" w:eastAsia="楷体" w:cs="楷体"/>
          <w:sz w:val="28"/>
          <w:szCs w:val="28"/>
        </w:rPr>
        <w:t>甘卓诚咨字【2024】第199号</w:t>
      </w:r>
      <w:bookmarkEnd w:id="40"/>
      <w:bookmarkEnd w:id="41"/>
      <w:bookmarkEnd w:id="42"/>
      <w:bookmarkEnd w:id="43"/>
      <w:bookmarkEnd w:id="44"/>
      <w:bookmarkEnd w:id="45"/>
    </w:p>
    <w:p w14:paraId="77D643CF">
      <w:pPr>
        <w:pStyle w:val="8"/>
        <w:overflowPunct w:val="0"/>
        <w:spacing w:line="560" w:lineRule="exact"/>
        <w:ind w:firstLine="640" w:firstLineChars="200"/>
        <w:outlineLvl w:val="0"/>
        <w:rPr>
          <w:rFonts w:ascii="黑体" w:eastAsia="黑体"/>
        </w:rPr>
      </w:pPr>
      <w:bookmarkStart w:id="47" w:name="_Toc174529584"/>
      <w:r>
        <w:rPr>
          <w:rFonts w:hint="eastAsia" w:ascii="黑体" w:eastAsia="黑体"/>
        </w:rPr>
        <w:t>一、项目基本情况</w:t>
      </w:r>
      <w:bookmarkEnd w:id="33"/>
      <w:bookmarkEnd w:id="34"/>
      <w:bookmarkEnd w:id="46"/>
      <w:bookmarkEnd w:id="47"/>
    </w:p>
    <w:p w14:paraId="34A4402B">
      <w:pPr>
        <w:pStyle w:val="8"/>
        <w:overflowPunct w:val="0"/>
        <w:spacing w:line="560" w:lineRule="exact"/>
        <w:ind w:firstLine="643" w:firstLineChars="200"/>
        <w:outlineLvl w:val="1"/>
        <w:rPr>
          <w:rFonts w:hint="eastAsia" w:ascii="楷体" w:hAnsi="楷体" w:eastAsia="楷体" w:cs="楷体"/>
          <w:b/>
          <w:bCs/>
        </w:rPr>
      </w:pPr>
      <w:bookmarkStart w:id="48" w:name="_Toc21843"/>
      <w:bookmarkStart w:id="49" w:name="_Toc11404"/>
      <w:bookmarkStart w:id="50" w:name="_Toc174529585"/>
      <w:r>
        <w:rPr>
          <w:rFonts w:hint="eastAsia" w:ascii="楷体" w:hAnsi="楷体" w:eastAsia="楷体" w:cs="楷体"/>
          <w:b/>
          <w:bCs/>
        </w:rPr>
        <w:t>（一）项目立项背景</w:t>
      </w:r>
      <w:bookmarkEnd w:id="48"/>
      <w:bookmarkEnd w:id="49"/>
      <w:bookmarkEnd w:id="50"/>
    </w:p>
    <w:p w14:paraId="0655ED47">
      <w:pPr>
        <w:pStyle w:val="49"/>
        <w:spacing w:line="560" w:lineRule="exact"/>
        <w:rPr>
          <w:rFonts w:hint="eastAsia"/>
        </w:rPr>
      </w:pPr>
      <w:bookmarkStart w:id="51" w:name="_Hlk174210330"/>
      <w:bookmarkStart w:id="52" w:name="_Toc27159"/>
      <w:bookmarkStart w:id="53" w:name="_Toc10699"/>
      <w:r>
        <w:rPr>
          <w:rFonts w:hint="eastAsia"/>
        </w:rPr>
        <w:t>为</w:t>
      </w:r>
      <w:r>
        <w:rPr>
          <w:rStyle w:val="50"/>
          <w:rFonts w:hint="eastAsia"/>
        </w:rPr>
        <w:t>达到以科研成果促进民族地区建设和司法实践的目标，甘肃省高级人民法院与各高校和少数民族法制研究机构合作，承办各类专题研讨会，促进对民族地区法制文化的挖掘、整理、科研，特别是在少数民</w:t>
      </w:r>
      <w:r>
        <w:rPr>
          <w:rFonts w:hint="eastAsia"/>
        </w:rPr>
        <w:t>族地区宣传依法治国理念，推进民族地区法治建设，实施依法治国和依法治省战略。</w:t>
      </w:r>
    </w:p>
    <w:p w14:paraId="5C8022F5">
      <w:pPr>
        <w:pStyle w:val="49"/>
        <w:spacing w:line="560" w:lineRule="exact"/>
        <w:rPr>
          <w:rFonts w:hint="eastAsia"/>
        </w:rPr>
      </w:pPr>
      <w:r>
        <w:rPr>
          <w:rFonts w:hint="eastAsia"/>
        </w:rPr>
        <w:t>在社会主义核心价</w:t>
      </w:r>
      <w:r>
        <w:rPr>
          <w:rFonts w:hint="eastAsia"/>
          <w:lang w:eastAsia="zh-CN"/>
        </w:rPr>
        <w:t>值观</w:t>
      </w:r>
      <w:r>
        <w:rPr>
          <w:rFonts w:hint="eastAsia"/>
        </w:rPr>
        <w:t>逐渐完善的当下，民族法制教育对于少数民</w:t>
      </w:r>
      <w:r>
        <w:rPr>
          <w:rStyle w:val="50"/>
          <w:rFonts w:hint="eastAsia"/>
        </w:rPr>
        <w:t>族地区社会经济发展，法治边疆、边疆的经济发展具有重要的意义。然而，由于部分少数民族地区的经济、文化等较全国部分地区相对滞后，</w:t>
      </w:r>
      <w:r>
        <w:rPr>
          <w:rFonts w:hint="eastAsia"/>
        </w:rPr>
        <w:t>造成少数民族地区法制建设相对落后的情况。因此，该项目致力于少数民族地区的法制教学研究等活动，以推动少数民族地区的法制建设。主要用于</w:t>
      </w:r>
      <w:bookmarkStart w:id="54" w:name="_Hlk174263582"/>
      <w:r>
        <w:rPr>
          <w:rFonts w:hint="eastAsia"/>
        </w:rPr>
        <w:t>打造中华民族共同体法治文化“四个基地”、加强少数民族法治文化建设，全面推进依法治国战略相关费用支出</w:t>
      </w:r>
      <w:bookmarkEnd w:id="54"/>
      <w:r>
        <w:rPr>
          <w:rFonts w:hint="eastAsia"/>
        </w:rPr>
        <w:t>。</w:t>
      </w:r>
    </w:p>
    <w:bookmarkEnd w:id="51"/>
    <w:p w14:paraId="12579DF8">
      <w:pPr>
        <w:pStyle w:val="46"/>
        <w:spacing w:line="560" w:lineRule="exact"/>
        <w:rPr>
          <w:rFonts w:hint="eastAsia"/>
        </w:rPr>
      </w:pPr>
      <w:bookmarkStart w:id="55" w:name="_Toc174529586"/>
      <w:r>
        <w:rPr>
          <w:rFonts w:hint="eastAsia"/>
        </w:rPr>
        <w:t>（二）项目预算安排及使用情况</w:t>
      </w:r>
      <w:bookmarkEnd w:id="52"/>
      <w:bookmarkEnd w:id="53"/>
      <w:bookmarkEnd w:id="55"/>
    </w:p>
    <w:p w14:paraId="323723BF">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1.预算安排情况</w:t>
      </w:r>
    </w:p>
    <w:p w14:paraId="5FFFE378">
      <w:pPr>
        <w:pStyle w:val="49"/>
        <w:spacing w:line="560" w:lineRule="exact"/>
        <w:rPr>
          <w:rFonts w:hint="eastAsia"/>
        </w:rPr>
      </w:pPr>
      <w:r>
        <w:rPr>
          <w:rFonts w:hint="eastAsia"/>
        </w:rPr>
        <w:t>少数民族法制教学研究经费主要用于打造中华民族共同体法治文化“四个基地”、加强少数民族法治文化建设，全面推进依法治国战略相关费用支出。根据甘肃省高级人民法院202</w:t>
      </w:r>
      <w:r>
        <w:rPr>
          <w:rFonts w:hint="eastAsia"/>
          <w:lang w:val="en-US" w:eastAsia="zh-CN"/>
        </w:rPr>
        <w:t>3</w:t>
      </w:r>
      <w:r>
        <w:rPr>
          <w:rFonts w:hint="eastAsia"/>
        </w:rPr>
        <w:t>年度预算安排，该项目安排全年预算资金115.16万元，其中当年财政拨款100.00万元，上年结转结余资金15.16万元。</w:t>
      </w:r>
    </w:p>
    <w:p w14:paraId="26D37C48">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2.资金使用情况</w:t>
      </w:r>
    </w:p>
    <w:p w14:paraId="7053C452">
      <w:pPr>
        <w:pStyle w:val="49"/>
        <w:spacing w:line="560" w:lineRule="exact"/>
        <w:rPr>
          <w:rFonts w:hint="eastAsia"/>
        </w:rPr>
      </w:pPr>
      <w:r>
        <w:rPr>
          <w:rFonts w:hint="eastAsia"/>
        </w:rPr>
        <w:t>截至2023年12月31日，少数民族法制教学研究经费项目实际支出115.16万元，预算执行率100.00%。</w:t>
      </w:r>
    </w:p>
    <w:p w14:paraId="3D9A31A9">
      <w:pPr>
        <w:pStyle w:val="46"/>
        <w:spacing w:line="560" w:lineRule="exact"/>
        <w:rPr>
          <w:rFonts w:hint="eastAsia"/>
        </w:rPr>
      </w:pPr>
      <w:bookmarkStart w:id="56" w:name="_Toc174529587"/>
      <w:bookmarkStart w:id="57" w:name="_Toc32586"/>
      <w:bookmarkStart w:id="58" w:name="_Toc15106"/>
      <w:r>
        <w:rPr>
          <w:rFonts w:hint="eastAsia"/>
        </w:rPr>
        <w:t>（三）项目计划内容及实施情况</w:t>
      </w:r>
      <w:bookmarkEnd w:id="56"/>
      <w:bookmarkEnd w:id="57"/>
      <w:bookmarkEnd w:id="58"/>
    </w:p>
    <w:p w14:paraId="7D2C588B">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1.项目计划内容</w:t>
      </w:r>
    </w:p>
    <w:p w14:paraId="149627C4">
      <w:pPr>
        <w:pStyle w:val="49"/>
        <w:spacing w:line="560" w:lineRule="exact"/>
        <w:rPr>
          <w:rFonts w:hint="eastAsia"/>
        </w:rPr>
      </w:pPr>
      <w:r>
        <w:rPr>
          <w:rFonts w:hint="eastAsia"/>
        </w:rPr>
        <w:t>甘肃省法官学院承办各类专题研讨会，并加大调研力度，组织撰写专题调研报告和论文；出版《民族法制文化研究》，以促进少数民族地区的司法建设。甘肃省法官学院计划2023年开展课题研究3个以上，开展专题调研8次以上，在进行课题调研和专题调研的基础上，形成专题调研报告和论文8篇以上，促进对民族地区法制文化的挖掘、整理、科研，展示民族法治文化研究成果。</w:t>
      </w:r>
    </w:p>
    <w:p w14:paraId="713704E9">
      <w:pPr>
        <w:pStyle w:val="8"/>
        <w:overflowPunct w:val="0"/>
        <w:spacing w:line="560" w:lineRule="exact"/>
        <w:ind w:firstLine="643" w:firstLineChars="200"/>
        <w:outlineLvl w:val="2"/>
        <w:rPr>
          <w:rFonts w:hint="eastAsia" w:ascii="仿宋_GB2312" w:hAnsi="仿宋_GB2312" w:cs="仿宋_GB2312"/>
          <w:b/>
          <w:bCs/>
          <w:color w:val="000000" w:themeColor="text1"/>
          <w14:textFill>
            <w14:solidFill>
              <w14:schemeClr w14:val="tx1"/>
            </w14:solidFill>
          </w14:textFill>
        </w:rPr>
      </w:pPr>
      <w:r>
        <w:rPr>
          <w:rFonts w:hint="eastAsia" w:ascii="仿宋_GB2312" w:hAnsi="仿宋_GB2312" w:cs="仿宋_GB2312"/>
          <w:b/>
          <w:bCs/>
          <w:color w:val="000000" w:themeColor="text1"/>
          <w14:textFill>
            <w14:solidFill>
              <w14:schemeClr w14:val="tx1"/>
            </w14:solidFill>
          </w14:textFill>
        </w:rPr>
        <w:t>2.项目实施情况</w:t>
      </w:r>
    </w:p>
    <w:p w14:paraId="09614E1E">
      <w:pPr>
        <w:pStyle w:val="49"/>
        <w:spacing w:line="560" w:lineRule="exact"/>
        <w:rPr>
          <w:rFonts w:hint="eastAsia"/>
        </w:rPr>
      </w:pPr>
      <w:bookmarkStart w:id="59" w:name="_Hlk174347085"/>
      <w:bookmarkStart w:id="60" w:name="_Toc25356"/>
      <w:bookmarkStart w:id="61" w:name="_Toc4490"/>
      <w:r>
        <w:rPr>
          <w:rFonts w:hint="eastAsia"/>
        </w:rPr>
        <w:t>甘肃省法官学院实际开展课题5个，开展专题调研8次以上，在进行课题调研和专题调研的基础上，形成专题调研报告和论文10篇以上，促进了对民族地区法制文化的挖掘、整理、科研，展示了民族法制文化研究成果。</w:t>
      </w:r>
    </w:p>
    <w:bookmarkEnd w:id="59"/>
    <w:p w14:paraId="74CC20B4">
      <w:pPr>
        <w:pStyle w:val="8"/>
        <w:overflowPunct w:val="0"/>
        <w:spacing w:line="560" w:lineRule="exact"/>
        <w:ind w:firstLine="643" w:firstLineChars="200"/>
        <w:outlineLvl w:val="1"/>
        <w:rPr>
          <w:rFonts w:hint="eastAsia" w:ascii="楷体" w:hAnsi="楷体" w:eastAsia="楷体" w:cs="楷体"/>
          <w:b/>
          <w:bCs/>
        </w:rPr>
      </w:pPr>
      <w:bookmarkStart w:id="62" w:name="_Toc174529588"/>
      <w:r>
        <w:rPr>
          <w:rFonts w:hint="eastAsia" w:ascii="楷体" w:hAnsi="楷体" w:eastAsia="楷体" w:cs="楷体"/>
          <w:b/>
          <w:bCs/>
        </w:rPr>
        <w:t>（四）项目组织管理</w:t>
      </w:r>
      <w:bookmarkEnd w:id="60"/>
      <w:bookmarkEnd w:id="61"/>
      <w:bookmarkEnd w:id="62"/>
    </w:p>
    <w:p w14:paraId="4A129984">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1.项目组织流程</w:t>
      </w:r>
    </w:p>
    <w:p w14:paraId="5023E186">
      <w:pPr>
        <w:pStyle w:val="49"/>
        <w:spacing w:line="560" w:lineRule="exact"/>
        <w:rPr>
          <w:rFonts w:hint="eastAsia"/>
        </w:rPr>
      </w:pPr>
      <w:r>
        <w:rPr>
          <w:rFonts w:hint="eastAsia"/>
        </w:rPr>
        <w:t>预算资金拨付单位：甘肃省财政厅是项目预算资金的拨付单位，负责项目预算的审核批复，保证少数民族法制教学研究经费项目资金及时、足额拨付到位，对资金使用情况进行监督管理。</w:t>
      </w:r>
    </w:p>
    <w:p w14:paraId="66D8A080">
      <w:pPr>
        <w:pStyle w:val="49"/>
        <w:spacing w:line="560" w:lineRule="exact"/>
        <w:rPr>
          <w:rFonts w:hint="eastAsia"/>
        </w:rPr>
      </w:pPr>
      <w:r>
        <w:rPr>
          <w:rFonts w:hint="eastAsia"/>
        </w:rPr>
        <w:t>项目主管部门：甘肃省高级人民法院是项目的主管部门，负责开展监督管理和绩效考评等工作，并对资金分配和使用的全过程进行监督、检查、评估、考核及奖惩，保证资金有效使用等。</w:t>
      </w:r>
    </w:p>
    <w:p w14:paraId="25850DD7">
      <w:pPr>
        <w:pStyle w:val="49"/>
        <w:spacing w:line="560" w:lineRule="exact"/>
        <w:rPr>
          <w:rFonts w:hint="eastAsia"/>
        </w:rPr>
      </w:pPr>
      <w:r>
        <w:rPr>
          <w:rFonts w:hint="eastAsia"/>
        </w:rPr>
        <w:t>组织实施部门：甘肃省法官学院是项目的组织实施部门，负责少数民族法制教学研究经费项目具体实施。</w:t>
      </w:r>
    </w:p>
    <w:p w14:paraId="0A4E93B7">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2.项目实施流程</w:t>
      </w:r>
    </w:p>
    <w:p w14:paraId="70225F39">
      <w:pPr>
        <w:pStyle w:val="49"/>
        <w:spacing w:line="560" w:lineRule="exact"/>
        <w:rPr>
          <w:rFonts w:hint="eastAsia"/>
        </w:rPr>
      </w:pPr>
      <w:r>
        <w:rPr>
          <w:rFonts w:hint="eastAsia"/>
        </w:rPr>
        <w:t>少数民族法制教学研究经费项目的实施大体分为制定年度工作计划、项目执行和资金支付三个阶段。</w:t>
      </w:r>
    </w:p>
    <w:p w14:paraId="4E0889FA">
      <w:pPr>
        <w:pStyle w:val="49"/>
        <w:spacing w:line="560" w:lineRule="exact"/>
        <w:rPr>
          <w:rFonts w:hint="eastAsia"/>
        </w:rPr>
      </w:pPr>
      <w:r>
        <w:rPr>
          <w:rFonts w:hint="eastAsia"/>
        </w:rPr>
        <w:t>（1）制定年度工作计划。预算执行部门制定年度工作计划，编制项目预算和绩效目标。在编制下一年度项目预算之前，首先制定下一年度的少数民族法制教学研究相关工作及相应的资金使用计划，在初步明确下一年度工作计划和资金使用计划的基础上，依据工作计划和资金使用计划、有关年度预算编制要求以及往年项目预算和经费支出情况合理测算和编制项目经费预算和绩效目标，经审核通过后报省财政厅审批，省财政厅按规定程序批复下达项目预算。</w:t>
      </w:r>
    </w:p>
    <w:p w14:paraId="58058691">
      <w:pPr>
        <w:pStyle w:val="49"/>
        <w:spacing w:line="560" w:lineRule="exact"/>
        <w:rPr>
          <w:rFonts w:hint="eastAsia"/>
        </w:rPr>
      </w:pPr>
      <w:r>
        <w:rPr>
          <w:rFonts w:hint="eastAsia"/>
        </w:rPr>
        <w:t>（2）项目执行。项目预算和绩效目标批复下达以后，甘肃省法官学院按照工作计划、项目预算以及绩效目标组织开展设备采购工作，完成年初制定的工作计划。</w:t>
      </w:r>
    </w:p>
    <w:p w14:paraId="39830EF6">
      <w:pPr>
        <w:pStyle w:val="49"/>
        <w:spacing w:line="560" w:lineRule="exact"/>
        <w:rPr>
          <w:rFonts w:hint="eastAsia"/>
        </w:rPr>
      </w:pPr>
      <w:r>
        <w:rPr>
          <w:rFonts w:hint="eastAsia"/>
        </w:rPr>
        <w:t>（3）资金支付。在组织正常开展项目实施工作的基础上，严格按照项目预算、内部管理制度流程以及项目进度要求完成项目经费支付以及相应的会计核算工作。</w:t>
      </w:r>
    </w:p>
    <w:p w14:paraId="1510BA1E">
      <w:pPr>
        <w:pStyle w:val="8"/>
        <w:overflowPunct w:val="0"/>
        <w:spacing w:line="560" w:lineRule="exact"/>
        <w:ind w:firstLine="643" w:firstLineChars="200"/>
        <w:rPr>
          <w:rFonts w:hint="eastAsia" w:ascii="仿宋_GB2312" w:hAnsi="仿宋_GB2312" w:cs="仿宋_GB2312"/>
          <w:b/>
          <w:bCs/>
        </w:rPr>
      </w:pPr>
      <w:r>
        <w:rPr>
          <w:rFonts w:hint="eastAsia" w:ascii="仿宋_GB2312" w:hAnsi="仿宋_GB2312" w:cs="仿宋_GB2312"/>
          <w:b/>
          <w:bCs/>
        </w:rPr>
        <w:t>3.资金管理流程</w:t>
      </w:r>
    </w:p>
    <w:p w14:paraId="1BED2E2F">
      <w:pPr>
        <w:pStyle w:val="49"/>
        <w:spacing w:line="560" w:lineRule="exact"/>
        <w:rPr>
          <w:rFonts w:hint="eastAsia"/>
        </w:rPr>
      </w:pPr>
      <w:bookmarkStart w:id="63" w:name="_Toc29508"/>
      <w:bookmarkStart w:id="64" w:name="_Toc319"/>
      <w:r>
        <w:rPr>
          <w:rFonts w:hint="eastAsia"/>
        </w:rPr>
        <w:t>《甘肃省法官学院财务管理办法》明确规定了经费报销实行统一审核，分级审批，基本原则是执行国家有关</w:t>
      </w:r>
      <w:r>
        <w:rPr>
          <w:rFonts w:hint="eastAsia"/>
          <w:lang w:eastAsia="zh-CN"/>
        </w:rPr>
        <w:t>法律法规</w:t>
      </w:r>
      <w:r>
        <w:rPr>
          <w:rFonts w:hint="eastAsia"/>
        </w:rPr>
        <w:t>和财务规章制度遵守政府会计准则，厉行节约，量入为出，保证重点，兼顾一般为中心，充分发挥资金的使用效益。</w:t>
      </w:r>
    </w:p>
    <w:p w14:paraId="512B9D0A">
      <w:pPr>
        <w:pStyle w:val="51"/>
        <w:spacing w:line="560" w:lineRule="exact"/>
        <w:rPr>
          <w:rFonts w:hint="eastAsia"/>
        </w:rPr>
      </w:pPr>
      <w:bookmarkStart w:id="65" w:name="_Toc174529589"/>
      <w:r>
        <w:rPr>
          <w:rFonts w:hint="eastAsia"/>
        </w:rPr>
        <w:t>二、项目绩效目标</w:t>
      </w:r>
      <w:bookmarkEnd w:id="63"/>
      <w:bookmarkEnd w:id="64"/>
      <w:bookmarkEnd w:id="65"/>
    </w:p>
    <w:p w14:paraId="7DE1CB48">
      <w:pPr>
        <w:pStyle w:val="46"/>
        <w:spacing w:line="560" w:lineRule="exact"/>
        <w:rPr>
          <w:rFonts w:hint="eastAsia"/>
        </w:rPr>
      </w:pPr>
      <w:bookmarkStart w:id="66" w:name="_Toc28577"/>
      <w:bookmarkStart w:id="67" w:name="_Toc21140"/>
      <w:bookmarkStart w:id="68" w:name="_Toc174529590"/>
      <w:r>
        <w:rPr>
          <w:rFonts w:hint="eastAsia"/>
        </w:rPr>
        <w:t>（一）总体目标</w:t>
      </w:r>
      <w:bookmarkEnd w:id="66"/>
      <w:bookmarkEnd w:id="67"/>
      <w:bookmarkEnd w:id="68"/>
    </w:p>
    <w:p w14:paraId="17E70B8C">
      <w:pPr>
        <w:pStyle w:val="49"/>
        <w:spacing w:line="560" w:lineRule="exact"/>
        <w:rPr>
          <w:rFonts w:hint="eastAsia"/>
        </w:rPr>
      </w:pPr>
      <w:bookmarkStart w:id="69" w:name="_Toc32085"/>
      <w:bookmarkStart w:id="70" w:name="_Toc26047"/>
      <w:r>
        <w:rPr>
          <w:rFonts w:hint="eastAsia"/>
        </w:rPr>
        <w:t>为达到以科研成果促进民族地区建设和司法实践的目标，甘肃省高级人民法院与各高校和少数民族法制研究机构合作，承办各类专题研讨会，促进对民族地区法制文化的挖掘、整理、科研，特别是在少数民族地区宣传依法治国理念，推进民族地区法治建设，实施依法治国和依法治省战略。</w:t>
      </w:r>
    </w:p>
    <w:p w14:paraId="54C58856">
      <w:pPr>
        <w:pStyle w:val="46"/>
        <w:spacing w:line="560" w:lineRule="exact"/>
        <w:rPr>
          <w:rFonts w:hint="eastAsia"/>
        </w:rPr>
      </w:pPr>
      <w:bookmarkStart w:id="71" w:name="_Toc174529591"/>
      <w:r>
        <w:rPr>
          <w:rFonts w:hint="eastAsia"/>
        </w:rPr>
        <w:t>（二）年度目标</w:t>
      </w:r>
      <w:bookmarkEnd w:id="69"/>
      <w:bookmarkEnd w:id="70"/>
      <w:bookmarkEnd w:id="71"/>
    </w:p>
    <w:p w14:paraId="4E4D6719">
      <w:pPr>
        <w:pStyle w:val="49"/>
        <w:spacing w:line="560" w:lineRule="exact"/>
        <w:rPr>
          <w:rFonts w:hint="eastAsia"/>
        </w:rPr>
      </w:pPr>
      <w:bookmarkStart w:id="72" w:name="_Toc7330"/>
      <w:bookmarkStart w:id="73" w:name="_Toc11613"/>
      <w:r>
        <w:rPr>
          <w:rFonts w:hint="eastAsia"/>
        </w:rPr>
        <w:t>甘肃省法官学院计划2023年开展课题研究3个以上，开展专题调研8次以上，在进行课题调研和专题调研的基础上，形成专题调研报告和论文8篇以上，促进对民族地区法制文化的挖掘、整理、科研，展示民族法治文化研究成果。具体指标详见下表：</w:t>
      </w:r>
      <w:bookmarkEnd w:id="72"/>
      <w:bookmarkEnd w:id="73"/>
    </w:p>
    <w:tbl>
      <w:tblPr>
        <w:tblStyle w:val="18"/>
        <w:tblpPr w:leftFromText="180" w:rightFromText="180" w:vertAnchor="text" w:horzAnchor="page" w:tblpX="1736" w:tblpY="28"/>
        <w:tblOverlap w:val="never"/>
        <w:tblW w:w="4895" w:type="pct"/>
        <w:tblInd w:w="0" w:type="dxa"/>
        <w:tblLayout w:type="autofit"/>
        <w:tblCellMar>
          <w:top w:w="0" w:type="dxa"/>
          <w:left w:w="108" w:type="dxa"/>
          <w:bottom w:w="0" w:type="dxa"/>
          <w:right w:w="108" w:type="dxa"/>
        </w:tblCellMar>
      </w:tblPr>
      <w:tblGrid>
        <w:gridCol w:w="1628"/>
        <w:gridCol w:w="1777"/>
        <w:gridCol w:w="3242"/>
        <w:gridCol w:w="1857"/>
      </w:tblGrid>
      <w:tr w14:paraId="572921A3">
        <w:tblPrEx>
          <w:tblCellMar>
            <w:top w:w="0" w:type="dxa"/>
            <w:left w:w="108" w:type="dxa"/>
            <w:bottom w:w="0" w:type="dxa"/>
            <w:right w:w="108" w:type="dxa"/>
          </w:tblCellMar>
        </w:tblPrEx>
        <w:trPr>
          <w:trHeight w:val="567" w:hRule="atLeast"/>
        </w:trPr>
        <w:tc>
          <w:tcPr>
            <w:tcW w:w="957" w:type="pct"/>
            <w:tcBorders>
              <w:top w:val="single" w:color="000000" w:sz="4" w:space="0"/>
              <w:left w:val="single" w:color="000000" w:sz="4" w:space="0"/>
              <w:bottom w:val="single" w:color="auto" w:sz="4" w:space="0"/>
              <w:right w:val="single" w:color="000000" w:sz="4" w:space="0"/>
            </w:tcBorders>
            <w:shd w:val="clear" w:color="auto" w:fill="auto"/>
            <w:vAlign w:val="center"/>
          </w:tcPr>
          <w:p w14:paraId="5EB297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bookmarkStart w:id="74" w:name="_Toc24688"/>
            <w:bookmarkStart w:id="75" w:name="_Toc11016"/>
            <w:r>
              <w:rPr>
                <w:rFonts w:hint="eastAsia" w:ascii="宋体" w:hAnsi="宋体" w:eastAsia="宋体" w:cs="宋体"/>
                <w:b/>
                <w:bCs/>
                <w:kern w:val="0"/>
                <w:sz w:val="20"/>
                <w:szCs w:val="20"/>
                <w:lang w:bidi="ar"/>
              </w:rPr>
              <w:t>一级指标</w:t>
            </w:r>
          </w:p>
        </w:tc>
        <w:tc>
          <w:tcPr>
            <w:tcW w:w="10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EB3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2F9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FF91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r>
      <w:tr w14:paraId="15D28CE3">
        <w:tblPrEx>
          <w:tblCellMar>
            <w:top w:w="0" w:type="dxa"/>
            <w:left w:w="108" w:type="dxa"/>
            <w:bottom w:w="0" w:type="dxa"/>
            <w:right w:w="108" w:type="dxa"/>
          </w:tblCellMar>
        </w:tblPrEx>
        <w:trPr>
          <w:trHeight w:val="567" w:hRule="atLeast"/>
        </w:trPr>
        <w:tc>
          <w:tcPr>
            <w:tcW w:w="957" w:type="pct"/>
            <w:tcBorders>
              <w:top w:val="single" w:color="auto" w:sz="4" w:space="0"/>
              <w:left w:val="single" w:color="auto" w:sz="4" w:space="0"/>
              <w:bottom w:val="single" w:color="auto" w:sz="4" w:space="0"/>
              <w:right w:val="single" w:color="auto" w:sz="4" w:space="0"/>
            </w:tcBorders>
            <w:shd w:val="clear" w:color="auto" w:fill="auto"/>
            <w:vAlign w:val="center"/>
          </w:tcPr>
          <w:p w14:paraId="268059B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成本指标</w:t>
            </w:r>
          </w:p>
        </w:tc>
        <w:tc>
          <w:tcPr>
            <w:tcW w:w="1045" w:type="pct"/>
            <w:tcBorders>
              <w:top w:val="single" w:color="000000" w:sz="4" w:space="0"/>
              <w:left w:val="single" w:color="auto" w:sz="4" w:space="0"/>
              <w:bottom w:val="single" w:color="auto" w:sz="4" w:space="0"/>
              <w:right w:val="single" w:color="000000" w:sz="4" w:space="0"/>
            </w:tcBorders>
            <w:shd w:val="clear" w:color="auto" w:fill="auto"/>
            <w:vAlign w:val="center"/>
          </w:tcPr>
          <w:p w14:paraId="47657F0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经济成本指标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0FE3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成本控制情况</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429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预算内</w:t>
            </w:r>
          </w:p>
        </w:tc>
      </w:tr>
      <w:tr w14:paraId="0A6AC50D">
        <w:tblPrEx>
          <w:tblCellMar>
            <w:top w:w="0" w:type="dxa"/>
            <w:left w:w="108" w:type="dxa"/>
            <w:bottom w:w="0" w:type="dxa"/>
            <w:right w:w="108" w:type="dxa"/>
          </w:tblCellMar>
        </w:tblPrEx>
        <w:trPr>
          <w:trHeight w:val="567" w:hRule="atLeast"/>
        </w:trPr>
        <w:tc>
          <w:tcPr>
            <w:tcW w:w="9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FB1945">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产出指标</w:t>
            </w:r>
          </w:p>
        </w:tc>
        <w:tc>
          <w:tcPr>
            <w:tcW w:w="1045" w:type="pct"/>
            <w:vMerge w:val="restart"/>
            <w:tcBorders>
              <w:top w:val="single" w:color="000000" w:sz="4" w:space="0"/>
              <w:left w:val="single" w:color="auto" w:sz="4" w:space="0"/>
              <w:bottom w:val="single" w:color="auto" w:sz="4" w:space="0"/>
              <w:right w:val="single" w:color="000000" w:sz="4" w:space="0"/>
            </w:tcBorders>
            <w:shd w:val="clear" w:color="auto" w:fill="auto"/>
            <w:vAlign w:val="center"/>
          </w:tcPr>
          <w:p w14:paraId="1E2FB14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数量指标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955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撰写专题调研报告和论文篇数</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6FD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=8篇</w:t>
            </w:r>
          </w:p>
        </w:tc>
      </w:tr>
      <w:tr w14:paraId="37FC5D56">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CF9F70">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2E442F8">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0F4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课题研究数量</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5E2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=3个</w:t>
            </w:r>
          </w:p>
        </w:tc>
      </w:tr>
      <w:tr w14:paraId="40007A85">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301C23">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1539235">
            <w:pPr>
              <w:keepNext w:val="0"/>
              <w:keepLines w:val="0"/>
              <w:pageBreakBefore w:val="0"/>
              <w:tabs>
                <w:tab w:val="left" w:pos="104"/>
              </w:tabs>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96F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开展专题调研次数</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CA53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=8次</w:t>
            </w:r>
          </w:p>
        </w:tc>
      </w:tr>
      <w:tr w14:paraId="48F2C394">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EC4FE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289809F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质量指标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5B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课题报告形成率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9B20">
            <w:pPr>
              <w:keepNext w:val="0"/>
              <w:keepLines w:val="0"/>
              <w:pageBreakBefore w:val="0"/>
              <w:widowControl/>
              <w:kinsoku/>
              <w:wordWrap/>
              <w:overflowPunct/>
              <w:topLinePunct w:val="0"/>
              <w:autoSpaceDE/>
              <w:autoSpaceDN/>
              <w:bidi w:val="0"/>
              <w:adjustRightInd/>
              <w:snapToGrid/>
              <w:spacing w:line="240" w:lineRule="auto"/>
              <w:jc w:val="center"/>
              <w:textAlignment w:val="center"/>
              <w:rPr>
                <w:rStyle w:val="37"/>
                <w:rFonts w:hint="eastAsia" w:ascii="宋体" w:hAnsi="宋体" w:eastAsia="宋体" w:cs="宋体"/>
                <w:lang w:bidi="ar"/>
              </w:rPr>
            </w:pPr>
            <w:r>
              <w:rPr>
                <w:rFonts w:ascii="宋体" w:hAnsi="宋体" w:eastAsia="宋体" w:cs="宋体"/>
                <w:color w:val="000000"/>
                <w:kern w:val="0"/>
                <w:sz w:val="20"/>
                <w:szCs w:val="20"/>
                <w:lang w:bidi="ar"/>
              </w:rPr>
              <w:t>≥98%</w:t>
            </w:r>
          </w:p>
        </w:tc>
      </w:tr>
      <w:tr w14:paraId="637F44B0">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B28C6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3748CE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55C2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课题成果、论文验收通过率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7CC9E">
            <w:pPr>
              <w:keepNext w:val="0"/>
              <w:keepLines w:val="0"/>
              <w:pageBreakBefore w:val="0"/>
              <w:kinsoku/>
              <w:wordWrap/>
              <w:overflowPunct/>
              <w:topLinePunct w:val="0"/>
              <w:autoSpaceDE/>
              <w:autoSpaceDN/>
              <w:bidi w:val="0"/>
              <w:adjustRightInd/>
              <w:snapToGrid/>
              <w:spacing w:line="240" w:lineRule="auto"/>
              <w:jc w:val="center"/>
              <w:rPr>
                <w:rStyle w:val="37"/>
                <w:rFonts w:hint="eastAsia" w:ascii="宋体" w:hAnsi="宋体" w:eastAsia="宋体" w:cs="宋体"/>
                <w:lang w:bidi="ar"/>
              </w:rPr>
            </w:pPr>
            <w:r>
              <w:rPr>
                <w:rFonts w:ascii="宋体" w:hAnsi="宋体" w:eastAsia="宋体" w:cs="宋体"/>
                <w:color w:val="000000"/>
                <w:kern w:val="0"/>
                <w:sz w:val="20"/>
                <w:szCs w:val="20"/>
                <w:lang w:bidi="ar"/>
              </w:rPr>
              <w:t>=100.00%</w:t>
            </w:r>
          </w:p>
        </w:tc>
      </w:tr>
      <w:tr w14:paraId="50B8AF50">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74B04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restart"/>
            <w:tcBorders>
              <w:top w:val="single" w:color="auto" w:sz="4" w:space="0"/>
              <w:left w:val="single" w:color="auto" w:sz="4" w:space="0"/>
              <w:right w:val="single" w:color="000000" w:sz="4" w:space="0"/>
            </w:tcBorders>
            <w:shd w:val="clear" w:color="auto" w:fill="auto"/>
            <w:vAlign w:val="center"/>
          </w:tcPr>
          <w:p w14:paraId="6C3DE4F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时效指标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354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出版印刷及时性</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5BE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及时</w:t>
            </w:r>
          </w:p>
        </w:tc>
      </w:tr>
      <w:tr w14:paraId="076FFD85">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D17289">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left w:val="single" w:color="auto" w:sz="4" w:space="0"/>
              <w:right w:val="single" w:color="000000" w:sz="4" w:space="0"/>
            </w:tcBorders>
            <w:shd w:val="clear" w:color="auto" w:fill="auto"/>
            <w:vAlign w:val="center"/>
          </w:tcPr>
          <w:p w14:paraId="17B3541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F471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开展专项调研及时性</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7EE1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及时</w:t>
            </w:r>
          </w:p>
        </w:tc>
      </w:tr>
      <w:tr w14:paraId="6FBB19ED">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327CA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left w:val="single" w:color="auto" w:sz="4" w:space="0"/>
              <w:bottom w:val="single" w:color="000000" w:sz="4" w:space="0"/>
              <w:right w:val="single" w:color="000000" w:sz="4" w:space="0"/>
            </w:tcBorders>
            <w:shd w:val="clear" w:color="auto" w:fill="auto"/>
            <w:vAlign w:val="center"/>
          </w:tcPr>
          <w:p w14:paraId="3341366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18E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课题成果提交及时性</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B2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及时</w:t>
            </w:r>
          </w:p>
        </w:tc>
      </w:tr>
      <w:tr w14:paraId="686F1E60">
        <w:tblPrEx>
          <w:tblCellMar>
            <w:top w:w="0" w:type="dxa"/>
            <w:left w:w="108" w:type="dxa"/>
            <w:bottom w:w="0" w:type="dxa"/>
            <w:right w:w="108" w:type="dxa"/>
          </w:tblCellMar>
        </w:tblPrEx>
        <w:trPr>
          <w:trHeight w:val="567" w:hRule="atLeast"/>
        </w:trPr>
        <w:tc>
          <w:tcPr>
            <w:tcW w:w="95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DA0C6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效益指标</w:t>
            </w:r>
          </w:p>
        </w:tc>
        <w:tc>
          <w:tcPr>
            <w:tcW w:w="1045" w:type="pct"/>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227EA4E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社会效益</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18FF2">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推动少数民族地区法治建设</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2CF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推动</w:t>
            </w:r>
          </w:p>
        </w:tc>
      </w:tr>
      <w:tr w14:paraId="5BD0A9E5">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EB617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D0C829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D723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维护全省法院教育培训信息管理平台</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068F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维护</w:t>
            </w:r>
          </w:p>
        </w:tc>
      </w:tr>
      <w:tr w14:paraId="63A14553">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B7026D">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01D505C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BEB6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hint="eastAsia" w:ascii="宋体" w:hAnsi="宋体" w:eastAsia="宋体" w:cs="宋体"/>
                <w:sz w:val="20"/>
                <w:szCs w:val="20"/>
              </w:rPr>
              <w:t>课题成果应用率</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B997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color w:val="000000"/>
                <w:kern w:val="0"/>
                <w:sz w:val="20"/>
                <w:szCs w:val="20"/>
                <w:lang w:bidi="ar"/>
              </w:rPr>
            </w:pPr>
            <w:r>
              <w:rPr>
                <w:rFonts w:ascii="宋体" w:hAnsi="宋体" w:eastAsia="宋体" w:cs="宋体"/>
                <w:sz w:val="20"/>
                <w:szCs w:val="20"/>
              </w:rPr>
              <w:t>≥98%</w:t>
            </w:r>
          </w:p>
        </w:tc>
      </w:tr>
      <w:tr w14:paraId="7012D9DB">
        <w:tblPrEx>
          <w:tblCellMar>
            <w:top w:w="0" w:type="dxa"/>
            <w:left w:w="108" w:type="dxa"/>
            <w:bottom w:w="0" w:type="dxa"/>
            <w:right w:w="108" w:type="dxa"/>
          </w:tblCellMar>
        </w:tblPrEx>
        <w:trPr>
          <w:trHeight w:val="567" w:hRule="atLeast"/>
        </w:trPr>
        <w:tc>
          <w:tcPr>
            <w:tcW w:w="95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248974">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045" w:type="pct"/>
            <w:tcBorders>
              <w:top w:val="single" w:color="000000" w:sz="4" w:space="0"/>
              <w:left w:val="single" w:color="auto" w:sz="4" w:space="0"/>
              <w:bottom w:val="single" w:color="000000" w:sz="4" w:space="0"/>
              <w:right w:val="single" w:color="000000" w:sz="4" w:space="0"/>
            </w:tcBorders>
            <w:shd w:val="clear" w:color="auto" w:fill="auto"/>
            <w:vAlign w:val="center"/>
          </w:tcPr>
          <w:p w14:paraId="2C0085A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服务对象满意度指标</w:t>
            </w:r>
          </w:p>
        </w:tc>
        <w:tc>
          <w:tcPr>
            <w:tcW w:w="19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F2A0">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hint="eastAsia" w:ascii="宋体" w:hAnsi="宋体" w:eastAsia="宋体" w:cs="宋体"/>
                <w:sz w:val="20"/>
                <w:szCs w:val="20"/>
              </w:rPr>
              <w:t>专家学者满意度</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549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r>
              <w:rPr>
                <w:rFonts w:ascii="宋体" w:hAnsi="宋体" w:eastAsia="宋体" w:cs="宋体"/>
                <w:sz w:val="20"/>
                <w:szCs w:val="20"/>
              </w:rPr>
              <w:t>≥80%</w:t>
            </w:r>
          </w:p>
        </w:tc>
      </w:tr>
    </w:tbl>
    <w:p w14:paraId="6D659EA6">
      <w:pPr>
        <w:pStyle w:val="51"/>
        <w:spacing w:line="560" w:lineRule="exact"/>
        <w:rPr>
          <w:rFonts w:hint="eastAsia"/>
        </w:rPr>
      </w:pPr>
      <w:bookmarkStart w:id="76" w:name="_Toc174529592"/>
      <w:r>
        <w:rPr>
          <w:rFonts w:hint="eastAsia"/>
        </w:rPr>
        <w:t>三、评价基本情况</w:t>
      </w:r>
      <w:bookmarkEnd w:id="74"/>
      <w:bookmarkEnd w:id="75"/>
      <w:bookmarkEnd w:id="76"/>
    </w:p>
    <w:p w14:paraId="719DEEA0">
      <w:pPr>
        <w:pStyle w:val="46"/>
        <w:spacing w:line="560" w:lineRule="exact"/>
        <w:rPr>
          <w:rFonts w:hint="eastAsia"/>
        </w:rPr>
      </w:pPr>
      <w:bookmarkStart w:id="77" w:name="_Toc5301"/>
      <w:bookmarkStart w:id="78" w:name="_Toc174529593"/>
      <w:r>
        <w:rPr>
          <w:rFonts w:hint="eastAsia"/>
        </w:rPr>
        <w:t>（一）评价目的</w:t>
      </w:r>
      <w:bookmarkEnd w:id="77"/>
      <w:bookmarkEnd w:id="78"/>
    </w:p>
    <w:p w14:paraId="3E199409">
      <w:pPr>
        <w:pStyle w:val="49"/>
        <w:spacing w:line="560" w:lineRule="exact"/>
        <w:rPr>
          <w:rFonts w:hint="eastAsia"/>
        </w:rPr>
      </w:pPr>
      <w:r>
        <w:rPr>
          <w:rFonts w:hint="eastAsia"/>
        </w:rPr>
        <w:t>本次绩效评价工作通过运用规范的绩效评价指标体系和科学的绩效评价方法，引入第三方开展绩效评价，客观公正地核查甘肃省高级人民法院2023年重点绩效评价项目目标的完成情况。第三方通过对项目资料的审阅、现场核查、问卷调查等方式，了解该项目从决策到实施全过程，查验项目资金支出及项目实施的合规性，考评资金分配的合理性、资金支出效率、效益和综合效果，及时总结项目管理经验，分析存在的问题及原因，提出切实可行的改进措施，规范项目和资金管理行为，从而进一步规范财政资金支出管理，加强财政资金全方位监督，杜绝违纪违规行为发生。评价结果将作为下一年资金分配的重要参考依据，同时协助甘肃省法官学院重新梳理项目绩效目标，切实提高财政资金使用效益。</w:t>
      </w:r>
    </w:p>
    <w:p w14:paraId="3CC04251">
      <w:pPr>
        <w:pStyle w:val="49"/>
        <w:spacing w:line="560" w:lineRule="exact"/>
        <w:rPr>
          <w:rFonts w:hint="eastAsia"/>
        </w:rPr>
      </w:pPr>
      <w:r>
        <w:rPr>
          <w:rFonts w:hint="eastAsia"/>
        </w:rPr>
        <w:t>本次绩效评价的侧重点和切入点：</w:t>
      </w:r>
    </w:p>
    <w:p w14:paraId="1126945C">
      <w:pPr>
        <w:pStyle w:val="49"/>
        <w:spacing w:line="560" w:lineRule="exact"/>
        <w:rPr>
          <w:rFonts w:hint="eastAsia"/>
        </w:rPr>
      </w:pPr>
      <w:r>
        <w:rPr>
          <w:rFonts w:hint="eastAsia"/>
        </w:rPr>
        <w:t>1.重点关注项目资金使用管理以及保障项目预期绩效目标实现的相关措施；</w:t>
      </w:r>
    </w:p>
    <w:p w14:paraId="1E9CBC8A">
      <w:pPr>
        <w:pStyle w:val="49"/>
        <w:spacing w:line="560" w:lineRule="exact"/>
        <w:rPr>
          <w:rFonts w:hint="eastAsia"/>
        </w:rPr>
      </w:pPr>
      <w:r>
        <w:rPr>
          <w:rFonts w:hint="eastAsia"/>
        </w:rPr>
        <w:t>2.重点关注采购流程规范性、资金使用合规性、项目合同管理的有效性以及通过项目的实施为甘肃省法官学院带来的产出与效益。</w:t>
      </w:r>
      <w:bookmarkStart w:id="79" w:name="_Toc2071"/>
    </w:p>
    <w:p w14:paraId="3F60D218">
      <w:pPr>
        <w:pStyle w:val="46"/>
        <w:spacing w:line="560" w:lineRule="exact"/>
        <w:rPr>
          <w:rFonts w:hint="eastAsia"/>
        </w:rPr>
      </w:pPr>
      <w:bookmarkStart w:id="80" w:name="_Toc174529594"/>
      <w:r>
        <w:rPr>
          <w:rFonts w:hint="eastAsia"/>
        </w:rPr>
        <w:t>（二）评价对象与范围</w:t>
      </w:r>
      <w:bookmarkEnd w:id="79"/>
      <w:bookmarkEnd w:id="80"/>
    </w:p>
    <w:p w14:paraId="6106BEE0">
      <w:pPr>
        <w:pStyle w:val="49"/>
        <w:spacing w:line="560" w:lineRule="exact"/>
        <w:rPr>
          <w:rFonts w:hint="eastAsia"/>
        </w:rPr>
      </w:pPr>
      <w:r>
        <w:rPr>
          <w:rFonts w:hint="eastAsia"/>
        </w:rPr>
        <w:t>本次评价对象为甘肃省高级人民法院2023年绩效评价重点项目少数民族法制教学研究经费。</w:t>
      </w:r>
    </w:p>
    <w:p w14:paraId="41A867E4">
      <w:pPr>
        <w:pStyle w:val="49"/>
        <w:spacing w:line="560" w:lineRule="exact"/>
        <w:rPr>
          <w:rFonts w:hint="eastAsia"/>
        </w:rPr>
      </w:pPr>
      <w:r>
        <w:rPr>
          <w:rFonts w:hint="eastAsia"/>
        </w:rPr>
        <w:t>评价范围为少数民族法制教学研究经费项目预算资金115.16万元的资金使用和项目实施效益情况，评价基准日为2023年12月31日。</w:t>
      </w:r>
    </w:p>
    <w:p w14:paraId="30BD7BFD">
      <w:pPr>
        <w:pStyle w:val="46"/>
        <w:spacing w:line="560" w:lineRule="exact"/>
        <w:rPr>
          <w:rFonts w:hint="eastAsia"/>
        </w:rPr>
      </w:pPr>
      <w:bookmarkStart w:id="81" w:name="_Toc17041"/>
      <w:bookmarkStart w:id="82" w:name="_Toc174529595"/>
      <w:r>
        <w:rPr>
          <w:rFonts w:hint="eastAsia"/>
        </w:rPr>
        <w:t>（三）评价依据</w:t>
      </w:r>
      <w:bookmarkEnd w:id="81"/>
      <w:bookmarkEnd w:id="82"/>
    </w:p>
    <w:p w14:paraId="1083C95A">
      <w:pPr>
        <w:pStyle w:val="49"/>
        <w:spacing w:line="560" w:lineRule="exact"/>
        <w:rPr>
          <w:rFonts w:hint="eastAsia"/>
        </w:rPr>
      </w:pPr>
      <w:bookmarkStart w:id="83" w:name="_Toc17840"/>
      <w:r>
        <w:rPr>
          <w:rFonts w:hint="eastAsia"/>
        </w:rPr>
        <w:t>1.《中华人民共和国预算法》；</w:t>
      </w:r>
    </w:p>
    <w:p w14:paraId="66B81429">
      <w:pPr>
        <w:pStyle w:val="49"/>
        <w:spacing w:line="560" w:lineRule="exact"/>
        <w:rPr>
          <w:rFonts w:hint="eastAsia"/>
        </w:rPr>
      </w:pPr>
      <w:r>
        <w:rPr>
          <w:rFonts w:hint="eastAsia"/>
        </w:rPr>
        <w:t>2.《中华人民共和国预算法实施条例》；</w:t>
      </w:r>
    </w:p>
    <w:p w14:paraId="27FA269A">
      <w:pPr>
        <w:pStyle w:val="49"/>
        <w:spacing w:line="560" w:lineRule="exact"/>
        <w:rPr>
          <w:rFonts w:hint="eastAsia"/>
        </w:rPr>
      </w:pPr>
      <w:r>
        <w:rPr>
          <w:rFonts w:hint="eastAsia"/>
        </w:rPr>
        <w:t>3.《中共中央 国务院关于全面实施预算绩效管理的意见》（中发〔2018〕34号）；</w:t>
      </w:r>
    </w:p>
    <w:p w14:paraId="6457BB5C">
      <w:pPr>
        <w:pStyle w:val="49"/>
        <w:spacing w:line="560" w:lineRule="exact"/>
        <w:rPr>
          <w:rFonts w:hint="eastAsia"/>
        </w:rPr>
      </w:pPr>
      <w:r>
        <w:rPr>
          <w:rFonts w:hint="eastAsia"/>
        </w:rPr>
        <w:t>4.《财政部关于印发〈项目支出绩效评价管理办法〉的通知》（财预〔2021〕10号）；</w:t>
      </w:r>
    </w:p>
    <w:p w14:paraId="61600B13">
      <w:pPr>
        <w:pStyle w:val="49"/>
        <w:spacing w:line="560" w:lineRule="exact"/>
        <w:rPr>
          <w:rFonts w:hint="eastAsia"/>
        </w:rPr>
      </w:pPr>
      <w:r>
        <w:rPr>
          <w:rFonts w:hint="eastAsia"/>
        </w:rPr>
        <w:t>5.《财政部关于委托第三方机构参与预算绩效管理的指导意见》（财预〔2021〕6号）；</w:t>
      </w:r>
    </w:p>
    <w:p w14:paraId="638C1D53">
      <w:pPr>
        <w:pStyle w:val="49"/>
        <w:spacing w:line="560" w:lineRule="exact"/>
        <w:rPr>
          <w:rFonts w:hint="eastAsia"/>
        </w:rPr>
      </w:pPr>
      <w:r>
        <w:rPr>
          <w:rFonts w:hint="eastAsia"/>
        </w:rPr>
        <w:t>6.《财政部关于印发第三方机构预算绩效评价业务监督管理暂行办法的通知》（财监〔2021〕4号）；</w:t>
      </w:r>
    </w:p>
    <w:p w14:paraId="2CD11F5F">
      <w:pPr>
        <w:pStyle w:val="49"/>
        <w:spacing w:line="560" w:lineRule="exact"/>
        <w:rPr>
          <w:rFonts w:hint="eastAsia"/>
        </w:rPr>
      </w:pPr>
      <w:r>
        <w:rPr>
          <w:rFonts w:hint="eastAsia"/>
        </w:rPr>
        <w:t>7.《中共甘肃省委 甘肃省人民政府关于全面实施预算绩效管理的实施意见》（甘发〔2018〕32号）；</w:t>
      </w:r>
    </w:p>
    <w:p w14:paraId="41E05488">
      <w:pPr>
        <w:pStyle w:val="49"/>
        <w:spacing w:line="560" w:lineRule="exact"/>
        <w:rPr>
          <w:rFonts w:hint="eastAsia"/>
        </w:rPr>
      </w:pPr>
      <w:r>
        <w:rPr>
          <w:rFonts w:hint="eastAsia"/>
        </w:rPr>
        <w:t>8.《甘肃省财政厅关于印发甘肃省省级预算绩效管理办法等6个办法和规程的通知》（甘财绩〔2020〕5号）；</w:t>
      </w:r>
    </w:p>
    <w:p w14:paraId="1E5BF6A1">
      <w:pPr>
        <w:pStyle w:val="49"/>
        <w:spacing w:line="560" w:lineRule="exact"/>
        <w:rPr>
          <w:rFonts w:hint="eastAsia"/>
        </w:rPr>
      </w:pPr>
      <w:r>
        <w:rPr>
          <w:rFonts w:hint="eastAsia"/>
        </w:rPr>
        <w:t xml:space="preserve">9.《甘肃省省级项目支出绩效部门评价和财政评价工作规程》（甘财绩〔2021〕5号）； </w:t>
      </w:r>
    </w:p>
    <w:p w14:paraId="6CF010B1">
      <w:pPr>
        <w:pStyle w:val="49"/>
        <w:spacing w:line="560" w:lineRule="exact"/>
        <w:rPr>
          <w:rFonts w:hint="eastAsia"/>
        </w:rPr>
      </w:pPr>
      <w:r>
        <w:rPr>
          <w:rFonts w:hint="eastAsia"/>
        </w:rPr>
        <w:t>10.《2019-2023</w:t>
      </w:r>
      <w:r>
        <w:rPr>
          <w:rFonts w:hint="eastAsia"/>
          <w:lang w:eastAsia="zh-CN"/>
        </w:rPr>
        <w:t>年</w:t>
      </w:r>
      <w:r>
        <w:rPr>
          <w:rFonts w:hint="eastAsia"/>
        </w:rPr>
        <w:t>甘肃省高级人民法院教育培训规划》（甘高法〔2019〕273号）</w:t>
      </w:r>
      <w:r>
        <w:rPr>
          <w:rFonts w:hint="eastAsia"/>
        </w:rPr>
        <w:tab/>
      </w:r>
    </w:p>
    <w:p w14:paraId="2A73AF07">
      <w:pPr>
        <w:pStyle w:val="49"/>
        <w:spacing w:line="560" w:lineRule="exact"/>
        <w:rPr>
          <w:rFonts w:hint="eastAsia"/>
        </w:rPr>
      </w:pPr>
      <w:r>
        <w:rPr>
          <w:rFonts w:hint="eastAsia"/>
        </w:rPr>
        <w:t>11.</w:t>
      </w:r>
      <w:r>
        <w:rPr>
          <w:rFonts w:hint="eastAsia"/>
          <w:lang w:val="en-US" w:eastAsia="zh-CN"/>
        </w:rPr>
        <w:t>甘肃省法官学院</w:t>
      </w:r>
      <w:r>
        <w:rPr>
          <w:rFonts w:hint="eastAsia"/>
        </w:rPr>
        <w:t>职责相关规定；</w:t>
      </w:r>
    </w:p>
    <w:p w14:paraId="07771BC2">
      <w:pPr>
        <w:pStyle w:val="49"/>
        <w:spacing w:line="560" w:lineRule="exact"/>
        <w:rPr>
          <w:rFonts w:hint="eastAsia"/>
        </w:rPr>
      </w:pPr>
      <w:r>
        <w:rPr>
          <w:rFonts w:hint="eastAsia"/>
        </w:rPr>
        <w:t>12.行业相关政策、行业标准及专业技术规范；</w:t>
      </w:r>
    </w:p>
    <w:p w14:paraId="77D8E6FA">
      <w:pPr>
        <w:pStyle w:val="49"/>
        <w:spacing w:line="560" w:lineRule="exact"/>
        <w:rPr>
          <w:rFonts w:hint="eastAsia"/>
        </w:rPr>
      </w:pPr>
      <w:r>
        <w:rPr>
          <w:rFonts w:hint="eastAsia"/>
        </w:rPr>
        <w:t>13.被评价单位提供的立项背景、实施方案、预算批复相关文件、绩效目标、自评价相关资料、财政资金拨付凭证、项目全过程资料和项目实施效果等资料；</w:t>
      </w:r>
    </w:p>
    <w:p w14:paraId="32B80811">
      <w:pPr>
        <w:pStyle w:val="49"/>
        <w:spacing w:line="560" w:lineRule="exact"/>
        <w:rPr>
          <w:rFonts w:hint="eastAsia"/>
        </w:rPr>
      </w:pPr>
      <w:r>
        <w:rPr>
          <w:rFonts w:hint="eastAsia"/>
        </w:rPr>
        <w:t>14.评价组收集、调研、访谈、问卷调查获取的其他相关资料。</w:t>
      </w:r>
    </w:p>
    <w:p w14:paraId="5A5D07A5">
      <w:pPr>
        <w:pStyle w:val="46"/>
        <w:spacing w:line="560" w:lineRule="exact"/>
        <w:rPr>
          <w:rFonts w:hint="eastAsia"/>
        </w:rPr>
      </w:pPr>
      <w:bookmarkStart w:id="84" w:name="_Toc174529596"/>
      <w:r>
        <w:rPr>
          <w:rFonts w:hint="eastAsia"/>
        </w:rPr>
        <w:t>（四）评价原则、评价方法</w:t>
      </w:r>
      <w:bookmarkEnd w:id="83"/>
      <w:bookmarkEnd w:id="84"/>
    </w:p>
    <w:p w14:paraId="2C33D472">
      <w:pPr>
        <w:overflowPunct w:val="0"/>
        <w:spacing w:line="560" w:lineRule="exact"/>
        <w:ind w:firstLine="643" w:firstLineChars="200"/>
        <w:outlineLvl w:val="2"/>
        <w:rPr>
          <w:rFonts w:hint="eastAsia" w:ascii="仿宋_GB2312" w:hAnsi="仿宋_GB2312" w:eastAsia="仿宋_GB2312" w:cs="仿宋_GB2312"/>
          <w:b/>
          <w:sz w:val="32"/>
          <w:szCs w:val="32"/>
        </w:rPr>
      </w:pPr>
      <w:bookmarkStart w:id="85" w:name="_Toc28403"/>
      <w:bookmarkStart w:id="86" w:name="_Toc32216"/>
      <w:bookmarkStart w:id="87" w:name="_Toc25746"/>
      <w:bookmarkStart w:id="88" w:name="_Toc15543"/>
      <w:bookmarkStart w:id="89" w:name="_Toc3229"/>
      <w:bookmarkStart w:id="90" w:name="_Toc5841"/>
      <w:bookmarkStart w:id="91" w:name="_Toc17493"/>
      <w:bookmarkStart w:id="92" w:name="_Toc2871"/>
      <w:bookmarkStart w:id="93" w:name="_Toc7306"/>
      <w:bookmarkStart w:id="94" w:name="_Toc32314"/>
      <w:r>
        <w:rPr>
          <w:rStyle w:val="31"/>
          <w:rFonts w:hint="eastAsia" w:ascii="仿宋_GB2312" w:hAnsi="仿宋_GB2312" w:eastAsia="仿宋_GB2312" w:cs="仿宋_GB2312"/>
          <w:szCs w:val="32"/>
        </w:rPr>
        <w:t>1.评价原则</w:t>
      </w:r>
      <w:bookmarkEnd w:id="85"/>
      <w:bookmarkEnd w:id="86"/>
      <w:bookmarkEnd w:id="87"/>
      <w:bookmarkEnd w:id="88"/>
      <w:bookmarkEnd w:id="89"/>
      <w:bookmarkEnd w:id="90"/>
      <w:bookmarkEnd w:id="91"/>
      <w:bookmarkEnd w:id="92"/>
      <w:bookmarkEnd w:id="93"/>
      <w:bookmarkEnd w:id="94"/>
    </w:p>
    <w:p w14:paraId="29F8BBBB">
      <w:pPr>
        <w:pStyle w:val="49"/>
        <w:spacing w:line="560" w:lineRule="exact"/>
        <w:rPr>
          <w:rFonts w:hint="eastAsia"/>
        </w:rPr>
      </w:pPr>
      <w:r>
        <w:rPr>
          <w:rFonts w:hint="eastAsia"/>
        </w:rPr>
        <w:t>（1）科学规范。严格执行规定的流程步骤，做到指标合理、标准科学、方法适当、结果可信，严格执行规定程序和工作流程，科学设定评价标准和指标体系，坚持定量与定性分析相结合，客观准确地反映财政资金绩效情况，提高全过程预算绩效管理质量。</w:t>
      </w:r>
    </w:p>
    <w:p w14:paraId="2285A3EB">
      <w:pPr>
        <w:pStyle w:val="49"/>
        <w:spacing w:line="560" w:lineRule="exact"/>
        <w:rPr>
          <w:rFonts w:hint="eastAsia"/>
        </w:rPr>
      </w:pPr>
      <w:r>
        <w:rPr>
          <w:rFonts w:hint="eastAsia"/>
        </w:rPr>
        <w:t>（2）绩效相关。评价结果应当清晰反映绩效目标的完成情况以及预算支出和绩效之间的对应关系。以绩效为核心导向，将事前绩效评估、绩效目标管理、绩效运行监控、绩效评价、评价结果反馈及应用深度融入预算管理的全过程，实现财政资金使用效益最大化。</w:t>
      </w:r>
    </w:p>
    <w:p w14:paraId="46CE4C5C">
      <w:pPr>
        <w:pStyle w:val="49"/>
        <w:spacing w:line="560" w:lineRule="exact"/>
        <w:rPr>
          <w:rFonts w:hint="eastAsia"/>
        </w:rPr>
      </w:pPr>
      <w:r>
        <w:rPr>
          <w:rFonts w:hint="eastAsia"/>
        </w:rPr>
        <w:t>（3）公开透明。评价结果应当符合真实、客观、公正的要求，依法依规公开并接受监督。预算绩效管理主体应按照政府信息公开有关规定，主动向同级人大报告、向社会公开相关绩效信息和评价结果，自觉接受各方监督，不断提高财政资金使用的透明度。</w:t>
      </w:r>
    </w:p>
    <w:p w14:paraId="6C4C8A76">
      <w:pPr>
        <w:pStyle w:val="49"/>
        <w:spacing w:line="560" w:lineRule="exact"/>
        <w:rPr>
          <w:rFonts w:hint="eastAsia"/>
        </w:rPr>
      </w:pPr>
      <w:r>
        <w:rPr>
          <w:rFonts w:hint="eastAsia"/>
        </w:rPr>
        <w:t>（4）激励约束。评价结果与项目的设立、保留、整合、调整和退出相挂钩，作为完善政策、改进管理、安排预算的重要依据。建立健全预算绩效管理激励约束机制，体现奖优罚劣和激励相容导向，切实做到花钱必问效、无效必问责。</w:t>
      </w:r>
    </w:p>
    <w:p w14:paraId="083F2B1C">
      <w:pPr>
        <w:overflowPunct w:val="0"/>
        <w:spacing w:line="560" w:lineRule="exact"/>
        <w:ind w:firstLine="643" w:firstLineChars="200"/>
        <w:outlineLvl w:val="2"/>
        <w:rPr>
          <w:rStyle w:val="31"/>
          <w:rFonts w:hint="eastAsia" w:ascii="仿宋_GB2312" w:hAnsi="仿宋_GB2312" w:eastAsia="仿宋_GB2312" w:cs="仿宋_GB2312"/>
          <w:szCs w:val="32"/>
        </w:rPr>
      </w:pPr>
      <w:bookmarkStart w:id="95" w:name="_Toc15034"/>
      <w:bookmarkStart w:id="96" w:name="_Toc1839"/>
      <w:bookmarkStart w:id="97" w:name="_Toc15129"/>
      <w:bookmarkStart w:id="98" w:name="_Toc1742"/>
      <w:bookmarkStart w:id="99" w:name="_Toc24950"/>
      <w:bookmarkStart w:id="100" w:name="_Toc11918"/>
      <w:bookmarkStart w:id="101" w:name="_Toc12173"/>
      <w:bookmarkStart w:id="102" w:name="_Toc7156"/>
      <w:bookmarkStart w:id="103" w:name="_Toc15552"/>
      <w:r>
        <w:rPr>
          <w:rStyle w:val="31"/>
          <w:rFonts w:hint="eastAsia" w:ascii="仿宋_GB2312" w:hAnsi="仿宋_GB2312" w:eastAsia="仿宋_GB2312" w:cs="仿宋_GB2312"/>
          <w:szCs w:val="32"/>
        </w:rPr>
        <w:t>2.评价方法</w:t>
      </w:r>
      <w:bookmarkEnd w:id="95"/>
    </w:p>
    <w:bookmarkEnd w:id="96"/>
    <w:bookmarkEnd w:id="97"/>
    <w:bookmarkEnd w:id="98"/>
    <w:bookmarkEnd w:id="99"/>
    <w:bookmarkEnd w:id="100"/>
    <w:bookmarkEnd w:id="101"/>
    <w:bookmarkEnd w:id="102"/>
    <w:bookmarkEnd w:id="103"/>
    <w:p w14:paraId="68C9109A">
      <w:pPr>
        <w:pStyle w:val="49"/>
        <w:spacing w:line="560" w:lineRule="exact"/>
        <w:rPr>
          <w:rFonts w:hint="eastAsia"/>
        </w:rPr>
      </w:pPr>
      <w:r>
        <w:rPr>
          <w:rFonts w:hint="eastAsia"/>
        </w:rPr>
        <w:t>本次绩效评价按照规范、科学、合理的要求，采用定量和定性分析相结合，第三方评价机构现场核实、资料评审相结合，综合运用比较法、因素分析法和公众评判法等方法进行评价，对项目预算执行情况的经济性、效率性、效益性进行客观公正的分析评价，确保评价结论公正客观，评价意见有效可用。</w:t>
      </w:r>
    </w:p>
    <w:p w14:paraId="17884FC7">
      <w:pPr>
        <w:pStyle w:val="49"/>
        <w:spacing w:line="560" w:lineRule="exact"/>
        <w:rPr>
          <w:rFonts w:hint="eastAsia"/>
        </w:rPr>
      </w:pPr>
      <w:r>
        <w:rPr>
          <w:rFonts w:hint="eastAsia"/>
        </w:rPr>
        <w:t>（1）比较法。是指通过对绩效目标与实际实施效果的对比，综合分析绩效目标实现程度。</w:t>
      </w:r>
    </w:p>
    <w:p w14:paraId="451FCAF6">
      <w:pPr>
        <w:pStyle w:val="49"/>
        <w:spacing w:line="560" w:lineRule="exact"/>
        <w:rPr>
          <w:rFonts w:hint="eastAsia"/>
        </w:rPr>
      </w:pPr>
      <w:r>
        <w:rPr>
          <w:rFonts w:hint="eastAsia"/>
        </w:rPr>
        <w:t>（2）因素分析法。将影响投入和产出的各项因素罗列出来进行分析，通过不同因素的权重评比，进行综合评分，最终确定项目的效率性和效益性。</w:t>
      </w:r>
    </w:p>
    <w:p w14:paraId="030259F0">
      <w:pPr>
        <w:pStyle w:val="49"/>
        <w:spacing w:line="560" w:lineRule="exact"/>
        <w:rPr>
          <w:rFonts w:hint="eastAsia"/>
        </w:rPr>
      </w:pPr>
      <w:r>
        <w:rPr>
          <w:rFonts w:hint="eastAsia"/>
        </w:rPr>
        <w:t>（3）</w:t>
      </w:r>
      <w:r>
        <w:rPr>
          <w:rFonts w:hint="eastAsia"/>
          <w:kern w:val="0"/>
          <w:lang w:bidi="ar"/>
        </w:rPr>
        <w:t>公众评判</w:t>
      </w:r>
      <w:r>
        <w:rPr>
          <w:rFonts w:hint="eastAsia"/>
        </w:rPr>
        <w:t>法。是指通过专家评估、公众问卷对财政支出效果进行评判，评价绩效目标实现程度。</w:t>
      </w:r>
    </w:p>
    <w:p w14:paraId="24F4C21B">
      <w:pPr>
        <w:pStyle w:val="49"/>
        <w:spacing w:line="560" w:lineRule="exact"/>
        <w:rPr>
          <w:rFonts w:hint="eastAsia"/>
          <w:kern w:val="0"/>
          <w:lang w:bidi="ar"/>
        </w:rPr>
      </w:pPr>
      <w:r>
        <w:rPr>
          <w:rFonts w:hint="eastAsia"/>
          <w:kern w:val="0"/>
          <w:lang w:bidi="ar"/>
        </w:rPr>
        <w:t>（4）成本效益分析法。是将投入与产出、效益进行关联性分析的方法。</w:t>
      </w:r>
    </w:p>
    <w:p w14:paraId="4180F966">
      <w:pPr>
        <w:pStyle w:val="49"/>
        <w:spacing w:line="560" w:lineRule="exact"/>
        <w:rPr>
          <w:rFonts w:hint="eastAsia"/>
          <w:kern w:val="0"/>
          <w:lang w:bidi="ar"/>
        </w:rPr>
      </w:pPr>
      <w:r>
        <w:rPr>
          <w:rFonts w:hint="eastAsia"/>
          <w:kern w:val="0"/>
          <w:lang w:bidi="ar"/>
        </w:rPr>
        <w:t>（5）访谈法。评价小组现场访谈相关专业人员，根据被询问者的答复收集客观的、不带偏见的事实材料。</w:t>
      </w:r>
    </w:p>
    <w:p w14:paraId="53F34461">
      <w:pPr>
        <w:pStyle w:val="46"/>
        <w:spacing w:line="560" w:lineRule="exact"/>
        <w:rPr>
          <w:rFonts w:hint="eastAsia"/>
        </w:rPr>
      </w:pPr>
      <w:bookmarkStart w:id="104" w:name="_Toc174529597"/>
      <w:bookmarkStart w:id="105" w:name="_Toc4958"/>
      <w:r>
        <w:rPr>
          <w:rFonts w:hint="eastAsia"/>
        </w:rPr>
        <w:t>（五）绩效评价指标体系</w:t>
      </w:r>
      <w:bookmarkEnd w:id="104"/>
      <w:bookmarkEnd w:id="105"/>
    </w:p>
    <w:p w14:paraId="0569B948">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1.指标体系设计的总体思路</w:t>
      </w:r>
    </w:p>
    <w:p w14:paraId="2DAB8D06">
      <w:pPr>
        <w:pStyle w:val="49"/>
        <w:spacing w:line="560" w:lineRule="exact"/>
        <w:rPr>
          <w:rFonts w:hint="eastAsia"/>
          <w:lang w:bidi="ar"/>
        </w:rPr>
      </w:pPr>
      <w:r>
        <w:rPr>
          <w:rFonts w:hint="eastAsia"/>
          <w:lang w:bidi="ar"/>
        </w:rPr>
        <w:t>根据</w:t>
      </w:r>
      <w:r>
        <w:rPr>
          <w:rFonts w:hint="eastAsia"/>
        </w:rPr>
        <w:t>《甘肃省省级项目支出绩效部门评价和财政评价工作规程》</w:t>
      </w:r>
      <w:r>
        <w:rPr>
          <w:rFonts w:hint="eastAsia"/>
          <w:lang w:bidi="ar"/>
        </w:rPr>
        <w:t>要求，从少数民族法制教学研究经费项目预算、立项、批复、实施、资金申请、拨付以及使用是否遵守规定、是否真实、是否及时，以结果为导向，根据指标类型设定定性与定量标准，决策、过程、成本、产出、效益分配比例为15.5:17.5:10:32:25。本次评价侧重项目产出与效益方面，产出和效益指标权重占比57%。</w:t>
      </w:r>
    </w:p>
    <w:p w14:paraId="055FA375">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2.绩效评价指标体系</w:t>
      </w:r>
    </w:p>
    <w:p w14:paraId="24C67FCD">
      <w:pPr>
        <w:pStyle w:val="8"/>
        <w:tabs>
          <w:tab w:val="left" w:pos="510"/>
          <w:tab w:val="left" w:pos="675"/>
        </w:tabs>
        <w:overflowPunct w:val="0"/>
        <w:spacing w:line="560" w:lineRule="exact"/>
        <w:ind w:firstLine="640" w:firstLineChars="200"/>
        <w:rPr>
          <w:rFonts w:hint="eastAsia" w:ascii="仿宋_GB2312" w:hAnsi="仿宋_GB2312" w:cs="仿宋_GB2312"/>
          <w:szCs w:val="28"/>
        </w:rPr>
      </w:pPr>
      <w:r>
        <w:rPr>
          <w:rStyle w:val="50"/>
          <w:rFonts w:hint="eastAsia"/>
        </w:rPr>
        <w:t>项目评价指标划分为三级，综合评价一级指标包括项目决策指标、过程指标、成本指标、产出指标、效益指标。二、三级评价指标根据项目实际情况制定了可量化、可操作的细化绩效目标，指标分值根据项目指标重要程度、项目实施阶段等因素综合确定（项目评价指标体系详见附表1）</w:t>
      </w:r>
      <w:r>
        <w:rPr>
          <w:rFonts w:hint="eastAsia" w:ascii="仿宋_GB2312" w:hAnsi="仿宋_GB2312" w:cs="仿宋_GB2312"/>
          <w:szCs w:val="28"/>
        </w:rPr>
        <w:t>。</w:t>
      </w:r>
    </w:p>
    <w:p w14:paraId="0BF39344">
      <w:pPr>
        <w:pStyle w:val="49"/>
        <w:spacing w:line="560" w:lineRule="exact"/>
        <w:rPr>
          <w:rFonts w:hint="eastAsia"/>
        </w:rPr>
      </w:pPr>
      <w:r>
        <w:rPr>
          <w:rFonts w:hint="eastAsia"/>
        </w:rPr>
        <w:t>（1）项目决策指标为一级指标，权重15.5分。重点关注项目立项的政策依据是否充分，是否符合国家相关法律法规、部门规章、发展规划及职能；立项流程是否合规，项目申请设立过程是否符合相关要求；项目是否设定绩效目标，设定的绩效目标依据是否充分、符合客观实际，是否能做到细化、量化和可衡量；项目预算编制是否经过科学论证，预算额度与年度目标是否相适应；资金安排依据是否充分，安排额度是否与项目相适应。</w:t>
      </w:r>
    </w:p>
    <w:p w14:paraId="2A5D0B8B">
      <w:pPr>
        <w:pStyle w:val="49"/>
        <w:spacing w:line="560" w:lineRule="exact"/>
        <w:rPr>
          <w:rFonts w:hint="eastAsia"/>
        </w:rPr>
      </w:pPr>
      <w:r>
        <w:rPr>
          <w:rFonts w:hint="eastAsia"/>
        </w:rPr>
        <w:t>（2）项目过程指标为一级指标，权重17.5分。重点关注专项资金是否及时到位，保障项目执行；项目资金是否按照预算执行；资金使用范围和方向是否符合专项资金管理规定；甘肃省法官学院专项资金和业务管理制度是否健全，是否符合相关法律法规并得到有效执行；项目是否按照规定实施；是否遵守相关法律法规和相关管理规定，按时向社会公告项目实施情况。</w:t>
      </w:r>
    </w:p>
    <w:p w14:paraId="09E2BE92">
      <w:pPr>
        <w:pStyle w:val="49"/>
        <w:spacing w:line="560" w:lineRule="exact"/>
        <w:rPr>
          <w:rFonts w:hint="eastAsia"/>
        </w:rPr>
      </w:pPr>
      <w:r>
        <w:rPr>
          <w:rFonts w:hint="eastAsia"/>
        </w:rPr>
        <w:t>（3）项目成本指标为一级指标，权重10分。重点关注项经济成本，项目实际支出是否超出预算，用以反映和考核项目的成本节约程度。</w:t>
      </w:r>
    </w:p>
    <w:p w14:paraId="23588483">
      <w:pPr>
        <w:pStyle w:val="49"/>
        <w:spacing w:line="560" w:lineRule="exact"/>
        <w:rPr>
          <w:rFonts w:hint="eastAsia"/>
        </w:rPr>
      </w:pPr>
      <w:r>
        <w:rPr>
          <w:rFonts w:hint="eastAsia"/>
        </w:rPr>
        <w:t>（4）项目产出指标为一级指标，权重32分。从数量、质量、时效四个方面分析项目的产出情况，重点关注项目实施的实际产出数与计划产出数的比率。</w:t>
      </w:r>
    </w:p>
    <w:p w14:paraId="600A4A31">
      <w:pPr>
        <w:pStyle w:val="49"/>
        <w:spacing w:line="560" w:lineRule="exact"/>
        <w:rPr>
          <w:rFonts w:hint="eastAsia"/>
        </w:rPr>
      </w:pPr>
      <w:r>
        <w:rPr>
          <w:rFonts w:hint="eastAsia"/>
        </w:rPr>
        <w:t>（5）项目效益指标为一级指标，权重25分。从社会效益、满意度指标两个方面分析项目实施产生的效益，重点项目的实施产生效益是否达到预期。</w:t>
      </w:r>
    </w:p>
    <w:p w14:paraId="3CBA3887">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3.评价标准</w:t>
      </w:r>
    </w:p>
    <w:p w14:paraId="45B52EFE">
      <w:pPr>
        <w:pStyle w:val="49"/>
        <w:spacing w:line="560" w:lineRule="exact"/>
        <w:rPr>
          <w:rFonts w:hint="eastAsia"/>
        </w:rPr>
      </w:pPr>
      <w:r>
        <w:rPr>
          <w:rFonts w:hint="eastAsia"/>
        </w:rPr>
        <w:t xml:space="preserve">本次绩效评价结果采取评分与评级相结合的形式。 </w:t>
      </w:r>
    </w:p>
    <w:p w14:paraId="61725584">
      <w:pPr>
        <w:pStyle w:val="49"/>
        <w:spacing w:line="560" w:lineRule="exact"/>
        <w:rPr>
          <w:rFonts w:hint="eastAsia"/>
        </w:rPr>
      </w:pPr>
      <w:r>
        <w:rPr>
          <w:rFonts w:hint="eastAsia"/>
        </w:rPr>
        <w:t>（</w:t>
      </w:r>
      <w:r>
        <w:t>1</w:t>
      </w:r>
      <w:r>
        <w:rPr>
          <w:rFonts w:hint="eastAsia"/>
        </w:rPr>
        <w:t>）评价评分。采用定性与定量评价相结合的方法，对定性评价指标采用分析打分，对定量评价指标采用量化打分，评价综合得分采用百分制，满分为</w:t>
      </w:r>
      <w:r>
        <w:t>100</w:t>
      </w:r>
      <w:r>
        <w:rPr>
          <w:rFonts w:hint="eastAsia"/>
        </w:rPr>
        <w:t>分。</w:t>
      </w:r>
    </w:p>
    <w:p w14:paraId="66147A00">
      <w:pPr>
        <w:pStyle w:val="49"/>
        <w:spacing w:line="560" w:lineRule="exact"/>
        <w:rPr>
          <w:rFonts w:hint="eastAsia"/>
        </w:rPr>
      </w:pPr>
      <w:r>
        <w:rPr>
          <w:rFonts w:hint="eastAsia"/>
        </w:rPr>
        <w:t>（2）评价等级。依据财政部《关于印发〈项目支出绩效评价管理办法〉的通知》（财预</w:t>
      </w:r>
      <w:r>
        <w:rPr>
          <w:rFonts w:hint="eastAsia" w:ascii="宋体" w:hAnsi="宋体" w:eastAsia="宋体" w:cs="宋体"/>
        </w:rPr>
        <w:t>〔</w:t>
      </w:r>
      <w:r>
        <w:t>2020</w:t>
      </w:r>
      <w:r>
        <w:rPr>
          <w:rFonts w:hint="eastAsia" w:ascii="宋体" w:hAnsi="宋体" w:eastAsia="宋体" w:cs="宋体"/>
        </w:rPr>
        <w:t>〕</w:t>
      </w:r>
      <w:r>
        <w:t>10</w:t>
      </w:r>
      <w:r>
        <w:rPr>
          <w:rFonts w:hint="eastAsia"/>
        </w:rPr>
        <w:t>号），绩效评价结果评分分值与评价等级的对应关系如下：</w:t>
      </w:r>
    </w:p>
    <w:p w14:paraId="362BDD41">
      <w:pPr>
        <w:widowControl/>
        <w:spacing w:line="560" w:lineRule="exact"/>
        <w:jc w:val="center"/>
      </w:pPr>
      <w:r>
        <w:rPr>
          <w:rFonts w:hint="eastAsia" w:ascii="宋体" w:hAnsi="宋体" w:eastAsia="宋体" w:cs="宋体"/>
          <w:color w:val="000000"/>
          <w:kern w:val="0"/>
          <w:sz w:val="28"/>
          <w:szCs w:val="28"/>
          <w:lang w:bidi="ar"/>
        </w:rPr>
        <w:t>绩效评价结果评分分值与评价等级表</w:t>
      </w:r>
    </w:p>
    <w:tbl>
      <w:tblPr>
        <w:tblStyle w:val="19"/>
        <w:tblW w:w="4875" w:type="pct"/>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6"/>
        <w:gridCol w:w="1737"/>
        <w:gridCol w:w="1737"/>
        <w:gridCol w:w="1737"/>
        <w:gridCol w:w="1632"/>
      </w:tblGrid>
      <w:tr w14:paraId="3A62A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0" w:type="pct"/>
            <w:vAlign w:val="center"/>
          </w:tcPr>
          <w:p w14:paraId="16E1A36E">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评价等级</w:t>
            </w:r>
          </w:p>
        </w:tc>
        <w:tc>
          <w:tcPr>
            <w:tcW w:w="1025" w:type="pct"/>
            <w:vAlign w:val="center"/>
          </w:tcPr>
          <w:p w14:paraId="5E18D9B5">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优</w:t>
            </w:r>
          </w:p>
        </w:tc>
        <w:tc>
          <w:tcPr>
            <w:tcW w:w="1025" w:type="pct"/>
            <w:vAlign w:val="center"/>
          </w:tcPr>
          <w:p w14:paraId="7F7146A6">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良</w:t>
            </w:r>
          </w:p>
        </w:tc>
        <w:tc>
          <w:tcPr>
            <w:tcW w:w="1025" w:type="pct"/>
            <w:vAlign w:val="center"/>
          </w:tcPr>
          <w:p w14:paraId="1531695D">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中</w:t>
            </w:r>
          </w:p>
        </w:tc>
        <w:tc>
          <w:tcPr>
            <w:tcW w:w="963" w:type="pct"/>
            <w:vAlign w:val="center"/>
          </w:tcPr>
          <w:p w14:paraId="5B00A9DC">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差</w:t>
            </w:r>
          </w:p>
        </w:tc>
      </w:tr>
      <w:tr w14:paraId="211F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0" w:type="pct"/>
            <w:vAlign w:val="center"/>
          </w:tcPr>
          <w:p w14:paraId="64B9B753">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评分分值</w:t>
            </w:r>
          </w:p>
        </w:tc>
        <w:tc>
          <w:tcPr>
            <w:tcW w:w="1025" w:type="pct"/>
            <w:vAlign w:val="center"/>
          </w:tcPr>
          <w:p w14:paraId="03D23D03">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≥90</w:t>
            </w:r>
          </w:p>
        </w:tc>
        <w:tc>
          <w:tcPr>
            <w:tcW w:w="1025" w:type="pct"/>
            <w:vAlign w:val="center"/>
          </w:tcPr>
          <w:p w14:paraId="71354F8B">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＜90，≥80</w:t>
            </w:r>
          </w:p>
        </w:tc>
        <w:tc>
          <w:tcPr>
            <w:tcW w:w="1025" w:type="pct"/>
            <w:vAlign w:val="center"/>
          </w:tcPr>
          <w:p w14:paraId="2523BE24">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＜80，≥60</w:t>
            </w:r>
          </w:p>
        </w:tc>
        <w:tc>
          <w:tcPr>
            <w:tcW w:w="963" w:type="pct"/>
            <w:vAlign w:val="center"/>
          </w:tcPr>
          <w:p w14:paraId="6943A871">
            <w:pPr>
              <w:pStyle w:val="8"/>
              <w:tabs>
                <w:tab w:val="left" w:pos="510"/>
                <w:tab w:val="left" w:pos="675"/>
              </w:tabs>
              <w:overflowPunct w:val="0"/>
              <w:spacing w:line="560" w:lineRule="exact"/>
              <w:jc w:val="center"/>
              <w:rPr>
                <w:rFonts w:hint="eastAsia" w:ascii="宋体" w:hAnsi="宋体" w:eastAsia="宋体" w:cs="宋体"/>
                <w:sz w:val="24"/>
                <w:szCs w:val="24"/>
              </w:rPr>
            </w:pPr>
            <w:r>
              <w:rPr>
                <w:rFonts w:hint="eastAsia" w:ascii="宋体" w:hAnsi="宋体" w:eastAsia="宋体" w:cs="宋体"/>
                <w:sz w:val="24"/>
                <w:szCs w:val="24"/>
              </w:rPr>
              <w:t>＜60</w:t>
            </w:r>
          </w:p>
        </w:tc>
      </w:tr>
    </w:tbl>
    <w:p w14:paraId="6F5C15E8">
      <w:pPr>
        <w:pStyle w:val="8"/>
        <w:tabs>
          <w:tab w:val="left" w:pos="510"/>
          <w:tab w:val="left" w:pos="675"/>
        </w:tabs>
        <w:overflowPunct w:val="0"/>
        <w:spacing w:line="560" w:lineRule="exact"/>
        <w:ind w:firstLine="643" w:firstLineChars="200"/>
        <w:rPr>
          <w:rFonts w:hint="eastAsia" w:ascii="仿宋_GB2312" w:hAnsi="仿宋_GB2312" w:cs="仿宋_GB2312"/>
          <w:b/>
          <w:bCs/>
          <w:szCs w:val="28"/>
        </w:rPr>
      </w:pPr>
      <w:r>
        <w:rPr>
          <w:rFonts w:hint="eastAsia" w:ascii="仿宋_GB2312" w:hAnsi="仿宋_GB2312" w:cs="仿宋_GB2312"/>
          <w:b/>
          <w:bCs/>
          <w:szCs w:val="28"/>
        </w:rPr>
        <w:t>4.数据来源及证据收集方式</w:t>
      </w:r>
    </w:p>
    <w:p w14:paraId="0D62FA5E">
      <w:pPr>
        <w:pStyle w:val="49"/>
        <w:spacing w:line="560" w:lineRule="exact"/>
        <w:rPr>
          <w:rFonts w:hint="eastAsia"/>
        </w:rPr>
      </w:pPr>
      <w:r>
        <w:rPr>
          <w:rFonts w:hint="eastAsia"/>
        </w:rPr>
        <w:t>本次绩效评价的证据收集途径主要有：</w:t>
      </w:r>
    </w:p>
    <w:p w14:paraId="4E3B8627">
      <w:pPr>
        <w:pStyle w:val="49"/>
        <w:spacing w:line="560" w:lineRule="exact"/>
        <w:rPr>
          <w:rFonts w:hint="eastAsia"/>
        </w:rPr>
      </w:pPr>
      <w:r>
        <w:rPr>
          <w:rFonts w:hint="eastAsia"/>
        </w:rPr>
        <w:t>（1）由甘肃省法官学院根据资料清单提供基础数据资料；</w:t>
      </w:r>
    </w:p>
    <w:p w14:paraId="198320D7">
      <w:pPr>
        <w:pStyle w:val="49"/>
        <w:spacing w:line="560" w:lineRule="exact"/>
        <w:rPr>
          <w:rFonts w:hint="eastAsia"/>
        </w:rPr>
      </w:pPr>
      <w:r>
        <w:rPr>
          <w:rFonts w:hint="eastAsia"/>
        </w:rPr>
        <w:t>（2）通过与甘肃省法官学院相关工作人员交流，获取信息，了解项目的成效；</w:t>
      </w:r>
    </w:p>
    <w:p w14:paraId="4102F990">
      <w:pPr>
        <w:pStyle w:val="49"/>
        <w:spacing w:line="560" w:lineRule="exact"/>
        <w:rPr>
          <w:rFonts w:hint="eastAsia"/>
        </w:rPr>
      </w:pPr>
      <w:r>
        <w:rPr>
          <w:rFonts w:hint="eastAsia"/>
        </w:rPr>
        <w:t>（3）对受益对象进行问卷调查，获取满意度数据。</w:t>
      </w:r>
    </w:p>
    <w:p w14:paraId="396BC5F7">
      <w:pPr>
        <w:pStyle w:val="46"/>
        <w:spacing w:line="560" w:lineRule="exact"/>
        <w:rPr>
          <w:rFonts w:hint="eastAsia"/>
        </w:rPr>
      </w:pPr>
      <w:bookmarkStart w:id="106" w:name="_Toc8104"/>
      <w:bookmarkStart w:id="107" w:name="_Toc174529598"/>
      <w:r>
        <w:rPr>
          <w:rFonts w:hint="eastAsia"/>
        </w:rPr>
        <w:t>（六）绩效评价工作过程</w:t>
      </w:r>
      <w:bookmarkEnd w:id="106"/>
      <w:bookmarkEnd w:id="107"/>
    </w:p>
    <w:p w14:paraId="1C18EC2C">
      <w:pPr>
        <w:pStyle w:val="49"/>
        <w:spacing w:line="560" w:lineRule="exact"/>
        <w:rPr>
          <w:rFonts w:hint="eastAsia"/>
        </w:rPr>
      </w:pPr>
      <w:bookmarkStart w:id="108" w:name="_Toc10150"/>
      <w:bookmarkStart w:id="109" w:name="_Toc27041"/>
      <w:bookmarkStart w:id="110" w:name="_Toc19094"/>
      <w:bookmarkStart w:id="111" w:name="_Toc3172"/>
      <w:bookmarkStart w:id="112" w:name="_Toc95"/>
      <w:bookmarkStart w:id="113" w:name="_Toc1946"/>
      <w:bookmarkStart w:id="114" w:name="_Toc30609"/>
      <w:bookmarkStart w:id="115" w:name="_Toc31135"/>
      <w:r>
        <w:rPr>
          <w:rFonts w:hint="eastAsia"/>
        </w:rPr>
        <w:t>绩效评价工作过程主要包括准备阶段、实施阶段、撰写报告阶段三个阶段。</w:t>
      </w:r>
      <w:bookmarkEnd w:id="108"/>
      <w:bookmarkEnd w:id="109"/>
      <w:bookmarkEnd w:id="110"/>
      <w:bookmarkEnd w:id="111"/>
      <w:bookmarkEnd w:id="112"/>
      <w:bookmarkEnd w:id="113"/>
      <w:bookmarkEnd w:id="114"/>
      <w:bookmarkEnd w:id="115"/>
    </w:p>
    <w:p w14:paraId="5AAE333D">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1.准备阶段</w:t>
      </w:r>
    </w:p>
    <w:p w14:paraId="54B289F6">
      <w:pPr>
        <w:pStyle w:val="49"/>
        <w:spacing w:line="560" w:lineRule="exact"/>
        <w:rPr>
          <w:rFonts w:hint="eastAsia"/>
        </w:rPr>
      </w:pPr>
      <w:r>
        <w:rPr>
          <w:rFonts w:hint="eastAsia"/>
        </w:rPr>
        <w:t>（1）确定绩效评价组</w:t>
      </w:r>
    </w:p>
    <w:p w14:paraId="24EAF7E3">
      <w:pPr>
        <w:pStyle w:val="49"/>
        <w:spacing w:line="560" w:lineRule="exact"/>
        <w:rPr>
          <w:rFonts w:hint="eastAsia"/>
          <w:szCs w:val="28"/>
        </w:rPr>
      </w:pPr>
      <w:r>
        <w:rPr>
          <w:rFonts w:hint="eastAsia"/>
        </w:rPr>
        <w:t>甘肃省高级人民法院安排部署本次绩效评价工作，我公司及时确定绩效评价对象和范围、成立评价工作组、开展前期调研、研究制定绩效评价工作方案、组织专家论证，明确工作范围和职责，组织评价组人员进行业务培训，认真组织学习了相关政策法规制度、评价指标体系和评价方案，明确评价工作程序及要求，解析评价指标体系，使各参评人员对绩效评价情况做进一步了解。</w:t>
      </w:r>
      <w:r>
        <w:rPr>
          <w:rFonts w:hint="eastAsia"/>
          <w:szCs w:val="28"/>
        </w:rPr>
        <w:t>评价工作组人员名单及职责分工情况见下表：</w:t>
      </w:r>
    </w:p>
    <w:tbl>
      <w:tblPr>
        <w:tblStyle w:val="19"/>
        <w:tblW w:w="4960" w:type="pct"/>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196"/>
        <w:gridCol w:w="1517"/>
        <w:gridCol w:w="2149"/>
        <w:gridCol w:w="2869"/>
      </w:tblGrid>
      <w:tr w14:paraId="7315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blHeader/>
        </w:trPr>
        <w:tc>
          <w:tcPr>
            <w:tcW w:w="514" w:type="pct"/>
            <w:shd w:val="clear" w:color="auto" w:fill="auto"/>
            <w:vAlign w:val="center"/>
          </w:tcPr>
          <w:p w14:paraId="67B0066A">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序号</w:t>
            </w:r>
          </w:p>
        </w:tc>
        <w:tc>
          <w:tcPr>
            <w:tcW w:w="694" w:type="pct"/>
            <w:shd w:val="clear" w:color="auto" w:fill="auto"/>
            <w:vAlign w:val="center"/>
          </w:tcPr>
          <w:p w14:paraId="1FCB614E">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姓名</w:t>
            </w:r>
          </w:p>
        </w:tc>
        <w:tc>
          <w:tcPr>
            <w:tcW w:w="880" w:type="pct"/>
            <w:shd w:val="clear" w:color="auto" w:fill="auto"/>
            <w:vAlign w:val="center"/>
          </w:tcPr>
          <w:p w14:paraId="1562CA51">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职务</w:t>
            </w:r>
          </w:p>
        </w:tc>
        <w:tc>
          <w:tcPr>
            <w:tcW w:w="1247" w:type="pct"/>
            <w:shd w:val="clear" w:color="auto" w:fill="auto"/>
            <w:vAlign w:val="center"/>
          </w:tcPr>
          <w:p w14:paraId="6AD65901">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职称和职业资格</w:t>
            </w:r>
          </w:p>
        </w:tc>
        <w:tc>
          <w:tcPr>
            <w:tcW w:w="1665" w:type="pct"/>
            <w:shd w:val="clear" w:color="auto" w:fill="auto"/>
          </w:tcPr>
          <w:p w14:paraId="7A8B9068">
            <w:pPr>
              <w:pStyle w:val="8"/>
              <w:overflowPunct w:val="0"/>
              <w:spacing w:line="560" w:lineRule="exact"/>
              <w:jc w:val="center"/>
              <w:rPr>
                <w:rFonts w:hint="eastAsia" w:ascii="宋体" w:hAnsi="宋体" w:eastAsia="宋体" w:cs="Times New Roman"/>
                <w:b/>
                <w:bCs/>
                <w:sz w:val="24"/>
                <w:szCs w:val="24"/>
                <w:shd w:val="clear" w:color="auto" w:fill="FFFFFF"/>
              </w:rPr>
            </w:pPr>
            <w:r>
              <w:rPr>
                <w:rFonts w:hint="eastAsia" w:ascii="宋体" w:hAnsi="宋体" w:eastAsia="宋体" w:cs="Times New Roman"/>
                <w:b/>
                <w:bCs/>
                <w:sz w:val="24"/>
                <w:szCs w:val="24"/>
                <w:shd w:val="clear" w:color="auto" w:fill="FFFFFF"/>
              </w:rPr>
              <w:t>工作内容</w:t>
            </w:r>
          </w:p>
        </w:tc>
      </w:tr>
      <w:tr w14:paraId="6E9F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shd w:val="clear" w:color="auto" w:fill="auto"/>
            <w:vAlign w:val="center"/>
          </w:tcPr>
          <w:p w14:paraId="4895DAD6">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1</w:t>
            </w:r>
          </w:p>
        </w:tc>
        <w:tc>
          <w:tcPr>
            <w:tcW w:w="694" w:type="pct"/>
            <w:shd w:val="clear" w:color="auto" w:fill="auto"/>
            <w:vAlign w:val="center"/>
          </w:tcPr>
          <w:p w14:paraId="593087CE">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郑生伟</w:t>
            </w:r>
          </w:p>
        </w:tc>
        <w:tc>
          <w:tcPr>
            <w:tcW w:w="880" w:type="pct"/>
            <w:shd w:val="clear" w:color="auto" w:fill="auto"/>
            <w:vAlign w:val="center"/>
          </w:tcPr>
          <w:p w14:paraId="2D32F7FE">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审核人</w:t>
            </w:r>
          </w:p>
        </w:tc>
        <w:tc>
          <w:tcPr>
            <w:tcW w:w="1247" w:type="pct"/>
            <w:shd w:val="clear" w:color="auto" w:fill="auto"/>
            <w:vAlign w:val="center"/>
          </w:tcPr>
          <w:p w14:paraId="22AB8990">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绩效评价师</w:t>
            </w:r>
          </w:p>
        </w:tc>
        <w:tc>
          <w:tcPr>
            <w:tcW w:w="1665" w:type="pct"/>
            <w:shd w:val="clear" w:color="auto" w:fill="auto"/>
            <w:vAlign w:val="center"/>
          </w:tcPr>
          <w:p w14:paraId="656536CF">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绩效评价指导、复核</w:t>
            </w:r>
          </w:p>
        </w:tc>
      </w:tr>
      <w:tr w14:paraId="0882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514" w:type="pct"/>
            <w:shd w:val="clear" w:color="auto" w:fill="auto"/>
            <w:vAlign w:val="center"/>
          </w:tcPr>
          <w:p w14:paraId="4351D70F">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2</w:t>
            </w:r>
          </w:p>
        </w:tc>
        <w:tc>
          <w:tcPr>
            <w:tcW w:w="694" w:type="pct"/>
            <w:shd w:val="clear" w:color="auto" w:fill="auto"/>
            <w:vAlign w:val="center"/>
          </w:tcPr>
          <w:p w14:paraId="051D9FB5">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刘燕</w:t>
            </w:r>
          </w:p>
        </w:tc>
        <w:tc>
          <w:tcPr>
            <w:tcW w:w="880" w:type="pct"/>
            <w:shd w:val="clear" w:color="auto" w:fill="auto"/>
            <w:vAlign w:val="center"/>
          </w:tcPr>
          <w:p w14:paraId="577D76F9">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主评人</w:t>
            </w:r>
          </w:p>
        </w:tc>
        <w:tc>
          <w:tcPr>
            <w:tcW w:w="1247" w:type="pct"/>
            <w:shd w:val="clear" w:color="auto" w:fill="auto"/>
            <w:vAlign w:val="center"/>
          </w:tcPr>
          <w:p w14:paraId="1BD658C3">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绩效评价师</w:t>
            </w:r>
          </w:p>
        </w:tc>
        <w:tc>
          <w:tcPr>
            <w:tcW w:w="1665" w:type="pct"/>
            <w:shd w:val="clear" w:color="auto" w:fill="auto"/>
            <w:vAlign w:val="center"/>
          </w:tcPr>
          <w:p w14:paraId="5E7113F7">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制定评价方案、评价报告撰写、现场及非现场评价</w:t>
            </w:r>
          </w:p>
        </w:tc>
      </w:tr>
      <w:tr w14:paraId="0E08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shd w:val="clear" w:color="auto" w:fill="auto"/>
            <w:vAlign w:val="center"/>
          </w:tcPr>
          <w:p w14:paraId="0000B1D7">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3</w:t>
            </w:r>
          </w:p>
        </w:tc>
        <w:tc>
          <w:tcPr>
            <w:tcW w:w="694" w:type="pct"/>
            <w:shd w:val="clear" w:color="auto" w:fill="auto"/>
            <w:vAlign w:val="center"/>
          </w:tcPr>
          <w:p w14:paraId="0F435F8C">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向文霞</w:t>
            </w:r>
          </w:p>
        </w:tc>
        <w:tc>
          <w:tcPr>
            <w:tcW w:w="880" w:type="pct"/>
            <w:shd w:val="clear" w:color="auto" w:fill="auto"/>
            <w:vAlign w:val="center"/>
          </w:tcPr>
          <w:p w14:paraId="2A1C7D87">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组长</w:t>
            </w:r>
          </w:p>
        </w:tc>
        <w:tc>
          <w:tcPr>
            <w:tcW w:w="1247" w:type="pct"/>
            <w:shd w:val="clear" w:color="auto" w:fill="auto"/>
            <w:vAlign w:val="center"/>
          </w:tcPr>
          <w:p w14:paraId="1B6B4EF6">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restart"/>
            <w:shd w:val="clear" w:color="auto" w:fill="auto"/>
            <w:vAlign w:val="center"/>
          </w:tcPr>
          <w:p w14:paraId="0958FE33">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资料收集、审核、整理分析、现场及非现场评价</w:t>
            </w:r>
          </w:p>
        </w:tc>
      </w:tr>
      <w:tr w14:paraId="168F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0178888A">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4</w:t>
            </w:r>
          </w:p>
        </w:tc>
        <w:tc>
          <w:tcPr>
            <w:tcW w:w="694" w:type="pct"/>
            <w:vAlign w:val="center"/>
          </w:tcPr>
          <w:p w14:paraId="6E6C0F50">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吕晓芳</w:t>
            </w:r>
          </w:p>
        </w:tc>
        <w:tc>
          <w:tcPr>
            <w:tcW w:w="880" w:type="pct"/>
            <w:vAlign w:val="center"/>
          </w:tcPr>
          <w:p w14:paraId="0007EFA8">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组长</w:t>
            </w:r>
          </w:p>
        </w:tc>
        <w:tc>
          <w:tcPr>
            <w:tcW w:w="1247" w:type="pct"/>
            <w:vAlign w:val="center"/>
          </w:tcPr>
          <w:p w14:paraId="2A02987B">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shd w:val="clear" w:color="auto" w:fill="auto"/>
          </w:tcPr>
          <w:p w14:paraId="6C5DBE19">
            <w:pPr>
              <w:overflowPunct w:val="0"/>
              <w:spacing w:line="560" w:lineRule="exact"/>
              <w:rPr>
                <w:rFonts w:hint="eastAsia" w:ascii="宋体" w:hAnsi="宋体" w:eastAsia="宋体" w:cs="Times New Roman"/>
                <w:sz w:val="24"/>
                <w:szCs w:val="24"/>
                <w:highlight w:val="yellow"/>
                <w:shd w:val="clear" w:color="auto" w:fill="FFFFFF"/>
              </w:rPr>
            </w:pPr>
          </w:p>
        </w:tc>
      </w:tr>
      <w:tr w14:paraId="2B0A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59181EB9">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5</w:t>
            </w:r>
          </w:p>
        </w:tc>
        <w:tc>
          <w:tcPr>
            <w:tcW w:w="694" w:type="pct"/>
            <w:vAlign w:val="center"/>
          </w:tcPr>
          <w:p w14:paraId="31FF5AB3">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赵悦江</w:t>
            </w:r>
          </w:p>
        </w:tc>
        <w:tc>
          <w:tcPr>
            <w:tcW w:w="880" w:type="pct"/>
            <w:vAlign w:val="center"/>
          </w:tcPr>
          <w:p w14:paraId="0281A7C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7" w:type="pct"/>
            <w:vAlign w:val="center"/>
          </w:tcPr>
          <w:p w14:paraId="656B4B1E">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shd w:val="clear" w:color="auto" w:fill="auto"/>
          </w:tcPr>
          <w:p w14:paraId="2637AB40">
            <w:pPr>
              <w:overflowPunct w:val="0"/>
              <w:spacing w:line="560" w:lineRule="exact"/>
              <w:rPr>
                <w:rFonts w:hint="eastAsia" w:ascii="宋体" w:hAnsi="宋体" w:eastAsia="宋体" w:cs="Times New Roman"/>
                <w:sz w:val="24"/>
                <w:szCs w:val="24"/>
                <w:highlight w:val="yellow"/>
                <w:shd w:val="clear" w:color="auto" w:fill="FFFFFF"/>
              </w:rPr>
            </w:pPr>
          </w:p>
        </w:tc>
      </w:tr>
      <w:tr w14:paraId="432B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14" w:type="pct"/>
            <w:vAlign w:val="center"/>
          </w:tcPr>
          <w:p w14:paraId="176C6ED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6</w:t>
            </w:r>
          </w:p>
        </w:tc>
        <w:tc>
          <w:tcPr>
            <w:tcW w:w="694" w:type="pct"/>
            <w:vAlign w:val="center"/>
          </w:tcPr>
          <w:p w14:paraId="0DF1C530">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杨世勋</w:t>
            </w:r>
          </w:p>
        </w:tc>
        <w:tc>
          <w:tcPr>
            <w:tcW w:w="880" w:type="pct"/>
            <w:vAlign w:val="center"/>
          </w:tcPr>
          <w:p w14:paraId="0004DDFD">
            <w:pPr>
              <w:pStyle w:val="8"/>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组员</w:t>
            </w:r>
          </w:p>
        </w:tc>
        <w:tc>
          <w:tcPr>
            <w:tcW w:w="1247" w:type="pct"/>
            <w:vAlign w:val="center"/>
          </w:tcPr>
          <w:p w14:paraId="0C193182">
            <w:pPr>
              <w:overflowPunct w:val="0"/>
              <w:spacing w:line="560" w:lineRule="exact"/>
              <w:jc w:val="center"/>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助理会计师</w:t>
            </w:r>
          </w:p>
        </w:tc>
        <w:tc>
          <w:tcPr>
            <w:tcW w:w="1665" w:type="pct"/>
            <w:vMerge w:val="continue"/>
            <w:shd w:val="clear" w:color="auto" w:fill="auto"/>
          </w:tcPr>
          <w:p w14:paraId="246CDB57">
            <w:pPr>
              <w:overflowPunct w:val="0"/>
              <w:spacing w:line="560" w:lineRule="exact"/>
              <w:rPr>
                <w:rFonts w:hint="eastAsia" w:ascii="宋体" w:hAnsi="宋体" w:eastAsia="宋体" w:cs="Times New Roman"/>
                <w:sz w:val="24"/>
                <w:szCs w:val="24"/>
                <w:highlight w:val="yellow"/>
                <w:shd w:val="clear" w:color="auto" w:fill="FFFFFF"/>
              </w:rPr>
            </w:pPr>
          </w:p>
        </w:tc>
      </w:tr>
    </w:tbl>
    <w:p w14:paraId="47C1DFEA">
      <w:pPr>
        <w:pStyle w:val="8"/>
        <w:tabs>
          <w:tab w:val="left" w:pos="510"/>
          <w:tab w:val="left" w:pos="675"/>
        </w:tabs>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（2）评价时间安排</w:t>
      </w:r>
    </w:p>
    <w:p w14:paraId="2C67F916">
      <w:pPr>
        <w:pStyle w:val="49"/>
        <w:spacing w:line="560" w:lineRule="exact"/>
        <w:rPr>
          <w:rFonts w:hint="eastAsia"/>
        </w:rPr>
      </w:pPr>
      <w:r>
        <w:rPr>
          <w:rFonts w:hint="eastAsia"/>
        </w:rPr>
        <w:t>根据</w:t>
      </w:r>
      <w:r>
        <w:rPr>
          <w:rFonts w:hint="eastAsia"/>
          <w:lang w:val="en-US" w:eastAsia="zh-CN"/>
        </w:rPr>
        <w:t>甘肃省高级人民法院</w:t>
      </w:r>
      <w:r>
        <w:rPr>
          <w:rFonts w:hint="eastAsia"/>
        </w:rPr>
        <w:t>要求，确定评价时间为2024年7月1日—2024年7月31日。</w:t>
      </w:r>
    </w:p>
    <w:p w14:paraId="4A3F4641">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2.实施阶段</w:t>
      </w:r>
    </w:p>
    <w:p w14:paraId="184E767C">
      <w:pPr>
        <w:pStyle w:val="49"/>
        <w:spacing w:line="560" w:lineRule="exact"/>
        <w:rPr>
          <w:rFonts w:hint="eastAsia"/>
        </w:rPr>
      </w:pPr>
      <w:r>
        <w:rPr>
          <w:rFonts w:hint="eastAsia"/>
        </w:rPr>
        <w:t>（1）递交资料清单</w:t>
      </w:r>
    </w:p>
    <w:p w14:paraId="1BD2186B">
      <w:pPr>
        <w:pStyle w:val="49"/>
        <w:spacing w:line="560" w:lineRule="exact"/>
        <w:rPr>
          <w:rFonts w:hint="eastAsia"/>
        </w:rPr>
      </w:pPr>
      <w:r>
        <w:rPr>
          <w:rFonts w:hint="eastAsia"/>
        </w:rPr>
        <w:t>绩效评价组在拟开展现场评价的5个工作日前向甘肃省法官学院递交资料清单，提前准备评价资料。</w:t>
      </w:r>
    </w:p>
    <w:p w14:paraId="1D351A19">
      <w:pPr>
        <w:pStyle w:val="49"/>
        <w:spacing w:line="560" w:lineRule="exact"/>
        <w:rPr>
          <w:rFonts w:hint="eastAsia"/>
        </w:rPr>
      </w:pPr>
      <w:r>
        <w:rPr>
          <w:rFonts w:hint="eastAsia"/>
        </w:rPr>
        <w:t>（2）进驻评价单位</w:t>
      </w:r>
    </w:p>
    <w:p w14:paraId="48C95815">
      <w:pPr>
        <w:pStyle w:val="49"/>
        <w:spacing w:line="560" w:lineRule="exact"/>
        <w:rPr>
          <w:rFonts w:hint="eastAsia"/>
        </w:rPr>
      </w:pPr>
      <w:r>
        <w:rPr>
          <w:rFonts w:hint="eastAsia"/>
        </w:rPr>
        <w:t>评价组按时进驻甘肃省法官学院，根据工作方案，对相关工作人员进行了访谈，本次访谈旨在通过与相关工作人员进行沟通，了解项目基本情况以及重点工作任务完成情况，听取项目的目标设定及完成程度、组织管理制度建立健全及落实情况、预算支出执行情况、财务管理状况、资产管理情况和项目实施产生的效益效果等情况介绍。</w:t>
      </w:r>
    </w:p>
    <w:p w14:paraId="39067B37">
      <w:pPr>
        <w:pStyle w:val="49"/>
        <w:spacing w:line="560" w:lineRule="exact"/>
        <w:rPr>
          <w:rFonts w:hint="eastAsia"/>
        </w:rPr>
      </w:pPr>
      <w:r>
        <w:rPr>
          <w:rFonts w:hint="eastAsia"/>
        </w:rPr>
        <w:t>（3）资料分析及复核</w:t>
      </w:r>
    </w:p>
    <w:p w14:paraId="474BC72F">
      <w:pPr>
        <w:pStyle w:val="49"/>
        <w:spacing w:line="560" w:lineRule="exact"/>
        <w:rPr>
          <w:rFonts w:hint="eastAsia"/>
        </w:rPr>
      </w:pPr>
      <w:r>
        <w:rPr>
          <w:rFonts w:hint="eastAsia"/>
        </w:rPr>
        <w:t>根据访谈了解情况对甘肃省法官学院提供的资料进行核对，核实其真实性。结合资料进行现场查看，核实甘肃省法官学院各项重点工作任务的完成情况的真实性和规范性。</w:t>
      </w:r>
    </w:p>
    <w:p w14:paraId="600F0637">
      <w:pPr>
        <w:pStyle w:val="49"/>
        <w:spacing w:line="560" w:lineRule="exact"/>
        <w:rPr>
          <w:rFonts w:hint="eastAsia"/>
        </w:rPr>
      </w:pPr>
      <w:r>
        <w:rPr>
          <w:rFonts w:hint="eastAsia"/>
        </w:rPr>
        <w:t>（4）进行现场评分</w:t>
      </w:r>
    </w:p>
    <w:p w14:paraId="03229E5F">
      <w:pPr>
        <w:pStyle w:val="49"/>
        <w:spacing w:line="560" w:lineRule="exact"/>
        <w:rPr>
          <w:rFonts w:hint="eastAsia"/>
        </w:rPr>
      </w:pPr>
      <w:r>
        <w:rPr>
          <w:rFonts w:hint="eastAsia"/>
        </w:rPr>
        <w:t>针对评价中发现的问题与甘肃省法官学院及时沟通，对各项评价指标进行分析讨论，经反复分析、研究，按设计的评价指标体系进行现场评价打分。</w:t>
      </w:r>
    </w:p>
    <w:p w14:paraId="48787655">
      <w:pPr>
        <w:pStyle w:val="49"/>
        <w:spacing w:line="560" w:lineRule="exact"/>
        <w:rPr>
          <w:rFonts w:hint="eastAsia"/>
        </w:rPr>
      </w:pPr>
      <w:r>
        <w:rPr>
          <w:rFonts w:hint="eastAsia"/>
        </w:rPr>
        <w:t>（5）开展社会调查</w:t>
      </w:r>
    </w:p>
    <w:p w14:paraId="56FFECF2">
      <w:pPr>
        <w:pStyle w:val="49"/>
        <w:spacing w:line="560" w:lineRule="exact"/>
        <w:rPr>
          <w:rFonts w:hint="eastAsia"/>
        </w:rPr>
      </w:pPr>
      <w:r>
        <w:rPr>
          <w:rFonts w:hint="eastAsia"/>
        </w:rPr>
        <w:t>根据绩效评价方案中确定的调查对象、调查内容，随机抽取项目受益对象进行调查，发放并收回调查问卷，对调查问卷进行统计分析。</w:t>
      </w:r>
    </w:p>
    <w:p w14:paraId="0CD27F06">
      <w:pPr>
        <w:pStyle w:val="4"/>
        <w:keepNext w:val="0"/>
        <w:keepLines w:val="0"/>
        <w:overflowPunct w:val="0"/>
        <w:spacing w:before="0" w:after="0" w:line="560" w:lineRule="exact"/>
        <w:ind w:firstLine="643" w:firstLineChars="200"/>
        <w:rPr>
          <w:rFonts w:hint="eastAsia" w:ascii="仿宋_GB2312" w:hAnsi="仿宋_GB2312" w:eastAsia="仿宋_GB2312" w:cs="仿宋_GB2312"/>
          <w:color w:val="000000" w:themeColor="text1"/>
          <w:szCs w:val="32"/>
          <w14:textFill>
            <w14:solidFill>
              <w14:schemeClr w14:val="tx1"/>
            </w14:solidFill>
          </w14:textFill>
        </w:rPr>
      </w:pPr>
      <w:r>
        <w:rPr>
          <w:rFonts w:hint="eastAsia" w:ascii="仿宋_GB2312" w:hAnsi="仿宋_GB2312" w:eastAsia="仿宋_GB2312" w:cs="仿宋_GB2312"/>
          <w:color w:val="000000" w:themeColor="text1"/>
          <w:szCs w:val="32"/>
          <w14:textFill>
            <w14:solidFill>
              <w14:schemeClr w14:val="tx1"/>
            </w14:solidFill>
          </w14:textFill>
        </w:rPr>
        <w:t>3.撰写报告阶段</w:t>
      </w:r>
    </w:p>
    <w:p w14:paraId="3FA38BBE">
      <w:pPr>
        <w:pStyle w:val="49"/>
        <w:spacing w:line="560" w:lineRule="exact"/>
        <w:rPr>
          <w:rFonts w:hint="eastAsia"/>
        </w:rPr>
      </w:pPr>
      <w:r>
        <w:rPr>
          <w:rFonts w:hint="eastAsia"/>
        </w:rPr>
        <w:t>（1）撰写绩效评价报告</w:t>
      </w:r>
    </w:p>
    <w:p w14:paraId="1E9013A3">
      <w:pPr>
        <w:pStyle w:val="49"/>
        <w:spacing w:line="560" w:lineRule="exact"/>
        <w:rPr>
          <w:rFonts w:hint="eastAsia"/>
        </w:rPr>
      </w:pPr>
      <w:r>
        <w:rPr>
          <w:rFonts w:hint="eastAsia"/>
        </w:rPr>
        <w:t>评价小组根据现场评价收集的资料，运用科学、合理的绩效评价指标、评价标准和评价方法，对项目支出的经济性、效率性和效益性进行客观、公正地评价，及时撰写绩效评价报告，并做到依据充分、数据真实、内容完整、客观公正、结论明确、建议可行。</w:t>
      </w:r>
    </w:p>
    <w:p w14:paraId="49030A14">
      <w:pPr>
        <w:pStyle w:val="49"/>
        <w:spacing w:line="560" w:lineRule="exact"/>
        <w:rPr>
          <w:rFonts w:hint="eastAsia"/>
        </w:rPr>
      </w:pPr>
      <w:r>
        <w:rPr>
          <w:rFonts w:hint="eastAsia"/>
        </w:rPr>
        <w:t>（2）绩效评价报告征求意见</w:t>
      </w:r>
    </w:p>
    <w:p w14:paraId="5AFD52C6">
      <w:pPr>
        <w:pStyle w:val="49"/>
        <w:spacing w:line="560" w:lineRule="exact"/>
        <w:rPr>
          <w:rFonts w:hint="eastAsia"/>
        </w:rPr>
      </w:pPr>
      <w:r>
        <w:rPr>
          <w:rFonts w:hint="eastAsia"/>
        </w:rPr>
        <w:t>绩效评价报告初稿完成后，征求甘肃省法官学院的意见，根据反馈的有效意见对评价报告进行修改。</w:t>
      </w:r>
    </w:p>
    <w:p w14:paraId="5C02AEB2">
      <w:pPr>
        <w:pStyle w:val="49"/>
        <w:spacing w:line="560" w:lineRule="exact"/>
        <w:rPr>
          <w:rFonts w:hint="eastAsia"/>
        </w:rPr>
      </w:pPr>
      <w:r>
        <w:rPr>
          <w:rFonts w:hint="eastAsia"/>
        </w:rPr>
        <w:t>（3）提交绩效评价报告</w:t>
      </w:r>
    </w:p>
    <w:p w14:paraId="7EE754B6">
      <w:pPr>
        <w:pStyle w:val="49"/>
        <w:spacing w:line="560" w:lineRule="exact"/>
        <w:rPr>
          <w:rFonts w:hint="eastAsia"/>
        </w:rPr>
      </w:pPr>
      <w:r>
        <w:rPr>
          <w:rFonts w:hint="eastAsia"/>
        </w:rPr>
        <w:t>绩效评价报告及评价数据资料经绩效评价负责人和被评价单位确定，在规定时间内按照规定的格式、要求，提交甘肃省法官学院。</w:t>
      </w:r>
    </w:p>
    <w:p w14:paraId="5201FEB7">
      <w:pPr>
        <w:pStyle w:val="8"/>
        <w:overflowPunct w:val="0"/>
        <w:spacing w:line="560" w:lineRule="exact"/>
        <w:ind w:firstLine="640" w:firstLineChars="200"/>
        <w:outlineLvl w:val="0"/>
        <w:rPr>
          <w:rFonts w:ascii="黑体" w:eastAsia="黑体"/>
        </w:rPr>
      </w:pPr>
      <w:bookmarkStart w:id="116" w:name="_Toc22550"/>
      <w:bookmarkStart w:id="117" w:name="_Toc6529"/>
      <w:bookmarkStart w:id="118" w:name="_Toc174529599"/>
      <w:r>
        <w:rPr>
          <w:rFonts w:hint="eastAsia" w:ascii="黑体" w:eastAsia="黑体"/>
        </w:rPr>
        <w:t>四、评价结论及分析</w:t>
      </w:r>
      <w:bookmarkEnd w:id="116"/>
      <w:bookmarkEnd w:id="117"/>
      <w:bookmarkEnd w:id="118"/>
    </w:p>
    <w:p w14:paraId="6F3180EC">
      <w:pPr>
        <w:pStyle w:val="49"/>
        <w:spacing w:line="560" w:lineRule="exact"/>
        <w:rPr>
          <w:rFonts w:hint="eastAsia"/>
        </w:rPr>
      </w:pPr>
      <w:r>
        <w:rPr>
          <w:rFonts w:hint="eastAsia"/>
        </w:rPr>
        <w:t>评价小组根据项目实际，运用事先设置的评价指标体系及评分标准，对本次绩效评价指标体系进行适当调整，并经过数据采集、问卷调查及访谈、专家论证等评价方式，客观公正地评价，评定2023年度少数民族法制教学研究经费项目综合评价得分为</w:t>
      </w:r>
      <w:r>
        <w:rPr>
          <w:rFonts w:hint="eastAsia"/>
          <w:lang w:val="en-US" w:eastAsia="zh-CN"/>
        </w:rPr>
        <w:t>97.92</w:t>
      </w:r>
      <w:r>
        <w:rPr>
          <w:rFonts w:hint="eastAsia"/>
        </w:rPr>
        <w:t>分，评价等级为“优”。指标具体得分情况见下表：</w:t>
      </w:r>
    </w:p>
    <w:tbl>
      <w:tblPr>
        <w:tblStyle w:val="18"/>
        <w:tblW w:w="8588" w:type="dxa"/>
        <w:tblInd w:w="96" w:type="dxa"/>
        <w:tblLayout w:type="autofit"/>
        <w:tblCellMar>
          <w:top w:w="0" w:type="dxa"/>
          <w:left w:w="108" w:type="dxa"/>
          <w:bottom w:w="0" w:type="dxa"/>
          <w:right w:w="108" w:type="dxa"/>
        </w:tblCellMar>
      </w:tblPr>
      <w:tblGrid>
        <w:gridCol w:w="1116"/>
        <w:gridCol w:w="1113"/>
        <w:gridCol w:w="2662"/>
        <w:gridCol w:w="1223"/>
        <w:gridCol w:w="1222"/>
        <w:gridCol w:w="1252"/>
      </w:tblGrid>
      <w:tr w14:paraId="480D7484">
        <w:tblPrEx>
          <w:tblCellMar>
            <w:top w:w="0" w:type="dxa"/>
            <w:left w:w="108" w:type="dxa"/>
            <w:bottom w:w="0" w:type="dxa"/>
            <w:right w:w="108" w:type="dxa"/>
          </w:tblCellMar>
        </w:tblPrEx>
        <w:trPr>
          <w:trHeight w:val="454" w:hRule="atLeast"/>
          <w:tblHeader/>
        </w:trPr>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687F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一级指标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088E">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756B7">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FBB0">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329E">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252" w:type="dxa"/>
            <w:tcBorders>
              <w:top w:val="single" w:color="000000" w:sz="4" w:space="0"/>
              <w:left w:val="single" w:color="000000" w:sz="4" w:space="0"/>
              <w:bottom w:val="single" w:color="auto" w:sz="4" w:space="0"/>
              <w:right w:val="single" w:color="000000" w:sz="4" w:space="0"/>
            </w:tcBorders>
            <w:shd w:val="clear" w:color="auto" w:fill="auto"/>
            <w:vAlign w:val="center"/>
          </w:tcPr>
          <w:p w14:paraId="419CF490">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31DCCA6F">
        <w:tblPrEx>
          <w:tblCellMar>
            <w:top w:w="0" w:type="dxa"/>
            <w:left w:w="108" w:type="dxa"/>
            <w:bottom w:w="0" w:type="dxa"/>
            <w:right w:w="108" w:type="dxa"/>
          </w:tblCellMar>
        </w:tblPrEx>
        <w:trPr>
          <w:trHeight w:val="454" w:hRule="atLeast"/>
        </w:trPr>
        <w:tc>
          <w:tcPr>
            <w:tcW w:w="1116" w:type="dxa"/>
            <w:vMerge w:val="restart"/>
            <w:tcBorders>
              <w:top w:val="single" w:color="000000" w:sz="4" w:space="0"/>
              <w:left w:val="single" w:color="000000" w:sz="4" w:space="0"/>
              <w:right w:val="single" w:color="000000" w:sz="4" w:space="0"/>
            </w:tcBorders>
            <w:shd w:val="clear" w:color="auto" w:fill="auto"/>
            <w:vAlign w:val="center"/>
          </w:tcPr>
          <w:p w14:paraId="19CCA4E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决策指标</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9172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项目立项</w:t>
            </w:r>
          </w:p>
        </w:tc>
        <w:tc>
          <w:tcPr>
            <w:tcW w:w="2662" w:type="dxa"/>
            <w:tcBorders>
              <w:top w:val="single" w:color="auto" w:sz="4" w:space="0"/>
              <w:left w:val="single" w:color="auto" w:sz="4" w:space="0"/>
              <w:bottom w:val="single" w:color="auto" w:sz="4" w:space="0"/>
              <w:right w:val="single" w:color="auto" w:sz="4" w:space="0"/>
            </w:tcBorders>
            <w:shd w:val="clear" w:color="auto" w:fill="auto"/>
            <w:vAlign w:val="center"/>
          </w:tcPr>
          <w:p w14:paraId="5FE8942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立项依据充分性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EFF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5344D7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2760FB7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60FD6CE">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67E1EF00">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D4E27">
            <w:pPr>
              <w:spacing w:line="560" w:lineRule="exact"/>
              <w:jc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63E43A9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立项程序规范性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411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7716A5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07A9D62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B651261">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3324E479">
            <w:pPr>
              <w:spacing w:line="560" w:lineRule="exact"/>
              <w:jc w:val="center"/>
              <w:rPr>
                <w:rFonts w:hint="eastAsia" w:ascii="宋体" w:hAnsi="宋体" w:eastAsia="宋体" w:cs="宋体"/>
                <w:kern w:val="0"/>
                <w:sz w:val="20"/>
                <w:szCs w:val="20"/>
                <w:lang w:bidi="ar"/>
              </w:rPr>
            </w:pPr>
          </w:p>
        </w:tc>
        <w:tc>
          <w:tcPr>
            <w:tcW w:w="1113" w:type="dxa"/>
            <w:vMerge w:val="restart"/>
            <w:tcBorders>
              <w:top w:val="single" w:color="000000" w:sz="4" w:space="0"/>
              <w:left w:val="single" w:color="000000" w:sz="4" w:space="0"/>
              <w:right w:val="single" w:color="000000" w:sz="4" w:space="0"/>
            </w:tcBorders>
            <w:shd w:val="clear" w:color="auto" w:fill="auto"/>
            <w:vAlign w:val="center"/>
          </w:tcPr>
          <w:p w14:paraId="4F68FB2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绩效目标</w:t>
            </w:r>
          </w:p>
        </w:tc>
        <w:tc>
          <w:tcPr>
            <w:tcW w:w="2662" w:type="dxa"/>
            <w:tcBorders>
              <w:top w:val="nil"/>
              <w:left w:val="single" w:color="auto" w:sz="4" w:space="0"/>
              <w:bottom w:val="single" w:color="auto" w:sz="4" w:space="0"/>
              <w:right w:val="single" w:color="auto" w:sz="4" w:space="0"/>
            </w:tcBorders>
            <w:shd w:val="clear" w:color="auto" w:fill="auto"/>
            <w:vAlign w:val="center"/>
          </w:tcPr>
          <w:p w14:paraId="4077AE4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绩效目标合理性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4D5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F1983B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1.67</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390355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66.80%</w:t>
            </w:r>
          </w:p>
        </w:tc>
      </w:tr>
      <w:tr w14:paraId="56D33E20">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3AC0DDF6">
            <w:pPr>
              <w:widowControl/>
              <w:spacing w:line="560" w:lineRule="exact"/>
              <w:jc w:val="center"/>
              <w:textAlignment w:val="center"/>
              <w:rPr>
                <w:rFonts w:hint="eastAsia" w:ascii="宋体" w:hAnsi="宋体" w:eastAsia="宋体" w:cs="宋体"/>
                <w:kern w:val="0"/>
                <w:sz w:val="20"/>
                <w:szCs w:val="20"/>
                <w:lang w:bidi="ar"/>
              </w:rPr>
            </w:pPr>
          </w:p>
        </w:tc>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6F68A5A8">
            <w:pPr>
              <w:widowControl/>
              <w:spacing w:line="560" w:lineRule="exact"/>
              <w:jc w:val="center"/>
              <w:textAlignment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5AC8809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绩效指标明确性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FD4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EA969E">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F43BF0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79FC2B48">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FEC05A4">
            <w:pPr>
              <w:spacing w:line="560" w:lineRule="exact"/>
              <w:jc w:val="center"/>
              <w:rPr>
                <w:rFonts w:hint="eastAsia" w:ascii="宋体" w:hAnsi="宋体" w:eastAsia="宋体" w:cs="宋体"/>
                <w:kern w:val="0"/>
                <w:sz w:val="20"/>
                <w:szCs w:val="20"/>
                <w:lang w:bidi="ar"/>
              </w:rPr>
            </w:pP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C5E3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资金投入  </w:t>
            </w:r>
          </w:p>
        </w:tc>
        <w:tc>
          <w:tcPr>
            <w:tcW w:w="2662" w:type="dxa"/>
            <w:tcBorders>
              <w:top w:val="nil"/>
              <w:left w:val="single" w:color="auto" w:sz="4" w:space="0"/>
              <w:bottom w:val="single" w:color="auto" w:sz="4" w:space="0"/>
              <w:right w:val="single" w:color="auto" w:sz="4" w:space="0"/>
            </w:tcBorders>
            <w:shd w:val="clear" w:color="auto" w:fill="auto"/>
            <w:vAlign w:val="center"/>
          </w:tcPr>
          <w:p w14:paraId="578949E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预算编制科学性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7E2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F484E8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85F2C5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40DC30F">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000000" w:sz="4" w:space="0"/>
              <w:right w:val="single" w:color="000000" w:sz="4" w:space="0"/>
            </w:tcBorders>
            <w:shd w:val="clear" w:color="auto" w:fill="auto"/>
            <w:vAlign w:val="center"/>
          </w:tcPr>
          <w:p w14:paraId="607106A2">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1A9E6">
            <w:pPr>
              <w:spacing w:line="560" w:lineRule="exact"/>
              <w:jc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4B72516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资金分配合理性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C678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40A60A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EB9476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B3A63DA">
        <w:tblPrEx>
          <w:tblCellMar>
            <w:top w:w="0" w:type="dxa"/>
            <w:left w:w="108" w:type="dxa"/>
            <w:bottom w:w="0" w:type="dxa"/>
            <w:right w:w="108" w:type="dxa"/>
          </w:tblCellMar>
        </w:tblPrEx>
        <w:trPr>
          <w:trHeight w:val="454" w:hRule="atLeast"/>
        </w:trPr>
        <w:tc>
          <w:tcPr>
            <w:tcW w:w="1116" w:type="dxa"/>
            <w:vMerge w:val="restart"/>
            <w:tcBorders>
              <w:top w:val="single" w:color="000000" w:sz="4" w:space="0"/>
              <w:left w:val="single" w:color="000000" w:sz="4" w:space="0"/>
              <w:right w:val="single" w:color="000000" w:sz="4" w:space="0"/>
            </w:tcBorders>
            <w:shd w:val="clear" w:color="auto" w:fill="auto"/>
            <w:vAlign w:val="center"/>
          </w:tcPr>
          <w:p w14:paraId="6D70F995">
            <w:pPr>
              <w:spacing w:line="560" w:lineRule="exac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过程指标</w:t>
            </w:r>
          </w:p>
        </w:tc>
        <w:tc>
          <w:tcPr>
            <w:tcW w:w="1113" w:type="dxa"/>
            <w:tcBorders>
              <w:top w:val="single" w:color="000000" w:sz="4" w:space="0"/>
              <w:left w:val="single" w:color="000000" w:sz="4" w:space="0"/>
              <w:bottom w:val="single" w:color="auto" w:sz="4" w:space="0"/>
              <w:right w:val="single" w:color="000000" w:sz="4" w:space="0"/>
            </w:tcBorders>
            <w:shd w:val="clear" w:color="auto" w:fill="auto"/>
            <w:vAlign w:val="center"/>
          </w:tcPr>
          <w:p w14:paraId="7E68819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资金管理</w:t>
            </w:r>
          </w:p>
        </w:tc>
        <w:tc>
          <w:tcPr>
            <w:tcW w:w="2662" w:type="dxa"/>
            <w:tcBorders>
              <w:top w:val="nil"/>
              <w:left w:val="single" w:color="auto" w:sz="4" w:space="0"/>
              <w:bottom w:val="single" w:color="auto" w:sz="4" w:space="0"/>
              <w:right w:val="single" w:color="auto" w:sz="4" w:space="0"/>
            </w:tcBorders>
            <w:shd w:val="clear" w:color="auto" w:fill="auto"/>
            <w:vAlign w:val="center"/>
          </w:tcPr>
          <w:p w14:paraId="2B33C5E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资金到位率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BB1F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542D875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7A7A5AC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5E765C8">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3D93787B">
            <w:pPr>
              <w:widowControl/>
              <w:spacing w:line="560" w:lineRule="exact"/>
              <w:textAlignment w:val="center"/>
              <w:rPr>
                <w:rFonts w:hint="eastAsia" w:ascii="宋体" w:hAnsi="宋体" w:eastAsia="宋体" w:cs="宋体"/>
                <w:kern w:val="0"/>
                <w:sz w:val="20"/>
                <w:szCs w:val="20"/>
                <w:lang w:bidi="ar"/>
              </w:rPr>
            </w:pPr>
          </w:p>
        </w:tc>
        <w:tc>
          <w:tcPr>
            <w:tcW w:w="111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09340C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资金管理</w:t>
            </w:r>
          </w:p>
        </w:tc>
        <w:tc>
          <w:tcPr>
            <w:tcW w:w="2662" w:type="dxa"/>
            <w:tcBorders>
              <w:top w:val="nil"/>
              <w:left w:val="single" w:color="auto" w:sz="4" w:space="0"/>
              <w:bottom w:val="single" w:color="auto" w:sz="4" w:space="0"/>
              <w:right w:val="single" w:color="auto" w:sz="4" w:space="0"/>
            </w:tcBorders>
            <w:shd w:val="clear" w:color="auto" w:fill="auto"/>
            <w:vAlign w:val="center"/>
          </w:tcPr>
          <w:p w14:paraId="1AC3FF1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预算执行率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657E">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2775D09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22A8DE5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29FF104">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101A1F44">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9B4D68">
            <w:pPr>
              <w:spacing w:line="560" w:lineRule="exact"/>
              <w:jc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0895DD5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资金使用合规性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3E9F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A9865F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1A1952E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3FE9C4C">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76E9A757">
            <w:pPr>
              <w:spacing w:line="560" w:lineRule="exact"/>
              <w:jc w:val="center"/>
              <w:rPr>
                <w:rFonts w:hint="eastAsia" w:ascii="宋体" w:hAnsi="宋体" w:eastAsia="宋体" w:cs="宋体"/>
                <w:kern w:val="0"/>
                <w:sz w:val="20"/>
                <w:szCs w:val="20"/>
                <w:lang w:bidi="ar"/>
              </w:rPr>
            </w:pPr>
          </w:p>
        </w:tc>
        <w:tc>
          <w:tcPr>
            <w:tcW w:w="1113"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A65C84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组织实施      </w:t>
            </w:r>
          </w:p>
        </w:tc>
        <w:tc>
          <w:tcPr>
            <w:tcW w:w="2662" w:type="dxa"/>
            <w:tcBorders>
              <w:top w:val="nil"/>
              <w:left w:val="single" w:color="auto" w:sz="4" w:space="0"/>
              <w:bottom w:val="single" w:color="auto" w:sz="4" w:space="0"/>
              <w:right w:val="single" w:color="auto" w:sz="4" w:space="0"/>
            </w:tcBorders>
            <w:shd w:val="clear" w:color="auto" w:fill="auto"/>
            <w:vAlign w:val="center"/>
          </w:tcPr>
          <w:p w14:paraId="61D593A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管理制度健全性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933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77698D4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2AAED96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DBAFC0E">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0097EA11">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8BD622">
            <w:pPr>
              <w:spacing w:line="560" w:lineRule="exact"/>
              <w:jc w:val="center"/>
              <w:rPr>
                <w:rStyle w:val="33"/>
                <w:rFonts w:hint="default"/>
                <w:color w:val="auto"/>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7E8A3AB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 xml:space="preserve">制度执行有效性    </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1E9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4018BA6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529F2C4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94E663B">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auto" w:sz="4" w:space="0"/>
              <w:right w:val="single" w:color="000000" w:sz="4" w:space="0"/>
            </w:tcBorders>
            <w:shd w:val="clear" w:color="auto" w:fill="auto"/>
            <w:vAlign w:val="center"/>
          </w:tcPr>
          <w:p w14:paraId="13E6ECE7">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8BC3DFC">
            <w:pPr>
              <w:spacing w:line="560" w:lineRule="exact"/>
              <w:jc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220C9ED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采购管理规范性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9FA9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358980FD">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3C3CBA7">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3773CE78">
        <w:tblPrEx>
          <w:tblCellMar>
            <w:top w:w="0" w:type="dxa"/>
            <w:left w:w="108" w:type="dxa"/>
            <w:bottom w:w="0" w:type="dxa"/>
            <w:right w:w="108" w:type="dxa"/>
          </w:tblCellMar>
        </w:tblPrEx>
        <w:trPr>
          <w:trHeight w:val="454" w:hRule="atLeast"/>
        </w:trPr>
        <w:tc>
          <w:tcPr>
            <w:tcW w:w="1116" w:type="dxa"/>
            <w:vMerge w:val="continue"/>
            <w:tcBorders>
              <w:left w:val="single" w:color="000000" w:sz="4" w:space="0"/>
              <w:bottom w:val="single" w:color="auto" w:sz="4" w:space="0"/>
              <w:right w:val="single" w:color="000000" w:sz="4" w:space="0"/>
            </w:tcBorders>
            <w:shd w:val="clear" w:color="auto" w:fill="auto"/>
            <w:vAlign w:val="center"/>
          </w:tcPr>
          <w:p w14:paraId="57E35D23">
            <w:pPr>
              <w:spacing w:line="560" w:lineRule="exact"/>
              <w:jc w:val="center"/>
              <w:rPr>
                <w:rFonts w:hint="eastAsia" w:ascii="宋体" w:hAnsi="宋体" w:eastAsia="宋体" w:cs="宋体"/>
                <w:kern w:val="0"/>
                <w:sz w:val="20"/>
                <w:szCs w:val="20"/>
                <w:lang w:bidi="ar"/>
              </w:rPr>
            </w:pPr>
          </w:p>
        </w:tc>
        <w:tc>
          <w:tcPr>
            <w:tcW w:w="111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E893A6">
            <w:pPr>
              <w:spacing w:line="560" w:lineRule="exact"/>
              <w:jc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333F1A7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合同管理完备性</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252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621CA3A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1.25</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7ACD03B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50.00%</w:t>
            </w:r>
          </w:p>
        </w:tc>
      </w:tr>
      <w:tr w14:paraId="2A2B52BA">
        <w:tblPrEx>
          <w:tblCellMar>
            <w:top w:w="0" w:type="dxa"/>
            <w:left w:w="108" w:type="dxa"/>
            <w:bottom w:w="0" w:type="dxa"/>
            <w:right w:w="108" w:type="dxa"/>
          </w:tblCellMar>
        </w:tblPrEx>
        <w:trPr>
          <w:trHeight w:val="454" w:hRule="atLeast"/>
        </w:trPr>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18B72FA9">
            <w:pPr>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成本指标</w:t>
            </w:r>
          </w:p>
        </w:tc>
        <w:tc>
          <w:tcPr>
            <w:tcW w:w="1113" w:type="dxa"/>
            <w:tcBorders>
              <w:top w:val="single" w:color="auto" w:sz="4" w:space="0"/>
              <w:left w:val="single" w:color="auto" w:sz="4" w:space="0"/>
              <w:bottom w:val="single" w:color="auto" w:sz="4" w:space="0"/>
              <w:right w:val="single" w:color="000000" w:sz="4" w:space="0"/>
            </w:tcBorders>
            <w:shd w:val="clear" w:color="auto" w:fill="auto"/>
            <w:vAlign w:val="center"/>
          </w:tcPr>
          <w:p w14:paraId="7E4D47A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2662" w:type="dxa"/>
            <w:tcBorders>
              <w:top w:val="nil"/>
              <w:left w:val="single" w:color="auto" w:sz="4" w:space="0"/>
              <w:bottom w:val="single" w:color="auto" w:sz="4" w:space="0"/>
              <w:right w:val="single" w:color="auto" w:sz="4" w:space="0"/>
            </w:tcBorders>
            <w:shd w:val="clear" w:color="auto" w:fill="auto"/>
            <w:vAlign w:val="center"/>
          </w:tcPr>
          <w:p w14:paraId="18AF5C4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成本控制情况</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F88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D40C10">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36DF8A9A">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52CB6CAB">
        <w:tblPrEx>
          <w:tblCellMar>
            <w:top w:w="0" w:type="dxa"/>
            <w:left w:w="108" w:type="dxa"/>
            <w:bottom w:w="0" w:type="dxa"/>
            <w:right w:w="108" w:type="dxa"/>
          </w:tblCellMar>
        </w:tblPrEx>
        <w:trPr>
          <w:trHeight w:val="454" w:hRule="atLeast"/>
        </w:trPr>
        <w:tc>
          <w:tcPr>
            <w:tcW w:w="11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8BA571">
            <w:pPr>
              <w:widowControl/>
              <w:spacing w:line="560" w:lineRule="exact"/>
              <w:jc w:val="center"/>
              <w:textAlignment w:val="center"/>
              <w:rPr>
                <w:rStyle w:val="33"/>
                <w:rFonts w:hint="default"/>
                <w:color w:val="auto"/>
                <w:lang w:bidi="ar"/>
              </w:rPr>
            </w:pPr>
            <w:r>
              <w:rPr>
                <w:rFonts w:hint="eastAsia" w:ascii="宋体" w:hAnsi="宋体" w:eastAsia="宋体" w:cs="宋体"/>
                <w:kern w:val="0"/>
                <w:sz w:val="20"/>
                <w:szCs w:val="20"/>
                <w:lang w:bidi="ar"/>
              </w:rPr>
              <w:t>产出指标</w:t>
            </w:r>
          </w:p>
        </w:tc>
        <w:tc>
          <w:tcPr>
            <w:tcW w:w="1113"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5C66E48F">
            <w:pPr>
              <w:widowControl/>
              <w:spacing w:line="560" w:lineRule="exact"/>
              <w:jc w:val="center"/>
              <w:textAlignment w:val="center"/>
              <w:rPr>
                <w:rStyle w:val="33"/>
                <w:rFonts w:hint="default"/>
                <w:color w:val="auto"/>
                <w:lang w:bidi="ar"/>
              </w:rPr>
            </w:pPr>
            <w:r>
              <w:rPr>
                <w:rFonts w:hint="eastAsia" w:ascii="宋体" w:hAnsi="宋体" w:eastAsia="宋体" w:cs="宋体"/>
                <w:kern w:val="0"/>
                <w:sz w:val="20"/>
                <w:szCs w:val="20"/>
                <w:lang w:bidi="ar"/>
              </w:rPr>
              <w:t>数量指标</w:t>
            </w:r>
          </w:p>
        </w:tc>
        <w:tc>
          <w:tcPr>
            <w:tcW w:w="2662" w:type="dxa"/>
            <w:tcBorders>
              <w:top w:val="nil"/>
              <w:left w:val="single" w:color="auto" w:sz="4" w:space="0"/>
              <w:bottom w:val="single" w:color="auto" w:sz="4" w:space="0"/>
              <w:right w:val="single" w:color="auto" w:sz="4" w:space="0"/>
            </w:tcBorders>
            <w:shd w:val="clear" w:color="auto" w:fill="auto"/>
            <w:vAlign w:val="center"/>
          </w:tcPr>
          <w:p w14:paraId="6703D26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撰写专题调研报告和论文篇数</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D6E7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single" w:color="000000" w:sz="4" w:space="0"/>
              <w:left w:val="single" w:color="000000" w:sz="4" w:space="0"/>
              <w:bottom w:val="single" w:color="000000" w:sz="4" w:space="0"/>
              <w:right w:val="single" w:color="auto" w:sz="4" w:space="0"/>
            </w:tcBorders>
            <w:shd w:val="clear" w:color="auto" w:fill="auto"/>
            <w:vAlign w:val="center"/>
          </w:tcPr>
          <w:p w14:paraId="010FC45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single" w:color="auto" w:sz="4" w:space="0"/>
              <w:bottom w:val="single" w:color="auto" w:sz="4" w:space="0"/>
              <w:right w:val="single" w:color="auto" w:sz="4" w:space="0"/>
            </w:tcBorders>
            <w:shd w:val="clear" w:color="auto" w:fill="auto"/>
            <w:vAlign w:val="center"/>
          </w:tcPr>
          <w:p w14:paraId="699817A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03ED0D6">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41B244">
            <w:pPr>
              <w:spacing w:line="560" w:lineRule="exact"/>
              <w:jc w:val="center"/>
              <w:rPr>
                <w:rStyle w:val="33"/>
                <w:rFonts w:hint="default"/>
                <w:color w:val="auto"/>
                <w:lang w:bidi="ar"/>
              </w:rPr>
            </w:pPr>
          </w:p>
        </w:tc>
        <w:tc>
          <w:tcPr>
            <w:tcW w:w="1113"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87D5FDB">
            <w:pPr>
              <w:spacing w:line="560" w:lineRule="exact"/>
              <w:jc w:val="center"/>
              <w:rPr>
                <w:rStyle w:val="33"/>
                <w:rFonts w:hint="default"/>
                <w:color w:val="auto"/>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1605FB6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课题研究数量</w:t>
            </w:r>
          </w:p>
        </w:tc>
        <w:tc>
          <w:tcPr>
            <w:tcW w:w="1223" w:type="dxa"/>
            <w:tcBorders>
              <w:top w:val="single" w:color="auto" w:sz="4" w:space="0"/>
              <w:left w:val="single" w:color="auto" w:sz="4" w:space="0"/>
              <w:bottom w:val="nil"/>
              <w:right w:val="nil"/>
            </w:tcBorders>
            <w:shd w:val="clear" w:color="auto" w:fill="auto"/>
            <w:vAlign w:val="center"/>
          </w:tcPr>
          <w:p w14:paraId="30BC24A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single" w:color="auto" w:sz="4" w:space="0"/>
              <w:left w:val="single" w:color="auto" w:sz="4" w:space="0"/>
              <w:bottom w:val="single" w:color="auto" w:sz="4" w:space="0"/>
              <w:right w:val="single" w:color="auto" w:sz="4" w:space="0"/>
            </w:tcBorders>
            <w:shd w:val="clear" w:color="auto" w:fill="auto"/>
            <w:vAlign w:val="center"/>
          </w:tcPr>
          <w:p w14:paraId="70EBBD4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15357B1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A9A2BCB">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95403E">
            <w:pPr>
              <w:spacing w:line="560" w:lineRule="exact"/>
              <w:jc w:val="center"/>
              <w:rPr>
                <w:rStyle w:val="33"/>
                <w:rFonts w:hint="default"/>
                <w:color w:val="auto"/>
                <w:lang w:bidi="ar"/>
              </w:rPr>
            </w:pPr>
          </w:p>
        </w:tc>
        <w:tc>
          <w:tcPr>
            <w:tcW w:w="1113"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A16ABD3">
            <w:pPr>
              <w:spacing w:line="560" w:lineRule="exact"/>
              <w:jc w:val="center"/>
              <w:rPr>
                <w:rStyle w:val="33"/>
                <w:rFonts w:hint="default"/>
                <w:color w:val="auto"/>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032D614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开展专题调研次数</w:t>
            </w:r>
          </w:p>
        </w:tc>
        <w:tc>
          <w:tcPr>
            <w:tcW w:w="1223" w:type="dxa"/>
            <w:tcBorders>
              <w:top w:val="single" w:color="auto" w:sz="4" w:space="0"/>
              <w:left w:val="single" w:color="auto" w:sz="4" w:space="0"/>
              <w:bottom w:val="nil"/>
              <w:right w:val="nil"/>
            </w:tcBorders>
            <w:shd w:val="clear" w:color="auto" w:fill="auto"/>
            <w:vAlign w:val="center"/>
          </w:tcPr>
          <w:p w14:paraId="4C3D978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2C8E031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4CB0C98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108B10DA">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BAF58D">
            <w:pPr>
              <w:spacing w:line="560" w:lineRule="exact"/>
              <w:jc w:val="center"/>
              <w:rPr>
                <w:rStyle w:val="33"/>
                <w:rFonts w:hint="default"/>
                <w:color w:val="auto"/>
                <w:lang w:bidi="ar"/>
              </w:rPr>
            </w:pPr>
          </w:p>
        </w:tc>
        <w:tc>
          <w:tcPr>
            <w:tcW w:w="1113"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5B6A63B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质量指标</w:t>
            </w:r>
          </w:p>
        </w:tc>
        <w:tc>
          <w:tcPr>
            <w:tcW w:w="2662" w:type="dxa"/>
            <w:tcBorders>
              <w:top w:val="nil"/>
              <w:left w:val="single" w:color="auto" w:sz="4" w:space="0"/>
              <w:bottom w:val="single" w:color="auto" w:sz="4" w:space="0"/>
              <w:right w:val="single" w:color="auto" w:sz="4" w:space="0"/>
            </w:tcBorders>
            <w:shd w:val="clear" w:color="auto" w:fill="auto"/>
            <w:vAlign w:val="center"/>
          </w:tcPr>
          <w:p w14:paraId="1FB6A22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课题报告形成率</w:t>
            </w:r>
          </w:p>
        </w:tc>
        <w:tc>
          <w:tcPr>
            <w:tcW w:w="1223" w:type="dxa"/>
            <w:tcBorders>
              <w:top w:val="single" w:color="auto" w:sz="4" w:space="0"/>
              <w:left w:val="single" w:color="auto" w:sz="4" w:space="0"/>
              <w:bottom w:val="nil"/>
              <w:right w:val="nil"/>
            </w:tcBorders>
            <w:shd w:val="clear" w:color="auto" w:fill="auto"/>
            <w:vAlign w:val="center"/>
          </w:tcPr>
          <w:p w14:paraId="5FFEE72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2D1A56C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16278BC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51D42FAB">
        <w:tblPrEx>
          <w:tblCellMar>
            <w:top w:w="0" w:type="dxa"/>
            <w:left w:w="108" w:type="dxa"/>
            <w:bottom w:w="0" w:type="dxa"/>
            <w:right w:w="108" w:type="dxa"/>
          </w:tblCellMar>
        </w:tblPrEx>
        <w:trPr>
          <w:trHeight w:val="386"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07ADD9">
            <w:pPr>
              <w:spacing w:line="560" w:lineRule="exact"/>
              <w:jc w:val="center"/>
              <w:rPr>
                <w:rStyle w:val="33"/>
                <w:rFonts w:hint="default"/>
                <w:color w:val="auto"/>
                <w:lang w:bidi="ar"/>
              </w:rPr>
            </w:pPr>
          </w:p>
        </w:tc>
        <w:tc>
          <w:tcPr>
            <w:tcW w:w="1113"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3B0C1D6D">
            <w:pPr>
              <w:spacing w:line="560" w:lineRule="exact"/>
              <w:jc w:val="center"/>
              <w:rPr>
                <w:rStyle w:val="33"/>
                <w:rFonts w:hint="default"/>
                <w:color w:val="auto"/>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403C559E">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课题成果、论文验收通过率</w:t>
            </w:r>
          </w:p>
        </w:tc>
        <w:tc>
          <w:tcPr>
            <w:tcW w:w="1223" w:type="dxa"/>
            <w:tcBorders>
              <w:top w:val="single" w:color="auto" w:sz="4" w:space="0"/>
              <w:left w:val="single" w:color="auto" w:sz="4" w:space="0"/>
              <w:bottom w:val="single" w:color="auto" w:sz="4" w:space="0"/>
              <w:right w:val="nil"/>
            </w:tcBorders>
            <w:shd w:val="clear" w:color="auto" w:fill="auto"/>
            <w:vAlign w:val="center"/>
          </w:tcPr>
          <w:p w14:paraId="7DED56E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793916C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5EA54EE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09218443">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7975C7">
            <w:pPr>
              <w:spacing w:line="560" w:lineRule="exact"/>
              <w:jc w:val="center"/>
              <w:rPr>
                <w:rStyle w:val="33"/>
                <w:rFonts w:hint="default"/>
                <w:color w:val="auto"/>
                <w:lang w:bidi="ar"/>
              </w:rPr>
            </w:pPr>
          </w:p>
        </w:tc>
        <w:tc>
          <w:tcPr>
            <w:tcW w:w="1113" w:type="dxa"/>
            <w:vMerge w:val="restart"/>
            <w:tcBorders>
              <w:top w:val="single" w:color="auto" w:sz="4" w:space="0"/>
              <w:left w:val="single" w:color="auto" w:sz="4" w:space="0"/>
              <w:right w:val="single" w:color="000000" w:sz="4" w:space="0"/>
            </w:tcBorders>
            <w:shd w:val="clear" w:color="auto" w:fill="auto"/>
            <w:vAlign w:val="center"/>
          </w:tcPr>
          <w:p w14:paraId="0A4D5CB1">
            <w:pPr>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时效指标</w:t>
            </w:r>
          </w:p>
        </w:tc>
        <w:tc>
          <w:tcPr>
            <w:tcW w:w="2662" w:type="dxa"/>
            <w:tcBorders>
              <w:top w:val="nil"/>
              <w:left w:val="single" w:color="auto" w:sz="4" w:space="0"/>
              <w:bottom w:val="single" w:color="auto" w:sz="4" w:space="0"/>
              <w:right w:val="single" w:color="auto" w:sz="4" w:space="0"/>
            </w:tcBorders>
            <w:shd w:val="clear" w:color="auto" w:fill="auto"/>
            <w:vAlign w:val="center"/>
          </w:tcPr>
          <w:p w14:paraId="4A80650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出版印刷及时性</w:t>
            </w:r>
          </w:p>
        </w:tc>
        <w:tc>
          <w:tcPr>
            <w:tcW w:w="1223" w:type="dxa"/>
            <w:tcBorders>
              <w:top w:val="single" w:color="auto" w:sz="4" w:space="0"/>
              <w:left w:val="single" w:color="auto" w:sz="4" w:space="0"/>
              <w:bottom w:val="nil"/>
              <w:right w:val="nil"/>
            </w:tcBorders>
            <w:shd w:val="clear" w:color="auto" w:fill="auto"/>
            <w:vAlign w:val="center"/>
          </w:tcPr>
          <w:p w14:paraId="0AF5E98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45C347D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346FF211">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26A84E1C">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54AEE">
            <w:pPr>
              <w:spacing w:line="560" w:lineRule="exact"/>
              <w:jc w:val="center"/>
              <w:rPr>
                <w:rStyle w:val="33"/>
                <w:rFonts w:hint="default"/>
                <w:color w:val="auto"/>
                <w:lang w:bidi="ar"/>
              </w:rPr>
            </w:pPr>
          </w:p>
        </w:tc>
        <w:tc>
          <w:tcPr>
            <w:tcW w:w="1113" w:type="dxa"/>
            <w:vMerge w:val="continue"/>
            <w:tcBorders>
              <w:left w:val="single" w:color="auto" w:sz="4" w:space="0"/>
              <w:right w:val="single" w:color="000000" w:sz="4" w:space="0"/>
            </w:tcBorders>
            <w:shd w:val="clear" w:color="auto" w:fill="auto"/>
            <w:vAlign w:val="center"/>
          </w:tcPr>
          <w:p w14:paraId="6D108DED">
            <w:pPr>
              <w:spacing w:line="560" w:lineRule="exact"/>
              <w:jc w:val="center"/>
              <w:textAlignment w:val="center"/>
              <w:rPr>
                <w:rFonts w:hint="eastAsia" w:ascii="宋体" w:hAnsi="宋体" w:eastAsia="宋体" w:cs="宋体"/>
                <w:kern w:val="0"/>
                <w:sz w:val="20"/>
                <w:szCs w:val="20"/>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260A40C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开展专项调研及时性</w:t>
            </w:r>
          </w:p>
        </w:tc>
        <w:tc>
          <w:tcPr>
            <w:tcW w:w="1223" w:type="dxa"/>
            <w:tcBorders>
              <w:top w:val="single" w:color="auto" w:sz="4" w:space="0"/>
              <w:left w:val="single" w:color="auto" w:sz="4" w:space="0"/>
              <w:bottom w:val="nil"/>
              <w:right w:val="nil"/>
            </w:tcBorders>
            <w:shd w:val="clear" w:color="auto" w:fill="auto"/>
            <w:vAlign w:val="center"/>
          </w:tcPr>
          <w:p w14:paraId="1ED07A9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1B00B27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106F8E73">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0AF420B7">
        <w:tblPrEx>
          <w:tblCellMar>
            <w:top w:w="0" w:type="dxa"/>
            <w:left w:w="108" w:type="dxa"/>
            <w:bottom w:w="0" w:type="dxa"/>
            <w:right w:w="108" w:type="dxa"/>
          </w:tblCellMar>
        </w:tblPrEx>
        <w:trPr>
          <w:trHeight w:val="454" w:hRule="atLeast"/>
        </w:trPr>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A418EA">
            <w:pPr>
              <w:spacing w:line="560" w:lineRule="exact"/>
              <w:jc w:val="center"/>
              <w:rPr>
                <w:rStyle w:val="33"/>
                <w:rFonts w:hint="default"/>
                <w:color w:val="auto"/>
                <w:lang w:bidi="ar"/>
              </w:rPr>
            </w:pPr>
          </w:p>
        </w:tc>
        <w:tc>
          <w:tcPr>
            <w:tcW w:w="1113" w:type="dxa"/>
            <w:vMerge w:val="continue"/>
            <w:tcBorders>
              <w:left w:val="single" w:color="auto" w:sz="4" w:space="0"/>
              <w:right w:val="single" w:color="000000" w:sz="4" w:space="0"/>
            </w:tcBorders>
            <w:shd w:val="clear" w:color="auto" w:fill="auto"/>
            <w:vAlign w:val="center"/>
          </w:tcPr>
          <w:p w14:paraId="76EE4007">
            <w:pPr>
              <w:widowControl/>
              <w:spacing w:line="560" w:lineRule="exact"/>
              <w:jc w:val="center"/>
              <w:textAlignment w:val="center"/>
              <w:rPr>
                <w:rStyle w:val="33"/>
                <w:rFonts w:hint="default"/>
                <w:color w:val="auto"/>
                <w:lang w:bidi="ar"/>
              </w:rPr>
            </w:pPr>
          </w:p>
        </w:tc>
        <w:tc>
          <w:tcPr>
            <w:tcW w:w="2662" w:type="dxa"/>
            <w:tcBorders>
              <w:top w:val="nil"/>
              <w:left w:val="single" w:color="auto" w:sz="4" w:space="0"/>
              <w:bottom w:val="single" w:color="auto" w:sz="4" w:space="0"/>
              <w:right w:val="single" w:color="auto" w:sz="4" w:space="0"/>
            </w:tcBorders>
            <w:shd w:val="clear" w:color="auto" w:fill="auto"/>
            <w:vAlign w:val="center"/>
          </w:tcPr>
          <w:p w14:paraId="6F4EB72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课题成果提交及时性</w:t>
            </w:r>
          </w:p>
        </w:tc>
        <w:tc>
          <w:tcPr>
            <w:tcW w:w="1223" w:type="dxa"/>
            <w:tcBorders>
              <w:top w:val="single" w:color="auto" w:sz="4" w:space="0"/>
              <w:left w:val="single" w:color="auto" w:sz="4" w:space="0"/>
              <w:bottom w:val="nil"/>
              <w:right w:val="nil"/>
            </w:tcBorders>
            <w:shd w:val="clear" w:color="auto" w:fill="auto"/>
            <w:vAlign w:val="center"/>
          </w:tcPr>
          <w:p w14:paraId="2DC0BD4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22" w:type="dxa"/>
            <w:tcBorders>
              <w:top w:val="nil"/>
              <w:left w:val="single" w:color="auto" w:sz="4" w:space="0"/>
              <w:bottom w:val="single" w:color="auto" w:sz="4" w:space="0"/>
              <w:right w:val="single" w:color="auto" w:sz="4" w:space="0"/>
            </w:tcBorders>
            <w:shd w:val="clear" w:color="auto" w:fill="auto"/>
            <w:vAlign w:val="center"/>
          </w:tcPr>
          <w:p w14:paraId="60AB516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4</w:t>
            </w:r>
          </w:p>
        </w:tc>
        <w:tc>
          <w:tcPr>
            <w:tcW w:w="1252" w:type="dxa"/>
            <w:tcBorders>
              <w:top w:val="single" w:color="auto" w:sz="4" w:space="0"/>
              <w:left w:val="nil"/>
              <w:bottom w:val="single" w:color="auto" w:sz="4" w:space="0"/>
              <w:right w:val="single" w:color="auto" w:sz="4" w:space="0"/>
            </w:tcBorders>
            <w:shd w:val="clear" w:color="auto" w:fill="auto"/>
            <w:vAlign w:val="center"/>
          </w:tcPr>
          <w:p w14:paraId="7797EFB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3BEA6611">
        <w:tblPrEx>
          <w:tblCellMar>
            <w:top w:w="0" w:type="dxa"/>
            <w:left w:w="108" w:type="dxa"/>
            <w:bottom w:w="0" w:type="dxa"/>
            <w:right w:w="108" w:type="dxa"/>
          </w:tblCellMar>
        </w:tblPrEx>
        <w:trPr>
          <w:trHeight w:val="454" w:hRule="atLeast"/>
        </w:trPr>
        <w:tc>
          <w:tcPr>
            <w:tcW w:w="1116" w:type="dxa"/>
            <w:vMerge w:val="restart"/>
            <w:tcBorders>
              <w:top w:val="single" w:color="auto" w:sz="4" w:space="0"/>
              <w:left w:val="single" w:color="000000" w:sz="4" w:space="0"/>
              <w:right w:val="single" w:color="000000" w:sz="4" w:space="0"/>
            </w:tcBorders>
            <w:shd w:val="clear" w:color="auto" w:fill="auto"/>
            <w:vAlign w:val="center"/>
          </w:tcPr>
          <w:p w14:paraId="0AD159C8">
            <w:pPr>
              <w:widowControl/>
              <w:spacing w:line="560" w:lineRule="exact"/>
              <w:jc w:val="center"/>
              <w:textAlignment w:val="center"/>
              <w:rPr>
                <w:rStyle w:val="33"/>
                <w:rFonts w:hint="default"/>
                <w:color w:val="auto"/>
                <w:lang w:bidi="ar"/>
              </w:rPr>
            </w:pPr>
            <w:r>
              <w:rPr>
                <w:rFonts w:hint="eastAsia" w:ascii="宋体" w:hAnsi="宋体" w:eastAsia="宋体" w:cs="宋体"/>
                <w:kern w:val="0"/>
                <w:sz w:val="20"/>
                <w:szCs w:val="20"/>
                <w:lang w:bidi="ar"/>
              </w:rPr>
              <w:t>效益指标</w:t>
            </w:r>
          </w:p>
        </w:tc>
        <w:tc>
          <w:tcPr>
            <w:tcW w:w="1113" w:type="dxa"/>
            <w:vMerge w:val="restart"/>
            <w:tcBorders>
              <w:top w:val="single" w:color="auto" w:sz="4" w:space="0"/>
              <w:left w:val="single" w:color="000000" w:sz="4" w:space="0"/>
              <w:right w:val="single" w:color="000000" w:sz="4" w:space="0"/>
            </w:tcBorders>
            <w:shd w:val="clear" w:color="auto" w:fill="auto"/>
            <w:vAlign w:val="center"/>
          </w:tcPr>
          <w:p w14:paraId="027FFBAF">
            <w:pPr>
              <w:widowControl/>
              <w:spacing w:line="560" w:lineRule="exact"/>
              <w:jc w:val="center"/>
              <w:textAlignment w:val="center"/>
              <w:rPr>
                <w:rStyle w:val="33"/>
                <w:rFonts w:hint="default"/>
                <w:color w:val="auto"/>
                <w:lang w:bidi="ar"/>
              </w:rPr>
            </w:pPr>
            <w:r>
              <w:rPr>
                <w:rFonts w:hint="eastAsia" w:ascii="宋体" w:hAnsi="宋体" w:eastAsia="宋体" w:cs="宋体"/>
                <w:kern w:val="0"/>
                <w:sz w:val="20"/>
                <w:szCs w:val="20"/>
                <w:lang w:bidi="ar"/>
              </w:rPr>
              <w:t>社会效益指标</w:t>
            </w:r>
          </w:p>
        </w:tc>
        <w:tc>
          <w:tcPr>
            <w:tcW w:w="2662" w:type="dxa"/>
            <w:tcBorders>
              <w:top w:val="single" w:color="auto" w:sz="4" w:space="0"/>
              <w:left w:val="single" w:color="000000" w:sz="4" w:space="0"/>
              <w:bottom w:val="single" w:color="000000" w:sz="4" w:space="0"/>
              <w:right w:val="single" w:color="000000" w:sz="4" w:space="0"/>
            </w:tcBorders>
            <w:shd w:val="clear" w:color="auto" w:fill="auto"/>
            <w:vAlign w:val="center"/>
          </w:tcPr>
          <w:p w14:paraId="4A40BDE1">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推动少数民族地区法治建设</w:t>
            </w:r>
          </w:p>
        </w:tc>
        <w:tc>
          <w:tcPr>
            <w:tcW w:w="1223" w:type="dxa"/>
            <w:tcBorders>
              <w:top w:val="single" w:color="auto" w:sz="4" w:space="0"/>
              <w:left w:val="single" w:color="auto" w:sz="4" w:space="0"/>
              <w:bottom w:val="nil"/>
              <w:right w:val="nil"/>
            </w:tcBorders>
            <w:shd w:val="clear" w:color="auto" w:fill="auto"/>
            <w:vAlign w:val="center"/>
          </w:tcPr>
          <w:p w14:paraId="36BAB08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12FE1AF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1A6A6D3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478A413C">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14073B9E">
            <w:pPr>
              <w:spacing w:line="560" w:lineRule="exact"/>
              <w:jc w:val="center"/>
              <w:rPr>
                <w:rStyle w:val="33"/>
                <w:rFonts w:hint="default"/>
                <w:color w:val="auto"/>
                <w:lang w:bidi="ar"/>
              </w:rPr>
            </w:pPr>
          </w:p>
        </w:tc>
        <w:tc>
          <w:tcPr>
            <w:tcW w:w="1113" w:type="dxa"/>
            <w:vMerge w:val="continue"/>
            <w:tcBorders>
              <w:top w:val="single" w:color="auto" w:sz="4" w:space="0"/>
              <w:left w:val="single" w:color="000000" w:sz="4" w:space="0"/>
              <w:right w:val="single" w:color="000000" w:sz="4" w:space="0"/>
            </w:tcBorders>
            <w:shd w:val="clear" w:color="auto" w:fill="auto"/>
            <w:vAlign w:val="center"/>
          </w:tcPr>
          <w:p w14:paraId="799AABC3">
            <w:pPr>
              <w:spacing w:line="560" w:lineRule="exact"/>
              <w:jc w:val="center"/>
              <w:rPr>
                <w:rStyle w:val="33"/>
                <w:rFonts w:hint="default"/>
                <w:color w:val="auto"/>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E2E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维护全省法院教育培训信息管理平台</w:t>
            </w:r>
          </w:p>
        </w:tc>
        <w:tc>
          <w:tcPr>
            <w:tcW w:w="1223" w:type="dxa"/>
            <w:tcBorders>
              <w:top w:val="single" w:color="auto" w:sz="4" w:space="0"/>
              <w:left w:val="single" w:color="auto" w:sz="4" w:space="0"/>
              <w:bottom w:val="nil"/>
              <w:right w:val="nil"/>
            </w:tcBorders>
            <w:shd w:val="clear" w:color="auto" w:fill="auto"/>
            <w:vAlign w:val="center"/>
          </w:tcPr>
          <w:p w14:paraId="4266A9C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1C9C449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6A63D19F">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7325196F">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7E51F02E">
            <w:pPr>
              <w:spacing w:line="560" w:lineRule="exact"/>
              <w:jc w:val="center"/>
              <w:rPr>
                <w:rStyle w:val="33"/>
                <w:rFonts w:hint="default"/>
                <w:color w:val="auto"/>
                <w:lang w:bidi="ar"/>
              </w:rPr>
            </w:pPr>
          </w:p>
        </w:tc>
        <w:tc>
          <w:tcPr>
            <w:tcW w:w="1113" w:type="dxa"/>
            <w:vMerge w:val="continue"/>
            <w:tcBorders>
              <w:top w:val="single" w:color="auto" w:sz="4" w:space="0"/>
              <w:left w:val="single" w:color="000000" w:sz="4" w:space="0"/>
              <w:right w:val="single" w:color="000000" w:sz="4" w:space="0"/>
            </w:tcBorders>
            <w:shd w:val="clear" w:color="auto" w:fill="auto"/>
            <w:vAlign w:val="center"/>
          </w:tcPr>
          <w:p w14:paraId="58924F07">
            <w:pPr>
              <w:spacing w:line="560" w:lineRule="exact"/>
              <w:jc w:val="center"/>
              <w:rPr>
                <w:rStyle w:val="33"/>
                <w:rFonts w:hint="default"/>
                <w:color w:val="auto"/>
                <w:lang w:bidi="ar"/>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A1E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课题成果应用率</w:t>
            </w:r>
          </w:p>
        </w:tc>
        <w:tc>
          <w:tcPr>
            <w:tcW w:w="1223" w:type="dxa"/>
            <w:tcBorders>
              <w:top w:val="single" w:color="auto" w:sz="4" w:space="0"/>
              <w:left w:val="single" w:color="auto" w:sz="4" w:space="0"/>
              <w:bottom w:val="nil"/>
              <w:right w:val="nil"/>
            </w:tcBorders>
            <w:shd w:val="clear" w:color="auto" w:fill="auto"/>
            <w:vAlign w:val="center"/>
          </w:tcPr>
          <w:p w14:paraId="0336B13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22" w:type="dxa"/>
            <w:tcBorders>
              <w:top w:val="nil"/>
              <w:left w:val="single" w:color="auto" w:sz="4" w:space="0"/>
              <w:bottom w:val="single" w:color="auto" w:sz="4" w:space="0"/>
              <w:right w:val="single" w:color="auto" w:sz="4" w:space="0"/>
            </w:tcBorders>
            <w:shd w:val="clear" w:color="auto" w:fill="auto"/>
            <w:vAlign w:val="center"/>
          </w:tcPr>
          <w:p w14:paraId="5E44A5A8">
            <w:pPr>
              <w:widowControl/>
              <w:spacing w:line="560" w:lineRule="exact"/>
              <w:jc w:val="center"/>
              <w:textAlignment w:val="center"/>
              <w:rPr>
                <w:rFonts w:hint="eastAsia" w:ascii="宋体" w:hAnsi="宋体" w:eastAsia="宋体" w:cs="宋体"/>
                <w:kern w:val="0"/>
                <w:sz w:val="20"/>
                <w:szCs w:val="20"/>
                <w:lang w:eastAsia="zh-CN" w:bidi="ar"/>
              </w:rPr>
            </w:pPr>
            <w:r>
              <w:rPr>
                <w:rFonts w:hint="eastAsia" w:ascii="宋体" w:hAnsi="宋体" w:eastAsia="宋体" w:cs="宋体"/>
                <w:kern w:val="0"/>
                <w:sz w:val="20"/>
                <w:szCs w:val="20"/>
                <w:lang w:val="en-US" w:eastAsia="zh-CN" w:bidi="ar"/>
              </w:rPr>
              <w:t>5</w:t>
            </w:r>
          </w:p>
        </w:tc>
        <w:tc>
          <w:tcPr>
            <w:tcW w:w="1252" w:type="dxa"/>
            <w:tcBorders>
              <w:top w:val="single" w:color="auto" w:sz="4" w:space="0"/>
              <w:left w:val="nil"/>
              <w:bottom w:val="single" w:color="auto" w:sz="4" w:space="0"/>
              <w:right w:val="single" w:color="auto" w:sz="4" w:space="0"/>
            </w:tcBorders>
            <w:shd w:val="clear" w:color="auto" w:fill="auto"/>
            <w:vAlign w:val="center"/>
          </w:tcPr>
          <w:p w14:paraId="7DA8B0F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val="en-US" w:eastAsia="zh-CN" w:bidi="ar"/>
              </w:rPr>
              <w:t>100</w:t>
            </w:r>
            <w:r>
              <w:rPr>
                <w:rFonts w:hint="eastAsia" w:ascii="宋体" w:hAnsi="宋体" w:eastAsia="宋体" w:cs="宋体"/>
                <w:color w:val="000000"/>
                <w:kern w:val="0"/>
                <w:sz w:val="20"/>
                <w:szCs w:val="20"/>
                <w:lang w:bidi="ar"/>
              </w:rPr>
              <w:t>.00%</w:t>
            </w:r>
          </w:p>
        </w:tc>
      </w:tr>
      <w:tr w14:paraId="42B7B2AB">
        <w:tblPrEx>
          <w:tblCellMar>
            <w:top w:w="0" w:type="dxa"/>
            <w:left w:w="108" w:type="dxa"/>
            <w:bottom w:w="0" w:type="dxa"/>
            <w:right w:w="108" w:type="dxa"/>
          </w:tblCellMar>
        </w:tblPrEx>
        <w:trPr>
          <w:trHeight w:val="454" w:hRule="atLeast"/>
        </w:trPr>
        <w:tc>
          <w:tcPr>
            <w:tcW w:w="1116" w:type="dxa"/>
            <w:vMerge w:val="continue"/>
            <w:tcBorders>
              <w:left w:val="single" w:color="000000" w:sz="4" w:space="0"/>
              <w:right w:val="single" w:color="000000" w:sz="4" w:space="0"/>
            </w:tcBorders>
            <w:shd w:val="clear" w:color="auto" w:fill="auto"/>
            <w:vAlign w:val="center"/>
          </w:tcPr>
          <w:p w14:paraId="5E010540">
            <w:pPr>
              <w:spacing w:line="560" w:lineRule="exact"/>
              <w:jc w:val="center"/>
              <w:rPr>
                <w:rStyle w:val="33"/>
                <w:rFonts w:hint="default"/>
                <w:color w:val="auto"/>
                <w:lang w:bidi="ar"/>
              </w:rPr>
            </w:pPr>
          </w:p>
        </w:tc>
        <w:tc>
          <w:tcPr>
            <w:tcW w:w="1113" w:type="dxa"/>
            <w:tcBorders>
              <w:top w:val="single" w:color="auto" w:sz="4" w:space="0"/>
              <w:left w:val="single" w:color="000000" w:sz="4" w:space="0"/>
              <w:right w:val="single" w:color="000000" w:sz="4" w:space="0"/>
            </w:tcBorders>
            <w:shd w:val="clear" w:color="auto" w:fill="auto"/>
            <w:vAlign w:val="center"/>
          </w:tcPr>
          <w:p w14:paraId="2D85FF37">
            <w:pPr>
              <w:widowControl/>
              <w:spacing w:line="560" w:lineRule="exact"/>
              <w:jc w:val="center"/>
              <w:textAlignment w:val="center"/>
              <w:rPr>
                <w:rStyle w:val="33"/>
                <w:rFonts w:hint="default"/>
                <w:color w:val="auto"/>
                <w:lang w:bidi="ar"/>
              </w:rPr>
            </w:pPr>
            <w:r>
              <w:rPr>
                <w:rFonts w:hint="eastAsia" w:ascii="宋体" w:hAnsi="宋体" w:eastAsia="宋体" w:cs="宋体"/>
                <w:kern w:val="0"/>
                <w:sz w:val="20"/>
                <w:szCs w:val="20"/>
                <w:lang w:bidi="ar"/>
              </w:rPr>
              <w:t>满意度指标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01F5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专家学者满意度</w:t>
            </w:r>
          </w:p>
        </w:tc>
        <w:tc>
          <w:tcPr>
            <w:tcW w:w="1223" w:type="dxa"/>
            <w:tcBorders>
              <w:top w:val="single" w:color="auto" w:sz="4" w:space="0"/>
              <w:left w:val="single" w:color="auto" w:sz="4" w:space="0"/>
              <w:bottom w:val="nil"/>
              <w:right w:val="nil"/>
            </w:tcBorders>
            <w:shd w:val="clear" w:color="auto" w:fill="auto"/>
            <w:vAlign w:val="center"/>
          </w:tcPr>
          <w:p w14:paraId="400CB94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22" w:type="dxa"/>
            <w:tcBorders>
              <w:top w:val="nil"/>
              <w:left w:val="single" w:color="auto" w:sz="4" w:space="0"/>
              <w:bottom w:val="single" w:color="auto" w:sz="4" w:space="0"/>
              <w:right w:val="single" w:color="auto" w:sz="4" w:space="0"/>
            </w:tcBorders>
            <w:shd w:val="clear" w:color="auto" w:fill="auto"/>
            <w:vAlign w:val="center"/>
          </w:tcPr>
          <w:p w14:paraId="6490C2E3">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52" w:type="dxa"/>
            <w:tcBorders>
              <w:top w:val="single" w:color="auto" w:sz="4" w:space="0"/>
              <w:left w:val="nil"/>
              <w:bottom w:val="single" w:color="auto" w:sz="4" w:space="0"/>
              <w:right w:val="single" w:color="auto" w:sz="4" w:space="0"/>
            </w:tcBorders>
            <w:shd w:val="clear" w:color="auto" w:fill="auto"/>
            <w:vAlign w:val="center"/>
          </w:tcPr>
          <w:p w14:paraId="550A429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100.00%</w:t>
            </w:r>
          </w:p>
        </w:tc>
      </w:tr>
      <w:tr w14:paraId="7F6F2B6B">
        <w:tblPrEx>
          <w:tblCellMar>
            <w:top w:w="0" w:type="dxa"/>
            <w:left w:w="108" w:type="dxa"/>
            <w:bottom w:w="0" w:type="dxa"/>
            <w:right w:w="108" w:type="dxa"/>
          </w:tblCellMar>
        </w:tblPrEx>
        <w:trPr>
          <w:trHeight w:val="454" w:hRule="atLeast"/>
        </w:trPr>
        <w:tc>
          <w:tcPr>
            <w:tcW w:w="4891"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14:paraId="50A40A9D">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1223" w:type="dxa"/>
            <w:tcBorders>
              <w:top w:val="single" w:color="000000" w:sz="4" w:space="0"/>
              <w:left w:val="single" w:color="auto" w:sz="4" w:space="0"/>
              <w:bottom w:val="single" w:color="000000" w:sz="4" w:space="0"/>
              <w:right w:val="single" w:color="000000" w:sz="4" w:space="0"/>
            </w:tcBorders>
            <w:shd w:val="clear" w:color="auto" w:fill="auto"/>
            <w:vAlign w:val="center"/>
          </w:tcPr>
          <w:p w14:paraId="1CBFE977">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100</w:t>
            </w:r>
          </w:p>
        </w:tc>
        <w:tc>
          <w:tcPr>
            <w:tcW w:w="12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4BBE0">
            <w:pPr>
              <w:widowControl/>
              <w:spacing w:line="560" w:lineRule="exact"/>
              <w:jc w:val="center"/>
              <w:textAlignment w:val="center"/>
              <w:rPr>
                <w:rFonts w:hint="default" w:ascii="宋体" w:hAnsi="宋体" w:eastAsia="宋体" w:cs="宋体"/>
                <w:b/>
                <w:bCs/>
                <w:kern w:val="0"/>
                <w:sz w:val="20"/>
                <w:szCs w:val="20"/>
                <w:lang w:val="en-US" w:eastAsia="zh-CN" w:bidi="ar"/>
              </w:rPr>
            </w:pPr>
            <w:r>
              <w:rPr>
                <w:rFonts w:hint="eastAsia" w:ascii="宋体" w:hAnsi="宋体" w:eastAsia="宋体" w:cs="宋体"/>
                <w:b/>
                <w:bCs/>
                <w:kern w:val="0"/>
                <w:sz w:val="20"/>
                <w:szCs w:val="20"/>
                <w:lang w:bidi="ar"/>
              </w:rPr>
              <w:t>97.</w:t>
            </w:r>
            <w:r>
              <w:rPr>
                <w:rFonts w:hint="eastAsia" w:ascii="宋体" w:hAnsi="宋体" w:eastAsia="宋体" w:cs="宋体"/>
                <w:b/>
                <w:bCs/>
                <w:kern w:val="0"/>
                <w:sz w:val="20"/>
                <w:szCs w:val="20"/>
                <w:lang w:val="en-US" w:eastAsia="zh-CN" w:bidi="ar"/>
              </w:rPr>
              <w:t>92</w:t>
            </w:r>
          </w:p>
        </w:tc>
        <w:tc>
          <w:tcPr>
            <w:tcW w:w="1252" w:type="dxa"/>
            <w:tcBorders>
              <w:top w:val="single" w:color="auto" w:sz="4" w:space="0"/>
              <w:left w:val="single" w:color="000000" w:sz="4" w:space="0"/>
              <w:bottom w:val="single" w:color="000000" w:sz="4" w:space="0"/>
              <w:right w:val="single" w:color="000000" w:sz="4" w:space="0"/>
            </w:tcBorders>
            <w:shd w:val="clear" w:color="auto" w:fill="auto"/>
            <w:vAlign w:val="center"/>
          </w:tcPr>
          <w:p w14:paraId="27FEA9EC">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97.</w:t>
            </w:r>
            <w:r>
              <w:rPr>
                <w:rFonts w:hint="eastAsia" w:ascii="宋体" w:hAnsi="宋体" w:eastAsia="宋体" w:cs="宋体"/>
                <w:b/>
                <w:bCs/>
                <w:color w:val="000000"/>
                <w:kern w:val="0"/>
                <w:sz w:val="20"/>
                <w:szCs w:val="20"/>
                <w:lang w:val="en-US" w:eastAsia="zh-CN" w:bidi="ar"/>
              </w:rPr>
              <w:t>92</w:t>
            </w:r>
            <w:r>
              <w:rPr>
                <w:rFonts w:hint="eastAsia" w:ascii="宋体" w:hAnsi="宋体" w:eastAsia="宋体" w:cs="宋体"/>
                <w:b/>
                <w:bCs/>
                <w:color w:val="000000"/>
                <w:kern w:val="0"/>
                <w:sz w:val="20"/>
                <w:szCs w:val="20"/>
                <w:lang w:bidi="ar"/>
              </w:rPr>
              <w:t>%</w:t>
            </w:r>
          </w:p>
        </w:tc>
      </w:tr>
    </w:tbl>
    <w:p w14:paraId="11468828">
      <w:pPr>
        <w:pStyle w:val="49"/>
        <w:spacing w:line="560" w:lineRule="exact"/>
        <w:rPr>
          <w:rFonts w:hint="eastAsia"/>
        </w:rPr>
      </w:pPr>
      <w:bookmarkStart w:id="119" w:name="_Toc10740"/>
      <w:r>
        <w:rPr>
          <w:rFonts w:hint="eastAsia"/>
        </w:rPr>
        <w:t>评价认为，少数民族法制教学研究经费项目立项程序规范，依据充分，项目实施必要。在专项资金统一保障下，项目顺利开展，项目实施流程严谨，执行管理到位，资金使用效果良好。项目总体组织规范，通过项目实施，推动少数民族地区的法制建设。</w:t>
      </w:r>
      <w:bookmarkStart w:id="120" w:name="_Hlk174210233"/>
      <w:r>
        <w:rPr>
          <w:rFonts w:hint="eastAsia"/>
        </w:rPr>
        <w:t>但该项目也存在绩效目标</w:t>
      </w:r>
      <w:r>
        <w:rPr>
          <w:rFonts w:hint="eastAsia"/>
          <w:lang w:val="en-US" w:eastAsia="zh-CN"/>
        </w:rPr>
        <w:t>编制</w:t>
      </w:r>
      <w:r>
        <w:rPr>
          <w:rFonts w:hint="eastAsia"/>
        </w:rPr>
        <w:t>有待</w:t>
      </w:r>
      <w:r>
        <w:rPr>
          <w:rFonts w:hint="eastAsia"/>
          <w:lang w:val="en-US" w:eastAsia="zh-CN"/>
        </w:rPr>
        <w:t>规范</w:t>
      </w:r>
      <w:r>
        <w:rPr>
          <w:rFonts w:hint="eastAsia"/>
        </w:rPr>
        <w:t>、合同管理不规范的问题。</w:t>
      </w:r>
      <w:bookmarkEnd w:id="119"/>
    </w:p>
    <w:bookmarkEnd w:id="120"/>
    <w:p w14:paraId="2AC2E677">
      <w:pPr>
        <w:pStyle w:val="8"/>
        <w:tabs>
          <w:tab w:val="left" w:pos="3780"/>
        </w:tabs>
        <w:overflowPunct w:val="0"/>
        <w:spacing w:line="560" w:lineRule="exact"/>
        <w:ind w:firstLine="640" w:firstLineChars="200"/>
        <w:outlineLvl w:val="0"/>
        <w:rPr>
          <w:rFonts w:ascii="黑体" w:eastAsia="黑体"/>
        </w:rPr>
      </w:pPr>
      <w:bookmarkStart w:id="121" w:name="_Toc30293"/>
      <w:bookmarkStart w:id="122" w:name="_Toc25412"/>
      <w:bookmarkStart w:id="123" w:name="_Toc174529600"/>
      <w:r>
        <w:rPr>
          <w:rFonts w:hint="eastAsia" w:ascii="黑体" w:eastAsia="黑体"/>
        </w:rPr>
        <w:t>五、绩效评价指标分析</w:t>
      </w:r>
      <w:bookmarkEnd w:id="121"/>
      <w:bookmarkEnd w:id="122"/>
      <w:bookmarkEnd w:id="123"/>
    </w:p>
    <w:p w14:paraId="58E8C53C">
      <w:pPr>
        <w:pStyle w:val="49"/>
        <w:spacing w:line="560" w:lineRule="exact"/>
        <w:rPr>
          <w:rFonts w:hint="eastAsia"/>
        </w:rPr>
      </w:pPr>
      <w:r>
        <w:rPr>
          <w:rFonts w:hint="eastAsia"/>
        </w:rPr>
        <w:t>少数民族法制教学研究经费项目绩效评价分级设计项目</w:t>
      </w:r>
      <w:r>
        <w:rPr>
          <w:rFonts w:hint="eastAsia" w:asciiTheme="minorEastAsia" w:hAnsiTheme="minorEastAsia" w:cstheme="minorEastAsia"/>
          <w:kern w:val="0"/>
          <w:sz w:val="28"/>
          <w:szCs w:val="28"/>
        </w:rPr>
        <w:drawing>
          <wp:anchor distT="0" distB="0" distL="114300" distR="114300" simplePos="0" relativeHeight="251659264" behindDoc="0" locked="0" layoutInCell="1" allowOverlap="1">
            <wp:simplePos x="0" y="0"/>
            <wp:positionH relativeFrom="column">
              <wp:posOffset>10160</wp:posOffset>
            </wp:positionH>
            <wp:positionV relativeFrom="paragraph">
              <wp:posOffset>782320</wp:posOffset>
            </wp:positionV>
            <wp:extent cx="5433060" cy="3937000"/>
            <wp:effectExtent l="4445" t="4445" r="18415" b="5715"/>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rPr>
        <w:t>决策、过程、成本、产出、效益五个一级指标，一级指标具体得分情况见下表：</w:t>
      </w:r>
    </w:p>
    <w:p w14:paraId="45277C30">
      <w:pPr>
        <w:pStyle w:val="46"/>
        <w:spacing w:line="560" w:lineRule="exact"/>
        <w:ind w:left="0" w:leftChars="0" w:firstLine="0" w:firstLineChars="0"/>
        <w:rPr>
          <w:rFonts w:hint="eastAsia"/>
        </w:rPr>
      </w:pPr>
      <w:bookmarkStart w:id="124" w:name="_Toc30072"/>
      <w:bookmarkStart w:id="125" w:name="_Toc174529601"/>
      <w:bookmarkStart w:id="126" w:name="_Toc23689"/>
      <w:r>
        <w:rPr>
          <w:rFonts w:hint="eastAsia"/>
        </w:rPr>
        <w:t>（一）项目决策情况</w:t>
      </w:r>
      <w:bookmarkEnd w:id="124"/>
      <w:bookmarkEnd w:id="125"/>
      <w:bookmarkEnd w:id="126"/>
    </w:p>
    <w:p w14:paraId="57E7898A">
      <w:pPr>
        <w:pStyle w:val="49"/>
        <w:spacing w:line="560" w:lineRule="exact"/>
        <w:rPr>
          <w:rFonts w:hint="eastAsia"/>
        </w:rPr>
      </w:pPr>
      <w:r>
        <w:rPr>
          <w:rFonts w:hint="eastAsia"/>
        </w:rPr>
        <w:t>项目决策指标包括项目立项、绩效目标、资金投入三个二级指标，项目立项指标包括立项依据充分性、立项程序规范性两个三级指标，绩效目标指标包括绩效目标合理性、绩效指标明确性两个三级指标，资金投入指标包括预算编制科学性、资金分配合理性两个三级指标。指标分值15.5分，评价得分14.67分，得分率94.65%。</w:t>
      </w:r>
    </w:p>
    <w:tbl>
      <w:tblPr>
        <w:tblStyle w:val="19"/>
        <w:tblW w:w="8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2198"/>
        <w:gridCol w:w="835"/>
        <w:gridCol w:w="1186"/>
        <w:gridCol w:w="1181"/>
        <w:gridCol w:w="805"/>
        <w:gridCol w:w="1241"/>
      </w:tblGrid>
      <w:tr w14:paraId="7795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40" w:type="dxa"/>
            <w:tcBorders>
              <w:top w:val="single" w:color="auto" w:sz="12" w:space="0"/>
              <w:left w:val="nil"/>
              <w:bottom w:val="dotted" w:color="auto" w:sz="4" w:space="0"/>
              <w:right w:val="dotted" w:color="auto" w:sz="4" w:space="0"/>
            </w:tcBorders>
            <w:shd w:val="clear" w:color="auto" w:fill="BDD6EE" w:themeFill="accent1" w:themeFillTint="66"/>
            <w:vAlign w:val="center"/>
          </w:tcPr>
          <w:p w14:paraId="3FE5A2DC">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2198"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228A78F6">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35"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689F921A">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186"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6F7DF64A">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181"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00E687B8">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805" w:type="dxa"/>
            <w:tcBorders>
              <w:top w:val="single" w:color="auto" w:sz="12" w:space="0"/>
              <w:left w:val="dotted" w:color="auto" w:sz="4" w:space="0"/>
              <w:bottom w:val="dotted" w:color="auto" w:sz="4" w:space="0"/>
              <w:right w:val="dotted" w:color="auto" w:sz="4" w:space="0"/>
            </w:tcBorders>
            <w:shd w:val="clear" w:color="auto" w:fill="BDD6EE" w:themeFill="accent1" w:themeFillTint="66"/>
            <w:vAlign w:val="center"/>
          </w:tcPr>
          <w:p w14:paraId="7E40709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241" w:type="dxa"/>
            <w:tcBorders>
              <w:top w:val="single" w:color="auto" w:sz="12" w:space="0"/>
              <w:left w:val="dotted" w:color="auto" w:sz="4" w:space="0"/>
              <w:bottom w:val="dotted" w:color="auto" w:sz="4" w:space="0"/>
              <w:right w:val="nil"/>
            </w:tcBorders>
            <w:shd w:val="clear" w:color="auto" w:fill="BDD6EE" w:themeFill="accent1" w:themeFillTint="66"/>
            <w:vAlign w:val="center"/>
          </w:tcPr>
          <w:p w14:paraId="03F703A7">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1FB5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0F056892">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项目立项</w:t>
            </w:r>
          </w:p>
        </w:tc>
        <w:tc>
          <w:tcPr>
            <w:tcW w:w="2198" w:type="dxa"/>
            <w:tcBorders>
              <w:top w:val="dotted" w:color="auto" w:sz="4" w:space="0"/>
              <w:left w:val="dotted" w:color="auto" w:sz="4" w:space="0"/>
              <w:bottom w:val="dotted" w:color="auto" w:sz="4" w:space="0"/>
              <w:right w:val="dotted" w:color="auto" w:sz="4" w:space="0"/>
            </w:tcBorders>
            <w:vAlign w:val="center"/>
          </w:tcPr>
          <w:p w14:paraId="68D58EFC">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立项依据充分性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7E6D0FC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273FAFF9">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充分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7525ADE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充分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1F048D9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2.75</w:t>
            </w:r>
          </w:p>
        </w:tc>
        <w:tc>
          <w:tcPr>
            <w:tcW w:w="1241" w:type="dxa"/>
            <w:tcBorders>
              <w:top w:val="dotted" w:color="auto" w:sz="4" w:space="0"/>
              <w:left w:val="dotted" w:color="auto" w:sz="4" w:space="0"/>
              <w:bottom w:val="dotted" w:color="auto" w:sz="4" w:space="0"/>
              <w:right w:val="nil"/>
            </w:tcBorders>
            <w:shd w:val="clear" w:color="auto" w:fill="auto"/>
            <w:vAlign w:val="center"/>
          </w:tcPr>
          <w:p w14:paraId="5F217086">
            <w:pPr>
              <w:widowControl/>
              <w:spacing w:line="560" w:lineRule="exact"/>
              <w:jc w:val="right"/>
              <w:textAlignment w:val="center"/>
              <w:rPr>
                <w:rFonts w:hint="eastAsia" w:ascii="宋体" w:hAnsi="宋体" w:eastAsia="宋体" w:cs="宋体"/>
                <w:kern w:val="0"/>
                <w:sz w:val="20"/>
                <w:szCs w:val="20"/>
              </w:rPr>
            </w:pPr>
            <w:r>
              <w:rPr>
                <w:rFonts w:hint="eastAsia" w:ascii="宋体" w:hAnsi="宋体" w:eastAsia="宋体" w:cs="宋体"/>
                <w:color w:val="000000"/>
                <w:kern w:val="0"/>
                <w:sz w:val="20"/>
                <w:szCs w:val="20"/>
                <w:lang w:bidi="ar"/>
              </w:rPr>
              <w:t>100.00%</w:t>
            </w:r>
          </w:p>
        </w:tc>
      </w:tr>
      <w:tr w14:paraId="4982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29F75D7E">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0035AE4A">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立项程序规范性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69C6B997">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2.75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2B41F52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规范</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215EC95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规范</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70BB744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2.75</w:t>
            </w:r>
          </w:p>
        </w:tc>
        <w:tc>
          <w:tcPr>
            <w:tcW w:w="1241" w:type="dxa"/>
            <w:tcBorders>
              <w:top w:val="dotted" w:color="auto" w:sz="4" w:space="0"/>
              <w:left w:val="dotted" w:color="auto" w:sz="4" w:space="0"/>
              <w:bottom w:val="dotted" w:color="auto" w:sz="4" w:space="0"/>
              <w:right w:val="nil"/>
            </w:tcBorders>
            <w:shd w:val="clear" w:color="auto" w:fill="auto"/>
            <w:vAlign w:val="center"/>
          </w:tcPr>
          <w:p w14:paraId="6C25D18A">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0B32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65382715">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绩效目标</w:t>
            </w:r>
          </w:p>
        </w:tc>
        <w:tc>
          <w:tcPr>
            <w:tcW w:w="2198" w:type="dxa"/>
            <w:tcBorders>
              <w:top w:val="dotted" w:color="auto" w:sz="4" w:space="0"/>
              <w:left w:val="dotted" w:color="auto" w:sz="4" w:space="0"/>
              <w:bottom w:val="dotted" w:color="auto" w:sz="4" w:space="0"/>
              <w:right w:val="dotted" w:color="auto" w:sz="4" w:space="0"/>
            </w:tcBorders>
            <w:vAlign w:val="center"/>
          </w:tcPr>
          <w:p w14:paraId="48BE8F2E">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绩效目标合理性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5D6EE64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257F43E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4516CAA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7A6D339A">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1.67</w:t>
            </w:r>
          </w:p>
        </w:tc>
        <w:tc>
          <w:tcPr>
            <w:tcW w:w="1241" w:type="dxa"/>
            <w:tcBorders>
              <w:top w:val="dotted" w:color="auto" w:sz="4" w:space="0"/>
              <w:left w:val="dotted" w:color="auto" w:sz="4" w:space="0"/>
              <w:bottom w:val="dotted" w:color="auto" w:sz="4" w:space="0"/>
              <w:right w:val="nil"/>
            </w:tcBorders>
            <w:shd w:val="clear" w:color="auto" w:fill="auto"/>
            <w:vAlign w:val="center"/>
          </w:tcPr>
          <w:p w14:paraId="3CA077AA">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66.80%</w:t>
            </w:r>
          </w:p>
        </w:tc>
      </w:tr>
      <w:tr w14:paraId="3686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215708A8">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29A468DF">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绩效指标明确性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717F0EF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03D6D9F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明确</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5A45B988">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明确</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24B419F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37C6420E">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B9F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restart"/>
            <w:tcBorders>
              <w:top w:val="dotted" w:color="auto" w:sz="4" w:space="0"/>
              <w:left w:val="nil"/>
              <w:bottom w:val="dotted" w:color="auto" w:sz="4" w:space="0"/>
              <w:right w:val="dotted" w:color="auto" w:sz="4" w:space="0"/>
            </w:tcBorders>
            <w:vAlign w:val="center"/>
          </w:tcPr>
          <w:p w14:paraId="60C5FDAA">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资金投入</w:t>
            </w:r>
          </w:p>
        </w:tc>
        <w:tc>
          <w:tcPr>
            <w:tcW w:w="2198" w:type="dxa"/>
            <w:tcBorders>
              <w:top w:val="dotted" w:color="auto" w:sz="4" w:space="0"/>
              <w:left w:val="dotted" w:color="auto" w:sz="4" w:space="0"/>
              <w:bottom w:val="dotted" w:color="auto" w:sz="4" w:space="0"/>
              <w:right w:val="dotted" w:color="auto" w:sz="4" w:space="0"/>
            </w:tcBorders>
            <w:vAlign w:val="center"/>
          </w:tcPr>
          <w:p w14:paraId="31E5277E">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预算编制科学性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44FE1695">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5CD14A0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科学</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2FE1BCE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科学</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4795E20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0249A945">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3807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0" w:type="dxa"/>
            <w:vMerge w:val="continue"/>
            <w:tcBorders>
              <w:top w:val="dotted" w:color="auto" w:sz="4" w:space="0"/>
              <w:left w:val="nil"/>
              <w:bottom w:val="dotted" w:color="auto" w:sz="4" w:space="0"/>
              <w:right w:val="dotted" w:color="auto" w:sz="4" w:space="0"/>
            </w:tcBorders>
            <w:vAlign w:val="center"/>
          </w:tcPr>
          <w:p w14:paraId="508508E6">
            <w:pPr>
              <w:spacing w:line="560" w:lineRule="exact"/>
              <w:jc w:val="center"/>
              <w:rPr>
                <w:rFonts w:hint="eastAsia" w:ascii="宋体" w:hAnsi="宋体" w:eastAsia="宋体" w:cs="宋体"/>
                <w:bCs/>
                <w:sz w:val="20"/>
                <w:szCs w:val="20"/>
              </w:rPr>
            </w:pPr>
          </w:p>
        </w:tc>
        <w:tc>
          <w:tcPr>
            <w:tcW w:w="2198" w:type="dxa"/>
            <w:tcBorders>
              <w:top w:val="dotted" w:color="auto" w:sz="4" w:space="0"/>
              <w:left w:val="dotted" w:color="auto" w:sz="4" w:space="0"/>
              <w:bottom w:val="dotted" w:color="auto" w:sz="4" w:space="0"/>
              <w:right w:val="dotted" w:color="auto" w:sz="4" w:space="0"/>
            </w:tcBorders>
            <w:vAlign w:val="center"/>
          </w:tcPr>
          <w:p w14:paraId="16BEF896">
            <w:pPr>
              <w:widowControl/>
              <w:spacing w:line="560" w:lineRule="exact"/>
              <w:jc w:val="center"/>
              <w:textAlignment w:val="center"/>
              <w:rPr>
                <w:rFonts w:hint="eastAsia" w:ascii="宋体" w:hAnsi="宋体" w:eastAsia="宋体" w:cs="宋体"/>
                <w:bCs/>
                <w:sz w:val="20"/>
                <w:szCs w:val="20"/>
              </w:rPr>
            </w:pPr>
            <w:r>
              <w:rPr>
                <w:rFonts w:hint="eastAsia" w:ascii="宋体" w:hAnsi="宋体" w:eastAsia="宋体" w:cs="宋体"/>
                <w:kern w:val="0"/>
                <w:sz w:val="20"/>
                <w:szCs w:val="20"/>
                <w:lang w:bidi="ar"/>
              </w:rPr>
              <w:t>资金分配合理性</w:t>
            </w:r>
          </w:p>
        </w:tc>
        <w:tc>
          <w:tcPr>
            <w:tcW w:w="835" w:type="dxa"/>
            <w:tcBorders>
              <w:top w:val="dotted" w:color="auto" w:sz="4" w:space="0"/>
              <w:left w:val="dotted" w:color="auto" w:sz="4" w:space="0"/>
              <w:bottom w:val="dotted" w:color="auto" w:sz="4" w:space="0"/>
              <w:right w:val="dotted" w:color="auto" w:sz="4" w:space="0"/>
            </w:tcBorders>
            <w:shd w:val="clear" w:color="auto" w:fill="auto"/>
            <w:vAlign w:val="center"/>
          </w:tcPr>
          <w:p w14:paraId="359D5AB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86" w:type="dxa"/>
            <w:tcBorders>
              <w:top w:val="dotted" w:color="auto" w:sz="4" w:space="0"/>
              <w:left w:val="dotted" w:color="auto" w:sz="4" w:space="0"/>
              <w:bottom w:val="dotted" w:color="auto" w:sz="4" w:space="0"/>
              <w:right w:val="dotted" w:color="auto" w:sz="4" w:space="0"/>
            </w:tcBorders>
            <w:shd w:val="clear" w:color="auto" w:fill="auto"/>
            <w:vAlign w:val="center"/>
          </w:tcPr>
          <w:p w14:paraId="7D30260F">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1181" w:type="dxa"/>
            <w:tcBorders>
              <w:top w:val="dotted" w:color="auto" w:sz="4" w:space="0"/>
              <w:left w:val="dotted" w:color="auto" w:sz="4" w:space="0"/>
              <w:bottom w:val="dotted" w:color="auto" w:sz="4" w:space="0"/>
              <w:right w:val="dotted" w:color="auto" w:sz="4" w:space="0"/>
            </w:tcBorders>
            <w:shd w:val="clear" w:color="auto" w:fill="auto"/>
            <w:vAlign w:val="center"/>
          </w:tcPr>
          <w:p w14:paraId="53C31616">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合理</w:t>
            </w:r>
          </w:p>
        </w:tc>
        <w:tc>
          <w:tcPr>
            <w:tcW w:w="805" w:type="dxa"/>
            <w:tcBorders>
              <w:top w:val="dotted" w:color="auto" w:sz="4" w:space="0"/>
              <w:left w:val="dotted" w:color="auto" w:sz="4" w:space="0"/>
              <w:bottom w:val="dotted" w:color="auto" w:sz="4" w:space="0"/>
              <w:right w:val="dotted" w:color="auto" w:sz="4" w:space="0"/>
            </w:tcBorders>
            <w:shd w:val="clear" w:color="auto" w:fill="auto"/>
            <w:vAlign w:val="center"/>
          </w:tcPr>
          <w:p w14:paraId="4D248D4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color w:val="000000"/>
                <w:kern w:val="0"/>
                <w:sz w:val="20"/>
                <w:szCs w:val="20"/>
                <w:lang w:bidi="ar"/>
              </w:rPr>
              <w:t>2.5</w:t>
            </w:r>
          </w:p>
        </w:tc>
        <w:tc>
          <w:tcPr>
            <w:tcW w:w="1241" w:type="dxa"/>
            <w:tcBorders>
              <w:top w:val="dotted" w:color="auto" w:sz="4" w:space="0"/>
              <w:left w:val="dotted" w:color="auto" w:sz="4" w:space="0"/>
              <w:bottom w:val="dotted" w:color="auto" w:sz="4" w:space="0"/>
              <w:right w:val="nil"/>
            </w:tcBorders>
            <w:shd w:val="clear" w:color="auto" w:fill="auto"/>
            <w:vAlign w:val="center"/>
          </w:tcPr>
          <w:p w14:paraId="6063FB53">
            <w:pPr>
              <w:widowControl/>
              <w:spacing w:line="560" w:lineRule="exact"/>
              <w:jc w:val="right"/>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15D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38" w:type="dxa"/>
            <w:gridSpan w:val="2"/>
            <w:tcBorders>
              <w:top w:val="dotted" w:color="auto" w:sz="4" w:space="0"/>
              <w:left w:val="nil"/>
              <w:bottom w:val="single" w:color="auto" w:sz="12" w:space="0"/>
              <w:right w:val="dotted" w:color="auto" w:sz="4" w:space="0"/>
            </w:tcBorders>
            <w:shd w:val="clear" w:color="auto" w:fill="BDD6EE" w:themeFill="accent1" w:themeFillTint="66"/>
            <w:vAlign w:val="center"/>
          </w:tcPr>
          <w:p w14:paraId="5DB2666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35"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49B2DC2B">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15.5</w:t>
            </w:r>
          </w:p>
        </w:tc>
        <w:tc>
          <w:tcPr>
            <w:tcW w:w="1186"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48FC1D93">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1181"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0D5E734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805" w:type="dxa"/>
            <w:tcBorders>
              <w:top w:val="dotted" w:color="auto" w:sz="4" w:space="0"/>
              <w:left w:val="dotted" w:color="auto" w:sz="4" w:space="0"/>
              <w:bottom w:val="single" w:color="auto" w:sz="12" w:space="0"/>
              <w:right w:val="dotted" w:color="auto" w:sz="4" w:space="0"/>
            </w:tcBorders>
            <w:shd w:val="clear" w:color="auto" w:fill="BDD6EE" w:themeFill="accent1" w:themeFillTint="66"/>
            <w:vAlign w:val="center"/>
          </w:tcPr>
          <w:p w14:paraId="3BEC2C3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14.67</w:t>
            </w:r>
          </w:p>
        </w:tc>
        <w:tc>
          <w:tcPr>
            <w:tcW w:w="1241" w:type="dxa"/>
            <w:tcBorders>
              <w:top w:val="dotted" w:color="auto" w:sz="4" w:space="0"/>
              <w:left w:val="dotted" w:color="auto" w:sz="4" w:space="0"/>
              <w:bottom w:val="single" w:color="auto" w:sz="12" w:space="0"/>
              <w:right w:val="nil"/>
            </w:tcBorders>
            <w:shd w:val="clear" w:color="auto" w:fill="BDD6EE" w:themeFill="accent1" w:themeFillTint="66"/>
            <w:vAlign w:val="center"/>
          </w:tcPr>
          <w:p w14:paraId="55110A73">
            <w:pPr>
              <w:widowControl/>
              <w:spacing w:line="560" w:lineRule="exact"/>
              <w:jc w:val="right"/>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94.65%</w:t>
            </w:r>
          </w:p>
        </w:tc>
      </w:tr>
    </w:tbl>
    <w:p w14:paraId="03AF3DEB">
      <w:pPr>
        <w:pStyle w:val="4"/>
        <w:spacing w:before="0" w:after="0" w:line="560" w:lineRule="exact"/>
        <w:ind w:firstLine="643" w:firstLineChars="200"/>
        <w:rPr>
          <w:rFonts w:hint="eastAsia" w:ascii="仿宋_GB2312" w:hAnsi="仿宋_GB2312" w:eastAsia="仿宋_GB2312" w:cs="仿宋_GB2312"/>
          <w:b w:val="0"/>
          <w:bCs/>
          <w:szCs w:val="32"/>
        </w:rPr>
      </w:pPr>
      <w:r>
        <w:rPr>
          <w:rFonts w:hint="eastAsia" w:ascii="仿宋_GB2312" w:hAnsi="仿宋_GB2312" w:eastAsia="仿宋_GB2312" w:cs="仿宋_GB2312"/>
          <w:bCs/>
          <w:szCs w:val="32"/>
        </w:rPr>
        <w:t>1.项目立项</w:t>
      </w:r>
    </w:p>
    <w:p w14:paraId="7B3BCD5E">
      <w:pPr>
        <w:pStyle w:val="49"/>
        <w:spacing w:line="560" w:lineRule="exact"/>
        <w:rPr>
          <w:rFonts w:hint="eastAsia"/>
        </w:rPr>
      </w:pPr>
      <w:r>
        <w:rPr>
          <w:rFonts w:hint="eastAsia"/>
        </w:rPr>
        <w:t>少数民族法制教学研究经费项目严格按照预算绩效制度管理流程履行了项目立项手续，项目立项依据充分、立项程序规范，立项工作达到预期目标。</w:t>
      </w:r>
    </w:p>
    <w:p w14:paraId="23A48A42">
      <w:pPr>
        <w:pStyle w:val="49"/>
        <w:spacing w:line="560" w:lineRule="exact"/>
        <w:rPr>
          <w:rFonts w:hint="eastAsia"/>
        </w:rPr>
      </w:pPr>
      <w:r>
        <w:rPr>
          <w:rFonts w:hint="eastAsia"/>
        </w:rPr>
        <w:t>（1）立项依据充分性</w:t>
      </w:r>
    </w:p>
    <w:p w14:paraId="06CA9A26">
      <w:pPr>
        <w:pStyle w:val="49"/>
        <w:spacing w:line="560" w:lineRule="exact"/>
        <w:rPr>
          <w:rFonts w:hint="eastAsia"/>
        </w:rPr>
      </w:pPr>
      <w:r>
        <w:rPr>
          <w:rFonts w:hint="eastAsia"/>
        </w:rPr>
        <w:t>立项依据充分性：指标分2.75分，评价得分为2.75分。该项目致力于少数民族地区的法制教学研究等活动，以推动少数民族地区的法制建设。主要用于打造中华民族共同体法治文化“四个基地”、加强少数民族法治文化建设，全面推进依法治国战略相关费用支出。</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rPr>
        <w:t>目</w:t>
      </w:r>
      <w:r>
        <w:rPr>
          <w:rFonts w:hint="eastAsia" w:ascii="仿宋_GB2312" w:hAnsi="仿宋_GB2312" w:eastAsia="仿宋_GB2312" w:cs="仿宋_GB2312"/>
          <w:sz w:val="32"/>
          <w:szCs w:val="32"/>
          <w:highlight w:val="none"/>
          <w:lang w:val="en-US" w:eastAsia="zh-CN"/>
        </w:rPr>
        <w:t>设立符合国家发展规划和党政决策；项目与甘肃省高级人民法院的主要职能相符，属于甘肃省高级人民法院的职责范围；项目属于财政支持范围，符合中央、地方事权支出责任划分原则；项目与甘肃省高级人民法院其他相关项目不重复。评价认为，项目立项依据充分</w:t>
      </w:r>
      <w:r>
        <w:rPr>
          <w:rFonts w:hint="eastAsia" w:ascii="仿宋_GB2312" w:hAnsi="仿宋_GB2312" w:eastAsia="仿宋_GB2312" w:cs="仿宋_GB2312"/>
          <w:sz w:val="32"/>
          <w:szCs w:val="32"/>
          <w:highlight w:val="none"/>
        </w:rPr>
        <w:t>，立项符合法规政策。</w:t>
      </w:r>
    </w:p>
    <w:p w14:paraId="2472F1C9">
      <w:pPr>
        <w:pStyle w:val="49"/>
        <w:spacing w:line="560" w:lineRule="exact"/>
        <w:rPr>
          <w:rFonts w:hint="eastAsia"/>
        </w:rPr>
      </w:pPr>
      <w:r>
        <w:rPr>
          <w:rFonts w:hint="eastAsia"/>
        </w:rPr>
        <w:t>（2）立项程序规范性</w:t>
      </w:r>
    </w:p>
    <w:p w14:paraId="51A89393">
      <w:pPr>
        <w:pStyle w:val="49"/>
        <w:spacing w:line="560" w:lineRule="exact"/>
        <w:rPr>
          <w:rFonts w:hint="eastAsia"/>
        </w:rPr>
      </w:pPr>
      <w:r>
        <w:rPr>
          <w:rFonts w:hint="eastAsia"/>
        </w:rPr>
        <w:t>立项程序规范性：指标分值2.75分，评价得分2.75分。该项资金主要用于打造中华民族共同体法治文化“四个基地”、加强少数民族法治文化建设，全面推进依法治国战略相关费用支出，项目根据《2019-2023</w:t>
      </w:r>
      <w:r>
        <w:rPr>
          <w:rFonts w:hint="eastAsia"/>
          <w:lang w:eastAsia="zh-CN"/>
        </w:rPr>
        <w:t>年</w:t>
      </w:r>
      <w:r>
        <w:rPr>
          <w:rFonts w:hint="eastAsia"/>
        </w:rPr>
        <w:t>甘肃省高级人民法院教育培训规划》（甘高法〔2019〕273号）等政策依据设立。</w:t>
      </w:r>
      <w:r>
        <w:rPr>
          <w:rFonts w:hint="eastAsia" w:ascii="仿宋_GB2312" w:hAnsi="仿宋_GB2312" w:eastAsia="仿宋_GB2312" w:cs="仿宋_GB2312"/>
          <w:sz w:val="32"/>
          <w:szCs w:val="32"/>
          <w:highlight w:val="none"/>
        </w:rPr>
        <w:t>该项目根据制度申报并通过</w:t>
      </w:r>
      <w:r>
        <w:rPr>
          <w:rFonts w:hint="eastAsia" w:ascii="仿宋_GB2312" w:hAnsi="仿宋_GB2312" w:eastAsia="仿宋_GB2312" w:cs="仿宋_GB2312"/>
          <w:sz w:val="32"/>
          <w:szCs w:val="32"/>
          <w:highlight w:val="none"/>
          <w:lang w:val="en-US" w:eastAsia="zh-CN"/>
        </w:rPr>
        <w:t>甘肃省财政厅</w:t>
      </w:r>
      <w:r>
        <w:rPr>
          <w:rFonts w:hint="eastAsia" w:ascii="仿宋_GB2312" w:hAnsi="仿宋_GB2312" w:eastAsia="仿宋_GB2312" w:cs="仿宋_GB2312"/>
          <w:sz w:val="32"/>
          <w:szCs w:val="32"/>
          <w:highlight w:val="none"/>
        </w:rPr>
        <w:t>批复设立</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并报请人代会批复</w:t>
      </w:r>
      <w:r>
        <w:rPr>
          <w:rFonts w:hint="eastAsia" w:ascii="仿宋_GB2312" w:hAnsi="仿宋_GB2312" w:eastAsia="仿宋_GB2312" w:cs="仿宋_GB2312"/>
          <w:sz w:val="32"/>
          <w:szCs w:val="32"/>
          <w:highlight w:val="none"/>
        </w:rPr>
        <w:t>，项目事前已</w:t>
      </w:r>
      <w:r>
        <w:rPr>
          <w:rFonts w:hint="eastAsia" w:ascii="仿宋_GB2312" w:hAnsi="仿宋_GB2312" w:eastAsia="仿宋_GB2312" w:cs="仿宋_GB2312"/>
          <w:sz w:val="32"/>
          <w:szCs w:val="32"/>
          <w:highlight w:val="none"/>
          <w:lang w:val="en-US" w:eastAsia="zh-CN"/>
        </w:rPr>
        <w:t>经人代会</w:t>
      </w:r>
      <w:r>
        <w:rPr>
          <w:rFonts w:hint="eastAsia" w:ascii="仿宋_GB2312" w:hAnsi="仿宋_GB2312" w:eastAsia="仿宋_GB2312" w:cs="仿宋_GB2312"/>
          <w:sz w:val="32"/>
          <w:szCs w:val="32"/>
          <w:highlight w:val="none"/>
        </w:rPr>
        <w:t>集体决策并按照规定的程序申请设立，审批文件、材料符合相关要求。评价认为，项目立项程序规范，预算、审批材料齐全。</w:t>
      </w:r>
    </w:p>
    <w:p w14:paraId="6224C0C9">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1E4F2B66">
      <w:pPr>
        <w:pStyle w:val="49"/>
        <w:spacing w:line="560" w:lineRule="exact"/>
        <w:rPr>
          <w:rFonts w:hint="eastAsia"/>
        </w:rPr>
      </w:pPr>
      <w:r>
        <w:rPr>
          <w:rFonts w:hint="eastAsia"/>
        </w:rPr>
        <w:t>（1）绩效目标合理性</w:t>
      </w:r>
    </w:p>
    <w:p w14:paraId="461784E9">
      <w:pPr>
        <w:pStyle w:val="49"/>
        <w:spacing w:line="560" w:lineRule="exact"/>
        <w:rPr>
          <w:rFonts w:hint="eastAsia"/>
        </w:rPr>
      </w:pPr>
      <w:r>
        <w:rPr>
          <w:rFonts w:hint="eastAsia"/>
        </w:rPr>
        <w:t>绩效目标合理性：指标分值2.5分，评价得分1.67分。项目严格按照《甘肃省省级预算绩效目标管理办法》要求，编制了《少数民族法制教学研究经费项目支出绩效目标表》，绩效目标与实际工作具有相关性；与预算确定的投资额相匹配。但评价发现，个别指标存在预期产出不符合正常业绩水平的情况，如课题研究数量年度目标值=2个，实际完成5个，完成率达到250%，年度目标值设置偏低。</w:t>
      </w:r>
    </w:p>
    <w:p w14:paraId="115DEF35">
      <w:pPr>
        <w:pStyle w:val="49"/>
        <w:spacing w:line="560" w:lineRule="exact"/>
        <w:rPr>
          <w:rFonts w:hint="eastAsia"/>
        </w:rPr>
      </w:pPr>
      <w:r>
        <w:rPr>
          <w:rFonts w:hint="eastAsia"/>
        </w:rPr>
        <w:t>（2）绩效指标明确性</w:t>
      </w:r>
    </w:p>
    <w:p w14:paraId="494ACE56">
      <w:pPr>
        <w:pStyle w:val="49"/>
        <w:spacing w:line="560" w:lineRule="exact"/>
        <w:rPr>
          <w:rFonts w:hint="eastAsia"/>
        </w:rPr>
      </w:pPr>
      <w:r>
        <w:rPr>
          <w:rFonts w:hint="eastAsia"/>
        </w:rPr>
        <w:t>绩效指标明确性：指标分值2.5分，评价得分2.5分。</w:t>
      </w:r>
      <w:r>
        <w:t>经核查</w:t>
      </w:r>
      <w:r>
        <w:rPr>
          <w:rFonts w:hint="eastAsia"/>
        </w:rPr>
        <w:t>甘肃省法官学院年初制定的</w:t>
      </w:r>
      <w:r>
        <w:t>《</w:t>
      </w:r>
      <w:r>
        <w:rPr>
          <w:rFonts w:hint="eastAsia"/>
        </w:rPr>
        <w:t>少数民族法制教学研究经费项目支出绩效目标表</w:t>
      </w:r>
      <w:r>
        <w:t>》，设置的绩效指标能够将项目绩效目标细化分解为具体的绩效指标，指标目标值清晰、可衡量</w:t>
      </w:r>
      <w:r>
        <w:rPr>
          <w:rFonts w:hint="eastAsia"/>
        </w:rPr>
        <w:t>；与项目年度计划相对应；与预算确定的项目资金量相匹配。</w:t>
      </w:r>
    </w:p>
    <w:p w14:paraId="7FFACC46">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3028BF53">
      <w:pPr>
        <w:pStyle w:val="49"/>
        <w:spacing w:line="560" w:lineRule="exact"/>
        <w:rPr>
          <w:rFonts w:hint="eastAsia"/>
        </w:rPr>
      </w:pPr>
      <w:r>
        <w:rPr>
          <w:rFonts w:hint="eastAsia"/>
        </w:rPr>
        <w:t>少数民族法制教学研究经费项目资金投入方向符合政策规定，按照年度预算合理分配。</w:t>
      </w:r>
    </w:p>
    <w:p w14:paraId="16AF9D5B">
      <w:pPr>
        <w:pStyle w:val="49"/>
        <w:spacing w:line="560" w:lineRule="exact"/>
        <w:rPr>
          <w:rFonts w:hint="eastAsia"/>
        </w:rPr>
      </w:pPr>
      <w:r>
        <w:rPr>
          <w:rFonts w:hint="eastAsia"/>
        </w:rPr>
        <w:t>（1）预算编制科学性</w:t>
      </w:r>
    </w:p>
    <w:p w14:paraId="17E70273">
      <w:pPr>
        <w:pStyle w:val="49"/>
        <w:spacing w:line="560" w:lineRule="exact"/>
        <w:rPr>
          <w:rFonts w:hint="eastAsia"/>
        </w:rPr>
      </w:pPr>
      <w:r>
        <w:rPr>
          <w:rFonts w:hint="eastAsia"/>
        </w:rPr>
        <w:t>预算编制科学性：指标分值2.5分，评价得分2.5分。少数民族法制教学研究经费项目实施前，甘肃省法官学院严格按照预算管理制度，分析研究并制定项目专项资金使用计划，项目实施中专项资金严格按照预算执行。评价认为，项目预算编制科学、合理、规范。</w:t>
      </w:r>
    </w:p>
    <w:p w14:paraId="763578E3">
      <w:pPr>
        <w:pStyle w:val="49"/>
        <w:spacing w:line="560" w:lineRule="exact"/>
        <w:rPr>
          <w:rFonts w:hint="eastAsia"/>
        </w:rPr>
      </w:pPr>
      <w:r>
        <w:rPr>
          <w:rFonts w:hint="eastAsia"/>
        </w:rPr>
        <w:t>（2）资金分配合理性</w:t>
      </w:r>
    </w:p>
    <w:p w14:paraId="40404042">
      <w:pPr>
        <w:pStyle w:val="49"/>
        <w:spacing w:line="560" w:lineRule="exact"/>
        <w:rPr>
          <w:rFonts w:hint="eastAsia"/>
        </w:rPr>
      </w:pPr>
      <w:bookmarkStart w:id="127" w:name="_Toc10475"/>
      <w:r>
        <w:rPr>
          <w:rFonts w:hint="eastAsia"/>
        </w:rPr>
        <w:t>资金分配合理性：指标分值2.5分，评价得分2.5分。</w:t>
      </w:r>
      <w:bookmarkEnd w:id="127"/>
      <w:bookmarkStart w:id="128" w:name="_Toc22593"/>
      <w:bookmarkStart w:id="129" w:name="_Toc5353"/>
      <w:r>
        <w:rPr>
          <w:rFonts w:hint="eastAsia"/>
        </w:rPr>
        <w:t>项目的预算编制首先主要依据《预算法》与《全省法院系统项目预算资金申报使用管理规程》等文件要求，其次通过制定工作计划、工作要点等科学的方式确定预算编制，项目预算内容与项目实施内容匹配，预算编制经过科学论证，预算额度测算依据充分，按照标准编制，确定的项目资金量与工作任务相匹配。少数民族法制教学研究经费项目实际发生额均控制在预算批复115.16万元以内。评价认为，项目资金分配合理，与项目实际相适应。</w:t>
      </w:r>
    </w:p>
    <w:p w14:paraId="03C0FA3B">
      <w:pPr>
        <w:pStyle w:val="46"/>
        <w:spacing w:line="560" w:lineRule="exact"/>
        <w:rPr>
          <w:rFonts w:hint="eastAsia"/>
        </w:rPr>
      </w:pPr>
      <w:bookmarkStart w:id="130" w:name="_Toc174529602"/>
      <w:r>
        <w:rPr>
          <w:rFonts w:hint="eastAsia"/>
        </w:rPr>
        <w:t>（二）项目过程情况</w:t>
      </w:r>
      <w:bookmarkEnd w:id="128"/>
      <w:bookmarkEnd w:id="129"/>
      <w:bookmarkEnd w:id="130"/>
    </w:p>
    <w:p w14:paraId="7297EF9B">
      <w:pPr>
        <w:pStyle w:val="49"/>
        <w:spacing w:line="560" w:lineRule="exact"/>
        <w:rPr>
          <w:rFonts w:hint="eastAsia"/>
        </w:rPr>
      </w:pPr>
      <w:r>
        <w:rPr>
          <w:rFonts w:hint="eastAsia"/>
        </w:rPr>
        <w:t>项目过程指标包括资金管理、组织实施两个二级指标。资金管理指标包括资金到位率、预算执行率、资金使用合规性三个三级指标，组织实施指标包括管理制度健全性、制度执行有效性、采购管理规范性、合同管理完备性四个三级指标。指标分值17.5分，评价得分16.25分，得分率92.86%。</w:t>
      </w:r>
    </w:p>
    <w:tbl>
      <w:tblPr>
        <w:tblStyle w:val="19"/>
        <w:tblW w:w="0" w:type="auto"/>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201"/>
        <w:gridCol w:w="1836"/>
        <w:gridCol w:w="999"/>
        <w:gridCol w:w="1151"/>
        <w:gridCol w:w="1170"/>
        <w:gridCol w:w="1048"/>
        <w:gridCol w:w="1065"/>
      </w:tblGrid>
      <w:tr w14:paraId="0721915E">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201" w:type="dxa"/>
            <w:tcBorders>
              <w:tl2br w:val="nil"/>
              <w:tr2bl w:val="nil"/>
            </w:tcBorders>
            <w:shd w:val="clear" w:color="auto" w:fill="BDD6EE" w:themeFill="accent1" w:themeFillTint="66"/>
            <w:vAlign w:val="center"/>
          </w:tcPr>
          <w:p w14:paraId="00083720">
            <w:pPr>
              <w:widowControl/>
              <w:spacing w:line="560" w:lineRule="exact"/>
              <w:jc w:val="center"/>
              <w:textAlignment w:val="center"/>
              <w:rPr>
                <w:rFonts w:hint="eastAsia" w:ascii="宋体" w:hAnsi="宋体" w:eastAsia="宋体" w:cs="宋体"/>
                <w:b/>
                <w:bCs/>
                <w:kern w:val="0"/>
                <w:sz w:val="20"/>
                <w:szCs w:val="20"/>
                <w:lang w:bidi="ar"/>
              </w:rPr>
            </w:pPr>
            <w:bookmarkStart w:id="131" w:name="_Hlk167346931"/>
            <w:r>
              <w:rPr>
                <w:rFonts w:hint="eastAsia" w:ascii="宋体" w:hAnsi="宋体" w:eastAsia="宋体" w:cs="宋体"/>
                <w:b/>
                <w:bCs/>
                <w:kern w:val="0"/>
                <w:sz w:val="20"/>
                <w:szCs w:val="20"/>
                <w:lang w:bidi="ar"/>
              </w:rPr>
              <w:t>二级指标</w:t>
            </w:r>
          </w:p>
        </w:tc>
        <w:tc>
          <w:tcPr>
            <w:tcW w:w="1836" w:type="dxa"/>
            <w:tcBorders>
              <w:tl2br w:val="nil"/>
              <w:tr2bl w:val="nil"/>
            </w:tcBorders>
            <w:shd w:val="clear" w:color="auto" w:fill="BDD6EE" w:themeFill="accent1" w:themeFillTint="66"/>
            <w:vAlign w:val="center"/>
          </w:tcPr>
          <w:p w14:paraId="3C0031DD">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999" w:type="dxa"/>
            <w:tcBorders>
              <w:tl2br w:val="nil"/>
              <w:tr2bl w:val="nil"/>
            </w:tcBorders>
            <w:shd w:val="clear" w:color="auto" w:fill="BDD6EE" w:themeFill="accent1" w:themeFillTint="66"/>
            <w:vAlign w:val="center"/>
          </w:tcPr>
          <w:p w14:paraId="36FE9892">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151" w:type="dxa"/>
            <w:tcBorders>
              <w:tl2br w:val="nil"/>
              <w:tr2bl w:val="nil"/>
            </w:tcBorders>
            <w:shd w:val="clear" w:color="auto" w:fill="BDD6EE" w:themeFill="accent1" w:themeFillTint="66"/>
            <w:vAlign w:val="center"/>
          </w:tcPr>
          <w:p w14:paraId="543FE47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170" w:type="dxa"/>
            <w:tcBorders>
              <w:tl2br w:val="nil"/>
              <w:tr2bl w:val="nil"/>
            </w:tcBorders>
            <w:shd w:val="clear" w:color="auto" w:fill="BDD6EE" w:themeFill="accent1" w:themeFillTint="66"/>
            <w:vAlign w:val="center"/>
          </w:tcPr>
          <w:p w14:paraId="313C54A4">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1048" w:type="dxa"/>
            <w:tcBorders>
              <w:tl2br w:val="nil"/>
              <w:tr2bl w:val="nil"/>
            </w:tcBorders>
            <w:shd w:val="clear" w:color="auto" w:fill="BDD6EE" w:themeFill="accent1" w:themeFillTint="66"/>
            <w:vAlign w:val="center"/>
          </w:tcPr>
          <w:p w14:paraId="20215F6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065" w:type="dxa"/>
            <w:tcBorders>
              <w:tl2br w:val="nil"/>
              <w:tr2bl w:val="nil"/>
            </w:tcBorders>
            <w:shd w:val="clear" w:color="auto" w:fill="BDD6EE" w:themeFill="accent1" w:themeFillTint="66"/>
            <w:vAlign w:val="center"/>
          </w:tcPr>
          <w:p w14:paraId="03AA4988">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7B14CA4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restart"/>
            <w:tcBorders>
              <w:tl2br w:val="nil"/>
              <w:tr2bl w:val="nil"/>
            </w:tcBorders>
            <w:vAlign w:val="center"/>
          </w:tcPr>
          <w:p w14:paraId="6B48410F">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资金管理</w:t>
            </w:r>
          </w:p>
        </w:tc>
        <w:tc>
          <w:tcPr>
            <w:tcW w:w="1836" w:type="dxa"/>
            <w:tcBorders>
              <w:tl2br w:val="nil"/>
              <w:tr2bl w:val="nil"/>
            </w:tcBorders>
            <w:vAlign w:val="center"/>
          </w:tcPr>
          <w:p w14:paraId="23506083">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资金到位率</w:t>
            </w:r>
          </w:p>
        </w:tc>
        <w:tc>
          <w:tcPr>
            <w:tcW w:w="999" w:type="dxa"/>
            <w:tcBorders>
              <w:tl2br w:val="nil"/>
              <w:tr2bl w:val="nil"/>
            </w:tcBorders>
            <w:shd w:val="clear" w:color="auto" w:fill="auto"/>
            <w:vAlign w:val="center"/>
          </w:tcPr>
          <w:p w14:paraId="5F7B4ACE">
            <w:pPr>
              <w:widowControl/>
              <w:spacing w:line="560" w:lineRule="exact"/>
              <w:jc w:val="center"/>
              <w:textAlignment w:val="center"/>
              <w:rPr>
                <w:rFonts w:hint="eastAsia" w:ascii="宋体" w:hAnsi="宋体" w:eastAsia="宋体" w:cs="宋体"/>
                <w:kern w:val="0"/>
                <w:sz w:val="20"/>
                <w:szCs w:val="20"/>
              </w:rPr>
            </w:pPr>
            <w:r>
              <w:rPr>
                <w:rFonts w:hint="eastAsia" w:ascii="宋体" w:hAnsi="宋体" w:eastAsia="宋体" w:cs="宋体"/>
                <w:kern w:val="0"/>
                <w:sz w:val="20"/>
                <w:szCs w:val="20"/>
              </w:rPr>
              <w:t>2.5</w:t>
            </w:r>
          </w:p>
        </w:tc>
        <w:tc>
          <w:tcPr>
            <w:tcW w:w="1151" w:type="dxa"/>
            <w:tcBorders>
              <w:tl2br w:val="nil"/>
              <w:tr2bl w:val="nil"/>
            </w:tcBorders>
            <w:shd w:val="clear" w:color="auto" w:fill="auto"/>
            <w:vAlign w:val="center"/>
          </w:tcPr>
          <w:p w14:paraId="61902496">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=100.00%</w:t>
            </w:r>
          </w:p>
        </w:tc>
        <w:tc>
          <w:tcPr>
            <w:tcW w:w="1170" w:type="dxa"/>
            <w:tcBorders>
              <w:tl2br w:val="nil"/>
              <w:tr2bl w:val="nil"/>
            </w:tcBorders>
            <w:shd w:val="clear" w:color="auto" w:fill="auto"/>
            <w:vAlign w:val="center"/>
          </w:tcPr>
          <w:p w14:paraId="0981DBBD">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048" w:type="dxa"/>
            <w:tcBorders>
              <w:tl2br w:val="nil"/>
              <w:tr2bl w:val="nil"/>
            </w:tcBorders>
            <w:shd w:val="clear" w:color="auto" w:fill="auto"/>
            <w:vAlign w:val="center"/>
          </w:tcPr>
          <w:p w14:paraId="3865399F">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065" w:type="dxa"/>
            <w:tcBorders>
              <w:tl2br w:val="nil"/>
              <w:tr2bl w:val="nil"/>
            </w:tcBorders>
            <w:shd w:val="clear" w:color="auto" w:fill="auto"/>
            <w:vAlign w:val="center"/>
          </w:tcPr>
          <w:p w14:paraId="7CB6AD93">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240EDA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14F3C2E0">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583D19B9">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预算执行率</w:t>
            </w:r>
          </w:p>
        </w:tc>
        <w:tc>
          <w:tcPr>
            <w:tcW w:w="999" w:type="dxa"/>
            <w:tcBorders>
              <w:tl2br w:val="nil"/>
              <w:tr2bl w:val="nil"/>
            </w:tcBorders>
            <w:shd w:val="clear" w:color="auto" w:fill="auto"/>
            <w:vAlign w:val="center"/>
          </w:tcPr>
          <w:p w14:paraId="582A0FEC">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151" w:type="dxa"/>
            <w:tcBorders>
              <w:tl2br w:val="nil"/>
              <w:tr2bl w:val="nil"/>
            </w:tcBorders>
            <w:shd w:val="clear" w:color="auto" w:fill="auto"/>
            <w:vAlign w:val="center"/>
          </w:tcPr>
          <w:p w14:paraId="36DE519E">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=100.00%</w:t>
            </w:r>
          </w:p>
        </w:tc>
        <w:tc>
          <w:tcPr>
            <w:tcW w:w="1170" w:type="dxa"/>
            <w:tcBorders>
              <w:tl2br w:val="nil"/>
              <w:tr2bl w:val="nil"/>
            </w:tcBorders>
            <w:shd w:val="clear" w:color="auto" w:fill="auto"/>
            <w:vAlign w:val="center"/>
          </w:tcPr>
          <w:p w14:paraId="385222BC">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c>
          <w:tcPr>
            <w:tcW w:w="1048" w:type="dxa"/>
            <w:tcBorders>
              <w:tl2br w:val="nil"/>
              <w:tr2bl w:val="nil"/>
            </w:tcBorders>
            <w:shd w:val="clear" w:color="auto" w:fill="auto"/>
            <w:vAlign w:val="center"/>
          </w:tcPr>
          <w:p w14:paraId="0CE75D97">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065" w:type="dxa"/>
            <w:tcBorders>
              <w:tl2br w:val="nil"/>
              <w:tr2bl w:val="nil"/>
            </w:tcBorders>
            <w:shd w:val="clear" w:color="auto" w:fill="auto"/>
            <w:vAlign w:val="center"/>
          </w:tcPr>
          <w:p w14:paraId="58DF7A0E">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2BEA1D4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6EBCD80A">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6654AF26">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资金使用合规性</w:t>
            </w:r>
          </w:p>
        </w:tc>
        <w:tc>
          <w:tcPr>
            <w:tcW w:w="999" w:type="dxa"/>
            <w:tcBorders>
              <w:tl2br w:val="nil"/>
              <w:tr2bl w:val="nil"/>
            </w:tcBorders>
            <w:shd w:val="clear" w:color="auto" w:fill="auto"/>
            <w:vAlign w:val="center"/>
          </w:tcPr>
          <w:p w14:paraId="439153A1">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151" w:type="dxa"/>
            <w:tcBorders>
              <w:tl2br w:val="nil"/>
              <w:tr2bl w:val="nil"/>
            </w:tcBorders>
            <w:shd w:val="clear" w:color="auto" w:fill="auto"/>
            <w:vAlign w:val="center"/>
          </w:tcPr>
          <w:p w14:paraId="0BBEC747">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合规</w:t>
            </w:r>
          </w:p>
        </w:tc>
        <w:tc>
          <w:tcPr>
            <w:tcW w:w="1170" w:type="dxa"/>
            <w:tcBorders>
              <w:tl2br w:val="nil"/>
              <w:tr2bl w:val="nil"/>
            </w:tcBorders>
            <w:shd w:val="clear" w:color="auto" w:fill="auto"/>
            <w:vAlign w:val="center"/>
          </w:tcPr>
          <w:p w14:paraId="48190E86">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合规</w:t>
            </w:r>
          </w:p>
        </w:tc>
        <w:tc>
          <w:tcPr>
            <w:tcW w:w="1048" w:type="dxa"/>
            <w:tcBorders>
              <w:tl2br w:val="nil"/>
              <w:tr2bl w:val="nil"/>
            </w:tcBorders>
            <w:shd w:val="clear" w:color="auto" w:fill="auto"/>
            <w:vAlign w:val="center"/>
          </w:tcPr>
          <w:p w14:paraId="1522875E">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065" w:type="dxa"/>
            <w:tcBorders>
              <w:tl2br w:val="nil"/>
              <w:tr2bl w:val="nil"/>
            </w:tcBorders>
            <w:shd w:val="clear" w:color="auto" w:fill="auto"/>
            <w:vAlign w:val="center"/>
          </w:tcPr>
          <w:p w14:paraId="1948ED8C">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3265DE7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restart"/>
            <w:tcBorders>
              <w:tl2br w:val="nil"/>
              <w:tr2bl w:val="nil"/>
            </w:tcBorders>
            <w:vAlign w:val="center"/>
          </w:tcPr>
          <w:p w14:paraId="11712C05">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组织实施</w:t>
            </w:r>
          </w:p>
        </w:tc>
        <w:tc>
          <w:tcPr>
            <w:tcW w:w="1836" w:type="dxa"/>
            <w:tcBorders>
              <w:tl2br w:val="nil"/>
              <w:tr2bl w:val="nil"/>
            </w:tcBorders>
            <w:vAlign w:val="center"/>
          </w:tcPr>
          <w:p w14:paraId="4167BE81">
            <w:pPr>
              <w:widowControl/>
              <w:spacing w:line="560" w:lineRule="exact"/>
              <w:jc w:val="center"/>
              <w:textAlignment w:val="center"/>
              <w:rPr>
                <w:rFonts w:hint="eastAsia" w:ascii="宋体" w:hAnsi="宋体" w:eastAsia="宋体" w:cs="宋体"/>
                <w:b/>
                <w:bCs/>
                <w:sz w:val="20"/>
                <w:szCs w:val="20"/>
              </w:rPr>
            </w:pPr>
            <w:r>
              <w:rPr>
                <w:rFonts w:hint="eastAsia" w:ascii="宋体" w:hAnsi="宋体" w:eastAsia="宋体" w:cs="宋体"/>
                <w:kern w:val="0"/>
                <w:sz w:val="20"/>
                <w:szCs w:val="20"/>
                <w:lang w:bidi="ar"/>
              </w:rPr>
              <w:t>管理制度健全性</w:t>
            </w:r>
          </w:p>
        </w:tc>
        <w:tc>
          <w:tcPr>
            <w:tcW w:w="999" w:type="dxa"/>
            <w:tcBorders>
              <w:tl2br w:val="nil"/>
              <w:tr2bl w:val="nil"/>
            </w:tcBorders>
            <w:shd w:val="clear" w:color="auto" w:fill="auto"/>
            <w:vAlign w:val="center"/>
          </w:tcPr>
          <w:p w14:paraId="35E04343">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151" w:type="dxa"/>
            <w:tcBorders>
              <w:tl2br w:val="nil"/>
              <w:tr2bl w:val="nil"/>
            </w:tcBorders>
            <w:shd w:val="clear" w:color="auto" w:fill="auto"/>
            <w:vAlign w:val="center"/>
          </w:tcPr>
          <w:p w14:paraId="483F69D4">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健全</w:t>
            </w:r>
          </w:p>
        </w:tc>
        <w:tc>
          <w:tcPr>
            <w:tcW w:w="1170" w:type="dxa"/>
            <w:tcBorders>
              <w:tl2br w:val="nil"/>
              <w:tr2bl w:val="nil"/>
            </w:tcBorders>
            <w:shd w:val="clear" w:color="auto" w:fill="auto"/>
            <w:vAlign w:val="center"/>
          </w:tcPr>
          <w:p w14:paraId="01111D70">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健全</w:t>
            </w:r>
          </w:p>
        </w:tc>
        <w:tc>
          <w:tcPr>
            <w:tcW w:w="1048" w:type="dxa"/>
            <w:tcBorders>
              <w:tl2br w:val="nil"/>
              <w:tr2bl w:val="nil"/>
            </w:tcBorders>
            <w:shd w:val="clear" w:color="auto" w:fill="auto"/>
            <w:vAlign w:val="center"/>
          </w:tcPr>
          <w:p w14:paraId="3FF39A7A">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065" w:type="dxa"/>
            <w:tcBorders>
              <w:tl2br w:val="nil"/>
              <w:tr2bl w:val="nil"/>
            </w:tcBorders>
            <w:shd w:val="clear" w:color="auto" w:fill="auto"/>
            <w:vAlign w:val="center"/>
          </w:tcPr>
          <w:p w14:paraId="60AF39B9">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47B66E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118143EF">
            <w:pPr>
              <w:widowControl/>
              <w:spacing w:line="560" w:lineRule="exact"/>
              <w:jc w:val="center"/>
              <w:textAlignment w:val="center"/>
              <w:rPr>
                <w:rFonts w:hint="eastAsia" w:ascii="宋体" w:hAnsi="宋体" w:eastAsia="宋体" w:cs="宋体"/>
                <w:kern w:val="0"/>
                <w:sz w:val="20"/>
                <w:szCs w:val="20"/>
                <w:lang w:bidi="ar"/>
              </w:rPr>
            </w:pPr>
          </w:p>
        </w:tc>
        <w:tc>
          <w:tcPr>
            <w:tcW w:w="1836" w:type="dxa"/>
            <w:tcBorders>
              <w:tl2br w:val="nil"/>
              <w:tr2bl w:val="nil"/>
            </w:tcBorders>
            <w:vAlign w:val="center"/>
          </w:tcPr>
          <w:p w14:paraId="4336C464">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制度执行有效性</w:t>
            </w:r>
          </w:p>
        </w:tc>
        <w:tc>
          <w:tcPr>
            <w:tcW w:w="999" w:type="dxa"/>
            <w:tcBorders>
              <w:tl2br w:val="nil"/>
              <w:tr2bl w:val="nil"/>
            </w:tcBorders>
            <w:shd w:val="clear" w:color="auto" w:fill="auto"/>
            <w:vAlign w:val="center"/>
          </w:tcPr>
          <w:p w14:paraId="52E44FB9">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151" w:type="dxa"/>
            <w:tcBorders>
              <w:tl2br w:val="nil"/>
              <w:tr2bl w:val="nil"/>
            </w:tcBorders>
            <w:shd w:val="clear" w:color="auto" w:fill="auto"/>
            <w:vAlign w:val="center"/>
          </w:tcPr>
          <w:p w14:paraId="3DFE38E7">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有效</w:t>
            </w:r>
          </w:p>
        </w:tc>
        <w:tc>
          <w:tcPr>
            <w:tcW w:w="1170" w:type="dxa"/>
            <w:tcBorders>
              <w:tl2br w:val="nil"/>
              <w:tr2bl w:val="nil"/>
            </w:tcBorders>
            <w:shd w:val="clear" w:color="auto" w:fill="auto"/>
            <w:vAlign w:val="center"/>
          </w:tcPr>
          <w:p w14:paraId="5B672B50">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有效</w:t>
            </w:r>
          </w:p>
        </w:tc>
        <w:tc>
          <w:tcPr>
            <w:tcW w:w="1048" w:type="dxa"/>
            <w:tcBorders>
              <w:tl2br w:val="nil"/>
              <w:tr2bl w:val="nil"/>
            </w:tcBorders>
            <w:shd w:val="clear" w:color="auto" w:fill="auto"/>
            <w:vAlign w:val="center"/>
          </w:tcPr>
          <w:p w14:paraId="472BA5CF">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sz w:val="20"/>
                <w:szCs w:val="20"/>
              </w:rPr>
              <w:t>2.5</w:t>
            </w:r>
          </w:p>
        </w:tc>
        <w:tc>
          <w:tcPr>
            <w:tcW w:w="1065" w:type="dxa"/>
            <w:tcBorders>
              <w:tl2br w:val="nil"/>
              <w:tr2bl w:val="nil"/>
            </w:tcBorders>
            <w:shd w:val="clear" w:color="auto" w:fill="auto"/>
            <w:vAlign w:val="center"/>
          </w:tcPr>
          <w:p w14:paraId="30762D49">
            <w:pPr>
              <w:widowControl/>
              <w:spacing w:line="560" w:lineRule="exact"/>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0EE75B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704B8732">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4359B9BD">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采购管理规范性</w:t>
            </w:r>
          </w:p>
        </w:tc>
        <w:tc>
          <w:tcPr>
            <w:tcW w:w="999" w:type="dxa"/>
            <w:tcBorders>
              <w:tl2br w:val="nil"/>
              <w:tr2bl w:val="nil"/>
            </w:tcBorders>
            <w:shd w:val="clear" w:color="auto" w:fill="auto"/>
            <w:vAlign w:val="center"/>
          </w:tcPr>
          <w:p w14:paraId="2316BF67">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w:t>
            </w:r>
          </w:p>
        </w:tc>
        <w:tc>
          <w:tcPr>
            <w:tcW w:w="1151" w:type="dxa"/>
            <w:tcBorders>
              <w:tl2br w:val="nil"/>
              <w:tr2bl w:val="nil"/>
            </w:tcBorders>
            <w:shd w:val="clear" w:color="auto" w:fill="auto"/>
            <w:vAlign w:val="center"/>
          </w:tcPr>
          <w:p w14:paraId="2F555FF1">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规范</w:t>
            </w:r>
          </w:p>
        </w:tc>
        <w:tc>
          <w:tcPr>
            <w:tcW w:w="1170" w:type="dxa"/>
            <w:tcBorders>
              <w:tl2br w:val="nil"/>
              <w:tr2bl w:val="nil"/>
            </w:tcBorders>
            <w:shd w:val="clear" w:color="auto" w:fill="auto"/>
            <w:vAlign w:val="center"/>
          </w:tcPr>
          <w:p w14:paraId="12D259B8">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规范</w:t>
            </w:r>
          </w:p>
        </w:tc>
        <w:tc>
          <w:tcPr>
            <w:tcW w:w="1048" w:type="dxa"/>
            <w:tcBorders>
              <w:tl2br w:val="nil"/>
              <w:tr2bl w:val="nil"/>
            </w:tcBorders>
            <w:shd w:val="clear" w:color="auto" w:fill="auto"/>
            <w:vAlign w:val="center"/>
          </w:tcPr>
          <w:p w14:paraId="10C7C7FE">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w:t>
            </w:r>
          </w:p>
        </w:tc>
        <w:tc>
          <w:tcPr>
            <w:tcW w:w="1065" w:type="dxa"/>
            <w:tcBorders>
              <w:tl2br w:val="nil"/>
              <w:tr2bl w:val="nil"/>
            </w:tcBorders>
            <w:shd w:val="clear" w:color="auto" w:fill="auto"/>
            <w:vAlign w:val="center"/>
          </w:tcPr>
          <w:p w14:paraId="1B6FF23A">
            <w:pPr>
              <w:widowControl/>
              <w:spacing w:line="560" w:lineRule="exact"/>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r>
      <w:tr w14:paraId="3C7F3508">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201" w:type="dxa"/>
            <w:vMerge w:val="continue"/>
            <w:tcBorders>
              <w:tl2br w:val="nil"/>
              <w:tr2bl w:val="nil"/>
            </w:tcBorders>
            <w:vAlign w:val="center"/>
          </w:tcPr>
          <w:p w14:paraId="60B2D8E3">
            <w:pPr>
              <w:spacing w:line="560" w:lineRule="exact"/>
              <w:jc w:val="center"/>
              <w:rPr>
                <w:rFonts w:hint="eastAsia" w:ascii="宋体" w:hAnsi="宋体" w:eastAsia="宋体" w:cs="宋体"/>
                <w:b/>
                <w:bCs/>
                <w:sz w:val="20"/>
                <w:szCs w:val="20"/>
              </w:rPr>
            </w:pPr>
          </w:p>
        </w:tc>
        <w:tc>
          <w:tcPr>
            <w:tcW w:w="1836" w:type="dxa"/>
            <w:tcBorders>
              <w:tl2br w:val="nil"/>
              <w:tr2bl w:val="nil"/>
            </w:tcBorders>
            <w:vAlign w:val="center"/>
          </w:tcPr>
          <w:p w14:paraId="2ACD0060">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合同管理完备性</w:t>
            </w:r>
          </w:p>
        </w:tc>
        <w:tc>
          <w:tcPr>
            <w:tcW w:w="999" w:type="dxa"/>
            <w:tcBorders>
              <w:tl2br w:val="nil"/>
              <w:tr2bl w:val="nil"/>
            </w:tcBorders>
            <w:shd w:val="clear" w:color="auto" w:fill="auto"/>
            <w:vAlign w:val="center"/>
          </w:tcPr>
          <w:p w14:paraId="0902BB5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2.5</w:t>
            </w:r>
          </w:p>
        </w:tc>
        <w:tc>
          <w:tcPr>
            <w:tcW w:w="1151" w:type="dxa"/>
            <w:tcBorders>
              <w:tl2br w:val="nil"/>
              <w:tr2bl w:val="nil"/>
            </w:tcBorders>
            <w:shd w:val="clear" w:color="auto" w:fill="auto"/>
            <w:vAlign w:val="center"/>
          </w:tcPr>
          <w:p w14:paraId="63A407DC">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完备</w:t>
            </w:r>
          </w:p>
        </w:tc>
        <w:tc>
          <w:tcPr>
            <w:tcW w:w="1170" w:type="dxa"/>
            <w:tcBorders>
              <w:tl2br w:val="nil"/>
              <w:tr2bl w:val="nil"/>
            </w:tcBorders>
            <w:shd w:val="clear" w:color="auto" w:fill="auto"/>
            <w:vAlign w:val="center"/>
          </w:tcPr>
          <w:p w14:paraId="2A14D2BB">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较完备</w:t>
            </w:r>
          </w:p>
        </w:tc>
        <w:tc>
          <w:tcPr>
            <w:tcW w:w="1048" w:type="dxa"/>
            <w:tcBorders>
              <w:tl2br w:val="nil"/>
              <w:tr2bl w:val="nil"/>
            </w:tcBorders>
            <w:shd w:val="clear" w:color="auto" w:fill="auto"/>
            <w:vAlign w:val="center"/>
          </w:tcPr>
          <w:p w14:paraId="5F973F8E">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1.25</w:t>
            </w:r>
          </w:p>
        </w:tc>
        <w:tc>
          <w:tcPr>
            <w:tcW w:w="1065" w:type="dxa"/>
            <w:tcBorders>
              <w:tl2br w:val="nil"/>
              <w:tr2bl w:val="nil"/>
            </w:tcBorders>
            <w:shd w:val="clear" w:color="auto" w:fill="auto"/>
            <w:vAlign w:val="center"/>
          </w:tcPr>
          <w:p w14:paraId="36B00EC2">
            <w:pPr>
              <w:widowControl/>
              <w:spacing w:line="560" w:lineRule="exact"/>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50.00%</w:t>
            </w:r>
          </w:p>
        </w:tc>
      </w:tr>
      <w:tr w14:paraId="033B808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037" w:type="dxa"/>
            <w:gridSpan w:val="2"/>
            <w:tcBorders>
              <w:tl2br w:val="nil"/>
              <w:tr2bl w:val="nil"/>
            </w:tcBorders>
            <w:shd w:val="clear" w:color="auto" w:fill="BDD6EE" w:themeFill="accent1" w:themeFillTint="66"/>
            <w:vAlign w:val="center"/>
          </w:tcPr>
          <w:p w14:paraId="71D79ABC">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999" w:type="dxa"/>
            <w:tcBorders>
              <w:tl2br w:val="nil"/>
              <w:tr2bl w:val="nil"/>
            </w:tcBorders>
            <w:shd w:val="clear" w:color="auto" w:fill="BDD6EE" w:themeFill="accent1" w:themeFillTint="66"/>
            <w:vAlign w:val="center"/>
          </w:tcPr>
          <w:p w14:paraId="38E588FC">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21</w:t>
            </w:r>
          </w:p>
        </w:tc>
        <w:tc>
          <w:tcPr>
            <w:tcW w:w="1151" w:type="dxa"/>
            <w:tcBorders>
              <w:tl2br w:val="nil"/>
              <w:tr2bl w:val="nil"/>
            </w:tcBorders>
            <w:shd w:val="clear" w:color="auto" w:fill="BDD6EE" w:themeFill="accent1" w:themeFillTint="66"/>
            <w:vAlign w:val="center"/>
          </w:tcPr>
          <w:p w14:paraId="7C1A142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w:t>
            </w:r>
          </w:p>
        </w:tc>
        <w:tc>
          <w:tcPr>
            <w:tcW w:w="1170" w:type="dxa"/>
            <w:tcBorders>
              <w:tl2br w:val="nil"/>
              <w:tr2bl w:val="nil"/>
            </w:tcBorders>
            <w:shd w:val="clear" w:color="auto" w:fill="BDD6EE" w:themeFill="accent1" w:themeFillTint="66"/>
            <w:vAlign w:val="center"/>
          </w:tcPr>
          <w:p w14:paraId="1B131381">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w:t>
            </w:r>
          </w:p>
        </w:tc>
        <w:tc>
          <w:tcPr>
            <w:tcW w:w="1048" w:type="dxa"/>
            <w:tcBorders>
              <w:tl2br w:val="nil"/>
              <w:tr2bl w:val="nil"/>
            </w:tcBorders>
            <w:shd w:val="clear" w:color="auto" w:fill="BDD6EE" w:themeFill="accent1" w:themeFillTint="66"/>
            <w:vAlign w:val="center"/>
          </w:tcPr>
          <w:p w14:paraId="7BC02A5E">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16.25</w:t>
            </w:r>
          </w:p>
        </w:tc>
        <w:tc>
          <w:tcPr>
            <w:tcW w:w="1065" w:type="dxa"/>
            <w:tcBorders>
              <w:tl2br w:val="nil"/>
              <w:tr2bl w:val="nil"/>
            </w:tcBorders>
            <w:shd w:val="clear" w:color="auto" w:fill="BDD6EE" w:themeFill="accent1" w:themeFillTint="66"/>
            <w:vAlign w:val="center"/>
          </w:tcPr>
          <w:p w14:paraId="0E566E69">
            <w:pPr>
              <w:widowControl/>
              <w:spacing w:line="560" w:lineRule="exact"/>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92.86%</w:t>
            </w:r>
          </w:p>
        </w:tc>
      </w:tr>
      <w:bookmarkEnd w:id="131"/>
    </w:tbl>
    <w:p w14:paraId="7F85B683">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1.资金管理</w:t>
      </w:r>
    </w:p>
    <w:p w14:paraId="757396B9">
      <w:pPr>
        <w:pStyle w:val="49"/>
        <w:spacing w:line="560" w:lineRule="exact"/>
        <w:rPr>
          <w:rFonts w:hint="eastAsia"/>
        </w:rPr>
      </w:pPr>
      <w:r>
        <w:rPr>
          <w:rFonts w:hint="eastAsia"/>
        </w:rPr>
        <w:t>（1）资金到位率</w:t>
      </w:r>
    </w:p>
    <w:p w14:paraId="3A283ECD">
      <w:pPr>
        <w:pStyle w:val="49"/>
        <w:spacing w:line="560" w:lineRule="exact"/>
        <w:rPr>
          <w:rFonts w:hint="eastAsia"/>
        </w:rPr>
      </w:pPr>
      <w:r>
        <w:rPr>
          <w:rFonts w:hint="eastAsia"/>
        </w:rPr>
        <w:t>资金到位率：指标分值2.5分，评价得分2.5分。甘肃省法官学院少数民族法制教学研究经费项目资金随</w:t>
      </w:r>
      <w:r>
        <w:rPr>
          <w:rFonts w:hint="eastAsia"/>
          <w:lang w:val="en-US" w:eastAsia="zh-CN"/>
        </w:rPr>
        <w:t>甘肃省法官学院</w:t>
      </w:r>
      <w:r>
        <w:rPr>
          <w:rFonts w:hint="eastAsia"/>
        </w:rPr>
        <w:t>部门预算一同下达，截至2023年12月31日少数民族法制教学研究经费共到位100.00万元，专项资金及时足额到位，到位率100.00%。</w:t>
      </w:r>
    </w:p>
    <w:p w14:paraId="3300AAC8">
      <w:pPr>
        <w:pStyle w:val="49"/>
        <w:spacing w:line="560" w:lineRule="exact"/>
        <w:rPr>
          <w:rFonts w:hint="eastAsia"/>
        </w:rPr>
      </w:pPr>
      <w:r>
        <w:rPr>
          <w:rFonts w:hint="eastAsia"/>
        </w:rPr>
        <w:t>（2）预算执行率</w:t>
      </w:r>
    </w:p>
    <w:p w14:paraId="118D1C6C">
      <w:pPr>
        <w:pStyle w:val="49"/>
        <w:spacing w:line="560" w:lineRule="exact"/>
        <w:rPr>
          <w:rFonts w:hint="eastAsia"/>
        </w:rPr>
      </w:pPr>
      <w:r>
        <w:rPr>
          <w:rFonts w:hint="eastAsia"/>
        </w:rPr>
        <w:t>预算执行率：指标分值2.5分，评价得分2.5分。</w:t>
      </w:r>
      <w:bookmarkStart w:id="132" w:name="_Hlk174200770"/>
      <w:r>
        <w:rPr>
          <w:rFonts w:hint="eastAsia"/>
        </w:rPr>
        <w:t>少数民族法制教学研究经费项目全年预算数115.16万元，全年执行数115.16万元，</w:t>
      </w:r>
      <w:r>
        <w:rPr>
          <w:rFonts w:hint="eastAsia"/>
          <w:lang w:val="en-US" w:eastAsia="zh-CN"/>
        </w:rPr>
        <w:t>无结转结余资金</w:t>
      </w:r>
      <w:r>
        <w:rPr>
          <w:rFonts w:hint="eastAsia"/>
        </w:rPr>
        <w:t>，专项经费预算执行率100.00%。</w:t>
      </w:r>
    </w:p>
    <w:bookmarkEnd w:id="132"/>
    <w:p w14:paraId="526A7CF1">
      <w:pPr>
        <w:pStyle w:val="49"/>
        <w:spacing w:line="560" w:lineRule="exact"/>
        <w:rPr>
          <w:rFonts w:hint="eastAsia"/>
        </w:rPr>
      </w:pPr>
      <w:r>
        <w:rPr>
          <w:rFonts w:hint="eastAsia"/>
        </w:rPr>
        <w:t>（3）资金使用合规性</w:t>
      </w:r>
    </w:p>
    <w:p w14:paraId="5FB18146">
      <w:pPr>
        <w:pStyle w:val="49"/>
        <w:spacing w:line="560" w:lineRule="exact"/>
        <w:rPr>
          <w:rFonts w:hint="eastAsia"/>
        </w:rPr>
      </w:pPr>
      <w:r>
        <w:rPr>
          <w:rFonts w:hint="eastAsia"/>
        </w:rPr>
        <w:t>资金使用合规性：指标分值2.5分，评价得分2.5分。评价组通过查阅国家及地方财务法规及文件办法，对比分析项目实施单位财务制度办法，经查看财务凭证及附件，比较分析资金落实情况、资金使用情况及财务监控情况。评价认为，专项资金的使用基本符合国家财经法规和财务管理制度以及《甘肃省法官学院财务管理办法</w:t>
      </w:r>
      <w:r>
        <w:rPr>
          <w:rFonts w:hint="eastAsia"/>
        </w:rPr>
        <w:t>》等制度要求，资金支出的审批程序完整，符合项目预算批复或合同规定的用途，未发现截留、虚列支出情况，按规定实施政府采购和政府购买服务。</w:t>
      </w:r>
    </w:p>
    <w:p w14:paraId="73BC0D63">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2.组织实施</w:t>
      </w:r>
    </w:p>
    <w:p w14:paraId="7871CDE5">
      <w:pPr>
        <w:pStyle w:val="49"/>
        <w:spacing w:line="560" w:lineRule="exact"/>
        <w:rPr>
          <w:rFonts w:hint="eastAsia"/>
        </w:rPr>
      </w:pPr>
      <w:r>
        <w:rPr>
          <w:rFonts w:hint="eastAsia"/>
        </w:rPr>
        <w:t>（1）管理制度健全性</w:t>
      </w:r>
    </w:p>
    <w:p w14:paraId="48B90512">
      <w:pPr>
        <w:pStyle w:val="49"/>
        <w:spacing w:line="560" w:lineRule="exact"/>
        <w:rPr>
          <w:rFonts w:hint="eastAsia"/>
        </w:rPr>
      </w:pPr>
      <w:r>
        <w:rPr>
          <w:rFonts w:hint="eastAsia"/>
        </w:rPr>
        <w:t>管理制度健全性：指标分值2.5分，评价得分2.5分。为加强和规范省级预算项目经费管理，提高项目工作质量和资金效益，甘肃省高级人民法院印发的《2019-2023年全省法院教育培训规划》（甘高法〔2019〕273号），明确了少数民族法制教学研究经费主要用于打造中华民族共同体法治文化“四个基地”、加强少数民族法治文化建设，全面推进依法治国战略相关费用支出。《甘肃省高级人民法院系统财物统管制度汇编》《甘肃省法官学院教学科研激励机制》《甘肃省法官学院教研室管理制度》《甘肃省法官学院财务管理制度》《甘肃省法官学院因公出差管理办法》对于各项工作的实施提供了强有力的政策制度支撑。评价认为甘肃省法官学院制定了适用于本项目的财务管理制度及业务管理制度，且符合相关财务及业务制度的规定，制度健全。</w:t>
      </w:r>
    </w:p>
    <w:p w14:paraId="369F846B">
      <w:pPr>
        <w:pStyle w:val="49"/>
        <w:spacing w:line="560" w:lineRule="exact"/>
        <w:rPr>
          <w:rFonts w:hint="eastAsia"/>
        </w:rPr>
      </w:pPr>
      <w:r>
        <w:rPr>
          <w:rFonts w:hint="eastAsia"/>
        </w:rPr>
        <w:t>（2）制度执行有效性</w:t>
      </w:r>
    </w:p>
    <w:p w14:paraId="4A23C4A8">
      <w:pPr>
        <w:pStyle w:val="49"/>
        <w:spacing w:line="560" w:lineRule="exact"/>
        <w:rPr>
          <w:rFonts w:hint="eastAsia"/>
        </w:rPr>
      </w:pPr>
      <w:r>
        <w:rPr>
          <w:rFonts w:hint="eastAsia"/>
        </w:rPr>
        <w:t>制度执行有效性：指标分值2.5分，评价得分2.5分。项目的执行遵守相关法律法规和相关管理规定，严格按照项目计划实施，项目资料齐全并及时归档，项目实施过程中，基本能够严格按照制度管理进行资金申请和下达、使用、监督。资金发放符合相关法律法规的管理规定，符合制度执行有效性要求，项目所需手续符合要求。评价认为，制度执行总体有效。</w:t>
      </w:r>
    </w:p>
    <w:p w14:paraId="36C1C5DA">
      <w:pPr>
        <w:pStyle w:val="49"/>
        <w:spacing w:line="560" w:lineRule="exact"/>
        <w:rPr>
          <w:rFonts w:hint="eastAsia"/>
        </w:rPr>
      </w:pPr>
      <w:r>
        <w:rPr>
          <w:rFonts w:hint="eastAsia"/>
        </w:rPr>
        <w:t>（3）采购管理规范性</w:t>
      </w:r>
    </w:p>
    <w:p w14:paraId="2301B82D">
      <w:pPr>
        <w:pStyle w:val="49"/>
        <w:spacing w:line="560" w:lineRule="exact"/>
        <w:rPr>
          <w:rFonts w:hint="eastAsia"/>
        </w:rPr>
      </w:pPr>
      <w:r>
        <w:rPr>
          <w:rFonts w:hint="eastAsia"/>
        </w:rPr>
        <w:t>采购管理规范性：指标分值3分，评价得分3分。经核查采购合同、采购工作会议记录等资料，甘肃省法官学院采购方式符合《甘肃省法官学院采购管理办法》等</w:t>
      </w:r>
      <w:r>
        <w:rPr>
          <w:rFonts w:hint="eastAsia"/>
          <w:lang w:val="en-US" w:eastAsia="zh-CN"/>
        </w:rPr>
        <w:t>制度</w:t>
      </w:r>
      <w:r>
        <w:rPr>
          <w:rFonts w:hint="eastAsia"/>
        </w:rPr>
        <w:t>要求。</w:t>
      </w:r>
    </w:p>
    <w:p w14:paraId="7DE28DBF">
      <w:pPr>
        <w:pStyle w:val="49"/>
        <w:spacing w:line="560" w:lineRule="exact"/>
        <w:rPr>
          <w:rFonts w:hint="eastAsia"/>
        </w:rPr>
      </w:pPr>
      <w:r>
        <w:rPr>
          <w:rFonts w:hint="eastAsia"/>
        </w:rPr>
        <w:t>（4）合同管理完备性</w:t>
      </w:r>
    </w:p>
    <w:p w14:paraId="468C8BBC">
      <w:pPr>
        <w:pStyle w:val="49"/>
        <w:spacing w:line="560" w:lineRule="exact"/>
        <w:rPr>
          <w:rFonts w:hint="eastAsia"/>
        </w:rPr>
      </w:pPr>
      <w:r>
        <w:rPr>
          <w:rFonts w:hint="eastAsia"/>
        </w:rPr>
        <w:t>合同管理完备性指标分值2.5分，评价得分1.25分。经查验该项目签订的各项合同，合同中有明确、清晰、完整的质量标准、付款方式和履约期限，且合同由专人保管，资料管理完备。但个别合同服务起始日期早于合同签订日期，存在先开工后补签合同情况，扣1.25分。</w:t>
      </w:r>
    </w:p>
    <w:p w14:paraId="69362FE9">
      <w:pPr>
        <w:pStyle w:val="40"/>
        <w:ind w:firstLine="643"/>
        <w:rPr>
          <w:rFonts w:hint="eastAsia"/>
        </w:rPr>
      </w:pPr>
      <w:bookmarkStart w:id="133" w:name="_Toc174529603"/>
      <w:bookmarkStart w:id="134" w:name="_Toc174276624"/>
      <w:bookmarkStart w:id="135" w:name="_Toc3677"/>
      <w:bookmarkStart w:id="136" w:name="_Toc20113"/>
      <w:r>
        <w:rPr>
          <w:rFonts w:hint="eastAsia"/>
        </w:rPr>
        <w:t>（三）项目成本情况</w:t>
      </w:r>
      <w:bookmarkEnd w:id="133"/>
      <w:bookmarkEnd w:id="134"/>
    </w:p>
    <w:p w14:paraId="25F77914">
      <w:pPr>
        <w:pStyle w:val="49"/>
        <w:spacing w:line="560" w:lineRule="exact"/>
        <w:rPr>
          <w:rFonts w:hint="eastAsia"/>
        </w:rPr>
      </w:pPr>
      <w:r>
        <w:rPr>
          <w:rFonts w:hint="eastAsia"/>
        </w:rPr>
        <w:t>项目成本指标包括经济成本指标一个二级指标，下设1个三级指标，指标分值10分，评价得分10分，得分率100.00%。</w:t>
      </w:r>
    </w:p>
    <w:tbl>
      <w:tblPr>
        <w:tblStyle w:val="19"/>
        <w:tblW w:w="864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14"/>
        <w:gridCol w:w="2217"/>
        <w:gridCol w:w="831"/>
        <w:gridCol w:w="1225"/>
        <w:gridCol w:w="1204"/>
        <w:gridCol w:w="946"/>
        <w:gridCol w:w="1110"/>
      </w:tblGrid>
      <w:tr w14:paraId="277D9C7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114" w:type="dxa"/>
            <w:tcBorders>
              <w:tl2br w:val="nil"/>
              <w:tr2bl w:val="nil"/>
            </w:tcBorders>
            <w:shd w:val="clear" w:color="auto" w:fill="BDD6EE" w:themeFill="accent1" w:themeFillTint="66"/>
            <w:vAlign w:val="center"/>
          </w:tcPr>
          <w:p w14:paraId="3EDD50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bookmarkStart w:id="137" w:name="_Hlk174367224"/>
            <w:r>
              <w:rPr>
                <w:rFonts w:hint="eastAsia" w:ascii="宋体" w:hAnsi="宋体" w:eastAsia="宋体" w:cs="宋体"/>
                <w:b/>
                <w:bCs/>
                <w:kern w:val="0"/>
                <w:sz w:val="20"/>
                <w:szCs w:val="20"/>
                <w:lang w:bidi="ar"/>
              </w:rPr>
              <w:t>二级指标</w:t>
            </w:r>
          </w:p>
        </w:tc>
        <w:tc>
          <w:tcPr>
            <w:tcW w:w="2217" w:type="dxa"/>
            <w:tcBorders>
              <w:tl2br w:val="nil"/>
              <w:tr2bl w:val="nil"/>
            </w:tcBorders>
            <w:shd w:val="clear" w:color="auto" w:fill="BDD6EE" w:themeFill="accent1" w:themeFillTint="66"/>
            <w:vAlign w:val="center"/>
          </w:tcPr>
          <w:p w14:paraId="4405F06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31" w:type="dxa"/>
            <w:tcBorders>
              <w:tl2br w:val="nil"/>
              <w:tr2bl w:val="nil"/>
            </w:tcBorders>
            <w:shd w:val="clear" w:color="auto" w:fill="BDD6EE" w:themeFill="accent1" w:themeFillTint="66"/>
            <w:vAlign w:val="center"/>
          </w:tcPr>
          <w:p w14:paraId="48CC9AC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25" w:type="dxa"/>
            <w:tcBorders>
              <w:tl2br w:val="nil"/>
              <w:tr2bl w:val="nil"/>
            </w:tcBorders>
            <w:shd w:val="clear" w:color="auto" w:fill="BDD6EE" w:themeFill="accent1" w:themeFillTint="66"/>
            <w:vAlign w:val="center"/>
          </w:tcPr>
          <w:p w14:paraId="6D1419E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204" w:type="dxa"/>
            <w:tcBorders>
              <w:tl2br w:val="nil"/>
              <w:tr2bl w:val="nil"/>
            </w:tcBorders>
            <w:shd w:val="clear" w:color="auto" w:fill="BDD6EE" w:themeFill="accent1" w:themeFillTint="66"/>
            <w:vAlign w:val="center"/>
          </w:tcPr>
          <w:p w14:paraId="442A7D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946" w:type="dxa"/>
            <w:tcBorders>
              <w:tl2br w:val="nil"/>
              <w:tr2bl w:val="nil"/>
            </w:tcBorders>
            <w:shd w:val="clear" w:color="auto" w:fill="BDD6EE" w:themeFill="accent1" w:themeFillTint="66"/>
            <w:vAlign w:val="center"/>
          </w:tcPr>
          <w:p w14:paraId="34097D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1110" w:type="dxa"/>
            <w:tcBorders>
              <w:tl2br w:val="nil"/>
              <w:tr2bl w:val="nil"/>
            </w:tcBorders>
            <w:shd w:val="clear" w:color="auto" w:fill="BDD6EE" w:themeFill="accent1" w:themeFillTint="66"/>
            <w:vAlign w:val="center"/>
          </w:tcPr>
          <w:p w14:paraId="07A186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67D9763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tcBorders>
              <w:tl2br w:val="nil"/>
              <w:tr2bl w:val="nil"/>
            </w:tcBorders>
            <w:vAlign w:val="center"/>
          </w:tcPr>
          <w:p w14:paraId="1BF2450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经济成本指标</w:t>
            </w:r>
          </w:p>
        </w:tc>
        <w:tc>
          <w:tcPr>
            <w:tcW w:w="2217" w:type="dxa"/>
            <w:tcBorders>
              <w:tl2br w:val="nil"/>
              <w:tr2bl w:val="nil"/>
            </w:tcBorders>
            <w:shd w:val="clear" w:color="auto" w:fill="auto"/>
            <w:vAlign w:val="center"/>
          </w:tcPr>
          <w:p w14:paraId="486EC6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成本控制情况</w:t>
            </w:r>
          </w:p>
        </w:tc>
        <w:tc>
          <w:tcPr>
            <w:tcW w:w="831" w:type="dxa"/>
            <w:tcBorders>
              <w:tl2br w:val="nil"/>
              <w:tr2bl w:val="nil"/>
            </w:tcBorders>
            <w:shd w:val="clear" w:color="auto" w:fill="auto"/>
            <w:vAlign w:val="center"/>
          </w:tcPr>
          <w:p w14:paraId="3C024B0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10</w:t>
            </w:r>
          </w:p>
        </w:tc>
        <w:tc>
          <w:tcPr>
            <w:tcW w:w="1225" w:type="dxa"/>
            <w:tcBorders>
              <w:tl2br w:val="nil"/>
              <w:tr2bl w:val="nil"/>
            </w:tcBorders>
            <w:shd w:val="clear" w:color="auto" w:fill="auto"/>
            <w:vAlign w:val="center"/>
          </w:tcPr>
          <w:p w14:paraId="75FE65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预算内</w:t>
            </w:r>
          </w:p>
        </w:tc>
        <w:tc>
          <w:tcPr>
            <w:tcW w:w="1204" w:type="dxa"/>
            <w:tcBorders>
              <w:tl2br w:val="nil"/>
              <w:tr2bl w:val="nil"/>
            </w:tcBorders>
            <w:shd w:val="clear" w:color="auto" w:fill="auto"/>
            <w:vAlign w:val="center"/>
          </w:tcPr>
          <w:p w14:paraId="54671E5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预算内</w:t>
            </w:r>
          </w:p>
        </w:tc>
        <w:tc>
          <w:tcPr>
            <w:tcW w:w="946" w:type="dxa"/>
            <w:tcBorders>
              <w:tl2br w:val="nil"/>
              <w:tr2bl w:val="nil"/>
            </w:tcBorders>
            <w:shd w:val="clear" w:color="auto" w:fill="auto"/>
            <w:vAlign w:val="center"/>
          </w:tcPr>
          <w:p w14:paraId="16D6891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10</w:t>
            </w:r>
          </w:p>
        </w:tc>
        <w:tc>
          <w:tcPr>
            <w:tcW w:w="1110" w:type="dxa"/>
            <w:tcBorders>
              <w:tl2br w:val="nil"/>
              <w:tr2bl w:val="nil"/>
            </w:tcBorders>
            <w:shd w:val="clear" w:color="auto" w:fill="auto"/>
            <w:vAlign w:val="center"/>
          </w:tcPr>
          <w:p w14:paraId="450E00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color w:val="000000"/>
                <w:kern w:val="0"/>
                <w:sz w:val="20"/>
                <w:szCs w:val="20"/>
                <w:lang w:bidi="ar"/>
              </w:rPr>
              <w:t>100.00%</w:t>
            </w:r>
          </w:p>
        </w:tc>
      </w:tr>
      <w:tr w14:paraId="7C039AA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331" w:type="dxa"/>
            <w:gridSpan w:val="2"/>
            <w:tcBorders>
              <w:tl2br w:val="nil"/>
              <w:tr2bl w:val="nil"/>
            </w:tcBorders>
            <w:shd w:val="clear" w:color="auto" w:fill="BDD6EE" w:themeFill="accent1" w:themeFillTint="66"/>
            <w:vAlign w:val="center"/>
          </w:tcPr>
          <w:p w14:paraId="668200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31" w:type="dxa"/>
            <w:tcBorders>
              <w:tl2br w:val="nil"/>
              <w:tr2bl w:val="nil"/>
            </w:tcBorders>
            <w:shd w:val="clear" w:color="auto" w:fill="BDD6EE" w:themeFill="accent1" w:themeFillTint="66"/>
            <w:vAlign w:val="center"/>
          </w:tcPr>
          <w:p w14:paraId="75A1082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w:t>
            </w:r>
          </w:p>
        </w:tc>
        <w:tc>
          <w:tcPr>
            <w:tcW w:w="1225" w:type="dxa"/>
            <w:tcBorders>
              <w:tl2br w:val="nil"/>
              <w:tr2bl w:val="nil"/>
            </w:tcBorders>
            <w:shd w:val="clear" w:color="auto" w:fill="BDD6EE" w:themeFill="accent1" w:themeFillTint="66"/>
            <w:vAlign w:val="center"/>
          </w:tcPr>
          <w:p w14:paraId="648E65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1204" w:type="dxa"/>
            <w:tcBorders>
              <w:tl2br w:val="nil"/>
              <w:tr2bl w:val="nil"/>
            </w:tcBorders>
            <w:shd w:val="clear" w:color="auto" w:fill="BDD6EE" w:themeFill="accent1" w:themeFillTint="66"/>
            <w:vAlign w:val="center"/>
          </w:tcPr>
          <w:p w14:paraId="2339F7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w:t>
            </w:r>
          </w:p>
        </w:tc>
        <w:tc>
          <w:tcPr>
            <w:tcW w:w="946" w:type="dxa"/>
            <w:tcBorders>
              <w:tl2br w:val="nil"/>
              <w:tr2bl w:val="nil"/>
            </w:tcBorders>
            <w:shd w:val="clear" w:color="auto" w:fill="BDD6EE" w:themeFill="accent1" w:themeFillTint="66"/>
            <w:vAlign w:val="center"/>
          </w:tcPr>
          <w:p w14:paraId="14CA87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10</w:t>
            </w:r>
          </w:p>
        </w:tc>
        <w:tc>
          <w:tcPr>
            <w:tcW w:w="1110" w:type="dxa"/>
            <w:tcBorders>
              <w:tl2br w:val="nil"/>
              <w:tr2bl w:val="nil"/>
            </w:tcBorders>
            <w:shd w:val="clear" w:color="auto" w:fill="BDD6EE" w:themeFill="accent1" w:themeFillTint="66"/>
            <w:vAlign w:val="center"/>
          </w:tcPr>
          <w:p w14:paraId="4407197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color w:val="000000"/>
                <w:kern w:val="0"/>
                <w:sz w:val="20"/>
                <w:szCs w:val="20"/>
                <w:lang w:bidi="ar"/>
              </w:rPr>
              <w:t>100.00%</w:t>
            </w:r>
          </w:p>
        </w:tc>
      </w:tr>
      <w:bookmarkEnd w:id="137"/>
    </w:tbl>
    <w:p w14:paraId="675127CA">
      <w:pPr>
        <w:pStyle w:val="49"/>
        <w:spacing w:line="560" w:lineRule="exact"/>
        <w:rPr>
          <w:rFonts w:hint="eastAsia"/>
        </w:rPr>
      </w:pPr>
      <w:r>
        <w:rPr>
          <w:rFonts w:hint="eastAsia"/>
        </w:rPr>
        <w:t>成本控制情况：甘肃省法官学院积极响应国家相关政策，坚持节约资金的原则，严格控制项目预算金额，在提高服务质量水平的同时，降低成本开支，少数民族法制教学研究经费项目成本控制在预算范围以内，未超预算。</w:t>
      </w:r>
    </w:p>
    <w:p w14:paraId="79543965">
      <w:pPr>
        <w:pStyle w:val="8"/>
        <w:overflowPunct w:val="0"/>
        <w:spacing w:line="560" w:lineRule="exact"/>
        <w:ind w:firstLine="643" w:firstLineChars="200"/>
        <w:outlineLvl w:val="1"/>
        <w:rPr>
          <w:rFonts w:hint="eastAsia" w:ascii="楷体" w:hAnsi="楷体" w:eastAsia="楷体" w:cs="楷体"/>
          <w:b/>
          <w:bCs/>
        </w:rPr>
      </w:pPr>
      <w:bookmarkStart w:id="138" w:name="_Toc174529604"/>
      <w:r>
        <w:rPr>
          <w:rFonts w:hint="eastAsia" w:ascii="楷体" w:hAnsi="楷体" w:eastAsia="楷体" w:cs="楷体"/>
          <w:b/>
          <w:bCs/>
        </w:rPr>
        <w:t>（四）项目产出情况</w:t>
      </w:r>
      <w:bookmarkEnd w:id="135"/>
      <w:bookmarkEnd w:id="136"/>
      <w:bookmarkEnd w:id="138"/>
    </w:p>
    <w:p w14:paraId="5A233FB2">
      <w:pPr>
        <w:pStyle w:val="49"/>
        <w:spacing w:line="560" w:lineRule="exact"/>
        <w:rPr>
          <w:rFonts w:hint="eastAsia"/>
        </w:rPr>
      </w:pPr>
      <w:r>
        <w:rPr>
          <w:rFonts w:hint="eastAsia"/>
        </w:rPr>
        <w:t>项目产出指标包括产出数量、产出质量、产出时效三个二级指标，指标分值32分，评价得分32分，得分率100.00%。</w:t>
      </w:r>
    </w:p>
    <w:tbl>
      <w:tblPr>
        <w:tblStyle w:val="19"/>
        <w:tblW w:w="8647"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14"/>
        <w:gridCol w:w="2217"/>
        <w:gridCol w:w="831"/>
        <w:gridCol w:w="1225"/>
        <w:gridCol w:w="1204"/>
        <w:gridCol w:w="946"/>
        <w:gridCol w:w="1110"/>
      </w:tblGrid>
      <w:tr w14:paraId="0A287CA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114" w:type="dxa"/>
            <w:tcBorders>
              <w:tl2br w:val="nil"/>
              <w:tr2bl w:val="nil"/>
            </w:tcBorders>
            <w:shd w:val="clear" w:color="auto" w:fill="BDD6EE" w:themeFill="accent1" w:themeFillTint="66"/>
            <w:vAlign w:val="center"/>
          </w:tcPr>
          <w:p w14:paraId="20DE00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二级指标</w:t>
            </w:r>
          </w:p>
        </w:tc>
        <w:tc>
          <w:tcPr>
            <w:tcW w:w="2217" w:type="dxa"/>
            <w:tcBorders>
              <w:tl2br w:val="nil"/>
              <w:tr2bl w:val="nil"/>
            </w:tcBorders>
            <w:shd w:val="clear" w:color="auto" w:fill="BDD6EE" w:themeFill="accent1" w:themeFillTint="66"/>
            <w:vAlign w:val="center"/>
          </w:tcPr>
          <w:p w14:paraId="7DD996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三级指标</w:t>
            </w:r>
          </w:p>
        </w:tc>
        <w:tc>
          <w:tcPr>
            <w:tcW w:w="831" w:type="dxa"/>
            <w:tcBorders>
              <w:tl2br w:val="nil"/>
              <w:tr2bl w:val="nil"/>
            </w:tcBorders>
            <w:shd w:val="clear" w:color="auto" w:fill="BDD6EE" w:themeFill="accent1" w:themeFillTint="66"/>
            <w:vAlign w:val="center"/>
          </w:tcPr>
          <w:p w14:paraId="6B63FAD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分值</w:t>
            </w:r>
          </w:p>
        </w:tc>
        <w:tc>
          <w:tcPr>
            <w:tcW w:w="1225" w:type="dxa"/>
            <w:tcBorders>
              <w:tl2br w:val="nil"/>
              <w:tr2bl w:val="nil"/>
            </w:tcBorders>
            <w:shd w:val="clear" w:color="auto" w:fill="BDD6EE" w:themeFill="accent1" w:themeFillTint="66"/>
            <w:vAlign w:val="center"/>
          </w:tcPr>
          <w:p w14:paraId="19C089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目标值</w:t>
            </w:r>
          </w:p>
        </w:tc>
        <w:tc>
          <w:tcPr>
            <w:tcW w:w="1204" w:type="dxa"/>
            <w:tcBorders>
              <w:tl2br w:val="nil"/>
              <w:tr2bl w:val="nil"/>
            </w:tcBorders>
            <w:shd w:val="clear" w:color="auto" w:fill="BDD6EE" w:themeFill="accent1" w:themeFillTint="66"/>
            <w:vAlign w:val="center"/>
          </w:tcPr>
          <w:p w14:paraId="256DF0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业绩值</w:t>
            </w:r>
          </w:p>
        </w:tc>
        <w:tc>
          <w:tcPr>
            <w:tcW w:w="946" w:type="dxa"/>
            <w:tcBorders>
              <w:tl2br w:val="nil"/>
              <w:tr2bl w:val="nil"/>
            </w:tcBorders>
            <w:shd w:val="clear" w:color="auto" w:fill="BDD6EE" w:themeFill="accent1" w:themeFillTint="66"/>
            <w:vAlign w:val="center"/>
          </w:tcPr>
          <w:p w14:paraId="2C2715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得分</w:t>
            </w:r>
          </w:p>
        </w:tc>
        <w:tc>
          <w:tcPr>
            <w:tcW w:w="1110" w:type="dxa"/>
            <w:tcBorders>
              <w:tl2br w:val="nil"/>
              <w:tr2bl w:val="nil"/>
            </w:tcBorders>
            <w:shd w:val="clear" w:color="auto" w:fill="BDD6EE" w:themeFill="accent1" w:themeFillTint="66"/>
            <w:vAlign w:val="center"/>
          </w:tcPr>
          <w:p w14:paraId="2A51753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得分率</w:t>
            </w:r>
          </w:p>
        </w:tc>
      </w:tr>
      <w:tr w14:paraId="68E4F800">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restart"/>
            <w:tcBorders>
              <w:tl2br w:val="nil"/>
              <w:tr2bl w:val="nil"/>
            </w:tcBorders>
            <w:vAlign w:val="center"/>
          </w:tcPr>
          <w:p w14:paraId="087628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数量指标</w:t>
            </w:r>
          </w:p>
        </w:tc>
        <w:tc>
          <w:tcPr>
            <w:tcW w:w="2217" w:type="dxa"/>
            <w:tcBorders>
              <w:tl2br w:val="nil"/>
              <w:tr2bl w:val="nil"/>
            </w:tcBorders>
            <w:shd w:val="clear" w:color="auto" w:fill="auto"/>
            <w:vAlign w:val="center"/>
          </w:tcPr>
          <w:p w14:paraId="3411463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撰写专题调研报告和论文篇数</w:t>
            </w:r>
          </w:p>
        </w:tc>
        <w:tc>
          <w:tcPr>
            <w:tcW w:w="831" w:type="dxa"/>
            <w:tcBorders>
              <w:tl2br w:val="nil"/>
              <w:tr2bl w:val="nil"/>
            </w:tcBorders>
            <w:shd w:val="clear" w:color="auto" w:fill="auto"/>
            <w:vAlign w:val="center"/>
          </w:tcPr>
          <w:p w14:paraId="0F7EBF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7AC8C55B">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=8篇</w:t>
            </w:r>
          </w:p>
        </w:tc>
        <w:tc>
          <w:tcPr>
            <w:tcW w:w="1204" w:type="dxa"/>
            <w:tcBorders>
              <w:tl2br w:val="nil"/>
              <w:tr2bl w:val="nil"/>
            </w:tcBorders>
            <w:shd w:val="clear" w:color="auto" w:fill="auto"/>
            <w:vAlign w:val="center"/>
          </w:tcPr>
          <w:p w14:paraId="03F4530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10篇</w:t>
            </w:r>
          </w:p>
        </w:tc>
        <w:tc>
          <w:tcPr>
            <w:tcW w:w="946" w:type="dxa"/>
            <w:tcBorders>
              <w:tl2br w:val="nil"/>
              <w:tr2bl w:val="nil"/>
            </w:tcBorders>
            <w:shd w:val="clear" w:color="auto" w:fill="auto"/>
            <w:vAlign w:val="center"/>
          </w:tcPr>
          <w:p w14:paraId="0A8CD7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4BF14EE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100.00%</w:t>
            </w:r>
          </w:p>
        </w:tc>
      </w:tr>
      <w:tr w14:paraId="3A2F99E1">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vAlign w:val="center"/>
          </w:tcPr>
          <w:p w14:paraId="51B1BC0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1"/>
                <w:szCs w:val="21"/>
                <w:lang w:bidi="ar"/>
              </w:rPr>
            </w:pPr>
          </w:p>
        </w:tc>
        <w:tc>
          <w:tcPr>
            <w:tcW w:w="2217" w:type="dxa"/>
            <w:tcBorders>
              <w:tl2br w:val="nil"/>
              <w:tr2bl w:val="nil"/>
            </w:tcBorders>
            <w:shd w:val="clear" w:color="auto" w:fill="auto"/>
            <w:vAlign w:val="center"/>
          </w:tcPr>
          <w:p w14:paraId="2D6C7F7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课题研究数量</w:t>
            </w:r>
          </w:p>
        </w:tc>
        <w:tc>
          <w:tcPr>
            <w:tcW w:w="831" w:type="dxa"/>
            <w:tcBorders>
              <w:tl2br w:val="nil"/>
              <w:tr2bl w:val="nil"/>
            </w:tcBorders>
            <w:shd w:val="clear" w:color="auto" w:fill="auto"/>
            <w:vAlign w:val="center"/>
          </w:tcPr>
          <w:p w14:paraId="2053F49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701C8FE3">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=3个</w:t>
            </w:r>
          </w:p>
        </w:tc>
        <w:tc>
          <w:tcPr>
            <w:tcW w:w="1204" w:type="dxa"/>
            <w:tcBorders>
              <w:tl2br w:val="nil"/>
              <w:tr2bl w:val="nil"/>
            </w:tcBorders>
            <w:shd w:val="clear" w:color="auto" w:fill="auto"/>
            <w:vAlign w:val="center"/>
          </w:tcPr>
          <w:p w14:paraId="435882C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5个</w:t>
            </w:r>
          </w:p>
        </w:tc>
        <w:tc>
          <w:tcPr>
            <w:tcW w:w="946" w:type="dxa"/>
            <w:tcBorders>
              <w:tl2br w:val="nil"/>
              <w:tr2bl w:val="nil"/>
            </w:tcBorders>
            <w:shd w:val="clear" w:color="auto" w:fill="auto"/>
            <w:vAlign w:val="center"/>
          </w:tcPr>
          <w:p w14:paraId="455DFCE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5AFC10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100.00%</w:t>
            </w:r>
          </w:p>
        </w:tc>
      </w:tr>
      <w:tr w14:paraId="7B86B18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vAlign w:val="center"/>
          </w:tcPr>
          <w:p w14:paraId="5662913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1"/>
                <w:szCs w:val="21"/>
                <w:lang w:bidi="ar"/>
              </w:rPr>
            </w:pPr>
          </w:p>
        </w:tc>
        <w:tc>
          <w:tcPr>
            <w:tcW w:w="2217" w:type="dxa"/>
            <w:tcBorders>
              <w:tl2br w:val="nil"/>
              <w:tr2bl w:val="nil"/>
            </w:tcBorders>
            <w:shd w:val="clear" w:color="auto" w:fill="auto"/>
            <w:vAlign w:val="center"/>
          </w:tcPr>
          <w:p w14:paraId="315BC2E8">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开展专题调研次数</w:t>
            </w:r>
          </w:p>
        </w:tc>
        <w:tc>
          <w:tcPr>
            <w:tcW w:w="831" w:type="dxa"/>
            <w:tcBorders>
              <w:tl2br w:val="nil"/>
              <w:tr2bl w:val="nil"/>
            </w:tcBorders>
            <w:shd w:val="clear" w:color="auto" w:fill="auto"/>
            <w:vAlign w:val="center"/>
          </w:tcPr>
          <w:p w14:paraId="15B92F2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643E3D6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=8次</w:t>
            </w:r>
          </w:p>
        </w:tc>
        <w:tc>
          <w:tcPr>
            <w:tcW w:w="1204" w:type="dxa"/>
            <w:tcBorders>
              <w:tl2br w:val="nil"/>
              <w:tr2bl w:val="nil"/>
            </w:tcBorders>
            <w:shd w:val="clear" w:color="auto" w:fill="auto"/>
            <w:vAlign w:val="center"/>
          </w:tcPr>
          <w:p w14:paraId="47B3D95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8次</w:t>
            </w:r>
          </w:p>
        </w:tc>
        <w:tc>
          <w:tcPr>
            <w:tcW w:w="946" w:type="dxa"/>
            <w:tcBorders>
              <w:tl2br w:val="nil"/>
              <w:tr2bl w:val="nil"/>
            </w:tcBorders>
            <w:shd w:val="clear" w:color="auto" w:fill="auto"/>
            <w:vAlign w:val="center"/>
          </w:tcPr>
          <w:p w14:paraId="5E63B4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754D3E1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1"/>
                <w:szCs w:val="21"/>
              </w:rPr>
            </w:pPr>
            <w:r>
              <w:rPr>
                <w:rFonts w:hint="eastAsia" w:ascii="宋体" w:hAnsi="宋体" w:eastAsia="宋体" w:cs="宋体"/>
                <w:color w:val="000000"/>
                <w:kern w:val="0"/>
                <w:sz w:val="21"/>
                <w:szCs w:val="21"/>
                <w:lang w:bidi="ar"/>
              </w:rPr>
              <w:t>100.00%</w:t>
            </w:r>
          </w:p>
        </w:tc>
      </w:tr>
      <w:tr w14:paraId="739B5E8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restart"/>
            <w:tcBorders>
              <w:tl2br w:val="nil"/>
              <w:tr2bl w:val="nil"/>
            </w:tcBorders>
            <w:vAlign w:val="center"/>
          </w:tcPr>
          <w:p w14:paraId="1F8543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质量指标</w:t>
            </w:r>
          </w:p>
        </w:tc>
        <w:tc>
          <w:tcPr>
            <w:tcW w:w="2217" w:type="dxa"/>
            <w:tcBorders>
              <w:tl2br w:val="nil"/>
              <w:tr2bl w:val="nil"/>
            </w:tcBorders>
            <w:shd w:val="clear" w:color="auto" w:fill="auto"/>
            <w:vAlign w:val="center"/>
          </w:tcPr>
          <w:p w14:paraId="4FC6AFC6">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课题报告形成率</w:t>
            </w:r>
          </w:p>
        </w:tc>
        <w:tc>
          <w:tcPr>
            <w:tcW w:w="831" w:type="dxa"/>
            <w:tcBorders>
              <w:tl2br w:val="nil"/>
              <w:tr2bl w:val="nil"/>
            </w:tcBorders>
            <w:shd w:val="clear" w:color="auto" w:fill="auto"/>
            <w:vAlign w:val="center"/>
          </w:tcPr>
          <w:p w14:paraId="2455FF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209F3E5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≥98%</w:t>
            </w:r>
          </w:p>
        </w:tc>
        <w:tc>
          <w:tcPr>
            <w:tcW w:w="1204" w:type="dxa"/>
            <w:tcBorders>
              <w:tl2br w:val="nil"/>
              <w:tr2bl w:val="nil"/>
            </w:tcBorders>
            <w:shd w:val="clear" w:color="auto" w:fill="auto"/>
            <w:vAlign w:val="center"/>
          </w:tcPr>
          <w:p w14:paraId="69009F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98%</w:t>
            </w:r>
          </w:p>
        </w:tc>
        <w:tc>
          <w:tcPr>
            <w:tcW w:w="946" w:type="dxa"/>
            <w:tcBorders>
              <w:tl2br w:val="nil"/>
              <w:tr2bl w:val="nil"/>
            </w:tcBorders>
            <w:shd w:val="clear" w:color="auto" w:fill="auto"/>
            <w:vAlign w:val="center"/>
          </w:tcPr>
          <w:p w14:paraId="187740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0FCAA3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color w:val="000000"/>
                <w:kern w:val="0"/>
                <w:sz w:val="21"/>
                <w:szCs w:val="21"/>
                <w:lang w:bidi="ar"/>
              </w:rPr>
              <w:t>100.00%</w:t>
            </w:r>
          </w:p>
        </w:tc>
      </w:tr>
      <w:tr w14:paraId="6AECEE74">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vAlign w:val="center"/>
          </w:tcPr>
          <w:p w14:paraId="20D32C17">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kern w:val="0"/>
                <w:sz w:val="21"/>
                <w:szCs w:val="21"/>
                <w:lang w:bidi="ar"/>
              </w:rPr>
            </w:pPr>
          </w:p>
        </w:tc>
        <w:tc>
          <w:tcPr>
            <w:tcW w:w="2217" w:type="dxa"/>
            <w:tcBorders>
              <w:tl2br w:val="nil"/>
              <w:tr2bl w:val="nil"/>
            </w:tcBorders>
            <w:shd w:val="clear" w:color="auto" w:fill="auto"/>
            <w:vAlign w:val="center"/>
          </w:tcPr>
          <w:p w14:paraId="016F9BF1">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课题成果、论文验收通过率</w:t>
            </w:r>
          </w:p>
        </w:tc>
        <w:tc>
          <w:tcPr>
            <w:tcW w:w="831" w:type="dxa"/>
            <w:tcBorders>
              <w:tl2br w:val="nil"/>
              <w:tr2bl w:val="nil"/>
            </w:tcBorders>
            <w:shd w:val="clear" w:color="auto" w:fill="auto"/>
            <w:vAlign w:val="center"/>
          </w:tcPr>
          <w:p w14:paraId="6F510E7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026EAAE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 xml:space="preserve"> =100.00%</w:t>
            </w:r>
          </w:p>
        </w:tc>
        <w:tc>
          <w:tcPr>
            <w:tcW w:w="1204" w:type="dxa"/>
            <w:tcBorders>
              <w:tl2br w:val="nil"/>
              <w:tr2bl w:val="nil"/>
            </w:tcBorders>
            <w:shd w:val="clear" w:color="auto" w:fill="auto"/>
            <w:vAlign w:val="center"/>
          </w:tcPr>
          <w:p w14:paraId="1816EF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100.00%</w:t>
            </w:r>
          </w:p>
        </w:tc>
        <w:tc>
          <w:tcPr>
            <w:tcW w:w="946" w:type="dxa"/>
            <w:tcBorders>
              <w:tl2br w:val="nil"/>
              <w:tr2bl w:val="nil"/>
            </w:tcBorders>
            <w:shd w:val="clear" w:color="auto" w:fill="auto"/>
            <w:vAlign w:val="center"/>
          </w:tcPr>
          <w:p w14:paraId="66C3CB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210FFBF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color w:val="000000"/>
                <w:kern w:val="0"/>
                <w:sz w:val="21"/>
                <w:szCs w:val="21"/>
                <w:lang w:bidi="ar"/>
              </w:rPr>
              <w:t>100.00%</w:t>
            </w:r>
          </w:p>
        </w:tc>
      </w:tr>
      <w:tr w14:paraId="649257BA">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restart"/>
            <w:tcBorders>
              <w:tl2br w:val="nil"/>
              <w:tr2bl w:val="nil"/>
            </w:tcBorders>
            <w:vAlign w:val="center"/>
          </w:tcPr>
          <w:p w14:paraId="4D4365D4">
            <w:pPr>
              <w:keepNext w:val="0"/>
              <w:keepLines w:val="0"/>
              <w:pageBreakBefore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时效指标</w:t>
            </w:r>
          </w:p>
        </w:tc>
        <w:tc>
          <w:tcPr>
            <w:tcW w:w="2217" w:type="dxa"/>
            <w:tcBorders>
              <w:tl2br w:val="nil"/>
              <w:tr2bl w:val="nil"/>
            </w:tcBorders>
            <w:shd w:val="clear" w:color="auto" w:fill="auto"/>
            <w:vAlign w:val="center"/>
          </w:tcPr>
          <w:p w14:paraId="09185F0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出版印刷及时性</w:t>
            </w:r>
          </w:p>
        </w:tc>
        <w:tc>
          <w:tcPr>
            <w:tcW w:w="831" w:type="dxa"/>
            <w:tcBorders>
              <w:tl2br w:val="nil"/>
              <w:tr2bl w:val="nil"/>
            </w:tcBorders>
            <w:shd w:val="clear" w:color="auto" w:fill="auto"/>
            <w:vAlign w:val="center"/>
          </w:tcPr>
          <w:p w14:paraId="7C9545E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54900C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1204" w:type="dxa"/>
            <w:tcBorders>
              <w:tl2br w:val="nil"/>
              <w:tr2bl w:val="nil"/>
            </w:tcBorders>
            <w:shd w:val="clear" w:color="auto" w:fill="auto"/>
            <w:vAlign w:val="center"/>
          </w:tcPr>
          <w:p w14:paraId="720B6D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946" w:type="dxa"/>
            <w:tcBorders>
              <w:tl2br w:val="nil"/>
              <w:tr2bl w:val="nil"/>
            </w:tcBorders>
            <w:shd w:val="clear" w:color="auto" w:fill="auto"/>
            <w:vAlign w:val="center"/>
          </w:tcPr>
          <w:p w14:paraId="1A17B8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534953D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color w:val="000000"/>
                <w:kern w:val="0"/>
                <w:sz w:val="21"/>
                <w:szCs w:val="21"/>
                <w:lang w:bidi="ar"/>
              </w:rPr>
              <w:t>100.00%</w:t>
            </w:r>
          </w:p>
        </w:tc>
      </w:tr>
      <w:tr w14:paraId="585670A2">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vAlign w:val="center"/>
          </w:tcPr>
          <w:p w14:paraId="5FAB293D">
            <w:pPr>
              <w:keepNext w:val="0"/>
              <w:keepLines w:val="0"/>
              <w:pageBreakBefore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p>
        </w:tc>
        <w:tc>
          <w:tcPr>
            <w:tcW w:w="2217" w:type="dxa"/>
            <w:tcBorders>
              <w:tl2br w:val="nil"/>
              <w:tr2bl w:val="nil"/>
            </w:tcBorders>
            <w:shd w:val="clear" w:color="auto" w:fill="auto"/>
            <w:vAlign w:val="center"/>
          </w:tcPr>
          <w:p w14:paraId="3BCAC5EF">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开展专项调研及时性</w:t>
            </w:r>
          </w:p>
        </w:tc>
        <w:tc>
          <w:tcPr>
            <w:tcW w:w="831" w:type="dxa"/>
            <w:tcBorders>
              <w:tl2br w:val="nil"/>
              <w:tr2bl w:val="nil"/>
            </w:tcBorders>
            <w:shd w:val="clear" w:color="auto" w:fill="auto"/>
            <w:vAlign w:val="center"/>
          </w:tcPr>
          <w:p w14:paraId="7C26EE5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16B12A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1204" w:type="dxa"/>
            <w:tcBorders>
              <w:tl2br w:val="nil"/>
              <w:tr2bl w:val="nil"/>
            </w:tcBorders>
            <w:shd w:val="clear" w:color="auto" w:fill="auto"/>
            <w:vAlign w:val="center"/>
          </w:tcPr>
          <w:p w14:paraId="420964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946" w:type="dxa"/>
            <w:tcBorders>
              <w:tl2br w:val="nil"/>
              <w:tr2bl w:val="nil"/>
            </w:tcBorders>
            <w:shd w:val="clear" w:color="auto" w:fill="auto"/>
            <w:vAlign w:val="center"/>
          </w:tcPr>
          <w:p w14:paraId="688E71A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0BE321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100.00%</w:t>
            </w:r>
          </w:p>
        </w:tc>
      </w:tr>
      <w:tr w14:paraId="1E946AC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114" w:type="dxa"/>
            <w:vMerge w:val="continue"/>
            <w:tcBorders>
              <w:tl2br w:val="nil"/>
              <w:tr2bl w:val="nil"/>
            </w:tcBorders>
            <w:vAlign w:val="center"/>
          </w:tcPr>
          <w:p w14:paraId="17AB110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p>
        </w:tc>
        <w:tc>
          <w:tcPr>
            <w:tcW w:w="2217" w:type="dxa"/>
            <w:tcBorders>
              <w:tl2br w:val="nil"/>
              <w:tr2bl w:val="nil"/>
            </w:tcBorders>
            <w:shd w:val="clear" w:color="auto" w:fill="auto"/>
            <w:vAlign w:val="center"/>
          </w:tcPr>
          <w:p w14:paraId="6B15BF0C">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1"/>
                <w:szCs w:val="21"/>
              </w:rPr>
            </w:pPr>
            <w:r>
              <w:rPr>
                <w:rFonts w:hint="eastAsia" w:ascii="宋体" w:hAnsi="宋体" w:eastAsia="宋体" w:cs="宋体"/>
                <w:sz w:val="21"/>
                <w:szCs w:val="21"/>
              </w:rPr>
              <w:t>课题成果提交及时性</w:t>
            </w:r>
          </w:p>
        </w:tc>
        <w:tc>
          <w:tcPr>
            <w:tcW w:w="831" w:type="dxa"/>
            <w:tcBorders>
              <w:tl2br w:val="nil"/>
              <w:tr2bl w:val="nil"/>
            </w:tcBorders>
            <w:shd w:val="clear" w:color="auto" w:fill="auto"/>
            <w:vAlign w:val="center"/>
          </w:tcPr>
          <w:p w14:paraId="2CC6156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225" w:type="dxa"/>
            <w:tcBorders>
              <w:tl2br w:val="nil"/>
              <w:tr2bl w:val="nil"/>
            </w:tcBorders>
            <w:shd w:val="clear" w:color="auto" w:fill="auto"/>
            <w:vAlign w:val="center"/>
          </w:tcPr>
          <w:p w14:paraId="3C78DBE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1204" w:type="dxa"/>
            <w:tcBorders>
              <w:tl2br w:val="nil"/>
              <w:tr2bl w:val="nil"/>
            </w:tcBorders>
            <w:shd w:val="clear" w:color="auto" w:fill="auto"/>
            <w:vAlign w:val="center"/>
          </w:tcPr>
          <w:p w14:paraId="012A404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及时</w:t>
            </w:r>
          </w:p>
        </w:tc>
        <w:tc>
          <w:tcPr>
            <w:tcW w:w="946" w:type="dxa"/>
            <w:tcBorders>
              <w:tl2br w:val="nil"/>
              <w:tr2bl w:val="nil"/>
            </w:tcBorders>
            <w:shd w:val="clear" w:color="auto" w:fill="auto"/>
            <w:vAlign w:val="center"/>
          </w:tcPr>
          <w:p w14:paraId="68C903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4</w:t>
            </w:r>
          </w:p>
        </w:tc>
        <w:tc>
          <w:tcPr>
            <w:tcW w:w="1110" w:type="dxa"/>
            <w:tcBorders>
              <w:tl2br w:val="nil"/>
              <w:tr2bl w:val="nil"/>
            </w:tcBorders>
            <w:shd w:val="clear" w:color="auto" w:fill="auto"/>
            <w:vAlign w:val="center"/>
          </w:tcPr>
          <w:p w14:paraId="129E4F5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1"/>
                <w:szCs w:val="21"/>
                <w:lang w:bidi="ar"/>
              </w:rPr>
            </w:pPr>
            <w:r>
              <w:rPr>
                <w:rFonts w:hint="eastAsia" w:ascii="宋体" w:hAnsi="宋体" w:eastAsia="宋体" w:cs="宋体"/>
                <w:kern w:val="0"/>
                <w:sz w:val="21"/>
                <w:szCs w:val="21"/>
                <w:lang w:bidi="ar"/>
              </w:rPr>
              <w:t>100.00%</w:t>
            </w:r>
          </w:p>
        </w:tc>
      </w:tr>
      <w:tr w14:paraId="36D5BD8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331" w:type="dxa"/>
            <w:gridSpan w:val="2"/>
            <w:tcBorders>
              <w:tl2br w:val="nil"/>
              <w:tr2bl w:val="nil"/>
            </w:tcBorders>
            <w:shd w:val="clear" w:color="auto" w:fill="BDD6EE" w:themeFill="accent1" w:themeFillTint="66"/>
            <w:vAlign w:val="center"/>
          </w:tcPr>
          <w:p w14:paraId="37E5D1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合计</w:t>
            </w:r>
          </w:p>
        </w:tc>
        <w:tc>
          <w:tcPr>
            <w:tcW w:w="831" w:type="dxa"/>
            <w:tcBorders>
              <w:tl2br w:val="nil"/>
              <w:tr2bl w:val="nil"/>
            </w:tcBorders>
            <w:shd w:val="clear" w:color="auto" w:fill="BDD6EE" w:themeFill="accent1" w:themeFillTint="66"/>
            <w:vAlign w:val="center"/>
          </w:tcPr>
          <w:p w14:paraId="1FD7A4F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32</w:t>
            </w:r>
          </w:p>
        </w:tc>
        <w:tc>
          <w:tcPr>
            <w:tcW w:w="1225" w:type="dxa"/>
            <w:tcBorders>
              <w:tl2br w:val="nil"/>
              <w:tr2bl w:val="nil"/>
            </w:tcBorders>
            <w:shd w:val="clear" w:color="auto" w:fill="BDD6EE" w:themeFill="accent1" w:themeFillTint="66"/>
            <w:vAlign w:val="center"/>
          </w:tcPr>
          <w:p w14:paraId="00C1CC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w:t>
            </w:r>
          </w:p>
        </w:tc>
        <w:tc>
          <w:tcPr>
            <w:tcW w:w="1204" w:type="dxa"/>
            <w:tcBorders>
              <w:tl2br w:val="nil"/>
              <w:tr2bl w:val="nil"/>
            </w:tcBorders>
            <w:shd w:val="clear" w:color="auto" w:fill="BDD6EE" w:themeFill="accent1" w:themeFillTint="66"/>
            <w:vAlign w:val="center"/>
          </w:tcPr>
          <w:p w14:paraId="76EDED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w:t>
            </w:r>
          </w:p>
        </w:tc>
        <w:tc>
          <w:tcPr>
            <w:tcW w:w="946" w:type="dxa"/>
            <w:tcBorders>
              <w:tl2br w:val="nil"/>
              <w:tr2bl w:val="nil"/>
            </w:tcBorders>
            <w:shd w:val="clear" w:color="auto" w:fill="BDD6EE" w:themeFill="accent1" w:themeFillTint="66"/>
            <w:vAlign w:val="center"/>
          </w:tcPr>
          <w:p w14:paraId="4A216E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kern w:val="0"/>
                <w:sz w:val="21"/>
                <w:szCs w:val="21"/>
                <w:lang w:bidi="ar"/>
              </w:rPr>
              <w:t>32</w:t>
            </w:r>
          </w:p>
        </w:tc>
        <w:tc>
          <w:tcPr>
            <w:tcW w:w="1110" w:type="dxa"/>
            <w:tcBorders>
              <w:tl2br w:val="nil"/>
              <w:tr2bl w:val="nil"/>
            </w:tcBorders>
            <w:shd w:val="clear" w:color="auto" w:fill="BDD6EE" w:themeFill="accent1" w:themeFillTint="66"/>
            <w:vAlign w:val="center"/>
          </w:tcPr>
          <w:p w14:paraId="16F6F22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1"/>
                <w:szCs w:val="21"/>
                <w:lang w:bidi="ar"/>
              </w:rPr>
            </w:pPr>
            <w:r>
              <w:rPr>
                <w:rFonts w:hint="eastAsia" w:ascii="宋体" w:hAnsi="宋体" w:eastAsia="宋体" w:cs="宋体"/>
                <w:b/>
                <w:bCs/>
                <w:color w:val="000000"/>
                <w:kern w:val="0"/>
                <w:sz w:val="21"/>
                <w:szCs w:val="21"/>
                <w:lang w:bidi="ar"/>
              </w:rPr>
              <w:t>100.00%</w:t>
            </w:r>
          </w:p>
        </w:tc>
      </w:tr>
    </w:tbl>
    <w:p w14:paraId="440D6C35">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14:paraId="0F99C8F6">
      <w:pPr>
        <w:pStyle w:val="49"/>
        <w:spacing w:line="560" w:lineRule="exact"/>
        <w:rPr>
          <w:rFonts w:hint="eastAsia"/>
        </w:rPr>
      </w:pPr>
      <w:r>
        <w:rPr>
          <w:rFonts w:hint="eastAsia"/>
        </w:rPr>
        <w:t>撰写专题调研报告和论文篇数：指标分值4分，评价得分4分。年度目标=8篇，</w:t>
      </w:r>
      <w:r>
        <w:rPr>
          <w:rFonts w:hint="eastAsia"/>
          <w:lang w:val="en-US" w:eastAsia="zh-CN"/>
        </w:rPr>
        <w:t>全年</w:t>
      </w:r>
      <w:r>
        <w:rPr>
          <w:rFonts w:hint="eastAsia"/>
        </w:rPr>
        <w:t>撰写专题调研报告和论文10篇，完成率100.00%。</w:t>
      </w:r>
    </w:p>
    <w:p w14:paraId="4D358BFD">
      <w:pPr>
        <w:pStyle w:val="49"/>
        <w:spacing w:line="560" w:lineRule="exact"/>
        <w:rPr>
          <w:rFonts w:hint="eastAsia"/>
        </w:rPr>
      </w:pPr>
      <w:r>
        <w:rPr>
          <w:rFonts w:hint="eastAsia"/>
        </w:rPr>
        <w:t>课题研究数量:指标分值4分，评价得分4分。年度目标=3个，实际完成课题研究5个，完成率100.00%。</w:t>
      </w:r>
    </w:p>
    <w:p w14:paraId="683A183E">
      <w:pPr>
        <w:pStyle w:val="49"/>
        <w:spacing w:line="560" w:lineRule="exact"/>
        <w:rPr>
          <w:rFonts w:hint="eastAsia"/>
        </w:rPr>
      </w:pPr>
      <w:r>
        <w:rPr>
          <w:rFonts w:hint="eastAsia"/>
        </w:rPr>
        <w:t>开展专题调研次数：指标分值4分，评价得分4分。由于部分少数民族地区的经济、文化等较全国部分地区相对的滞后，造成少数民族地区法制建设相对落后的情况，为加强少数民族法制文化教学建设，本年开展专题调研次数年度目标=8次，实际完成8次，完成率100.00%。</w:t>
      </w:r>
    </w:p>
    <w:p w14:paraId="7E5B5797">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14:paraId="62C56EF5">
      <w:pPr>
        <w:pStyle w:val="49"/>
        <w:spacing w:line="560" w:lineRule="exact"/>
        <w:rPr>
          <w:rFonts w:hint="eastAsia"/>
        </w:rPr>
      </w:pPr>
      <w:bookmarkStart w:id="139" w:name="_Toc27458"/>
      <w:bookmarkStart w:id="140" w:name="_Toc7509"/>
      <w:r>
        <w:rPr>
          <w:rFonts w:hint="eastAsia"/>
        </w:rPr>
        <w:t>课题报告形成率：指标分值4分，评价得分4分。年度目标值为≥98%</w:t>
      </w:r>
      <w:r>
        <w:rPr>
          <w:rFonts w:hint="eastAsia"/>
          <w:lang w:eastAsia="zh-CN"/>
        </w:rPr>
        <w:t>，</w:t>
      </w:r>
      <w:r>
        <w:rPr>
          <w:rFonts w:hint="eastAsia"/>
        </w:rPr>
        <w:t>已经成功完成并形成课题报告数量在计划完成的课题报告总数中所占的比例</w:t>
      </w:r>
      <w:r>
        <w:rPr>
          <w:rFonts w:hint="eastAsia"/>
          <w:lang w:val="en-US" w:eastAsia="zh-CN"/>
        </w:rPr>
        <w:t>达到</w:t>
      </w:r>
      <w:r>
        <w:rPr>
          <w:rFonts w:hint="eastAsia"/>
        </w:rPr>
        <w:t>98%，完成率为100.00%。</w:t>
      </w:r>
    </w:p>
    <w:p w14:paraId="2D992120">
      <w:pPr>
        <w:pStyle w:val="49"/>
        <w:spacing w:line="560" w:lineRule="exact"/>
        <w:rPr>
          <w:rFonts w:hint="eastAsia"/>
        </w:rPr>
      </w:pPr>
      <w:r>
        <w:rPr>
          <w:rFonts w:hint="eastAsia"/>
        </w:rPr>
        <w:t>课题成果、论文验收通过率：指标分值4分，评价得分4分。年度目标</w:t>
      </w:r>
      <w:r>
        <w:rPr>
          <w:rFonts w:hint="eastAsia"/>
          <w:lang w:val="en-US" w:eastAsia="zh-CN"/>
        </w:rPr>
        <w:t>值</w:t>
      </w:r>
      <w:r>
        <w:rPr>
          <w:rFonts w:hint="eastAsia"/>
        </w:rPr>
        <w:t>=100.00%</w:t>
      </w:r>
      <w:r>
        <w:rPr>
          <w:rFonts w:hint="eastAsia"/>
          <w:lang w:eastAsia="zh-CN"/>
        </w:rPr>
        <w:t>，</w:t>
      </w:r>
      <w:r>
        <w:rPr>
          <w:rFonts w:hint="eastAsia"/>
          <w:lang w:val="en-US" w:eastAsia="zh-CN"/>
        </w:rPr>
        <w:t>实际</w:t>
      </w:r>
      <w:r>
        <w:rPr>
          <w:rFonts w:hint="eastAsia"/>
        </w:rPr>
        <w:t>课题成果、论文验收通过率100.00%，完成率100.00%。</w:t>
      </w:r>
    </w:p>
    <w:bookmarkEnd w:id="139"/>
    <w:bookmarkEnd w:id="140"/>
    <w:p w14:paraId="372591AC">
      <w:pPr>
        <w:pStyle w:val="26"/>
        <w:overflowPunct w:val="0"/>
        <w:spacing w:line="560" w:lineRule="exact"/>
        <w:ind w:firstLine="643"/>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14:paraId="1C0285D1">
      <w:pPr>
        <w:pStyle w:val="49"/>
        <w:spacing w:line="560" w:lineRule="exact"/>
        <w:rPr>
          <w:rFonts w:hint="eastAsia"/>
        </w:rPr>
      </w:pPr>
      <w:r>
        <w:rPr>
          <w:rFonts w:hint="eastAsia"/>
        </w:rPr>
        <w:t>出版印刷及时性：指标分值4分，评价得分4分。为促进少数民族地区的司法建设，出版印刷工作始终及时完成。</w:t>
      </w:r>
    </w:p>
    <w:p w14:paraId="6F6BE1A8">
      <w:pPr>
        <w:pStyle w:val="49"/>
        <w:spacing w:line="560" w:lineRule="exact"/>
        <w:rPr>
          <w:rFonts w:hint="eastAsia"/>
        </w:rPr>
      </w:pPr>
      <w:r>
        <w:rPr>
          <w:rFonts w:hint="eastAsia"/>
        </w:rPr>
        <w:t>开展专项调研及时性：指标分值4分，评价</w:t>
      </w:r>
      <w:r>
        <w:rPr>
          <w:rFonts w:hint="eastAsia"/>
          <w:lang w:eastAsia="zh-CN"/>
        </w:rPr>
        <w:t>得</w:t>
      </w:r>
      <w:r>
        <w:rPr>
          <w:rFonts w:hint="eastAsia"/>
        </w:rPr>
        <w:t>分4分。由于部分少数民族地区的经济、文化等较全国部分地区相对滞后，造成少数民族地区法制建设相对落后的情况。因此，省法官学院及时开展专项</w:t>
      </w:r>
      <w:r>
        <w:rPr>
          <w:rFonts w:hint="eastAsia"/>
          <w:lang w:eastAsia="zh-CN"/>
        </w:rPr>
        <w:t>调研</w:t>
      </w:r>
      <w:r>
        <w:rPr>
          <w:rFonts w:hint="eastAsia"/>
        </w:rPr>
        <w:t>少数民族地区的法制教学研究等活动，以推动少数民族地区的法制建设。</w:t>
      </w:r>
    </w:p>
    <w:p w14:paraId="172E9089">
      <w:pPr>
        <w:pStyle w:val="49"/>
        <w:spacing w:line="560" w:lineRule="exact"/>
        <w:rPr>
          <w:rFonts w:hint="eastAsia"/>
        </w:rPr>
      </w:pPr>
      <w:r>
        <w:rPr>
          <w:rFonts w:hint="eastAsia"/>
        </w:rPr>
        <w:t>课题成果提交及时性：指标分值4分，评价得分4分。</w:t>
      </w:r>
      <w:r>
        <w:rPr>
          <w:rFonts w:hint="eastAsia"/>
          <w:lang w:val="en-US" w:eastAsia="zh-CN"/>
        </w:rPr>
        <w:t>2023年度</w:t>
      </w:r>
      <w:r>
        <w:rPr>
          <w:rFonts w:hint="eastAsia"/>
        </w:rPr>
        <w:t>甘肃省法官学院</w:t>
      </w:r>
      <w:r>
        <w:rPr>
          <w:rFonts w:hint="eastAsia"/>
          <w:lang w:val="en-US" w:eastAsia="zh-CN"/>
        </w:rPr>
        <w:t>共开展</w:t>
      </w:r>
      <w:r>
        <w:rPr>
          <w:rFonts w:hint="eastAsia"/>
        </w:rPr>
        <w:t>少数民族法制教学研究课题</w:t>
      </w:r>
      <w:r>
        <w:rPr>
          <w:rFonts w:hint="eastAsia"/>
          <w:lang w:val="en-US" w:eastAsia="zh-CN"/>
        </w:rPr>
        <w:t>5项，截至年底，课题研究</w:t>
      </w:r>
      <w:r>
        <w:rPr>
          <w:rFonts w:hint="eastAsia"/>
        </w:rPr>
        <w:t>成果提交</w:t>
      </w:r>
      <w:r>
        <w:rPr>
          <w:rFonts w:hint="eastAsia"/>
          <w:lang w:val="en-US" w:eastAsia="zh-CN"/>
        </w:rPr>
        <w:t>均</w:t>
      </w:r>
      <w:r>
        <w:rPr>
          <w:rFonts w:hint="eastAsia"/>
        </w:rPr>
        <w:t>按计划完成。</w:t>
      </w:r>
    </w:p>
    <w:p w14:paraId="22D82E41">
      <w:pPr>
        <w:pStyle w:val="46"/>
        <w:spacing w:line="560" w:lineRule="exact"/>
        <w:rPr>
          <w:rFonts w:hint="eastAsia"/>
        </w:rPr>
      </w:pPr>
      <w:bookmarkStart w:id="141" w:name="_Toc4582"/>
      <w:bookmarkStart w:id="142" w:name="_Toc19675"/>
      <w:bookmarkStart w:id="143" w:name="_Toc174529605"/>
      <w:r>
        <w:rPr>
          <w:rFonts w:hint="eastAsia"/>
        </w:rPr>
        <w:t>（五）项目效益情况</w:t>
      </w:r>
      <w:bookmarkEnd w:id="141"/>
      <w:bookmarkEnd w:id="142"/>
      <w:bookmarkEnd w:id="143"/>
    </w:p>
    <w:p w14:paraId="7110650C">
      <w:pPr>
        <w:pStyle w:val="49"/>
        <w:spacing w:line="560" w:lineRule="exact"/>
        <w:rPr>
          <w:rFonts w:hint="eastAsia"/>
        </w:rPr>
      </w:pPr>
      <w:r>
        <w:rPr>
          <w:rFonts w:hint="eastAsia"/>
        </w:rPr>
        <w:t>项目效益指标包括社会效益指标、服务对象满意度指标两个二级指标，下设四个三级指标，指标分值25分，评价得分2</w:t>
      </w:r>
      <w:r>
        <w:rPr>
          <w:rFonts w:hint="eastAsia"/>
          <w:lang w:val="en-US" w:eastAsia="zh-CN"/>
        </w:rPr>
        <w:t>5</w:t>
      </w:r>
      <w:r>
        <w:rPr>
          <w:rFonts w:hint="eastAsia"/>
        </w:rPr>
        <w:t>分，得分率</w:t>
      </w:r>
      <w:r>
        <w:rPr>
          <w:rFonts w:hint="eastAsia"/>
          <w:lang w:val="en-US" w:eastAsia="zh-CN"/>
        </w:rPr>
        <w:t>100</w:t>
      </w:r>
      <w:r>
        <w:rPr>
          <w:rFonts w:hint="eastAsia"/>
        </w:rPr>
        <w:t>%。</w:t>
      </w:r>
    </w:p>
    <w:tbl>
      <w:tblPr>
        <w:tblStyle w:val="19"/>
        <w:tblW w:w="0" w:type="auto"/>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21"/>
        <w:gridCol w:w="1961"/>
        <w:gridCol w:w="868"/>
        <w:gridCol w:w="1236"/>
        <w:gridCol w:w="1255"/>
        <w:gridCol w:w="742"/>
        <w:gridCol w:w="987"/>
      </w:tblGrid>
      <w:tr w14:paraId="28F17D05">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blHeader/>
        </w:trPr>
        <w:tc>
          <w:tcPr>
            <w:tcW w:w="1421" w:type="dxa"/>
            <w:tcBorders>
              <w:tl2br w:val="nil"/>
              <w:tr2bl w:val="nil"/>
            </w:tcBorders>
            <w:shd w:val="clear" w:color="auto" w:fill="BDD6EE" w:themeFill="accent1" w:themeFillTint="66"/>
            <w:vAlign w:val="center"/>
          </w:tcPr>
          <w:p w14:paraId="26C3CC3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二级指标</w:t>
            </w:r>
          </w:p>
        </w:tc>
        <w:tc>
          <w:tcPr>
            <w:tcW w:w="1961" w:type="dxa"/>
            <w:tcBorders>
              <w:tl2br w:val="nil"/>
              <w:tr2bl w:val="nil"/>
            </w:tcBorders>
            <w:shd w:val="clear" w:color="auto" w:fill="BDD6EE" w:themeFill="accent1" w:themeFillTint="66"/>
            <w:vAlign w:val="center"/>
          </w:tcPr>
          <w:p w14:paraId="19810F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三级指标</w:t>
            </w:r>
          </w:p>
        </w:tc>
        <w:tc>
          <w:tcPr>
            <w:tcW w:w="868" w:type="dxa"/>
            <w:tcBorders>
              <w:tl2br w:val="nil"/>
              <w:tr2bl w:val="nil"/>
            </w:tcBorders>
            <w:shd w:val="clear" w:color="auto" w:fill="BDD6EE" w:themeFill="accent1" w:themeFillTint="66"/>
            <w:vAlign w:val="center"/>
          </w:tcPr>
          <w:p w14:paraId="008C94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分值</w:t>
            </w:r>
          </w:p>
        </w:tc>
        <w:tc>
          <w:tcPr>
            <w:tcW w:w="1236" w:type="dxa"/>
            <w:tcBorders>
              <w:tl2br w:val="nil"/>
              <w:tr2bl w:val="nil"/>
            </w:tcBorders>
            <w:shd w:val="clear" w:color="auto" w:fill="BDD6EE" w:themeFill="accent1" w:themeFillTint="66"/>
            <w:vAlign w:val="center"/>
          </w:tcPr>
          <w:p w14:paraId="4A4585E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目标值</w:t>
            </w:r>
          </w:p>
        </w:tc>
        <w:tc>
          <w:tcPr>
            <w:tcW w:w="1255" w:type="dxa"/>
            <w:tcBorders>
              <w:tl2br w:val="nil"/>
              <w:tr2bl w:val="nil"/>
            </w:tcBorders>
            <w:shd w:val="clear" w:color="auto" w:fill="BDD6EE" w:themeFill="accent1" w:themeFillTint="66"/>
            <w:vAlign w:val="center"/>
          </w:tcPr>
          <w:p w14:paraId="462351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业绩值</w:t>
            </w:r>
          </w:p>
        </w:tc>
        <w:tc>
          <w:tcPr>
            <w:tcW w:w="742" w:type="dxa"/>
            <w:tcBorders>
              <w:tl2br w:val="nil"/>
              <w:tr2bl w:val="nil"/>
            </w:tcBorders>
            <w:shd w:val="clear" w:color="auto" w:fill="BDD6EE" w:themeFill="accent1" w:themeFillTint="66"/>
            <w:vAlign w:val="center"/>
          </w:tcPr>
          <w:p w14:paraId="70C794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w:t>
            </w:r>
          </w:p>
        </w:tc>
        <w:tc>
          <w:tcPr>
            <w:tcW w:w="987" w:type="dxa"/>
            <w:tcBorders>
              <w:tl2br w:val="nil"/>
              <w:tr2bl w:val="nil"/>
            </w:tcBorders>
            <w:shd w:val="clear" w:color="auto" w:fill="BDD6EE" w:themeFill="accent1" w:themeFillTint="66"/>
            <w:vAlign w:val="center"/>
          </w:tcPr>
          <w:p w14:paraId="70C687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得分率</w:t>
            </w:r>
          </w:p>
        </w:tc>
      </w:tr>
      <w:tr w14:paraId="0065DDAF">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vMerge w:val="restart"/>
            <w:tcBorders>
              <w:tl2br w:val="nil"/>
              <w:tr2bl w:val="nil"/>
            </w:tcBorders>
            <w:vAlign w:val="center"/>
          </w:tcPr>
          <w:p w14:paraId="2A37EE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 xml:space="preserve">社会效益指标      </w:t>
            </w:r>
          </w:p>
        </w:tc>
        <w:tc>
          <w:tcPr>
            <w:tcW w:w="1961" w:type="dxa"/>
            <w:tcBorders>
              <w:tl2br w:val="nil"/>
              <w:tr2bl w:val="nil"/>
            </w:tcBorders>
            <w:shd w:val="clear" w:color="auto" w:fill="auto"/>
            <w:vAlign w:val="center"/>
          </w:tcPr>
          <w:p w14:paraId="4863296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推动少数民族地区法治建设</w:t>
            </w:r>
          </w:p>
        </w:tc>
        <w:tc>
          <w:tcPr>
            <w:tcW w:w="868" w:type="dxa"/>
            <w:tcBorders>
              <w:tl2br w:val="nil"/>
              <w:tr2bl w:val="nil"/>
            </w:tcBorders>
            <w:shd w:val="clear" w:color="auto" w:fill="auto"/>
            <w:vAlign w:val="center"/>
          </w:tcPr>
          <w:p w14:paraId="500532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36" w:type="dxa"/>
            <w:tcBorders>
              <w:tl2br w:val="nil"/>
              <w:tr2bl w:val="nil"/>
            </w:tcBorders>
            <w:shd w:val="clear" w:color="auto" w:fill="auto"/>
            <w:vAlign w:val="center"/>
          </w:tcPr>
          <w:p w14:paraId="6AE9A90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推动</w:t>
            </w:r>
          </w:p>
        </w:tc>
        <w:tc>
          <w:tcPr>
            <w:tcW w:w="1255" w:type="dxa"/>
            <w:tcBorders>
              <w:tl2br w:val="nil"/>
              <w:tr2bl w:val="nil"/>
            </w:tcBorders>
            <w:shd w:val="clear" w:color="auto" w:fill="auto"/>
            <w:vAlign w:val="center"/>
          </w:tcPr>
          <w:p w14:paraId="763CEAA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推动</w:t>
            </w:r>
          </w:p>
        </w:tc>
        <w:tc>
          <w:tcPr>
            <w:tcW w:w="742" w:type="dxa"/>
            <w:tcBorders>
              <w:tl2br w:val="nil"/>
              <w:tr2bl w:val="nil"/>
            </w:tcBorders>
            <w:shd w:val="clear" w:color="auto" w:fill="auto"/>
            <w:vAlign w:val="center"/>
          </w:tcPr>
          <w:p w14:paraId="34ED9DE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987" w:type="dxa"/>
            <w:tcBorders>
              <w:tl2br w:val="nil"/>
              <w:tr2bl w:val="nil"/>
            </w:tcBorders>
            <w:shd w:val="clear" w:color="auto" w:fill="auto"/>
            <w:vAlign w:val="center"/>
          </w:tcPr>
          <w:p w14:paraId="0B6A4A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56CF4263">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vMerge w:val="continue"/>
            <w:tcBorders>
              <w:tl2br w:val="nil"/>
              <w:tr2bl w:val="nil"/>
            </w:tcBorders>
            <w:vAlign w:val="center"/>
          </w:tcPr>
          <w:p w14:paraId="2562CF75">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61" w:type="dxa"/>
            <w:tcBorders>
              <w:tl2br w:val="nil"/>
              <w:tr2bl w:val="nil"/>
            </w:tcBorders>
            <w:shd w:val="clear" w:color="auto" w:fill="auto"/>
            <w:vAlign w:val="center"/>
          </w:tcPr>
          <w:p w14:paraId="2AF847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维护全省法院教育培训信息管理平台</w:t>
            </w:r>
          </w:p>
        </w:tc>
        <w:tc>
          <w:tcPr>
            <w:tcW w:w="868" w:type="dxa"/>
            <w:tcBorders>
              <w:tl2br w:val="nil"/>
              <w:tr2bl w:val="nil"/>
            </w:tcBorders>
            <w:shd w:val="clear" w:color="auto" w:fill="auto"/>
            <w:vAlign w:val="center"/>
          </w:tcPr>
          <w:p w14:paraId="04A7648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36" w:type="dxa"/>
            <w:tcBorders>
              <w:tl2br w:val="nil"/>
              <w:tr2bl w:val="nil"/>
            </w:tcBorders>
            <w:shd w:val="clear" w:color="auto" w:fill="auto"/>
            <w:vAlign w:val="center"/>
          </w:tcPr>
          <w:p w14:paraId="06B728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维护</w:t>
            </w:r>
          </w:p>
        </w:tc>
        <w:tc>
          <w:tcPr>
            <w:tcW w:w="1255" w:type="dxa"/>
            <w:tcBorders>
              <w:tl2br w:val="nil"/>
              <w:tr2bl w:val="nil"/>
            </w:tcBorders>
            <w:shd w:val="clear" w:color="auto" w:fill="auto"/>
            <w:vAlign w:val="center"/>
          </w:tcPr>
          <w:p w14:paraId="169982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维护</w:t>
            </w:r>
          </w:p>
        </w:tc>
        <w:tc>
          <w:tcPr>
            <w:tcW w:w="742" w:type="dxa"/>
            <w:tcBorders>
              <w:tl2br w:val="nil"/>
              <w:tr2bl w:val="nil"/>
            </w:tcBorders>
            <w:shd w:val="clear" w:color="auto" w:fill="auto"/>
            <w:vAlign w:val="center"/>
          </w:tcPr>
          <w:p w14:paraId="6954ACE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987" w:type="dxa"/>
            <w:tcBorders>
              <w:tl2br w:val="nil"/>
              <w:tr2bl w:val="nil"/>
            </w:tcBorders>
            <w:shd w:val="clear" w:color="auto" w:fill="auto"/>
            <w:vAlign w:val="center"/>
          </w:tcPr>
          <w:p w14:paraId="53E963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1400317B">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vMerge w:val="continue"/>
            <w:tcBorders>
              <w:tl2br w:val="nil"/>
              <w:tr2bl w:val="nil"/>
            </w:tcBorders>
            <w:vAlign w:val="center"/>
          </w:tcPr>
          <w:p w14:paraId="37BA127E">
            <w:pPr>
              <w:keepNext w:val="0"/>
              <w:keepLines w:val="0"/>
              <w:pageBreakBefore w:val="0"/>
              <w:kinsoku/>
              <w:wordWrap/>
              <w:overflowPunct/>
              <w:topLinePunct w:val="0"/>
              <w:autoSpaceDE/>
              <w:autoSpaceDN/>
              <w:bidi w:val="0"/>
              <w:adjustRightInd/>
              <w:snapToGrid/>
              <w:spacing w:line="240" w:lineRule="auto"/>
              <w:jc w:val="center"/>
              <w:rPr>
                <w:rFonts w:hint="eastAsia" w:ascii="宋体" w:hAnsi="宋体" w:eastAsia="宋体" w:cs="宋体"/>
                <w:sz w:val="20"/>
                <w:szCs w:val="20"/>
              </w:rPr>
            </w:pPr>
          </w:p>
        </w:tc>
        <w:tc>
          <w:tcPr>
            <w:tcW w:w="1961" w:type="dxa"/>
            <w:tcBorders>
              <w:tl2br w:val="nil"/>
              <w:tr2bl w:val="nil"/>
            </w:tcBorders>
            <w:shd w:val="clear" w:color="auto" w:fill="auto"/>
            <w:vAlign w:val="center"/>
          </w:tcPr>
          <w:p w14:paraId="78E0A1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课题成果应用率</w:t>
            </w:r>
          </w:p>
        </w:tc>
        <w:tc>
          <w:tcPr>
            <w:tcW w:w="868" w:type="dxa"/>
            <w:tcBorders>
              <w:tl2br w:val="nil"/>
              <w:tr2bl w:val="nil"/>
            </w:tcBorders>
            <w:shd w:val="clear" w:color="auto" w:fill="auto"/>
            <w:vAlign w:val="center"/>
          </w:tcPr>
          <w:p w14:paraId="3D6195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5</w:t>
            </w:r>
          </w:p>
        </w:tc>
        <w:tc>
          <w:tcPr>
            <w:tcW w:w="1236" w:type="dxa"/>
            <w:tcBorders>
              <w:tl2br w:val="nil"/>
              <w:tr2bl w:val="nil"/>
            </w:tcBorders>
            <w:shd w:val="clear" w:color="auto" w:fill="auto"/>
            <w:vAlign w:val="center"/>
          </w:tcPr>
          <w:p w14:paraId="22E6A0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≥98%</w:t>
            </w:r>
          </w:p>
        </w:tc>
        <w:tc>
          <w:tcPr>
            <w:tcW w:w="1255" w:type="dxa"/>
            <w:tcBorders>
              <w:tl2br w:val="nil"/>
              <w:tr2bl w:val="nil"/>
            </w:tcBorders>
            <w:shd w:val="clear" w:color="auto" w:fill="auto"/>
            <w:vAlign w:val="center"/>
          </w:tcPr>
          <w:p w14:paraId="394C22F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w:t>
            </w:r>
            <w:r>
              <w:rPr>
                <w:rFonts w:hint="eastAsia" w:ascii="宋体" w:hAnsi="宋体" w:eastAsia="宋体" w:cs="宋体"/>
                <w:kern w:val="0"/>
                <w:sz w:val="20"/>
                <w:szCs w:val="20"/>
                <w:lang w:val="en-US" w:eastAsia="zh-CN" w:bidi="ar"/>
              </w:rPr>
              <w:t>8</w:t>
            </w:r>
            <w:r>
              <w:rPr>
                <w:rFonts w:hint="eastAsia" w:ascii="宋体" w:hAnsi="宋体" w:eastAsia="宋体" w:cs="宋体"/>
                <w:kern w:val="0"/>
                <w:sz w:val="20"/>
                <w:szCs w:val="20"/>
                <w:lang w:bidi="ar"/>
              </w:rPr>
              <w:t>%</w:t>
            </w:r>
          </w:p>
        </w:tc>
        <w:tc>
          <w:tcPr>
            <w:tcW w:w="742" w:type="dxa"/>
            <w:tcBorders>
              <w:tl2br w:val="nil"/>
              <w:tr2bl w:val="nil"/>
            </w:tcBorders>
            <w:shd w:val="clear" w:color="auto" w:fill="auto"/>
            <w:vAlign w:val="center"/>
          </w:tcPr>
          <w:p w14:paraId="7D84752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kern w:val="0"/>
                <w:sz w:val="20"/>
                <w:szCs w:val="20"/>
                <w:lang w:val="en-US" w:eastAsia="zh-CN" w:bidi="ar"/>
              </w:rPr>
            </w:pPr>
            <w:r>
              <w:rPr>
                <w:rFonts w:hint="eastAsia" w:ascii="宋体" w:hAnsi="宋体" w:eastAsia="宋体" w:cs="宋体"/>
                <w:kern w:val="0"/>
                <w:sz w:val="20"/>
                <w:szCs w:val="20"/>
                <w:lang w:val="en-US" w:eastAsia="zh-CN" w:bidi="ar"/>
              </w:rPr>
              <w:t>5</w:t>
            </w:r>
          </w:p>
        </w:tc>
        <w:tc>
          <w:tcPr>
            <w:tcW w:w="987" w:type="dxa"/>
            <w:tcBorders>
              <w:tl2br w:val="nil"/>
              <w:tr2bl w:val="nil"/>
            </w:tcBorders>
            <w:shd w:val="clear" w:color="auto" w:fill="auto"/>
            <w:vAlign w:val="center"/>
          </w:tcPr>
          <w:p w14:paraId="0BECF61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val="en-US" w:eastAsia="zh-CN" w:bidi="ar"/>
              </w:rPr>
              <w:t>100</w:t>
            </w:r>
            <w:r>
              <w:rPr>
                <w:rFonts w:hint="eastAsia" w:ascii="宋体" w:hAnsi="宋体" w:eastAsia="宋体" w:cs="宋体"/>
                <w:kern w:val="0"/>
                <w:sz w:val="20"/>
                <w:szCs w:val="20"/>
                <w:lang w:bidi="ar"/>
              </w:rPr>
              <w:t>.00%</w:t>
            </w:r>
          </w:p>
        </w:tc>
      </w:tr>
      <w:tr w14:paraId="3579C547">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1421" w:type="dxa"/>
            <w:tcBorders>
              <w:tl2br w:val="nil"/>
              <w:tr2bl w:val="nil"/>
            </w:tcBorders>
            <w:vAlign w:val="center"/>
          </w:tcPr>
          <w:p w14:paraId="041D677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服务对象满意度指标</w:t>
            </w:r>
          </w:p>
        </w:tc>
        <w:tc>
          <w:tcPr>
            <w:tcW w:w="1961" w:type="dxa"/>
            <w:tcBorders>
              <w:tl2br w:val="nil"/>
              <w:tr2bl w:val="nil"/>
            </w:tcBorders>
            <w:shd w:val="clear" w:color="auto" w:fill="auto"/>
            <w:vAlign w:val="center"/>
          </w:tcPr>
          <w:p w14:paraId="488310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sz w:val="20"/>
                <w:szCs w:val="20"/>
              </w:rPr>
              <w:t>专家学者满意度</w:t>
            </w:r>
          </w:p>
        </w:tc>
        <w:tc>
          <w:tcPr>
            <w:tcW w:w="868" w:type="dxa"/>
            <w:tcBorders>
              <w:tl2br w:val="nil"/>
              <w:tr2bl w:val="nil"/>
            </w:tcBorders>
            <w:shd w:val="clear" w:color="auto" w:fill="auto"/>
            <w:vAlign w:val="center"/>
          </w:tcPr>
          <w:p w14:paraId="313D585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1236" w:type="dxa"/>
            <w:tcBorders>
              <w:tl2br w:val="nil"/>
              <w:tr2bl w:val="nil"/>
            </w:tcBorders>
            <w:shd w:val="clear" w:color="auto" w:fill="auto"/>
            <w:vAlign w:val="center"/>
          </w:tcPr>
          <w:p w14:paraId="3E82C7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sz w:val="20"/>
                <w:szCs w:val="20"/>
              </w:rPr>
            </w:pPr>
            <w:r>
              <w:rPr>
                <w:rFonts w:hint="eastAsia" w:ascii="宋体" w:hAnsi="宋体" w:eastAsia="宋体" w:cs="宋体"/>
                <w:kern w:val="0"/>
                <w:sz w:val="20"/>
                <w:szCs w:val="20"/>
                <w:lang w:bidi="ar"/>
              </w:rPr>
              <w:t>≥80%</w:t>
            </w:r>
          </w:p>
        </w:tc>
        <w:tc>
          <w:tcPr>
            <w:tcW w:w="1255" w:type="dxa"/>
            <w:tcBorders>
              <w:tl2br w:val="nil"/>
              <w:tr2bl w:val="nil"/>
            </w:tcBorders>
            <w:shd w:val="clear" w:color="auto" w:fill="auto"/>
            <w:vAlign w:val="center"/>
          </w:tcPr>
          <w:p w14:paraId="66DBF69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95%</w:t>
            </w:r>
          </w:p>
        </w:tc>
        <w:tc>
          <w:tcPr>
            <w:tcW w:w="742" w:type="dxa"/>
            <w:tcBorders>
              <w:tl2br w:val="nil"/>
              <w:tr2bl w:val="nil"/>
            </w:tcBorders>
            <w:shd w:val="clear" w:color="auto" w:fill="auto"/>
            <w:vAlign w:val="center"/>
          </w:tcPr>
          <w:p w14:paraId="738BE0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w:t>
            </w:r>
          </w:p>
        </w:tc>
        <w:tc>
          <w:tcPr>
            <w:tcW w:w="987" w:type="dxa"/>
            <w:tcBorders>
              <w:tl2br w:val="nil"/>
              <w:tr2bl w:val="nil"/>
            </w:tcBorders>
            <w:shd w:val="clear" w:color="auto" w:fill="auto"/>
            <w:vAlign w:val="center"/>
          </w:tcPr>
          <w:p w14:paraId="5F76B8C5">
            <w:pPr>
              <w:keepNext w:val="0"/>
              <w:keepLines w:val="0"/>
              <w:pageBreakBefore w:val="0"/>
              <w:widowControl/>
              <w:kinsoku/>
              <w:wordWrap/>
              <w:overflowPunct/>
              <w:topLinePunct w:val="0"/>
              <w:autoSpaceDE/>
              <w:autoSpaceDN/>
              <w:bidi w:val="0"/>
              <w:adjustRightInd/>
              <w:snapToGrid/>
              <w:spacing w:line="240" w:lineRule="auto"/>
              <w:jc w:val="right"/>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100.00%</w:t>
            </w:r>
          </w:p>
        </w:tc>
      </w:tr>
      <w:tr w14:paraId="32AA6916">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54" w:hRule="atLeast"/>
        </w:trPr>
        <w:tc>
          <w:tcPr>
            <w:tcW w:w="3382" w:type="dxa"/>
            <w:gridSpan w:val="2"/>
            <w:tcBorders>
              <w:tl2br w:val="nil"/>
              <w:tr2bl w:val="nil"/>
            </w:tcBorders>
            <w:shd w:val="clear" w:color="auto" w:fill="BDD6EE" w:themeFill="accent1" w:themeFillTint="66"/>
            <w:vAlign w:val="center"/>
          </w:tcPr>
          <w:p w14:paraId="18622DC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合计</w:t>
            </w:r>
          </w:p>
        </w:tc>
        <w:tc>
          <w:tcPr>
            <w:tcW w:w="868" w:type="dxa"/>
            <w:tcBorders>
              <w:tl2br w:val="nil"/>
              <w:tr2bl w:val="nil"/>
            </w:tcBorders>
            <w:shd w:val="clear" w:color="auto" w:fill="BDD6EE" w:themeFill="accent1" w:themeFillTint="66"/>
            <w:vAlign w:val="center"/>
          </w:tcPr>
          <w:p w14:paraId="7863076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bidi="ar"/>
              </w:rPr>
              <w:t>25</w:t>
            </w:r>
          </w:p>
        </w:tc>
        <w:tc>
          <w:tcPr>
            <w:tcW w:w="1236" w:type="dxa"/>
            <w:tcBorders>
              <w:tl2br w:val="nil"/>
              <w:tr2bl w:val="nil"/>
            </w:tcBorders>
            <w:shd w:val="clear" w:color="auto" w:fill="BDD6EE" w:themeFill="accent1" w:themeFillTint="66"/>
            <w:vAlign w:val="center"/>
          </w:tcPr>
          <w:p w14:paraId="50FB242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w:t>
            </w:r>
          </w:p>
        </w:tc>
        <w:tc>
          <w:tcPr>
            <w:tcW w:w="1255" w:type="dxa"/>
            <w:tcBorders>
              <w:tl2br w:val="nil"/>
              <w:tr2bl w:val="nil"/>
            </w:tcBorders>
            <w:shd w:val="clear" w:color="auto" w:fill="BDD6EE" w:themeFill="accent1" w:themeFillTint="66"/>
            <w:vAlign w:val="center"/>
          </w:tcPr>
          <w:p w14:paraId="20C973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kern w:val="0"/>
                <w:sz w:val="20"/>
                <w:szCs w:val="20"/>
                <w:lang w:bidi="ar"/>
              </w:rPr>
            </w:pPr>
            <w:r>
              <w:rPr>
                <w:rFonts w:hint="eastAsia" w:ascii="宋体" w:hAnsi="宋体" w:eastAsia="宋体" w:cs="宋体"/>
                <w:kern w:val="0"/>
                <w:sz w:val="20"/>
                <w:szCs w:val="20"/>
                <w:lang w:bidi="ar"/>
              </w:rPr>
              <w:t>-</w:t>
            </w:r>
          </w:p>
        </w:tc>
        <w:tc>
          <w:tcPr>
            <w:tcW w:w="742" w:type="dxa"/>
            <w:tcBorders>
              <w:tl2br w:val="nil"/>
              <w:tr2bl w:val="nil"/>
            </w:tcBorders>
            <w:shd w:val="clear" w:color="auto" w:fill="BDD6EE" w:themeFill="accent1" w:themeFillTint="66"/>
            <w:vAlign w:val="center"/>
          </w:tcPr>
          <w:p w14:paraId="2FCA650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eastAsia="zh-CN" w:bidi="ar"/>
              </w:rPr>
            </w:pPr>
            <w:r>
              <w:rPr>
                <w:rFonts w:hint="eastAsia" w:ascii="宋体" w:hAnsi="宋体" w:eastAsia="宋体" w:cs="宋体"/>
                <w:b/>
                <w:bCs/>
                <w:kern w:val="0"/>
                <w:sz w:val="20"/>
                <w:szCs w:val="20"/>
                <w:lang w:bidi="ar"/>
              </w:rPr>
              <w:t>2</w:t>
            </w:r>
            <w:r>
              <w:rPr>
                <w:rFonts w:hint="eastAsia" w:ascii="宋体" w:hAnsi="宋体" w:eastAsia="宋体" w:cs="宋体"/>
                <w:b/>
                <w:bCs/>
                <w:kern w:val="0"/>
                <w:sz w:val="20"/>
                <w:szCs w:val="20"/>
                <w:lang w:val="en-US" w:eastAsia="zh-CN" w:bidi="ar"/>
              </w:rPr>
              <w:t>5</w:t>
            </w:r>
          </w:p>
        </w:tc>
        <w:tc>
          <w:tcPr>
            <w:tcW w:w="987" w:type="dxa"/>
            <w:tcBorders>
              <w:tl2br w:val="nil"/>
              <w:tr2bl w:val="nil"/>
            </w:tcBorders>
            <w:shd w:val="clear" w:color="auto" w:fill="BDD6EE" w:themeFill="accent1" w:themeFillTint="66"/>
            <w:vAlign w:val="center"/>
          </w:tcPr>
          <w:p w14:paraId="571DDBB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kern w:val="0"/>
                <w:sz w:val="20"/>
                <w:szCs w:val="20"/>
                <w:lang w:bidi="ar"/>
              </w:rPr>
            </w:pPr>
            <w:r>
              <w:rPr>
                <w:rFonts w:hint="eastAsia" w:ascii="宋体" w:hAnsi="宋体" w:eastAsia="宋体" w:cs="宋体"/>
                <w:b/>
                <w:bCs/>
                <w:kern w:val="0"/>
                <w:sz w:val="20"/>
                <w:szCs w:val="20"/>
                <w:lang w:val="en-US" w:eastAsia="zh-CN" w:bidi="ar"/>
              </w:rPr>
              <w:t>100</w:t>
            </w:r>
            <w:r>
              <w:rPr>
                <w:rFonts w:hint="eastAsia" w:ascii="宋体" w:hAnsi="宋体" w:eastAsia="宋体" w:cs="宋体"/>
                <w:b/>
                <w:bCs/>
                <w:kern w:val="0"/>
                <w:sz w:val="20"/>
                <w:szCs w:val="20"/>
                <w:lang w:bidi="ar"/>
              </w:rPr>
              <w:t>.00%</w:t>
            </w:r>
          </w:p>
        </w:tc>
      </w:tr>
    </w:tbl>
    <w:p w14:paraId="0CF48D8C">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1.社会效益指标</w:t>
      </w:r>
    </w:p>
    <w:p w14:paraId="17B37390">
      <w:pPr>
        <w:pStyle w:val="49"/>
        <w:spacing w:line="560" w:lineRule="exact"/>
        <w:rPr>
          <w:rFonts w:hint="eastAsia"/>
        </w:rPr>
      </w:pPr>
      <w:r>
        <w:rPr>
          <w:rFonts w:hint="eastAsia"/>
        </w:rPr>
        <w:t>推动少数民族地区法治建设：指标分值5分，评价得分5分。为达到以科研成果促进民族地区建设和司法实践的目标，甘肃省法官学院与各高校和少数民族法制研究机构合作，承办各类专题研讨会，促进对民族地区法制文化的挖掘、整理、科研，特别是在少数民族地区宣传依法治国理念，推动民族地区法治建设，实施依法治国和依法治省战略。</w:t>
      </w:r>
    </w:p>
    <w:p w14:paraId="4F317AB3">
      <w:pPr>
        <w:pStyle w:val="49"/>
        <w:spacing w:line="560" w:lineRule="exact"/>
        <w:rPr>
          <w:rFonts w:hint="eastAsia"/>
        </w:rPr>
      </w:pPr>
      <w:r>
        <w:rPr>
          <w:rFonts w:hint="eastAsia"/>
        </w:rPr>
        <w:t>维护全省法院教育培训信息管理平台：指标分值5分，评价得分5分。为进一步适应新形势下人民法院审判执行工作发展的需要，准确把握最高人民法院司法统计数据管理的工作要求，提高全省法院的司法统计数据管理水平和数据质量，在甘肃省法官学院打造全省法院教育培训信息管理平台。</w:t>
      </w:r>
    </w:p>
    <w:p w14:paraId="1B83C3B7">
      <w:pPr>
        <w:pStyle w:val="49"/>
        <w:spacing w:line="560" w:lineRule="exact"/>
        <w:rPr>
          <w:rFonts w:hint="eastAsia"/>
        </w:rPr>
      </w:pPr>
      <w:r>
        <w:rPr>
          <w:rFonts w:hint="eastAsia"/>
        </w:rPr>
        <w:t>课题成果应用率：指标分值5分，评价得分</w:t>
      </w:r>
      <w:r>
        <w:rPr>
          <w:rFonts w:hint="eastAsia"/>
          <w:lang w:val="en-US" w:eastAsia="zh-CN"/>
        </w:rPr>
        <w:t>5</w:t>
      </w:r>
      <w:r>
        <w:rPr>
          <w:rFonts w:hint="eastAsia"/>
        </w:rPr>
        <w:t>分。开展专题调研8次以上，在进行课题调研和专题调研的基础上，形成专题调研报告和论文8篇以上，促进对民族地区法制文化的挖掘、整理、科研，展示民族法治文化研究成果。调研实际应用率达到95%</w:t>
      </w:r>
      <w:r>
        <w:rPr>
          <w:rFonts w:hint="eastAsia"/>
          <w:lang w:eastAsia="zh-CN"/>
        </w:rPr>
        <w:t>，</w:t>
      </w:r>
      <w:r>
        <w:rPr>
          <w:rFonts w:hint="eastAsia"/>
        </w:rPr>
        <w:t>扣0.75分。</w:t>
      </w:r>
    </w:p>
    <w:p w14:paraId="596A86E7">
      <w:pPr>
        <w:pStyle w:val="8"/>
        <w:tabs>
          <w:tab w:val="left" w:pos="0"/>
        </w:tabs>
        <w:overflowPunct w:val="0"/>
        <w:spacing w:line="560" w:lineRule="exact"/>
        <w:ind w:firstLine="643" w:firstLineChars="200"/>
        <w:outlineLvl w:val="2"/>
        <w:rPr>
          <w:rFonts w:hint="eastAsia" w:ascii="仿宋_GB2312" w:hAnsi="仿宋_GB2312" w:cs="仿宋_GB2312"/>
          <w:b/>
          <w:bCs/>
        </w:rPr>
      </w:pPr>
      <w:r>
        <w:rPr>
          <w:rFonts w:hint="eastAsia" w:ascii="仿宋_GB2312" w:hAnsi="仿宋_GB2312" w:cs="仿宋_GB2312"/>
          <w:b/>
          <w:bCs/>
        </w:rPr>
        <w:t>2.满意度情况</w:t>
      </w:r>
    </w:p>
    <w:p w14:paraId="21E491B3">
      <w:pPr>
        <w:pStyle w:val="49"/>
        <w:spacing w:line="560" w:lineRule="exact"/>
        <w:rPr>
          <w:rFonts w:hint="eastAsia"/>
        </w:rPr>
      </w:pPr>
      <w:bookmarkStart w:id="144" w:name="_Toc65235686"/>
      <w:bookmarkStart w:id="145" w:name="_Toc64731198"/>
      <w:bookmarkStart w:id="146" w:name="_Toc63435075"/>
      <w:bookmarkStart w:id="147" w:name="_Toc2918"/>
      <w:bookmarkStart w:id="148" w:name="_Toc4285"/>
      <w:bookmarkStart w:id="149" w:name="_Toc5674"/>
      <w:bookmarkStart w:id="150" w:name="_Toc23326"/>
      <w:r>
        <w:rPr>
          <w:rFonts w:hint="eastAsia"/>
        </w:rPr>
        <w:t>项目服务对象满意度指标主要为专家学者满意度，指标分值10分，评价得分10分，得分率100.00%。</w:t>
      </w:r>
    </w:p>
    <w:bookmarkEnd w:id="144"/>
    <w:bookmarkEnd w:id="145"/>
    <w:bookmarkEnd w:id="146"/>
    <w:bookmarkEnd w:id="147"/>
    <w:bookmarkEnd w:id="148"/>
    <w:bookmarkEnd w:id="149"/>
    <w:bookmarkEnd w:id="150"/>
    <w:p w14:paraId="7B55A67F">
      <w:pPr>
        <w:pStyle w:val="49"/>
        <w:spacing w:line="560" w:lineRule="exact"/>
        <w:rPr>
          <w:rFonts w:hint="eastAsia"/>
        </w:rPr>
      </w:pPr>
      <w:bookmarkStart w:id="151" w:name="_Toc14909"/>
      <w:bookmarkStart w:id="152" w:name="_Toc27911"/>
      <w:r>
        <w:rPr>
          <w:rFonts w:hint="eastAsia"/>
        </w:rPr>
        <w:t>评价组针对服务对象“专家学者”满意度</w:t>
      </w:r>
      <w:r>
        <w:rPr>
          <w:rFonts w:hint="eastAsia"/>
          <w:lang w:val="en-US" w:eastAsia="zh-CN"/>
        </w:rPr>
        <w:t>进行问卷调查</w:t>
      </w:r>
      <w:r>
        <w:rPr>
          <w:rFonts w:hint="eastAsia"/>
        </w:rPr>
        <w:t>，考核少数民族法制教学研究经费项目的工作成果，以评价项目产出的效益。经调查，发现当事人对法院办案质效比较满意，满意度达到95%。</w:t>
      </w:r>
    </w:p>
    <w:p w14:paraId="4710B53D">
      <w:pPr>
        <w:pStyle w:val="51"/>
        <w:spacing w:line="560" w:lineRule="exact"/>
        <w:rPr>
          <w:rFonts w:hint="eastAsia"/>
        </w:rPr>
      </w:pPr>
      <w:bookmarkStart w:id="153" w:name="_Toc174529606"/>
      <w:r>
        <w:rPr>
          <w:rFonts w:hint="eastAsia"/>
        </w:rPr>
        <w:t>六、项目主要经验及做法</w:t>
      </w:r>
      <w:bookmarkEnd w:id="151"/>
      <w:bookmarkEnd w:id="152"/>
      <w:bookmarkEnd w:id="153"/>
    </w:p>
    <w:p w14:paraId="4A5D1B2B">
      <w:pPr>
        <w:pStyle w:val="46"/>
        <w:spacing w:line="560" w:lineRule="exact"/>
        <w:rPr>
          <w:rStyle w:val="31"/>
          <w:rFonts w:hint="eastAsia" w:ascii="楷体" w:hAnsi="楷体" w:eastAsia="楷体"/>
          <w:b/>
        </w:rPr>
      </w:pPr>
      <w:bookmarkStart w:id="154" w:name="_Toc174529607"/>
      <w:r>
        <w:rPr>
          <w:rStyle w:val="31"/>
          <w:rFonts w:ascii="楷体" w:hAnsi="楷体" w:eastAsia="楷体"/>
          <w:b/>
        </w:rPr>
        <w:t>（</w:t>
      </w:r>
      <w:r>
        <w:rPr>
          <w:rStyle w:val="31"/>
          <w:rFonts w:hint="eastAsia" w:ascii="楷体" w:hAnsi="楷体" w:eastAsia="楷体"/>
          <w:b/>
        </w:rPr>
        <w:t>一</w:t>
      </w:r>
      <w:r>
        <w:rPr>
          <w:rStyle w:val="31"/>
          <w:rFonts w:ascii="楷体" w:hAnsi="楷体" w:eastAsia="楷体"/>
          <w:b/>
        </w:rPr>
        <w:t>）</w:t>
      </w:r>
      <w:r>
        <w:rPr>
          <w:rStyle w:val="31"/>
          <w:rFonts w:hint="eastAsia" w:ascii="楷体" w:hAnsi="楷体" w:eastAsia="楷体"/>
          <w:b/>
        </w:rPr>
        <w:t>全面推进新时代法治研究</w:t>
      </w:r>
      <w:bookmarkEnd w:id="154"/>
    </w:p>
    <w:p w14:paraId="16D2A51F">
      <w:pPr>
        <w:pStyle w:val="49"/>
        <w:spacing w:line="560" w:lineRule="exact"/>
        <w:rPr>
          <w:rFonts w:hint="eastAsia"/>
        </w:rPr>
      </w:pPr>
      <w:r>
        <w:rPr>
          <w:rFonts w:hint="eastAsia"/>
        </w:rPr>
        <w:t>甘肃省法官学院坚持加强中华民族共同体法治文化研究，推进法治实践调研、课题研究、咨询论证等工作，申报立项研究课题7项，结</w:t>
      </w:r>
      <w:r>
        <w:rPr>
          <w:rFonts w:hint="eastAsia"/>
          <w:lang w:eastAsia="zh-CN"/>
        </w:rPr>
        <w:t>项研</w:t>
      </w:r>
      <w:bookmarkStart w:id="198" w:name="_GoBack"/>
      <w:bookmarkEnd w:id="198"/>
      <w:r>
        <w:rPr>
          <w:rFonts w:hint="eastAsia"/>
        </w:rPr>
        <w:t>究课题4项，获评优秀民族工作调研报告3篇。加强智库建设，建成了“千人师资库”，选拔评选“百名特聘教授”，组建了260人组成的双语法学师资库和686人组成的双语法治人才库。以法治宣传引领社会法治意识形成，将法治宣传教育主动融入民族地区主动创稳创安，组织经过培训的汉藏双语政法干警深入我省民族地区开展习近平法治思想暨铸牢中华民族共同体意识宣传教育活动47场次，受教育人数4万余人次，获得“央媒看甘肃”等17家媒体深度报道。</w:t>
      </w:r>
    </w:p>
    <w:p w14:paraId="78410DF5">
      <w:pPr>
        <w:pStyle w:val="46"/>
        <w:spacing w:line="560" w:lineRule="exact"/>
        <w:rPr>
          <w:rStyle w:val="31"/>
          <w:rFonts w:hint="eastAsia" w:ascii="楷体" w:hAnsi="楷体" w:eastAsia="楷体"/>
          <w:b/>
        </w:rPr>
      </w:pPr>
      <w:bookmarkStart w:id="155" w:name="_Toc174529608"/>
      <w:r>
        <w:rPr>
          <w:rStyle w:val="31"/>
          <w:rFonts w:ascii="楷体" w:hAnsi="楷体" w:eastAsia="楷体"/>
          <w:b/>
        </w:rPr>
        <w:t>（</w:t>
      </w:r>
      <w:r>
        <w:rPr>
          <w:rStyle w:val="31"/>
          <w:rFonts w:hint="eastAsia" w:ascii="楷体" w:hAnsi="楷体" w:eastAsia="楷体"/>
          <w:b/>
        </w:rPr>
        <w:t>二</w:t>
      </w:r>
      <w:r>
        <w:rPr>
          <w:rStyle w:val="31"/>
          <w:rFonts w:ascii="楷体" w:hAnsi="楷体" w:eastAsia="楷体"/>
          <w:b/>
        </w:rPr>
        <w:t>）</w:t>
      </w:r>
      <w:r>
        <w:rPr>
          <w:rStyle w:val="31"/>
          <w:rFonts w:hint="eastAsia" w:ascii="楷体" w:hAnsi="楷体" w:eastAsia="楷体"/>
          <w:b/>
        </w:rPr>
        <w:t>举办少数民族地区的法制教学研究活动</w:t>
      </w:r>
      <w:bookmarkEnd w:id="155"/>
    </w:p>
    <w:p w14:paraId="17F67A24">
      <w:pPr>
        <w:pStyle w:val="49"/>
        <w:spacing w:line="560" w:lineRule="exact"/>
        <w:rPr>
          <w:rFonts w:hint="eastAsia"/>
        </w:rPr>
      </w:pPr>
      <w:r>
        <w:rPr>
          <w:rFonts w:hint="eastAsia"/>
        </w:rPr>
        <w:t>深挖特色品牌，探索民族团结“新样板”。持续擦亮“民族团结进步+”品牌，联合白龙江流域两省四市（州）九县（区）深入开展“白龙江流域九县（区）民族团结进步深化带”联创共建行动；有形有感有效铸牢中华民族共同体意识，开展了第20个民族团结进步宣传月活动，与舟曲县委县政府联合举办舟曲县拉尕山佐瑞文化旅游艺术节，不断探索铸牢中华民族共同体意识的实践经验。深化院地合作交流，与舟曲县签署了战略合作协议，主动投入基层社会乡村振兴、优化营商环境、环境卫生治理等重点工作领域法治保障和志愿服务9场次。广泛开展铸牢中华民族共同体意识主题教育实践活动，举办藏传佛教、伊斯兰教、基督教等宗教界代表人士政治理论专题培训班，为以法治思维和法治方式铸牢中华民族共同体意识提供了有益借鉴。</w:t>
      </w:r>
    </w:p>
    <w:p w14:paraId="7D0F2E91">
      <w:pPr>
        <w:pStyle w:val="51"/>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rPr>
      </w:pPr>
      <w:bookmarkStart w:id="156" w:name="_Toc25717"/>
      <w:bookmarkStart w:id="157" w:name="_Toc15152"/>
      <w:bookmarkStart w:id="158" w:name="_Toc174529609"/>
      <w:r>
        <w:rPr>
          <w:rFonts w:hint="eastAsia"/>
        </w:rPr>
        <w:t>七、存在的问题及原因分析</w:t>
      </w:r>
      <w:bookmarkEnd w:id="156"/>
      <w:bookmarkEnd w:id="157"/>
      <w:bookmarkEnd w:id="158"/>
    </w:p>
    <w:p w14:paraId="76BD77D6">
      <w:pPr>
        <w:pStyle w:val="46"/>
        <w:keepNext w:val="0"/>
        <w:keepLines w:val="0"/>
        <w:pageBreakBefore w:val="0"/>
        <w:widowControl w:val="0"/>
        <w:kinsoku/>
        <w:wordWrap/>
        <w:overflowPunct/>
        <w:topLinePunct w:val="0"/>
        <w:autoSpaceDE/>
        <w:autoSpaceDN/>
        <w:bidi w:val="0"/>
        <w:adjustRightInd/>
        <w:snapToGrid/>
        <w:spacing w:line="560" w:lineRule="exact"/>
        <w:ind w:left="0"/>
        <w:textAlignment w:val="auto"/>
        <w:rPr>
          <w:rStyle w:val="31"/>
          <w:rFonts w:hint="eastAsia" w:ascii="楷体" w:hAnsi="楷体" w:eastAsia="楷体"/>
          <w:b/>
        </w:rPr>
      </w:pPr>
      <w:bookmarkStart w:id="159" w:name="_Toc7160"/>
      <w:bookmarkStart w:id="160" w:name="_Toc31893"/>
      <w:bookmarkStart w:id="161" w:name="_Toc31283"/>
      <w:bookmarkStart w:id="162" w:name="_Toc10454"/>
      <w:bookmarkStart w:id="163" w:name="_Toc27415"/>
      <w:bookmarkStart w:id="164" w:name="_Toc22417"/>
      <w:bookmarkStart w:id="165" w:name="_Toc2874"/>
      <w:bookmarkStart w:id="166" w:name="_Toc18641"/>
      <w:bookmarkStart w:id="167" w:name="_Toc174529610"/>
      <w:bookmarkStart w:id="168" w:name="_Hlk174526101"/>
      <w:bookmarkStart w:id="169" w:name="_Toc19507"/>
      <w:bookmarkStart w:id="170" w:name="_Toc14622"/>
      <w:bookmarkStart w:id="171" w:name="_Toc29421"/>
      <w:r>
        <w:rPr>
          <w:rStyle w:val="31"/>
          <w:rFonts w:hint="eastAsia" w:ascii="楷体" w:hAnsi="楷体" w:eastAsia="楷体"/>
          <w:b/>
        </w:rPr>
        <w:t>（一）</w:t>
      </w:r>
      <w:bookmarkEnd w:id="159"/>
      <w:bookmarkEnd w:id="160"/>
      <w:bookmarkEnd w:id="161"/>
      <w:bookmarkEnd w:id="162"/>
      <w:bookmarkEnd w:id="163"/>
      <w:bookmarkEnd w:id="164"/>
      <w:bookmarkEnd w:id="165"/>
      <w:bookmarkEnd w:id="166"/>
      <w:bookmarkStart w:id="172" w:name="_Toc15618"/>
      <w:bookmarkStart w:id="173" w:name="_Toc12328"/>
      <w:bookmarkStart w:id="174" w:name="_Toc17195"/>
      <w:r>
        <w:rPr>
          <w:rStyle w:val="31"/>
          <w:rFonts w:hint="eastAsia" w:ascii="楷体" w:hAnsi="楷体" w:eastAsia="楷体"/>
          <w:b/>
        </w:rPr>
        <w:t>项目绩效管理有待规范</w:t>
      </w:r>
      <w:bookmarkEnd w:id="167"/>
    </w:p>
    <w:p w14:paraId="69FBEE6C">
      <w:pPr>
        <w:pStyle w:val="49"/>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rPr>
      </w:pPr>
      <w:r>
        <w:rPr>
          <w:rFonts w:hint="eastAsia"/>
        </w:rPr>
        <w:t>数量指标-课题研究数量年度目标值设置=3个，实际完成值为5个。绩效目标设置不合理，年度目标值设置偏低</w:t>
      </w:r>
      <w:r>
        <w:rPr>
          <w:rFonts w:hint="eastAsia"/>
          <w:lang w:eastAsia="zh-CN"/>
        </w:rPr>
        <w:t>，</w:t>
      </w:r>
      <w:r>
        <w:rPr>
          <w:rFonts w:hint="eastAsia"/>
        </w:rPr>
        <w:t>项目预期产出效益和效果不符合正常的业绩水平。</w:t>
      </w:r>
    </w:p>
    <w:p w14:paraId="45E5AB75">
      <w:pPr>
        <w:overflowPunct w:val="0"/>
        <w:spacing w:line="560" w:lineRule="exact"/>
        <w:ind w:firstLine="643" w:firstLineChars="200"/>
        <w:outlineLvl w:val="1"/>
        <w:rPr>
          <w:rStyle w:val="48"/>
          <w:rFonts w:hint="eastAsia"/>
        </w:rPr>
      </w:pPr>
      <w:bookmarkStart w:id="175" w:name="_Toc174529612"/>
      <w:r>
        <w:rPr>
          <w:rStyle w:val="31"/>
          <w:rFonts w:hint="eastAsia" w:ascii="楷体" w:hAnsi="楷体" w:eastAsia="楷体" w:cs="楷体"/>
        </w:rPr>
        <w:t>（</w:t>
      </w:r>
      <w:r>
        <w:rPr>
          <w:rStyle w:val="48"/>
          <w:rFonts w:hint="eastAsia" w:eastAsia="楷体"/>
          <w:lang w:val="en-US" w:eastAsia="zh-CN"/>
        </w:rPr>
        <w:t>二</w:t>
      </w:r>
      <w:r>
        <w:rPr>
          <w:rStyle w:val="48"/>
          <w:rFonts w:hint="eastAsia"/>
        </w:rPr>
        <w:t>）合同管理不规范</w:t>
      </w:r>
      <w:bookmarkEnd w:id="175"/>
    </w:p>
    <w:p w14:paraId="6D39B38A">
      <w:pPr>
        <w:pStyle w:val="49"/>
        <w:spacing w:line="560" w:lineRule="exact"/>
        <w:rPr>
          <w:rFonts w:hint="eastAsia"/>
        </w:rPr>
      </w:pPr>
      <w:r>
        <w:rPr>
          <w:rFonts w:hint="eastAsia"/>
        </w:rPr>
        <w:t>经查验甘肃省法官学院相关合同协议、会计凭证等资料，存在个别合同服务起始日期早于合同签订日期，存在先开工后补签合同情况。</w:t>
      </w:r>
      <w:bookmarkEnd w:id="168"/>
      <w:r>
        <w:rPr>
          <w:rFonts w:hint="eastAsia"/>
          <w:lang w:val="en-US" w:eastAsia="zh-CN"/>
        </w:rPr>
        <w:t>例如</w:t>
      </w:r>
      <w:r>
        <w:rPr>
          <w:rFonts w:hint="eastAsia"/>
        </w:rPr>
        <w:t>：2023</w:t>
      </w:r>
      <w:r>
        <w:t>年</w:t>
      </w:r>
      <w:r>
        <w:rPr>
          <w:rFonts w:hint="eastAsia"/>
        </w:rPr>
        <w:t>7</w:t>
      </w:r>
      <w:r>
        <w:t>月</w:t>
      </w:r>
      <w:r>
        <w:rPr>
          <w:rFonts w:hint="eastAsia"/>
        </w:rPr>
        <w:t>120</w:t>
      </w:r>
      <w:r>
        <w:t>号记账凭证反映：付</w:t>
      </w:r>
      <w:r>
        <w:rPr>
          <w:rFonts w:hint="eastAsia"/>
        </w:rPr>
        <w:t>2023</w:t>
      </w:r>
      <w:r>
        <w:t>年</w:t>
      </w:r>
      <w:r>
        <w:rPr>
          <w:rFonts w:hint="eastAsia"/>
        </w:rPr>
        <w:t>第一期</w:t>
      </w:r>
      <w:r>
        <w:t>《</w:t>
      </w:r>
      <w:r>
        <w:rPr>
          <w:rFonts w:hint="eastAsia"/>
        </w:rPr>
        <w:t>陇原法苑</w:t>
      </w:r>
      <w:r>
        <w:t>》</w:t>
      </w:r>
      <w:r>
        <w:rPr>
          <w:rFonts w:hint="eastAsia"/>
        </w:rPr>
        <w:t>2023</w:t>
      </w:r>
      <w:r>
        <w:t>年</w:t>
      </w:r>
      <w:r>
        <w:rPr>
          <w:rFonts w:hint="eastAsia"/>
        </w:rPr>
        <w:t>印刷费23,000.00元，合同有效期为2023年3月1日至2023年12月31日，合同签订日期为2023年5月25日。</w:t>
      </w:r>
    </w:p>
    <w:bookmarkEnd w:id="169"/>
    <w:bookmarkEnd w:id="170"/>
    <w:bookmarkEnd w:id="171"/>
    <w:bookmarkEnd w:id="172"/>
    <w:bookmarkEnd w:id="173"/>
    <w:bookmarkEnd w:id="174"/>
    <w:p w14:paraId="2958E052">
      <w:pPr>
        <w:pStyle w:val="51"/>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rPr>
      </w:pPr>
      <w:bookmarkStart w:id="176" w:name="_Toc174529613"/>
      <w:bookmarkStart w:id="177" w:name="_Toc15149"/>
      <w:bookmarkStart w:id="178" w:name="_Toc20992"/>
      <w:r>
        <w:rPr>
          <w:rFonts w:hint="eastAsia"/>
        </w:rPr>
        <w:t>八、有关建议</w:t>
      </w:r>
      <w:bookmarkEnd w:id="176"/>
      <w:bookmarkEnd w:id="177"/>
      <w:bookmarkEnd w:id="178"/>
    </w:p>
    <w:p w14:paraId="56DA54F6">
      <w:pPr>
        <w:pStyle w:val="46"/>
        <w:keepNext w:val="0"/>
        <w:keepLines w:val="0"/>
        <w:pageBreakBefore w:val="0"/>
        <w:widowControl w:val="0"/>
        <w:kinsoku/>
        <w:wordWrap/>
        <w:overflowPunct/>
        <w:topLinePunct w:val="0"/>
        <w:autoSpaceDE/>
        <w:autoSpaceDN/>
        <w:bidi w:val="0"/>
        <w:adjustRightInd/>
        <w:snapToGrid/>
        <w:spacing w:line="560" w:lineRule="exact"/>
        <w:ind w:left="0"/>
        <w:textAlignment w:val="auto"/>
        <w:rPr>
          <w:rStyle w:val="31"/>
          <w:rFonts w:hint="eastAsia" w:ascii="楷体" w:hAnsi="楷体" w:eastAsia="楷体"/>
          <w:b/>
        </w:rPr>
      </w:pPr>
      <w:bookmarkStart w:id="179" w:name="_Toc21313"/>
      <w:bookmarkStart w:id="180" w:name="_Toc21811"/>
      <w:bookmarkStart w:id="181" w:name="_Toc14595"/>
      <w:bookmarkStart w:id="182" w:name="_Toc10947"/>
      <w:bookmarkStart w:id="183" w:name="_Toc5096"/>
      <w:bookmarkStart w:id="184" w:name="_Toc12976"/>
      <w:bookmarkStart w:id="185" w:name="_Toc16358"/>
      <w:bookmarkStart w:id="186" w:name="_Toc26519"/>
      <w:bookmarkStart w:id="187" w:name="_Toc174529614"/>
      <w:bookmarkStart w:id="188" w:name="_Hlk174526133"/>
      <w:r>
        <w:rPr>
          <w:rStyle w:val="31"/>
          <w:rFonts w:hint="eastAsia" w:ascii="楷体" w:hAnsi="楷体" w:eastAsia="楷体"/>
          <w:b/>
        </w:rPr>
        <w:t>（一）</w:t>
      </w:r>
      <w:bookmarkEnd w:id="179"/>
      <w:bookmarkEnd w:id="180"/>
      <w:bookmarkEnd w:id="181"/>
      <w:bookmarkEnd w:id="182"/>
      <w:bookmarkEnd w:id="183"/>
      <w:bookmarkEnd w:id="184"/>
      <w:bookmarkEnd w:id="185"/>
      <w:r>
        <w:rPr>
          <w:rStyle w:val="31"/>
          <w:rFonts w:hint="eastAsia" w:ascii="楷体" w:hAnsi="楷体" w:eastAsia="楷体"/>
          <w:b/>
        </w:rPr>
        <w:t>加强绩效管理</w:t>
      </w:r>
      <w:bookmarkEnd w:id="186"/>
      <w:r>
        <w:rPr>
          <w:rStyle w:val="31"/>
          <w:rFonts w:hint="eastAsia" w:ascii="楷体" w:hAnsi="楷体" w:eastAsia="楷体"/>
          <w:b/>
        </w:rPr>
        <w:t>，提高资金使用效益</w:t>
      </w:r>
      <w:bookmarkEnd w:id="187"/>
    </w:p>
    <w:p w14:paraId="500B65D4">
      <w:pPr>
        <w:pStyle w:val="49"/>
        <w:spacing w:line="560" w:lineRule="exact"/>
        <w:rPr>
          <w:rFonts w:hint="eastAsia"/>
          <w:highlight w:val="yellow"/>
        </w:rPr>
      </w:pPr>
      <w:bookmarkStart w:id="189" w:name="_Toc2427"/>
      <w:bookmarkStart w:id="190" w:name="_Toc19966"/>
      <w:bookmarkStart w:id="191" w:name="_Toc22207"/>
      <w:bookmarkStart w:id="192" w:name="_Toc26807"/>
      <w:r>
        <w:rPr>
          <w:rFonts w:hint="eastAsia"/>
        </w:rPr>
        <w:t>一是建议甘肃省法官学院加强预算编制的前瞻性，科学、合理地编制年度目标。二是建议甘肃省法官学院进行项目申报时，按照《甘肃省省级预算绩效目标管理办法》的要求，根据本年度项目计划内容和上年度工作量填报绩效目标申报表，绩效目标设定绩效指标时，绩效目标应与计划期内的任务数或计划数相对应，与预算确定的投资额或资金量相匹配；绩效目标应具有可行性，对完成任务目标具有约束力，不宜过高或过低，以更好地反映和考核项目绩效目标与项目实施的相符情况，提高预算管理水平。三是组织开展预算绩效管理相关业务知识和技能培训，帮助甘肃省法官学院相关的业务人员掌握编制绩效目标的原理和方法，从而提高绩效目标编制的水平和质量。</w:t>
      </w:r>
    </w:p>
    <w:p w14:paraId="6EEE8231">
      <w:pPr>
        <w:pStyle w:val="46"/>
        <w:spacing w:line="560" w:lineRule="exact"/>
        <w:rPr>
          <w:rStyle w:val="31"/>
          <w:rFonts w:hint="eastAsia" w:ascii="楷体" w:hAnsi="楷体" w:eastAsia="楷体"/>
          <w:b/>
        </w:rPr>
      </w:pPr>
      <w:r>
        <w:rPr>
          <w:rStyle w:val="31"/>
          <w:rFonts w:ascii="楷体" w:hAnsi="楷体" w:eastAsia="楷体"/>
          <w:b/>
        </w:rPr>
        <w:t>（</w:t>
      </w:r>
      <w:r>
        <w:rPr>
          <w:rStyle w:val="31"/>
          <w:rFonts w:hint="eastAsia" w:ascii="楷体" w:hAnsi="楷体" w:eastAsia="楷体"/>
          <w:b/>
        </w:rPr>
        <w:t>二</w:t>
      </w:r>
      <w:r>
        <w:rPr>
          <w:rStyle w:val="31"/>
          <w:rFonts w:ascii="楷体" w:hAnsi="楷体" w:eastAsia="楷体"/>
          <w:b/>
        </w:rPr>
        <w:t>）</w:t>
      </w:r>
      <w:r>
        <w:rPr>
          <w:rStyle w:val="31"/>
          <w:rFonts w:hint="eastAsia" w:ascii="楷体" w:hAnsi="楷体" w:eastAsia="楷体"/>
          <w:b/>
        </w:rPr>
        <w:t>加强合同管理的规范性</w:t>
      </w:r>
    </w:p>
    <w:p w14:paraId="5FC81316">
      <w:pPr>
        <w:pStyle w:val="49"/>
        <w:spacing w:line="560" w:lineRule="exact"/>
        <w:rPr>
          <w:rFonts w:hint="eastAsia"/>
        </w:rPr>
      </w:pPr>
      <w:r>
        <w:rPr>
          <w:rFonts w:hint="eastAsia"/>
        </w:rPr>
        <w:t>规范合同签订管理，先开展招标工作后签订合同，避免先开展服务后补签合同情况的发生，确保合同内容符合有关规章制度的规定。</w:t>
      </w:r>
    </w:p>
    <w:bookmarkEnd w:id="188"/>
    <w:bookmarkEnd w:id="189"/>
    <w:bookmarkEnd w:id="190"/>
    <w:bookmarkEnd w:id="191"/>
    <w:bookmarkEnd w:id="192"/>
    <w:p w14:paraId="4562AADE">
      <w:pPr>
        <w:pStyle w:val="8"/>
        <w:overflowPunct w:val="0"/>
        <w:spacing w:line="560" w:lineRule="exact"/>
        <w:ind w:firstLine="640" w:firstLineChars="200"/>
        <w:outlineLvl w:val="0"/>
        <w:rPr>
          <w:rFonts w:hint="eastAsia" w:ascii="黑体" w:hAnsi="黑体" w:eastAsia="黑体" w:cs="仿宋"/>
        </w:rPr>
      </w:pPr>
      <w:bookmarkStart w:id="193" w:name="_Toc174529615"/>
      <w:bookmarkStart w:id="194" w:name="_Toc14765"/>
      <w:bookmarkStart w:id="195" w:name="_Toc8653"/>
      <w:r>
        <w:rPr>
          <w:rFonts w:hint="eastAsia" w:ascii="黑体" w:hAnsi="黑体" w:eastAsia="黑体" w:cs="仿宋"/>
        </w:rPr>
        <w:t>九、需要说明的问题</w:t>
      </w:r>
      <w:bookmarkEnd w:id="193"/>
      <w:bookmarkEnd w:id="194"/>
      <w:bookmarkEnd w:id="195"/>
    </w:p>
    <w:p w14:paraId="7B9E7E1C">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无。</w:t>
      </w:r>
      <w:bookmarkStart w:id="196" w:name="_Toc28005"/>
    </w:p>
    <w:p w14:paraId="61970046">
      <w:pPr>
        <w:pStyle w:val="8"/>
        <w:overflowPunct w:val="0"/>
        <w:spacing w:line="560" w:lineRule="exact"/>
        <w:jc w:val="left"/>
        <w:rPr>
          <w:rFonts w:hint="eastAsia" w:ascii="仿宋_GB2312" w:hAnsi="仿宋_GB2312" w:cs="仿宋_GB2312"/>
        </w:rPr>
      </w:pPr>
    </w:p>
    <w:p w14:paraId="4E63EE11">
      <w:pPr>
        <w:pStyle w:val="8"/>
        <w:overflowPunct w:val="0"/>
        <w:spacing w:line="560" w:lineRule="exact"/>
        <w:jc w:val="left"/>
        <w:rPr>
          <w:rFonts w:hint="eastAsia" w:ascii="仿宋_GB2312" w:hAnsi="仿宋_GB2312" w:cs="仿宋_GB2312"/>
        </w:rPr>
      </w:pPr>
    </w:p>
    <w:p w14:paraId="2C577EE9">
      <w:pPr>
        <w:pStyle w:val="8"/>
        <w:overflowPunct w:val="0"/>
        <w:spacing w:line="560" w:lineRule="exact"/>
        <w:jc w:val="left"/>
        <w:rPr>
          <w:rFonts w:hint="eastAsia" w:ascii="仿宋_GB2312" w:hAnsi="仿宋_GB2312" w:cs="仿宋_GB2312"/>
        </w:rPr>
      </w:pPr>
    </w:p>
    <w:p w14:paraId="08D6778A">
      <w:pPr>
        <w:pStyle w:val="8"/>
        <w:overflowPunct w:val="0"/>
        <w:spacing w:line="560" w:lineRule="exact"/>
        <w:jc w:val="left"/>
        <w:rPr>
          <w:rFonts w:hint="eastAsia" w:ascii="仿宋_GB2312" w:hAnsi="仿宋_GB2312" w:cs="仿宋_GB2312"/>
        </w:rPr>
      </w:pPr>
    </w:p>
    <w:p w14:paraId="25A8F014">
      <w:pPr>
        <w:pStyle w:val="8"/>
        <w:overflowPunct w:val="0"/>
        <w:spacing w:line="560" w:lineRule="exact"/>
        <w:jc w:val="left"/>
        <w:rPr>
          <w:rFonts w:hint="eastAsia" w:ascii="仿宋_GB2312" w:hAnsi="仿宋_GB2312" w:cs="仿宋_GB2312"/>
        </w:rPr>
      </w:pPr>
    </w:p>
    <w:p w14:paraId="230F6A12">
      <w:pPr>
        <w:pStyle w:val="8"/>
        <w:overflowPunct w:val="0"/>
        <w:spacing w:line="560" w:lineRule="exact"/>
        <w:jc w:val="left"/>
        <w:rPr>
          <w:rFonts w:hint="eastAsia" w:ascii="仿宋_GB2312" w:hAnsi="仿宋_GB2312" w:cs="仿宋_GB2312"/>
        </w:rPr>
      </w:pPr>
    </w:p>
    <w:p w14:paraId="3FAD732D">
      <w:pPr>
        <w:pStyle w:val="8"/>
        <w:overflowPunct w:val="0"/>
        <w:spacing w:line="560" w:lineRule="exact"/>
        <w:jc w:val="left"/>
        <w:rPr>
          <w:rFonts w:hint="eastAsia" w:ascii="仿宋_GB2312" w:hAnsi="仿宋_GB2312" w:cs="仿宋_GB2312"/>
        </w:rPr>
      </w:pPr>
    </w:p>
    <w:p w14:paraId="21890874">
      <w:pPr>
        <w:pStyle w:val="8"/>
        <w:overflowPunct w:val="0"/>
        <w:spacing w:line="560" w:lineRule="exact"/>
        <w:jc w:val="left"/>
        <w:rPr>
          <w:rFonts w:hint="eastAsia" w:ascii="仿宋_GB2312" w:hAnsi="仿宋_GB2312" w:cs="仿宋_GB2312"/>
        </w:rPr>
      </w:pPr>
    </w:p>
    <w:p w14:paraId="13B497D6">
      <w:pPr>
        <w:pStyle w:val="8"/>
        <w:overflowPunct w:val="0"/>
        <w:spacing w:line="560" w:lineRule="exact"/>
        <w:jc w:val="left"/>
        <w:rPr>
          <w:rFonts w:hint="eastAsia" w:ascii="仿宋_GB2312" w:hAnsi="仿宋_GB2312" w:cs="仿宋_GB2312"/>
        </w:rPr>
      </w:pPr>
      <w:r>
        <w:rPr>
          <w:rFonts w:hint="eastAsia" w:ascii="仿宋_GB2312" w:hAnsi="仿宋_GB2312" w:cs="仿宋_GB2312"/>
        </w:rPr>
        <w:t>附件：</w:t>
      </w:r>
    </w:p>
    <w:p w14:paraId="1B8AAA6B">
      <w:pPr>
        <w:pStyle w:val="8"/>
        <w:overflowPunct w:val="0"/>
        <w:spacing w:line="560" w:lineRule="exact"/>
        <w:ind w:firstLine="640" w:firstLineChars="200"/>
        <w:rPr>
          <w:rFonts w:hint="eastAsia" w:ascii="仿宋_GB2312" w:hAnsi="仿宋_GB2312" w:cs="仿宋_GB2312"/>
        </w:rPr>
      </w:pPr>
      <w:r>
        <w:rPr>
          <w:rFonts w:hint="eastAsia" w:ascii="仿宋_GB2312" w:hAnsi="仿宋_GB2312" w:cs="仿宋_GB2312"/>
        </w:rPr>
        <w:t>1.</w:t>
      </w:r>
      <w:bookmarkEnd w:id="196"/>
      <w:r>
        <w:rPr>
          <w:rFonts w:hint="eastAsia" w:ascii="仿宋_GB2312" w:hAnsi="仿宋_GB2312" w:cs="仿宋_GB2312"/>
        </w:rPr>
        <w:t>少数民族法制教学研究经费项目支出绩效评价评分表</w:t>
      </w:r>
    </w:p>
    <w:p w14:paraId="3C1BD931">
      <w:pPr>
        <w:pStyle w:val="8"/>
        <w:overflowPunct w:val="0"/>
        <w:spacing w:line="560" w:lineRule="exact"/>
        <w:ind w:firstLine="640" w:firstLineChars="200"/>
        <w:rPr>
          <w:rFonts w:hint="eastAsia" w:ascii="仿宋_GB2312" w:hAnsi="仿宋_GB2312" w:cs="仿宋_GB2312"/>
        </w:rPr>
      </w:pPr>
      <w:bookmarkStart w:id="197" w:name="_Toc15958"/>
      <w:r>
        <w:rPr>
          <w:rFonts w:hint="eastAsia" w:ascii="仿宋_GB2312" w:hAnsi="仿宋_GB2312" w:cs="仿宋_GB2312"/>
        </w:rPr>
        <w:t>2.少数民族法制教学研究经费项目问题清单</w:t>
      </w:r>
    </w:p>
    <w:bookmarkEnd w:id="197"/>
    <w:p w14:paraId="1EA2B091">
      <w:pPr>
        <w:pStyle w:val="14"/>
        <w:overflowPunct w:val="0"/>
        <w:spacing w:line="560" w:lineRule="exact"/>
        <w:rPr>
          <w:rFonts w:hint="eastAsia" w:ascii="仿宋" w:hAnsi="仿宋" w:eastAsia="仿宋" w:cs="仿宋"/>
          <w:sz w:val="32"/>
          <w:szCs w:val="32"/>
        </w:rPr>
      </w:pPr>
    </w:p>
    <w:p w14:paraId="30AB17DF">
      <w:pPr>
        <w:pStyle w:val="14"/>
        <w:overflowPunct w:val="0"/>
        <w:spacing w:line="560" w:lineRule="exact"/>
        <w:rPr>
          <w:rFonts w:hint="eastAsia" w:ascii="仿宋_GB2312" w:hAnsi="仿宋_GB2312" w:eastAsia="仿宋_GB2312" w:cs="仿宋_GB2312"/>
          <w:sz w:val="32"/>
          <w:szCs w:val="32"/>
        </w:rPr>
      </w:pPr>
    </w:p>
    <w:p w14:paraId="3F60B54D">
      <w:pPr>
        <w:pStyle w:val="14"/>
        <w:overflowPunct w:val="0"/>
        <w:spacing w:line="560" w:lineRule="exact"/>
        <w:rPr>
          <w:rFonts w:hint="eastAsia" w:ascii="仿宋_GB2312" w:hAnsi="仿宋_GB2312" w:eastAsia="仿宋_GB2312" w:cs="仿宋_GB2312"/>
          <w:sz w:val="32"/>
          <w:szCs w:val="32"/>
        </w:rPr>
      </w:pPr>
    </w:p>
    <w:p w14:paraId="434DC9AE">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8B8AC6D">
      <w:pPr>
        <w:pStyle w:val="14"/>
        <w:overflowPunct w:val="0"/>
        <w:spacing w:line="560" w:lineRule="exact"/>
        <w:rPr>
          <w:rFonts w:hint="eastAsia" w:ascii="仿宋_GB2312" w:hAnsi="仿宋_GB2312" w:eastAsia="仿宋_GB2312" w:cs="仿宋_GB2312"/>
          <w:sz w:val="32"/>
          <w:szCs w:val="32"/>
        </w:rPr>
      </w:pPr>
    </w:p>
    <w:p w14:paraId="587A686D">
      <w:pPr>
        <w:pStyle w:val="14"/>
        <w:overflowPunct w:val="0"/>
        <w:spacing w:line="560" w:lineRule="exact"/>
        <w:rPr>
          <w:rFonts w:hint="eastAsia" w:ascii="仿宋_GB2312" w:hAnsi="仿宋_GB2312" w:eastAsia="仿宋_GB2312" w:cs="仿宋_GB2312"/>
          <w:sz w:val="32"/>
          <w:szCs w:val="32"/>
        </w:rPr>
      </w:pPr>
    </w:p>
    <w:p w14:paraId="44B2889E">
      <w:pPr>
        <w:pStyle w:val="14"/>
        <w:overflowPunct w:val="0"/>
        <w:spacing w:line="560" w:lineRule="exact"/>
        <w:rPr>
          <w:rFonts w:hint="eastAsia" w:ascii="仿宋_GB2312" w:hAnsi="仿宋_GB2312" w:eastAsia="仿宋_GB2312" w:cs="仿宋_GB2312"/>
          <w:sz w:val="32"/>
          <w:szCs w:val="32"/>
        </w:rPr>
      </w:pPr>
    </w:p>
    <w:p w14:paraId="3C56E472">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甘肃卓诚财务咨询有限公司</w:t>
      </w:r>
    </w:p>
    <w:p w14:paraId="59006825">
      <w:pPr>
        <w:pStyle w:val="14"/>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D419106">
      <w:pPr>
        <w:pStyle w:val="14"/>
        <w:overflowPunct w:val="0"/>
        <w:spacing w:line="560" w:lineRule="exact"/>
        <w:ind w:firstLine="5120" w:firstLine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2024年7月31日</w:t>
      </w:r>
    </w:p>
    <w:sectPr>
      <w:pgSz w:w="11906" w:h="16838"/>
      <w:pgMar w:top="1440" w:right="1803" w:bottom="1383" w:left="1633" w:header="851" w:footer="992"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311736-7716-49C2-84FA-788CA30294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1EA5CE40-CD1A-4220-AF1A-E436DE4B47A9}"/>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FD7AE24E-7CFB-4F4C-B19A-19FC6949AE0D}"/>
  </w:font>
  <w:font w:name="楷体">
    <w:panose1 w:val="02010609060101010101"/>
    <w:charset w:val="86"/>
    <w:family w:val="modern"/>
    <w:pitch w:val="default"/>
    <w:sig w:usb0="800002BF" w:usb1="38CF7CFA" w:usb2="00000016" w:usb3="00000000" w:csb0="00040001" w:csb1="00000000"/>
    <w:embedRegular r:id="rId4" w:fontKey="{D4D0DF75-339C-4B56-AC11-AE606A45D49C}"/>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08090">
    <w:pPr>
      <w:pStyle w:val="13"/>
    </w:pPr>
    <w:r>
      <w:rPr>
        <w:rFonts w:hint="eastAsia" w:ascii="黑体" w:hAnsi="黑体" w:eastAsia="黑体" w:cs="黑体"/>
      </w:rPr>
      <w:t>地址：甘肃省兰州市城关区南滨河东路5148号名城广场1栋1单元20层2016室       电话：0931-2906259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D71B">
    <w:pPr>
      <w:pStyle w:val="13"/>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112AEE2E">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12C50">
    <w:pPr>
      <w:pStyle w:val="13"/>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310D44EE">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8054E">
    <w:pPr>
      <w:pStyle w:val="13"/>
      <w:pBdr>
        <w:top w:val="single" w:color="auto" w:sz="4" w:space="0"/>
      </w:pBdr>
      <w:jc w:val="center"/>
      <w:rPr>
        <w:rFonts w:hint="eastAsia" w:ascii="黑体" w:hAnsi="黑体" w:eastAsia="黑体" w:cs="黑体"/>
      </w:rPr>
    </w:pPr>
    <w:r>
      <w:rPr>
        <w:rFonts w:hint="eastAsia" w:ascii="黑体" w:hAnsi="黑体" w:eastAsia="黑体" w:cs="黑体"/>
      </w:rPr>
      <w:t>地址：甘肃省兰州市城关区南滨河东路5148号名城广场1栋1单元20层2016室       电话：0931-2906259</w:t>
    </w:r>
  </w:p>
  <w:p w14:paraId="3FC82389">
    <w:pPr>
      <w:pStyle w:val="13"/>
    </w:pPr>
    <w:r>
      <mc:AlternateContent>
        <mc:Choice Requires="wps">
          <w:drawing>
            <wp:anchor distT="0" distB="0" distL="114300" distR="114300" simplePos="0" relativeHeight="251660288" behindDoc="0" locked="0" layoutInCell="1" allowOverlap="1">
              <wp:simplePos x="0" y="0"/>
              <wp:positionH relativeFrom="margin">
                <wp:posOffset>2574925</wp:posOffset>
              </wp:positionH>
              <wp:positionV relativeFrom="paragraph">
                <wp:posOffset>113030</wp:posOffset>
              </wp:positionV>
              <wp:extent cx="365760" cy="1828800"/>
              <wp:effectExtent l="0" t="0" r="15240" b="6350"/>
              <wp:wrapNone/>
              <wp:docPr id="5" name="文本框 5"/>
              <wp:cNvGraphicFramePr/>
              <a:graphic xmlns:a="http://schemas.openxmlformats.org/drawingml/2006/main">
                <a:graphicData uri="http://schemas.microsoft.com/office/word/2010/wordprocessingShape">
                  <wps:wsp>
                    <wps:cNvSpPr txBox="1"/>
                    <wps:spPr>
                      <a:xfrm>
                        <a:off x="0" y="0"/>
                        <a:ext cx="3657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BB51B">
                          <w:pPr>
                            <w:pStyle w:val="1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2.75pt;margin-top:8.9pt;height:144pt;width:28.8pt;mso-position-horizontal-relative:margin;z-index:251660288;mso-width-relative:page;mso-height-relative:page;" filled="f" stroked="f" coordsize="21600,21600" o:gfxdata="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ZXl/2QAAAAoBAAAPAAAAAAAAAAEAIAAAACIAAABkcnMvZG93bnJldi54&#10;bWxQSwECFAAUAAAACACHTuJAeDSbVTICAABWBAAADgAAAAAAAAABACAAAAAoAQAAZHJzL2Uyb0Rv&#10;Yy54bWxQSwUGAAAAAAYABgBZAQAAzAUAAAAA&#10;">
              <v:fill on="f" focussize="0,0"/>
              <v:stroke on="f" weight="0.5pt"/>
              <v:imagedata o:title=""/>
              <o:lock v:ext="edit" aspectratio="f"/>
              <v:textbox inset="0mm,0mm,0mm,0mm" style="mso-fit-shape-to-text:t;">
                <w:txbxContent>
                  <w:p w14:paraId="585BB51B">
                    <w:pPr>
                      <w:pStyle w:val="1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B75B2">
    <w:pPr>
      <w:pStyle w:val="13"/>
      <w:pBdr>
        <w:top w:val="single" w:color="auto" w:sz="4" w:space="1"/>
        <w:left w:val="none" w:color="auto" w:sz="0" w:space="4"/>
        <w:bottom w:val="none" w:color="auto" w:sz="0" w:space="1"/>
        <w:right w:val="none" w:color="auto" w:sz="0" w:space="4"/>
      </w:pBdr>
      <w:spacing w:line="360" w:lineRule="auto"/>
      <w:jc w:val="both"/>
    </w:pPr>
    <w:r>
      <mc:AlternateContent>
        <mc:Choice Requires="wps">
          <w:drawing>
            <wp:anchor distT="0" distB="0" distL="114300" distR="114300" simplePos="0" relativeHeight="251661312" behindDoc="0" locked="0" layoutInCell="1" allowOverlap="1">
              <wp:simplePos x="0" y="0"/>
              <wp:positionH relativeFrom="margin">
                <wp:posOffset>2546985</wp:posOffset>
              </wp:positionH>
              <wp:positionV relativeFrom="paragraph">
                <wp:posOffset>229235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E936BA">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0.55pt;margin-top:18.05pt;height:144pt;width:144pt;mso-position-horizontal-relative:margin;mso-wrap-style:none;z-index:251661312;mso-width-relative:page;mso-height-relative:page;" filled="f" stroked="f" coordsize="21600,21600" o:gfxdata="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9GUTBNYAAAAKAQAADwAAAAAAAAABACAAAAAiAAAAZHJzL2Rvd25yZXYueG1sUEsBAhQAFAAA&#10;AAgAh07iQCbVWnMqAgAAVQQAAA4AAAAAAAAAAQAgAAAAJQEAAGRycy9lMm9Eb2MueG1sUEsFBgAA&#10;AAAGAAYAWQEAAMEFAAAAAA==&#10;">
              <v:fill on="f" focussize="0,0"/>
              <v:stroke on="f" weight="0.5pt"/>
              <v:imagedata o:title=""/>
              <o:lock v:ext="edit" aspectratio="f"/>
              <v:textbox inset="0mm,0mm,0mm,0mm" style="mso-fit-shape-to-text:t;">
                <w:txbxContent>
                  <w:p w14:paraId="74E936BA">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黑体" w:hAnsi="黑体" w:eastAsia="黑体" w:cs="黑体"/>
      </w:rPr>
      <w:t>地址：甘肃省兰州市城关区南滨河东路5148号名城广场1栋1单元20层2016室       电话：0931-2906259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2B899">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EA916">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1" name="图片 1"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FF4AE">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2" name="图片 2"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p w14:paraId="355C07ED">
    <w:pPr>
      <w:pStyle w:val="1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D2F">
    <w:pPr>
      <w:pStyle w:val="14"/>
      <w:pBdr>
        <w:bottom w:val="none" w:color="auto" w:sz="0" w:space="0"/>
      </w:pBdr>
    </w:pPr>
    <w:r>
      <w:rPr>
        <w:rFonts w:ascii="仿宋" w:hAnsi="仿宋" w:eastAsia="仿宋" w:cs="仿宋"/>
        <w:b/>
        <w:color w:val="000000" w:themeColor="text1"/>
        <w:u w:val="single"/>
        <w14:textFill>
          <w14:solidFill>
            <w14:schemeClr w14:val="tx1"/>
          </w14:solidFill>
        </w14:textFill>
      </w:rPr>
      <w:drawing>
        <wp:inline distT="0" distB="0" distL="114300" distR="114300">
          <wp:extent cx="407035" cy="348615"/>
          <wp:effectExtent l="0" t="0" r="12065" b="6985"/>
          <wp:docPr id="3" name="图片 3" descr="IMG_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1868"/>
                  <pic:cNvPicPr>
                    <a:picLocks noChangeAspect="1"/>
                  </pic:cNvPicPr>
                </pic:nvPicPr>
                <pic:blipFill>
                  <a:blip r:embed="rId1"/>
                  <a:stretch>
                    <a:fillRect/>
                  </a:stretch>
                </pic:blipFill>
                <pic:spPr>
                  <a:xfrm>
                    <a:off x="0" y="0"/>
                    <a:ext cx="407035" cy="348615"/>
                  </a:xfrm>
                  <a:prstGeom prst="rect">
                    <a:avLst/>
                  </a:prstGeom>
                  <a:noFill/>
                  <a:ln>
                    <a:noFill/>
                  </a:ln>
                </pic:spPr>
              </pic:pic>
            </a:graphicData>
          </a:graphic>
        </wp:inline>
      </w:drawing>
    </w:r>
    <w:r>
      <w:rPr>
        <w:rFonts w:hint="eastAsia" w:ascii="仿宋" w:hAnsi="仿宋" w:eastAsia="仿宋" w:cs="仿宋"/>
        <w:b/>
        <w:color w:val="000000" w:themeColor="text1"/>
        <w:u w:val="single"/>
        <w14:textFill>
          <w14:solidFill>
            <w14:schemeClr w14:val="tx1"/>
          </w14:solidFill>
        </w14:textFill>
      </w:rPr>
      <w:t xml:space="preserve">                                                                        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6D6B77"/>
    <w:multiLevelType w:val="singleLevel"/>
    <w:tmpl w:val="7B6D6B77"/>
    <w:lvl w:ilvl="0" w:tentative="0">
      <w:start w:val="1"/>
      <w:numFmt w:val="chineseCounting"/>
      <w:pStyle w:val="44"/>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lYmY1MTgwOGU5Yjc1ZjhiNGE5NWFhODQxN2YyNjIifQ=="/>
  </w:docVars>
  <w:rsids>
    <w:rsidRoot w:val="0F9473FE"/>
    <w:rsid w:val="0000216A"/>
    <w:rsid w:val="00003ED2"/>
    <w:rsid w:val="0001436E"/>
    <w:rsid w:val="00015821"/>
    <w:rsid w:val="00024278"/>
    <w:rsid w:val="00037090"/>
    <w:rsid w:val="0004347B"/>
    <w:rsid w:val="00046BCA"/>
    <w:rsid w:val="000518F6"/>
    <w:rsid w:val="00051C05"/>
    <w:rsid w:val="00055A98"/>
    <w:rsid w:val="00062108"/>
    <w:rsid w:val="00064326"/>
    <w:rsid w:val="000643BA"/>
    <w:rsid w:val="00065073"/>
    <w:rsid w:val="0006545E"/>
    <w:rsid w:val="00071B59"/>
    <w:rsid w:val="000753A4"/>
    <w:rsid w:val="00084761"/>
    <w:rsid w:val="00093D65"/>
    <w:rsid w:val="000A4A33"/>
    <w:rsid w:val="000A4E2C"/>
    <w:rsid w:val="000C1B1E"/>
    <w:rsid w:val="000E74CC"/>
    <w:rsid w:val="000F2060"/>
    <w:rsid w:val="000F34E0"/>
    <w:rsid w:val="000F6DC5"/>
    <w:rsid w:val="00100C77"/>
    <w:rsid w:val="00104E60"/>
    <w:rsid w:val="00106C8C"/>
    <w:rsid w:val="001104A4"/>
    <w:rsid w:val="001105B7"/>
    <w:rsid w:val="00112EEC"/>
    <w:rsid w:val="00113F45"/>
    <w:rsid w:val="00131503"/>
    <w:rsid w:val="001318C8"/>
    <w:rsid w:val="00135A90"/>
    <w:rsid w:val="00137C9D"/>
    <w:rsid w:val="00140940"/>
    <w:rsid w:val="00141CF0"/>
    <w:rsid w:val="0014363A"/>
    <w:rsid w:val="001531B6"/>
    <w:rsid w:val="0015398F"/>
    <w:rsid w:val="00170334"/>
    <w:rsid w:val="00172CD5"/>
    <w:rsid w:val="00172DFF"/>
    <w:rsid w:val="001805DA"/>
    <w:rsid w:val="00185B62"/>
    <w:rsid w:val="00194BF7"/>
    <w:rsid w:val="0019777D"/>
    <w:rsid w:val="001A2BE6"/>
    <w:rsid w:val="001B6342"/>
    <w:rsid w:val="001C6CD6"/>
    <w:rsid w:val="001D19B7"/>
    <w:rsid w:val="00203DC9"/>
    <w:rsid w:val="0020515B"/>
    <w:rsid w:val="0020543E"/>
    <w:rsid w:val="00205DD0"/>
    <w:rsid w:val="00215CDB"/>
    <w:rsid w:val="00232042"/>
    <w:rsid w:val="002324DF"/>
    <w:rsid w:val="00241032"/>
    <w:rsid w:val="00246D16"/>
    <w:rsid w:val="00253723"/>
    <w:rsid w:val="00253BD7"/>
    <w:rsid w:val="002555FD"/>
    <w:rsid w:val="00256EBC"/>
    <w:rsid w:val="00264411"/>
    <w:rsid w:val="00266D9D"/>
    <w:rsid w:val="00267454"/>
    <w:rsid w:val="0028698A"/>
    <w:rsid w:val="00290093"/>
    <w:rsid w:val="002967A9"/>
    <w:rsid w:val="00296D38"/>
    <w:rsid w:val="002A2649"/>
    <w:rsid w:val="002A7299"/>
    <w:rsid w:val="002B0F11"/>
    <w:rsid w:val="002B1773"/>
    <w:rsid w:val="002C6AED"/>
    <w:rsid w:val="002D1330"/>
    <w:rsid w:val="002D789A"/>
    <w:rsid w:val="002D79DD"/>
    <w:rsid w:val="002E3891"/>
    <w:rsid w:val="002E6422"/>
    <w:rsid w:val="002E6FF7"/>
    <w:rsid w:val="002F33E7"/>
    <w:rsid w:val="002F6372"/>
    <w:rsid w:val="00305812"/>
    <w:rsid w:val="00307F85"/>
    <w:rsid w:val="0031439E"/>
    <w:rsid w:val="0033184B"/>
    <w:rsid w:val="00334F96"/>
    <w:rsid w:val="003367B3"/>
    <w:rsid w:val="00351E08"/>
    <w:rsid w:val="003530BD"/>
    <w:rsid w:val="00353E30"/>
    <w:rsid w:val="00355885"/>
    <w:rsid w:val="00355CF4"/>
    <w:rsid w:val="003610F3"/>
    <w:rsid w:val="003631E5"/>
    <w:rsid w:val="00363DA7"/>
    <w:rsid w:val="0036744F"/>
    <w:rsid w:val="00373D40"/>
    <w:rsid w:val="00375AD2"/>
    <w:rsid w:val="0038540D"/>
    <w:rsid w:val="003947F2"/>
    <w:rsid w:val="00395522"/>
    <w:rsid w:val="00395F53"/>
    <w:rsid w:val="003B223D"/>
    <w:rsid w:val="003B748F"/>
    <w:rsid w:val="003C0E0C"/>
    <w:rsid w:val="003D5C85"/>
    <w:rsid w:val="003D6A57"/>
    <w:rsid w:val="003F59A3"/>
    <w:rsid w:val="003F7310"/>
    <w:rsid w:val="003F742B"/>
    <w:rsid w:val="003F7489"/>
    <w:rsid w:val="004001D5"/>
    <w:rsid w:val="0040352E"/>
    <w:rsid w:val="00416B2C"/>
    <w:rsid w:val="00423018"/>
    <w:rsid w:val="00427FB9"/>
    <w:rsid w:val="00433725"/>
    <w:rsid w:val="004349C8"/>
    <w:rsid w:val="00436D4B"/>
    <w:rsid w:val="00437D0A"/>
    <w:rsid w:val="00440370"/>
    <w:rsid w:val="004617FB"/>
    <w:rsid w:val="004718C0"/>
    <w:rsid w:val="004731A6"/>
    <w:rsid w:val="00476AA1"/>
    <w:rsid w:val="0048717A"/>
    <w:rsid w:val="00490EB6"/>
    <w:rsid w:val="00495970"/>
    <w:rsid w:val="004B4902"/>
    <w:rsid w:val="004C148D"/>
    <w:rsid w:val="004C24F5"/>
    <w:rsid w:val="004D25FD"/>
    <w:rsid w:val="004D3F9E"/>
    <w:rsid w:val="004E1F13"/>
    <w:rsid w:val="004E229D"/>
    <w:rsid w:val="004E291E"/>
    <w:rsid w:val="004E55D3"/>
    <w:rsid w:val="004F1169"/>
    <w:rsid w:val="004F1576"/>
    <w:rsid w:val="005004FB"/>
    <w:rsid w:val="005035F7"/>
    <w:rsid w:val="00504267"/>
    <w:rsid w:val="005047DE"/>
    <w:rsid w:val="00514103"/>
    <w:rsid w:val="00515E36"/>
    <w:rsid w:val="0053373A"/>
    <w:rsid w:val="00533BBE"/>
    <w:rsid w:val="005344A8"/>
    <w:rsid w:val="00536626"/>
    <w:rsid w:val="005530FC"/>
    <w:rsid w:val="00554416"/>
    <w:rsid w:val="0055475C"/>
    <w:rsid w:val="00571249"/>
    <w:rsid w:val="00572A18"/>
    <w:rsid w:val="00573249"/>
    <w:rsid w:val="005862D0"/>
    <w:rsid w:val="005902F9"/>
    <w:rsid w:val="0059701B"/>
    <w:rsid w:val="00597E41"/>
    <w:rsid w:val="005B0FE6"/>
    <w:rsid w:val="005C019D"/>
    <w:rsid w:val="005C09A6"/>
    <w:rsid w:val="005C259C"/>
    <w:rsid w:val="005C7F7F"/>
    <w:rsid w:val="005D164E"/>
    <w:rsid w:val="005E347C"/>
    <w:rsid w:val="005F3E31"/>
    <w:rsid w:val="00606B93"/>
    <w:rsid w:val="00611BEA"/>
    <w:rsid w:val="00614193"/>
    <w:rsid w:val="0061593E"/>
    <w:rsid w:val="0061647A"/>
    <w:rsid w:val="00620CB8"/>
    <w:rsid w:val="00622B87"/>
    <w:rsid w:val="0062454C"/>
    <w:rsid w:val="006303E4"/>
    <w:rsid w:val="00631C33"/>
    <w:rsid w:val="00637972"/>
    <w:rsid w:val="00641904"/>
    <w:rsid w:val="0064468F"/>
    <w:rsid w:val="006478EF"/>
    <w:rsid w:val="00652575"/>
    <w:rsid w:val="00652595"/>
    <w:rsid w:val="0065294B"/>
    <w:rsid w:val="006604CA"/>
    <w:rsid w:val="00661185"/>
    <w:rsid w:val="006704C2"/>
    <w:rsid w:val="0067669C"/>
    <w:rsid w:val="00684976"/>
    <w:rsid w:val="00684C32"/>
    <w:rsid w:val="006A1158"/>
    <w:rsid w:val="006A1A27"/>
    <w:rsid w:val="006A4011"/>
    <w:rsid w:val="006A471F"/>
    <w:rsid w:val="006A5198"/>
    <w:rsid w:val="006A6FA3"/>
    <w:rsid w:val="006B3339"/>
    <w:rsid w:val="006B6EB9"/>
    <w:rsid w:val="006C0F31"/>
    <w:rsid w:val="006C167F"/>
    <w:rsid w:val="006C55BC"/>
    <w:rsid w:val="006C56EC"/>
    <w:rsid w:val="006C5913"/>
    <w:rsid w:val="006C7188"/>
    <w:rsid w:val="006D12B7"/>
    <w:rsid w:val="006D1E88"/>
    <w:rsid w:val="006D3EBB"/>
    <w:rsid w:val="006E2763"/>
    <w:rsid w:val="006E4983"/>
    <w:rsid w:val="006E57D9"/>
    <w:rsid w:val="006E6561"/>
    <w:rsid w:val="006F74A7"/>
    <w:rsid w:val="0070777E"/>
    <w:rsid w:val="007104E8"/>
    <w:rsid w:val="00711536"/>
    <w:rsid w:val="0071387C"/>
    <w:rsid w:val="00724CD3"/>
    <w:rsid w:val="00733A24"/>
    <w:rsid w:val="00736A39"/>
    <w:rsid w:val="007406DE"/>
    <w:rsid w:val="00742474"/>
    <w:rsid w:val="007433B6"/>
    <w:rsid w:val="0074366E"/>
    <w:rsid w:val="007437C2"/>
    <w:rsid w:val="00746793"/>
    <w:rsid w:val="0077156E"/>
    <w:rsid w:val="007777B8"/>
    <w:rsid w:val="007805A7"/>
    <w:rsid w:val="00781FAF"/>
    <w:rsid w:val="0078446E"/>
    <w:rsid w:val="007866D6"/>
    <w:rsid w:val="007900CD"/>
    <w:rsid w:val="0079033E"/>
    <w:rsid w:val="007A100D"/>
    <w:rsid w:val="007A60F4"/>
    <w:rsid w:val="007B3DC4"/>
    <w:rsid w:val="007C2CDD"/>
    <w:rsid w:val="007C7458"/>
    <w:rsid w:val="007D2842"/>
    <w:rsid w:val="007D441F"/>
    <w:rsid w:val="007D4E27"/>
    <w:rsid w:val="007D4F87"/>
    <w:rsid w:val="007E3DA4"/>
    <w:rsid w:val="007F1814"/>
    <w:rsid w:val="007F5F08"/>
    <w:rsid w:val="00802308"/>
    <w:rsid w:val="0080585C"/>
    <w:rsid w:val="00822FBE"/>
    <w:rsid w:val="00830A14"/>
    <w:rsid w:val="00831664"/>
    <w:rsid w:val="00832BAA"/>
    <w:rsid w:val="00833033"/>
    <w:rsid w:val="008373D0"/>
    <w:rsid w:val="00843CDD"/>
    <w:rsid w:val="00852BC1"/>
    <w:rsid w:val="0086072D"/>
    <w:rsid w:val="008607D4"/>
    <w:rsid w:val="00866593"/>
    <w:rsid w:val="00867C57"/>
    <w:rsid w:val="00871FEC"/>
    <w:rsid w:val="008847BB"/>
    <w:rsid w:val="00885368"/>
    <w:rsid w:val="00891D29"/>
    <w:rsid w:val="008954E9"/>
    <w:rsid w:val="008A4C06"/>
    <w:rsid w:val="008C1FAF"/>
    <w:rsid w:val="008C37C5"/>
    <w:rsid w:val="008C473F"/>
    <w:rsid w:val="008C5384"/>
    <w:rsid w:val="008C7D70"/>
    <w:rsid w:val="008D2AEF"/>
    <w:rsid w:val="008D6707"/>
    <w:rsid w:val="008E3D21"/>
    <w:rsid w:val="008E68A7"/>
    <w:rsid w:val="008E701E"/>
    <w:rsid w:val="008F1278"/>
    <w:rsid w:val="008F2B1F"/>
    <w:rsid w:val="008F3CDC"/>
    <w:rsid w:val="00920E2C"/>
    <w:rsid w:val="0092595D"/>
    <w:rsid w:val="009325E1"/>
    <w:rsid w:val="00951D57"/>
    <w:rsid w:val="009522FA"/>
    <w:rsid w:val="00952A97"/>
    <w:rsid w:val="009532AE"/>
    <w:rsid w:val="009556AA"/>
    <w:rsid w:val="00962C53"/>
    <w:rsid w:val="009633E7"/>
    <w:rsid w:val="009670CF"/>
    <w:rsid w:val="0096745C"/>
    <w:rsid w:val="00972A85"/>
    <w:rsid w:val="00984208"/>
    <w:rsid w:val="009A5F10"/>
    <w:rsid w:val="009C1CC2"/>
    <w:rsid w:val="009C3AD8"/>
    <w:rsid w:val="009C488C"/>
    <w:rsid w:val="009C7579"/>
    <w:rsid w:val="00A0647F"/>
    <w:rsid w:val="00A0735D"/>
    <w:rsid w:val="00A11CCF"/>
    <w:rsid w:val="00A130AA"/>
    <w:rsid w:val="00A17548"/>
    <w:rsid w:val="00A2133E"/>
    <w:rsid w:val="00A36E34"/>
    <w:rsid w:val="00A4749D"/>
    <w:rsid w:val="00A50ACF"/>
    <w:rsid w:val="00A625DB"/>
    <w:rsid w:val="00A65C51"/>
    <w:rsid w:val="00A779D6"/>
    <w:rsid w:val="00A8508F"/>
    <w:rsid w:val="00A94859"/>
    <w:rsid w:val="00A95371"/>
    <w:rsid w:val="00A96209"/>
    <w:rsid w:val="00AA7F7A"/>
    <w:rsid w:val="00AB2974"/>
    <w:rsid w:val="00AE6EF7"/>
    <w:rsid w:val="00AF3AD7"/>
    <w:rsid w:val="00B0713C"/>
    <w:rsid w:val="00B07904"/>
    <w:rsid w:val="00B07C4B"/>
    <w:rsid w:val="00B1110A"/>
    <w:rsid w:val="00B14C20"/>
    <w:rsid w:val="00B15D9E"/>
    <w:rsid w:val="00B21EF1"/>
    <w:rsid w:val="00B2231F"/>
    <w:rsid w:val="00B2409D"/>
    <w:rsid w:val="00B31FF4"/>
    <w:rsid w:val="00B32DFF"/>
    <w:rsid w:val="00B3550A"/>
    <w:rsid w:val="00B36B0B"/>
    <w:rsid w:val="00B548B6"/>
    <w:rsid w:val="00B570AE"/>
    <w:rsid w:val="00B61F9A"/>
    <w:rsid w:val="00B77331"/>
    <w:rsid w:val="00B91A88"/>
    <w:rsid w:val="00B9317B"/>
    <w:rsid w:val="00B95E7C"/>
    <w:rsid w:val="00BC1290"/>
    <w:rsid w:val="00BD3CCA"/>
    <w:rsid w:val="00BD632C"/>
    <w:rsid w:val="00C00059"/>
    <w:rsid w:val="00C010A7"/>
    <w:rsid w:val="00C0680E"/>
    <w:rsid w:val="00C255E1"/>
    <w:rsid w:val="00C34C1C"/>
    <w:rsid w:val="00C4547F"/>
    <w:rsid w:val="00C549D0"/>
    <w:rsid w:val="00C63032"/>
    <w:rsid w:val="00C84D69"/>
    <w:rsid w:val="00C91DF0"/>
    <w:rsid w:val="00CA5249"/>
    <w:rsid w:val="00CB64D6"/>
    <w:rsid w:val="00CD504A"/>
    <w:rsid w:val="00CE12D1"/>
    <w:rsid w:val="00D00631"/>
    <w:rsid w:val="00D00FF3"/>
    <w:rsid w:val="00D05D64"/>
    <w:rsid w:val="00D05F31"/>
    <w:rsid w:val="00D07A0B"/>
    <w:rsid w:val="00D21BA6"/>
    <w:rsid w:val="00D333D6"/>
    <w:rsid w:val="00D37060"/>
    <w:rsid w:val="00D40F23"/>
    <w:rsid w:val="00D42ABC"/>
    <w:rsid w:val="00D42B30"/>
    <w:rsid w:val="00D71E50"/>
    <w:rsid w:val="00D71E6D"/>
    <w:rsid w:val="00D7279D"/>
    <w:rsid w:val="00D758F2"/>
    <w:rsid w:val="00D76F46"/>
    <w:rsid w:val="00D968B9"/>
    <w:rsid w:val="00D97669"/>
    <w:rsid w:val="00DB2F6F"/>
    <w:rsid w:val="00DC76C2"/>
    <w:rsid w:val="00DD0BB7"/>
    <w:rsid w:val="00DD753B"/>
    <w:rsid w:val="00DE6582"/>
    <w:rsid w:val="00E070C6"/>
    <w:rsid w:val="00E11E05"/>
    <w:rsid w:val="00E149A9"/>
    <w:rsid w:val="00E35CB0"/>
    <w:rsid w:val="00E63BCC"/>
    <w:rsid w:val="00E64E11"/>
    <w:rsid w:val="00E67E6B"/>
    <w:rsid w:val="00E7278C"/>
    <w:rsid w:val="00E740A1"/>
    <w:rsid w:val="00E74CE2"/>
    <w:rsid w:val="00EB0813"/>
    <w:rsid w:val="00EB3E1E"/>
    <w:rsid w:val="00EC5468"/>
    <w:rsid w:val="00EC622D"/>
    <w:rsid w:val="00ED264E"/>
    <w:rsid w:val="00ED2CC9"/>
    <w:rsid w:val="00ED629E"/>
    <w:rsid w:val="00ED7A59"/>
    <w:rsid w:val="00EE1878"/>
    <w:rsid w:val="00EE1E54"/>
    <w:rsid w:val="00EE2984"/>
    <w:rsid w:val="00F1037C"/>
    <w:rsid w:val="00F12EF7"/>
    <w:rsid w:val="00F60A8E"/>
    <w:rsid w:val="00F613D1"/>
    <w:rsid w:val="00F62C47"/>
    <w:rsid w:val="00F62E21"/>
    <w:rsid w:val="00F7424A"/>
    <w:rsid w:val="00F74DED"/>
    <w:rsid w:val="00F772C2"/>
    <w:rsid w:val="00F80F07"/>
    <w:rsid w:val="00F835CD"/>
    <w:rsid w:val="00F90E4B"/>
    <w:rsid w:val="00F93CDF"/>
    <w:rsid w:val="00F941C0"/>
    <w:rsid w:val="00F97680"/>
    <w:rsid w:val="00F97E71"/>
    <w:rsid w:val="00FA6867"/>
    <w:rsid w:val="00FB076E"/>
    <w:rsid w:val="00FC092F"/>
    <w:rsid w:val="00FC5445"/>
    <w:rsid w:val="00FD1277"/>
    <w:rsid w:val="00FD6444"/>
    <w:rsid w:val="00FD794A"/>
    <w:rsid w:val="00FE5CAC"/>
    <w:rsid w:val="00FF34EA"/>
    <w:rsid w:val="024141DC"/>
    <w:rsid w:val="031318D1"/>
    <w:rsid w:val="03B94246"/>
    <w:rsid w:val="03C2759E"/>
    <w:rsid w:val="03E97283"/>
    <w:rsid w:val="045645C0"/>
    <w:rsid w:val="058A237B"/>
    <w:rsid w:val="06CD5526"/>
    <w:rsid w:val="07140A9A"/>
    <w:rsid w:val="07FE1FF0"/>
    <w:rsid w:val="083329D8"/>
    <w:rsid w:val="087072CA"/>
    <w:rsid w:val="08AB0275"/>
    <w:rsid w:val="08C33641"/>
    <w:rsid w:val="08F22909"/>
    <w:rsid w:val="08F75C9D"/>
    <w:rsid w:val="096A282C"/>
    <w:rsid w:val="09B434E5"/>
    <w:rsid w:val="09F53119"/>
    <w:rsid w:val="0AE76F27"/>
    <w:rsid w:val="0BD460C1"/>
    <w:rsid w:val="0BF17FA9"/>
    <w:rsid w:val="0C434FF4"/>
    <w:rsid w:val="0C890F59"/>
    <w:rsid w:val="0D9A262A"/>
    <w:rsid w:val="0E170E01"/>
    <w:rsid w:val="0EF43F8C"/>
    <w:rsid w:val="0F9473FE"/>
    <w:rsid w:val="0FF03D3B"/>
    <w:rsid w:val="10D92909"/>
    <w:rsid w:val="11205904"/>
    <w:rsid w:val="1133610C"/>
    <w:rsid w:val="116B653C"/>
    <w:rsid w:val="120073C8"/>
    <w:rsid w:val="125C110E"/>
    <w:rsid w:val="125D10BB"/>
    <w:rsid w:val="12694F68"/>
    <w:rsid w:val="12700720"/>
    <w:rsid w:val="12C51DA8"/>
    <w:rsid w:val="13071A5B"/>
    <w:rsid w:val="130F5021"/>
    <w:rsid w:val="13282DDB"/>
    <w:rsid w:val="132C6ADB"/>
    <w:rsid w:val="139D5005"/>
    <w:rsid w:val="142D5185"/>
    <w:rsid w:val="1430449D"/>
    <w:rsid w:val="14DF373A"/>
    <w:rsid w:val="1608508A"/>
    <w:rsid w:val="16A05998"/>
    <w:rsid w:val="16D572E4"/>
    <w:rsid w:val="17401E27"/>
    <w:rsid w:val="178E68E1"/>
    <w:rsid w:val="17B111EE"/>
    <w:rsid w:val="17D44FBD"/>
    <w:rsid w:val="17D86A90"/>
    <w:rsid w:val="187769F1"/>
    <w:rsid w:val="19654911"/>
    <w:rsid w:val="19871A5C"/>
    <w:rsid w:val="1A9E3225"/>
    <w:rsid w:val="1BAA299A"/>
    <w:rsid w:val="1C7E157C"/>
    <w:rsid w:val="1CA81C4F"/>
    <w:rsid w:val="1E9159EE"/>
    <w:rsid w:val="1EA571D7"/>
    <w:rsid w:val="1EA96F39"/>
    <w:rsid w:val="1F037124"/>
    <w:rsid w:val="1F673C24"/>
    <w:rsid w:val="20232D1B"/>
    <w:rsid w:val="20D203BB"/>
    <w:rsid w:val="226D6F9C"/>
    <w:rsid w:val="22B834CC"/>
    <w:rsid w:val="22BA6C58"/>
    <w:rsid w:val="22F977E7"/>
    <w:rsid w:val="23D30D7C"/>
    <w:rsid w:val="24B3368D"/>
    <w:rsid w:val="24B548E4"/>
    <w:rsid w:val="24FF4DBF"/>
    <w:rsid w:val="256D300D"/>
    <w:rsid w:val="258C32D8"/>
    <w:rsid w:val="25D9654E"/>
    <w:rsid w:val="26C47DB8"/>
    <w:rsid w:val="277C2B6C"/>
    <w:rsid w:val="27EC7E96"/>
    <w:rsid w:val="28184F18"/>
    <w:rsid w:val="28BA659C"/>
    <w:rsid w:val="2B277B63"/>
    <w:rsid w:val="2B322BF8"/>
    <w:rsid w:val="2B9B5117"/>
    <w:rsid w:val="2C4D184B"/>
    <w:rsid w:val="2CB02D9F"/>
    <w:rsid w:val="2CE52E0A"/>
    <w:rsid w:val="2D637948"/>
    <w:rsid w:val="2D684AB0"/>
    <w:rsid w:val="2DC51834"/>
    <w:rsid w:val="2DDA637C"/>
    <w:rsid w:val="2E3A29A3"/>
    <w:rsid w:val="2EC7583D"/>
    <w:rsid w:val="2F0A59C4"/>
    <w:rsid w:val="30F027A5"/>
    <w:rsid w:val="32076F12"/>
    <w:rsid w:val="321E6765"/>
    <w:rsid w:val="32545E6A"/>
    <w:rsid w:val="32B1544F"/>
    <w:rsid w:val="32F075DE"/>
    <w:rsid w:val="336851BD"/>
    <w:rsid w:val="339B25AB"/>
    <w:rsid w:val="33CF0D98"/>
    <w:rsid w:val="348C146E"/>
    <w:rsid w:val="34F27CC6"/>
    <w:rsid w:val="35A95619"/>
    <w:rsid w:val="35F95F98"/>
    <w:rsid w:val="37820855"/>
    <w:rsid w:val="378C532A"/>
    <w:rsid w:val="38830D8A"/>
    <w:rsid w:val="38C45C47"/>
    <w:rsid w:val="3A0379ED"/>
    <w:rsid w:val="3A375EC4"/>
    <w:rsid w:val="3A49589C"/>
    <w:rsid w:val="3A5C534F"/>
    <w:rsid w:val="3A6B1ECF"/>
    <w:rsid w:val="3A906225"/>
    <w:rsid w:val="3BF42446"/>
    <w:rsid w:val="3C06542B"/>
    <w:rsid w:val="3C232A14"/>
    <w:rsid w:val="3C243C4B"/>
    <w:rsid w:val="3C6E1044"/>
    <w:rsid w:val="3CB054DF"/>
    <w:rsid w:val="3CD23946"/>
    <w:rsid w:val="3D261A25"/>
    <w:rsid w:val="3E1D2536"/>
    <w:rsid w:val="3ED45096"/>
    <w:rsid w:val="40692574"/>
    <w:rsid w:val="40B11F25"/>
    <w:rsid w:val="40B8336F"/>
    <w:rsid w:val="41011831"/>
    <w:rsid w:val="42C321E3"/>
    <w:rsid w:val="435B2AD7"/>
    <w:rsid w:val="43E65A72"/>
    <w:rsid w:val="440C7F8D"/>
    <w:rsid w:val="4428109E"/>
    <w:rsid w:val="445F69EB"/>
    <w:rsid w:val="44CF424F"/>
    <w:rsid w:val="44FE7ACA"/>
    <w:rsid w:val="454F4568"/>
    <w:rsid w:val="4550785F"/>
    <w:rsid w:val="45706814"/>
    <w:rsid w:val="45AB4E37"/>
    <w:rsid w:val="45B707FB"/>
    <w:rsid w:val="45BE1574"/>
    <w:rsid w:val="46004CC6"/>
    <w:rsid w:val="463A607F"/>
    <w:rsid w:val="46B721AC"/>
    <w:rsid w:val="46CB1893"/>
    <w:rsid w:val="46E23F0F"/>
    <w:rsid w:val="46F63507"/>
    <w:rsid w:val="46F96E62"/>
    <w:rsid w:val="47207120"/>
    <w:rsid w:val="477B2FAE"/>
    <w:rsid w:val="483B5A4C"/>
    <w:rsid w:val="490002A0"/>
    <w:rsid w:val="494122E2"/>
    <w:rsid w:val="49F22E5E"/>
    <w:rsid w:val="4A133393"/>
    <w:rsid w:val="4A7A052A"/>
    <w:rsid w:val="4AB06881"/>
    <w:rsid w:val="4AB32D0C"/>
    <w:rsid w:val="4AE96514"/>
    <w:rsid w:val="4B231CEA"/>
    <w:rsid w:val="4B286C8B"/>
    <w:rsid w:val="4BA64472"/>
    <w:rsid w:val="4CEC18C2"/>
    <w:rsid w:val="4DB115E5"/>
    <w:rsid w:val="4F9358CF"/>
    <w:rsid w:val="4FCE631F"/>
    <w:rsid w:val="4FD5108C"/>
    <w:rsid w:val="4FDA4D75"/>
    <w:rsid w:val="512824DF"/>
    <w:rsid w:val="520B327F"/>
    <w:rsid w:val="52450A6B"/>
    <w:rsid w:val="530A5A72"/>
    <w:rsid w:val="531A233B"/>
    <w:rsid w:val="539C1B4C"/>
    <w:rsid w:val="540C51E5"/>
    <w:rsid w:val="54602A07"/>
    <w:rsid w:val="549728DF"/>
    <w:rsid w:val="54AA7074"/>
    <w:rsid w:val="54AF69C2"/>
    <w:rsid w:val="54E52762"/>
    <w:rsid w:val="54EA5CFF"/>
    <w:rsid w:val="55444E7D"/>
    <w:rsid w:val="55743D0D"/>
    <w:rsid w:val="55D622FA"/>
    <w:rsid w:val="55EB5D70"/>
    <w:rsid w:val="56314DDD"/>
    <w:rsid w:val="56841443"/>
    <w:rsid w:val="56AF292A"/>
    <w:rsid w:val="56BE6D1E"/>
    <w:rsid w:val="57114DA6"/>
    <w:rsid w:val="574330DD"/>
    <w:rsid w:val="578E547B"/>
    <w:rsid w:val="57BA3C8B"/>
    <w:rsid w:val="587A4EC7"/>
    <w:rsid w:val="5A1C2DE0"/>
    <w:rsid w:val="5A605BC3"/>
    <w:rsid w:val="5B2801B6"/>
    <w:rsid w:val="5B337230"/>
    <w:rsid w:val="5B6A103A"/>
    <w:rsid w:val="5B7250DA"/>
    <w:rsid w:val="5B7B6F90"/>
    <w:rsid w:val="5BC92176"/>
    <w:rsid w:val="5C0C22DA"/>
    <w:rsid w:val="5CCF29EE"/>
    <w:rsid w:val="5D4D151D"/>
    <w:rsid w:val="5D5C1A81"/>
    <w:rsid w:val="5E215BF2"/>
    <w:rsid w:val="5E681402"/>
    <w:rsid w:val="5EF872DF"/>
    <w:rsid w:val="60A72DA9"/>
    <w:rsid w:val="61887833"/>
    <w:rsid w:val="61B32201"/>
    <w:rsid w:val="62894AA4"/>
    <w:rsid w:val="62D957B2"/>
    <w:rsid w:val="63005858"/>
    <w:rsid w:val="640115C4"/>
    <w:rsid w:val="65527A8B"/>
    <w:rsid w:val="6604433E"/>
    <w:rsid w:val="66A15EC8"/>
    <w:rsid w:val="66A851F0"/>
    <w:rsid w:val="66F75934"/>
    <w:rsid w:val="67746BAD"/>
    <w:rsid w:val="68807C45"/>
    <w:rsid w:val="69A41DA4"/>
    <w:rsid w:val="69FA2D97"/>
    <w:rsid w:val="6A10235D"/>
    <w:rsid w:val="6A3C4E7F"/>
    <w:rsid w:val="6AF80C0A"/>
    <w:rsid w:val="6B9D61A3"/>
    <w:rsid w:val="6BAA0FA6"/>
    <w:rsid w:val="6D2D3E5E"/>
    <w:rsid w:val="6E2C310F"/>
    <w:rsid w:val="6E433D4C"/>
    <w:rsid w:val="6ED83431"/>
    <w:rsid w:val="6FC00ECA"/>
    <w:rsid w:val="6FCA5E2A"/>
    <w:rsid w:val="6FDA2167"/>
    <w:rsid w:val="70593D8C"/>
    <w:rsid w:val="705D2CAC"/>
    <w:rsid w:val="70D40212"/>
    <w:rsid w:val="71796A7B"/>
    <w:rsid w:val="71C34851"/>
    <w:rsid w:val="71EC2296"/>
    <w:rsid w:val="722D639D"/>
    <w:rsid w:val="723B19A6"/>
    <w:rsid w:val="72DB17DE"/>
    <w:rsid w:val="738B2CF1"/>
    <w:rsid w:val="73B73DD2"/>
    <w:rsid w:val="73EF3D7E"/>
    <w:rsid w:val="73FB02E9"/>
    <w:rsid w:val="74E76ED0"/>
    <w:rsid w:val="7517271E"/>
    <w:rsid w:val="751E4025"/>
    <w:rsid w:val="760D4365"/>
    <w:rsid w:val="76651342"/>
    <w:rsid w:val="7705705D"/>
    <w:rsid w:val="770957CF"/>
    <w:rsid w:val="79050385"/>
    <w:rsid w:val="79976D4D"/>
    <w:rsid w:val="79AB0441"/>
    <w:rsid w:val="7AD419FF"/>
    <w:rsid w:val="7B5F3D7C"/>
    <w:rsid w:val="7BE944F5"/>
    <w:rsid w:val="7C220811"/>
    <w:rsid w:val="7C367028"/>
    <w:rsid w:val="7D0421BC"/>
    <w:rsid w:val="7D367A2D"/>
    <w:rsid w:val="7D635D0C"/>
    <w:rsid w:val="7F042647"/>
    <w:rsid w:val="7F3D0469"/>
    <w:rsid w:val="7FE26C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unhideWhenUsed/>
    <w:qFormat/>
    <w:uiPriority w:val="0"/>
    <w:pPr>
      <w:keepNext/>
      <w:keepLines/>
      <w:spacing w:line="360" w:lineRule="auto"/>
      <w:ind w:firstLine="200" w:firstLineChars="200"/>
      <w:outlineLvl w:val="1"/>
    </w:pPr>
    <w:rPr>
      <w:rFonts w:ascii="Arial" w:hAnsi="Arial" w:eastAsia="仿宋"/>
      <w:b/>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paragraph" w:styleId="5">
    <w:name w:val="heading 6"/>
    <w:basedOn w:val="1"/>
    <w:next w:val="1"/>
    <w:qFormat/>
    <w:uiPriority w:val="9"/>
    <w:pPr>
      <w:keepNext/>
      <w:keepLines/>
      <w:spacing w:line="360" w:lineRule="auto"/>
      <w:outlineLvl w:val="5"/>
    </w:pPr>
    <w:rPr>
      <w:rFonts w:ascii="Cambria" w:hAnsi="Cambria" w:cs="Times New Roman"/>
      <w:bCs/>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ind w:firstLine="420" w:firstLineChars="200"/>
    </w:pPr>
  </w:style>
  <w:style w:type="paragraph" w:styleId="7">
    <w:name w:val="annotation text"/>
    <w:basedOn w:val="1"/>
    <w:link w:val="34"/>
    <w:qFormat/>
    <w:uiPriority w:val="0"/>
    <w:pPr>
      <w:jc w:val="left"/>
    </w:pPr>
  </w:style>
  <w:style w:type="paragraph" w:styleId="8">
    <w:name w:val="Body Text"/>
    <w:basedOn w:val="1"/>
    <w:link w:val="47"/>
    <w:qFormat/>
    <w:uiPriority w:val="1"/>
    <w:rPr>
      <w:rFonts w:eastAsia="仿宋_GB2312"/>
      <w:sz w:val="32"/>
      <w:szCs w:val="32"/>
    </w:rPr>
  </w:style>
  <w:style w:type="paragraph" w:styleId="9">
    <w:name w:val="toc 3"/>
    <w:basedOn w:val="1"/>
    <w:next w:val="1"/>
    <w:qFormat/>
    <w:uiPriority w:val="0"/>
    <w:pPr>
      <w:ind w:left="840" w:leftChars="400"/>
    </w:pPr>
  </w:style>
  <w:style w:type="paragraph" w:styleId="10">
    <w:name w:val="Body Text Indent 2"/>
    <w:basedOn w:val="1"/>
    <w:next w:val="11"/>
    <w:qFormat/>
    <w:uiPriority w:val="0"/>
    <w:pPr>
      <w:spacing w:after="120" w:line="480" w:lineRule="auto"/>
      <w:ind w:left="420" w:leftChars="200"/>
    </w:pPr>
    <w:rPr>
      <w:rFonts w:ascii="Calibri" w:hAnsi="Calibri" w:eastAsia="宋体"/>
    </w:rPr>
  </w:style>
  <w:style w:type="paragraph" w:styleId="11">
    <w:name w:val="toc 9"/>
    <w:basedOn w:val="1"/>
    <w:next w:val="1"/>
    <w:qFormat/>
    <w:uiPriority w:val="0"/>
    <w:pPr>
      <w:wordWrap w:val="0"/>
      <w:ind w:left="2975"/>
    </w:pPr>
    <w:rPr>
      <w:rFonts w:ascii="Calibri" w:hAnsi="Calibri" w:eastAsia="宋体" w:cs="Times New Roman"/>
    </w:rPr>
  </w:style>
  <w:style w:type="paragraph" w:styleId="12">
    <w:name w:val="Balloon Text"/>
    <w:basedOn w:val="1"/>
    <w:link w:val="36"/>
    <w:semiHidden/>
    <w:unhideWhenUsed/>
    <w:qFormat/>
    <w:uiPriority w:val="0"/>
    <w:rPr>
      <w:sz w:val="18"/>
      <w:szCs w:val="18"/>
    </w:rPr>
  </w:style>
  <w:style w:type="paragraph" w:styleId="13">
    <w:name w:val="footer"/>
    <w:basedOn w:val="1"/>
    <w:link w:val="32"/>
    <w:qFormat/>
    <w:uiPriority w:val="99"/>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annotation subject"/>
    <w:basedOn w:val="7"/>
    <w:next w:val="7"/>
    <w:link w:val="35"/>
    <w:semiHidden/>
    <w:unhideWhenUsed/>
    <w:qFormat/>
    <w:uiPriority w:val="0"/>
    <w:rPr>
      <w:b/>
      <w:bCs/>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qFormat/>
    <w:uiPriority w:val="0"/>
    <w:rPr>
      <w:sz w:val="21"/>
      <w:szCs w:val="21"/>
    </w:rPr>
  </w:style>
  <w:style w:type="paragraph" w:customStyle="1" w:styleId="24">
    <w:name w:val="正文文本缩进 21"/>
    <w:basedOn w:val="1"/>
    <w:next w:val="14"/>
    <w:qFormat/>
    <w:uiPriority w:val="0"/>
    <w:pPr>
      <w:spacing w:line="480" w:lineRule="auto"/>
      <w:ind w:left="420" w:leftChars="200"/>
    </w:pPr>
  </w:style>
  <w:style w:type="paragraph" w:customStyle="1" w:styleId="25">
    <w:name w:val="样式  + 首行缩进:  2 字符"/>
    <w:basedOn w:val="1"/>
    <w:qFormat/>
    <w:uiPriority w:val="0"/>
    <w:pPr>
      <w:adjustRightInd w:val="0"/>
      <w:snapToGrid w:val="0"/>
      <w:ind w:firstLine="480"/>
    </w:pPr>
    <w:rPr>
      <w:kern w:val="0"/>
      <w:sz w:val="24"/>
    </w:rPr>
  </w:style>
  <w:style w:type="paragraph" w:styleId="26">
    <w:name w:val="List Paragraph"/>
    <w:basedOn w:val="1"/>
    <w:qFormat/>
    <w:uiPriority w:val="99"/>
    <w:pPr>
      <w:ind w:firstLine="420" w:firstLineChars="200"/>
    </w:p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0">
    <w:name w:val="标题 1 字符"/>
    <w:basedOn w:val="20"/>
    <w:link w:val="2"/>
    <w:qFormat/>
    <w:uiPriority w:val="0"/>
    <w:rPr>
      <w:rFonts w:asciiTheme="minorHAnsi" w:hAnsiTheme="minorHAnsi" w:eastAsiaTheme="minorEastAsia" w:cstheme="minorBidi"/>
      <w:b/>
      <w:bCs/>
      <w:kern w:val="44"/>
      <w:sz w:val="44"/>
      <w:szCs w:val="44"/>
    </w:rPr>
  </w:style>
  <w:style w:type="character" w:customStyle="1" w:styleId="31">
    <w:name w:val="标题 2 字符"/>
    <w:qFormat/>
    <w:uiPriority w:val="0"/>
    <w:rPr>
      <w:rFonts w:ascii="Arial" w:hAnsi="Arial" w:eastAsia="仿宋"/>
      <w:b/>
      <w:sz w:val="32"/>
    </w:rPr>
  </w:style>
  <w:style w:type="character" w:customStyle="1" w:styleId="32">
    <w:name w:val="页脚 字符"/>
    <w:basedOn w:val="20"/>
    <w:link w:val="13"/>
    <w:qFormat/>
    <w:uiPriority w:val="99"/>
    <w:rPr>
      <w:rFonts w:asciiTheme="minorHAnsi" w:hAnsiTheme="minorHAnsi" w:eastAsiaTheme="minorEastAsia" w:cstheme="minorBidi"/>
      <w:kern w:val="2"/>
      <w:sz w:val="18"/>
      <w:szCs w:val="22"/>
    </w:rPr>
  </w:style>
  <w:style w:type="character" w:customStyle="1" w:styleId="33">
    <w:name w:val="font11"/>
    <w:basedOn w:val="20"/>
    <w:qFormat/>
    <w:uiPriority w:val="0"/>
    <w:rPr>
      <w:rFonts w:hint="eastAsia" w:ascii="宋体" w:hAnsi="宋体" w:eastAsia="宋体" w:cs="宋体"/>
      <w:color w:val="000000"/>
      <w:sz w:val="20"/>
      <w:szCs w:val="20"/>
      <w:u w:val="none"/>
    </w:rPr>
  </w:style>
  <w:style w:type="character" w:customStyle="1" w:styleId="34">
    <w:name w:val="批注文字 字符"/>
    <w:basedOn w:val="20"/>
    <w:link w:val="7"/>
    <w:qFormat/>
    <w:uiPriority w:val="0"/>
    <w:rPr>
      <w:rFonts w:asciiTheme="minorHAnsi" w:hAnsiTheme="minorHAnsi" w:eastAsiaTheme="minorEastAsia" w:cstheme="minorBidi"/>
      <w:kern w:val="2"/>
      <w:sz w:val="21"/>
      <w:szCs w:val="22"/>
    </w:rPr>
  </w:style>
  <w:style w:type="character" w:customStyle="1" w:styleId="35">
    <w:name w:val="批注主题 字符"/>
    <w:basedOn w:val="34"/>
    <w:link w:val="17"/>
    <w:semiHidden/>
    <w:qFormat/>
    <w:uiPriority w:val="0"/>
    <w:rPr>
      <w:rFonts w:asciiTheme="minorHAnsi" w:hAnsiTheme="minorHAnsi" w:eastAsiaTheme="minorEastAsia" w:cstheme="minorBidi"/>
      <w:b/>
      <w:bCs/>
      <w:kern w:val="2"/>
      <w:sz w:val="21"/>
      <w:szCs w:val="22"/>
    </w:rPr>
  </w:style>
  <w:style w:type="character" w:customStyle="1" w:styleId="36">
    <w:name w:val="批注框文本 字符"/>
    <w:basedOn w:val="20"/>
    <w:link w:val="12"/>
    <w:semiHidden/>
    <w:qFormat/>
    <w:uiPriority w:val="0"/>
    <w:rPr>
      <w:rFonts w:asciiTheme="minorHAnsi" w:hAnsiTheme="minorHAnsi" w:eastAsiaTheme="minorEastAsia" w:cstheme="minorBidi"/>
      <w:kern w:val="2"/>
      <w:sz w:val="18"/>
      <w:szCs w:val="18"/>
    </w:rPr>
  </w:style>
  <w:style w:type="character" w:customStyle="1" w:styleId="37">
    <w:name w:val="font41"/>
    <w:basedOn w:val="20"/>
    <w:qFormat/>
    <w:uiPriority w:val="0"/>
    <w:rPr>
      <w:rFonts w:hint="default" w:ascii="Arial" w:hAnsi="Arial" w:cs="Arial"/>
      <w:color w:val="000000"/>
      <w:sz w:val="20"/>
      <w:szCs w:val="20"/>
      <w:u w:val="none"/>
    </w:rPr>
  </w:style>
  <w:style w:type="character" w:customStyle="1" w:styleId="38">
    <w:name w:val="font21"/>
    <w:basedOn w:val="20"/>
    <w:qFormat/>
    <w:uiPriority w:val="0"/>
    <w:rPr>
      <w:rFonts w:hint="eastAsia" w:ascii="宋体" w:hAnsi="宋体" w:eastAsia="宋体" w:cs="宋体"/>
      <w:color w:val="000000"/>
      <w:sz w:val="20"/>
      <w:szCs w:val="20"/>
      <w:u w:val="none"/>
    </w:rPr>
  </w:style>
  <w:style w:type="character" w:customStyle="1" w:styleId="39">
    <w:name w:val="标题 2 字符1"/>
    <w:link w:val="3"/>
    <w:qFormat/>
    <w:uiPriority w:val="0"/>
    <w:rPr>
      <w:rFonts w:ascii="Arial" w:hAnsi="Arial" w:eastAsia="仿宋"/>
      <w:b/>
      <w:sz w:val="32"/>
    </w:rPr>
  </w:style>
  <w:style w:type="paragraph" w:customStyle="1" w:styleId="40">
    <w:name w:val="绩效2"/>
    <w:basedOn w:val="8"/>
    <w:link w:val="41"/>
    <w:qFormat/>
    <w:uiPriority w:val="0"/>
    <w:pPr>
      <w:overflowPunct w:val="0"/>
      <w:spacing w:line="560" w:lineRule="exact"/>
      <w:ind w:firstLine="200" w:firstLineChars="200"/>
      <w:outlineLvl w:val="1"/>
    </w:pPr>
    <w:rPr>
      <w:rFonts w:ascii="楷体" w:hAnsi="楷体" w:eastAsia="楷体" w:cs="楷体"/>
      <w:b/>
      <w:bCs/>
    </w:rPr>
  </w:style>
  <w:style w:type="character" w:customStyle="1" w:styleId="41">
    <w:name w:val="绩效2 字符"/>
    <w:basedOn w:val="20"/>
    <w:link w:val="40"/>
    <w:qFormat/>
    <w:uiPriority w:val="0"/>
    <w:rPr>
      <w:rFonts w:ascii="楷体" w:hAnsi="楷体" w:eastAsia="楷体" w:cs="楷体"/>
      <w:b/>
      <w:bCs/>
      <w:kern w:val="2"/>
      <w:sz w:val="32"/>
      <w:szCs w:val="32"/>
    </w:rPr>
  </w:style>
  <w:style w:type="paragraph" w:customStyle="1" w:styleId="42">
    <w:name w:val="绩效正文"/>
    <w:basedOn w:val="8"/>
    <w:link w:val="43"/>
    <w:qFormat/>
    <w:uiPriority w:val="0"/>
    <w:pPr>
      <w:overflowPunct w:val="0"/>
      <w:spacing w:line="560" w:lineRule="exact"/>
      <w:ind w:firstLine="200" w:firstLineChars="200"/>
    </w:pPr>
    <w:rPr>
      <w:rFonts w:ascii="仿宋_GB2312" w:hAnsi="仿宋_GB2312" w:cs="仿宋_GB2312"/>
    </w:rPr>
  </w:style>
  <w:style w:type="character" w:customStyle="1" w:styleId="43">
    <w:name w:val="绩效正文 字符"/>
    <w:basedOn w:val="20"/>
    <w:link w:val="42"/>
    <w:qFormat/>
    <w:uiPriority w:val="0"/>
    <w:rPr>
      <w:rFonts w:ascii="仿宋_GB2312" w:hAnsi="仿宋_GB2312" w:eastAsia="仿宋_GB2312" w:cs="仿宋_GB2312"/>
      <w:kern w:val="2"/>
      <w:sz w:val="32"/>
      <w:szCs w:val="32"/>
    </w:rPr>
  </w:style>
  <w:style w:type="paragraph" w:customStyle="1" w:styleId="44">
    <w:name w:val="A1"/>
    <w:basedOn w:val="1"/>
    <w:link w:val="45"/>
    <w:qFormat/>
    <w:uiPriority w:val="0"/>
    <w:pPr>
      <w:numPr>
        <w:ilvl w:val="0"/>
        <w:numId w:val="1"/>
      </w:numPr>
      <w:tabs>
        <w:tab w:val="left" w:pos="849"/>
      </w:tabs>
      <w:spacing w:line="556" w:lineRule="exact"/>
      <w:ind w:firstLine="643" w:firstLineChars="200"/>
      <w:outlineLvl w:val="0"/>
    </w:pPr>
    <w:rPr>
      <w:rFonts w:ascii="黑体" w:hAnsi="黑体" w:eastAsia="黑体" w:cs="黑体"/>
      <w:b/>
      <w:bCs/>
      <w:sz w:val="32"/>
      <w:szCs w:val="32"/>
    </w:rPr>
  </w:style>
  <w:style w:type="character" w:customStyle="1" w:styleId="45">
    <w:name w:val="A1 字符"/>
    <w:basedOn w:val="20"/>
    <w:link w:val="44"/>
    <w:qFormat/>
    <w:uiPriority w:val="0"/>
    <w:rPr>
      <w:rFonts w:ascii="黑体" w:hAnsi="黑体" w:eastAsia="黑体" w:cs="黑体"/>
      <w:b/>
      <w:bCs/>
      <w:kern w:val="2"/>
      <w:sz w:val="32"/>
      <w:szCs w:val="32"/>
    </w:rPr>
  </w:style>
  <w:style w:type="paragraph" w:customStyle="1" w:styleId="46">
    <w:name w:val="A2"/>
    <w:basedOn w:val="8"/>
    <w:link w:val="48"/>
    <w:qFormat/>
    <w:uiPriority w:val="0"/>
    <w:pPr>
      <w:spacing w:line="556" w:lineRule="exact"/>
      <w:ind w:firstLine="643" w:firstLineChars="200"/>
      <w:outlineLvl w:val="1"/>
    </w:pPr>
    <w:rPr>
      <w:rFonts w:ascii="楷体" w:hAnsi="楷体" w:eastAsia="楷体" w:cs="楷体"/>
      <w:b/>
      <w:bCs/>
    </w:rPr>
  </w:style>
  <w:style w:type="character" w:customStyle="1" w:styleId="47">
    <w:name w:val="正文文本 字符"/>
    <w:basedOn w:val="20"/>
    <w:link w:val="8"/>
    <w:qFormat/>
    <w:uiPriority w:val="1"/>
    <w:rPr>
      <w:rFonts w:eastAsia="仿宋_GB2312" w:asciiTheme="minorHAnsi" w:hAnsiTheme="minorHAnsi" w:cstheme="minorBidi"/>
      <w:kern w:val="2"/>
      <w:sz w:val="32"/>
      <w:szCs w:val="32"/>
    </w:rPr>
  </w:style>
  <w:style w:type="character" w:customStyle="1" w:styleId="48">
    <w:name w:val="A2 字符"/>
    <w:basedOn w:val="47"/>
    <w:link w:val="46"/>
    <w:qFormat/>
    <w:uiPriority w:val="0"/>
    <w:rPr>
      <w:rFonts w:ascii="楷体" w:hAnsi="楷体" w:eastAsia="楷体" w:cs="楷体"/>
      <w:b/>
      <w:bCs/>
      <w:kern w:val="2"/>
      <w:sz w:val="32"/>
      <w:szCs w:val="32"/>
    </w:rPr>
  </w:style>
  <w:style w:type="paragraph" w:customStyle="1" w:styleId="49">
    <w:name w:val="A正"/>
    <w:basedOn w:val="8"/>
    <w:link w:val="50"/>
    <w:qFormat/>
    <w:uiPriority w:val="0"/>
    <w:pPr>
      <w:spacing w:line="556" w:lineRule="exact"/>
      <w:ind w:firstLine="640" w:firstLineChars="200"/>
    </w:pPr>
    <w:rPr>
      <w:rFonts w:ascii="仿宋_GB2312" w:hAnsi="仿宋_GB2312" w:cs="仿宋_GB2312"/>
    </w:rPr>
  </w:style>
  <w:style w:type="character" w:customStyle="1" w:styleId="50">
    <w:name w:val="A正 字符"/>
    <w:basedOn w:val="47"/>
    <w:link w:val="49"/>
    <w:qFormat/>
    <w:uiPriority w:val="0"/>
    <w:rPr>
      <w:rFonts w:ascii="仿宋_GB2312" w:hAnsi="仿宋_GB2312" w:eastAsia="仿宋_GB2312" w:cs="仿宋_GB2312"/>
      <w:kern w:val="2"/>
      <w:sz w:val="32"/>
      <w:szCs w:val="32"/>
    </w:rPr>
  </w:style>
  <w:style w:type="paragraph" w:customStyle="1" w:styleId="51">
    <w:name w:val="A1."/>
    <w:basedOn w:val="44"/>
    <w:link w:val="52"/>
    <w:qFormat/>
    <w:uiPriority w:val="0"/>
    <w:pPr>
      <w:numPr>
        <w:numId w:val="0"/>
      </w:numPr>
      <w:ind w:left="643"/>
    </w:pPr>
    <w:rPr>
      <w:b w:val="0"/>
    </w:rPr>
  </w:style>
  <w:style w:type="character" w:customStyle="1" w:styleId="52">
    <w:name w:val="A1. 字符"/>
    <w:basedOn w:val="45"/>
    <w:link w:val="51"/>
    <w:qFormat/>
    <w:uiPriority w:val="0"/>
    <w:rPr>
      <w:rFonts w:ascii="黑体" w:hAnsi="黑体" w:eastAsia="黑体" w:cs="黑体"/>
      <w:b w:val="0"/>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t>      </a:t>
            </a:r>
            <a:r>
              <a:rPr lang="zh-CN" altLang="en-US"/>
              <a:t>少数民族法制教学研究经费</a:t>
            </a:r>
            <a:r>
              <a:rPr lang="zh-CN"/>
              <a:t>项目绩效评价指标得分情况</a:t>
            </a:r>
            <a:endParaRPr lang="zh-CN"/>
          </a:p>
        </c:rich>
      </c:tx>
      <c:layout>
        <c:manualLayout>
          <c:xMode val="edge"/>
          <c:yMode val="edge"/>
          <c:x val="0.122262408292933"/>
          <c:y val="0.00199822199644399"/>
        </c:manualLayout>
      </c:layout>
      <c:overlay val="0"/>
      <c:spPr>
        <a:noFill/>
        <a:ln>
          <a:noFill/>
        </a:ln>
        <a:effectLst/>
      </c:spPr>
    </c:title>
    <c:autoTitleDeleted val="0"/>
    <c:plotArea>
      <c:layout>
        <c:manualLayout>
          <c:layoutTarget val="inner"/>
          <c:xMode val="edge"/>
          <c:yMode val="edge"/>
          <c:x val="0.125233904767623"/>
          <c:y val="0.124365532381998"/>
          <c:w val="0.8337"/>
          <c:h val="0.5763"/>
        </c:manualLayout>
      </c:layout>
      <c:barChart>
        <c:barDir val="col"/>
        <c:grouping val="clustered"/>
        <c:varyColors val="0"/>
        <c:ser>
          <c:idx val="0"/>
          <c:order val="0"/>
          <c:tx>
            <c:strRef>
              <c:f>Sheet1!$B$1</c:f>
              <c:strCache>
                <c:ptCount val="1"/>
                <c:pt idx="0">
                  <c:v>权重</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Sheet1!$B$2:$B$6</c:f>
              <c:numCache>
                <c:formatCode>General</c:formatCode>
                <c:ptCount val="5"/>
                <c:pt idx="0">
                  <c:v>15.5</c:v>
                </c:pt>
                <c:pt idx="1">
                  <c:v>17.5</c:v>
                </c:pt>
                <c:pt idx="2">
                  <c:v>10</c:v>
                </c:pt>
                <c:pt idx="3">
                  <c:v>32</c:v>
                </c:pt>
                <c:pt idx="4">
                  <c:v>25</c:v>
                </c:pt>
              </c:numCache>
            </c:numRef>
          </c:val>
        </c:ser>
        <c:ser>
          <c:idx val="1"/>
          <c:order val="1"/>
          <c:tx>
            <c:strRef>
              <c:f>Sheet1!$C$1</c:f>
              <c:strCache>
                <c:ptCount val="1"/>
                <c:pt idx="0">
                  <c:v>得分</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Sheet1!$C$2:$C$6</c:f>
              <c:numCache>
                <c:formatCode>General</c:formatCode>
                <c:ptCount val="5"/>
                <c:pt idx="0">
                  <c:v>14.67</c:v>
                </c:pt>
                <c:pt idx="1">
                  <c:v>16.25</c:v>
                </c:pt>
                <c:pt idx="2">
                  <c:v>10</c:v>
                </c:pt>
                <c:pt idx="3">
                  <c:v>32</c:v>
                </c:pt>
                <c:pt idx="4">
                  <c:v>25</c:v>
                </c:pt>
              </c:numCache>
            </c:numRef>
          </c:val>
        </c:ser>
        <c:ser>
          <c:idx val="2"/>
          <c:order val="2"/>
          <c:tx>
            <c:strRef>
              <c:f>Sheet1!$D$1</c:f>
              <c:strCache>
                <c:ptCount val="1"/>
                <c:pt idx="0">
                  <c:v>得分率</c:v>
                </c:pt>
              </c:strCache>
            </c:strRef>
          </c:tx>
          <c:spPr>
            <a:solidFill>
              <a:schemeClr val="accent3"/>
            </a:solidFill>
            <a:ln>
              <a:noFill/>
            </a:ln>
            <a:effectLst/>
          </c:spPr>
          <c:invertIfNegative val="0"/>
          <c:dLbls>
            <c:dLbl>
              <c:idx val="0"/>
              <c:layout>
                <c:manualLayout>
                  <c:x val="0.017531556802244"/>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5441795231417"/>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10378681626928"/>
                  <c:y val="0.0049350222075999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22791023842917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决策指标</c:v>
                </c:pt>
                <c:pt idx="1">
                  <c:v>过程指标</c:v>
                </c:pt>
                <c:pt idx="2">
                  <c:v>成本指标</c:v>
                </c:pt>
                <c:pt idx="3">
                  <c:v>产出指标</c:v>
                </c:pt>
                <c:pt idx="4">
                  <c:v>效益指标</c:v>
                </c:pt>
              </c:strCache>
            </c:strRef>
          </c:cat>
          <c:val>
            <c:numRef>
              <c:f>Sheet1!$D$2:$D$6</c:f>
              <c:numCache>
                <c:formatCode>0.00%</c:formatCode>
                <c:ptCount val="5"/>
                <c:pt idx="0">
                  <c:v>0.946451612903226</c:v>
                </c:pt>
                <c:pt idx="1">
                  <c:v>0.928571428571429</c:v>
                </c:pt>
                <c:pt idx="2">
                  <c:v>1</c:v>
                </c:pt>
                <c:pt idx="3">
                  <c:v>1</c:v>
                </c:pt>
                <c:pt idx="4">
                  <c:v>1</c:v>
                </c:pt>
              </c:numCache>
            </c:numRef>
          </c:val>
        </c:ser>
        <c:dLbls>
          <c:showLegendKey val="0"/>
          <c:showVal val="1"/>
          <c:showCatName val="0"/>
          <c:showSerName val="0"/>
          <c:showPercent val="0"/>
          <c:showBubbleSize val="0"/>
        </c:dLbls>
        <c:gapWidth val="219"/>
        <c:overlap val="-27"/>
        <c:axId val="-1549276064"/>
        <c:axId val="-1549272256"/>
      </c:barChart>
      <c:catAx>
        <c:axId val="-154927606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9272256"/>
        <c:crosses val="autoZero"/>
        <c:auto val="1"/>
        <c:lblAlgn val="ctr"/>
        <c:lblOffset val="100"/>
        <c:noMultiLvlLbl val="0"/>
      </c:catAx>
      <c:valAx>
        <c:axId val="-1549272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4927606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FDBD11-1D92-48EC-A2E2-01E0962C9A4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35</Pages>
  <Words>15623</Words>
  <Characters>16765</Characters>
  <Lines>143</Lines>
  <Paragraphs>40</Paragraphs>
  <TotalTime>10</TotalTime>
  <ScaleCrop>false</ScaleCrop>
  <LinksUpToDate>false</LinksUpToDate>
  <CharactersWithSpaces>17109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2023-08-31T02:58:00Z</dcterms:created>
  <dc:creator>1129</dc:creator>
  <cp:lastModifiedBy>燕子 13893107503</cp:lastModifiedBy>
  <cp:lastPrinted>2024-07-09T08:19:00Z</cp:lastPrinted>
  <dcterms:modified xsi:type="dcterms:W3CDTF">2024-08-14T06:54:38Z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1535C8A44300473191021D4FB0932BD0_13</vt:lpwstr>
  </property>
</Properties>
</file>