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rPr>
        <w:t>2023</w:t>
      </w:r>
      <w:r>
        <w:rPr>
          <w:rFonts w:ascii="宋体" w:hAnsi="宋体" w:eastAsia="宋体"/>
          <w:b/>
          <w:bCs/>
          <w:sz w:val="44"/>
          <w:szCs w:val="44"/>
        </w:rPr>
        <w:t>年度</w:t>
      </w:r>
      <w:r>
        <w:rPr>
          <w:rFonts w:hint="eastAsia" w:ascii="宋体" w:hAnsi="宋体" w:eastAsia="宋体"/>
          <w:b/>
          <w:bCs/>
          <w:sz w:val="44"/>
          <w:szCs w:val="44"/>
        </w:rPr>
        <w:t>甘肃省民族法制文化研究所</w:t>
      </w:r>
    </w:p>
    <w:p>
      <w:pPr>
        <w:spacing w:line="720" w:lineRule="auto"/>
        <w:ind w:firstLine="0" w:firstLineChars="0"/>
        <w:jc w:val="center"/>
        <w:rPr>
          <w:rFonts w:ascii="宋体" w:hAnsi="宋体" w:eastAsia="宋体"/>
          <w:b/>
          <w:bCs/>
          <w:sz w:val="44"/>
          <w:szCs w:val="44"/>
        </w:rPr>
      </w:pPr>
      <w:bookmarkStart w:id="0" w:name="_Toc24640"/>
      <w:r>
        <w:rPr>
          <w:rFonts w:hint="eastAsia" w:ascii="宋体" w:hAnsi="宋体" w:eastAsia="宋体"/>
          <w:b/>
          <w:bCs/>
          <w:sz w:val="44"/>
          <w:szCs w:val="44"/>
        </w:rPr>
        <w:t>部门</w:t>
      </w: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bookmarkEnd w:id="0"/>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ascii="宋体" w:hAnsi="宋体" w:eastAsia="宋体"/>
          <w:b/>
          <w:bCs/>
          <w:szCs w:val="32"/>
        </w:rPr>
      </w:pPr>
      <w:bookmarkStart w:id="1" w:name="_Toc22589"/>
      <w:r>
        <w:rPr>
          <w:rFonts w:hint="eastAsia" w:ascii="宋体" w:hAnsi="宋体" w:eastAsia="宋体"/>
          <w:b/>
          <w:bCs/>
          <w:szCs w:val="32"/>
        </w:rPr>
        <w:t>甘肃省民族法制文化研究所</w:t>
      </w:r>
      <w:bookmarkEnd w:id="1"/>
    </w:p>
    <w:p>
      <w:pPr>
        <w:ind w:firstLine="0" w:firstLineChars="0"/>
        <w:jc w:val="center"/>
        <w:rPr>
          <w:rFonts w:ascii="宋体" w:hAnsi="宋体" w:eastAsia="宋体"/>
          <w:b/>
          <w:bCs/>
          <w:szCs w:val="32"/>
        </w:rPr>
      </w:pPr>
      <w:r>
        <w:rPr>
          <w:rFonts w:hint="eastAsia" w:ascii="宋体" w:hAnsi="宋体" w:eastAsia="宋体"/>
          <w:b/>
          <w:bCs/>
          <w:szCs w:val="32"/>
        </w:rPr>
        <w:t>202</w:t>
      </w:r>
      <w:r>
        <w:rPr>
          <w:rFonts w:hint="eastAsia" w:ascii="宋体" w:hAnsi="宋体" w:eastAsia="宋体"/>
          <w:b/>
          <w:bCs/>
          <w:szCs w:val="32"/>
          <w:lang w:val="en-US" w:eastAsia="zh-CN"/>
        </w:rPr>
        <w:t>4</w:t>
      </w:r>
      <w:r>
        <w:rPr>
          <w:rFonts w:hint="eastAsia" w:ascii="宋体" w:hAnsi="宋体" w:eastAsia="宋体"/>
          <w:b/>
          <w:bCs/>
          <w:szCs w:val="32"/>
        </w:rPr>
        <w:t>年3月13日</w:t>
      </w:r>
    </w:p>
    <w:p>
      <w:pPr>
        <w:ind w:firstLine="640"/>
      </w:pPr>
    </w:p>
    <w:p>
      <w:pPr>
        <w:pStyle w:val="12"/>
        <w:tabs>
          <w:tab w:val="clear" w:pos="8834"/>
        </w:tabs>
        <w:spacing w:line="560" w:lineRule="exact"/>
        <w:jc w:val="center"/>
        <w:rPr>
          <w:rFonts w:ascii="宋体" w:hAnsi="宋体" w:eastAsia="宋体"/>
          <w:sz w:val="36"/>
          <w:szCs w:val="44"/>
        </w:rPr>
      </w:pPr>
    </w:p>
    <w:p>
      <w:pPr>
        <w:pStyle w:val="12"/>
        <w:tabs>
          <w:tab w:val="clear" w:pos="8834"/>
        </w:tabs>
        <w:spacing w:line="560" w:lineRule="exact"/>
        <w:jc w:val="center"/>
        <w:rPr>
          <w:rFonts w:ascii="宋体" w:hAnsi="宋体" w:eastAsia="宋体"/>
          <w:sz w:val="36"/>
          <w:szCs w:val="44"/>
        </w:rPr>
        <w:sectPr>
          <w:headerReference r:id="rId5" w:type="default"/>
          <w:footerReference r:id="rId6" w:type="default"/>
          <w:pgSz w:w="11906" w:h="16838"/>
          <w:pgMar w:top="1928" w:right="1531" w:bottom="1701" w:left="1531" w:header="737" w:footer="851" w:gutter="0"/>
          <w:pgNumType w:start="1"/>
          <w:cols w:space="720" w:num="1"/>
          <w:docGrid w:type="lines" w:linePitch="312" w:charSpace="0"/>
        </w:sectPr>
      </w:pPr>
    </w:p>
    <w:p>
      <w:pPr>
        <w:pStyle w:val="12"/>
        <w:tabs>
          <w:tab w:val="clear" w:pos="8834"/>
        </w:tabs>
        <w:spacing w:line="560" w:lineRule="exact"/>
        <w:jc w:val="center"/>
        <w:rPr>
          <w:rFonts w:ascii="宋体" w:hAnsi="宋体" w:eastAsia="宋体"/>
          <w:sz w:val="36"/>
          <w:szCs w:val="44"/>
        </w:rPr>
      </w:pPr>
      <w:r>
        <w:rPr>
          <w:rFonts w:ascii="宋体" w:hAnsi="宋体" w:eastAsia="宋体"/>
          <w:sz w:val="36"/>
          <w:szCs w:val="44"/>
        </w:rPr>
        <w:t>目</w:t>
      </w:r>
      <w:r>
        <w:rPr>
          <w:rFonts w:hint="eastAsia" w:ascii="宋体" w:hAnsi="宋体" w:eastAsia="宋体"/>
          <w:sz w:val="36"/>
          <w:szCs w:val="44"/>
        </w:rPr>
        <w:t xml:space="preserve">  </w:t>
      </w:r>
      <w:r>
        <w:rPr>
          <w:rFonts w:ascii="宋体" w:hAnsi="宋体" w:eastAsia="宋体"/>
          <w:sz w:val="36"/>
          <w:szCs w:val="44"/>
        </w:rPr>
        <w:t>录</w:t>
      </w:r>
    </w:p>
    <w:p>
      <w:pPr>
        <w:spacing w:line="240" w:lineRule="auto"/>
        <w:ind w:firstLine="0" w:firstLineChars="0"/>
        <w:jc w:val="center"/>
      </w:pPr>
    </w:p>
    <w:p>
      <w:pPr>
        <w:pStyle w:val="12"/>
        <w:tabs>
          <w:tab w:val="right" w:leader="dot" w:pos="8844"/>
          <w:tab w:val="clear" w:pos="8834"/>
        </w:tabs>
        <w:rPr>
          <w:sz w:val="28"/>
          <w:szCs w:val="28"/>
        </w:rPr>
      </w:pPr>
      <w:r>
        <w:rPr>
          <w:rFonts w:hint="eastAsia" w:ascii="黑体" w:hAnsi="仿宋" w:eastAsia="黑体" w:cs="仿宋"/>
          <w:sz w:val="28"/>
          <w:szCs w:val="28"/>
        </w:rPr>
        <w:fldChar w:fldCharType="begin"/>
      </w:r>
      <w:r>
        <w:rPr>
          <w:rFonts w:hint="eastAsia" w:ascii="黑体" w:hAnsi="仿宋" w:eastAsia="黑体" w:cs="仿宋"/>
          <w:sz w:val="28"/>
          <w:szCs w:val="28"/>
        </w:rPr>
        <w:instrText xml:space="preserve">TOC \o "1-2" \h \u </w:instrText>
      </w:r>
      <w:r>
        <w:rPr>
          <w:rFonts w:hint="eastAsia" w:ascii="黑体" w:hAnsi="仿宋" w:eastAsia="黑体" w:cs="仿宋"/>
          <w:sz w:val="28"/>
          <w:szCs w:val="28"/>
        </w:rPr>
        <w:fldChar w:fldCharType="separate"/>
      </w:r>
      <w:r>
        <w:rPr>
          <w:rFonts w:hint="eastAsia" w:ascii="黑体" w:hAnsi="仿宋" w:eastAsia="黑体" w:cs="仿宋"/>
          <w:sz w:val="28"/>
          <w:szCs w:val="44"/>
        </w:rPr>
        <w:fldChar w:fldCharType="begin"/>
      </w:r>
      <w:r>
        <w:rPr>
          <w:rFonts w:hint="eastAsia" w:ascii="黑体" w:hAnsi="仿宋" w:eastAsia="黑体" w:cs="仿宋"/>
          <w:sz w:val="28"/>
          <w:szCs w:val="44"/>
        </w:rPr>
        <w:instrText xml:space="preserve"> HYPERLINK \l _Toc31152 </w:instrText>
      </w:r>
      <w:r>
        <w:rPr>
          <w:rFonts w:hint="eastAsia" w:ascii="黑体" w:hAnsi="仿宋" w:eastAsia="黑体" w:cs="仿宋"/>
          <w:sz w:val="28"/>
          <w:szCs w:val="44"/>
        </w:rPr>
        <w:fldChar w:fldCharType="separate"/>
      </w:r>
      <w:r>
        <w:rPr>
          <w:rFonts w:hint="eastAsia"/>
          <w:sz w:val="28"/>
          <w:szCs w:val="28"/>
        </w:rPr>
        <w:t>一、基本情况</w:t>
      </w:r>
      <w:r>
        <w:rPr>
          <w:sz w:val="28"/>
          <w:szCs w:val="28"/>
        </w:rPr>
        <w:tab/>
      </w:r>
      <w:r>
        <w:rPr>
          <w:sz w:val="28"/>
          <w:szCs w:val="28"/>
        </w:rPr>
        <w:fldChar w:fldCharType="begin"/>
      </w:r>
      <w:r>
        <w:rPr>
          <w:sz w:val="28"/>
          <w:szCs w:val="28"/>
        </w:rPr>
        <w:instrText xml:space="preserve"> PAGEREF _Toc31152 \h </w:instrText>
      </w:r>
      <w:r>
        <w:rPr>
          <w:sz w:val="28"/>
          <w:szCs w:val="28"/>
        </w:rPr>
        <w:fldChar w:fldCharType="separate"/>
      </w:r>
      <w:r>
        <w:rPr>
          <w:sz w:val="28"/>
          <w:szCs w:val="28"/>
        </w:rPr>
        <w:t>1</w:t>
      </w:r>
      <w:r>
        <w:rPr>
          <w:sz w:val="28"/>
          <w:szCs w:val="28"/>
        </w:rPr>
        <w:fldChar w:fldCharType="end"/>
      </w:r>
      <w:r>
        <w:rPr>
          <w:rFonts w:hint="eastAsia" w:ascii="黑体" w:hAnsi="仿宋" w:eastAsia="黑体" w:cs="仿宋"/>
          <w:sz w:val="28"/>
          <w:szCs w:val="44"/>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_Toc28151 </w:instrText>
      </w:r>
      <w:r>
        <w:rPr>
          <w:rFonts w:hint="eastAsia" w:ascii="仿宋" w:hAnsi="仿宋" w:eastAsia="仿宋" w:cs="仿宋"/>
          <w:sz w:val="28"/>
          <w:szCs w:val="56"/>
        </w:rPr>
        <w:fldChar w:fldCharType="separate"/>
      </w:r>
      <w:r>
        <w:rPr>
          <w:rFonts w:hint="eastAsia" w:ascii="仿宋" w:hAnsi="仿宋" w:eastAsia="仿宋" w:cs="仿宋"/>
          <w:sz w:val="28"/>
          <w:szCs w:val="28"/>
        </w:rPr>
        <w:t>（一）单位主要职能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_Toc28151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_Toc30147 </w:instrText>
      </w:r>
      <w:r>
        <w:rPr>
          <w:rFonts w:hint="eastAsia" w:ascii="仿宋" w:hAnsi="仿宋" w:eastAsia="仿宋" w:cs="仿宋"/>
          <w:sz w:val="28"/>
          <w:szCs w:val="56"/>
        </w:rPr>
        <w:fldChar w:fldCharType="separate"/>
      </w:r>
      <w:r>
        <w:rPr>
          <w:rFonts w:hint="eastAsia" w:ascii="仿宋" w:hAnsi="仿宋" w:eastAsia="仿宋" w:cs="仿宋"/>
          <w:sz w:val="28"/>
          <w:szCs w:val="28"/>
        </w:rPr>
        <w:t>（二）单位内设机构及人员编制情况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_Toc30147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2"/>
        <w:tabs>
          <w:tab w:val="right" w:leader="dot" w:pos="8844"/>
          <w:tab w:val="clear" w:pos="8834"/>
        </w:tabs>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_Toc5095 </w:instrText>
      </w:r>
      <w:r>
        <w:rPr>
          <w:rFonts w:hint="eastAsia" w:ascii="仿宋" w:hAnsi="仿宋" w:eastAsia="仿宋" w:cs="仿宋"/>
          <w:sz w:val="28"/>
          <w:szCs w:val="56"/>
        </w:rPr>
        <w:fldChar w:fldCharType="separate"/>
      </w:r>
      <w:r>
        <w:rPr>
          <w:rFonts w:hint="eastAsia"/>
          <w:sz w:val="28"/>
          <w:szCs w:val="28"/>
        </w:rPr>
        <w:t>二、绩效评价工作组织开展情况</w:t>
      </w:r>
      <w:r>
        <w:rPr>
          <w:sz w:val="28"/>
          <w:szCs w:val="28"/>
        </w:rPr>
        <w:tab/>
      </w:r>
      <w:r>
        <w:rPr>
          <w:sz w:val="28"/>
          <w:szCs w:val="28"/>
        </w:rPr>
        <w:fldChar w:fldCharType="begin"/>
      </w:r>
      <w:r>
        <w:rPr>
          <w:sz w:val="28"/>
          <w:szCs w:val="28"/>
        </w:rPr>
        <w:instrText xml:space="preserve"> PAGEREF _Toc5095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_Toc11919 </w:instrText>
      </w:r>
      <w:r>
        <w:rPr>
          <w:rFonts w:hint="eastAsia" w:ascii="仿宋" w:hAnsi="仿宋" w:eastAsia="仿宋" w:cs="仿宋"/>
          <w:sz w:val="28"/>
          <w:szCs w:val="56"/>
        </w:rPr>
        <w:fldChar w:fldCharType="separate"/>
      </w:r>
      <w:r>
        <w:rPr>
          <w:rFonts w:hint="eastAsia" w:ascii="仿宋" w:hAnsi="仿宋" w:eastAsia="仿宋" w:cs="仿宋"/>
          <w:sz w:val="28"/>
          <w:szCs w:val="28"/>
        </w:rPr>
        <w:t>（一）自评工作组织管理情况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_Toc11919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_Toc32335 </w:instrText>
      </w:r>
      <w:r>
        <w:rPr>
          <w:rFonts w:hint="eastAsia" w:ascii="仿宋" w:hAnsi="仿宋" w:eastAsia="仿宋" w:cs="仿宋"/>
          <w:sz w:val="28"/>
          <w:szCs w:val="56"/>
        </w:rPr>
        <w:fldChar w:fldCharType="separate"/>
      </w:r>
      <w:r>
        <w:rPr>
          <w:rFonts w:hint="eastAsia" w:ascii="仿宋" w:hAnsi="仿宋" w:eastAsia="仿宋" w:cs="仿宋"/>
          <w:sz w:val="28"/>
          <w:szCs w:val="28"/>
        </w:rPr>
        <w:t>（二）自评范围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_Toc32335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_Toc29465 </w:instrText>
      </w:r>
      <w:r>
        <w:rPr>
          <w:rFonts w:hint="eastAsia" w:ascii="仿宋" w:hAnsi="仿宋" w:eastAsia="仿宋" w:cs="仿宋"/>
          <w:sz w:val="28"/>
          <w:szCs w:val="56"/>
        </w:rPr>
        <w:fldChar w:fldCharType="separate"/>
      </w:r>
      <w:r>
        <w:rPr>
          <w:rFonts w:hint="eastAsia" w:ascii="仿宋" w:hAnsi="仿宋" w:eastAsia="仿宋" w:cs="仿宋"/>
          <w:sz w:val="28"/>
          <w:szCs w:val="28"/>
        </w:rPr>
        <w:t>（三）自评工作程序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_Toc29465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2"/>
        <w:tabs>
          <w:tab w:val="right" w:leader="dot" w:pos="8844"/>
          <w:tab w:val="clear" w:pos="8834"/>
        </w:tabs>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_Toc24331 </w:instrText>
      </w:r>
      <w:r>
        <w:rPr>
          <w:rFonts w:hint="eastAsia" w:ascii="仿宋" w:hAnsi="仿宋" w:eastAsia="仿宋" w:cs="仿宋"/>
          <w:sz w:val="28"/>
          <w:szCs w:val="56"/>
        </w:rPr>
        <w:fldChar w:fldCharType="separate"/>
      </w:r>
      <w:r>
        <w:rPr>
          <w:rFonts w:hint="eastAsia"/>
          <w:sz w:val="28"/>
          <w:szCs w:val="28"/>
        </w:rPr>
        <w:t>三、部门整体支出绩效自评情况分析</w:t>
      </w:r>
      <w:r>
        <w:rPr>
          <w:sz w:val="28"/>
          <w:szCs w:val="28"/>
        </w:rPr>
        <w:tab/>
      </w:r>
      <w:r>
        <w:rPr>
          <w:sz w:val="28"/>
          <w:szCs w:val="28"/>
        </w:rPr>
        <w:fldChar w:fldCharType="begin"/>
      </w:r>
      <w:r>
        <w:rPr>
          <w:sz w:val="28"/>
          <w:szCs w:val="28"/>
        </w:rPr>
        <w:instrText xml:space="preserve"> PAGEREF _Toc24331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_Toc6389 </w:instrText>
      </w:r>
      <w:r>
        <w:rPr>
          <w:rFonts w:hint="eastAsia" w:ascii="仿宋" w:hAnsi="仿宋" w:eastAsia="仿宋" w:cs="仿宋"/>
          <w:sz w:val="28"/>
          <w:szCs w:val="56"/>
        </w:rPr>
        <w:fldChar w:fldCharType="separate"/>
      </w:r>
      <w:r>
        <w:rPr>
          <w:rFonts w:hint="eastAsia" w:ascii="仿宋" w:hAnsi="仿宋" w:eastAsia="仿宋" w:cs="仿宋"/>
          <w:sz w:val="28"/>
          <w:szCs w:val="28"/>
        </w:rPr>
        <w:t>（一）部门决算情况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_Toc7139 </w:instrText>
      </w:r>
      <w:r>
        <w:rPr>
          <w:rFonts w:hint="eastAsia" w:ascii="仿宋" w:hAnsi="仿宋" w:eastAsia="仿宋" w:cs="仿宋"/>
          <w:sz w:val="28"/>
          <w:szCs w:val="56"/>
        </w:rPr>
        <w:fldChar w:fldCharType="separate"/>
      </w:r>
      <w:r>
        <w:rPr>
          <w:rFonts w:hint="eastAsia" w:ascii="仿宋" w:hAnsi="仿宋" w:eastAsia="仿宋" w:cs="仿宋"/>
          <w:sz w:val="28"/>
          <w:szCs w:val="28"/>
        </w:rPr>
        <w:t>（二）总体绩效目标完成情况分析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_Toc7139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_Toc17225 </w:instrText>
      </w:r>
      <w:r>
        <w:rPr>
          <w:rFonts w:hint="eastAsia" w:ascii="仿宋" w:hAnsi="仿宋" w:eastAsia="仿宋" w:cs="仿宋"/>
          <w:sz w:val="28"/>
          <w:szCs w:val="56"/>
        </w:rPr>
        <w:fldChar w:fldCharType="separate"/>
      </w:r>
      <w:r>
        <w:rPr>
          <w:rFonts w:hint="eastAsia" w:ascii="仿宋" w:hAnsi="仿宋" w:eastAsia="仿宋" w:cs="仿宋"/>
          <w:bCs/>
          <w:sz w:val="28"/>
          <w:szCs w:val="28"/>
        </w:rPr>
        <w:t>（三）各项指标完成情况分析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_Toc17225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_Toc13815 </w:instrText>
      </w:r>
      <w:r>
        <w:rPr>
          <w:rFonts w:hint="eastAsia" w:ascii="仿宋" w:hAnsi="仿宋" w:eastAsia="仿宋" w:cs="仿宋"/>
          <w:sz w:val="28"/>
          <w:szCs w:val="56"/>
        </w:rPr>
        <w:fldChar w:fldCharType="separate"/>
      </w:r>
      <w:r>
        <w:rPr>
          <w:rFonts w:hint="eastAsia" w:ascii="仿宋" w:hAnsi="仿宋" w:eastAsia="仿宋" w:cs="仿宋"/>
          <w:sz w:val="28"/>
          <w:szCs w:val="28"/>
        </w:rPr>
        <w:t>（四）偏离绩效目标的原因及下一步改进措施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_Toc13815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2"/>
        <w:tabs>
          <w:tab w:val="right" w:leader="dot" w:pos="8844"/>
          <w:tab w:val="clear" w:pos="8834"/>
        </w:tabs>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_Toc30459 </w:instrText>
      </w:r>
      <w:r>
        <w:rPr>
          <w:rFonts w:hint="eastAsia" w:ascii="仿宋" w:hAnsi="仿宋" w:eastAsia="仿宋" w:cs="仿宋"/>
          <w:sz w:val="28"/>
          <w:szCs w:val="56"/>
        </w:rPr>
        <w:fldChar w:fldCharType="separate"/>
      </w:r>
      <w:r>
        <w:rPr>
          <w:rFonts w:hint="eastAsia"/>
          <w:sz w:val="28"/>
          <w:szCs w:val="28"/>
        </w:rPr>
        <w:t>四、部门预算项目支出绩效自评情况分析</w:t>
      </w:r>
      <w:r>
        <w:rPr>
          <w:sz w:val="28"/>
          <w:szCs w:val="28"/>
        </w:rPr>
        <w:tab/>
      </w:r>
      <w:r>
        <w:rPr>
          <w:sz w:val="28"/>
          <w:szCs w:val="28"/>
        </w:rPr>
        <w:fldChar w:fldCharType="begin"/>
      </w:r>
      <w:r>
        <w:rPr>
          <w:sz w:val="28"/>
          <w:szCs w:val="28"/>
        </w:rPr>
        <w:instrText xml:space="preserve"> PAGEREF _Toc30459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_Toc11705 </w:instrText>
      </w:r>
      <w:r>
        <w:rPr>
          <w:rFonts w:hint="eastAsia" w:ascii="仿宋" w:hAnsi="仿宋" w:eastAsia="仿宋" w:cs="仿宋"/>
          <w:sz w:val="28"/>
          <w:szCs w:val="56"/>
        </w:rPr>
        <w:fldChar w:fldCharType="separate"/>
      </w:r>
      <w:r>
        <w:rPr>
          <w:rFonts w:hint="eastAsia" w:ascii="仿宋" w:hAnsi="仿宋" w:eastAsia="仿宋" w:cs="仿宋"/>
          <w:sz w:val="28"/>
          <w:szCs w:val="28"/>
        </w:rPr>
        <w:t>（一）中华民族共同体法治文化研究及陈列馆专项经费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_Toc11705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3"/>
        <w:tabs>
          <w:tab w:val="right" w:leader="dot" w:pos="8844"/>
          <w:tab w:val="clear" w:pos="8834"/>
        </w:tabs>
        <w:rPr>
          <w:rFonts w:hint="eastAsia" w:ascii="仿宋" w:hAnsi="仿宋" w:eastAsia="仿宋" w:cs="仿宋"/>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_Toc3406 </w:instrText>
      </w:r>
      <w:r>
        <w:rPr>
          <w:rFonts w:hint="eastAsia" w:ascii="仿宋" w:hAnsi="仿宋" w:eastAsia="仿宋" w:cs="仿宋"/>
          <w:sz w:val="28"/>
          <w:szCs w:val="56"/>
        </w:rPr>
        <w:fldChar w:fldCharType="separate"/>
      </w:r>
      <w:r>
        <w:rPr>
          <w:rFonts w:hint="eastAsia" w:ascii="仿宋" w:hAnsi="仿宋" w:eastAsia="仿宋" w:cs="仿宋"/>
          <w:sz w:val="28"/>
          <w:szCs w:val="28"/>
        </w:rPr>
        <w:t>（二）全省法院业务费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_Toc3406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56"/>
        </w:rPr>
        <w:fldChar w:fldCharType="end"/>
      </w:r>
    </w:p>
    <w:p>
      <w:pPr>
        <w:pStyle w:val="12"/>
        <w:tabs>
          <w:tab w:val="right" w:leader="dot" w:pos="8844"/>
          <w:tab w:val="clear" w:pos="8834"/>
        </w:tabs>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_Toc20367 </w:instrText>
      </w:r>
      <w:r>
        <w:rPr>
          <w:rFonts w:hint="eastAsia" w:ascii="仿宋" w:hAnsi="仿宋" w:eastAsia="仿宋" w:cs="仿宋"/>
          <w:sz w:val="28"/>
          <w:szCs w:val="56"/>
        </w:rPr>
        <w:fldChar w:fldCharType="separate"/>
      </w:r>
      <w:r>
        <w:rPr>
          <w:rFonts w:hint="eastAsia"/>
          <w:sz w:val="28"/>
          <w:szCs w:val="28"/>
        </w:rPr>
        <w:t>五、绩效自评结果拟应用和公开情况</w:t>
      </w:r>
      <w:r>
        <w:rPr>
          <w:sz w:val="28"/>
          <w:szCs w:val="28"/>
        </w:rPr>
        <w:tab/>
      </w:r>
      <w:r>
        <w:rPr>
          <w:sz w:val="28"/>
          <w:szCs w:val="28"/>
        </w:rPr>
        <w:fldChar w:fldCharType="begin"/>
      </w:r>
      <w:r>
        <w:rPr>
          <w:sz w:val="28"/>
          <w:szCs w:val="28"/>
        </w:rPr>
        <w:instrText xml:space="preserve"> PAGEREF _Toc20367 \h </w:instrText>
      </w:r>
      <w:r>
        <w:rPr>
          <w:sz w:val="28"/>
          <w:szCs w:val="28"/>
        </w:rPr>
        <w:fldChar w:fldCharType="separate"/>
      </w:r>
      <w:r>
        <w:rPr>
          <w:sz w:val="28"/>
          <w:szCs w:val="28"/>
        </w:rPr>
        <w:t>25</w:t>
      </w:r>
      <w:r>
        <w:rPr>
          <w:sz w:val="28"/>
          <w:szCs w:val="28"/>
        </w:rPr>
        <w:fldChar w:fldCharType="end"/>
      </w:r>
      <w:r>
        <w:rPr>
          <w:rFonts w:hint="eastAsia" w:ascii="仿宋" w:hAnsi="仿宋" w:eastAsia="仿宋" w:cs="仿宋"/>
          <w:sz w:val="28"/>
          <w:szCs w:val="56"/>
        </w:rPr>
        <w:fldChar w:fldCharType="end"/>
      </w:r>
    </w:p>
    <w:p>
      <w:pPr>
        <w:pStyle w:val="12"/>
        <w:tabs>
          <w:tab w:val="right" w:leader="dot" w:pos="8844"/>
          <w:tab w:val="clear" w:pos="8834"/>
        </w:tabs>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_Toc24702 </w:instrText>
      </w:r>
      <w:r>
        <w:rPr>
          <w:rFonts w:hint="eastAsia" w:ascii="仿宋" w:hAnsi="仿宋" w:eastAsia="仿宋" w:cs="仿宋"/>
          <w:sz w:val="28"/>
          <w:szCs w:val="56"/>
        </w:rPr>
        <w:fldChar w:fldCharType="separate"/>
      </w:r>
      <w:r>
        <w:rPr>
          <w:rFonts w:hint="eastAsia"/>
          <w:sz w:val="28"/>
          <w:szCs w:val="28"/>
        </w:rPr>
        <w:t>六、其他需要说明的问题</w:t>
      </w:r>
      <w:r>
        <w:rPr>
          <w:sz w:val="28"/>
          <w:szCs w:val="28"/>
        </w:rPr>
        <w:tab/>
      </w:r>
      <w:r>
        <w:rPr>
          <w:sz w:val="28"/>
          <w:szCs w:val="28"/>
        </w:rPr>
        <w:fldChar w:fldCharType="begin"/>
      </w:r>
      <w:r>
        <w:rPr>
          <w:sz w:val="28"/>
          <w:szCs w:val="28"/>
        </w:rPr>
        <w:instrText xml:space="preserve"> PAGEREF _Toc24702 \h </w:instrText>
      </w:r>
      <w:r>
        <w:rPr>
          <w:sz w:val="28"/>
          <w:szCs w:val="28"/>
        </w:rPr>
        <w:fldChar w:fldCharType="separate"/>
      </w:r>
      <w:r>
        <w:rPr>
          <w:sz w:val="28"/>
          <w:szCs w:val="28"/>
        </w:rPr>
        <w:t>25</w:t>
      </w:r>
      <w:r>
        <w:rPr>
          <w:sz w:val="28"/>
          <w:szCs w:val="28"/>
        </w:rPr>
        <w:fldChar w:fldCharType="end"/>
      </w:r>
      <w:r>
        <w:rPr>
          <w:rFonts w:hint="eastAsia" w:ascii="仿宋" w:hAnsi="仿宋" w:eastAsia="仿宋" w:cs="仿宋"/>
          <w:sz w:val="28"/>
          <w:szCs w:val="56"/>
        </w:rPr>
        <w:fldChar w:fldCharType="end"/>
      </w:r>
    </w:p>
    <w:p>
      <w:pPr>
        <w:pStyle w:val="12"/>
        <w:tabs>
          <w:tab w:val="right" w:leader="dot" w:pos="8844"/>
          <w:tab w:val="clear" w:pos="8834"/>
        </w:tabs>
        <w:rPr>
          <w:sz w:val="28"/>
          <w:szCs w:val="28"/>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_Toc30344 </w:instrText>
      </w:r>
      <w:r>
        <w:rPr>
          <w:rFonts w:hint="eastAsia" w:ascii="仿宋" w:hAnsi="仿宋" w:eastAsia="仿宋" w:cs="仿宋"/>
          <w:sz w:val="28"/>
          <w:szCs w:val="56"/>
        </w:rPr>
        <w:fldChar w:fldCharType="separate"/>
      </w:r>
      <w:r>
        <w:rPr>
          <w:rFonts w:hint="eastAsia"/>
          <w:sz w:val="28"/>
          <w:szCs w:val="28"/>
        </w:rPr>
        <w:t>附件：202</w:t>
      </w:r>
      <w:r>
        <w:rPr>
          <w:rFonts w:hint="eastAsia"/>
          <w:sz w:val="28"/>
          <w:szCs w:val="28"/>
          <w:lang w:val="en-US" w:eastAsia="zh-CN"/>
        </w:rPr>
        <w:t>3</w:t>
      </w:r>
      <w:r>
        <w:rPr>
          <w:rFonts w:hint="eastAsia"/>
          <w:sz w:val="28"/>
          <w:szCs w:val="28"/>
        </w:rPr>
        <w:t>年度省级预算执行情况绩效自评报表</w:t>
      </w:r>
      <w:r>
        <w:rPr>
          <w:sz w:val="28"/>
          <w:szCs w:val="28"/>
        </w:rPr>
        <w:tab/>
      </w:r>
      <w:r>
        <w:rPr>
          <w:sz w:val="28"/>
          <w:szCs w:val="28"/>
        </w:rPr>
        <w:fldChar w:fldCharType="begin"/>
      </w:r>
      <w:r>
        <w:rPr>
          <w:sz w:val="28"/>
          <w:szCs w:val="28"/>
        </w:rPr>
        <w:instrText xml:space="preserve"> PAGEREF _Toc30344 \h </w:instrText>
      </w:r>
      <w:r>
        <w:rPr>
          <w:sz w:val="28"/>
          <w:szCs w:val="28"/>
        </w:rPr>
        <w:fldChar w:fldCharType="separate"/>
      </w:r>
      <w:r>
        <w:rPr>
          <w:sz w:val="28"/>
          <w:szCs w:val="28"/>
        </w:rPr>
        <w:t>25</w:t>
      </w:r>
      <w:r>
        <w:rPr>
          <w:sz w:val="28"/>
          <w:szCs w:val="28"/>
        </w:rPr>
        <w:fldChar w:fldCharType="end"/>
      </w:r>
      <w:r>
        <w:rPr>
          <w:rFonts w:hint="eastAsia" w:ascii="仿宋" w:hAnsi="仿宋" w:eastAsia="仿宋" w:cs="仿宋"/>
          <w:sz w:val="28"/>
          <w:szCs w:val="56"/>
        </w:rPr>
        <w:fldChar w:fldCharType="end"/>
      </w:r>
    </w:p>
    <w:p>
      <w:pPr>
        <w:ind w:firstLine="964"/>
        <w:rPr>
          <w:rFonts w:ascii="仿宋" w:hAnsi="仿宋" w:eastAsia="仿宋" w:cs="仿宋"/>
          <w:b/>
          <w:sz w:val="48"/>
          <w:szCs w:val="40"/>
        </w:rPr>
      </w:pPr>
      <w:r>
        <w:rPr>
          <w:rFonts w:hint="eastAsia" w:ascii="仿宋" w:hAnsi="仿宋" w:eastAsia="仿宋" w:cs="仿宋"/>
          <w:szCs w:val="40"/>
        </w:rPr>
        <w:fldChar w:fldCharType="end"/>
      </w:r>
    </w:p>
    <w:p>
      <w:pPr>
        <w:ind w:firstLine="643"/>
        <w:rPr>
          <w:b/>
        </w:rPr>
        <w:sectPr>
          <w:footerReference r:id="rId7" w:type="default"/>
          <w:pgSz w:w="11906" w:h="16838"/>
          <w:pgMar w:top="1928" w:right="1531" w:bottom="1701" w:left="1531" w:header="737" w:footer="851" w:gutter="0"/>
          <w:pgNumType w:start="1"/>
          <w:cols w:space="720" w:num="1"/>
          <w:docGrid w:type="lines" w:linePitch="312" w:charSpace="0"/>
        </w:sectPr>
      </w:pPr>
    </w:p>
    <w:p>
      <w:pPr>
        <w:ind w:firstLine="640"/>
      </w:pPr>
    </w:p>
    <w:p>
      <w:pPr>
        <w:ind w:firstLine="0" w:firstLineChars="0"/>
        <w:jc w:val="center"/>
        <w:rPr>
          <w:rFonts w:ascii="宋体" w:hAnsi="宋体" w:eastAsia="宋体" w:cs="Arial"/>
          <w:b/>
          <w:bCs/>
          <w:sz w:val="44"/>
          <w:szCs w:val="44"/>
        </w:rPr>
      </w:pPr>
      <w:bookmarkStart w:id="2" w:name="_Toc31639"/>
      <w:bookmarkStart w:id="3" w:name="_Toc9581"/>
      <w:r>
        <w:rPr>
          <w:rFonts w:hint="eastAsia" w:ascii="宋体" w:hAnsi="宋体" w:eastAsia="宋体" w:cs="Arial"/>
          <w:b/>
          <w:bCs/>
          <w:sz w:val="44"/>
          <w:szCs w:val="44"/>
        </w:rPr>
        <w:t>甘肃省民族法制文化研究所2023年度</w:t>
      </w:r>
      <w:bookmarkEnd w:id="2"/>
      <w:bookmarkEnd w:id="3"/>
    </w:p>
    <w:p>
      <w:pPr>
        <w:ind w:firstLine="0" w:firstLineChars="0"/>
        <w:jc w:val="center"/>
        <w:rPr>
          <w:rFonts w:ascii="宋体" w:hAnsi="宋体" w:eastAsia="宋体" w:cs="Arial"/>
          <w:b/>
          <w:bCs/>
          <w:sz w:val="44"/>
          <w:szCs w:val="44"/>
        </w:rPr>
      </w:pPr>
      <w:bookmarkStart w:id="4" w:name="_Toc14153"/>
      <w:bookmarkStart w:id="5" w:name="_Toc4040"/>
      <w:bookmarkStart w:id="6" w:name="_Toc19034"/>
      <w:bookmarkStart w:id="7" w:name="_Toc1050"/>
      <w:bookmarkStart w:id="8" w:name="_Toc16783"/>
      <w:bookmarkStart w:id="9" w:name="_Toc24662"/>
      <w:r>
        <w:rPr>
          <w:rFonts w:hint="eastAsia" w:ascii="宋体" w:hAnsi="宋体" w:eastAsia="宋体" w:cs="Arial"/>
          <w:b/>
          <w:bCs/>
          <w:sz w:val="44"/>
          <w:szCs w:val="44"/>
        </w:rPr>
        <w:t>部门预算执行情况自评报告</w:t>
      </w:r>
      <w:bookmarkEnd w:id="4"/>
      <w:bookmarkEnd w:id="5"/>
      <w:bookmarkEnd w:id="6"/>
      <w:bookmarkEnd w:id="7"/>
      <w:bookmarkEnd w:id="8"/>
      <w:bookmarkEnd w:id="9"/>
    </w:p>
    <w:p>
      <w:pPr>
        <w:ind w:firstLine="640"/>
      </w:pPr>
      <w:bookmarkStart w:id="10" w:name="_Toc18175"/>
      <w:bookmarkStart w:id="11" w:name="_Toc30875"/>
      <w:bookmarkStart w:id="12" w:name="_Toc8312"/>
      <w:bookmarkStart w:id="13" w:name="_Toc11984"/>
    </w:p>
    <w:p>
      <w:pPr>
        <w:pStyle w:val="3"/>
        <w:keepNext w:val="0"/>
        <w:keepLines w:val="0"/>
        <w:spacing w:line="560" w:lineRule="exact"/>
        <w:ind w:firstLine="643"/>
      </w:pPr>
      <w:bookmarkStart w:id="14" w:name="_Toc776"/>
      <w:bookmarkStart w:id="15" w:name="_Toc31152"/>
      <w:r>
        <w:rPr>
          <w:rFonts w:hint="eastAsia"/>
        </w:rPr>
        <w:t>一、基本情况</w:t>
      </w:r>
      <w:bookmarkEnd w:id="10"/>
      <w:bookmarkEnd w:id="11"/>
      <w:bookmarkEnd w:id="12"/>
      <w:bookmarkEnd w:id="13"/>
      <w:bookmarkEnd w:id="14"/>
      <w:bookmarkEnd w:id="15"/>
    </w:p>
    <w:p>
      <w:pPr>
        <w:pStyle w:val="4"/>
        <w:keepNext w:val="0"/>
        <w:keepLines w:val="0"/>
        <w:spacing w:line="560" w:lineRule="exact"/>
        <w:ind w:firstLine="643"/>
      </w:pPr>
      <w:bookmarkStart w:id="16" w:name="_Toc26035"/>
      <w:bookmarkStart w:id="17" w:name="_Toc15864"/>
      <w:bookmarkStart w:id="18" w:name="_Toc28151"/>
      <w:bookmarkStart w:id="19" w:name="_Toc8695"/>
      <w:bookmarkStart w:id="20" w:name="_Toc18686"/>
      <w:bookmarkStart w:id="21" w:name="_Toc4907"/>
      <w:r>
        <w:rPr>
          <w:rFonts w:hint="eastAsia"/>
        </w:rPr>
        <w:t>（一）单位主要职能</w:t>
      </w:r>
      <w:bookmarkEnd w:id="16"/>
      <w:bookmarkEnd w:id="17"/>
      <w:bookmarkEnd w:id="18"/>
      <w:bookmarkEnd w:id="19"/>
      <w:bookmarkEnd w:id="20"/>
      <w:bookmarkEnd w:id="21"/>
    </w:p>
    <w:p>
      <w:pPr>
        <w:ind w:firstLine="640"/>
      </w:pPr>
      <w:bookmarkStart w:id="22" w:name="_Toc23725"/>
      <w:bookmarkStart w:id="23" w:name="_Toc26218"/>
      <w:bookmarkStart w:id="24" w:name="_Toc25290"/>
      <w:bookmarkStart w:id="25" w:name="_Toc9682"/>
      <w:bookmarkStart w:id="26" w:name="_Toc17875"/>
      <w:bookmarkStart w:id="27" w:name="_Toc29345"/>
      <w:r>
        <w:rPr>
          <w:rFonts w:hint="eastAsia"/>
        </w:rPr>
        <w:t>甘肃省民族法制文化研究所立足于司法实践中的矛盾化解和相关法律适用，研究民族区域自治制度，研究民族传统法制文化的现代转型，全面推进民族法治文化理论研究和法制实践，为民族地区立法、执法、司法等部门的工作提供决策依据和参考意见。</w:t>
      </w:r>
      <w:bookmarkEnd w:id="22"/>
    </w:p>
    <w:p>
      <w:pPr>
        <w:pStyle w:val="4"/>
        <w:keepNext w:val="0"/>
        <w:keepLines w:val="0"/>
        <w:spacing w:line="560" w:lineRule="exact"/>
        <w:ind w:firstLine="643"/>
      </w:pPr>
      <w:bookmarkStart w:id="28" w:name="_Toc30147"/>
      <w:r>
        <w:rPr>
          <w:rFonts w:hint="eastAsia"/>
        </w:rPr>
        <w:t>（二）单位内设机构及人员编制情况</w:t>
      </w:r>
      <w:bookmarkEnd w:id="23"/>
      <w:bookmarkEnd w:id="24"/>
      <w:bookmarkEnd w:id="25"/>
      <w:bookmarkEnd w:id="26"/>
      <w:bookmarkEnd w:id="27"/>
      <w:bookmarkEnd w:id="28"/>
    </w:p>
    <w:p>
      <w:pPr>
        <w:ind w:firstLine="640"/>
        <w:rPr>
          <w:rFonts w:hint="eastAsia"/>
        </w:rPr>
      </w:pPr>
      <w:bookmarkStart w:id="29" w:name="_Toc16297"/>
      <w:bookmarkStart w:id="30" w:name="_Toc875"/>
      <w:bookmarkStart w:id="31" w:name="_Toc10080"/>
      <w:r>
        <w:rPr>
          <w:rFonts w:hint="eastAsia"/>
        </w:rPr>
        <w:t>甘肃省民族法制文化研究所内设部门6个，分别为:办公室、科研处、编辑部、民族政策与法律法规研究室、当代民族法制研究室、传统民族法文化研究室，与上年相比无变化。</w:t>
      </w:r>
    </w:p>
    <w:p>
      <w:pPr>
        <w:ind w:firstLine="640"/>
        <w:rPr>
          <w:highlight w:val="none"/>
        </w:rPr>
      </w:pPr>
      <w:r>
        <w:rPr>
          <w:rFonts w:hint="eastAsia"/>
        </w:rPr>
        <w:t>甘肃省民族法制文化研究所编制数29人，截至2023年末，实有人数25人，临时聘用人员</w:t>
      </w:r>
      <w:r>
        <w:rPr>
          <w:rFonts w:hint="eastAsia"/>
          <w:lang w:val="en-US" w:eastAsia="zh-CN"/>
        </w:rPr>
        <w:t>5</w:t>
      </w:r>
      <w:r>
        <w:rPr>
          <w:rFonts w:hint="eastAsia"/>
        </w:rPr>
        <w:t>人。</w:t>
      </w:r>
    </w:p>
    <w:p>
      <w:pPr>
        <w:pStyle w:val="3"/>
        <w:keepNext w:val="0"/>
        <w:keepLines w:val="0"/>
        <w:spacing w:line="560" w:lineRule="exact"/>
        <w:ind w:firstLine="643"/>
      </w:pPr>
      <w:bookmarkStart w:id="32" w:name="_Toc5095"/>
      <w:r>
        <w:rPr>
          <w:rFonts w:hint="eastAsia"/>
        </w:rPr>
        <w:t>二、绩效评价工作组织开展情况</w:t>
      </w:r>
      <w:bookmarkEnd w:id="29"/>
      <w:bookmarkEnd w:id="30"/>
      <w:bookmarkEnd w:id="31"/>
      <w:bookmarkEnd w:id="32"/>
    </w:p>
    <w:p>
      <w:pPr>
        <w:ind w:firstLine="640"/>
      </w:pPr>
      <w:bookmarkStart w:id="33" w:name="_Toc20896"/>
      <w:bookmarkStart w:id="34" w:name="_Toc899"/>
      <w:bookmarkStart w:id="35" w:name="_Toc11166"/>
      <w:r>
        <w:rPr>
          <w:rFonts w:hint="eastAsia"/>
        </w:rPr>
        <w:t>根据《中华人民共和国预算法》《中华人民共和国预算法实施条</w:t>
      </w:r>
      <w:r>
        <w:rPr>
          <w:rFonts w:hint="eastAsia" w:ascii="仿宋_GB2312" w:hAnsi="仿宋_GB2312" w:cs="仿宋_GB2312"/>
        </w:rPr>
        <w:t>例》《中共中央 国务院关于全面实施预算绩效管理的意见》（中发〔2018〕34号）、《中共甘肃省委 甘肃省人民政府关于全面实施预算绩效管理的实施意见》（甘发〔2018〕32号）、《甘肃省省级预算绩效管理办法》（甘财绩〔2020〕5号）</w:t>
      </w:r>
      <w:r>
        <w:rPr>
          <w:rFonts w:hint="eastAsia"/>
        </w:rPr>
        <w:t>，我单位及时组织开展绩效自评工作，对2023年度省级预算执行绩效完成情况进行自我评价。具体工作开展情况如下：</w:t>
      </w:r>
      <w:bookmarkEnd w:id="33"/>
      <w:bookmarkEnd w:id="34"/>
      <w:bookmarkEnd w:id="35"/>
    </w:p>
    <w:p>
      <w:pPr>
        <w:pStyle w:val="4"/>
        <w:keepNext w:val="0"/>
        <w:keepLines w:val="0"/>
        <w:spacing w:line="560" w:lineRule="exact"/>
        <w:ind w:firstLine="643"/>
      </w:pPr>
      <w:bookmarkStart w:id="36" w:name="_Toc25921"/>
      <w:bookmarkStart w:id="37" w:name="_Toc26937"/>
      <w:bookmarkStart w:id="38" w:name="_Toc11919"/>
      <w:bookmarkStart w:id="39" w:name="_Toc4291"/>
      <w:bookmarkStart w:id="40" w:name="_Toc4667"/>
      <w:bookmarkStart w:id="41" w:name="_Toc29270"/>
      <w:r>
        <w:rPr>
          <w:rFonts w:hint="eastAsia"/>
        </w:rPr>
        <w:t>（一）自评工作组织管理情况</w:t>
      </w:r>
      <w:bookmarkEnd w:id="36"/>
      <w:bookmarkEnd w:id="37"/>
      <w:bookmarkEnd w:id="38"/>
      <w:bookmarkEnd w:id="39"/>
      <w:bookmarkEnd w:id="40"/>
      <w:bookmarkEnd w:id="41"/>
    </w:p>
    <w:p>
      <w:pPr>
        <w:ind w:firstLine="640"/>
      </w:pPr>
      <w:r>
        <w:rPr>
          <w:rFonts w:hint="eastAsia"/>
        </w:rPr>
        <w:t>我单位十分重视此次绩效评价工作，要求财务部门严格按照省上有关文件精神，科学分析，精准评价，确保绩效评价客观公正。工作启动后，严格按照《甘肃省省级项目支出绩效单位自评工作规程</w:t>
      </w:r>
      <w:r>
        <w:rPr>
          <w:rFonts w:hint="eastAsia"/>
          <w:highlight w:val="none"/>
        </w:rPr>
        <w:t>》的要求，联合</w:t>
      </w:r>
      <w:r>
        <w:rPr>
          <w:rFonts w:hint="eastAsia"/>
        </w:rPr>
        <w:t>各相关业务部门共同完成此次自评工作。自评工作遵循科学公正、统筹兼顾、激励约束和公开透明的原则，以我单位2023年初设定的绩效目标及相关法律法规、政策要求、行业规划、部门职责等为依据，运用定量和定性相结合的评价方法，对我单位2023年度省级预算执行情况的经济性、效率性、效益性进行客观公正的分析评价。</w:t>
      </w:r>
    </w:p>
    <w:p>
      <w:pPr>
        <w:pStyle w:val="4"/>
        <w:keepNext w:val="0"/>
        <w:keepLines w:val="0"/>
        <w:spacing w:line="560" w:lineRule="exact"/>
        <w:ind w:firstLine="643"/>
      </w:pPr>
      <w:bookmarkStart w:id="42" w:name="_Toc4453"/>
      <w:bookmarkStart w:id="43" w:name="_Toc4267"/>
      <w:bookmarkStart w:id="44" w:name="_Toc26980"/>
      <w:bookmarkStart w:id="45" w:name="_Toc32335"/>
      <w:bookmarkStart w:id="46" w:name="_Toc28216"/>
      <w:bookmarkStart w:id="47" w:name="_Toc13356"/>
      <w:r>
        <w:rPr>
          <w:rFonts w:hint="eastAsia"/>
        </w:rPr>
        <w:t>（二）自评范围</w:t>
      </w:r>
      <w:bookmarkEnd w:id="42"/>
      <w:bookmarkEnd w:id="43"/>
      <w:bookmarkEnd w:id="44"/>
      <w:bookmarkEnd w:id="45"/>
      <w:bookmarkEnd w:id="46"/>
      <w:bookmarkEnd w:id="47"/>
    </w:p>
    <w:p>
      <w:pPr>
        <w:ind w:firstLine="640"/>
      </w:pPr>
      <w:r>
        <w:rPr>
          <w:rFonts w:hint="eastAsia"/>
        </w:rPr>
        <w:t>本次绩效自评范围为我</w:t>
      </w:r>
      <w:r>
        <w:rPr>
          <w:rFonts w:hint="eastAsia"/>
          <w:lang w:val="en-US" w:eastAsia="zh-CN"/>
        </w:rPr>
        <w:t>所</w:t>
      </w:r>
      <w:r>
        <w:rPr>
          <w:rFonts w:hint="eastAsia"/>
        </w:rPr>
        <w:t>2023年度省级财政拨款的基本支出和项目支出。按照省级部门项目支出、省对市县转移支付、部门整体支出三类评价对象全覆盖的原则，结合我单位实际情况，自评对象为部门整体支出自评及中华民族共同体法治文化研究及陈列馆专项经费及全省法院业务费两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spacing w:line="560" w:lineRule="exact"/>
        <w:ind w:firstLine="643"/>
      </w:pPr>
      <w:bookmarkStart w:id="48" w:name="_Toc32735"/>
      <w:bookmarkStart w:id="49" w:name="_Toc22785"/>
      <w:bookmarkStart w:id="50" w:name="_Toc29465"/>
      <w:bookmarkStart w:id="51" w:name="_Toc18694"/>
      <w:bookmarkStart w:id="52" w:name="_Toc7689"/>
      <w:bookmarkStart w:id="53" w:name="_Toc25429"/>
      <w:r>
        <w:rPr>
          <w:rFonts w:hint="eastAsia"/>
        </w:rPr>
        <w:t>（三）自评工作程序</w:t>
      </w:r>
      <w:bookmarkEnd w:id="48"/>
      <w:bookmarkEnd w:id="49"/>
      <w:bookmarkEnd w:id="50"/>
      <w:bookmarkEnd w:id="51"/>
      <w:bookmarkEnd w:id="52"/>
      <w:bookmarkEnd w:id="53"/>
    </w:p>
    <w:p>
      <w:pPr>
        <w:ind w:firstLine="640"/>
      </w:pPr>
      <w:r>
        <w:rPr>
          <w:rFonts w:hint="eastAsia"/>
        </w:rPr>
        <w:t>本次绩效自评工作主要包括以下工作程序：</w:t>
      </w:r>
    </w:p>
    <w:p>
      <w:pPr>
        <w:ind w:firstLine="640"/>
      </w:pPr>
      <w:r>
        <w:rPr>
          <w:rFonts w:hint="eastAsia"/>
        </w:rPr>
        <w:t>1.根据我单位整体</w:t>
      </w:r>
      <w:r>
        <w:t>支出和</w:t>
      </w:r>
      <w:r>
        <w:rPr>
          <w:rFonts w:hint="eastAsia"/>
        </w:rPr>
        <w:t>项目支出绩效目标的设定情况，收集各业务部门</w:t>
      </w:r>
      <w:r>
        <w:t>绩效目标</w:t>
      </w:r>
      <w:r>
        <w:rPr>
          <w:rFonts w:hint="eastAsia"/>
        </w:rPr>
        <w:t>实现程度</w:t>
      </w:r>
      <w:r>
        <w:t>、预算执行进度</w:t>
      </w:r>
      <w:r>
        <w:rPr>
          <w:rFonts w:hint="eastAsia"/>
        </w:rPr>
        <w:t>等绩效评价</w:t>
      </w:r>
      <w:r>
        <w:t>基础</w:t>
      </w:r>
      <w:r>
        <w:rPr>
          <w:rFonts w:hint="eastAsia"/>
        </w:rPr>
        <w:t>资料。</w:t>
      </w:r>
    </w:p>
    <w:p>
      <w:pPr>
        <w:ind w:firstLine="640"/>
      </w:pPr>
      <w:r>
        <w:t>2.</w:t>
      </w:r>
      <w:r>
        <w:rPr>
          <w:rFonts w:hint="eastAsia"/>
        </w:rPr>
        <w:t>整理分析相关资料，统计财政资金预算执行情况和各项</w:t>
      </w:r>
      <w:r>
        <w:t>绩效目标完成</w:t>
      </w:r>
      <w:r>
        <w:rPr>
          <w:rFonts w:hint="eastAsia"/>
        </w:rPr>
        <w:t>情况，对年初</w:t>
      </w:r>
      <w:r>
        <w:t>设定的</w:t>
      </w:r>
      <w:r>
        <w:rPr>
          <w:rFonts w:hint="eastAsia"/>
        </w:rPr>
        <w:t>绩效指标及各项指标完成情况进行对比分析，填写《2023年度部门预算执行情况绩效自评报表》。</w:t>
      </w:r>
    </w:p>
    <w:p>
      <w:pPr>
        <w:ind w:firstLine="640"/>
      </w:pPr>
      <w:r>
        <w:t>3.</w:t>
      </w:r>
      <w:r>
        <w:rPr>
          <w:rFonts w:hint="eastAsia"/>
        </w:rPr>
        <w:t>总结评价结论，归纳问题，分析原因，提出改进</w:t>
      </w:r>
      <w:r>
        <w:t>措施</w:t>
      </w:r>
      <w:r>
        <w:rPr>
          <w:rFonts w:hint="eastAsia"/>
        </w:rPr>
        <w:t>，完成《甘肃省民族法制文化研究所2023年度预算执行情况自评报告》撰写。</w:t>
      </w:r>
    </w:p>
    <w:p>
      <w:pPr>
        <w:pStyle w:val="2"/>
        <w:ind w:left="0" w:leftChars="0" w:firstLine="640"/>
      </w:pPr>
      <w:r>
        <w:rPr>
          <w:rFonts w:hint="eastAsia"/>
        </w:rPr>
        <w:t>4.自评表和自评报告完成之后，进行内部审核，对自评表的真实性、完整性、合理性和客观性进行初步审核，并对发现的问题及时反馈和修改，修改完善后报送审核备案。</w:t>
      </w:r>
    </w:p>
    <w:p>
      <w:pPr>
        <w:pStyle w:val="3"/>
        <w:keepNext w:val="0"/>
        <w:keepLines w:val="0"/>
        <w:spacing w:line="560" w:lineRule="exact"/>
        <w:ind w:firstLine="643"/>
      </w:pPr>
      <w:bookmarkStart w:id="54" w:name="_Toc7212"/>
      <w:bookmarkStart w:id="55" w:name="_Toc10351"/>
      <w:bookmarkStart w:id="56" w:name="_Toc24331"/>
      <w:bookmarkStart w:id="57" w:name="_Toc11173"/>
      <w:bookmarkStart w:id="58" w:name="_Toc17117"/>
      <w:bookmarkStart w:id="59" w:name="_Toc15790"/>
      <w:r>
        <w:rPr>
          <w:rFonts w:hint="eastAsia"/>
        </w:rPr>
        <w:t>三、部门整体支出绩效自评情况分析</w:t>
      </w:r>
      <w:bookmarkEnd w:id="54"/>
      <w:bookmarkEnd w:id="55"/>
      <w:bookmarkEnd w:id="56"/>
      <w:bookmarkEnd w:id="57"/>
      <w:bookmarkEnd w:id="58"/>
      <w:bookmarkEnd w:id="59"/>
    </w:p>
    <w:p>
      <w:pPr>
        <w:pStyle w:val="4"/>
        <w:keepNext w:val="0"/>
        <w:keepLines w:val="0"/>
        <w:spacing w:line="560" w:lineRule="exact"/>
        <w:ind w:firstLine="643"/>
      </w:pPr>
      <w:bookmarkStart w:id="60" w:name="_Toc31360"/>
      <w:bookmarkStart w:id="61" w:name="_Toc3592"/>
      <w:bookmarkStart w:id="62" w:name="_Toc20175"/>
      <w:bookmarkStart w:id="63" w:name="_Toc15351"/>
      <w:bookmarkStart w:id="64" w:name="_Toc14783"/>
      <w:bookmarkStart w:id="65" w:name="_Toc6389"/>
      <w:r>
        <w:rPr>
          <w:rFonts w:hint="eastAsia"/>
        </w:rPr>
        <w:t>（一）部门决算情况</w:t>
      </w:r>
      <w:bookmarkEnd w:id="60"/>
      <w:bookmarkEnd w:id="61"/>
      <w:bookmarkEnd w:id="62"/>
      <w:bookmarkEnd w:id="63"/>
      <w:bookmarkEnd w:id="64"/>
      <w:bookmarkEnd w:id="65"/>
    </w:p>
    <w:p>
      <w:pPr>
        <w:ind w:firstLine="640"/>
      </w:pPr>
      <w:bookmarkStart w:id="66" w:name="_Toc27516"/>
      <w:bookmarkStart w:id="67" w:name="_Toc25132"/>
      <w:r>
        <w:rPr>
          <w:rFonts w:hint="eastAsia"/>
        </w:rPr>
        <w:t>2023年度，甘肃省民族法制文化研究所年初预算数749</w:t>
      </w:r>
      <w:r>
        <w:rPr>
          <w:rFonts w:hint="eastAsia"/>
          <w:lang w:val="en-US" w:eastAsia="zh-CN"/>
        </w:rPr>
        <w:t>.00</w:t>
      </w:r>
      <w:r>
        <w:rPr>
          <w:rFonts w:hint="eastAsia"/>
        </w:rPr>
        <w:t>万元，全年预算数</w:t>
      </w:r>
      <w:r>
        <w:t>952.29</w:t>
      </w:r>
      <w:r>
        <w:rPr>
          <w:rFonts w:hint="eastAsia"/>
        </w:rPr>
        <w:t>万元，全年实际支出</w:t>
      </w:r>
      <w:r>
        <w:t>747.94</w:t>
      </w:r>
      <w:r>
        <w:rPr>
          <w:rFonts w:hint="eastAsia"/>
        </w:rPr>
        <w:t>万元，其中：基本支出</w:t>
      </w:r>
      <w:r>
        <w:t>390.94</w:t>
      </w:r>
      <w:r>
        <w:rPr>
          <w:rFonts w:hint="eastAsia"/>
        </w:rPr>
        <w:t>万元，项目支出</w:t>
      </w:r>
      <w:r>
        <w:t>357</w:t>
      </w:r>
      <w:r>
        <w:rPr>
          <w:rFonts w:hint="eastAsia"/>
          <w:lang w:val="en-US" w:eastAsia="zh-CN"/>
        </w:rPr>
        <w:t>.00</w:t>
      </w:r>
      <w:r>
        <w:rPr>
          <w:rFonts w:hint="eastAsia"/>
        </w:rPr>
        <w:t>万元，部门整体支出预算执行率为</w:t>
      </w:r>
      <w:r>
        <w:t>78.54%</w:t>
      </w:r>
      <w:r>
        <w:rPr>
          <w:rFonts w:hint="eastAsia"/>
        </w:rPr>
        <w:t>。</w:t>
      </w:r>
      <w:bookmarkEnd w:id="66"/>
      <w:bookmarkEnd w:id="67"/>
      <w:bookmarkStart w:id="68" w:name="_Toc11740"/>
      <w:bookmarkStart w:id="69" w:name="_Toc24134"/>
      <w:bookmarkStart w:id="70" w:name="_Toc28258"/>
    </w:p>
    <w:p>
      <w:pPr>
        <w:pStyle w:val="4"/>
        <w:keepNext w:val="0"/>
        <w:keepLines w:val="0"/>
        <w:spacing w:line="560" w:lineRule="exact"/>
        <w:ind w:firstLine="643"/>
        <w:rPr>
          <w:rFonts w:hAnsi="仿宋" w:cs="仿宋"/>
          <w:szCs w:val="30"/>
        </w:rPr>
      </w:pPr>
      <w:bookmarkStart w:id="71" w:name="_Toc29214"/>
      <w:bookmarkStart w:id="72" w:name="_Toc7139"/>
      <w:r>
        <w:rPr>
          <w:rFonts w:hint="eastAsia"/>
        </w:rPr>
        <w:t>（二）总体绩效目标完成情况分析</w:t>
      </w:r>
      <w:bookmarkEnd w:id="68"/>
      <w:bookmarkEnd w:id="69"/>
      <w:bookmarkEnd w:id="70"/>
      <w:bookmarkEnd w:id="71"/>
      <w:bookmarkEnd w:id="72"/>
    </w:p>
    <w:p>
      <w:pPr>
        <w:ind w:firstLine="640"/>
      </w:pPr>
      <w:r>
        <w:rPr>
          <w:rFonts w:hint="eastAsia"/>
        </w:rPr>
        <w:t>经综合评价与分析，2023年甘肃省民族法制文化研究所整体支出绩效得分为</w:t>
      </w:r>
      <w:r>
        <w:t>91.92</w:t>
      </w:r>
      <w:r>
        <w:rPr>
          <w:rFonts w:hint="eastAsia"/>
        </w:rPr>
        <w:t>分，绩效等级为“优秀”。</w:t>
      </w:r>
    </w:p>
    <w:p>
      <w:pPr>
        <w:ind w:firstLine="643"/>
        <w:jc w:val="center"/>
        <w:rPr>
          <w:rFonts w:hAnsi="宋体"/>
        </w:rPr>
      </w:pPr>
      <w:r>
        <w:rPr>
          <w:rFonts w:hint="eastAsia" w:hAnsi="宋体" w:cs="宋体"/>
          <w:b/>
          <w:bCs/>
          <w:kern w:val="0"/>
        </w:rPr>
        <w:t>2023年度部门整体支出绩效评价指标得分情况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spacing w:line="240" w:lineRule="auto"/>
              <w:ind w:firstLine="442"/>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一级指标</w:t>
            </w:r>
          </w:p>
        </w:tc>
        <w:tc>
          <w:tcPr>
            <w:tcW w:w="1678" w:type="dxa"/>
            <w:shd w:val="clear" w:color="auto" w:fill="BDD6EE"/>
            <w:vAlign w:val="center"/>
          </w:tcPr>
          <w:p>
            <w:pPr>
              <w:widowControl/>
              <w:spacing w:line="240" w:lineRule="auto"/>
              <w:ind w:firstLine="442"/>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560" w:type="dxa"/>
            <w:shd w:val="clear" w:color="auto" w:fill="BDD6EE"/>
            <w:vAlign w:val="center"/>
          </w:tcPr>
          <w:p>
            <w:pPr>
              <w:widowControl/>
              <w:spacing w:line="240" w:lineRule="auto"/>
              <w:ind w:firstLine="442"/>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2268" w:type="dxa"/>
            <w:shd w:val="clear" w:color="auto" w:fill="BDD6EE"/>
            <w:vAlign w:val="center"/>
          </w:tcPr>
          <w:p>
            <w:pPr>
              <w:widowControl/>
              <w:spacing w:line="240" w:lineRule="auto"/>
              <w:ind w:firstLine="442"/>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44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678" w:type="dxa"/>
            <w:vAlign w:val="center"/>
          </w:tcPr>
          <w:p>
            <w:pPr>
              <w:widowControl/>
              <w:spacing w:line="240" w:lineRule="auto"/>
              <w:ind w:firstLine="440"/>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560" w:type="dxa"/>
            <w:vAlign w:val="center"/>
          </w:tcPr>
          <w:p>
            <w:pPr>
              <w:widowControl/>
              <w:spacing w:line="240" w:lineRule="auto"/>
              <w:ind w:firstLine="440"/>
              <w:jc w:val="center"/>
              <w:textAlignment w:val="center"/>
              <w:rPr>
                <w:rFonts w:ascii="宋体" w:hAnsi="宋体" w:eastAsia="宋体" w:cs="宋体"/>
                <w:kern w:val="0"/>
                <w:sz w:val="22"/>
                <w:szCs w:val="22"/>
              </w:rPr>
            </w:pPr>
            <w:r>
              <w:rPr>
                <w:rFonts w:ascii="宋体" w:hAnsi="宋体" w:eastAsia="宋体" w:cs="宋体"/>
                <w:kern w:val="0"/>
                <w:sz w:val="22"/>
                <w:szCs w:val="22"/>
              </w:rPr>
              <w:t>7.85</w:t>
            </w:r>
          </w:p>
        </w:tc>
        <w:tc>
          <w:tcPr>
            <w:tcW w:w="2268" w:type="dxa"/>
            <w:vAlign w:val="center"/>
          </w:tcPr>
          <w:p>
            <w:pPr>
              <w:widowControl/>
              <w:spacing w:line="240" w:lineRule="auto"/>
              <w:ind w:firstLine="440"/>
              <w:textAlignment w:val="center"/>
              <w:rPr>
                <w:rFonts w:ascii="宋体" w:hAnsi="宋体" w:eastAsia="宋体" w:cs="宋体"/>
                <w:kern w:val="0"/>
                <w:sz w:val="22"/>
                <w:szCs w:val="22"/>
              </w:rPr>
            </w:pPr>
            <w:r>
              <w:rPr>
                <w:rFonts w:hint="eastAsia" w:ascii="宋体" w:hAnsi="宋体" w:eastAsia="宋体" w:cs="宋体"/>
                <w:kern w:val="0"/>
                <w:sz w:val="22"/>
                <w:szCs w:val="22"/>
              </w:rPr>
              <w:t>78.50%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44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部门管理</w:t>
            </w:r>
          </w:p>
        </w:tc>
        <w:tc>
          <w:tcPr>
            <w:tcW w:w="1678" w:type="dxa"/>
            <w:vAlign w:val="center"/>
          </w:tcPr>
          <w:p>
            <w:pPr>
              <w:widowControl/>
              <w:spacing w:line="240" w:lineRule="auto"/>
              <w:ind w:firstLine="440"/>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560" w:type="dxa"/>
            <w:vAlign w:val="center"/>
          </w:tcPr>
          <w:p>
            <w:pPr>
              <w:widowControl/>
              <w:spacing w:line="240" w:lineRule="auto"/>
              <w:ind w:firstLine="440"/>
              <w:jc w:val="center"/>
              <w:textAlignment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18.9</w:t>
            </w:r>
            <w:r>
              <w:rPr>
                <w:rFonts w:hint="eastAsia" w:ascii="宋体" w:hAnsi="宋体" w:eastAsia="宋体" w:cs="宋体"/>
                <w:kern w:val="0"/>
                <w:sz w:val="22"/>
                <w:szCs w:val="22"/>
                <w:lang w:val="en-US" w:eastAsia="zh-CN"/>
              </w:rPr>
              <w:t>0</w:t>
            </w:r>
          </w:p>
        </w:tc>
        <w:tc>
          <w:tcPr>
            <w:tcW w:w="2268" w:type="dxa"/>
            <w:vAlign w:val="center"/>
          </w:tcPr>
          <w:p>
            <w:pPr>
              <w:widowControl/>
              <w:spacing w:line="240" w:lineRule="auto"/>
              <w:ind w:firstLine="440"/>
              <w:textAlignment w:val="center"/>
              <w:rPr>
                <w:rFonts w:ascii="宋体" w:hAnsi="宋体" w:eastAsia="宋体" w:cs="宋体"/>
                <w:kern w:val="0"/>
                <w:sz w:val="22"/>
                <w:szCs w:val="22"/>
              </w:rPr>
            </w:pPr>
            <w:r>
              <w:rPr>
                <w:rFonts w:hint="eastAsia" w:ascii="宋体" w:hAnsi="宋体" w:eastAsia="宋体" w:cs="宋体"/>
                <w:kern w:val="0"/>
                <w:sz w:val="22"/>
                <w:szCs w:val="22"/>
              </w:rPr>
              <w:t>94.50%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44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履职效果</w:t>
            </w:r>
          </w:p>
        </w:tc>
        <w:tc>
          <w:tcPr>
            <w:tcW w:w="1678" w:type="dxa"/>
            <w:vAlign w:val="center"/>
          </w:tcPr>
          <w:p>
            <w:pPr>
              <w:widowControl/>
              <w:spacing w:line="240" w:lineRule="auto"/>
              <w:ind w:firstLine="440"/>
              <w:jc w:val="center"/>
              <w:textAlignment w:val="center"/>
              <w:rPr>
                <w:rFonts w:ascii="宋体" w:hAnsi="宋体" w:eastAsia="宋体" w:cs="宋体"/>
                <w:kern w:val="0"/>
                <w:sz w:val="22"/>
                <w:szCs w:val="22"/>
              </w:rPr>
            </w:pPr>
            <w:r>
              <w:rPr>
                <w:rFonts w:hint="eastAsia" w:ascii="宋体" w:hAnsi="宋体" w:eastAsia="宋体" w:cs="宋体"/>
                <w:kern w:val="0"/>
                <w:sz w:val="22"/>
                <w:szCs w:val="22"/>
              </w:rPr>
              <w:t>60</w:t>
            </w:r>
          </w:p>
        </w:tc>
        <w:tc>
          <w:tcPr>
            <w:tcW w:w="1560" w:type="dxa"/>
            <w:vAlign w:val="center"/>
          </w:tcPr>
          <w:p>
            <w:pPr>
              <w:widowControl/>
              <w:spacing w:line="240" w:lineRule="auto"/>
              <w:ind w:firstLine="440"/>
              <w:jc w:val="center"/>
              <w:textAlignment w:val="center"/>
              <w:rPr>
                <w:rFonts w:ascii="宋体" w:hAnsi="宋体" w:eastAsia="宋体" w:cs="宋体"/>
                <w:kern w:val="0"/>
                <w:sz w:val="22"/>
                <w:szCs w:val="22"/>
              </w:rPr>
            </w:pPr>
            <w:r>
              <w:rPr>
                <w:rFonts w:hint="eastAsia" w:ascii="宋体" w:hAnsi="宋体" w:eastAsia="宋体" w:cs="宋体"/>
                <w:kern w:val="0"/>
                <w:sz w:val="22"/>
                <w:szCs w:val="22"/>
              </w:rPr>
              <w:t>55.17</w:t>
            </w:r>
          </w:p>
        </w:tc>
        <w:tc>
          <w:tcPr>
            <w:tcW w:w="2268" w:type="dxa"/>
            <w:vAlign w:val="center"/>
          </w:tcPr>
          <w:p>
            <w:pPr>
              <w:widowControl/>
              <w:spacing w:line="240" w:lineRule="auto"/>
              <w:ind w:firstLine="440"/>
              <w:textAlignment w:val="center"/>
              <w:rPr>
                <w:rFonts w:ascii="宋体" w:hAnsi="宋体" w:eastAsia="宋体" w:cs="宋体"/>
                <w:kern w:val="0"/>
                <w:sz w:val="22"/>
                <w:szCs w:val="22"/>
              </w:rPr>
            </w:pPr>
            <w:r>
              <w:rPr>
                <w:rFonts w:hint="eastAsia" w:ascii="宋体" w:hAnsi="宋体" w:eastAsia="宋体" w:cs="宋体"/>
                <w:kern w:val="0"/>
                <w:sz w:val="22"/>
                <w:szCs w:val="22"/>
              </w:rPr>
              <w:t>91.95%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44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能力建设</w:t>
            </w:r>
          </w:p>
        </w:tc>
        <w:tc>
          <w:tcPr>
            <w:tcW w:w="1678" w:type="dxa"/>
            <w:vAlign w:val="center"/>
          </w:tcPr>
          <w:p>
            <w:pPr>
              <w:widowControl/>
              <w:spacing w:line="240" w:lineRule="auto"/>
              <w:ind w:firstLine="440"/>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560" w:type="dxa"/>
            <w:vAlign w:val="center"/>
          </w:tcPr>
          <w:p>
            <w:pPr>
              <w:widowControl/>
              <w:spacing w:line="240" w:lineRule="auto"/>
              <w:ind w:firstLine="440"/>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2268" w:type="dxa"/>
            <w:vAlign w:val="center"/>
          </w:tcPr>
          <w:p>
            <w:pPr>
              <w:widowControl/>
              <w:spacing w:line="240" w:lineRule="auto"/>
              <w:ind w:firstLine="440"/>
              <w:textAlignment w:val="center"/>
              <w:rPr>
                <w:rFonts w:ascii="宋体" w:hAnsi="宋体" w:eastAsia="宋体" w:cs="宋体"/>
                <w:kern w:val="0"/>
                <w:sz w:val="22"/>
                <w:szCs w:val="22"/>
              </w:rPr>
            </w:pPr>
            <w:r>
              <w:rPr>
                <w:rFonts w:hint="eastAsia" w:ascii="宋体" w:hAnsi="宋体" w:eastAsia="宋体" w:cs="宋体"/>
                <w:kern w:val="0"/>
                <w:sz w:val="22"/>
                <w:szCs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spacing w:line="240" w:lineRule="auto"/>
              <w:ind w:firstLine="442"/>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678" w:type="dxa"/>
            <w:shd w:val="clear" w:color="auto" w:fill="BDD6EE"/>
            <w:vAlign w:val="center"/>
          </w:tcPr>
          <w:p>
            <w:pPr>
              <w:widowControl/>
              <w:spacing w:line="240" w:lineRule="auto"/>
              <w:ind w:firstLine="442"/>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c>
          <w:tcPr>
            <w:tcW w:w="1560" w:type="dxa"/>
            <w:shd w:val="clear" w:color="auto" w:fill="BDD6EE"/>
            <w:vAlign w:val="center"/>
          </w:tcPr>
          <w:p>
            <w:pPr>
              <w:widowControl/>
              <w:spacing w:line="240" w:lineRule="auto"/>
              <w:ind w:firstLine="442"/>
              <w:jc w:val="center"/>
              <w:textAlignment w:val="center"/>
              <w:rPr>
                <w:rFonts w:ascii="宋体" w:hAnsi="宋体" w:eastAsia="宋体" w:cs="宋体"/>
                <w:b/>
                <w:color w:val="000000"/>
                <w:kern w:val="0"/>
                <w:sz w:val="22"/>
                <w:szCs w:val="22"/>
              </w:rPr>
            </w:pPr>
            <w:r>
              <w:rPr>
                <w:rFonts w:ascii="宋体" w:hAnsi="宋体" w:eastAsia="宋体" w:cs="宋体"/>
                <w:b/>
                <w:color w:val="000000"/>
                <w:kern w:val="0"/>
                <w:sz w:val="22"/>
                <w:szCs w:val="22"/>
              </w:rPr>
              <w:t>91.92</w:t>
            </w:r>
          </w:p>
        </w:tc>
        <w:tc>
          <w:tcPr>
            <w:tcW w:w="2268" w:type="dxa"/>
            <w:shd w:val="clear" w:color="auto" w:fill="BDD6EE"/>
            <w:vAlign w:val="center"/>
          </w:tcPr>
          <w:p>
            <w:pPr>
              <w:widowControl/>
              <w:spacing w:line="240" w:lineRule="auto"/>
              <w:ind w:firstLine="442"/>
              <w:textAlignment w:val="center"/>
              <w:rPr>
                <w:rFonts w:ascii="宋体" w:hAnsi="宋体" w:eastAsia="宋体" w:cs="宋体"/>
                <w:kern w:val="0"/>
                <w:sz w:val="22"/>
                <w:szCs w:val="22"/>
              </w:rPr>
            </w:pPr>
            <w:r>
              <w:rPr>
                <w:rFonts w:hint="eastAsia" w:ascii="宋体" w:hAnsi="宋体" w:eastAsia="宋体" w:cs="宋体"/>
                <w:b/>
                <w:bCs/>
                <w:kern w:val="0"/>
                <w:sz w:val="22"/>
                <w:szCs w:val="22"/>
              </w:rPr>
              <w:t>91.92%</w:t>
            </w:r>
          </w:p>
        </w:tc>
      </w:tr>
    </w:tbl>
    <w:p>
      <w:pPr>
        <w:ind w:firstLine="640"/>
        <w:rPr>
          <w:highlight w:val="none"/>
        </w:rPr>
      </w:pPr>
      <w:r>
        <w:rPr>
          <w:rFonts w:hint="eastAsia"/>
        </w:rPr>
        <w:t>围绕全年工作目标任务，甘肃省民族法制文化研究所2023</w:t>
      </w:r>
      <w:r>
        <w:rPr>
          <w:rFonts w:hint="eastAsia"/>
          <w:highlight w:val="none"/>
        </w:rPr>
        <w:t xml:space="preserve">年度主要工作成果及总体绩效目标完成情况如下： </w:t>
      </w:r>
    </w:p>
    <w:p>
      <w:pPr>
        <w:ind w:firstLine="643"/>
        <w:outlineLvl w:val="2"/>
        <w:rPr>
          <w:rFonts w:ascii="仿宋_GB2312"/>
          <w:b/>
          <w:highlight w:val="none"/>
        </w:rPr>
      </w:pPr>
      <w:r>
        <w:rPr>
          <w:rFonts w:hint="eastAsia" w:ascii="仿宋_GB2312"/>
          <w:b/>
          <w:highlight w:val="none"/>
        </w:rPr>
        <w:t>1.总体绩效目标</w:t>
      </w:r>
    </w:p>
    <w:p>
      <w:pPr>
        <w:ind w:firstLine="640"/>
        <w:jc w:val="left"/>
        <w:rPr>
          <w:highlight w:val="none"/>
        </w:rPr>
      </w:pPr>
      <w:r>
        <w:rPr>
          <w:rFonts w:hint="eastAsia"/>
          <w:highlight w:val="none"/>
        </w:rPr>
        <w:t>（1）突出“四个引领”，持续提升党建工作水平。坚持把党建工作摆在突出位置，多措并举、多维发力、推动提升。</w:t>
      </w:r>
    </w:p>
    <w:p>
      <w:pPr>
        <w:pStyle w:val="2"/>
        <w:ind w:left="0" w:leftChars="0" w:firstLine="640"/>
        <w:rPr>
          <w:highlight w:val="none"/>
        </w:rPr>
      </w:pPr>
      <w:r>
        <w:rPr>
          <w:rFonts w:hint="eastAsia"/>
          <w:highlight w:val="none"/>
        </w:rPr>
        <w:t>（2）抓好“三项行动”，坚决落实中央、省委、省法院党组重大决策部署。从讲政治的高度抓落实，确保专项行动取得实效。</w:t>
      </w:r>
    </w:p>
    <w:p>
      <w:pPr>
        <w:pStyle w:val="2"/>
        <w:ind w:left="0" w:leftChars="0" w:firstLine="640"/>
        <w:rPr>
          <w:highlight w:val="none"/>
        </w:rPr>
      </w:pPr>
      <w:r>
        <w:rPr>
          <w:rFonts w:hint="eastAsia"/>
          <w:highlight w:val="none"/>
        </w:rPr>
        <w:t>（3）纵深推动主责主业做实做强。 坚持以科研为重点，纵深推动主责主业做实做强，多措并举、深研细钻，务求实效。</w:t>
      </w:r>
    </w:p>
    <w:p>
      <w:pPr>
        <w:pStyle w:val="2"/>
        <w:ind w:left="0" w:leftChars="0" w:firstLine="643"/>
        <w:outlineLvl w:val="2"/>
        <w:rPr>
          <w:rFonts w:ascii="仿宋_GB2312"/>
          <w:b/>
          <w:highlight w:val="none"/>
        </w:rPr>
      </w:pPr>
      <w:r>
        <w:rPr>
          <w:rFonts w:hint="eastAsia" w:ascii="仿宋_GB2312"/>
          <w:b/>
          <w:highlight w:val="none"/>
        </w:rPr>
        <w:t>2.实际完成情况</w:t>
      </w:r>
    </w:p>
    <w:p>
      <w:pPr>
        <w:ind w:firstLine="640"/>
        <w:rPr>
          <w:highlight w:val="none"/>
        </w:rPr>
      </w:pPr>
      <w:r>
        <w:rPr>
          <w:rFonts w:hint="eastAsia"/>
          <w:highlight w:val="none"/>
        </w:rPr>
        <w:t>（1）坚持把党建工作摆在突出位置，多措并举、多维发力、推动提升。坚持以习近平新时代中国特色社会主义思想为指导，全面贯彻落实党的二十大精神，忠诚拥护“两个确立”，坚决做到“两个维护”，提高“政治三力”，严守政治纪律和政治规矩，始终同以习近平同志为核心的党中央在思想上政治上行动上保持高度一致。把深入学习习近平新时代中国特色社会主义思想作为“第一议题”，组建习近平法治思想青年学习小组，创新推出“每周一学”制度，定期进行集中理论学习，全年共组织开展各项学习活动36次。严肃党内政治生活，坚决执行“三会一课”、组织生活会和民主评议党员等制度。发展积极分子和预备党员3人，召开支部党员大会3次，开展党课讲授3次，组织主题党日活动12次，支部建设取得明显成效坚持工作推进到哪里，支部党建就跟进到哪里，不断创新组织生活方式。推行“支部党建+青年学习”模式和“党小组+科研”模式，推动党建与业务工作深度融合。</w:t>
      </w:r>
    </w:p>
    <w:p>
      <w:pPr>
        <w:ind w:firstLine="640"/>
        <w:rPr>
          <w:highlight w:val="none"/>
        </w:rPr>
      </w:pPr>
      <w:r>
        <w:rPr>
          <w:rFonts w:hint="eastAsia"/>
          <w:highlight w:val="none"/>
        </w:rPr>
        <w:t>（2）抓好主题教育，及时跟进学。认真贯彻落实《省法院机关主题教育暨“政治理论大学习”学习教育安排》，制定法研所集中学习计划，下发《关于进一步加强政治理论学习的通知》，确保学习制度化、规范化和常态化。抓好“三抓三促”，立足实际干。对照全省法院“三抓三促”活动方案，成立工作专班，细化分解任务，制定推进计划表，强化跟踪问效，做到“规定动作”不走偏，“自选动作”有特色。抓好“铸忠诚警魂”，对标先进走。深入学习新时代政法英模精神和法院队伍先进模范典型事迹，统筹抓好“强化理论武装、加强典型引领、强力祛腐健肌、锤炼能力素质”各项工作，着力打造“五个过硬”干部队伍。</w:t>
      </w:r>
    </w:p>
    <w:p>
      <w:pPr>
        <w:ind w:firstLine="640"/>
        <w:rPr>
          <w:highlight w:val="none"/>
        </w:rPr>
      </w:pPr>
      <w:r>
        <w:rPr>
          <w:rFonts w:hint="eastAsia"/>
          <w:highlight w:val="none"/>
        </w:rPr>
        <w:t>（3）聚焦调查研究，找准矛盾求实策。组织科研人员赴甘南州、临夏州、甘肃杰隆律师事务所开展实地调研，撰写相关调研报告4篇。就《甘肃省实施〈中华人民共和国民族区域自治法〉若干规定》《甘肃省清真食品管理条例》形成清理修改意见，向省民委上报反馈。聚焦课题研究，把牢重点深钻研。获评立项2023年度甘肃省人文社会科学项目1项，省法院司法研究课题2项，省民委课题1项。顺利结项2021年度国家法官学院研究课题2项和省法院司法研究课题1项。发布立项2023年度法研所课题24项，组织结项2022年度法研所所立课题21项，这些研究课题具有较强的前瞻性、理论性和实践性，对繁荣中华优秀传统法律文化研究，丰富新时代能动司法内涵，指导司法实践有很好推动作用。聚焦平台建设，交流宣介助推广。搭建学术交流平台，加强与高校和科研院所的合作交流，邀请专家学者到我所开展专题讲座，鼓励科研人员走出去参加各类研讨会，今年累计进行学术交流12次。加强媒体宣传阵地建设，拍摄创作宣传片和微视频各1部，在甘肃法院党建网刊登信息简报8篇，微信公众号、门户网站全年累计发布信息725篇，阅览量达到25000次。聚焦刊物出版，精心谋划产成果。全面提升《中华民族共同体法治文化研究》《中华民族共同体法治文化》办刊质量，出版《法治文化与司法实践研究》《新时代铸牢中华民族共同体意识法治保障研究》《丝绸之路出土法律文献研究》（卷五），获《红色法治文化研究（卷一）----“马锡五审判方式”研究》出版批复。聚焦陈列馆打造，优化管理亮特色。推进与省内文博单位的合作交流。开展文物收集工作，充实陈列馆展陈资源。完成“法韵甘肃”展厅布展升级。改进陈列馆宣传短片《铸境 明法》。丰富陈列馆公众开放日宣传活动，保障参观活动50次。聚焦专业委员会秘书处工作，锚定任务提质效。认真筹备第四届中华民族共同体法治文化与司法实践研讨会。组织召开“中华司法研究会中华民族共同体法治文化研究专业委员会主任（扩大）会暨专家咨询会”。服务保障专业委员会与省法院建立联席会议机制。聚焦全国民族团结进步示范单位创建，稳步推进出实招。赴国家民委民族团结促进司、政策法规司汇报对接民族团结进步创建工作。组织开展参观、学习、交流、宣讲等形式的创建活动10次。撰写工作纪实被“新甘肃”等省内媒体宣传报道。</w:t>
      </w:r>
    </w:p>
    <w:p>
      <w:pPr>
        <w:ind w:firstLine="643"/>
        <w:outlineLvl w:val="1"/>
        <w:rPr>
          <w:rFonts w:ascii="Arial" w:eastAsia="楷体"/>
          <w:b/>
          <w:bCs/>
        </w:rPr>
      </w:pPr>
      <w:bookmarkStart w:id="73" w:name="_Toc17225"/>
      <w:bookmarkStart w:id="74" w:name="_Toc19903"/>
      <w:bookmarkStart w:id="75" w:name="_Toc8612"/>
      <w:bookmarkStart w:id="76" w:name="_Toc7985"/>
      <w:r>
        <w:rPr>
          <w:rFonts w:hint="eastAsia" w:ascii="Arial" w:eastAsia="楷体"/>
          <w:b/>
          <w:bCs/>
        </w:rPr>
        <w:t>（三）各项指标完成情况分析</w:t>
      </w:r>
      <w:bookmarkEnd w:id="73"/>
      <w:bookmarkEnd w:id="74"/>
      <w:bookmarkEnd w:id="75"/>
      <w:bookmarkEnd w:id="76"/>
      <w:bookmarkStart w:id="77" w:name="_Toc18873"/>
    </w:p>
    <w:p>
      <w:pPr>
        <w:pStyle w:val="5"/>
        <w:keepNext w:val="0"/>
        <w:keepLines w:val="0"/>
        <w:spacing w:line="560" w:lineRule="exact"/>
        <w:ind w:firstLine="643"/>
        <w:rPr>
          <w:rFonts w:ascii="仿宋_GB2312" w:eastAsia="仿宋_GB2312"/>
        </w:rPr>
      </w:pPr>
      <w:bookmarkStart w:id="78" w:name="_Toc15464"/>
      <w:bookmarkStart w:id="79" w:name="_Toc6203"/>
      <w:bookmarkStart w:id="80" w:name="_Toc15975"/>
      <w:bookmarkStart w:id="81" w:name="_Toc31465"/>
      <w:r>
        <w:rPr>
          <w:rFonts w:hint="eastAsia" w:ascii="仿宋_GB2312" w:eastAsia="仿宋_GB2312"/>
        </w:rPr>
        <w:t>1.部门整体支出预算执行率目标完成情况分析</w:t>
      </w:r>
      <w:bookmarkEnd w:id="77"/>
      <w:bookmarkEnd w:id="78"/>
      <w:bookmarkEnd w:id="79"/>
      <w:bookmarkEnd w:id="80"/>
      <w:bookmarkEnd w:id="81"/>
    </w:p>
    <w:p>
      <w:pPr>
        <w:ind w:firstLine="640"/>
      </w:pPr>
      <w:r>
        <w:rPr>
          <w:rFonts w:hint="eastAsia"/>
        </w:rPr>
        <w:t>整体支出预算执行率：指标分值10分，自评得分</w:t>
      </w:r>
      <w:r>
        <w:t>7.85</w:t>
      </w:r>
      <w:r>
        <w:rPr>
          <w:rFonts w:hint="eastAsia"/>
        </w:rPr>
        <w:t>分，得分率78.50%，因预算执行率偏低扣2.15分。</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012"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二级指标</w:t>
            </w:r>
          </w:p>
        </w:tc>
        <w:tc>
          <w:tcPr>
            <w:tcW w:w="1916"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701"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2410"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012"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916"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701"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7.85</w:t>
            </w:r>
          </w:p>
        </w:tc>
        <w:tc>
          <w:tcPr>
            <w:tcW w:w="241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78.50%</w:t>
            </w:r>
          </w:p>
        </w:tc>
      </w:tr>
    </w:tbl>
    <w:p>
      <w:pPr>
        <w:ind w:firstLine="640"/>
      </w:pPr>
      <w:r>
        <w:rPr>
          <w:rFonts w:hint="eastAsia"/>
        </w:rPr>
        <w:t>部门整体支出全年预算数</w:t>
      </w:r>
      <w:r>
        <w:t>952.29</w:t>
      </w:r>
      <w:r>
        <w:rPr>
          <w:rFonts w:hint="eastAsia"/>
        </w:rPr>
        <w:t>万元，全年执行数</w:t>
      </w:r>
      <w:r>
        <w:t>747.94</w:t>
      </w:r>
      <w:r>
        <w:rPr>
          <w:rFonts w:hint="eastAsia"/>
        </w:rPr>
        <w:t>万元，预算执行率</w:t>
      </w:r>
      <w:r>
        <w:t>78.54%</w:t>
      </w:r>
      <w:r>
        <w:rPr>
          <w:rFonts w:hint="eastAsia"/>
        </w:rPr>
        <w:t>，本年度结转资金204.35万元。</w:t>
      </w:r>
    </w:p>
    <w:p>
      <w:pPr>
        <w:pStyle w:val="5"/>
        <w:keepNext w:val="0"/>
        <w:keepLines w:val="0"/>
        <w:spacing w:line="560" w:lineRule="exact"/>
        <w:ind w:firstLine="643"/>
        <w:rPr>
          <w:rFonts w:ascii="仿宋_GB2312" w:eastAsia="仿宋_GB2312"/>
        </w:rPr>
      </w:pPr>
      <w:bookmarkStart w:id="82" w:name="_Toc12110"/>
      <w:bookmarkStart w:id="83" w:name="_Toc28283"/>
      <w:bookmarkStart w:id="84" w:name="_Toc4746"/>
      <w:bookmarkStart w:id="85" w:name="_Toc30381"/>
      <w:bookmarkStart w:id="86" w:name="_Toc20518"/>
      <w:r>
        <w:rPr>
          <w:rFonts w:hint="eastAsia" w:ascii="仿宋_GB2312" w:eastAsia="仿宋_GB2312"/>
        </w:rPr>
        <w:t>2.部门管理目标完成情况分析</w:t>
      </w:r>
      <w:bookmarkEnd w:id="82"/>
      <w:bookmarkEnd w:id="83"/>
      <w:bookmarkEnd w:id="84"/>
      <w:bookmarkEnd w:id="85"/>
      <w:bookmarkEnd w:id="86"/>
    </w:p>
    <w:p>
      <w:pPr>
        <w:ind w:firstLine="640"/>
      </w:pPr>
      <w:r>
        <w:rPr>
          <w:rFonts w:hint="eastAsia"/>
        </w:rPr>
        <w:t>部门管理指标包括资金投入、财务管理、采购管理、资产管理、人员管理、重点工作管理六个二级指标，下设10个三级指标。指标分值20分，自评</w:t>
      </w:r>
      <w:r>
        <w:t>得</w:t>
      </w:r>
      <w:r>
        <w:rPr>
          <w:rFonts w:hint="eastAsia"/>
        </w:rPr>
        <w:t>分18.9</w:t>
      </w:r>
      <w:r>
        <w:rPr>
          <w:rFonts w:hint="eastAsia"/>
          <w:lang w:val="en-US" w:eastAsia="zh-CN"/>
        </w:rPr>
        <w:t>0</w:t>
      </w:r>
      <w:r>
        <w:rPr>
          <w:rFonts w:hint="eastAsia"/>
        </w:rPr>
        <w:t>分，得分率94.50%。具体如下表：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二级指标</w:t>
            </w:r>
          </w:p>
        </w:tc>
        <w:tc>
          <w:tcPr>
            <w:tcW w:w="1530"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418"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1984"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tc>
        <w:tc>
          <w:tcPr>
            <w:tcW w:w="153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41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1984"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86.25%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财务管理</w:t>
            </w:r>
          </w:p>
        </w:tc>
        <w:tc>
          <w:tcPr>
            <w:tcW w:w="153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41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984"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采购管理</w:t>
            </w:r>
          </w:p>
        </w:tc>
        <w:tc>
          <w:tcPr>
            <w:tcW w:w="153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84"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资产管理</w:t>
            </w:r>
          </w:p>
        </w:tc>
        <w:tc>
          <w:tcPr>
            <w:tcW w:w="153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84"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人员管理</w:t>
            </w:r>
          </w:p>
        </w:tc>
        <w:tc>
          <w:tcPr>
            <w:tcW w:w="153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84"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重点工作管理</w:t>
            </w:r>
          </w:p>
        </w:tc>
        <w:tc>
          <w:tcPr>
            <w:tcW w:w="153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84"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530"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20</w:t>
            </w:r>
          </w:p>
        </w:tc>
        <w:tc>
          <w:tcPr>
            <w:tcW w:w="1418" w:type="dxa"/>
            <w:shd w:val="clear" w:color="auto" w:fill="BDD6EE"/>
            <w:vAlign w:val="center"/>
          </w:tcPr>
          <w:p>
            <w:pPr>
              <w:widowControl/>
              <w:spacing w:line="240" w:lineRule="auto"/>
              <w:ind w:firstLine="0" w:firstLineChars="0"/>
              <w:jc w:val="center"/>
              <w:textAlignment w:val="center"/>
              <w:rPr>
                <w:rFonts w:hint="eastAsia" w:ascii="宋体" w:hAnsi="宋体" w:eastAsia="宋体" w:cs="宋体"/>
                <w:b/>
                <w:color w:val="000000"/>
                <w:kern w:val="0"/>
                <w:sz w:val="22"/>
                <w:szCs w:val="22"/>
                <w:lang w:val="en-US" w:eastAsia="zh-CN"/>
              </w:rPr>
            </w:pPr>
            <w:r>
              <w:rPr>
                <w:rFonts w:hint="eastAsia" w:ascii="宋体" w:hAnsi="宋体" w:eastAsia="宋体" w:cs="宋体"/>
                <w:b/>
                <w:color w:val="000000"/>
                <w:kern w:val="0"/>
                <w:sz w:val="22"/>
                <w:szCs w:val="22"/>
              </w:rPr>
              <w:t>18.9</w:t>
            </w:r>
            <w:r>
              <w:rPr>
                <w:rFonts w:hint="eastAsia" w:ascii="宋体" w:hAnsi="宋体" w:eastAsia="宋体" w:cs="宋体"/>
                <w:b/>
                <w:color w:val="000000"/>
                <w:kern w:val="0"/>
                <w:sz w:val="22"/>
                <w:szCs w:val="22"/>
                <w:lang w:val="en-US" w:eastAsia="zh-CN"/>
              </w:rPr>
              <w:t>0</w:t>
            </w:r>
          </w:p>
        </w:tc>
        <w:tc>
          <w:tcPr>
            <w:tcW w:w="1984"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94.50%</w:t>
            </w:r>
          </w:p>
        </w:tc>
      </w:tr>
    </w:tbl>
    <w:p>
      <w:pPr>
        <w:ind w:firstLine="640"/>
      </w:pPr>
      <w:r>
        <w:rPr>
          <w:rFonts w:hint="eastAsia"/>
        </w:rPr>
        <w:t>（1）资金投入</w:t>
      </w:r>
      <w:r>
        <w:t>：</w:t>
      </w:r>
    </w:p>
    <w:p>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基本支出预算执行率</w:t>
      </w:r>
      <w:r>
        <w:t>：</w:t>
      </w:r>
    </w:p>
    <w:p>
      <w:pPr>
        <w:ind w:firstLine="640"/>
      </w:pPr>
      <w:r>
        <w:rPr>
          <w:rFonts w:hint="eastAsia"/>
        </w:rPr>
        <w:t>我单位2023年基本支出财政拨款收入442.47万元，上年结转资金96.75万元，实际支出</w:t>
      </w:r>
      <w:r>
        <w:t>390.94</w:t>
      </w:r>
      <w:r>
        <w:rPr>
          <w:rFonts w:hint="eastAsia"/>
        </w:rPr>
        <w:t>万元，基本支出结转结余148.28万元，基本支出预算执行率</w:t>
      </w:r>
      <w:r>
        <w:t>72.5</w:t>
      </w:r>
      <w:r>
        <w:rPr>
          <w:rFonts w:hint="eastAsia"/>
        </w:rPr>
        <w:t>0</w:t>
      </w:r>
      <w:r>
        <w:t>%</w:t>
      </w:r>
      <w:r>
        <w:rPr>
          <w:rFonts w:hint="eastAsia"/>
        </w:rPr>
        <w:t>，指标分值</w:t>
      </w:r>
      <w:r>
        <w:t>2</w:t>
      </w:r>
      <w:r>
        <w:rPr>
          <w:rFonts w:hint="eastAsia"/>
        </w:rPr>
        <w:t>分，自评得分</w:t>
      </w:r>
      <w:r>
        <w:t>1.45</w:t>
      </w:r>
      <w:r>
        <w:rPr>
          <w:rFonts w:hint="eastAsia"/>
        </w:rPr>
        <w:t>分，得分率为72.50%。</w:t>
      </w:r>
    </w:p>
    <w:p>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项目支出预算执行率</w:t>
      </w:r>
      <w:r>
        <w:t>：</w:t>
      </w:r>
      <w:r>
        <w:tab/>
      </w:r>
    </w:p>
    <w:p>
      <w:pPr>
        <w:ind w:firstLine="640"/>
      </w:pPr>
      <w:r>
        <w:rPr>
          <w:rFonts w:hint="eastAsia"/>
        </w:rPr>
        <w:t>项目支出本年财政拨款收入310</w:t>
      </w:r>
      <w:r>
        <w:rPr>
          <w:rFonts w:hint="eastAsia"/>
          <w:lang w:val="en-US" w:eastAsia="zh-CN"/>
        </w:rPr>
        <w:t>.00</w:t>
      </w:r>
      <w:r>
        <w:rPr>
          <w:rFonts w:hint="eastAsia"/>
        </w:rPr>
        <w:t>万元，上年结转资金103.07万元，实际支出357.01万元，项目支出结转结余56.06万元，预算执行率</w:t>
      </w:r>
      <w:r>
        <w:t>86.43%。</w:t>
      </w:r>
      <w:r>
        <w:rPr>
          <w:rFonts w:hint="eastAsia"/>
        </w:rPr>
        <w:t>指标分值</w:t>
      </w:r>
      <w:r>
        <w:t>2</w:t>
      </w:r>
      <w:r>
        <w:rPr>
          <w:rFonts w:hint="eastAsia"/>
        </w:rPr>
        <w:t>分，自评得分</w:t>
      </w:r>
      <w:r>
        <w:t>1.73</w:t>
      </w:r>
      <w:r>
        <w:rPr>
          <w:rFonts w:hint="eastAsia"/>
        </w:rPr>
        <w:t>分，得分率为86.50%。</w:t>
      </w:r>
    </w:p>
    <w:p>
      <w:pPr>
        <w:ind w:firstLine="64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三公经费控制率</w:t>
      </w:r>
    </w:p>
    <w:p>
      <w:pPr>
        <w:ind w:firstLine="640"/>
      </w:pPr>
      <w:r>
        <w:rPr>
          <w:rFonts w:hint="eastAsia"/>
        </w:rPr>
        <w:t>2023年度我单位按照国家、省市区有关厉行节约的规定，对“三公”经费进行控制，本年度我单位“三公经费”预算数17.31万元，实际支出14.87万元，控制率</w:t>
      </w:r>
      <w:r>
        <w:t>85.9</w:t>
      </w:r>
      <w:r>
        <w:rPr>
          <w:rFonts w:hint="eastAsia"/>
        </w:rPr>
        <w:t>0</w:t>
      </w:r>
      <w:r>
        <w:t>%</w:t>
      </w:r>
      <w:r>
        <w:rPr>
          <w:rFonts w:hint="eastAsia"/>
        </w:rPr>
        <w:t>。指标分值</w:t>
      </w:r>
      <w:r>
        <w:t>2</w:t>
      </w:r>
      <w:r>
        <w:rPr>
          <w:rFonts w:hint="eastAsia"/>
        </w:rPr>
        <w:t>分，自评得分</w:t>
      </w:r>
      <w:r>
        <w:t>1.72</w:t>
      </w:r>
      <w:r>
        <w:rPr>
          <w:rFonts w:hint="eastAsia"/>
        </w:rPr>
        <w:t>分，得分率为86.00%。</w:t>
      </w:r>
    </w:p>
    <w:p>
      <w:pPr>
        <w:ind w:firstLine="64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结转</w:t>
      </w:r>
      <w:r>
        <w:t>结余变动率</w:t>
      </w:r>
    </w:p>
    <w:p>
      <w:pPr>
        <w:ind w:firstLine="640"/>
      </w:pPr>
      <w:r>
        <w:rPr>
          <w:rFonts w:hint="eastAsia"/>
        </w:rPr>
        <w:t>2022年度结转资金236.21万元，2023年度结转资金204.35万元，本年度结转结余资金较上年减少31.86万元，结转结余变动率</w:t>
      </w:r>
      <w:r>
        <w:t>-13.49%。</w:t>
      </w:r>
      <w:r>
        <w:rPr>
          <w:rFonts w:hint="eastAsia"/>
        </w:rPr>
        <w:t>指标分值</w:t>
      </w:r>
      <w:r>
        <w:t>2</w:t>
      </w:r>
      <w:r>
        <w:rPr>
          <w:rFonts w:hint="eastAsia"/>
        </w:rPr>
        <w:t>分，自评得分</w:t>
      </w:r>
      <w:r>
        <w:t>2</w:t>
      </w:r>
      <w:r>
        <w:rPr>
          <w:rFonts w:hint="eastAsia"/>
        </w:rPr>
        <w:t>分，得分率为100%。</w:t>
      </w:r>
    </w:p>
    <w:p>
      <w:pPr>
        <w:ind w:firstLine="640"/>
      </w:pPr>
      <w:r>
        <w:rPr>
          <w:rFonts w:hint="eastAsia"/>
        </w:rPr>
        <w:t>（2）财务管理</w:t>
      </w:r>
    </w:p>
    <w:p>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财务管理制度健全性</w:t>
      </w:r>
    </w:p>
    <w:p>
      <w:pPr>
        <w:ind w:firstLine="640"/>
      </w:pPr>
      <w:r>
        <w:rPr>
          <w:rFonts w:hint="eastAsia"/>
        </w:rPr>
        <w:t>我单位制定了《甘肃省民族法制文化研究所科研项目经费管理办法（试行）》《甘肃省民族法制文化研究所财务管理制度》《甘肃省民族法制文化研究所固定资产管理办法》《甘肃省民族法制文化研究所车辆使用管理办法》《甘肃省民族法制文化研究所办公用品管理办法》《甘肃省民族法制文化研究所工会小组经费收支管理办法》等财务管理制度，对资金开支有完备的审批流程和管控手续。会计凭证、会计账簿、财务会计报告和其他会计资料均符合会计制度的规定，财务信息真实、完整，资金支出、会计核算方面较为规范，未发现违规支付及超标准开支的情况。大额资金均由“三重一大”事项决策会研究通过后使用。预算、决算信息及三公经费支出情况按照信息公开的要求定期在指定网站公开。指标分2分，自评得分2分，得分率为</w:t>
      </w:r>
      <w:r>
        <w:t>100</w:t>
      </w:r>
      <w:r>
        <w:rPr>
          <w:rFonts w:hint="eastAsia"/>
        </w:rPr>
        <w:t>%。</w:t>
      </w:r>
    </w:p>
    <w:p>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资金使</w:t>
      </w:r>
      <w:r>
        <w:t>用规范性</w:t>
      </w:r>
    </w:p>
    <w:p>
      <w:pPr>
        <w:ind w:firstLine="640"/>
      </w:pPr>
      <w:r>
        <w:rPr>
          <w:rFonts w:hint="eastAsia"/>
        </w:rPr>
        <w:t>我单位资金支出总体上审批程序合规、手续齐全，支出内容符合省财政预算批复规定的用途，严格使用公务卡报销，有效提高了财务资金使用的合理性和规范性，防止了国有资金流失。指标分值2分，自评得分2分，得分率为</w:t>
      </w:r>
      <w:r>
        <w:t>100</w:t>
      </w:r>
      <w:r>
        <w:rPr>
          <w:rFonts w:hint="eastAsia"/>
        </w:rPr>
        <w:t>%。</w:t>
      </w:r>
    </w:p>
    <w:p>
      <w:pPr>
        <w:ind w:firstLine="640"/>
      </w:pPr>
      <w:r>
        <w:rPr>
          <w:rFonts w:hint="eastAsia"/>
        </w:rPr>
        <w:t>（3）采购管理</w:t>
      </w:r>
    </w:p>
    <w:p>
      <w:pPr>
        <w:ind w:firstLine="640"/>
      </w:pPr>
      <w:r>
        <w:rPr>
          <w:rFonts w:hint="eastAsia"/>
        </w:rPr>
        <w:t>我单位采购实际执行情况与采购计划安排无差异。采购事项严格执行相关标准，采购业务符合政府采购相关规定，采购文件、档案完整。政府采购规范性指标分值2分，自评得分2分，得分率为</w:t>
      </w:r>
      <w:r>
        <w:t>100</w:t>
      </w:r>
      <w:r>
        <w:rPr>
          <w:rFonts w:hint="eastAsia"/>
        </w:rPr>
        <w:t>%。</w:t>
      </w:r>
    </w:p>
    <w:p>
      <w:pPr>
        <w:ind w:firstLine="640"/>
      </w:pPr>
      <w:r>
        <w:rPr>
          <w:rFonts w:hint="eastAsia"/>
        </w:rPr>
        <w:t>（4）资产管理</w:t>
      </w:r>
    </w:p>
    <w:p>
      <w:pPr>
        <w:ind w:firstLine="640"/>
      </w:pPr>
      <w:r>
        <w:rPr>
          <w:rFonts w:hint="eastAsia" w:hAnsi="宋体"/>
          <w:szCs w:val="28"/>
        </w:rPr>
        <w:t>我单位制定了《甘肃省民族法制文化研究所固定资产管理办法》《甘肃省民族法制文化研究所车辆使用管理办法》《甘肃省民族法制文化研究所办公用品管理办法》，并严格执行。</w:t>
      </w:r>
      <w:r>
        <w:rPr>
          <w:rFonts w:hint="eastAsia"/>
        </w:rPr>
        <w:t>2023年我单位账务和资产卡片数据相符，资产卡片与实物相符，各类资产保存完整、使用合规、配置合理、处置规范，资产处置收入能够及时足额上缴财政，资产管理符合相关要求。资产管理规范性指标分值2分，自评得分2分，得分率为10</w:t>
      </w:r>
      <w:r>
        <w:t>0</w:t>
      </w:r>
      <w:r>
        <w:rPr>
          <w:rFonts w:hint="eastAsia"/>
        </w:rPr>
        <w:t>%。</w:t>
      </w:r>
    </w:p>
    <w:p>
      <w:pPr>
        <w:ind w:firstLine="640"/>
      </w:pPr>
      <w:r>
        <w:rPr>
          <w:rFonts w:hint="eastAsia"/>
        </w:rPr>
        <w:t>（5）人员</w:t>
      </w:r>
      <w:r>
        <w:t>管理</w:t>
      </w:r>
    </w:p>
    <w:p>
      <w:pPr>
        <w:ind w:firstLine="640"/>
      </w:pPr>
      <w:r>
        <w:rPr>
          <w:rFonts w:hint="eastAsia"/>
          <w:highlight w:val="none"/>
        </w:rPr>
        <w:t>我单位人员管理较为规范，部门整体的财政供养人员规模得到有效控制，编制人数29人，实有</w:t>
      </w:r>
      <w:r>
        <w:rPr>
          <w:highlight w:val="none"/>
        </w:rPr>
        <w:t>在编</w:t>
      </w:r>
      <w:r>
        <w:rPr>
          <w:rFonts w:hint="eastAsia"/>
          <w:highlight w:val="none"/>
        </w:rPr>
        <w:t>人员25人，</w:t>
      </w:r>
      <w:r>
        <w:rPr>
          <w:rFonts w:hint="eastAsia" w:hAnsi="宋体"/>
          <w:szCs w:val="28"/>
          <w:highlight w:val="none"/>
        </w:rPr>
        <w:t>在职人员控制率为100%</w:t>
      </w:r>
      <w:r>
        <w:rPr>
          <w:rFonts w:hint="eastAsia"/>
          <w:highlight w:val="none"/>
        </w:rPr>
        <w:t>。</w:t>
      </w:r>
      <w:r>
        <w:rPr>
          <w:rFonts w:hint="eastAsia"/>
        </w:rPr>
        <w:t>在职人员控制率指标分值2分，自评得分2分，得分率为1</w:t>
      </w:r>
      <w:r>
        <w:t>00</w:t>
      </w:r>
      <w:r>
        <w:rPr>
          <w:rFonts w:hint="eastAsia"/>
        </w:rPr>
        <w:t>%。</w:t>
      </w:r>
    </w:p>
    <w:p>
      <w:pPr>
        <w:ind w:firstLine="640"/>
      </w:pPr>
      <w:r>
        <w:rPr>
          <w:rFonts w:hint="eastAsia"/>
        </w:rPr>
        <w:t>（6）重点工作管理</w:t>
      </w:r>
    </w:p>
    <w:p>
      <w:pPr>
        <w:ind w:firstLine="640"/>
      </w:pPr>
      <w:r>
        <w:rPr>
          <w:rFonts w:hint="eastAsia"/>
        </w:rPr>
        <w:t>我单位针对重点工作，修订并完善了相关案件审判制度，制度合法、合规、完整，并且能够有效执行和指导重点工作的有效推进和实施。重点工作管理制度健全性指标分值2分，自评得分2分，得分率为10</w:t>
      </w:r>
      <w:r>
        <w:t>0</w:t>
      </w:r>
      <w:r>
        <w:rPr>
          <w:rFonts w:hint="eastAsia"/>
        </w:rPr>
        <w:t>%。</w:t>
      </w:r>
    </w:p>
    <w:p>
      <w:pPr>
        <w:pStyle w:val="5"/>
        <w:keepNext w:val="0"/>
        <w:keepLines w:val="0"/>
        <w:spacing w:line="560" w:lineRule="exact"/>
        <w:ind w:firstLine="643"/>
        <w:rPr>
          <w:rFonts w:ascii="仿宋_GB2312" w:eastAsia="仿宋_GB2312"/>
        </w:rPr>
      </w:pPr>
      <w:bookmarkStart w:id="87" w:name="_Toc24486"/>
      <w:bookmarkStart w:id="88" w:name="_Toc25347"/>
      <w:bookmarkStart w:id="89" w:name="_Toc15417"/>
      <w:bookmarkStart w:id="90" w:name="_Toc29524"/>
      <w:bookmarkStart w:id="91" w:name="_Toc19704"/>
      <w:r>
        <w:rPr>
          <w:rFonts w:hint="eastAsia" w:ascii="仿宋_GB2312" w:eastAsia="仿宋_GB2312"/>
        </w:rPr>
        <w:t>3.履职效果目标完成情况分析</w:t>
      </w:r>
      <w:bookmarkEnd w:id="87"/>
      <w:bookmarkEnd w:id="88"/>
      <w:bookmarkEnd w:id="89"/>
      <w:bookmarkEnd w:id="90"/>
      <w:bookmarkEnd w:id="91"/>
    </w:p>
    <w:p>
      <w:pPr>
        <w:ind w:firstLine="640"/>
      </w:pPr>
      <w:r>
        <w:rPr>
          <w:rFonts w:hint="eastAsia"/>
        </w:rPr>
        <w:t>履职效果指标包括部门履职、部门效果、服务对象满意度、社会影响四个二级指标，下设24个三级指标。履职效果指标分值60分，自评</w:t>
      </w:r>
      <w:r>
        <w:t>得</w:t>
      </w:r>
      <w:r>
        <w:rPr>
          <w:rFonts w:hint="eastAsia"/>
        </w:rPr>
        <w:t>分55.17分，</w:t>
      </w:r>
      <w:r>
        <w:t>得分率</w:t>
      </w:r>
      <w:r>
        <w:rPr>
          <w:rFonts w:hint="eastAsia"/>
        </w:rPr>
        <w:t>91.95</w:t>
      </w:r>
      <w:r>
        <w:t>%</w:t>
      </w:r>
      <w:r>
        <w:rPr>
          <w:rFonts w:hint="eastAsia"/>
        </w:rPr>
        <w:t>。</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二级指标</w:t>
            </w:r>
          </w:p>
        </w:tc>
        <w:tc>
          <w:tcPr>
            <w:tcW w:w="1825"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559"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2410"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部门履职指标</w:t>
            </w:r>
          </w:p>
        </w:tc>
        <w:tc>
          <w:tcPr>
            <w:tcW w:w="1825"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40.92</w:t>
            </w:r>
          </w:p>
        </w:tc>
        <w:tc>
          <w:tcPr>
            <w:tcW w:w="1559"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39.4</w:t>
            </w:r>
            <w:r>
              <w:rPr>
                <w:rFonts w:hint="eastAsia" w:ascii="宋体" w:hAnsi="宋体" w:eastAsia="宋体" w:cs="宋体"/>
                <w:color w:val="000000"/>
                <w:kern w:val="0"/>
                <w:sz w:val="22"/>
                <w:szCs w:val="22"/>
                <w:lang w:val="en-US" w:eastAsia="zh-CN"/>
              </w:rPr>
              <w:t>0</w:t>
            </w:r>
          </w:p>
        </w:tc>
        <w:tc>
          <w:tcPr>
            <w:tcW w:w="241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96.29%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部门效果指标</w:t>
            </w:r>
          </w:p>
        </w:tc>
        <w:tc>
          <w:tcPr>
            <w:tcW w:w="1825"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4.54</w:t>
            </w:r>
          </w:p>
        </w:tc>
        <w:tc>
          <w:tcPr>
            <w:tcW w:w="1559"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2.27</w:t>
            </w:r>
          </w:p>
        </w:tc>
        <w:tc>
          <w:tcPr>
            <w:tcW w:w="241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服务对象满意度</w:t>
            </w:r>
          </w:p>
        </w:tc>
        <w:tc>
          <w:tcPr>
            <w:tcW w:w="1825"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59"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41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社会影响</w:t>
            </w:r>
          </w:p>
        </w:tc>
        <w:tc>
          <w:tcPr>
            <w:tcW w:w="1825"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4.54</w:t>
            </w:r>
          </w:p>
        </w:tc>
        <w:tc>
          <w:tcPr>
            <w:tcW w:w="1559"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2410"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77.09%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825"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60</w:t>
            </w:r>
          </w:p>
        </w:tc>
        <w:tc>
          <w:tcPr>
            <w:tcW w:w="1559"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55.17</w:t>
            </w:r>
          </w:p>
        </w:tc>
        <w:tc>
          <w:tcPr>
            <w:tcW w:w="2410"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91.95%</w:t>
            </w:r>
          </w:p>
        </w:tc>
      </w:tr>
    </w:tbl>
    <w:p>
      <w:pPr>
        <w:ind w:firstLine="640"/>
      </w:pPr>
      <w:r>
        <w:rPr>
          <w:rFonts w:hint="eastAsia"/>
        </w:rPr>
        <w:t>（1）部门</w:t>
      </w:r>
      <w:r>
        <w:t>履职指标</w:t>
      </w:r>
    </w:p>
    <w:p>
      <w:pPr>
        <w:ind w:firstLine="640"/>
      </w:pPr>
      <w:r>
        <w:rPr>
          <w:rFonts w:hint="eastAsia"/>
        </w:rPr>
        <w:t>部门履职指标分值40.92分，自评得分39.4</w:t>
      </w:r>
      <w:r>
        <w:rPr>
          <w:rFonts w:hint="eastAsia"/>
          <w:lang w:val="en-US" w:eastAsia="zh-CN"/>
        </w:rPr>
        <w:t>0</w:t>
      </w:r>
      <w:r>
        <w:rPr>
          <w:rFonts w:hint="eastAsia"/>
        </w:rPr>
        <w:t>分，得分率为96.29%。</w:t>
      </w:r>
    </w:p>
    <w:p>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产出</w:t>
      </w:r>
      <w:r>
        <w:t>数量</w:t>
      </w:r>
      <w:r>
        <w:rPr>
          <w:rFonts w:hint="eastAsia"/>
        </w:rPr>
        <w:t>指标分析</w:t>
      </w:r>
      <w:r>
        <w:t>：</w:t>
      </w:r>
    </w:p>
    <w:p>
      <w:pPr>
        <w:ind w:firstLine="640"/>
      </w:pPr>
      <w:r>
        <w:rPr>
          <w:rFonts w:hint="eastAsia"/>
        </w:rPr>
        <w:t>完成专项委托课题研究数量：</w:t>
      </w:r>
      <w:r>
        <w:rPr>
          <w:rFonts w:hint="eastAsia" w:ascii="仿宋_GB2312" w:hAnsi="仿宋_GB2312" w:cs="仿宋_GB2312"/>
          <w:szCs w:val="32"/>
        </w:rPr>
        <w:t>顺利结项2021年度国家法官学院研究课题2项和省法院司法研究课题1项。</w:t>
      </w:r>
      <w:r>
        <w:rPr>
          <w:rFonts w:hint="eastAsia" w:ascii="仿宋_GB2312" w:hAnsi="仿宋_GB2312" w:cs="仿宋_GB2312"/>
          <w:szCs w:val="40"/>
        </w:rPr>
        <w:t>发布立项2023年度法研所课题24项，组织结项</w:t>
      </w:r>
      <w:r>
        <w:rPr>
          <w:rFonts w:hint="eastAsia" w:ascii="仿宋_GB2312" w:hAnsi="仿宋_GB2312" w:cs="仿宋_GB2312"/>
          <w:szCs w:val="32"/>
        </w:rPr>
        <w:t>2022年度法研所所立课题21项，这些研究课题具有较强的前瞻性、理论性和实践性，对繁荣中华优秀传统法律文化研究，丰富新时代能动司法内涵，指导司法实践有很好推动作用</w:t>
      </w:r>
      <w:r>
        <w:rPr>
          <w:rFonts w:hint="eastAsia"/>
        </w:rPr>
        <w:t>，</w:t>
      </w:r>
      <w:r>
        <w:rPr>
          <w:rFonts w:hint="eastAsia"/>
          <w:lang w:val="en-US" w:eastAsia="zh-CN"/>
        </w:rPr>
        <w:t>完成年度目标，</w:t>
      </w:r>
      <w:r>
        <w:rPr>
          <w:rFonts w:hint="eastAsia"/>
        </w:rPr>
        <w:t>指标分值2.33分，自评得分2.33分。</w:t>
      </w:r>
    </w:p>
    <w:p>
      <w:pPr>
        <w:ind w:firstLine="640"/>
      </w:pPr>
      <w:r>
        <w:rPr>
          <w:rFonts w:hint="eastAsia"/>
        </w:rPr>
        <w:t>参加学术交流活动次数：</w:t>
      </w:r>
      <w:r>
        <w:rPr>
          <w:rFonts w:hint="eastAsia" w:ascii="仿宋_GB2312" w:hAnsi="仿宋_GB2312" w:cs="仿宋_GB2312"/>
        </w:rPr>
        <w:t>搭建</w:t>
      </w:r>
      <w:r>
        <w:rPr>
          <w:rFonts w:hint="eastAsia" w:ascii="仿宋_GB2312" w:hAnsi="仿宋_GB2312" w:cs="仿宋_GB2312"/>
          <w:szCs w:val="32"/>
        </w:rPr>
        <w:t>学术交流平台，加强与高校和科研院所的合作交流，邀请专家学者到我所开展专题讲座，鼓励科研人员走出去参加各类研讨会，今年</w:t>
      </w:r>
      <w:r>
        <w:rPr>
          <w:rFonts w:hint="eastAsia" w:ascii="仿宋_GB2312" w:hAnsi="仿宋_GB2312" w:cs="仿宋_GB2312"/>
          <w:color w:val="000000" w:themeColor="text1"/>
          <w:szCs w:val="32"/>
          <w14:textFill>
            <w14:solidFill>
              <w14:schemeClr w14:val="tx1"/>
            </w14:solidFill>
          </w14:textFill>
        </w:rPr>
        <w:t>累计进行学术交流12次</w:t>
      </w:r>
      <w:r>
        <w:rPr>
          <w:rFonts w:hint="eastAsia"/>
        </w:rPr>
        <w:t>，年度目标&gt;=4次，因年度目标值设置偏低，指标分值</w:t>
      </w:r>
      <w:r>
        <w:t>2.27</w:t>
      </w:r>
      <w:r>
        <w:rPr>
          <w:rFonts w:hint="eastAsia"/>
        </w:rPr>
        <w:t>分，自评得分</w:t>
      </w:r>
      <w:r>
        <w:t>1.23</w:t>
      </w:r>
      <w:r>
        <w:rPr>
          <w:rFonts w:hint="eastAsia"/>
        </w:rPr>
        <w:t>分。</w:t>
      </w:r>
    </w:p>
    <w:p>
      <w:pPr>
        <w:ind w:firstLine="640"/>
      </w:pPr>
      <w:r>
        <w:rPr>
          <w:rFonts w:hint="eastAsia"/>
        </w:rPr>
        <w:t>陈列馆运行维护工作完成率：我单位充分发挥中华民族共同体法治文化研究专业委员会和陈列馆的法治文化传承、研究和宣传阵地作用，及时开展陈列馆运行维护工作，年度目标完成，实际陈列馆运行维护工作完成率100%，指标分值</w:t>
      </w:r>
      <w:r>
        <w:t>2.27</w:t>
      </w:r>
      <w:r>
        <w:rPr>
          <w:rFonts w:hint="eastAsia"/>
        </w:rPr>
        <w:t>分，自评得分</w:t>
      </w:r>
      <w:r>
        <w:t>2.27</w:t>
      </w:r>
      <w:r>
        <w:rPr>
          <w:rFonts w:hint="eastAsia"/>
        </w:rPr>
        <w:t>分。</w:t>
      </w:r>
    </w:p>
    <w:p>
      <w:pPr>
        <w:pStyle w:val="2"/>
        <w:ind w:left="0" w:leftChars="0" w:firstLine="640"/>
      </w:pPr>
      <w:r>
        <w:t>陈列馆开放天数</w:t>
      </w:r>
      <w:r>
        <w:rPr>
          <w:rFonts w:hint="eastAsia"/>
        </w:rPr>
        <w:t>：年度目标</w:t>
      </w:r>
      <w:r>
        <w:rPr>
          <w:rFonts w:hint="eastAsia" w:hAnsi="宋体" w:cs="宋体"/>
          <w:szCs w:val="32"/>
        </w:rPr>
        <w:t>&gt;=180天</w:t>
      </w:r>
      <w:r>
        <w:rPr>
          <w:rFonts w:hint="eastAsia" w:hAnsi="宋体" w:cs="宋体"/>
          <w:szCs w:val="32"/>
          <w:lang w:eastAsia="zh-CN"/>
        </w:rPr>
        <w:t>，</w:t>
      </w:r>
      <w:r>
        <w:rPr>
          <w:rFonts w:hint="eastAsia"/>
        </w:rPr>
        <w:t>2023年陈列馆共开放190天，指标分值</w:t>
      </w:r>
      <w:r>
        <w:t>2.27</w:t>
      </w:r>
      <w:r>
        <w:rPr>
          <w:rFonts w:hint="eastAsia"/>
        </w:rPr>
        <w:t>分，自评得分</w:t>
      </w:r>
      <w:r>
        <w:t>2.27</w:t>
      </w:r>
      <w:r>
        <w:rPr>
          <w:rFonts w:hint="eastAsia"/>
        </w:rPr>
        <w:t>分。</w:t>
      </w:r>
    </w:p>
    <w:p>
      <w:pPr>
        <w:pStyle w:val="2"/>
        <w:ind w:left="0" w:leftChars="0" w:firstLine="640"/>
      </w:pPr>
      <w:r>
        <w:rPr>
          <w:rFonts w:hint="eastAsia"/>
        </w:rPr>
        <w:t>展览宣传次数：</w:t>
      </w:r>
      <w:r>
        <w:rPr>
          <w:rFonts w:hint="eastAsia" w:ascii="仿宋_GB2312" w:hAnsi="仿宋_GB2312" w:cs="仿宋_GB2312"/>
        </w:rPr>
        <w:t>丰富陈列馆公众开放日宣传活动，</w:t>
      </w:r>
      <w:r>
        <w:rPr>
          <w:rFonts w:hint="eastAsia" w:ascii="仿宋_GB2312" w:hAnsi="仿宋_GB2312" w:cs="仿宋_GB2312"/>
          <w:szCs w:val="32"/>
        </w:rPr>
        <w:t>保障参观活动</w:t>
      </w:r>
      <w:r>
        <w:rPr>
          <w:rFonts w:hint="eastAsia"/>
        </w:rPr>
        <w:t>，年度目标=12次，实际完</w:t>
      </w:r>
      <w:r>
        <w:rPr>
          <w:rFonts w:hint="eastAsia"/>
          <w:highlight w:val="none"/>
        </w:rPr>
        <w:t>成25次，</w:t>
      </w:r>
      <w:r>
        <w:rPr>
          <w:rFonts w:hint="eastAsia"/>
        </w:rPr>
        <w:t>因年度目标值设置偏低，指标分值</w:t>
      </w:r>
      <w:r>
        <w:t>2.27</w:t>
      </w:r>
      <w:r>
        <w:rPr>
          <w:rFonts w:hint="eastAsia"/>
        </w:rPr>
        <w:t>分，自评得分</w:t>
      </w:r>
      <w:r>
        <w:t>1.79</w:t>
      </w:r>
      <w:r>
        <w:rPr>
          <w:rFonts w:hint="eastAsia"/>
        </w:rPr>
        <w:t>分。</w:t>
      </w:r>
    </w:p>
    <w:p>
      <w:pPr>
        <w:pStyle w:val="2"/>
        <w:ind w:left="0" w:leftChars="0" w:firstLine="640"/>
      </w:pPr>
      <w:r>
        <w:t>图书购置工作完成率</w:t>
      </w:r>
      <w:r>
        <w:rPr>
          <w:rFonts w:hint="eastAsia"/>
        </w:rPr>
        <w:t>：我单位本着厉行节约，反对浪费原则，尽量做到了在预算范围内采购，年度目标</w:t>
      </w:r>
      <w:r>
        <w:rPr>
          <w:rFonts w:hint="eastAsia" w:hAnsi="宋体" w:cs="宋体"/>
          <w:szCs w:val="28"/>
        </w:rPr>
        <w:t>=</w:t>
      </w:r>
      <w:r>
        <w:rPr>
          <w:rFonts w:hint="eastAsia"/>
        </w:rPr>
        <w:t>100%，实际图书购置完成100%，指标分值</w:t>
      </w:r>
      <w:r>
        <w:t>2.27</w:t>
      </w:r>
      <w:r>
        <w:rPr>
          <w:rFonts w:hint="eastAsia"/>
        </w:rPr>
        <w:t>分，自评得分2.27分。</w:t>
      </w:r>
    </w:p>
    <w:p>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产出质量指标分析：</w:t>
      </w:r>
    </w:p>
    <w:p>
      <w:pPr>
        <w:ind w:firstLine="640"/>
      </w:pPr>
      <w:r>
        <w:rPr>
          <w:rFonts w:hint="eastAsia"/>
        </w:rPr>
        <w:t>课题研究验收通过率：我单位组织对开展课题评审，课题顺利结项，年度目标</w:t>
      </w:r>
      <w:r>
        <w:t>=100%</w:t>
      </w:r>
      <w:r>
        <w:rPr>
          <w:rFonts w:hint="eastAsia"/>
        </w:rPr>
        <w:t>，实际完成100%，指标分值</w:t>
      </w:r>
      <w:r>
        <w:t>2.27</w:t>
      </w:r>
      <w:r>
        <w:rPr>
          <w:rFonts w:hint="eastAsia"/>
        </w:rPr>
        <w:t>分，自评得分2.27分。</w:t>
      </w:r>
    </w:p>
    <w:p>
      <w:pPr>
        <w:ind w:firstLine="640"/>
      </w:pPr>
      <w:r>
        <w:rPr>
          <w:rFonts w:hint="eastAsia"/>
        </w:rPr>
        <w:t>陈列馆维修维护验收合格率：陈列馆维修维护完工项目已完成验收，验收合格率为100%，指标分值</w:t>
      </w:r>
      <w:r>
        <w:t>2.27</w:t>
      </w:r>
      <w:r>
        <w:rPr>
          <w:rFonts w:hint="eastAsia"/>
        </w:rPr>
        <w:t>分，自评得分2.27分。</w:t>
      </w:r>
    </w:p>
    <w:p>
      <w:pPr>
        <w:ind w:firstLine="640"/>
      </w:pPr>
      <w:r>
        <w:t>文物物品完好率</w:t>
      </w:r>
      <w:r>
        <w:rPr>
          <w:rFonts w:hint="eastAsia"/>
        </w:rPr>
        <w:t>：我单位对于从全国各地收集整理各民族法治相关文物文献、司法刊物、诉讼判决文书质量严格把关，严格按相关要求进行保存、展览、入档，收集质量高，完好率100%，指标分值</w:t>
      </w:r>
      <w:r>
        <w:t>2.27</w:t>
      </w:r>
      <w:r>
        <w:rPr>
          <w:rFonts w:hint="eastAsia"/>
        </w:rPr>
        <w:t>分，自评得分2.27分。</w:t>
      </w:r>
    </w:p>
    <w:p>
      <w:pPr>
        <w:pStyle w:val="2"/>
        <w:adjustRightInd w:val="0"/>
        <w:ind w:left="0" w:leftChars="0" w:firstLine="640"/>
      </w:pPr>
      <w:r>
        <w:rPr>
          <w:rFonts w:hint="eastAsia"/>
        </w:rPr>
        <w:t>印刷书合格率：本年我单位宣传资料印刷合格率为1</w:t>
      </w:r>
      <w:r>
        <w:t>00</w:t>
      </w:r>
      <w:r>
        <w:rPr>
          <w:rFonts w:hint="eastAsia"/>
        </w:rPr>
        <w:t>%，相关宣传资料切实发挥了法治文化传承、研究和宣传的作用，指标分值</w:t>
      </w:r>
      <w:r>
        <w:t>2.27</w:t>
      </w:r>
      <w:r>
        <w:rPr>
          <w:rFonts w:hint="eastAsia"/>
        </w:rPr>
        <w:t>分，自评得分2.27分。</w:t>
      </w:r>
    </w:p>
    <w:p>
      <w:pPr>
        <w:pStyle w:val="2"/>
        <w:adjustRightInd w:val="0"/>
        <w:ind w:left="0" w:leftChars="0" w:firstLine="640"/>
      </w:pPr>
      <w:r>
        <w:t>采购图书质量验收合格率</w:t>
      </w:r>
      <w:r>
        <w:rPr>
          <w:rFonts w:hint="eastAsia"/>
        </w:rPr>
        <w:t>：我单位采购实际执行情况与采购计划安排基本无差异，采购事项严格执行相关标准，图书均通过验收，验收合格率100%，指标分值</w:t>
      </w:r>
      <w:r>
        <w:t>2.27</w:t>
      </w:r>
      <w:r>
        <w:rPr>
          <w:rFonts w:hint="eastAsia"/>
        </w:rPr>
        <w:t>分，自评得分2.27分。</w:t>
      </w:r>
    </w:p>
    <w:p>
      <w:pPr>
        <w:ind w:firstLine="64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产出</w:t>
      </w:r>
      <w:r>
        <w:t>时效</w:t>
      </w:r>
      <w:r>
        <w:rPr>
          <w:rFonts w:hint="eastAsia"/>
        </w:rPr>
        <w:t>指标分析：</w:t>
      </w:r>
    </w:p>
    <w:p>
      <w:pPr>
        <w:ind w:firstLine="640"/>
      </w:pPr>
      <w:r>
        <w:rPr>
          <w:rFonts w:hint="eastAsia"/>
        </w:rPr>
        <w:t>课题研究完成及时性：本年我单位立项课题研究完成及时，并高质量完成相关课题，指标分值</w:t>
      </w:r>
      <w:r>
        <w:t>2.27</w:t>
      </w:r>
      <w:r>
        <w:rPr>
          <w:rFonts w:hint="eastAsia"/>
        </w:rPr>
        <w:t>分，自评得分2.27分。</w:t>
      </w:r>
    </w:p>
    <w:p>
      <w:pPr>
        <w:pStyle w:val="2"/>
        <w:ind w:left="0" w:leftChars="0" w:firstLine="640"/>
      </w:pPr>
      <w:r>
        <w:rPr>
          <w:rFonts w:hint="eastAsia"/>
        </w:rPr>
        <w:t>学术交流活动参与及时性：本年我单位及时参与组织各项学术交流活动，不断打造中华民族共同体法治文化高端学术交流平台，指标分值</w:t>
      </w:r>
      <w:r>
        <w:t>2.27</w:t>
      </w:r>
      <w:r>
        <w:rPr>
          <w:rFonts w:hint="eastAsia"/>
        </w:rPr>
        <w:t>分，自评得分2.27分。</w:t>
      </w:r>
    </w:p>
    <w:p>
      <w:pPr>
        <w:pStyle w:val="2"/>
        <w:ind w:left="0" w:leftChars="0" w:firstLine="640"/>
      </w:pPr>
      <w:r>
        <w:rPr>
          <w:rFonts w:hint="eastAsia"/>
        </w:rPr>
        <w:t>陈列馆运行维护工作完成及时性：我单位及时开展陈列馆的维修维护工作，达到年度目标，指标分值</w:t>
      </w:r>
      <w:r>
        <w:t>2.27</w:t>
      </w:r>
      <w:r>
        <w:rPr>
          <w:rFonts w:hint="eastAsia"/>
        </w:rPr>
        <w:t>分，自评得分2.27分。</w:t>
      </w:r>
    </w:p>
    <w:p>
      <w:pPr>
        <w:pStyle w:val="2"/>
        <w:ind w:left="0" w:leftChars="0" w:firstLine="640"/>
      </w:pPr>
      <w:r>
        <w:t>陈列馆开放工作完成及时性</w:t>
      </w:r>
      <w:r>
        <w:rPr>
          <w:rFonts w:hint="eastAsia"/>
        </w:rPr>
        <w:t>：我单位及时</w:t>
      </w:r>
      <w:r>
        <w:rPr>
          <w:rFonts w:hint="eastAsia" w:hAnsi="仿宋_GB2312" w:cs="仿宋_GB2312"/>
          <w:szCs w:val="40"/>
        </w:rPr>
        <w:t>开展陈列馆主题开放日法治宣传活动，</w:t>
      </w:r>
      <w:r>
        <w:rPr>
          <w:rFonts w:hint="eastAsia"/>
        </w:rPr>
        <w:t>指标分值</w:t>
      </w:r>
      <w:r>
        <w:t>2.27</w:t>
      </w:r>
      <w:r>
        <w:rPr>
          <w:rFonts w:hint="eastAsia"/>
        </w:rPr>
        <w:t>分，自评得分2.27分。</w:t>
      </w:r>
    </w:p>
    <w:p>
      <w:pPr>
        <w:pStyle w:val="2"/>
        <w:ind w:left="0" w:leftChars="0" w:firstLine="640"/>
      </w:pPr>
      <w:r>
        <w:t>宣传工作完成及时性：本年我单位运用各种平台进行宣传工作，及时宣传中华民族共同体法治文化</w:t>
      </w:r>
      <w:r>
        <w:rPr>
          <w:rFonts w:hint="eastAsia"/>
        </w:rPr>
        <w:t>，指标分值</w:t>
      </w:r>
      <w:r>
        <w:t>2.27</w:t>
      </w:r>
      <w:r>
        <w:rPr>
          <w:rFonts w:hint="eastAsia"/>
        </w:rPr>
        <w:t>分，自评得分2.27分。</w:t>
      </w:r>
    </w:p>
    <w:p>
      <w:pPr>
        <w:pStyle w:val="2"/>
        <w:ind w:left="0" w:leftChars="0" w:firstLine="640"/>
      </w:pPr>
      <w:r>
        <w:t>图书采购工作完成及时性</w:t>
      </w:r>
      <w:r>
        <w:rPr>
          <w:rFonts w:hint="eastAsia"/>
        </w:rPr>
        <w:t>：我单位在采购计划下发之后就及时进行采购工作，采购业务符合政府采购相关规定，指标分值</w:t>
      </w:r>
      <w:r>
        <w:t>2.27</w:t>
      </w:r>
      <w:r>
        <w:rPr>
          <w:rFonts w:hint="eastAsia"/>
        </w:rPr>
        <w:t>分，自评得分2.27分。</w:t>
      </w:r>
    </w:p>
    <w:p>
      <w:pPr>
        <w:ind w:firstLine="64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产出成本指标分析：</w:t>
      </w:r>
    </w:p>
    <w:p>
      <w:pPr>
        <w:ind w:firstLine="640"/>
      </w:pPr>
      <w:r>
        <w:rPr>
          <w:rFonts w:hint="eastAsia"/>
        </w:rPr>
        <w:t>成本控制情况：我单位积极响应国家相关政策，坚持节约资金的原则，积极倡导用最少的钱办最多的事，2023年度经费</w:t>
      </w:r>
      <w:r>
        <w:t>支出</w:t>
      </w:r>
      <w:r>
        <w:rPr>
          <w:rFonts w:hint="eastAsia"/>
        </w:rPr>
        <w:t>在预算控制范围内，</w:t>
      </w:r>
      <w:r>
        <w:t>未超预算</w:t>
      </w:r>
      <w:r>
        <w:rPr>
          <w:rFonts w:hint="eastAsia"/>
        </w:rPr>
        <w:t>，指标分值</w:t>
      </w:r>
      <w:r>
        <w:t>2.27</w:t>
      </w:r>
      <w:r>
        <w:rPr>
          <w:rFonts w:hint="eastAsia"/>
        </w:rPr>
        <w:t>分，自评得分2.27分。</w:t>
      </w:r>
    </w:p>
    <w:p>
      <w:pPr>
        <w:ind w:firstLine="640"/>
      </w:pPr>
      <w:r>
        <w:rPr>
          <w:rFonts w:hint="eastAsia"/>
        </w:rPr>
        <w:t>（2）部门效果指标</w:t>
      </w:r>
    </w:p>
    <w:p>
      <w:pPr>
        <w:ind w:firstLine="640"/>
      </w:pPr>
      <w:r>
        <w:rPr>
          <w:rFonts w:hint="eastAsia"/>
        </w:rPr>
        <w:t>部门效果指标分值4.54分，自评得分2.27分，得分率为50%。</w:t>
      </w:r>
    </w:p>
    <w:p>
      <w:pPr>
        <w:ind w:firstLine="640"/>
        <w:rPr>
          <w:rFonts w:hAnsi="仿宋" w:cs="仿宋"/>
        </w:rPr>
      </w:pPr>
      <w:r>
        <w:rPr>
          <w:rFonts w:hint="eastAsia" w:hAnsi="仿宋" w:cs="仿宋"/>
        </w:rPr>
        <w:t>社会效益指标分析：</w:t>
      </w:r>
    </w:p>
    <w:p>
      <w:pPr>
        <w:ind w:firstLine="640"/>
      </w:pPr>
      <w:r>
        <w:rPr>
          <w:rFonts w:hint="eastAsia"/>
        </w:rPr>
        <w:t>陈列馆参观人数增长率：年度目标</w:t>
      </w:r>
      <w:r>
        <w:t>&gt;=1%</w:t>
      </w:r>
      <w:r>
        <w:rPr>
          <w:rFonts w:hint="eastAsia"/>
        </w:rPr>
        <w:t>，实际完成</w:t>
      </w:r>
      <w:r>
        <w:t>15%</w:t>
      </w:r>
      <w:r>
        <w:rPr>
          <w:rFonts w:hint="eastAsia"/>
        </w:rPr>
        <w:t>，2022年疫情原因导致参观人数偏低。指标分值</w:t>
      </w:r>
      <w:r>
        <w:t>2.27</w:t>
      </w:r>
      <w:r>
        <w:rPr>
          <w:rFonts w:hint="eastAsia"/>
        </w:rPr>
        <w:t>分，自评得分0分。</w:t>
      </w:r>
    </w:p>
    <w:p>
      <w:pPr>
        <w:ind w:firstLine="640"/>
      </w:pPr>
      <w:r>
        <w:rPr>
          <w:rFonts w:hint="eastAsia"/>
        </w:rPr>
        <w:t>加快科研成果转化：</w:t>
      </w:r>
      <w:r>
        <w:rPr>
          <w:rFonts w:hint="eastAsia" w:ascii="仿宋_GB2312" w:hAnsi="仿宋_GB2312" w:cs="仿宋_GB2312"/>
          <w:szCs w:val="40"/>
        </w:rPr>
        <w:t>发布立项2023年度法研所课题24项，组织结项</w:t>
      </w:r>
      <w:r>
        <w:rPr>
          <w:rFonts w:hint="eastAsia" w:ascii="仿宋_GB2312" w:hAnsi="仿宋_GB2312" w:cs="仿宋_GB2312"/>
          <w:szCs w:val="32"/>
        </w:rPr>
        <w:t>2022年度法研所所立课题21项，这些研究课题具有较强的前瞻性、理论性和实践性，对繁荣中华优秀传统法律文化研究，丰富新时代能动司法内涵，指导司法实践有很好推动作用</w:t>
      </w:r>
      <w:r>
        <w:rPr>
          <w:rFonts w:hint="eastAsia"/>
        </w:rPr>
        <w:t>，指标分值</w:t>
      </w:r>
      <w:r>
        <w:t>2.27</w:t>
      </w:r>
      <w:r>
        <w:rPr>
          <w:rFonts w:hint="eastAsia"/>
        </w:rPr>
        <w:t>分，自评得分2.27分。</w:t>
      </w:r>
    </w:p>
    <w:p>
      <w:pPr>
        <w:numPr>
          <w:ilvl w:val="0"/>
          <w:numId w:val="2"/>
        </w:numPr>
        <w:ind w:firstLine="640"/>
      </w:pPr>
      <w:r>
        <w:rPr>
          <w:rFonts w:hint="eastAsia"/>
        </w:rPr>
        <w:t>服务对象满意度</w:t>
      </w:r>
    </w:p>
    <w:p>
      <w:pPr>
        <w:pStyle w:val="2"/>
        <w:ind w:left="0" w:leftChars="0" w:firstLine="640"/>
      </w:pPr>
      <w:r>
        <w:rPr>
          <w:rFonts w:hint="eastAsia"/>
        </w:rPr>
        <w:t>服务对象满意度指标分值10分，自评得分10分，得分率100%。</w:t>
      </w:r>
    </w:p>
    <w:p>
      <w:pPr>
        <w:pStyle w:val="2"/>
        <w:ind w:left="0" w:leftChars="0" w:firstLine="640"/>
      </w:pPr>
      <w:r>
        <w:rPr>
          <w:rFonts w:hint="eastAsia"/>
        </w:rPr>
        <w:t>2022年我单位未收到任何投诉或举报，各方对我单位履职和工作开展情况总体满意，社会公众满意度为95%，本年度陈列馆参观人员满意度为98%。</w:t>
      </w:r>
    </w:p>
    <w:p>
      <w:pPr>
        <w:numPr>
          <w:ilvl w:val="0"/>
          <w:numId w:val="2"/>
        </w:numPr>
        <w:ind w:firstLine="640"/>
      </w:pPr>
      <w:r>
        <w:rPr>
          <w:rFonts w:hint="eastAsia"/>
        </w:rPr>
        <w:t>社会影响指标</w:t>
      </w:r>
    </w:p>
    <w:p>
      <w:pPr>
        <w:pStyle w:val="2"/>
        <w:ind w:left="0" w:leftChars="0" w:firstLine="640"/>
      </w:pPr>
      <w:r>
        <w:rPr>
          <w:rFonts w:hint="eastAsia"/>
        </w:rPr>
        <w:t>社会影响指标分值</w:t>
      </w:r>
      <w:r>
        <w:t>4.5</w:t>
      </w:r>
      <w:r>
        <w:rPr>
          <w:rFonts w:hint="eastAsia"/>
        </w:rPr>
        <w:t>4分，自评得分3.5分，得分率77.09%。</w:t>
      </w:r>
    </w:p>
    <w:p>
      <w:pPr>
        <w:ind w:firstLine="640"/>
      </w:pPr>
      <w:r>
        <w:rPr>
          <w:rFonts w:hint="eastAsia"/>
        </w:rPr>
        <w:t>单位获奖情况：2023年我单位获奖3项，指标分值</w:t>
      </w:r>
      <w:r>
        <w:t>2.27</w:t>
      </w:r>
      <w:r>
        <w:rPr>
          <w:rFonts w:hint="eastAsia"/>
        </w:rPr>
        <w:t>分，自评得分</w:t>
      </w:r>
      <w:r>
        <w:t>1.23</w:t>
      </w:r>
      <w:r>
        <w:rPr>
          <w:rFonts w:hint="eastAsia"/>
        </w:rPr>
        <w:t>分。</w:t>
      </w:r>
    </w:p>
    <w:p>
      <w:pPr>
        <w:pStyle w:val="2"/>
        <w:ind w:left="0" w:leftChars="0" w:firstLine="640"/>
      </w:pPr>
      <w:r>
        <w:rPr>
          <w:rFonts w:hint="eastAsia"/>
        </w:rPr>
        <w:t>违法违纪情况：2023年我单位未出现在国家层面督查或人大审计、监察等监督监察时发现问题被问责的情况，指标分值</w:t>
      </w:r>
      <w:r>
        <w:t>2.27</w:t>
      </w:r>
      <w:r>
        <w:rPr>
          <w:rFonts w:hint="eastAsia"/>
        </w:rPr>
        <w:t>分，自评得分2.27分。</w:t>
      </w:r>
    </w:p>
    <w:p>
      <w:pPr>
        <w:pStyle w:val="5"/>
        <w:keepNext w:val="0"/>
        <w:keepLines w:val="0"/>
        <w:spacing w:line="560" w:lineRule="exact"/>
        <w:ind w:firstLine="643"/>
        <w:rPr>
          <w:rFonts w:ascii="仿宋_GB2312" w:eastAsia="仿宋_GB2312"/>
        </w:rPr>
      </w:pPr>
      <w:bookmarkStart w:id="92" w:name="_Toc13530"/>
      <w:bookmarkStart w:id="93" w:name="_Toc30570"/>
      <w:bookmarkStart w:id="94" w:name="_Toc10966"/>
      <w:bookmarkStart w:id="95" w:name="_Toc26820"/>
      <w:bookmarkStart w:id="96" w:name="_Toc30465"/>
      <w:r>
        <w:rPr>
          <w:rFonts w:hint="eastAsia" w:ascii="仿宋_GB2312" w:eastAsia="仿宋_GB2312"/>
        </w:rPr>
        <w:t>4.能力建设目标完成情况分析</w:t>
      </w:r>
      <w:bookmarkEnd w:id="92"/>
      <w:bookmarkEnd w:id="93"/>
      <w:bookmarkEnd w:id="94"/>
      <w:bookmarkEnd w:id="95"/>
      <w:bookmarkEnd w:id="96"/>
    </w:p>
    <w:p>
      <w:pPr>
        <w:ind w:firstLine="640"/>
      </w:pPr>
      <w:r>
        <w:rPr>
          <w:rFonts w:hint="eastAsia"/>
        </w:rPr>
        <w:t>能力建设指标包括长效管理、人力资源建设、档案管理三个二级指标，下设5个三级指标。能力建设指标分值10分，绩效评分10分，得分率100%。</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spacing w:line="240" w:lineRule="auto"/>
              <w:ind w:firstLine="442"/>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二级指标</w:t>
            </w:r>
          </w:p>
        </w:tc>
        <w:tc>
          <w:tcPr>
            <w:tcW w:w="1825" w:type="dxa"/>
            <w:shd w:val="clear" w:color="auto" w:fill="BDD6EE"/>
            <w:vAlign w:val="center"/>
          </w:tcPr>
          <w:p>
            <w:pPr>
              <w:widowControl/>
              <w:spacing w:line="240" w:lineRule="auto"/>
              <w:ind w:firstLine="442"/>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分值</w:t>
            </w:r>
          </w:p>
        </w:tc>
        <w:tc>
          <w:tcPr>
            <w:tcW w:w="1559"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自评得分</w:t>
            </w:r>
          </w:p>
        </w:tc>
        <w:tc>
          <w:tcPr>
            <w:tcW w:w="2410" w:type="dxa"/>
            <w:shd w:val="clear" w:color="auto" w:fill="BDD6EE"/>
            <w:vAlign w:val="center"/>
          </w:tcPr>
          <w:p>
            <w:pPr>
              <w:widowControl/>
              <w:spacing w:line="240" w:lineRule="auto"/>
              <w:ind w:firstLine="442"/>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spacing w:line="240" w:lineRule="auto"/>
              <w:ind w:firstLine="44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长效管理 </w:t>
            </w:r>
          </w:p>
        </w:tc>
        <w:tc>
          <w:tcPr>
            <w:tcW w:w="1825"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559"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410"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spacing w:line="240" w:lineRule="auto"/>
              <w:ind w:firstLine="44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人力资源建设</w:t>
            </w:r>
          </w:p>
        </w:tc>
        <w:tc>
          <w:tcPr>
            <w:tcW w:w="1825"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59"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410"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spacing w:line="240" w:lineRule="auto"/>
              <w:ind w:firstLine="44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档案管理</w:t>
            </w:r>
          </w:p>
        </w:tc>
        <w:tc>
          <w:tcPr>
            <w:tcW w:w="1825"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59"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410" w:type="dxa"/>
            <w:vAlign w:val="center"/>
          </w:tcPr>
          <w:p>
            <w:pPr>
              <w:widowControl/>
              <w:spacing w:line="240" w:lineRule="auto"/>
              <w:ind w:firstLine="44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spacing w:line="240" w:lineRule="auto"/>
              <w:ind w:firstLine="442"/>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825" w:type="dxa"/>
            <w:shd w:val="clear" w:color="auto" w:fill="BDD6EE"/>
            <w:vAlign w:val="center"/>
          </w:tcPr>
          <w:p>
            <w:pPr>
              <w:widowControl/>
              <w:spacing w:line="240" w:lineRule="auto"/>
              <w:ind w:firstLine="442"/>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10</w:t>
            </w:r>
          </w:p>
        </w:tc>
        <w:tc>
          <w:tcPr>
            <w:tcW w:w="1559" w:type="dxa"/>
            <w:shd w:val="clear" w:color="auto" w:fill="BDD6EE"/>
            <w:vAlign w:val="center"/>
          </w:tcPr>
          <w:p>
            <w:pPr>
              <w:widowControl/>
              <w:spacing w:line="240" w:lineRule="auto"/>
              <w:ind w:firstLine="442"/>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10</w:t>
            </w:r>
          </w:p>
        </w:tc>
        <w:tc>
          <w:tcPr>
            <w:tcW w:w="2410" w:type="dxa"/>
            <w:shd w:val="clear" w:color="auto" w:fill="BDD6EE"/>
            <w:vAlign w:val="center"/>
          </w:tcPr>
          <w:p>
            <w:pPr>
              <w:widowControl/>
              <w:spacing w:line="240" w:lineRule="auto"/>
              <w:ind w:firstLine="442"/>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r>
    </w:tbl>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pPr>
      <w:r>
        <w:rPr>
          <w:rFonts w:hint="eastAsia"/>
        </w:rPr>
        <w:t>（1）长效管理：</w:t>
      </w:r>
    </w:p>
    <w:p>
      <w:pPr>
        <w:ind w:firstLine="640"/>
      </w:pPr>
      <w:r>
        <w:rPr>
          <w:rFonts w:hint="eastAsia"/>
        </w:rPr>
        <w:t>中期规划建设完备程度：2023年我单位在认真贯彻执行中央重大方针政策及省委省政府决策部署的基础上，坚持重点工作和基本工作相结合，强基固本做好各项基础性工作，中期规划建设完备。指标分值2分，自评得分2分。</w:t>
      </w:r>
    </w:p>
    <w:p>
      <w:pPr>
        <w:pStyle w:val="2"/>
        <w:ind w:left="0" w:leftChars="0" w:firstLine="640"/>
      </w:pPr>
      <w:r>
        <w:rPr>
          <w:rFonts w:hint="eastAsia"/>
        </w:rPr>
        <w:t>党建工作开展规律性：</w:t>
      </w:r>
      <w:r>
        <w:rPr>
          <w:rFonts w:hint="eastAsia" w:ascii="仿宋_GB2312" w:hAnsi="仿宋_GB2312" w:cs="仿宋_GB2312"/>
          <w:szCs w:val="32"/>
        </w:rPr>
        <w:t>严肃党内政治生活，坚决执行“三会一课”、组织生活会和民主评议党员等制度。</w:t>
      </w:r>
      <w:r>
        <w:rPr>
          <w:rFonts w:hint="eastAsia" w:ascii="仿宋_GB2312" w:hAnsi="仿宋_GB2312" w:cs="仿宋_GB2312"/>
          <w:szCs w:val="40"/>
        </w:rPr>
        <w:t>发展积极分子和预备党员3</w:t>
      </w:r>
      <w:r>
        <w:rPr>
          <w:rFonts w:hint="eastAsia" w:ascii="仿宋_GB2312" w:hAnsi="仿宋_GB2312" w:cs="仿宋_GB2312"/>
          <w:color w:val="000000" w:themeColor="text1"/>
          <w:szCs w:val="40"/>
          <w14:textFill>
            <w14:solidFill>
              <w14:schemeClr w14:val="tx1"/>
            </w14:solidFill>
          </w14:textFill>
        </w:rPr>
        <w:t>人</w:t>
      </w:r>
      <w:r>
        <w:rPr>
          <w:rFonts w:hint="eastAsia" w:ascii="仿宋_GB2312" w:hAnsi="仿宋_GB2312" w:cs="仿宋_GB2312"/>
          <w:szCs w:val="32"/>
        </w:rPr>
        <w:t>，召开支部党员大会3次，开展党课讲授3次，</w:t>
      </w:r>
      <w:r>
        <w:rPr>
          <w:rFonts w:hint="eastAsia" w:ascii="仿宋_GB2312" w:hAnsi="仿宋_GB2312" w:cs="仿宋_GB2312"/>
          <w:szCs w:val="40"/>
        </w:rPr>
        <w:t>组织主题党日活动</w:t>
      </w:r>
      <w:r>
        <w:rPr>
          <w:rFonts w:hint="eastAsia" w:ascii="仿宋_GB2312" w:hAnsi="仿宋_GB2312" w:cs="仿宋_GB2312"/>
          <w:color w:val="000000" w:themeColor="text1"/>
          <w:szCs w:val="40"/>
          <w14:textFill>
            <w14:solidFill>
              <w14:schemeClr w14:val="tx1"/>
            </w14:solidFill>
          </w14:textFill>
        </w:rPr>
        <w:t>12</w:t>
      </w:r>
      <w:r>
        <w:rPr>
          <w:rFonts w:hint="eastAsia" w:ascii="仿宋_GB2312" w:hAnsi="仿宋_GB2312" w:cs="仿宋_GB2312"/>
          <w:szCs w:val="40"/>
        </w:rPr>
        <w:t>次，支部建设取得明显成效。</w:t>
      </w:r>
      <w:r>
        <w:rPr>
          <w:rFonts w:hint="eastAsia"/>
        </w:rPr>
        <w:t>指标分值2分，自评得分2分。</w:t>
      </w:r>
    </w:p>
    <w:p>
      <w:pPr>
        <w:pStyle w:val="2"/>
        <w:ind w:left="0" w:leftChars="0" w:firstLine="640"/>
      </w:pPr>
      <w:r>
        <w:rPr>
          <w:rFonts w:hint="eastAsia"/>
        </w:rPr>
        <w:t>信息化管理覆盖率：</w:t>
      </w:r>
      <w:r>
        <w:rPr>
          <w:rFonts w:hint="eastAsia" w:ascii="仿宋_GB2312" w:hAnsi="仿宋_GB2312" w:cs="仿宋_GB2312"/>
          <w:szCs w:val="40"/>
        </w:rPr>
        <w:t>加强媒体宣传阵地建设，拍摄创作宣传片和微视频各1部，在甘肃法院党建网刊登信息简报</w:t>
      </w:r>
      <w:r>
        <w:rPr>
          <w:rFonts w:hint="eastAsia" w:ascii="仿宋_GB2312" w:hAnsi="仿宋_GB2312" w:cs="仿宋_GB2312"/>
          <w:color w:val="000000" w:themeColor="text1"/>
          <w:szCs w:val="40"/>
          <w14:textFill>
            <w14:solidFill>
              <w14:schemeClr w14:val="tx1"/>
            </w14:solidFill>
          </w14:textFill>
        </w:rPr>
        <w:t>8</w:t>
      </w:r>
      <w:r>
        <w:rPr>
          <w:rFonts w:hint="eastAsia" w:ascii="仿宋_GB2312" w:hAnsi="仿宋_GB2312" w:cs="仿宋_GB2312"/>
          <w:szCs w:val="40"/>
        </w:rPr>
        <w:t>篇，微信公众号、门户网站全年累计发布信息725篇，阅览量达到25000次。</w:t>
      </w:r>
      <w:r>
        <w:rPr>
          <w:rFonts w:hint="eastAsia"/>
        </w:rPr>
        <w:t>指标分值2分，自评得分2分。</w:t>
      </w:r>
    </w:p>
    <w:p>
      <w:pPr>
        <w:ind w:firstLine="640"/>
      </w:pPr>
      <w:r>
        <w:rPr>
          <w:rFonts w:hint="eastAsia"/>
        </w:rPr>
        <w:t>（2）人力资源建设：我单位高度重视人员能力的培养，在人员培训方面，严格展开培训活动，为法院的长期发展储备优秀人才，不断完善人员培训机制，强化岗位练兵活动，积极加强干警业务能力水平的提升。人员培训机制完备性分值2分，得分2分。</w:t>
      </w:r>
    </w:p>
    <w:p>
      <w:pPr>
        <w:pStyle w:val="27"/>
        <w:ind w:firstLine="640"/>
        <w:rPr>
          <w:rFonts w:hAnsi="仿宋"/>
          <w:szCs w:val="32"/>
        </w:rPr>
      </w:pPr>
      <w:r>
        <w:rPr>
          <w:rFonts w:hint="eastAsia"/>
        </w:rPr>
        <w:t>（3）档案管理：</w:t>
      </w:r>
      <w:r>
        <w:rPr>
          <w:rFonts w:hint="eastAsia" w:hAnsi="仿宋"/>
          <w:szCs w:val="32"/>
        </w:rPr>
        <w:t>档案管理工作规范运行，档案管理部门严格按照保密工作管理办法加强保密档案管理，保密工作管理规范。</w:t>
      </w:r>
      <w:r>
        <w:rPr>
          <w:rFonts w:hint="eastAsia"/>
        </w:rPr>
        <w:t>档案管理完备性分值2分，得分2分。</w:t>
      </w:r>
    </w:p>
    <w:p>
      <w:pPr>
        <w:pStyle w:val="4"/>
        <w:keepNext w:val="0"/>
        <w:keepLines w:val="0"/>
        <w:spacing w:line="560" w:lineRule="exact"/>
        <w:ind w:firstLine="643"/>
      </w:pPr>
      <w:bookmarkStart w:id="97" w:name="_Toc17696"/>
      <w:bookmarkStart w:id="98" w:name="_Toc11739"/>
      <w:bookmarkStart w:id="99" w:name="_Toc11241"/>
      <w:bookmarkStart w:id="100" w:name="_Toc447"/>
      <w:bookmarkStart w:id="101" w:name="_Toc13815"/>
      <w:bookmarkStart w:id="102" w:name="_Toc7264"/>
      <w:r>
        <w:rPr>
          <w:rFonts w:hint="eastAsia"/>
        </w:rPr>
        <w:t>（四）偏离绩效目标的原因及下一步改进措施</w:t>
      </w:r>
      <w:bookmarkEnd w:id="97"/>
      <w:bookmarkEnd w:id="98"/>
      <w:bookmarkEnd w:id="99"/>
      <w:bookmarkEnd w:id="100"/>
      <w:bookmarkEnd w:id="101"/>
      <w:bookmarkEnd w:id="102"/>
    </w:p>
    <w:p>
      <w:pPr>
        <w:pStyle w:val="5"/>
        <w:keepNext w:val="0"/>
        <w:keepLines w:val="0"/>
        <w:spacing w:line="560" w:lineRule="exact"/>
        <w:ind w:firstLine="643"/>
        <w:rPr>
          <w:rFonts w:ascii="仿宋_GB2312" w:eastAsia="仿宋_GB2312"/>
        </w:rPr>
      </w:pPr>
      <w:bookmarkStart w:id="103" w:name="_Toc23592"/>
      <w:bookmarkStart w:id="104" w:name="_Toc14603"/>
      <w:bookmarkStart w:id="105" w:name="_Toc32045"/>
      <w:bookmarkStart w:id="106" w:name="_Toc18075"/>
      <w:bookmarkStart w:id="107" w:name="_Toc23432"/>
      <w:r>
        <w:rPr>
          <w:rFonts w:hint="eastAsia" w:ascii="仿宋_GB2312" w:eastAsia="仿宋_GB2312"/>
        </w:rPr>
        <w:t>1.</w:t>
      </w:r>
      <w:bookmarkEnd w:id="103"/>
      <w:bookmarkEnd w:id="104"/>
      <w:bookmarkEnd w:id="105"/>
      <w:r>
        <w:rPr>
          <w:rFonts w:hint="eastAsia" w:ascii="仿宋_GB2312" w:eastAsia="仿宋_GB2312"/>
        </w:rPr>
        <w:t>资金预算执行率较低，年末结转结余资金较多。</w:t>
      </w:r>
      <w:bookmarkEnd w:id="106"/>
    </w:p>
    <w:p>
      <w:pPr>
        <w:ind w:firstLine="640"/>
        <w:rPr>
          <w:rFonts w:hint="eastAsia" w:eastAsia="仿宋_GB2312"/>
          <w:lang w:eastAsia="zh-CN"/>
        </w:rPr>
      </w:pPr>
      <w:r>
        <w:rPr>
          <w:rFonts w:hint="eastAsia"/>
        </w:rPr>
        <w:t>政策性增资，人员经费增加，导致基本支出执行率低。加强预算编制的前瞻性，按照本部门的发展规划，结合上年预算执行情况和本年预算收支变化因素，科学、合理的编制部门预算</w:t>
      </w:r>
      <w:r>
        <w:rPr>
          <w:rFonts w:hint="eastAsia"/>
          <w:lang w:eastAsia="zh-CN"/>
        </w:rPr>
        <w:t>。</w:t>
      </w:r>
    </w:p>
    <w:p>
      <w:pPr>
        <w:ind w:firstLine="640"/>
      </w:pPr>
      <w:r>
        <w:rPr>
          <w:rFonts w:hint="eastAsia"/>
        </w:rPr>
        <w:t>本年度重点支付上年结转资金，导致本年度项目支出预算执行率低。加强预算执行事前规划，提高用款计划编报的准确性，根据项目实施进度及时拨付款项，保障各项工作的顺利开展,提高资金预算执行率。</w:t>
      </w:r>
    </w:p>
    <w:p>
      <w:pPr>
        <w:pStyle w:val="5"/>
        <w:keepNext w:val="0"/>
        <w:keepLines w:val="0"/>
        <w:spacing w:line="560" w:lineRule="exact"/>
        <w:ind w:firstLine="643"/>
        <w:rPr>
          <w:rFonts w:hint="default" w:ascii="仿宋_GB2312" w:eastAsia="仿宋_GB2312"/>
          <w:lang w:val="en-US" w:eastAsia="zh-CN"/>
        </w:rPr>
      </w:pPr>
      <w:bookmarkStart w:id="108" w:name="_Toc11452"/>
      <w:bookmarkStart w:id="109" w:name="_Toc27349"/>
      <w:bookmarkStart w:id="110" w:name="_Toc9254"/>
      <w:bookmarkStart w:id="111" w:name="_Toc30946"/>
      <w:r>
        <w:rPr>
          <w:rFonts w:hint="eastAsia" w:ascii="仿宋_GB2312" w:eastAsia="仿宋_GB2312"/>
        </w:rPr>
        <w:t>2.</w:t>
      </w:r>
      <w:r>
        <w:rPr>
          <w:rFonts w:hint="eastAsia" w:ascii="仿宋_GB2312" w:eastAsia="仿宋_GB2312"/>
          <w:lang w:val="en-US" w:eastAsia="zh-CN"/>
        </w:rPr>
        <w:t>部分指标年度目标值设置偏低。</w:t>
      </w:r>
    </w:p>
    <w:p>
      <w:pPr>
        <w:ind w:firstLine="640"/>
        <w:rPr>
          <w:rFonts w:hint="eastAsia"/>
          <w:lang w:val="en-US" w:eastAsia="zh-CN"/>
        </w:rPr>
      </w:pPr>
      <w:r>
        <w:rPr>
          <w:rFonts w:hint="eastAsia"/>
        </w:rPr>
        <w:t>参加学术交流活动次数</w:t>
      </w:r>
      <w:r>
        <w:rPr>
          <w:rFonts w:hint="eastAsia"/>
          <w:lang w:eastAsia="zh-CN"/>
        </w:rPr>
        <w:t>，</w:t>
      </w:r>
      <w:r>
        <w:rPr>
          <w:rFonts w:hint="eastAsia"/>
          <w:lang w:val="en-US" w:eastAsia="zh-CN"/>
        </w:rPr>
        <w:t>年度目标值&gt;=4次，实际完成12次；</w:t>
      </w:r>
    </w:p>
    <w:p>
      <w:pPr>
        <w:ind w:firstLine="640"/>
        <w:rPr>
          <w:rFonts w:hint="eastAsia"/>
          <w:lang w:val="en-US" w:eastAsia="zh-CN"/>
        </w:rPr>
      </w:pPr>
      <w:r>
        <w:rPr>
          <w:rFonts w:hint="eastAsia"/>
        </w:rPr>
        <w:t>展览宣传次数</w:t>
      </w:r>
      <w:r>
        <w:rPr>
          <w:rFonts w:hint="eastAsia"/>
          <w:lang w:eastAsia="zh-CN"/>
        </w:rPr>
        <w:t>，</w:t>
      </w:r>
      <w:r>
        <w:rPr>
          <w:rFonts w:hint="eastAsia"/>
          <w:lang w:val="en-US" w:eastAsia="zh-CN"/>
        </w:rPr>
        <w:t>年度目标值=12次，实际完成25次；</w:t>
      </w:r>
    </w:p>
    <w:p>
      <w:pPr>
        <w:ind w:firstLine="640"/>
        <w:rPr>
          <w:rFonts w:hint="eastAsia"/>
          <w:lang w:val="en-US" w:eastAsia="zh-CN"/>
        </w:rPr>
      </w:pPr>
      <w:r>
        <w:rPr>
          <w:rFonts w:hint="eastAsia"/>
        </w:rPr>
        <w:t>陈列馆参观人数增长率</w:t>
      </w:r>
      <w:r>
        <w:rPr>
          <w:rFonts w:hint="eastAsia"/>
          <w:lang w:eastAsia="zh-CN"/>
        </w:rPr>
        <w:t>，</w:t>
      </w:r>
      <w:r>
        <w:rPr>
          <w:rFonts w:hint="eastAsia"/>
          <w:lang w:val="en-US" w:eastAsia="zh-CN"/>
        </w:rPr>
        <w:t>年度目标值&gt;=1%，实际完成15%。</w:t>
      </w:r>
    </w:p>
    <w:p>
      <w:pPr>
        <w:ind w:firstLine="640"/>
        <w:rPr>
          <w:rFonts w:hint="eastAsia"/>
          <w:lang w:val="en-US" w:eastAsia="zh-CN"/>
        </w:rPr>
      </w:pPr>
      <w:r>
        <w:rPr>
          <w:rFonts w:hint="eastAsia"/>
          <w:lang w:val="en-US" w:eastAsia="zh-CN"/>
        </w:rPr>
        <w:t>以上</w:t>
      </w:r>
      <w:r>
        <w:rPr>
          <w:rFonts w:hint="eastAsia"/>
        </w:rPr>
        <w:t>年度目标值设置偏低，下年度我单位将加强预算绩效管理，提高绩效目标编制的准确性。</w:t>
      </w:r>
    </w:p>
    <w:p>
      <w:pPr>
        <w:pStyle w:val="5"/>
        <w:keepNext w:val="0"/>
        <w:keepLines w:val="0"/>
        <w:spacing w:line="560" w:lineRule="exact"/>
        <w:ind w:firstLine="643"/>
        <w:rPr>
          <w:rFonts w:ascii="仿宋_GB2312" w:eastAsia="仿宋_GB2312"/>
        </w:rPr>
      </w:pPr>
      <w:r>
        <w:rPr>
          <w:rFonts w:hint="eastAsia" w:ascii="仿宋_GB2312" w:eastAsia="仿宋_GB2312"/>
          <w:lang w:val="en-US" w:eastAsia="zh-CN"/>
        </w:rPr>
        <w:t>3.“三公经费”控制率指标因系统原因导致扣分</w:t>
      </w:r>
      <w:r>
        <w:rPr>
          <w:rFonts w:hint="eastAsia" w:ascii="仿宋_GB2312" w:eastAsia="仿宋_GB2312"/>
        </w:rPr>
        <w:t>。</w:t>
      </w:r>
    </w:p>
    <w:p>
      <w:pPr>
        <w:ind w:firstLine="640"/>
      </w:pPr>
      <w:r>
        <w:rPr>
          <w:rFonts w:hint="eastAsia"/>
          <w:lang w:eastAsia="zh-CN"/>
        </w:rPr>
        <w:t>“</w:t>
      </w:r>
      <w:r>
        <w:rPr>
          <w:rFonts w:hint="eastAsia"/>
          <w:lang w:val="en-US" w:eastAsia="zh-CN"/>
        </w:rPr>
        <w:t>三公经费</w:t>
      </w:r>
      <w:r>
        <w:rPr>
          <w:rFonts w:hint="eastAsia"/>
          <w:lang w:eastAsia="zh-CN"/>
        </w:rPr>
        <w:t>”</w:t>
      </w:r>
      <w:r>
        <w:rPr>
          <w:rFonts w:hint="eastAsia"/>
          <w:lang w:val="en-US" w:eastAsia="zh-CN"/>
        </w:rPr>
        <w:t>预算数13.71万元，实际支出数14.87万元，</w:t>
      </w:r>
      <w:r>
        <w:rPr>
          <w:rFonts w:hint="eastAsia"/>
        </w:rPr>
        <w:t>本年度我单位“三公经费”未超预算</w:t>
      </w:r>
      <w:r>
        <w:rPr>
          <w:rFonts w:hint="eastAsia"/>
          <w:lang w:eastAsia="zh-CN"/>
        </w:rPr>
        <w:t>，</w:t>
      </w:r>
      <w:r>
        <w:rPr>
          <w:rFonts w:hint="eastAsia"/>
          <w:lang w:val="en-US" w:eastAsia="zh-CN"/>
        </w:rPr>
        <w:t>系统原因导致扣分</w:t>
      </w:r>
      <w:r>
        <w:t>。</w:t>
      </w:r>
    </w:p>
    <w:bookmarkEnd w:id="107"/>
    <w:bookmarkEnd w:id="108"/>
    <w:bookmarkEnd w:id="109"/>
    <w:bookmarkEnd w:id="110"/>
    <w:bookmarkEnd w:id="111"/>
    <w:p>
      <w:pPr>
        <w:pStyle w:val="3"/>
        <w:keepNext w:val="0"/>
        <w:keepLines w:val="0"/>
        <w:spacing w:line="560" w:lineRule="exact"/>
        <w:ind w:firstLine="643"/>
      </w:pPr>
      <w:bookmarkStart w:id="112" w:name="_Toc17645"/>
      <w:bookmarkStart w:id="113" w:name="_Toc23943"/>
      <w:bookmarkStart w:id="114" w:name="_Toc30459"/>
      <w:bookmarkStart w:id="115" w:name="_Toc2008"/>
      <w:bookmarkStart w:id="116" w:name="_Toc16102"/>
      <w:bookmarkStart w:id="117" w:name="_Toc30978"/>
      <w:r>
        <w:rPr>
          <w:rFonts w:hint="eastAsia"/>
        </w:rPr>
        <w:t>四、部门预算项目支出绩效自评情况分析</w:t>
      </w:r>
      <w:bookmarkEnd w:id="112"/>
      <w:bookmarkEnd w:id="113"/>
      <w:bookmarkEnd w:id="114"/>
      <w:bookmarkEnd w:id="115"/>
      <w:bookmarkEnd w:id="116"/>
      <w:bookmarkEnd w:id="117"/>
    </w:p>
    <w:p>
      <w:pPr>
        <w:ind w:firstLine="640"/>
      </w:pPr>
      <w:bookmarkStart w:id="118" w:name="_Toc12029"/>
      <w:bookmarkStart w:id="119" w:name="_Toc29251"/>
      <w:bookmarkStart w:id="120" w:name="_Toc13161"/>
      <w:r>
        <w:rPr>
          <w:rFonts w:hint="eastAsia"/>
        </w:rPr>
        <w:t>2023年，我单位预算支出项目共2个，通过自评，2个项目评价结果均为“优秀”，平均分96.33分。分项目自评情况分析如下：</w:t>
      </w:r>
      <w:bookmarkEnd w:id="118"/>
      <w:bookmarkEnd w:id="119"/>
      <w:bookmarkEnd w:id="120"/>
    </w:p>
    <w:p>
      <w:pPr>
        <w:pStyle w:val="4"/>
        <w:keepNext w:val="0"/>
        <w:keepLines w:val="0"/>
        <w:spacing w:line="560" w:lineRule="exact"/>
        <w:ind w:firstLine="643"/>
      </w:pPr>
      <w:bookmarkStart w:id="121" w:name="_Toc18448"/>
      <w:bookmarkStart w:id="122" w:name="_Toc756"/>
      <w:bookmarkStart w:id="123" w:name="_Toc26965"/>
      <w:bookmarkStart w:id="124" w:name="_Toc25663"/>
      <w:bookmarkStart w:id="125" w:name="_Toc18395"/>
      <w:bookmarkStart w:id="126" w:name="_Toc11705"/>
      <w:r>
        <w:rPr>
          <w:rFonts w:hint="eastAsia"/>
        </w:rPr>
        <w:t>（一）</w:t>
      </w:r>
      <w:bookmarkEnd w:id="121"/>
      <w:bookmarkEnd w:id="122"/>
      <w:bookmarkEnd w:id="123"/>
      <w:bookmarkEnd w:id="124"/>
      <w:bookmarkEnd w:id="125"/>
      <w:r>
        <w:rPr>
          <w:rFonts w:hint="eastAsia"/>
        </w:rPr>
        <w:t>中华民族共同体法治文化研究及陈列馆专项经费</w:t>
      </w:r>
      <w:bookmarkEnd w:id="126"/>
    </w:p>
    <w:p>
      <w:pPr>
        <w:ind w:firstLine="640"/>
      </w:pPr>
      <w:r>
        <w:rPr>
          <w:rFonts w:hint="eastAsia"/>
        </w:rPr>
        <w:t>本次绩效自评综合评定中华民族共同体法治文化研究及陈列馆专项经费项目支出绩效得分为</w:t>
      </w:r>
      <w:r>
        <w:t>92.99</w:t>
      </w:r>
      <w:r>
        <w:rPr>
          <w:rFonts w:hint="eastAsia"/>
        </w:rPr>
        <w:t>分，绩效等级为“优秀”。项目支出绩效评价包括项目资金预算执行率、成本、产出、效益、满意度五个一级指标，下设6个二级指标和14个三级指标。项目资金预算执行率</w:t>
      </w:r>
      <w:r>
        <w:t>79.18</w:t>
      </w:r>
      <w:r>
        <w:rPr>
          <w:rFonts w:hint="eastAsia"/>
        </w:rPr>
        <w:t>%。一级指标得分情况详见下表：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一级指标</w:t>
            </w:r>
          </w:p>
        </w:tc>
        <w:tc>
          <w:tcPr>
            <w:tcW w:w="1678"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分值</w:t>
            </w:r>
          </w:p>
        </w:tc>
        <w:tc>
          <w:tcPr>
            <w:tcW w:w="1560"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自评得分</w:t>
            </w:r>
          </w:p>
        </w:tc>
        <w:tc>
          <w:tcPr>
            <w:tcW w:w="2268"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67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ascii="宋体" w:hAnsi="宋体" w:eastAsia="宋体" w:cs="宋体"/>
                <w:color w:val="000000"/>
                <w:kern w:val="0"/>
                <w:sz w:val="22"/>
                <w:szCs w:val="22"/>
              </w:rPr>
              <w:t>7.9</w:t>
            </w:r>
            <w:r>
              <w:rPr>
                <w:rFonts w:hint="eastAsia" w:ascii="宋体" w:hAnsi="宋体" w:eastAsia="宋体" w:cs="宋体"/>
                <w:color w:val="000000"/>
                <w:kern w:val="0"/>
                <w:sz w:val="22"/>
                <w:szCs w:val="22"/>
              </w:rPr>
              <w:t>2</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79.20%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成本指标</w:t>
            </w:r>
          </w:p>
        </w:tc>
        <w:tc>
          <w:tcPr>
            <w:tcW w:w="167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ascii="宋体" w:hAnsi="宋体" w:eastAsia="宋体" w:cs="宋体"/>
                <w:color w:val="000000"/>
                <w:kern w:val="0"/>
                <w:sz w:val="22"/>
                <w:szCs w:val="22"/>
              </w:rPr>
              <w:t>15.84</w:t>
            </w:r>
          </w:p>
        </w:tc>
        <w:tc>
          <w:tcPr>
            <w:tcW w:w="226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79.20%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产出指标</w:t>
            </w:r>
          </w:p>
        </w:tc>
        <w:tc>
          <w:tcPr>
            <w:tcW w:w="167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39.23</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98.08%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效益指标</w:t>
            </w:r>
          </w:p>
        </w:tc>
        <w:tc>
          <w:tcPr>
            <w:tcW w:w="167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满意度指标</w:t>
            </w:r>
          </w:p>
        </w:tc>
        <w:tc>
          <w:tcPr>
            <w:tcW w:w="167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pPr>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合计</w:t>
            </w:r>
          </w:p>
        </w:tc>
        <w:tc>
          <w:tcPr>
            <w:tcW w:w="1678"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c>
          <w:tcPr>
            <w:tcW w:w="1560" w:type="dxa"/>
            <w:shd w:val="clear" w:color="auto" w:fill="BDD6EE"/>
            <w:vAlign w:val="center"/>
          </w:tcPr>
          <w:p>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92.99</w:t>
            </w:r>
          </w:p>
        </w:tc>
        <w:tc>
          <w:tcPr>
            <w:tcW w:w="2268"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92.99%</w:t>
            </w:r>
          </w:p>
        </w:tc>
      </w:tr>
    </w:tbl>
    <w:p>
      <w:pPr>
        <w:pStyle w:val="5"/>
        <w:keepNext w:val="0"/>
        <w:keepLines w:val="0"/>
        <w:spacing w:line="560" w:lineRule="exact"/>
        <w:ind w:firstLine="643"/>
        <w:rPr>
          <w:rFonts w:ascii="仿宋_GB2312" w:eastAsia="仿宋_GB2312"/>
        </w:rPr>
      </w:pPr>
      <w:bookmarkStart w:id="127" w:name="_Toc30557"/>
      <w:bookmarkStart w:id="128" w:name="_Toc28936"/>
      <w:bookmarkStart w:id="129" w:name="_Toc6866"/>
      <w:bookmarkStart w:id="130" w:name="_Toc15598"/>
      <w:bookmarkStart w:id="131" w:name="_Toc23017"/>
      <w:r>
        <w:rPr>
          <w:rFonts w:hint="eastAsia" w:ascii="仿宋_GB2312" w:eastAsia="仿宋_GB2312"/>
        </w:rPr>
        <w:t>1.项目支出预算执行情况</w:t>
      </w:r>
      <w:bookmarkEnd w:id="127"/>
      <w:bookmarkEnd w:id="128"/>
      <w:bookmarkEnd w:id="129"/>
      <w:bookmarkEnd w:id="130"/>
      <w:bookmarkEnd w:id="131"/>
      <w:bookmarkStart w:id="132" w:name="_Toc6966"/>
    </w:p>
    <w:p>
      <w:pPr>
        <w:ind w:firstLine="640"/>
      </w:pPr>
      <w:bookmarkStart w:id="133" w:name="_Toc22202"/>
      <w:bookmarkStart w:id="134" w:name="_Toc25902"/>
      <w:r>
        <w:rPr>
          <w:rFonts w:hint="eastAsia"/>
        </w:rPr>
        <w:t>中华民族共同体法治文化研究及陈列馆专项经费项目当年财政拨款200.00万元，</w:t>
      </w:r>
      <w:r>
        <w:rPr>
          <w:rFonts w:hint="eastAsia"/>
          <w:lang w:val="en-US" w:eastAsia="zh-CN"/>
        </w:rPr>
        <w:t>上年结转资金42.49万元，</w:t>
      </w:r>
      <w:r>
        <w:rPr>
          <w:rFonts w:hint="eastAsia"/>
        </w:rPr>
        <w:t>全年支出192</w:t>
      </w:r>
      <w:r>
        <w:rPr>
          <w:rFonts w:hint="eastAsia"/>
          <w:lang w:val="en-US" w:eastAsia="zh-CN"/>
        </w:rPr>
        <w:t>.00</w:t>
      </w:r>
      <w:r>
        <w:rPr>
          <w:rFonts w:hint="eastAsia"/>
        </w:rPr>
        <w:t>万元，预算执行率</w:t>
      </w:r>
      <w:r>
        <w:t>79.18</w:t>
      </w:r>
      <w:r>
        <w:rPr>
          <w:rFonts w:hint="eastAsia"/>
        </w:rPr>
        <w:t>%。</w:t>
      </w:r>
      <w:bookmarkEnd w:id="132"/>
      <w:bookmarkEnd w:id="133"/>
      <w:bookmarkEnd w:id="134"/>
    </w:p>
    <w:p>
      <w:pPr>
        <w:pStyle w:val="5"/>
        <w:keepNext w:val="0"/>
        <w:keepLines w:val="0"/>
        <w:spacing w:line="560" w:lineRule="exact"/>
        <w:ind w:firstLine="643"/>
        <w:rPr>
          <w:rFonts w:ascii="仿宋_GB2312" w:eastAsia="仿宋_GB2312"/>
        </w:rPr>
      </w:pPr>
      <w:bookmarkStart w:id="135" w:name="_Toc2839"/>
      <w:bookmarkStart w:id="136" w:name="_Toc6841"/>
      <w:bookmarkStart w:id="137" w:name="_Toc10073"/>
      <w:bookmarkStart w:id="138" w:name="_Toc21744"/>
      <w:bookmarkStart w:id="139" w:name="_Toc7127"/>
      <w:r>
        <w:rPr>
          <w:rFonts w:hint="eastAsia" w:ascii="仿宋_GB2312" w:eastAsia="仿宋_GB2312"/>
        </w:rPr>
        <w:t>2.总体绩效目标完成情况分析</w:t>
      </w:r>
      <w:bookmarkEnd w:id="135"/>
      <w:bookmarkEnd w:id="136"/>
      <w:bookmarkEnd w:id="137"/>
      <w:bookmarkEnd w:id="138"/>
      <w:bookmarkEnd w:id="139"/>
    </w:p>
    <w:p>
      <w:pPr>
        <w:ind w:firstLine="640"/>
      </w:pPr>
      <w:bookmarkStart w:id="140" w:name="_Toc26281"/>
      <w:bookmarkStart w:id="141" w:name="_Toc22475"/>
      <w:bookmarkStart w:id="142" w:name="_Toc23304"/>
      <w:r>
        <w:rPr>
          <w:rFonts w:hint="eastAsia"/>
        </w:rPr>
        <w:t>项目总体绩效目标为：</w:t>
      </w:r>
      <w:bookmarkEnd w:id="140"/>
      <w:bookmarkEnd w:id="141"/>
      <w:bookmarkEnd w:id="142"/>
      <w:bookmarkStart w:id="143" w:name="_Toc32593"/>
      <w:r>
        <w:rPr>
          <w:rFonts w:hint="eastAsia" w:ascii="仿宋" w:hAnsi="仿宋" w:eastAsia="仿宋" w:cs="仿宋"/>
        </w:rPr>
        <w:t>①</w:t>
      </w:r>
      <w:r>
        <w:rPr>
          <w:rFonts w:hint="eastAsia"/>
        </w:rPr>
        <w:t>保障陈列馆水电暖供应系统、保洁、安防、环境绿化、锅炉运行、房屋养护维修、公共设施运行维护、会议服务、审判保障服务、公共秩序维护等业务正常运转；</w:t>
      </w:r>
      <w:r>
        <w:rPr>
          <w:rFonts w:hint="eastAsia" w:ascii="仿宋" w:hAnsi="仿宋" w:eastAsia="仿宋" w:cs="仿宋"/>
        </w:rPr>
        <w:t>②</w:t>
      </w:r>
      <w:r>
        <w:rPr>
          <w:rFonts w:hint="eastAsia"/>
        </w:rPr>
        <w:t>继续完善重大法治成果展示区，重新设计改造陈列馆的门牌和部分展厅，以更好的传承中华优秀传统法治文化，践行文化自信，推动中华各民族的交流交往交融；</w:t>
      </w:r>
      <w:r>
        <w:rPr>
          <w:rFonts w:hint="eastAsia" w:ascii="仿宋" w:hAnsi="仿宋" w:eastAsia="仿宋" w:cs="仿宋"/>
        </w:rPr>
        <w:t>③</w:t>
      </w:r>
      <w:r>
        <w:rPr>
          <w:rFonts w:hint="eastAsia"/>
        </w:rPr>
        <w:t>要进一步购置图书，丰富展品，开放展览参观，扩大受众群和宣传范围，促进民族地区法治文化挖掘、研究、整理，不断提升影响力。</w:t>
      </w:r>
      <w:r>
        <w:rPr>
          <w:rFonts w:hint="eastAsia" w:ascii="仿宋" w:hAnsi="仿宋" w:eastAsia="仿宋" w:cs="仿宋"/>
        </w:rPr>
        <w:t>④</w:t>
      </w:r>
      <w:r>
        <w:rPr>
          <w:rFonts w:hint="eastAsia"/>
        </w:rPr>
        <w:t>打造高端学术交流合作平台，围绕铸牢中华民族共同体意识主题，持续办好专业委员会高端学术会，不定期召开有学者和司法实务界人士共同参与的专题研讨会，研讨交流铸牢中华民族共同体意识前言理论。</w:t>
      </w:r>
      <w:r>
        <w:rPr>
          <w:rFonts w:hint="eastAsia" w:ascii="仿宋" w:hAnsi="仿宋" w:eastAsia="仿宋" w:cs="仿宋"/>
        </w:rPr>
        <w:t>⑤</w:t>
      </w:r>
      <w:r>
        <w:rPr>
          <w:rFonts w:hint="eastAsia"/>
        </w:rPr>
        <w:t>围绕司法实践热点难点问题，强化理论成果和实践经验转化应用，出版有关中华民族共同体法治文化研究相关书籍。</w:t>
      </w:r>
      <w:r>
        <w:rPr>
          <w:rFonts w:hint="eastAsia" w:ascii="仿宋" w:hAnsi="仿宋" w:eastAsia="仿宋" w:cs="仿宋"/>
        </w:rPr>
        <w:t>⑥</w:t>
      </w:r>
      <w:r>
        <w:rPr>
          <w:rFonts w:hint="eastAsia"/>
        </w:rPr>
        <w:t>积极发布、组织开展、参与有关中华民族共同体法治文化研究的相关课题，为科学立法、严格执法、公正司法、全民守法贡献智慧力量和高质量参考建议，为铸牢中华民族共同体意识提供坚实的法治保障。</w:t>
      </w:r>
    </w:p>
    <w:bookmarkEnd w:id="143"/>
    <w:p>
      <w:pPr>
        <w:ind w:firstLine="640"/>
      </w:pPr>
      <w:r>
        <w:rPr>
          <w:rFonts w:hint="eastAsia"/>
        </w:rPr>
        <w:t>年度目标完成情况：充分发挥中华司法研究会中华民族共同体法治文化研究专业委员会和中国法院中华民族共同体法治文化陈列馆法治文化传承、研究和宣传阵地作用，出版《中华民族共同体法治文化与司法实践研究》《丝绸之路出土法治文献研究》（卷五）等书籍。承办“中华司法研究会中华民族共同体法治文化研究专业委员会主任（扩大）会暨专家咨询会”。认真筹备第四届中华民族共同体法治文化与司法实践研讨会。</w:t>
      </w:r>
    </w:p>
    <w:p>
      <w:pPr>
        <w:pStyle w:val="5"/>
        <w:keepNext w:val="0"/>
        <w:keepLines w:val="0"/>
        <w:spacing w:line="560" w:lineRule="exact"/>
        <w:ind w:firstLine="643"/>
        <w:rPr>
          <w:rFonts w:ascii="仿宋_GB2312" w:eastAsia="仿宋_GB2312"/>
        </w:rPr>
      </w:pPr>
      <w:bookmarkStart w:id="144" w:name="_Toc30499"/>
      <w:bookmarkStart w:id="145" w:name="_Toc14103"/>
      <w:bookmarkStart w:id="146" w:name="_Toc17270"/>
      <w:bookmarkStart w:id="147" w:name="_Toc6273"/>
      <w:bookmarkStart w:id="148" w:name="_Toc18377"/>
      <w:r>
        <w:rPr>
          <w:rFonts w:hint="eastAsia" w:ascii="仿宋_GB2312" w:eastAsia="仿宋_GB2312"/>
        </w:rPr>
        <w:t>3.各项指标完成情况分析</w:t>
      </w:r>
      <w:bookmarkEnd w:id="144"/>
      <w:bookmarkEnd w:id="145"/>
      <w:bookmarkEnd w:id="146"/>
      <w:bookmarkEnd w:id="147"/>
      <w:bookmarkEnd w:id="148"/>
    </w:p>
    <w:p>
      <w:pPr>
        <w:ind w:firstLine="640"/>
      </w:pPr>
      <w:bookmarkStart w:id="149" w:name="_Toc23003"/>
      <w:bookmarkStart w:id="150" w:name="_Toc5521"/>
      <w:bookmarkStart w:id="151" w:name="_Toc19554"/>
      <w:r>
        <w:rPr>
          <w:rFonts w:hint="eastAsia"/>
        </w:rPr>
        <w:t>（1）项目成本指标完成情况分析</w:t>
      </w:r>
    </w:p>
    <w:p>
      <w:pPr>
        <w:ind w:firstLine="640"/>
      </w:pPr>
      <w:r>
        <w:rPr>
          <w:rFonts w:hint="eastAsia"/>
        </w:rPr>
        <w:t>项目成本指标包括经济一个二级指标，下设1个三级指标。指标分值20分，自评得分15.84分，得分率79.20%。</w:t>
      </w:r>
    </w:p>
    <w:p>
      <w:pPr>
        <w:pStyle w:val="27"/>
        <w:numPr>
          <w:ilvl w:val="0"/>
          <w:numId w:val="0"/>
        </w:numPr>
        <w:ind w:left="1000" w:leftChars="0" w:hanging="360" w:firstLineChars="0"/>
      </w:pPr>
      <w:r>
        <w:rPr>
          <w:rFonts w:hint="default" w:ascii="Times New Roman" w:hAnsi="Times New Roman" w:eastAsia="仿宋_GB2312" w:cs="Times New Roman"/>
          <w:kern w:val="2"/>
          <w:sz w:val="32"/>
          <w:szCs w:val="24"/>
          <w:lang w:val="en-US" w:eastAsia="zh-CN" w:bidi="ar-SA"/>
        </w:rPr>
        <w:t>①</w:t>
      </w:r>
      <w:r>
        <w:rPr>
          <w:rFonts w:hint="eastAsia"/>
        </w:rPr>
        <w:t>经济指标分析：</w:t>
      </w:r>
    </w:p>
    <w:p>
      <w:pPr>
        <w:ind w:firstLine="640"/>
        <w:rPr>
          <w:rFonts w:hint="eastAsia"/>
        </w:rPr>
      </w:pPr>
      <w:r>
        <w:rPr>
          <w:rFonts w:hint="eastAsia"/>
        </w:rPr>
        <w:t>成本控制情况：年度指标值预算范围内，实际成本未超预算。指标分值20分，自评得分15.84分。</w:t>
      </w:r>
    </w:p>
    <w:p>
      <w:pPr>
        <w:ind w:firstLine="640"/>
      </w:pPr>
      <w:r>
        <w:rPr>
          <w:rFonts w:hint="eastAsia"/>
        </w:rPr>
        <w:t>（2）项目产出指标完成情况分析</w:t>
      </w:r>
      <w:bookmarkEnd w:id="149"/>
      <w:bookmarkEnd w:id="150"/>
      <w:bookmarkEnd w:id="151"/>
    </w:p>
    <w:p>
      <w:pPr>
        <w:ind w:firstLine="640"/>
      </w:pPr>
      <w:bookmarkStart w:id="152" w:name="_Toc13583"/>
      <w:bookmarkStart w:id="153" w:name="_Toc5747"/>
      <w:bookmarkStart w:id="154" w:name="_Toc31353"/>
      <w:r>
        <w:rPr>
          <w:rFonts w:hint="eastAsia"/>
        </w:rPr>
        <w:t>项目</w:t>
      </w:r>
      <w:r>
        <w:t>产出</w:t>
      </w:r>
      <w:r>
        <w:rPr>
          <w:rFonts w:hint="eastAsia"/>
        </w:rPr>
        <w:t>指标包括数量、质量、时效三个二级指标，下设11个三级指标。指标分值40分，自评得分39.23分，得分率98.08%。</w:t>
      </w:r>
      <w:bookmarkEnd w:id="152"/>
      <w:bookmarkEnd w:id="153"/>
    </w:p>
    <w:p>
      <w:pPr>
        <w:pStyle w:val="27"/>
        <w:numPr>
          <w:ilvl w:val="0"/>
          <w:numId w:val="0"/>
        </w:numPr>
        <w:ind w:left="1000" w:leftChars="0" w:hanging="360" w:firstLineChars="0"/>
      </w:pPr>
      <w:r>
        <w:rPr>
          <w:rFonts w:hint="default" w:ascii="Times New Roman" w:hAnsi="Times New Roman" w:eastAsia="仿宋_GB2312" w:cs="Times New Roman"/>
          <w:kern w:val="2"/>
          <w:sz w:val="32"/>
          <w:szCs w:val="24"/>
          <w:lang w:val="en-US" w:eastAsia="zh-CN" w:bidi="ar-SA"/>
        </w:rPr>
        <w:t>①</w:t>
      </w:r>
      <w:r>
        <w:rPr>
          <w:rFonts w:hint="eastAsia"/>
        </w:rPr>
        <w:t>数量指标分析：</w:t>
      </w:r>
    </w:p>
    <w:p>
      <w:pPr>
        <w:ind w:firstLine="640"/>
      </w:pPr>
      <w:r>
        <w:rPr>
          <w:rFonts w:hint="eastAsia"/>
        </w:rPr>
        <w:t>陈列馆维修维护工作完成率：年度指标值</w:t>
      </w:r>
      <w:r>
        <w:t>=100%</w:t>
      </w:r>
      <w:r>
        <w:rPr>
          <w:rFonts w:hint="eastAsia"/>
        </w:rPr>
        <w:t>，定期维修维护相关软、硬件设施，突发故障不定期及时维修，实际陈列馆维修维护工作完成率</w:t>
      </w:r>
      <w:r>
        <w:rPr>
          <w:rFonts w:hint="eastAsia"/>
          <w:lang w:val="en-US" w:eastAsia="zh-CN"/>
        </w:rPr>
        <w:t>100</w:t>
      </w:r>
      <w:r>
        <w:rPr>
          <w:rFonts w:hint="eastAsia"/>
        </w:rPr>
        <w:t>%，指标分值3.63分，自评得分3.63分。</w:t>
      </w:r>
    </w:p>
    <w:p>
      <w:pPr>
        <w:ind w:firstLine="640"/>
      </w:pPr>
      <w:r>
        <w:rPr>
          <w:rFonts w:hint="eastAsia"/>
        </w:rPr>
        <w:t>陈列馆宣传天数：年度指标值&gt;=180天，实际宣传190天，指标分值3.63分，自评得分3.63分。</w:t>
      </w:r>
    </w:p>
    <w:p>
      <w:pPr>
        <w:ind w:firstLine="640"/>
      </w:pPr>
      <w:r>
        <w:rPr>
          <w:rFonts w:hint="eastAsia"/>
        </w:rPr>
        <w:t>图书购置工作完成率：年度指标值=100%，实际图书购置工作完成率100%，指标分值3.7分，自评得分3.7分。</w:t>
      </w:r>
    </w:p>
    <w:p>
      <w:pPr>
        <w:ind w:firstLine="640"/>
      </w:pPr>
      <w:r>
        <w:rPr>
          <w:rFonts w:hint="eastAsia"/>
        </w:rPr>
        <w:t>展览宣传次数：年度指标值=12次，实际宣传25次，指标分值3.63分，自评得分2.86分。</w:t>
      </w:r>
    </w:p>
    <w:bookmarkEnd w:id="154"/>
    <w:p>
      <w:pPr>
        <w:pStyle w:val="27"/>
        <w:numPr>
          <w:ilvl w:val="0"/>
          <w:numId w:val="0"/>
        </w:numPr>
        <w:ind w:left="1000" w:leftChars="0" w:hanging="360" w:firstLineChars="0"/>
      </w:pPr>
      <w:bookmarkStart w:id="155" w:name="_Toc30394"/>
      <w:bookmarkStart w:id="156" w:name="_Toc20327"/>
      <w:bookmarkStart w:id="157" w:name="_Toc14235"/>
      <w:r>
        <w:rPr>
          <w:rFonts w:hint="default" w:ascii="Times New Roman" w:hAnsi="Times New Roman" w:eastAsia="仿宋_GB2312" w:cs="Times New Roman"/>
          <w:kern w:val="2"/>
          <w:sz w:val="32"/>
          <w:szCs w:val="24"/>
          <w:lang w:val="en-US" w:eastAsia="zh-CN" w:bidi="ar-SA"/>
        </w:rPr>
        <w:t>②</w:t>
      </w:r>
      <w:r>
        <w:rPr>
          <w:rFonts w:hint="eastAsia"/>
        </w:rPr>
        <w:t>质量指标分析：</w:t>
      </w:r>
    </w:p>
    <w:p>
      <w:pPr>
        <w:ind w:firstLine="640"/>
      </w:pPr>
      <w:r>
        <w:rPr>
          <w:rFonts w:hint="eastAsia"/>
        </w:rPr>
        <w:t>采购图书质量验收合格率：年度指标值=100%，实际验收合格率100%，指标分值3.63分，自评得分3.63分。</w:t>
      </w:r>
    </w:p>
    <w:p>
      <w:pPr>
        <w:pStyle w:val="2"/>
        <w:ind w:left="0" w:leftChars="0" w:firstLine="640"/>
      </w:pPr>
      <w:r>
        <w:t>陈列馆维修维护验收合格率</w:t>
      </w:r>
      <w:r>
        <w:rPr>
          <w:rFonts w:hint="eastAsia"/>
        </w:rPr>
        <w:t>：年度指标值=100%，实际验收合格率100%，指标分值3.63分，自评得分3.63分。</w:t>
      </w:r>
    </w:p>
    <w:p>
      <w:pPr>
        <w:pStyle w:val="2"/>
        <w:ind w:left="0" w:leftChars="0" w:firstLine="640"/>
      </w:pPr>
      <w:r>
        <w:t>文物物品完好率</w:t>
      </w:r>
      <w:r>
        <w:rPr>
          <w:rFonts w:hint="eastAsia"/>
        </w:rPr>
        <w:t>：年度指标值=100%，实际完好率100%，指标分值3.63分，自评得分3.63分。</w:t>
      </w:r>
    </w:p>
    <w:p>
      <w:pPr>
        <w:pStyle w:val="27"/>
        <w:numPr>
          <w:ilvl w:val="0"/>
          <w:numId w:val="0"/>
        </w:numPr>
        <w:ind w:left="1000" w:leftChars="0" w:hanging="360" w:firstLineChars="0"/>
      </w:pPr>
      <w:r>
        <w:rPr>
          <w:rFonts w:hint="default" w:ascii="Times New Roman" w:hAnsi="Times New Roman" w:eastAsia="仿宋_GB2312" w:cs="Times New Roman"/>
          <w:kern w:val="2"/>
          <w:sz w:val="32"/>
          <w:szCs w:val="24"/>
          <w:lang w:val="en-US" w:eastAsia="zh-CN" w:bidi="ar-SA"/>
        </w:rPr>
        <w:t>③</w:t>
      </w:r>
      <w:r>
        <w:rPr>
          <w:rFonts w:hint="eastAsia"/>
        </w:rPr>
        <w:t>时效指标分析：</w:t>
      </w:r>
    </w:p>
    <w:p>
      <w:pPr>
        <w:pStyle w:val="2"/>
        <w:ind w:left="0" w:leftChars="0" w:firstLine="640"/>
      </w:pPr>
      <w:r>
        <w:rPr>
          <w:rFonts w:hint="eastAsia"/>
        </w:rPr>
        <w:t>陈列馆开放工作完成及时性：我单位2023年及时开放陈列馆，达到年度目标，指标分值3.63分，自评得分3.63分。</w:t>
      </w:r>
    </w:p>
    <w:p>
      <w:pPr>
        <w:pStyle w:val="2"/>
        <w:ind w:left="0" w:leftChars="0" w:firstLine="640"/>
      </w:pPr>
      <w:r>
        <w:rPr>
          <w:rFonts w:hint="eastAsia"/>
        </w:rPr>
        <w:t>陈列馆运行维护工作完成及时性：我单位</w:t>
      </w:r>
      <w:r>
        <w:rPr>
          <w:rFonts w:hint="eastAsia" w:ascii="仿宋_GB2312" w:hAnsi="仿宋_GB2312" w:eastAsia="仿宋_GB2312" w:cs="仿宋_GB2312"/>
          <w:sz w:val="32"/>
          <w:szCs w:val="32"/>
        </w:rPr>
        <w:t>软、硬件设施定期维护，不定期维修，所有维修维护通过验收</w:t>
      </w:r>
      <w:r>
        <w:rPr>
          <w:rFonts w:hint="eastAsia"/>
        </w:rPr>
        <w:t>，指标分值3.63分，自评得分3.63分。</w:t>
      </w:r>
    </w:p>
    <w:p>
      <w:pPr>
        <w:pStyle w:val="2"/>
        <w:ind w:left="0" w:leftChars="0" w:firstLine="640"/>
      </w:pPr>
      <w:r>
        <w:rPr>
          <w:rFonts w:hint="eastAsia"/>
        </w:rPr>
        <w:t>图书采购工作完成及时性：我单位在采购计划下发之后就及时进行采购工作，达到年度目标，指标分值3.63分，自评得分3.63分。</w:t>
      </w:r>
    </w:p>
    <w:p>
      <w:pPr>
        <w:pStyle w:val="2"/>
        <w:ind w:left="0" w:leftChars="0" w:firstLine="640"/>
      </w:pPr>
      <w:r>
        <w:rPr>
          <w:rFonts w:hint="eastAsia"/>
        </w:rPr>
        <w:t>宣传工作完成及时性：我单位2023年加强媒体宣传阵地建设，拍摄创作宣传片和微视频各1部，在甘肃法院党建网刊登信息简报8篇，微信公众号、门户网站全年累计发布信息725篇，阅览量达到25000次，中华民族共同体法治文化宣传平台效用大力彰显，指标分值3.63分，自评得分3.63分。</w:t>
      </w:r>
    </w:p>
    <w:p>
      <w:pPr>
        <w:ind w:firstLine="640"/>
      </w:pPr>
      <w:r>
        <w:rPr>
          <w:rFonts w:hint="eastAsia"/>
        </w:rPr>
        <w:t>（3）项目效益指标完成情况分析</w:t>
      </w:r>
      <w:bookmarkEnd w:id="155"/>
      <w:bookmarkEnd w:id="156"/>
      <w:bookmarkEnd w:id="157"/>
    </w:p>
    <w:p>
      <w:pPr>
        <w:ind w:firstLine="640"/>
      </w:pPr>
      <w:bookmarkStart w:id="158" w:name="_Toc469"/>
      <w:bookmarkStart w:id="159" w:name="_Toc9742"/>
      <w:bookmarkStart w:id="160" w:name="_Toc28391"/>
      <w:r>
        <w:rPr>
          <w:rFonts w:hint="eastAsia"/>
        </w:rPr>
        <w:t>项目效益指标包括社会效益1个二级指标，下设1个三级指标。指标分值20分，自评得分20分，得分率100%。</w:t>
      </w:r>
      <w:bookmarkEnd w:id="158"/>
      <w:bookmarkEnd w:id="159"/>
    </w:p>
    <w:bookmarkEnd w:id="160"/>
    <w:p>
      <w:pPr>
        <w:ind w:firstLine="640"/>
      </w:pPr>
      <w:r>
        <w:rPr>
          <w:rFonts w:hint="eastAsia"/>
        </w:rPr>
        <w:t>社会效益指标分析：</w:t>
      </w:r>
    </w:p>
    <w:p>
      <w:pPr>
        <w:ind w:firstLine="640"/>
      </w:pPr>
      <w:r>
        <w:rPr>
          <w:rFonts w:hint="eastAsia"/>
        </w:rPr>
        <w:t>促进民族地区法治文化宣传：改进陈列馆宣传短片《铸境 明法》</w:t>
      </w:r>
      <w:r>
        <w:rPr>
          <w:rFonts w:hint="eastAsia"/>
          <w:lang w:val="en-US" w:eastAsia="zh-CN"/>
        </w:rPr>
        <w:t>,</w:t>
      </w:r>
      <w:r>
        <w:rPr>
          <w:rFonts w:hint="eastAsia"/>
        </w:rPr>
        <w:t>丰富陈列馆公众开放日宣传活动，保障参观活动50次，指标分值20分，自评得分20分。</w:t>
      </w:r>
    </w:p>
    <w:p>
      <w:pPr>
        <w:ind w:firstLine="640"/>
      </w:pPr>
      <w:bookmarkStart w:id="161" w:name="_Toc26341"/>
      <w:bookmarkStart w:id="162" w:name="_Toc23153"/>
      <w:bookmarkStart w:id="163" w:name="_Toc11848"/>
      <w:r>
        <w:rPr>
          <w:rFonts w:hint="eastAsia"/>
        </w:rPr>
        <w:t>（4）项目满意度指标完成情况分析</w:t>
      </w:r>
      <w:bookmarkEnd w:id="161"/>
      <w:bookmarkEnd w:id="162"/>
      <w:bookmarkEnd w:id="163"/>
    </w:p>
    <w:p>
      <w:pPr>
        <w:ind w:firstLine="640"/>
      </w:pPr>
      <w:bookmarkStart w:id="164" w:name="_Toc12446"/>
      <w:bookmarkStart w:id="165" w:name="_Toc22707"/>
      <w:bookmarkStart w:id="166" w:name="_Toc79"/>
      <w:r>
        <w:rPr>
          <w:rFonts w:hint="eastAsia"/>
        </w:rPr>
        <w:t>项目服务对象满意度指标主要为参观群众满意度，指标分值10分，自评得分10分，得分率100%。</w:t>
      </w:r>
      <w:bookmarkEnd w:id="164"/>
      <w:bookmarkEnd w:id="165"/>
    </w:p>
    <w:p>
      <w:pPr>
        <w:pStyle w:val="2"/>
        <w:ind w:left="0" w:leftChars="0" w:firstLine="640"/>
      </w:pPr>
      <w:r>
        <w:rPr>
          <w:rFonts w:hint="eastAsia"/>
        </w:rPr>
        <w:t>陈列馆参观人员满意度：陈列馆开馆的同时，我单位建立了必要的工作反馈机制，对于陈列馆开馆工作及宣传工作和参观人员进行了有效地沟通，未收到任何投诉，参观人员对我单位陈列馆总体满意，参观人员满意度为98%，指标分值10分，自评得分10分。</w:t>
      </w:r>
    </w:p>
    <w:bookmarkEnd w:id="166"/>
    <w:p>
      <w:pPr>
        <w:pStyle w:val="5"/>
        <w:keepNext w:val="0"/>
        <w:keepLines w:val="0"/>
        <w:spacing w:line="560" w:lineRule="exact"/>
        <w:ind w:firstLine="643"/>
        <w:rPr>
          <w:rFonts w:ascii="仿宋_GB2312" w:eastAsia="仿宋_GB2312"/>
        </w:rPr>
      </w:pPr>
      <w:bookmarkStart w:id="167" w:name="_Toc17216"/>
      <w:bookmarkStart w:id="168" w:name="_Toc3945"/>
      <w:bookmarkStart w:id="169" w:name="_Toc10740"/>
      <w:bookmarkStart w:id="170" w:name="_Toc26419"/>
      <w:bookmarkStart w:id="171" w:name="_Toc19974"/>
      <w:r>
        <w:rPr>
          <w:rFonts w:hint="eastAsia" w:ascii="仿宋_GB2312" w:eastAsia="仿宋_GB2312"/>
        </w:rPr>
        <w:t>4.偏离绩效目标的原因及下一步改进措施</w:t>
      </w:r>
      <w:bookmarkEnd w:id="167"/>
      <w:bookmarkEnd w:id="168"/>
      <w:bookmarkEnd w:id="169"/>
      <w:bookmarkEnd w:id="170"/>
      <w:bookmarkEnd w:id="171"/>
    </w:p>
    <w:p>
      <w:pPr>
        <w:ind w:firstLine="640"/>
      </w:pPr>
      <w:bookmarkStart w:id="172" w:name="_Toc20695"/>
      <w:bookmarkStart w:id="173" w:name="_Toc17918"/>
      <w:r>
        <w:rPr>
          <w:rFonts w:hint="eastAsia"/>
        </w:rPr>
        <w:t>项目</w:t>
      </w:r>
      <w:r>
        <w:rPr>
          <w:rFonts w:hint="eastAsia"/>
          <w:lang w:val="en-US" w:eastAsia="zh-CN"/>
        </w:rPr>
        <w:t>支出</w:t>
      </w:r>
      <w:r>
        <w:rPr>
          <w:rFonts w:hint="eastAsia"/>
        </w:rPr>
        <w:t>预算执行率较低。下一年度我所将加强预算执行事前规划，提高用款计划编报的准确性，根据项目实施进度及时拨付尾款，保障各项工作的顺利开展。</w:t>
      </w:r>
    </w:p>
    <w:p>
      <w:pPr>
        <w:ind w:firstLine="640"/>
      </w:pPr>
      <w:r>
        <w:rPr>
          <w:rFonts w:hint="eastAsia"/>
        </w:rPr>
        <w:t>展览宣传次数年度目标值设置偏低。下年度我单位将加强预算绩效管理，提高绩效目标编制的准确性。</w:t>
      </w:r>
    </w:p>
    <w:p>
      <w:pPr>
        <w:pStyle w:val="4"/>
        <w:keepNext w:val="0"/>
        <w:keepLines w:val="0"/>
        <w:spacing w:line="560" w:lineRule="exact"/>
        <w:ind w:firstLine="643"/>
      </w:pPr>
      <w:bookmarkStart w:id="174" w:name="_Toc9907"/>
      <w:bookmarkStart w:id="175" w:name="_Toc20645"/>
      <w:bookmarkStart w:id="176" w:name="_Toc15327"/>
      <w:bookmarkStart w:id="177" w:name="_Toc3406"/>
      <w:r>
        <w:rPr>
          <w:rFonts w:hint="eastAsia"/>
        </w:rPr>
        <w:t>（二）</w:t>
      </w:r>
      <w:bookmarkEnd w:id="172"/>
      <w:bookmarkEnd w:id="173"/>
      <w:bookmarkEnd w:id="174"/>
      <w:bookmarkEnd w:id="175"/>
      <w:bookmarkEnd w:id="176"/>
      <w:r>
        <w:rPr>
          <w:rFonts w:hint="eastAsia"/>
        </w:rPr>
        <w:t>全省法院业务费</w:t>
      </w:r>
      <w:bookmarkEnd w:id="177"/>
      <w:r>
        <w:rPr>
          <w:rFonts w:hint="eastAsia"/>
        </w:rPr>
        <w:t xml:space="preserve"> </w:t>
      </w:r>
    </w:p>
    <w:p>
      <w:pPr>
        <w:ind w:firstLine="640"/>
      </w:pPr>
      <w:r>
        <w:rPr>
          <w:rFonts w:hint="eastAsia"/>
        </w:rPr>
        <w:t>本次绩效自评综合评定全省法院业务费项目支出绩效得分为99.67分，绩效等级为“优秀”。项目支出绩效评价包括项目资金预算执行率、成本、产出、效益、满意度五个一级指标，下设6个二级指标和15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一级指标</w:t>
            </w:r>
          </w:p>
        </w:tc>
        <w:tc>
          <w:tcPr>
            <w:tcW w:w="1678"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分值</w:t>
            </w:r>
          </w:p>
        </w:tc>
        <w:tc>
          <w:tcPr>
            <w:tcW w:w="1560"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自评得分</w:t>
            </w:r>
          </w:p>
        </w:tc>
        <w:tc>
          <w:tcPr>
            <w:tcW w:w="2268"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67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9.67</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96.70%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成本指标</w:t>
            </w:r>
          </w:p>
        </w:tc>
        <w:tc>
          <w:tcPr>
            <w:tcW w:w="167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26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产出指标</w:t>
            </w:r>
          </w:p>
        </w:tc>
        <w:tc>
          <w:tcPr>
            <w:tcW w:w="167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效益指标</w:t>
            </w:r>
          </w:p>
        </w:tc>
        <w:tc>
          <w:tcPr>
            <w:tcW w:w="1678" w:type="dxa"/>
            <w:vAlign w:val="center"/>
          </w:tcPr>
          <w:p>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满意度指标</w:t>
            </w:r>
          </w:p>
        </w:tc>
        <w:tc>
          <w:tcPr>
            <w:tcW w:w="167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pPr>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pPr>
              <w:widowControl/>
              <w:spacing w:line="240" w:lineRule="auto"/>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spacing w:line="240" w:lineRule="auto"/>
              <w:ind w:firstLine="0" w:firstLineChars="0"/>
              <w:jc w:val="center"/>
              <w:rPr>
                <w:rFonts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合计</w:t>
            </w:r>
          </w:p>
        </w:tc>
        <w:tc>
          <w:tcPr>
            <w:tcW w:w="1678"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c>
          <w:tcPr>
            <w:tcW w:w="1560" w:type="dxa"/>
            <w:shd w:val="clear" w:color="auto" w:fill="BDD6EE"/>
            <w:vAlign w:val="center"/>
          </w:tcPr>
          <w:p>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99.67</w:t>
            </w:r>
          </w:p>
        </w:tc>
        <w:tc>
          <w:tcPr>
            <w:tcW w:w="2268" w:type="dxa"/>
            <w:shd w:val="clear" w:color="auto" w:fill="BDD6EE"/>
            <w:vAlign w:val="center"/>
          </w:tcPr>
          <w:p>
            <w:pPr>
              <w:widowControl/>
              <w:spacing w:line="240" w:lineRule="auto"/>
              <w:ind w:firstLine="0" w:firstLineChars="0"/>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99.67%</w:t>
            </w:r>
          </w:p>
        </w:tc>
      </w:tr>
    </w:tbl>
    <w:p>
      <w:pPr>
        <w:pStyle w:val="5"/>
        <w:keepNext w:val="0"/>
        <w:keepLines w:val="0"/>
        <w:spacing w:line="560" w:lineRule="exact"/>
        <w:ind w:firstLine="643"/>
        <w:rPr>
          <w:rFonts w:ascii="仿宋_GB2312" w:hAnsi="仿宋" w:eastAsia="仿宋_GB2312" w:cs="仿宋"/>
          <w:szCs w:val="30"/>
        </w:rPr>
      </w:pPr>
      <w:bookmarkStart w:id="178" w:name="_Toc5692"/>
      <w:bookmarkStart w:id="179" w:name="_Toc3213"/>
      <w:r>
        <w:rPr>
          <w:rFonts w:hint="eastAsia" w:ascii="仿宋_GB2312" w:hAnsi="仿宋" w:eastAsia="仿宋_GB2312" w:cs="仿宋"/>
          <w:szCs w:val="30"/>
        </w:rPr>
        <w:t>1.项目支出预算执行情况</w:t>
      </w:r>
      <w:bookmarkEnd w:id="178"/>
      <w:bookmarkEnd w:id="179"/>
    </w:p>
    <w:p>
      <w:pPr>
        <w:ind w:firstLine="640"/>
      </w:pPr>
      <w:r>
        <w:rPr>
          <w:rFonts w:hint="eastAsia"/>
        </w:rPr>
        <w:t>全省法院业务费项目当年财政拨款110.00万元，上年结转结余资金60.58万元，全年实际支出数</w:t>
      </w:r>
      <w:r>
        <w:t>165.01</w:t>
      </w:r>
      <w:r>
        <w:rPr>
          <w:rFonts w:hint="eastAsia"/>
        </w:rPr>
        <w:t>万元，预算执行率</w:t>
      </w:r>
      <w:r>
        <w:t>96.73</w:t>
      </w:r>
      <w:r>
        <w:rPr>
          <w:rFonts w:hint="eastAsia"/>
        </w:rPr>
        <w:t>%，指标得分9.67分。</w:t>
      </w:r>
    </w:p>
    <w:p>
      <w:pPr>
        <w:pStyle w:val="5"/>
        <w:keepNext w:val="0"/>
        <w:keepLines w:val="0"/>
        <w:spacing w:line="560" w:lineRule="exact"/>
        <w:ind w:firstLine="643"/>
        <w:rPr>
          <w:rFonts w:ascii="仿宋_GB2312" w:eastAsia="仿宋_GB2312"/>
        </w:rPr>
      </w:pPr>
      <w:bookmarkStart w:id="180" w:name="_Toc30187"/>
      <w:bookmarkStart w:id="181" w:name="_Toc13227"/>
      <w:r>
        <w:rPr>
          <w:rFonts w:hint="eastAsia" w:ascii="仿宋_GB2312" w:eastAsia="仿宋_GB2312"/>
        </w:rPr>
        <w:t>2.总体绩效目标完成情况分析</w:t>
      </w:r>
      <w:bookmarkEnd w:id="180"/>
      <w:bookmarkEnd w:id="181"/>
    </w:p>
    <w:p>
      <w:pPr>
        <w:ind w:firstLine="640"/>
      </w:pPr>
      <w:r>
        <w:rPr>
          <w:rFonts w:hint="eastAsia"/>
        </w:rPr>
        <w:t>项目总体绩效目标为：</w:t>
      </w:r>
      <w:r>
        <w:rPr>
          <w:rFonts w:hint="eastAsia" w:ascii="仿宋" w:hAnsi="仿宋" w:eastAsia="仿宋" w:cs="仿宋"/>
        </w:rPr>
        <w:t>①</w:t>
      </w:r>
      <w:r>
        <w:rPr>
          <w:rFonts w:hint="eastAsia"/>
        </w:rPr>
        <w:t>通过2023年度业务费的投入，保障单位正常工作顺利开展，提高工作效率。</w:t>
      </w:r>
      <w:r>
        <w:rPr>
          <w:rFonts w:hint="eastAsia" w:ascii="仿宋" w:hAnsi="仿宋" w:eastAsia="仿宋" w:cs="仿宋"/>
        </w:rPr>
        <w:t>②</w:t>
      </w:r>
      <w:r>
        <w:rPr>
          <w:rFonts w:hint="eastAsia"/>
        </w:rPr>
        <w:t>给工作人员提供安全、良好的司法工作环境，满足本院各项工作有效运行。</w:t>
      </w:r>
    </w:p>
    <w:p>
      <w:pPr>
        <w:ind w:firstLine="640"/>
      </w:pPr>
      <w:r>
        <w:rPr>
          <w:rFonts w:hint="eastAsia"/>
        </w:rPr>
        <w:t>年度目标完成情况：完成国家民委、国家法官学院暨省法院课题4项，其中省法院课题被评为良好等次；成功申请立项省社科联、省民委等课题4项；完成有价值调研报告4篇；在相关期刊发表文章7篇；2名同志投稿论文在学术研讨会上获奖，并受邀参加相关学术会议做交流发言，结项2022年法研所所立课题21项；发布立项2023年度法研所课题24项。</w:t>
      </w:r>
    </w:p>
    <w:p>
      <w:pPr>
        <w:ind w:firstLine="643"/>
        <w:outlineLvl w:val="2"/>
        <w:rPr>
          <w:rStyle w:val="26"/>
          <w:rFonts w:ascii="仿宋_GB2312" w:eastAsia="仿宋_GB2312"/>
        </w:rPr>
      </w:pPr>
      <w:bookmarkStart w:id="182" w:name="_Toc6201"/>
      <w:bookmarkStart w:id="183" w:name="_Toc11644"/>
      <w:r>
        <w:rPr>
          <w:rStyle w:val="26"/>
          <w:rFonts w:hint="eastAsia" w:ascii="仿宋_GB2312" w:eastAsia="仿宋_GB2312"/>
        </w:rPr>
        <w:t>3.各项指标完成情况分析</w:t>
      </w:r>
      <w:bookmarkEnd w:id="182"/>
      <w:bookmarkEnd w:id="183"/>
    </w:p>
    <w:p>
      <w:pPr>
        <w:ind w:firstLine="640"/>
      </w:pPr>
      <w:r>
        <w:rPr>
          <w:rFonts w:hint="eastAsia"/>
        </w:rPr>
        <w:t>（1）项目成本指标完成情况分析</w:t>
      </w:r>
    </w:p>
    <w:p>
      <w:pPr>
        <w:ind w:firstLine="640"/>
      </w:pPr>
      <w:r>
        <w:rPr>
          <w:rFonts w:hint="eastAsia"/>
        </w:rPr>
        <w:t>项目成本指标包括经济一个二级指标，下设1个三级指标。指标分值20分，自评得分20分，得分率100%。</w:t>
      </w:r>
    </w:p>
    <w:p>
      <w:pPr>
        <w:pStyle w:val="27"/>
        <w:numPr>
          <w:ilvl w:val="0"/>
          <w:numId w:val="3"/>
        </w:numPr>
        <w:ind w:firstLineChars="0"/>
      </w:pPr>
      <w:r>
        <w:rPr>
          <w:rFonts w:hint="eastAsia"/>
        </w:rPr>
        <w:t>经济指标分析：</w:t>
      </w:r>
    </w:p>
    <w:p>
      <w:pPr>
        <w:ind w:firstLine="640"/>
      </w:pPr>
      <w:r>
        <w:rPr>
          <w:rFonts w:hint="eastAsia"/>
        </w:rPr>
        <w:t>成本控制情况：年度指标值定额标准内，实际成本未超预算，指标分值20分，自评得分20分。</w:t>
      </w:r>
    </w:p>
    <w:p>
      <w:pPr>
        <w:ind w:firstLine="640"/>
      </w:pPr>
      <w:r>
        <w:rPr>
          <w:rFonts w:hint="eastAsia"/>
        </w:rPr>
        <w:t>（2）项目产出指标完成情况分析</w:t>
      </w:r>
    </w:p>
    <w:p>
      <w:pPr>
        <w:ind w:firstLine="640"/>
      </w:pPr>
      <w:r>
        <w:rPr>
          <w:rFonts w:hint="eastAsia"/>
        </w:rPr>
        <w:t>项目产出指标包括数量、质量、时效三个二级指标，下设11个三级指标。指标分值40分，自评得分40分，得分率100%。</w:t>
      </w:r>
    </w:p>
    <w:p>
      <w:pPr>
        <w:pStyle w:val="27"/>
        <w:numPr>
          <w:ilvl w:val="0"/>
          <w:numId w:val="4"/>
        </w:numPr>
        <w:ind w:firstLineChars="0"/>
      </w:pPr>
      <w:r>
        <w:rPr>
          <w:rFonts w:hint="eastAsia"/>
        </w:rPr>
        <w:t>数量指标分析：</w:t>
      </w:r>
    </w:p>
    <w:p>
      <w:pPr>
        <w:pStyle w:val="2"/>
        <w:ind w:left="0" w:leftChars="0" w:firstLine="640"/>
        <w:rPr>
          <w:rFonts w:hAnsi="仿宋_GB2312" w:cs="仿宋_GB2312"/>
          <w:szCs w:val="40"/>
        </w:rPr>
      </w:pPr>
      <w:r>
        <w:rPr>
          <w:rFonts w:hint="eastAsia"/>
        </w:rPr>
        <w:t>完成专项委托课题研究数量：年度目标值=10个，</w:t>
      </w:r>
      <w:r>
        <w:rPr>
          <w:rFonts w:hint="eastAsia" w:hAnsi="仿宋_GB2312" w:cs="仿宋_GB2312"/>
          <w:szCs w:val="40"/>
        </w:rPr>
        <w:t>实际完成</w:t>
      </w:r>
      <w:r>
        <w:rPr>
          <w:rFonts w:hint="eastAsia"/>
        </w:rPr>
        <w:t>专项委托课题研究数量10个</w:t>
      </w:r>
      <w:r>
        <w:rPr>
          <w:rFonts w:hint="eastAsia" w:hAnsi="仿宋_GB2312" w:cs="仿宋_GB2312"/>
          <w:szCs w:val="40"/>
        </w:rPr>
        <w:t>，</w:t>
      </w:r>
      <w:r>
        <w:rPr>
          <w:rFonts w:hint="eastAsia"/>
        </w:rPr>
        <w:t>指标分值3.63分，自评得分3.63分</w:t>
      </w:r>
      <w:r>
        <w:rPr>
          <w:rFonts w:hint="eastAsia" w:hAnsi="仿宋_GB2312" w:cs="仿宋_GB2312"/>
          <w:szCs w:val="40"/>
        </w:rPr>
        <w:t>。</w:t>
      </w:r>
    </w:p>
    <w:p>
      <w:pPr>
        <w:pStyle w:val="2"/>
        <w:ind w:left="0" w:leftChars="0" w:firstLine="640"/>
        <w:rPr>
          <w:rFonts w:hAnsi="仿宋_GB2312" w:cs="仿宋_GB2312"/>
          <w:szCs w:val="40"/>
        </w:rPr>
      </w:pPr>
      <w:r>
        <w:rPr>
          <w:rFonts w:hint="eastAsia"/>
        </w:rPr>
        <w:t>维修维护改造完成率：年度目标值</w:t>
      </w:r>
      <w:r>
        <w:t>=100%</w:t>
      </w:r>
      <w:r>
        <w:rPr>
          <w:rFonts w:hint="eastAsia"/>
        </w:rPr>
        <w:t>，</w:t>
      </w:r>
      <w:r>
        <w:rPr>
          <w:rFonts w:hint="eastAsia" w:hAnsi="仿宋_GB2312" w:cs="仿宋_GB2312"/>
          <w:szCs w:val="40"/>
        </w:rPr>
        <w:t>实际完成</w:t>
      </w:r>
      <w:r>
        <w:rPr>
          <w:rFonts w:hint="eastAsia"/>
        </w:rPr>
        <w:t>维修维护改造完成率100%</w:t>
      </w:r>
      <w:r>
        <w:rPr>
          <w:rFonts w:hint="eastAsia" w:hAnsi="仿宋_GB2312" w:cs="仿宋_GB2312"/>
          <w:szCs w:val="40"/>
        </w:rPr>
        <w:t>，</w:t>
      </w:r>
      <w:r>
        <w:rPr>
          <w:rFonts w:hint="eastAsia"/>
        </w:rPr>
        <w:t>指标分值3.63分，自评得分3.63分</w:t>
      </w:r>
      <w:r>
        <w:rPr>
          <w:rFonts w:hint="eastAsia" w:hAnsi="仿宋_GB2312" w:cs="仿宋_GB2312"/>
          <w:szCs w:val="40"/>
        </w:rPr>
        <w:t>。</w:t>
      </w:r>
    </w:p>
    <w:p>
      <w:pPr>
        <w:pStyle w:val="2"/>
        <w:ind w:left="0" w:leftChars="0" w:firstLine="640"/>
      </w:pPr>
      <w:r>
        <w:rPr>
          <w:rFonts w:hint="eastAsia"/>
        </w:rPr>
        <w:t>物业管理面积：年度目标值=2056</w:t>
      </w:r>
      <w:r>
        <w:rPr>
          <w:rFonts w:hint="eastAsia" w:ascii="Segoe UI Symbol" w:hAnsi="Segoe UI Symbol" w:eastAsia="Segoe UI Symbol" w:cs="Segoe UI Symbol"/>
        </w:rPr>
        <w:t>㎡</w:t>
      </w:r>
      <w:r>
        <w:rPr>
          <w:rFonts w:hint="eastAsia"/>
        </w:rPr>
        <w:t>，</w:t>
      </w:r>
      <w:r>
        <w:rPr>
          <w:rFonts w:hint="eastAsia" w:hAnsi="仿宋_GB2312" w:cs="仿宋_GB2312"/>
          <w:szCs w:val="40"/>
        </w:rPr>
        <w:t>实际物业管理面积2056</w:t>
      </w:r>
      <w:r>
        <w:rPr>
          <w:rFonts w:hint="eastAsia" w:ascii="Segoe UI Symbol" w:hAnsi="Segoe UI Symbol" w:eastAsia="Segoe UI Symbol" w:cs="Segoe UI Symbol"/>
          <w:szCs w:val="40"/>
        </w:rPr>
        <w:t>㎡</w:t>
      </w:r>
      <w:r>
        <w:rPr>
          <w:rFonts w:hint="eastAsia" w:hAnsi="仿宋_GB2312" w:cs="仿宋_GB2312"/>
          <w:szCs w:val="40"/>
        </w:rPr>
        <w:t>，</w:t>
      </w:r>
      <w:r>
        <w:rPr>
          <w:rFonts w:hint="eastAsia"/>
        </w:rPr>
        <w:t>指标分值3.63分，自评得分3.63分</w:t>
      </w:r>
      <w:r>
        <w:rPr>
          <w:rFonts w:hint="eastAsia" w:hAnsi="仿宋_GB2312" w:cs="仿宋_GB2312"/>
          <w:szCs w:val="40"/>
        </w:rPr>
        <w:t>。</w:t>
      </w:r>
    </w:p>
    <w:p>
      <w:pPr>
        <w:pStyle w:val="2"/>
        <w:ind w:left="0" w:leftChars="0" w:firstLine="640"/>
        <w:rPr>
          <w:rFonts w:hint="eastAsia"/>
        </w:rPr>
      </w:pPr>
      <w:r>
        <w:rPr>
          <w:rFonts w:hint="eastAsia"/>
        </w:rPr>
        <w:t>印刷书数量：年度目标值&gt;=500本，</w:t>
      </w:r>
      <w:r>
        <w:rPr>
          <w:rFonts w:hint="eastAsia" w:hAnsi="仿宋_GB2312" w:cs="仿宋_GB2312"/>
          <w:szCs w:val="40"/>
        </w:rPr>
        <w:t>实际</w:t>
      </w:r>
      <w:r>
        <w:rPr>
          <w:rFonts w:hint="eastAsia"/>
        </w:rPr>
        <w:t>印刷书500本</w:t>
      </w:r>
      <w:r>
        <w:rPr>
          <w:rFonts w:hint="eastAsia" w:hAnsi="仿宋_GB2312" w:cs="仿宋_GB2312"/>
          <w:szCs w:val="40"/>
        </w:rPr>
        <w:t>，</w:t>
      </w:r>
      <w:r>
        <w:rPr>
          <w:rFonts w:hint="eastAsia"/>
        </w:rPr>
        <w:t>指标分值3.7分，自评得分3.7分</w:t>
      </w:r>
      <w:r>
        <w:rPr>
          <w:rFonts w:hint="eastAsia" w:hAnsi="仿宋_GB2312" w:cs="仿宋_GB2312"/>
          <w:szCs w:val="40"/>
        </w:rPr>
        <w:t>。</w:t>
      </w:r>
    </w:p>
    <w:p>
      <w:pPr>
        <w:pStyle w:val="27"/>
        <w:numPr>
          <w:ilvl w:val="0"/>
          <w:numId w:val="4"/>
        </w:numPr>
        <w:ind w:firstLineChars="0"/>
      </w:pPr>
      <w:r>
        <w:rPr>
          <w:rFonts w:hint="eastAsia"/>
        </w:rPr>
        <w:t>质量指标分析：</w:t>
      </w:r>
    </w:p>
    <w:p>
      <w:pPr>
        <w:ind w:firstLine="640"/>
      </w:pPr>
      <w:r>
        <w:rPr>
          <w:rFonts w:hint="eastAsia"/>
        </w:rPr>
        <w:t>维修维护项目验收合格率：年度目标值</w:t>
      </w:r>
      <w:r>
        <w:t>=100%</w:t>
      </w:r>
      <w:r>
        <w:rPr>
          <w:rFonts w:hint="eastAsia"/>
        </w:rPr>
        <w:t>，</w:t>
      </w:r>
      <w:r>
        <w:rPr>
          <w:rFonts w:hint="eastAsia" w:hAnsi="仿宋_GB2312" w:cs="仿宋_GB2312"/>
          <w:szCs w:val="40"/>
        </w:rPr>
        <w:t>实际</w:t>
      </w:r>
      <w:r>
        <w:rPr>
          <w:rFonts w:hint="eastAsia"/>
        </w:rPr>
        <w:t>维修维护改造合格率100%</w:t>
      </w:r>
      <w:r>
        <w:rPr>
          <w:rFonts w:hint="eastAsia" w:hAnsi="仿宋_GB2312" w:cs="仿宋_GB2312"/>
          <w:szCs w:val="40"/>
        </w:rPr>
        <w:t>，</w:t>
      </w:r>
      <w:r>
        <w:rPr>
          <w:rFonts w:hint="eastAsia"/>
        </w:rPr>
        <w:t>指标分值3.63分，自评得分3.63分</w:t>
      </w:r>
      <w:r>
        <w:rPr>
          <w:rFonts w:hint="eastAsia" w:hAnsi="仿宋_GB2312" w:cs="仿宋_GB2312"/>
          <w:szCs w:val="40"/>
        </w:rPr>
        <w:t>。</w:t>
      </w:r>
    </w:p>
    <w:p>
      <w:pPr>
        <w:pStyle w:val="2"/>
        <w:ind w:left="0" w:leftChars="0" w:firstLine="640"/>
        <w:rPr>
          <w:rFonts w:hAnsi="仿宋_GB2312" w:cs="仿宋_GB2312"/>
          <w:szCs w:val="40"/>
        </w:rPr>
      </w:pPr>
      <w:r>
        <w:rPr>
          <w:rFonts w:hint="eastAsia"/>
        </w:rPr>
        <w:t>物业管理合格率：年度目标值</w:t>
      </w:r>
      <w:r>
        <w:t>=100%</w:t>
      </w:r>
      <w:r>
        <w:rPr>
          <w:rFonts w:hint="eastAsia"/>
        </w:rPr>
        <w:t>，</w:t>
      </w:r>
      <w:r>
        <w:rPr>
          <w:rFonts w:hint="eastAsia" w:hAnsi="仿宋_GB2312" w:cs="仿宋_GB2312"/>
          <w:szCs w:val="40"/>
        </w:rPr>
        <w:t>实际</w:t>
      </w:r>
      <w:r>
        <w:rPr>
          <w:rFonts w:hint="eastAsia"/>
        </w:rPr>
        <w:t>物业管理合格率100%</w:t>
      </w:r>
      <w:r>
        <w:rPr>
          <w:rFonts w:hint="eastAsia" w:hAnsi="仿宋_GB2312" w:cs="仿宋_GB2312"/>
          <w:szCs w:val="40"/>
        </w:rPr>
        <w:t>，</w:t>
      </w:r>
      <w:r>
        <w:rPr>
          <w:rFonts w:hint="eastAsia"/>
        </w:rPr>
        <w:t>指标分值3.63分，自评得分3.63分</w:t>
      </w:r>
      <w:r>
        <w:rPr>
          <w:rFonts w:hint="eastAsia" w:hAnsi="仿宋_GB2312" w:cs="仿宋_GB2312"/>
          <w:szCs w:val="40"/>
        </w:rPr>
        <w:t>。</w:t>
      </w:r>
    </w:p>
    <w:p>
      <w:pPr>
        <w:pStyle w:val="2"/>
        <w:ind w:left="0" w:leftChars="0" w:firstLine="640"/>
        <w:rPr>
          <w:highlight w:val="yellow"/>
        </w:rPr>
      </w:pPr>
      <w:r>
        <w:rPr>
          <w:rFonts w:hint="eastAsia"/>
        </w:rPr>
        <w:t>研究课题验收通过率：年度目标值</w:t>
      </w:r>
      <w:r>
        <w:t>=100%</w:t>
      </w:r>
      <w:r>
        <w:rPr>
          <w:rFonts w:hint="eastAsia"/>
        </w:rPr>
        <w:t>，</w:t>
      </w:r>
      <w:r>
        <w:rPr>
          <w:rFonts w:hint="eastAsia"/>
          <w:lang w:val="en-US" w:eastAsia="zh-CN"/>
        </w:rPr>
        <w:t>我单位</w:t>
      </w:r>
      <w:r>
        <w:rPr>
          <w:rFonts w:hint="eastAsia" w:ascii="Times New Roman" w:hAnsi="仿宋_GB2312" w:eastAsia="仿宋_GB2312" w:cs="仿宋_GB2312"/>
          <w:sz w:val="32"/>
          <w:szCs w:val="40"/>
          <w:highlight w:val="none"/>
        </w:rPr>
        <w:t>对开展课题评审，课题顺利结项</w:t>
      </w:r>
      <w:r>
        <w:rPr>
          <w:rFonts w:hint="eastAsia" w:ascii="Times New Roman" w:hAnsi="仿宋_GB2312" w:cs="仿宋_GB2312"/>
          <w:sz w:val="32"/>
          <w:szCs w:val="40"/>
          <w:highlight w:val="none"/>
          <w:lang w:eastAsia="zh-CN"/>
        </w:rPr>
        <w:t>，</w:t>
      </w:r>
      <w:r>
        <w:rPr>
          <w:rFonts w:hint="eastAsia" w:hAnsi="仿宋_GB2312" w:cs="仿宋_GB2312"/>
          <w:szCs w:val="40"/>
        </w:rPr>
        <w:t>实际</w:t>
      </w:r>
      <w:r>
        <w:rPr>
          <w:rFonts w:hint="eastAsia"/>
        </w:rPr>
        <w:t>研究课题验收通过率100%</w:t>
      </w:r>
      <w:r>
        <w:rPr>
          <w:rFonts w:hint="eastAsia" w:hAnsi="仿宋_GB2312" w:cs="仿宋_GB2312"/>
          <w:szCs w:val="40"/>
        </w:rPr>
        <w:t>，</w:t>
      </w:r>
      <w:r>
        <w:rPr>
          <w:rFonts w:hint="eastAsia"/>
        </w:rPr>
        <w:t>指标分值3.63分，自评得分3.63分</w:t>
      </w:r>
      <w:r>
        <w:rPr>
          <w:rFonts w:hint="eastAsia" w:hAnsi="仿宋_GB2312" w:cs="仿宋_GB2312"/>
          <w:szCs w:val="40"/>
        </w:rPr>
        <w:t>。</w:t>
      </w:r>
    </w:p>
    <w:p>
      <w:pPr>
        <w:pStyle w:val="2"/>
        <w:ind w:left="0" w:leftChars="0" w:firstLine="640"/>
        <w:rPr>
          <w:highlight w:val="yellow"/>
        </w:rPr>
      </w:pPr>
      <w:r>
        <w:rPr>
          <w:rFonts w:hint="eastAsia"/>
        </w:rPr>
        <w:t>印刷书合格率：年度目标值</w:t>
      </w:r>
      <w:r>
        <w:t>=100%</w:t>
      </w:r>
      <w:r>
        <w:rPr>
          <w:rFonts w:hint="eastAsia"/>
        </w:rPr>
        <w:t>，</w:t>
      </w:r>
      <w:r>
        <w:rPr>
          <w:rFonts w:hint="eastAsia" w:ascii="Times New Roman" w:eastAsia="仿宋_GB2312"/>
          <w:sz w:val="32"/>
          <w:highlight w:val="none"/>
          <w:lang w:val="en-US" w:eastAsia="zh-CN"/>
        </w:rPr>
        <w:t>本年我单位宣传资料印刷合格率为100%，相关宣传资料切实发挥了法治文化传承、研究和宣传的作用，</w:t>
      </w:r>
      <w:r>
        <w:rPr>
          <w:rFonts w:hint="eastAsia"/>
        </w:rPr>
        <w:t>指标分值3.63分，自评得分3.63分</w:t>
      </w:r>
      <w:r>
        <w:rPr>
          <w:rFonts w:hint="eastAsia" w:hAnsi="仿宋_GB2312" w:cs="仿宋_GB2312"/>
          <w:szCs w:val="40"/>
        </w:rPr>
        <w:t>。</w:t>
      </w:r>
    </w:p>
    <w:p>
      <w:pPr>
        <w:pStyle w:val="27"/>
        <w:numPr>
          <w:ilvl w:val="0"/>
          <w:numId w:val="4"/>
        </w:numPr>
        <w:ind w:firstLineChars="0"/>
      </w:pPr>
      <w:r>
        <w:rPr>
          <w:rFonts w:hint="eastAsia"/>
        </w:rPr>
        <w:t>时效指标分析：</w:t>
      </w:r>
    </w:p>
    <w:p>
      <w:pPr>
        <w:pStyle w:val="2"/>
        <w:ind w:left="0" w:leftChars="0" w:firstLine="640"/>
      </w:pPr>
      <w:r>
        <w:rPr>
          <w:rFonts w:hint="eastAsia"/>
        </w:rPr>
        <w:t>课题研究完成及时性：本年我单位立项课题研究完成及时，并高质量完成相关课题，指标分值3.63分，自评得分3.63分。</w:t>
      </w:r>
    </w:p>
    <w:p>
      <w:pPr>
        <w:pStyle w:val="2"/>
        <w:ind w:left="0" w:leftChars="0" w:firstLine="640"/>
      </w:pPr>
      <w:r>
        <w:rPr>
          <w:rFonts w:hint="eastAsia"/>
        </w:rPr>
        <w:t>维修修护及时性：本年我单位维修维护工作及时有效，指标分值3.63分，自评得分3.63分。</w:t>
      </w:r>
    </w:p>
    <w:p>
      <w:pPr>
        <w:pStyle w:val="2"/>
        <w:ind w:left="0" w:leftChars="0" w:firstLine="640"/>
        <w:rPr>
          <w:rFonts w:hint="eastAsia"/>
        </w:rPr>
      </w:pPr>
      <w:r>
        <w:rPr>
          <w:rFonts w:hint="eastAsia"/>
        </w:rPr>
        <w:t>印刷书及时性：本年我单位印刷书及时，指标分值3.63分，自评得分3.63分。</w:t>
      </w:r>
    </w:p>
    <w:p>
      <w:pPr>
        <w:ind w:firstLine="640"/>
      </w:pPr>
      <w:r>
        <w:rPr>
          <w:rFonts w:hint="eastAsia"/>
        </w:rPr>
        <w:t>（2）项目效益指标完成情况分析</w:t>
      </w:r>
    </w:p>
    <w:p>
      <w:pPr>
        <w:ind w:firstLine="640"/>
      </w:pPr>
      <w:r>
        <w:rPr>
          <w:rFonts w:hint="eastAsia"/>
        </w:rPr>
        <w:t>项目效益指标主要考察社会效益指标，指标分值20分，自评得分20分，得分率100%。</w:t>
      </w:r>
    </w:p>
    <w:p>
      <w:pPr>
        <w:ind w:firstLine="640"/>
      </w:pPr>
      <w:r>
        <w:rPr>
          <w:rFonts w:hint="eastAsia"/>
        </w:rPr>
        <w:t>社会效益指标分析：</w:t>
      </w:r>
      <w:r>
        <w:t xml:space="preserve"> </w:t>
      </w:r>
    </w:p>
    <w:p>
      <w:pPr>
        <w:pStyle w:val="2"/>
        <w:ind w:left="0" w:leftChars="0" w:firstLine="640"/>
      </w:pPr>
      <w:r>
        <w:rPr>
          <w:rFonts w:hint="eastAsia"/>
        </w:rPr>
        <w:t>加快科研成果转化：顺利结项2021年度国家法官学院研究课题2项和省法院司法研究课题1项。发布立项2023年度法研所课题24项，组织结项2022年度法研所所立课题21项，这些研究课题具有较强的前瞻性、理论性和实践性，对繁荣中华优秀传统法律文化研究，丰富新时代能动司法内涵，指导司法实践有很好推动作用，指标分值10分，自评得分10分。</w:t>
      </w:r>
    </w:p>
    <w:p>
      <w:pPr>
        <w:pStyle w:val="2"/>
        <w:ind w:left="0" w:leftChars="0" w:firstLine="640"/>
        <w:rPr>
          <w:rFonts w:hint="eastAsia" w:eastAsia="仿宋_GB2312"/>
          <w:lang w:val="en-US" w:eastAsia="zh-CN"/>
        </w:rPr>
      </w:pPr>
      <w:r>
        <w:rPr>
          <w:rFonts w:hint="eastAsia"/>
        </w:rPr>
        <w:t>维护社会稳定：</w:t>
      </w:r>
      <w:r>
        <w:rPr>
          <w:rFonts w:hint="eastAsia" w:ascii="仿宋_GB2312" w:hAnsi="仿宋_GB2312" w:cs="仿宋_GB2312"/>
          <w:szCs w:val="40"/>
          <w:highlight w:val="none"/>
        </w:rPr>
        <w:t>组织科研人员赴甘南州、临夏州、甘肃杰隆律师事务所开展实地调研，撰写相关调研报告4篇。就《甘肃省实施〈中华人民共和国民族区域自治法〉若干规定》《甘肃省清真食品管理条例》形成清理修改意见，向省民委上报反馈</w:t>
      </w:r>
      <w:r>
        <w:rPr>
          <w:rFonts w:hint="eastAsia" w:ascii="仿宋_GB2312" w:hAnsi="仿宋_GB2312" w:cs="仿宋_GB2312"/>
          <w:color w:val="000000"/>
          <w:szCs w:val="32"/>
          <w:highlight w:val="none"/>
        </w:rPr>
        <w:t>，</w:t>
      </w:r>
      <w:r>
        <w:rPr>
          <w:rFonts w:hint="eastAsia" w:ascii="仿宋_GB2312" w:hAnsi="仿宋_GB2312" w:cs="仿宋_GB2312"/>
          <w:color w:val="000000"/>
          <w:szCs w:val="32"/>
          <w:highlight w:val="none"/>
          <w:lang w:val="en-US" w:eastAsia="zh-CN"/>
        </w:rPr>
        <w:t>有</w:t>
      </w:r>
      <w:r>
        <w:rPr>
          <w:rFonts w:hint="eastAsia" w:ascii="仿宋_GB2312" w:hAnsi="仿宋_GB2312" w:cs="仿宋_GB2312"/>
          <w:color w:val="000000"/>
          <w:szCs w:val="32"/>
          <w:lang w:val="en-US" w:eastAsia="zh-CN"/>
        </w:rPr>
        <w:t>效维护了社会稳定。</w:t>
      </w:r>
      <w:r>
        <w:rPr>
          <w:rFonts w:hint="eastAsia"/>
        </w:rPr>
        <w:t>指标分值10分，自评得分10分</w:t>
      </w:r>
      <w:r>
        <w:rPr>
          <w:rFonts w:hint="eastAsia"/>
          <w:lang w:eastAsia="zh-CN"/>
        </w:rPr>
        <w:t>。</w:t>
      </w:r>
    </w:p>
    <w:p>
      <w:pPr>
        <w:ind w:firstLine="640"/>
      </w:pPr>
      <w:r>
        <w:rPr>
          <w:rFonts w:hint="eastAsia"/>
        </w:rPr>
        <w:t>（3）项目满意度指标完成情况分析</w:t>
      </w:r>
    </w:p>
    <w:p>
      <w:pPr>
        <w:ind w:firstLine="640"/>
      </w:pPr>
      <w:r>
        <w:rPr>
          <w:rFonts w:hint="eastAsia"/>
        </w:rPr>
        <w:t>项目服务对象满意度指标主要考察工作人员满意度，指标分值10分，自评得分10分，得分率100%。</w:t>
      </w:r>
    </w:p>
    <w:p>
      <w:pPr>
        <w:pStyle w:val="2"/>
        <w:ind w:left="0" w:leftChars="0" w:firstLine="640"/>
      </w:pPr>
      <w:r>
        <w:rPr>
          <w:rFonts w:hint="eastAsia"/>
        </w:rPr>
        <w:t>在我单位工作开展中，建立了必要的工作反馈机制，工作开展情况与各方进行有效地沟通，未收到任何投诉或举报，各方对我单位履职和工作开展情况总体满意，工作人员满意度达到98%。</w:t>
      </w:r>
    </w:p>
    <w:p>
      <w:pPr>
        <w:pStyle w:val="5"/>
        <w:keepNext w:val="0"/>
        <w:keepLines w:val="0"/>
        <w:spacing w:line="560" w:lineRule="exact"/>
        <w:ind w:firstLine="643"/>
        <w:rPr>
          <w:rFonts w:ascii="仿宋_GB2312" w:eastAsia="仿宋_GB2312"/>
        </w:rPr>
      </w:pPr>
      <w:bookmarkStart w:id="184" w:name="_Toc1075"/>
      <w:bookmarkStart w:id="185" w:name="_Toc18169"/>
      <w:r>
        <w:rPr>
          <w:rFonts w:hint="eastAsia" w:ascii="仿宋_GB2312" w:eastAsia="仿宋_GB2312"/>
        </w:rPr>
        <w:t>4.偏离绩效目标的原因及下一步改进措施</w:t>
      </w:r>
      <w:bookmarkEnd w:id="184"/>
      <w:bookmarkEnd w:id="185"/>
    </w:p>
    <w:p>
      <w:pPr>
        <w:ind w:firstLine="640"/>
      </w:pPr>
      <w:r>
        <w:rPr>
          <w:rFonts w:hint="eastAsia"/>
        </w:rPr>
        <w:t>项目</w:t>
      </w:r>
      <w:r>
        <w:rPr>
          <w:rFonts w:hint="eastAsia"/>
          <w:lang w:val="en-US" w:eastAsia="zh-CN"/>
        </w:rPr>
        <w:t>支出存在少量结余</w:t>
      </w:r>
      <w:r>
        <w:rPr>
          <w:rFonts w:hint="eastAsia"/>
        </w:rPr>
        <w:t>。下一年度我所将加强预算执行事前规划，提高用款计划编报的准确性，根据项目实施进度及时拨付尾款，保障各项工作的顺利开展。</w:t>
      </w:r>
    </w:p>
    <w:p>
      <w:pPr>
        <w:pStyle w:val="3"/>
        <w:keepNext w:val="0"/>
        <w:keepLines w:val="0"/>
        <w:spacing w:line="560" w:lineRule="exact"/>
        <w:ind w:firstLine="643"/>
      </w:pPr>
      <w:bookmarkStart w:id="186" w:name="_Toc3896"/>
      <w:bookmarkStart w:id="187" w:name="_Toc2096"/>
      <w:bookmarkStart w:id="188" w:name="_Toc7557"/>
      <w:bookmarkStart w:id="189" w:name="_Toc25155"/>
      <w:bookmarkStart w:id="190" w:name="_Toc20367"/>
      <w:bookmarkStart w:id="191" w:name="_Toc30207"/>
      <w:r>
        <w:rPr>
          <w:rFonts w:hint="eastAsia"/>
        </w:rPr>
        <w:t>五、绩效自评结果拟应用和公开情况</w:t>
      </w:r>
      <w:bookmarkEnd w:id="186"/>
      <w:bookmarkEnd w:id="187"/>
      <w:bookmarkEnd w:id="188"/>
      <w:bookmarkEnd w:id="189"/>
      <w:bookmarkEnd w:id="190"/>
      <w:bookmarkEnd w:id="191"/>
    </w:p>
    <w:p>
      <w:pPr>
        <w:ind w:firstLine="640"/>
      </w:pPr>
      <w:bookmarkStart w:id="192" w:name="_Toc6522"/>
      <w:bookmarkStart w:id="193" w:name="_Toc14906"/>
      <w:bookmarkStart w:id="194" w:name="_Toc17780"/>
      <w:r>
        <w:rPr>
          <w:rFonts w:hint="eastAsia"/>
        </w:rPr>
        <w:t>绩效自评结果的应用是部门完善政策和改进管理的重要依据，部门要加强评价结果的应用。根据政策文件规定，我单位绩效自评结果将编入2023年度决算中，随同2023年度部门决算同步公开。</w:t>
      </w:r>
    </w:p>
    <w:p>
      <w:pPr>
        <w:pStyle w:val="3"/>
        <w:keepNext w:val="0"/>
        <w:keepLines w:val="0"/>
        <w:spacing w:line="560" w:lineRule="exact"/>
        <w:ind w:firstLine="643"/>
      </w:pPr>
      <w:bookmarkStart w:id="195" w:name="_Toc24702"/>
      <w:bookmarkStart w:id="196" w:name="_Toc9968"/>
      <w:bookmarkStart w:id="197" w:name="_Toc4118"/>
      <w:bookmarkStart w:id="198" w:name="_Toc25893"/>
      <w:bookmarkStart w:id="199" w:name="_Toc26975"/>
      <w:bookmarkStart w:id="200" w:name="_Toc6006"/>
      <w:r>
        <w:rPr>
          <w:rFonts w:hint="eastAsia"/>
        </w:rPr>
        <w:t>六、其他需要说明的问题</w:t>
      </w:r>
      <w:bookmarkEnd w:id="195"/>
      <w:bookmarkEnd w:id="196"/>
    </w:p>
    <w:p>
      <w:pPr>
        <w:ind w:firstLine="640"/>
        <w:jc w:val="left"/>
        <w:rPr>
          <w:rFonts w:hAnsi="宋体"/>
          <w:szCs w:val="28"/>
        </w:rPr>
      </w:pPr>
      <w:r>
        <w:rPr>
          <w:rFonts w:hint="eastAsia" w:hAnsi="宋体"/>
          <w:szCs w:val="28"/>
        </w:rPr>
        <w:t>无。</w:t>
      </w:r>
    </w:p>
    <w:p>
      <w:pPr>
        <w:ind w:firstLine="640"/>
        <w:jc w:val="left"/>
        <w:outlineLvl w:val="0"/>
      </w:pPr>
      <w:bookmarkStart w:id="201" w:name="_Toc30344"/>
      <w:bookmarkStart w:id="202" w:name="_Toc27889"/>
      <w:bookmarkStart w:id="203" w:name="_Toc5078"/>
      <w:r>
        <w:rPr>
          <w:rFonts w:hint="eastAsia"/>
        </w:rPr>
        <w:t>附件：202</w:t>
      </w:r>
      <w:r>
        <w:rPr>
          <w:rFonts w:hint="eastAsia"/>
          <w:lang w:val="en-US" w:eastAsia="zh-CN"/>
        </w:rPr>
        <w:t>3</w:t>
      </w:r>
      <w:r>
        <w:rPr>
          <w:rFonts w:hint="eastAsia"/>
        </w:rPr>
        <w:t>年度省级预算执行情况绩效自评报表</w:t>
      </w:r>
      <w:bookmarkEnd w:id="197"/>
      <w:bookmarkEnd w:id="198"/>
      <w:bookmarkEnd w:id="199"/>
      <w:bookmarkEnd w:id="200"/>
      <w:bookmarkEnd w:id="201"/>
      <w:bookmarkEnd w:id="202"/>
      <w:bookmarkEnd w:id="203"/>
    </w:p>
    <w:bookmarkEnd w:id="192"/>
    <w:bookmarkEnd w:id="193"/>
    <w:bookmarkEnd w:id="194"/>
    <w:p>
      <w:pPr>
        <w:ind w:firstLine="0" w:firstLineChars="0"/>
        <w:jc w:val="right"/>
        <w:rPr>
          <w:rFonts w:hint="eastAsia"/>
        </w:rPr>
      </w:pPr>
    </w:p>
    <w:p>
      <w:pPr>
        <w:ind w:firstLine="0" w:firstLineChars="0"/>
        <w:jc w:val="right"/>
      </w:pPr>
      <w:r>
        <w:rPr>
          <w:rFonts w:hint="eastAsia"/>
        </w:rPr>
        <w:t>甘肃省民族法制文化</w:t>
      </w:r>
      <w:bookmarkStart w:id="207" w:name="_GoBack"/>
      <w:bookmarkEnd w:id="207"/>
      <w:r>
        <w:rPr>
          <w:rFonts w:hint="eastAsia"/>
        </w:rPr>
        <w:t>研究所</w:t>
      </w:r>
    </w:p>
    <w:p>
      <w:pPr>
        <w:ind w:firstLine="0" w:firstLineChars="0"/>
        <w:jc w:val="right"/>
      </w:pPr>
      <w:bookmarkStart w:id="204" w:name="_Toc16334"/>
      <w:bookmarkStart w:id="205" w:name="_Toc17325"/>
      <w:bookmarkStart w:id="206" w:name="_Toc7395"/>
    </w:p>
    <w:p>
      <w:pPr>
        <w:ind w:firstLine="640"/>
        <w:jc w:val="right"/>
      </w:pPr>
      <w:r>
        <w:rPr>
          <w:rFonts w:hint="eastAsia"/>
        </w:rPr>
        <w:t>202</w:t>
      </w:r>
      <w:r>
        <w:rPr>
          <w:rFonts w:hint="eastAsia"/>
          <w:lang w:val="en-US" w:eastAsia="zh-CN"/>
        </w:rPr>
        <w:t>4</w:t>
      </w:r>
      <w:r>
        <w:rPr>
          <w:rFonts w:hint="eastAsia"/>
        </w:rPr>
        <w:t>年</w:t>
      </w:r>
      <w:r>
        <w:rPr>
          <w:rFonts w:hint="eastAsia"/>
          <w:lang w:val="en-US" w:eastAsia="zh-CN"/>
        </w:rPr>
        <w:t>3</w:t>
      </w:r>
      <w:r>
        <w:rPr>
          <w:rFonts w:hint="eastAsia"/>
        </w:rPr>
        <w:t>月</w:t>
      </w:r>
      <w:r>
        <w:rPr>
          <w:rFonts w:hint="eastAsia"/>
          <w:lang w:val="en-US" w:eastAsia="zh-CN"/>
        </w:rPr>
        <w:t>13</w:t>
      </w:r>
      <w:r>
        <w:rPr>
          <w:rFonts w:hint="eastAsia"/>
        </w:rPr>
        <w:t>日</w:t>
      </w:r>
      <w:bookmarkEnd w:id="204"/>
      <w:bookmarkEnd w:id="205"/>
      <w:bookmarkEnd w:id="206"/>
    </w:p>
    <w:sectPr>
      <w:footerReference r:id="rId8" w:type="default"/>
      <w:pgSz w:w="11906" w:h="16838"/>
      <w:pgMar w:top="1928" w:right="1531" w:bottom="1701" w:left="1531" w:header="737"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rect>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3F007C8"/>
    <w:multiLevelType w:val="multilevel"/>
    <w:tmpl w:val="43F007C8"/>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43F30B1C"/>
    <w:multiLevelType w:val="singleLevel"/>
    <w:tmpl w:val="43F30B1C"/>
    <w:lvl w:ilvl="0" w:tentative="0">
      <w:start w:val="3"/>
      <w:numFmt w:val="decimal"/>
      <w:suff w:val="nothing"/>
      <w:lvlText w:val="（%1）"/>
      <w:lvlJc w:val="left"/>
    </w:lvl>
  </w:abstractNum>
  <w:abstractNum w:abstractNumId="3">
    <w:nsid w:val="484E2446"/>
    <w:multiLevelType w:val="multilevel"/>
    <w:tmpl w:val="484E244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mY1MTgwOGU5Yjc1ZjhiNGE5NWFhODQxN2YyNjIifQ=="/>
  </w:docVars>
  <w:rsids>
    <w:rsidRoot w:val="002D6201"/>
    <w:rsid w:val="00052C01"/>
    <w:rsid w:val="000C701D"/>
    <w:rsid w:val="00187D56"/>
    <w:rsid w:val="002C66A0"/>
    <w:rsid w:val="002D6201"/>
    <w:rsid w:val="005635D6"/>
    <w:rsid w:val="00624604"/>
    <w:rsid w:val="006279BC"/>
    <w:rsid w:val="006416BA"/>
    <w:rsid w:val="00680057"/>
    <w:rsid w:val="00867C74"/>
    <w:rsid w:val="008A1244"/>
    <w:rsid w:val="00A569F4"/>
    <w:rsid w:val="00B32EB4"/>
    <w:rsid w:val="00BA5BAE"/>
    <w:rsid w:val="00C3220A"/>
    <w:rsid w:val="00CF5C8B"/>
    <w:rsid w:val="00E97A12"/>
    <w:rsid w:val="03507079"/>
    <w:rsid w:val="180E40DC"/>
    <w:rsid w:val="28E842FC"/>
    <w:rsid w:val="29C02BE4"/>
    <w:rsid w:val="2D454A14"/>
    <w:rsid w:val="2D9B3877"/>
    <w:rsid w:val="2F2225A9"/>
    <w:rsid w:val="32F347CF"/>
    <w:rsid w:val="3660217B"/>
    <w:rsid w:val="3C877021"/>
    <w:rsid w:val="42BF3047"/>
    <w:rsid w:val="47714956"/>
    <w:rsid w:val="5B207E39"/>
    <w:rsid w:val="66207CC9"/>
    <w:rsid w:val="791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autoRedefine/>
    <w:qFormat/>
    <w:uiPriority w:val="0"/>
    <w:pPr>
      <w:keepNext/>
      <w:keepLines/>
      <w:spacing w:line="240" w:lineRule="auto"/>
      <w:outlineLvl w:val="0"/>
    </w:pPr>
    <w:rPr>
      <w:rFonts w:eastAsia="黑体"/>
      <w:b/>
      <w:kern w:val="44"/>
    </w:rPr>
  </w:style>
  <w:style w:type="paragraph" w:styleId="4">
    <w:name w:val="heading 2"/>
    <w:basedOn w:val="1"/>
    <w:next w:val="1"/>
    <w:link w:val="24"/>
    <w:autoRedefine/>
    <w:qFormat/>
    <w:uiPriority w:val="0"/>
    <w:pPr>
      <w:keepNext/>
      <w:keepLines/>
      <w:spacing w:line="240" w:lineRule="auto"/>
      <w:outlineLvl w:val="1"/>
    </w:pPr>
    <w:rPr>
      <w:rFonts w:ascii="Arial" w:hAnsi="Arial" w:eastAsia="楷体"/>
      <w:b/>
    </w:rPr>
  </w:style>
  <w:style w:type="paragraph" w:styleId="5">
    <w:name w:val="heading 3"/>
    <w:basedOn w:val="1"/>
    <w:next w:val="1"/>
    <w:link w:val="26"/>
    <w:autoRedefine/>
    <w:qFormat/>
    <w:uiPriority w:val="0"/>
    <w:pPr>
      <w:keepNext/>
      <w:keepLines/>
      <w:spacing w:line="240" w:lineRule="auto"/>
      <w:outlineLvl w:val="2"/>
    </w:pPr>
    <w:rPr>
      <w:rFonts w:eastAsia="仿宋"/>
      <w:b/>
    </w:rPr>
  </w:style>
  <w:style w:type="paragraph" w:styleId="6">
    <w:name w:val="heading 4"/>
    <w:basedOn w:val="1"/>
    <w:next w:val="1"/>
    <w:autoRedefine/>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_1eab25d6-70a1-4c7f-9ed4-b71eff72bd9d"/>
    <w:basedOn w:val="1"/>
    <w:autoRedefine/>
    <w:qFormat/>
    <w:uiPriority w:val="0"/>
    <w:pPr>
      <w:ind w:left="420" w:leftChars="200"/>
    </w:pPr>
  </w:style>
  <w:style w:type="paragraph" w:styleId="7">
    <w:name w:val="Normal Indent"/>
    <w:basedOn w:val="1"/>
    <w:autoRedefine/>
    <w:qFormat/>
    <w:uiPriority w:val="99"/>
  </w:style>
  <w:style w:type="paragraph" w:styleId="8">
    <w:name w:val="toc 3"/>
    <w:basedOn w:val="1"/>
    <w:next w:val="1"/>
    <w:autoRedefine/>
    <w:qFormat/>
    <w:uiPriority w:val="39"/>
    <w:pPr>
      <w:ind w:left="840" w:leftChars="400"/>
    </w:pPr>
  </w:style>
  <w:style w:type="paragraph" w:styleId="9">
    <w:name w:val="Body Text Indent 2"/>
    <w:basedOn w:val="1"/>
    <w:next w:val="10"/>
    <w:autoRedefine/>
    <w:qFormat/>
    <w:uiPriority w:val="0"/>
    <w:pPr>
      <w:spacing w:after="120" w:line="480" w:lineRule="auto"/>
      <w:ind w:left="420" w:leftChars="200"/>
    </w:p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autoRedefine/>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autoRedefine/>
    <w:qFormat/>
    <w:uiPriority w:val="0"/>
    <w:pPr>
      <w:spacing w:beforeAutospacing="1" w:afterAutospacing="1"/>
      <w:jc w:val="left"/>
    </w:pPr>
    <w:rPr>
      <w:kern w:val="0"/>
      <w:sz w:val="24"/>
    </w:rPr>
  </w:style>
  <w:style w:type="character" w:styleId="17">
    <w:name w:val="Hyperlink"/>
    <w:basedOn w:val="16"/>
    <w:autoRedefine/>
    <w:qFormat/>
    <w:uiPriority w:val="99"/>
    <w:rPr>
      <w:color w:val="0563C1"/>
      <w:u w:val="single"/>
    </w:rPr>
  </w:style>
  <w:style w:type="paragraph" w:customStyle="1" w:styleId="18">
    <w:name w:val="正文文本缩进 21"/>
    <w:basedOn w:val="1"/>
    <w:next w:val="10"/>
    <w:autoRedefine/>
    <w:qFormat/>
    <w:uiPriority w:val="0"/>
    <w:pPr>
      <w:spacing w:line="480" w:lineRule="auto"/>
      <w:ind w:left="420" w:leftChars="200"/>
    </w:pPr>
  </w:style>
  <w:style w:type="paragraph" w:customStyle="1" w:styleId="19">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0">
    <w:name w:val="样式  + 首行缩进:  2 字符"/>
    <w:basedOn w:val="1"/>
    <w:autoRedefine/>
    <w:qFormat/>
    <w:uiPriority w:val="0"/>
    <w:pPr>
      <w:adjustRightInd w:val="0"/>
      <w:snapToGrid w:val="0"/>
      <w:ind w:firstLine="480"/>
    </w:pPr>
    <w:rPr>
      <w:kern w:val="0"/>
      <w:sz w:val="24"/>
    </w:rPr>
  </w:style>
  <w:style w:type="paragraph" w:customStyle="1" w:styleId="21">
    <w:name w:val="WPSOffice手动目录 1"/>
    <w:autoRedefine/>
    <w:qFormat/>
    <w:uiPriority w:val="0"/>
    <w:rPr>
      <w:rFonts w:ascii="Calibri" w:hAnsi="Calibri" w:eastAsia="宋体" w:cs="黑体"/>
      <w:lang w:val="en-US" w:eastAsia="zh-CN" w:bidi="ar-SA"/>
    </w:rPr>
  </w:style>
  <w:style w:type="paragraph" w:customStyle="1" w:styleId="22">
    <w:name w:val="WPSOffice手动目录 2"/>
    <w:autoRedefine/>
    <w:qFormat/>
    <w:uiPriority w:val="0"/>
    <w:pPr>
      <w:ind w:left="200" w:leftChars="200"/>
    </w:pPr>
    <w:rPr>
      <w:rFonts w:ascii="Calibri" w:hAnsi="Calibri" w:eastAsia="宋体" w:cs="黑体"/>
      <w:lang w:val="en-US" w:eastAsia="zh-CN" w:bidi="ar-SA"/>
    </w:rPr>
  </w:style>
  <w:style w:type="paragraph" w:customStyle="1" w:styleId="23">
    <w:name w:val="WPSOffice手动目录 3"/>
    <w:autoRedefine/>
    <w:qFormat/>
    <w:uiPriority w:val="0"/>
    <w:pPr>
      <w:ind w:left="400" w:leftChars="400"/>
    </w:pPr>
    <w:rPr>
      <w:rFonts w:ascii="Calibri" w:hAnsi="Calibri" w:eastAsia="宋体" w:cs="黑体"/>
      <w:lang w:val="en-US" w:eastAsia="zh-CN" w:bidi="ar-SA"/>
    </w:rPr>
  </w:style>
  <w:style w:type="character" w:customStyle="1" w:styleId="24">
    <w:name w:val="标题 2 字符"/>
    <w:link w:val="4"/>
    <w:autoRedefine/>
    <w:qFormat/>
    <w:uiPriority w:val="0"/>
    <w:rPr>
      <w:rFonts w:ascii="Arial" w:hAnsi="Arial" w:eastAsia="楷体"/>
      <w:b/>
      <w:sz w:val="32"/>
    </w:rPr>
  </w:style>
  <w:style w:type="character" w:customStyle="1" w:styleId="25">
    <w:name w:val="标题 1 字符"/>
    <w:link w:val="3"/>
    <w:autoRedefine/>
    <w:qFormat/>
    <w:uiPriority w:val="0"/>
    <w:rPr>
      <w:rFonts w:eastAsia="黑体"/>
      <w:b/>
      <w:kern w:val="44"/>
      <w:sz w:val="32"/>
    </w:rPr>
  </w:style>
  <w:style w:type="character" w:customStyle="1" w:styleId="26">
    <w:name w:val="标题 3 字符"/>
    <w:link w:val="5"/>
    <w:autoRedefine/>
    <w:qFormat/>
    <w:uiPriority w:val="0"/>
    <w:rPr>
      <w:rFonts w:eastAsia="仿宋"/>
      <w:b/>
      <w:sz w:val="32"/>
    </w:rPr>
  </w:style>
  <w:style w:type="paragraph" w:styleId="27">
    <w:name w:val="List Paragraph"/>
    <w:basedOn w:val="1"/>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C7152-2A92-4703-9145-4181020E38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12558</Words>
  <Characters>2795</Characters>
  <Lines>23</Lines>
  <Paragraphs>30</Paragraphs>
  <TotalTime>2</TotalTime>
  <ScaleCrop>false</ScaleCrop>
  <LinksUpToDate>false</LinksUpToDate>
  <CharactersWithSpaces>15323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2024-03-13T09:04:00Z</dcterms:created>
  <dc:creator>Administrator</dc:creator>
  <cp:lastModifiedBy>燕子 13893107503</cp:lastModifiedBy>
  <cp:lastPrinted>2023-02-06T07:15:00Z</cp:lastPrinted>
  <dcterms:modified xsi:type="dcterms:W3CDTF">2024-04-28T01:45:05Z</dcterms:modified>
  <dc:title>甘肃省金昌生态环境监测中心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70AD1D3221514A908F87178B7795D2F3_13</vt:lpwstr>
  </property>
</Properties>
</file>