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779"/>
        <w:spacing w:before="118" w:line="188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碌曲县人民法院</w:t>
      </w:r>
    </w:p>
    <w:p>
      <w:pPr>
        <w:ind w:firstLine="1130"/>
        <w:spacing w:before="216" w:line="188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2020</w:t>
      </w:r>
      <w:r>
        <w:rPr>
          <w:rFonts w:ascii="SimHei" w:hAnsi="SimHei" w:eastAsia="SimHei" w:cs="SimHei"/>
          <w:sz w:val="40"/>
          <w:szCs w:val="40"/>
          <w:spacing w:val="-79"/>
        </w:rPr>
        <w:t> </w:t>
      </w:r>
      <w:r>
        <w:rPr>
          <w:rFonts w:ascii="SimHei" w:hAnsi="SimHei" w:eastAsia="SimHei" w:cs="SimHei"/>
          <w:sz w:val="40"/>
          <w:szCs w:val="40"/>
          <w:spacing w:val="-2"/>
        </w:rPr>
        <w:t>年部门预算执行情况自评报告</w:t>
      </w:r>
    </w:p>
    <w:p>
      <w:pPr>
        <w:spacing w:line="342" w:lineRule="auto"/>
        <w:rPr>
          <w:rFonts w:ascii="SimSun"/>
          <w:sz w:val="21"/>
        </w:rPr>
      </w:pPr>
      <w:r/>
    </w:p>
    <w:p>
      <w:pPr>
        <w:spacing w:line="343" w:lineRule="auto"/>
        <w:rPr>
          <w:rFonts w:ascii="SimSun"/>
          <w:sz w:val="21"/>
        </w:rPr>
      </w:pPr>
      <w:r/>
    </w:p>
    <w:p>
      <w:pPr>
        <w:ind w:firstLine="672"/>
        <w:spacing w:before="105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一、基本情况</w:t>
      </w:r>
    </w:p>
    <w:p>
      <w:pPr>
        <w:ind w:firstLine="723"/>
        <w:spacing w:before="303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(一)部门主要职能</w:t>
      </w:r>
    </w:p>
    <w:p>
      <w:pPr>
        <w:ind w:left="25" w:right="13" w:firstLine="640"/>
        <w:spacing w:before="328" w:line="28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碌曲县人民法院是国家审判机关，依法独立公正行使审</w:t>
      </w:r>
      <w:r>
        <w:rPr>
          <w:rFonts w:ascii="SimSun" w:hAnsi="SimSun" w:eastAsia="SimSun" w:cs="SimSun"/>
          <w:sz w:val="32"/>
          <w:szCs w:val="32"/>
          <w:spacing w:val="2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判权，对县人民代表大会及其常务委员会负责并报告工作，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11"/>
        </w:rPr>
        <w:t>接受县人民代表大会及其常务委员会的监督。其主要职责</w:t>
      </w:r>
      <w:r>
        <w:rPr>
          <w:rFonts w:ascii="SimSun" w:hAnsi="SimSun" w:eastAsia="SimSun" w:cs="SimSun"/>
          <w:sz w:val="32"/>
          <w:szCs w:val="32"/>
          <w:spacing w:val="19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是：</w:t>
      </w:r>
    </w:p>
    <w:p>
      <w:pPr>
        <w:ind w:left="47" w:right="14" w:firstLine="627"/>
        <w:spacing w:before="238" w:line="3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（1）</w:t>
      </w:r>
      <w:r>
        <w:rPr>
          <w:rFonts w:ascii="SimSun" w:hAnsi="SimSun" w:eastAsia="SimSun" w:cs="SimSun"/>
          <w:sz w:val="32"/>
          <w:szCs w:val="32"/>
          <w:spacing w:val="36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审判法律规定由基层人民法院管辖和上级人民法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4"/>
        </w:rPr>
        <w:t>院指定管辖的案件。</w:t>
      </w:r>
    </w:p>
    <w:p>
      <w:pPr>
        <w:ind w:left="47" w:right="14" w:firstLine="627"/>
        <w:spacing w:before="1" w:line="25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（2）</w:t>
      </w:r>
      <w:r>
        <w:rPr>
          <w:rFonts w:ascii="SimSun" w:hAnsi="SimSun" w:eastAsia="SimSun" w:cs="SimSun"/>
          <w:sz w:val="32"/>
          <w:szCs w:val="32"/>
          <w:spacing w:val="36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依法行使司法执行权，执行本院审理的和外地法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院委托执行的发生法律效力的法律文书。</w:t>
      </w:r>
    </w:p>
    <w:p>
      <w:pPr>
        <w:ind w:left="52" w:right="14" w:firstLine="622"/>
        <w:spacing w:before="240" w:line="25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（3）</w:t>
      </w:r>
      <w:r>
        <w:rPr>
          <w:rFonts w:ascii="SimSun" w:hAnsi="SimSun" w:eastAsia="SimSun" w:cs="SimSun"/>
          <w:sz w:val="32"/>
          <w:szCs w:val="32"/>
          <w:spacing w:val="36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负责审查和受理由基层人民法院管辖的各类案件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的立案及告诉、申诉案件，处理群众来信来访。</w:t>
      </w:r>
    </w:p>
    <w:p>
      <w:pPr>
        <w:ind w:left="30" w:right="59" w:firstLine="645"/>
        <w:spacing w:before="238" w:line="3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4"/>
        </w:rPr>
        <w:t>（4）</w:t>
      </w:r>
      <w:r>
        <w:rPr>
          <w:rFonts w:ascii="SimSun" w:hAnsi="SimSun" w:eastAsia="SimSun" w:cs="SimSun"/>
          <w:sz w:val="32"/>
          <w:szCs w:val="32"/>
          <w:spacing w:val="14"/>
        </w:rPr>
        <w:t> </w:t>
      </w:r>
      <w:r>
        <w:rPr>
          <w:rFonts w:ascii="SimSun" w:hAnsi="SimSun" w:eastAsia="SimSun" w:cs="SimSun"/>
          <w:sz w:val="32"/>
          <w:szCs w:val="32"/>
          <w:spacing w:val="-4"/>
        </w:rPr>
        <w:t>对本院法官和其他工作人员进行思想政治教育、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组织专业培训；</w:t>
      </w:r>
      <w:r>
        <w:rPr>
          <w:rFonts w:ascii="SimSun" w:hAnsi="SimSun" w:eastAsia="SimSun" w:cs="SimSun"/>
          <w:sz w:val="32"/>
          <w:szCs w:val="32"/>
          <w:spacing w:val="98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按照权限管理本院法官和其他工作人员。</w:t>
      </w:r>
    </w:p>
    <w:p>
      <w:pPr>
        <w:ind w:firstLine="675"/>
        <w:spacing w:before="3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5"/>
        </w:rPr>
        <w:t>（5）</w:t>
      </w:r>
      <w:r>
        <w:rPr>
          <w:rFonts w:ascii="SimSun" w:hAnsi="SimSun" w:eastAsia="SimSun" w:cs="SimSun"/>
          <w:sz w:val="32"/>
          <w:szCs w:val="32"/>
          <w:spacing w:val="-1"/>
        </w:rPr>
        <w:t> </w:t>
      </w:r>
      <w:r>
        <w:rPr>
          <w:rFonts w:ascii="SimSun" w:hAnsi="SimSun" w:eastAsia="SimSun" w:cs="SimSun"/>
          <w:sz w:val="32"/>
          <w:szCs w:val="32"/>
          <w:spacing w:val="-15"/>
        </w:rPr>
        <w:t>指导基层法庭工作。</w:t>
      </w:r>
    </w:p>
    <w:p>
      <w:pPr>
        <w:ind w:firstLine="675"/>
        <w:spacing w:before="210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</w:rPr>
        <w:t>（6）</w:t>
      </w:r>
      <w:r>
        <w:rPr>
          <w:rFonts w:ascii="SimSun" w:hAnsi="SimSun" w:eastAsia="SimSun" w:cs="SimSun"/>
          <w:sz w:val="32"/>
          <w:szCs w:val="32"/>
          <w:spacing w:val="14"/>
        </w:rPr>
        <w:t> </w:t>
      </w:r>
      <w:r>
        <w:rPr>
          <w:rFonts w:ascii="SimSun" w:hAnsi="SimSun" w:eastAsia="SimSun" w:cs="SimSun"/>
          <w:sz w:val="32"/>
          <w:szCs w:val="32"/>
          <w:spacing w:val="-13"/>
        </w:rPr>
        <w:t>负责本院的司法行政工作。</w:t>
      </w:r>
    </w:p>
    <w:p>
      <w:pPr>
        <w:ind w:firstLine="675"/>
        <w:spacing w:before="238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1"/>
        </w:rPr>
        <w:t>（7）</w:t>
      </w:r>
      <w:r>
        <w:rPr>
          <w:rFonts w:ascii="SimSun" w:hAnsi="SimSun" w:eastAsia="SimSun" w:cs="SimSun"/>
          <w:sz w:val="32"/>
          <w:szCs w:val="32"/>
          <w:spacing w:val="27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依法行使司法执行权和司法决定权。</w:t>
      </w:r>
    </w:p>
    <w:p>
      <w:pPr>
        <w:ind w:firstLine="675"/>
        <w:spacing w:before="241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2"/>
        </w:rPr>
        <w:t>（8）</w:t>
      </w:r>
      <w:r>
        <w:rPr>
          <w:rFonts w:ascii="SimSun" w:hAnsi="SimSun" w:eastAsia="SimSun" w:cs="SimSun"/>
          <w:sz w:val="32"/>
          <w:szCs w:val="32"/>
          <w:spacing w:val="10"/>
        </w:rPr>
        <w:t> </w:t>
      </w:r>
      <w:r>
        <w:rPr>
          <w:rFonts w:ascii="SimSun" w:hAnsi="SimSun" w:eastAsia="SimSun" w:cs="SimSun"/>
          <w:sz w:val="32"/>
          <w:szCs w:val="32"/>
          <w:spacing w:val="-12"/>
        </w:rPr>
        <w:t>负责人民法院司法警察工作。</w:t>
      </w:r>
    </w:p>
    <w:p>
      <w:pPr>
        <w:ind w:left="27" w:right="14" w:firstLine="647"/>
        <w:spacing w:before="238" w:line="32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（9）</w:t>
      </w:r>
      <w:r>
        <w:rPr>
          <w:rFonts w:ascii="SimSun" w:hAnsi="SimSun" w:eastAsia="SimSun" w:cs="SimSun"/>
          <w:sz w:val="32"/>
          <w:szCs w:val="32"/>
          <w:spacing w:val="1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在审判过工作中宣传法制，教育公民自觉遵守宪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法、法律和社会公德，积极参与社会治安综合治理工作。</w:t>
      </w:r>
    </w:p>
    <w:p>
      <w:pPr>
        <w:ind w:firstLine="675"/>
        <w:spacing w:before="3" w:line="20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（10）</w:t>
      </w:r>
      <w:r>
        <w:rPr>
          <w:rFonts w:ascii="SimSun" w:hAnsi="SimSun" w:eastAsia="SimSun" w:cs="SimSun"/>
          <w:sz w:val="32"/>
          <w:szCs w:val="32"/>
          <w:spacing w:val="29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负责全院财务、经费、物资装备的管理，做好本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47"/>
        <w:spacing w:before="183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院行政、后勤、信息化建设管理和服务工作。</w:t>
      </w:r>
    </w:p>
    <w:p>
      <w:pPr>
        <w:ind w:firstLine="675"/>
        <w:spacing w:before="216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（11）</w:t>
      </w:r>
      <w:r>
        <w:rPr>
          <w:rFonts w:ascii="SimSun" w:hAnsi="SimSun" w:eastAsia="SimSun" w:cs="SimSun"/>
          <w:sz w:val="32"/>
          <w:szCs w:val="32"/>
          <w:spacing w:val="17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承办其他应由本院负责和上级法院交办的工作。</w:t>
      </w:r>
    </w:p>
    <w:p>
      <w:pPr>
        <w:ind w:firstLine="675"/>
        <w:spacing w:before="303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0"/>
        </w:rPr>
        <w:t>（二）</w:t>
      </w:r>
      <w:r>
        <w:rPr>
          <w:rFonts w:ascii="SimSun" w:hAnsi="SimSun" w:eastAsia="SimSun" w:cs="SimSun"/>
          <w:sz w:val="32"/>
          <w:szCs w:val="32"/>
          <w:spacing w:val="29"/>
        </w:rPr>
        <w:t> </w:t>
      </w:r>
      <w:r>
        <w:rPr>
          <w:rFonts w:ascii="SimSun" w:hAnsi="SimSun" w:eastAsia="SimSun" w:cs="SimSun"/>
          <w:sz w:val="32"/>
          <w:szCs w:val="32"/>
          <w:spacing w:val="-30"/>
        </w:rPr>
        <w:t>内设机构</w:t>
      </w:r>
    </w:p>
    <w:p>
      <w:pPr>
        <w:ind w:left="26" w:right="113" w:firstLine="639"/>
        <w:spacing w:before="328" w:line="288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碌曲县人民法院设</w:t>
      </w:r>
      <w:r>
        <w:rPr>
          <w:rFonts w:ascii="SimSun" w:hAnsi="SimSun" w:eastAsia="SimSun" w:cs="SimSun"/>
          <w:sz w:val="32"/>
          <w:szCs w:val="32"/>
          <w:spacing w:val="-15"/>
        </w:rPr>
        <w:t> </w:t>
      </w:r>
      <w:r>
        <w:rPr>
          <w:rFonts w:ascii="SimSun" w:hAnsi="SimSun" w:eastAsia="SimSun" w:cs="SimSun"/>
          <w:sz w:val="32"/>
          <w:szCs w:val="32"/>
          <w:spacing w:val="2"/>
        </w:rPr>
        <w:t>12</w:t>
      </w:r>
      <w:r>
        <w:rPr>
          <w:rFonts w:ascii="SimSun" w:hAnsi="SimSun" w:eastAsia="SimSun" w:cs="SimSun"/>
          <w:sz w:val="32"/>
          <w:szCs w:val="32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spacing w:val="2"/>
        </w:rPr>
        <w:t>个内设机构，均为科级建制，具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体包括：</w:t>
      </w:r>
      <w:r>
        <w:rPr>
          <w:rFonts w:ascii="SimSun" w:hAnsi="SimSun" w:eastAsia="SimSun" w:cs="SimSun"/>
          <w:sz w:val="32"/>
          <w:szCs w:val="32"/>
          <w:spacing w:val="97"/>
        </w:rPr>
        <w:t> </w:t>
      </w:r>
      <w:r>
        <w:rPr>
          <w:rFonts w:ascii="SimSun" w:hAnsi="SimSun" w:eastAsia="SimSun" w:cs="SimSun"/>
          <w:sz w:val="32"/>
          <w:szCs w:val="32"/>
          <w:spacing w:val="-11"/>
        </w:rPr>
        <w:t>办公室、政工科、立案庭、民事审判第一庭、民事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审判第二庭、行政审判庭、刑事审判庭、审判监督庭、执行</w:t>
      </w:r>
      <w:r>
        <w:rPr>
          <w:rFonts w:ascii="SimSun" w:hAnsi="SimSun" w:eastAsia="SimSun" w:cs="SimSun"/>
          <w:sz w:val="32"/>
          <w:szCs w:val="32"/>
          <w:spacing w:val="25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局、审判管理办公室、翻译科、司法警察大队。</w:t>
      </w:r>
    </w:p>
    <w:p>
      <w:pPr>
        <w:ind w:firstLine="672"/>
        <w:spacing w:before="220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二、绩效自评工作组织开展情况</w:t>
      </w:r>
    </w:p>
    <w:p>
      <w:pPr>
        <w:ind w:left="25" w:firstLine="642"/>
        <w:spacing w:before="304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根据绩效自评的基本原理、原则和项目特点，结合绩效</w:t>
      </w:r>
      <w:r>
        <w:rPr>
          <w:rFonts w:ascii="SimSun" w:hAnsi="SimSun" w:eastAsia="SimSun" w:cs="SimSun"/>
          <w:sz w:val="32"/>
          <w:szCs w:val="32"/>
          <w:spacing w:val="18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目标，按照逻辑分析法独立研制科学的指标体系表。绩效自</w:t>
      </w:r>
      <w:r>
        <w:rPr>
          <w:rFonts w:ascii="SimSun" w:hAnsi="SimSun" w:eastAsia="SimSun" w:cs="SimSun"/>
          <w:sz w:val="32"/>
          <w:szCs w:val="32"/>
          <w:spacing w:val="1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评表按照逻辑分析法设计，包括产出指标、效益指标以及满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意度指标三部分内容组成。评价指标遵循相关性原则、重要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性原则、可比性原则、经济性原则和系统性原则设置。绩效</w:t>
      </w:r>
      <w:r>
        <w:rPr>
          <w:rFonts w:ascii="SimSun" w:hAnsi="SimSun" w:eastAsia="SimSun" w:cs="SimSun"/>
          <w:sz w:val="32"/>
          <w:szCs w:val="32"/>
          <w:spacing w:val="24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自评工作方案评审后，根据意见进行修改，形成绩效自评表。</w:t>
      </w:r>
    </w:p>
    <w:p>
      <w:pPr>
        <w:ind w:firstLine="667"/>
        <w:spacing w:before="1"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三、部门预算项目支出绩效自评情况分析</w:t>
      </w:r>
    </w:p>
    <w:p>
      <w:pPr>
        <w:ind w:firstLine="671"/>
        <w:spacing w:before="268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2020</w:t>
      </w:r>
      <w:r>
        <w:rPr>
          <w:rFonts w:ascii="SimSun" w:hAnsi="SimSun" w:eastAsia="SimSun" w:cs="SimSun"/>
          <w:sz w:val="32"/>
          <w:szCs w:val="32"/>
          <w:spacing w:val="-49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年本部门预算支出项目</w:t>
      </w:r>
      <w:r>
        <w:rPr>
          <w:rFonts w:ascii="SimSun" w:hAnsi="SimSun" w:eastAsia="SimSun" w:cs="SimSun"/>
          <w:sz w:val="32"/>
          <w:szCs w:val="32"/>
          <w:spacing w:val="-64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2</w:t>
      </w:r>
      <w:r>
        <w:rPr>
          <w:rFonts w:ascii="SimSun" w:hAnsi="SimSun" w:eastAsia="SimSun" w:cs="SimSun"/>
          <w:sz w:val="32"/>
          <w:szCs w:val="32"/>
          <w:spacing w:val="-67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个，当年财政拨款</w:t>
      </w:r>
      <w:r>
        <w:rPr>
          <w:rFonts w:ascii="SimSun" w:hAnsi="SimSun" w:eastAsia="SimSun" w:cs="SimSun"/>
          <w:sz w:val="32"/>
          <w:szCs w:val="32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326</w:t>
      </w:r>
      <w:r>
        <w:rPr>
          <w:rFonts w:ascii="SimSun" w:hAnsi="SimSun" w:eastAsia="SimSun" w:cs="SimSun"/>
          <w:sz w:val="32"/>
          <w:szCs w:val="32"/>
          <w:spacing w:val="-62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万</w:t>
      </w:r>
    </w:p>
    <w:p>
      <w:pPr>
        <w:ind w:firstLine="29"/>
        <w:spacing w:before="304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元，全年支出</w:t>
      </w:r>
      <w:r>
        <w:rPr>
          <w:rFonts w:ascii="SimSun" w:hAnsi="SimSun" w:eastAsia="SimSun" w:cs="SimSun"/>
          <w:sz w:val="32"/>
          <w:szCs w:val="32"/>
          <w:spacing w:val="-51"/>
        </w:rPr>
        <w:t> </w:t>
      </w:r>
      <w:r>
        <w:rPr>
          <w:rFonts w:ascii="SimSun" w:hAnsi="SimSun" w:eastAsia="SimSun" w:cs="SimSun"/>
          <w:sz w:val="32"/>
          <w:szCs w:val="32"/>
          <w:spacing w:val="-5"/>
        </w:rPr>
        <w:t>326</w:t>
      </w:r>
      <w:r>
        <w:rPr>
          <w:rFonts w:ascii="SimSun" w:hAnsi="SimSun" w:eastAsia="SimSun" w:cs="SimSun"/>
          <w:sz w:val="32"/>
          <w:szCs w:val="32"/>
          <w:spacing w:val="-59"/>
        </w:rPr>
        <w:t> </w:t>
      </w:r>
      <w:r>
        <w:rPr>
          <w:rFonts w:ascii="SimSun" w:hAnsi="SimSun" w:eastAsia="SimSun" w:cs="SimSun"/>
          <w:sz w:val="32"/>
          <w:szCs w:val="32"/>
          <w:spacing w:val="-5"/>
        </w:rPr>
        <w:t>万元，执行率</w:t>
      </w:r>
      <w:r>
        <w:rPr>
          <w:rFonts w:ascii="SimSun" w:hAnsi="SimSun" w:eastAsia="SimSun" w:cs="SimSun"/>
          <w:sz w:val="32"/>
          <w:szCs w:val="32"/>
          <w:spacing w:val="-45"/>
        </w:rPr>
        <w:t> </w:t>
      </w:r>
      <w:r>
        <w:rPr>
          <w:rFonts w:ascii="SimSun" w:hAnsi="SimSun" w:eastAsia="SimSun" w:cs="SimSun"/>
          <w:sz w:val="32"/>
          <w:szCs w:val="32"/>
          <w:spacing w:val="-5"/>
        </w:rPr>
        <w:t>100%。</w:t>
      </w:r>
    </w:p>
    <w:p>
      <w:pPr>
        <w:ind w:left="29" w:right="113" w:firstLine="638"/>
        <w:spacing w:before="304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通过自评，2</w:t>
      </w:r>
      <w:r>
        <w:rPr>
          <w:rFonts w:ascii="SimSun" w:hAnsi="SimSun" w:eastAsia="SimSun" w:cs="SimSun"/>
          <w:sz w:val="32"/>
          <w:szCs w:val="32"/>
          <w:spacing w:val="-43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个项目自评结果均为“优”</w:t>
      </w:r>
      <w:r>
        <w:rPr>
          <w:rFonts w:ascii="SimSun" w:hAnsi="SimSun" w:eastAsia="SimSun" w:cs="SimSun"/>
          <w:sz w:val="32"/>
          <w:szCs w:val="32"/>
          <w:spacing w:val="-121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，项目自评情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3"/>
        </w:rPr>
        <w:t>况分析如下：</w:t>
      </w:r>
    </w:p>
    <w:p>
      <w:pPr>
        <w:ind w:left="690" w:right="1425" w:firstLine="32"/>
        <w:spacing w:before="1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(一)中央政法转移支付资金</w:t>
      </w:r>
      <w:r>
        <w:rPr>
          <w:rFonts w:ascii="SimSun" w:hAnsi="SimSun" w:eastAsia="SimSun" w:cs="SimSun"/>
          <w:sz w:val="32"/>
          <w:szCs w:val="32"/>
        </w:rPr>
        <w:t>                </w:t>
      </w:r>
      <w:r>
        <w:rPr>
          <w:rFonts w:ascii="SimSun" w:hAnsi="SimSun" w:eastAsia="SimSun" w:cs="SimSun"/>
          <w:sz w:val="32"/>
          <w:szCs w:val="32"/>
          <w:spacing w:val="-4"/>
        </w:rPr>
        <w:t>1.中央政法转移支付资金支出预算执行情况。</w:t>
      </w:r>
    </w:p>
    <w:p>
      <w:pPr>
        <w:ind w:left="53" w:right="116" w:firstLine="617"/>
        <w:spacing w:before="304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2020</w:t>
      </w:r>
      <w:r>
        <w:rPr>
          <w:rFonts w:ascii="SimSun" w:hAnsi="SimSun" w:eastAsia="SimSun" w:cs="SimSun"/>
          <w:sz w:val="32"/>
          <w:szCs w:val="32"/>
          <w:spacing w:val="-63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年碌曲县人民法院转移支付资金收入</w:t>
      </w:r>
      <w:r>
        <w:rPr>
          <w:rFonts w:ascii="SimSun" w:hAnsi="SimSun" w:eastAsia="SimSun" w:cs="SimSun"/>
          <w:sz w:val="32"/>
          <w:szCs w:val="32"/>
          <w:spacing w:val="-42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196</w:t>
      </w:r>
      <w:r>
        <w:rPr>
          <w:rFonts w:ascii="SimSun" w:hAnsi="SimSun" w:eastAsia="SimSun" w:cs="SimSun"/>
          <w:sz w:val="32"/>
          <w:szCs w:val="32"/>
          <w:spacing w:val="-60"/>
        </w:rPr>
        <w:t> </w:t>
      </w:r>
      <w:r>
        <w:rPr>
          <w:rFonts w:ascii="SimSun" w:hAnsi="SimSun" w:eastAsia="SimSun" w:cs="SimSun"/>
          <w:sz w:val="32"/>
          <w:szCs w:val="32"/>
          <w:spacing w:val="-7"/>
        </w:rPr>
        <w:t>万元，支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出</w:t>
      </w:r>
      <w:r>
        <w:rPr>
          <w:rFonts w:ascii="SimSun" w:hAnsi="SimSun" w:eastAsia="SimSun" w:cs="SimSun"/>
          <w:sz w:val="32"/>
          <w:szCs w:val="32"/>
          <w:spacing w:val="-41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196</w:t>
      </w:r>
      <w:r>
        <w:rPr>
          <w:rFonts w:ascii="SimSun" w:hAnsi="SimSun" w:eastAsia="SimSun" w:cs="SimSun"/>
          <w:sz w:val="32"/>
          <w:szCs w:val="32"/>
          <w:spacing w:val="-60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万元，执行率</w:t>
      </w:r>
      <w:r>
        <w:rPr>
          <w:rFonts w:ascii="SimSun" w:hAnsi="SimSun" w:eastAsia="SimSun" w:cs="SimSun"/>
          <w:sz w:val="32"/>
          <w:szCs w:val="32"/>
          <w:spacing w:val="-44"/>
        </w:rPr>
        <w:t> </w:t>
      </w:r>
      <w:r>
        <w:rPr>
          <w:rFonts w:ascii="SimSun" w:hAnsi="SimSun" w:eastAsia="SimSun" w:cs="SimSun"/>
          <w:sz w:val="32"/>
          <w:szCs w:val="32"/>
          <w:spacing w:val="-9"/>
        </w:rPr>
        <w:t>100%。</w:t>
      </w:r>
    </w:p>
    <w:p>
      <w:pPr>
        <w:sectPr>
          <w:pgSz w:w="11906" w:h="16839"/>
          <w:pgMar w:top="1431" w:right="1685" w:bottom="0" w:left="1785" w:header="0" w:footer="0" w:gutter="0"/>
        </w:sectPr>
        <w:rPr/>
      </w:pPr>
    </w:p>
    <w:p>
      <w:pPr>
        <w:ind w:firstLine="671"/>
        <w:spacing w:before="162" w:line="62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  <w:position w:val="22"/>
        </w:rPr>
        <w:t>2.总体绩效目标完成情况分析。</w:t>
      </w:r>
    </w:p>
    <w:p>
      <w:pPr>
        <w:ind w:firstLine="671"/>
        <w:spacing w:before="1"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总体绩效目标完成情况较好。</w:t>
      </w:r>
    </w:p>
    <w:p>
      <w:pPr>
        <w:ind w:firstLine="673"/>
        <w:spacing w:before="268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3、偏离绩效目标的原因及下一步改进措施</w:t>
      </w:r>
    </w:p>
    <w:p>
      <w:pPr>
        <w:ind w:left="26" w:right="16" w:firstLine="644"/>
        <w:spacing w:before="304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7"/>
        </w:rPr>
        <w:t>2020</w:t>
      </w:r>
      <w:r>
        <w:rPr>
          <w:rFonts w:ascii="SimSun" w:hAnsi="SimSun" w:eastAsia="SimSun" w:cs="SimSun"/>
          <w:sz w:val="32"/>
          <w:szCs w:val="32"/>
          <w:spacing w:val="-49"/>
        </w:rPr>
        <w:t> </w:t>
      </w:r>
      <w:r>
        <w:rPr>
          <w:rFonts w:ascii="SimSun" w:hAnsi="SimSun" w:eastAsia="SimSun" w:cs="SimSun"/>
          <w:sz w:val="32"/>
          <w:szCs w:val="32"/>
          <w:spacing w:val="7"/>
        </w:rPr>
        <w:t>年度我院中央政法转移支付绩效目标基本未发生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4"/>
        </w:rPr>
        <w:t>偏离。</w:t>
      </w:r>
    </w:p>
    <w:p>
      <w:pPr>
        <w:ind w:left="690" w:right="3201" w:hanging="337"/>
        <w:spacing w:before="1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2"/>
        </w:rPr>
        <w:t>（二）</w:t>
      </w:r>
      <w:r>
        <w:rPr>
          <w:rFonts w:ascii="SimSun" w:hAnsi="SimSun" w:eastAsia="SimSun" w:cs="SimSun"/>
          <w:sz w:val="32"/>
          <w:szCs w:val="32"/>
          <w:spacing w:val="-7"/>
        </w:rPr>
        <w:t> </w:t>
      </w:r>
      <w:r>
        <w:rPr>
          <w:rFonts w:ascii="SimSun" w:hAnsi="SimSun" w:eastAsia="SimSun" w:cs="SimSun"/>
          <w:sz w:val="32"/>
          <w:szCs w:val="32"/>
          <w:spacing w:val="-22"/>
        </w:rPr>
        <w:t>法院业务费</w:t>
      </w:r>
      <w:r>
        <w:rPr>
          <w:rFonts w:ascii="SimSun" w:hAnsi="SimSun" w:eastAsia="SimSun" w:cs="SimSun"/>
          <w:sz w:val="32"/>
          <w:szCs w:val="32"/>
        </w:rPr>
        <w:t>               </w:t>
      </w:r>
      <w:r>
        <w:rPr>
          <w:rFonts w:ascii="SimSun" w:hAnsi="SimSun" w:eastAsia="SimSun" w:cs="SimSun"/>
          <w:sz w:val="32"/>
          <w:szCs w:val="32"/>
          <w:spacing w:val="-3"/>
        </w:rPr>
        <w:t>1.法院业务费支出预算执行情况</w:t>
      </w:r>
    </w:p>
    <w:p>
      <w:pPr>
        <w:ind w:left="34" w:right="15" w:firstLine="636"/>
        <w:spacing w:before="305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2020</w:t>
      </w:r>
      <w:r>
        <w:rPr>
          <w:rFonts w:ascii="SimSun" w:hAnsi="SimSun" w:eastAsia="SimSun" w:cs="SimSun"/>
          <w:sz w:val="32"/>
          <w:szCs w:val="32"/>
          <w:spacing w:val="-41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年碌曲县人民法院业务费收入</w:t>
      </w:r>
      <w:r>
        <w:rPr>
          <w:rFonts w:ascii="SimSun" w:hAnsi="SimSun" w:eastAsia="SimSun" w:cs="SimSun"/>
          <w:sz w:val="32"/>
          <w:szCs w:val="32"/>
          <w:spacing w:val="-42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130</w:t>
      </w:r>
      <w:r>
        <w:rPr>
          <w:rFonts w:ascii="SimSun" w:hAnsi="SimSun" w:eastAsia="SimSun" w:cs="SimSun"/>
          <w:sz w:val="32"/>
          <w:szCs w:val="32"/>
          <w:spacing w:val="-59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万元，支出</w:t>
      </w:r>
      <w:r>
        <w:rPr>
          <w:rFonts w:ascii="SimSun" w:hAnsi="SimSun" w:eastAsia="SimSun" w:cs="SimSun"/>
          <w:sz w:val="32"/>
          <w:szCs w:val="32"/>
          <w:spacing w:val="-42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130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万元，执行率</w:t>
      </w:r>
      <w:r>
        <w:rPr>
          <w:rFonts w:ascii="SimSun" w:hAnsi="SimSun" w:eastAsia="SimSun" w:cs="SimSun"/>
          <w:sz w:val="32"/>
          <w:szCs w:val="32"/>
          <w:spacing w:val="-35"/>
        </w:rPr>
        <w:t> </w:t>
      </w:r>
      <w:r>
        <w:rPr>
          <w:rFonts w:ascii="SimSun" w:hAnsi="SimSun" w:eastAsia="SimSun" w:cs="SimSun"/>
          <w:sz w:val="32"/>
          <w:szCs w:val="32"/>
          <w:spacing w:val="-6"/>
        </w:rPr>
        <w:t>100%。</w:t>
      </w:r>
    </w:p>
    <w:p>
      <w:pPr>
        <w:ind w:firstLine="671"/>
        <w:spacing w:before="304" w:line="62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  <w:position w:val="22"/>
        </w:rPr>
        <w:t>2.总体绩效目标完成情况分析。</w:t>
      </w:r>
    </w:p>
    <w:p>
      <w:pPr>
        <w:ind w:firstLine="671"/>
        <w:spacing w:before="1"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总体绩效目标完成情况较好。</w:t>
      </w:r>
    </w:p>
    <w:p>
      <w:pPr>
        <w:ind w:firstLine="673"/>
        <w:spacing w:before="268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3.偏离绩效目标的原因及下一步改进措施</w:t>
      </w:r>
    </w:p>
    <w:p>
      <w:pPr>
        <w:ind w:firstLine="671"/>
        <w:spacing w:before="303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2020</w:t>
      </w:r>
      <w:r>
        <w:rPr>
          <w:rFonts w:ascii="SimSun" w:hAnsi="SimSun" w:eastAsia="SimSun" w:cs="SimSun"/>
          <w:sz w:val="32"/>
          <w:szCs w:val="32"/>
          <w:spacing w:val="-46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年度我院法院业务费绩效目标基本未发生偏离。</w:t>
      </w:r>
    </w:p>
    <w:p>
      <w:pPr>
        <w:ind w:firstLine="680"/>
        <w:spacing w:before="304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四、绩效自评结果拟应用和公开情况</w:t>
      </w:r>
    </w:p>
    <w:p>
      <w:pPr>
        <w:ind w:left="29" w:right="14" w:firstLine="640"/>
        <w:spacing w:before="304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我院项目主管部门适时对绩效自评结果进行抽查，并加</w:t>
      </w:r>
      <w:r>
        <w:rPr>
          <w:rFonts w:ascii="SimSun" w:hAnsi="SimSun" w:eastAsia="SimSun" w:cs="SimSun"/>
          <w:sz w:val="32"/>
          <w:szCs w:val="32"/>
          <w:spacing w:val="15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强抽查结果应用；</w:t>
      </w:r>
      <w:r>
        <w:rPr>
          <w:rFonts w:ascii="SimSun" w:hAnsi="SimSun" w:eastAsia="SimSun" w:cs="SimSun"/>
          <w:sz w:val="32"/>
          <w:szCs w:val="32"/>
          <w:spacing w:val="71"/>
        </w:rPr>
        <w:t> </w:t>
      </w:r>
      <w:r>
        <w:rPr>
          <w:rFonts w:ascii="SimSun" w:hAnsi="SimSun" w:eastAsia="SimSun" w:cs="SimSun"/>
          <w:sz w:val="32"/>
          <w:szCs w:val="32"/>
          <w:spacing w:val="-10"/>
        </w:rPr>
        <w:t>绩效自评结果将作为以后年度项目立项和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经费支持的重要依据，对绩效自评结果与实际情况出入较大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或绩效较差的的单位，下一年度项目预算将从紧、从严。项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目主管部门会按照财政部门的统一要求，对绩效自评情况予</w:t>
      </w:r>
      <w:r>
        <w:rPr>
          <w:rFonts w:ascii="SimSun" w:hAnsi="SimSun" w:eastAsia="SimSun" w:cs="SimSun"/>
          <w:sz w:val="32"/>
          <w:szCs w:val="32"/>
          <w:spacing w:val="20"/>
        </w:rPr>
        <w:t> </w:t>
      </w:r>
      <w:r>
        <w:rPr>
          <w:rFonts w:ascii="SimSun" w:hAnsi="SimSun" w:eastAsia="SimSun" w:cs="SimSun"/>
          <w:sz w:val="32"/>
          <w:szCs w:val="32"/>
          <w:spacing w:val="-4"/>
        </w:rPr>
        <w:t>以公开。</w:t>
      </w:r>
    </w:p>
    <w:p>
      <w:pPr>
        <w:ind w:firstLine="672"/>
        <w:spacing w:line="20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五、部门预算执行工作需进一步改进的地方</w:t>
      </w:r>
    </w:p>
    <w:p>
      <w:pPr>
        <w:ind w:firstLine="675"/>
        <w:spacing w:before="273" w:line="185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（1）</w:t>
      </w:r>
      <w:r>
        <w:rPr>
          <w:rFonts w:ascii="SimSun" w:hAnsi="SimSun" w:eastAsia="SimSun" w:cs="SimSun"/>
          <w:sz w:val="32"/>
          <w:szCs w:val="32"/>
          <w:spacing w:val="11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科学合理编制预算，严格执行预算。在预算的编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3" w:right="16" w:firstLine="3"/>
        <w:spacing w:before="162" w:line="36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制阶段，多花时间、下功夫，将每项支出的预算做好做细。</w:t>
      </w:r>
      <w:r>
        <w:rPr>
          <w:rFonts w:ascii="SimSun" w:hAnsi="SimSun" w:eastAsia="SimSun" w:cs="SimSun"/>
          <w:sz w:val="32"/>
          <w:szCs w:val="32"/>
          <w:spacing w:val="2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在预算的执行阶段，严格控制每项支出，并定期将预算使用</w:t>
      </w:r>
      <w:r>
        <w:rPr>
          <w:rFonts w:ascii="SimSun" w:hAnsi="SimSun" w:eastAsia="SimSun" w:cs="SimSun"/>
          <w:sz w:val="32"/>
          <w:szCs w:val="32"/>
          <w:spacing w:val="25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情况向院党组汇报，针对突发性支出做好准备工作。</w:t>
      </w:r>
    </w:p>
    <w:p>
      <w:pPr>
        <w:ind w:left="27" w:right="16" w:firstLine="648"/>
        <w:spacing w:before="1" w:line="316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（2）</w:t>
      </w:r>
      <w:r>
        <w:rPr>
          <w:rFonts w:ascii="SimSun" w:hAnsi="SimSun" w:eastAsia="SimSun" w:cs="SimSun"/>
          <w:sz w:val="32"/>
          <w:szCs w:val="32"/>
          <w:spacing w:val="10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完善管理制度，进一步加强资产管理。严格按照</w:t>
      </w:r>
      <w:r>
        <w:rPr>
          <w:rFonts w:ascii="SimSun" w:hAnsi="SimSun" w:eastAsia="SimSun" w:cs="SimSun"/>
          <w:sz w:val="32"/>
          <w:szCs w:val="32"/>
        </w:rPr>
        <w:t>  </w:t>
      </w:r>
      <w:r>
        <w:rPr>
          <w:rFonts w:ascii="SimSun" w:hAnsi="SimSun" w:eastAsia="SimSun" w:cs="SimSun"/>
          <w:sz w:val="32"/>
          <w:szCs w:val="32"/>
          <w:spacing w:val="-8"/>
        </w:rPr>
        <w:t>《固定资产管理办法》</w:t>
      </w:r>
      <w:r>
        <w:rPr>
          <w:rFonts w:ascii="SimSun" w:hAnsi="SimSun" w:eastAsia="SimSun" w:cs="SimSun"/>
          <w:sz w:val="32"/>
          <w:szCs w:val="32"/>
          <w:spacing w:val="18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的规定加强固定资产管理，增加资产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管理人员，及时登记、更新台账，加强资产卡片管理，年终</w:t>
      </w:r>
      <w:r>
        <w:rPr>
          <w:rFonts w:ascii="SimSun" w:hAnsi="SimSun" w:eastAsia="SimSun" w:cs="SimSun"/>
          <w:sz w:val="32"/>
          <w:szCs w:val="32"/>
          <w:spacing w:val="22"/>
        </w:rPr>
        <w:t> </w:t>
      </w:r>
      <w:r>
        <w:rPr>
          <w:rFonts w:ascii="SimSun" w:hAnsi="SimSun" w:eastAsia="SimSun" w:cs="SimSun"/>
          <w:sz w:val="32"/>
          <w:szCs w:val="32"/>
          <w:spacing w:val="-1"/>
        </w:rPr>
        <w:t>前对各类实物资产进行全面盘点，确保账账、账实相符。</w:t>
      </w:r>
    </w:p>
    <w:p>
      <w:pPr>
        <w:ind w:left="25" w:right="160" w:firstLine="650"/>
        <w:spacing w:before="305" w:line="272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（3）</w:t>
      </w:r>
      <w:r>
        <w:rPr>
          <w:rFonts w:ascii="SimSun" w:hAnsi="SimSun" w:eastAsia="SimSun" w:cs="SimSun"/>
          <w:sz w:val="32"/>
          <w:szCs w:val="32"/>
          <w:spacing w:val="10"/>
        </w:rPr>
        <w:t> </w:t>
      </w:r>
      <w:r>
        <w:rPr>
          <w:rFonts w:ascii="SimSun" w:hAnsi="SimSun" w:eastAsia="SimSun" w:cs="SimSun"/>
          <w:sz w:val="32"/>
          <w:szCs w:val="32"/>
          <w:spacing w:val="-8"/>
        </w:rPr>
        <w:t>加强对财务人员的业务培训，增强其相关业务水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SimSun" w:hAnsi="SimSun" w:eastAsia="SimSun" w:cs="SimSun"/>
          <w:sz w:val="32"/>
          <w:szCs w:val="32"/>
          <w:spacing w:val="-2"/>
        </w:rPr>
        <w:t>平，提高整体工作效率。</w:t>
      </w:r>
    </w:p>
    <w:p>
      <w:pPr>
        <w:ind w:firstLine="669"/>
        <w:spacing w:before="304" w:line="624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  <w:position w:val="22"/>
        </w:rPr>
        <w:t>六、其他需要说明的问题</w:t>
      </w:r>
    </w:p>
    <w:p>
      <w:pPr>
        <w:ind w:firstLine="669"/>
        <w:spacing w:before="1" w:line="20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无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rPr>
          <w:rFonts w:ascii="SimSun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2021-08-24T18:18:17Z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2021-08-25T10:48:43</vt:filetime>
  </op:property>
</op:Properties>
</file>