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tbl>
      <w:tblPr>
        <w:tblStyle w:val="4"/>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620" w:hRule="atLeast"/>
        </w:trPr>
        <w:tc>
          <w:tcPr>
            <w:tcW w:w="11160" w:type="dxa"/>
            <w:tcBorders>
              <w:top w:val="nil"/>
              <w:left w:val="nil"/>
              <w:bottom w:val="nil"/>
              <w:right w:val="nil"/>
            </w:tcBorders>
            <w:shd w:val="clear" w:color="auto" w:fill="auto"/>
            <w:vAlign w:val="center"/>
          </w:tcPr>
          <w:p>
            <w:pPr>
              <w:widowControl/>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2020年度</w:t>
            </w:r>
            <w:r>
              <w:rPr>
                <w:rFonts w:hint="eastAsia" w:ascii="宋体" w:hAnsi="宋体" w:eastAsia="宋体" w:cs="宋体"/>
                <w:b/>
                <w:bCs/>
                <w:color w:val="000000"/>
                <w:kern w:val="0"/>
                <w:sz w:val="44"/>
                <w:szCs w:val="44"/>
                <w:u w:val="single"/>
              </w:rPr>
              <w:t xml:space="preserve">  </w:t>
            </w:r>
            <w:r>
              <w:rPr>
                <w:rFonts w:hint="eastAsia" w:ascii="宋体" w:hAnsi="宋体" w:eastAsia="宋体" w:cs="宋体"/>
                <w:b/>
                <w:bCs/>
                <w:color w:val="000000"/>
                <w:kern w:val="0"/>
                <w:sz w:val="44"/>
                <w:szCs w:val="44"/>
                <w:u w:val="single"/>
                <w:lang w:eastAsia="zh-CN"/>
              </w:rPr>
              <w:t>永靖县</w:t>
            </w:r>
            <w:r>
              <w:rPr>
                <w:rFonts w:hint="eastAsia" w:ascii="宋体" w:hAnsi="宋体" w:eastAsia="宋体" w:cs="宋体"/>
                <w:b/>
                <w:bCs/>
                <w:color w:val="000000"/>
                <w:kern w:val="0"/>
                <w:sz w:val="44"/>
                <w:szCs w:val="44"/>
                <w:u w:val="single"/>
              </w:rPr>
              <w:t xml:space="preserve">人民法院  </w:t>
            </w:r>
            <w:r>
              <w:rPr>
                <w:rFonts w:hint="eastAsia" w:ascii="宋体" w:hAnsi="宋体" w:eastAsia="宋体" w:cs="宋体"/>
                <w:b/>
                <w:bCs/>
                <w:color w:val="000000"/>
                <w:kern w:val="0"/>
                <w:sz w:val="44"/>
                <w:szCs w:val="44"/>
              </w:rPr>
              <w:t>部门预算执行情况自评报告</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一、基本情况</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（一）部门主要职能。</w:t>
            </w:r>
          </w:p>
        </w:tc>
      </w:tr>
      <w:tr>
        <w:tblPrEx>
          <w:tblCellMar>
            <w:top w:w="0" w:type="dxa"/>
            <w:left w:w="108" w:type="dxa"/>
            <w:bottom w:w="0" w:type="dxa"/>
            <w:right w:w="108" w:type="dxa"/>
          </w:tblCellMar>
        </w:tblPrEx>
        <w:trPr>
          <w:trHeight w:val="8190"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甘肃省</w:t>
            </w:r>
            <w:r>
              <w:rPr>
                <w:rFonts w:hint="eastAsia" w:ascii="楷体" w:hAnsi="楷体" w:eastAsia="楷体" w:cs="宋体"/>
                <w:color w:val="000000"/>
                <w:kern w:val="0"/>
                <w:sz w:val="32"/>
                <w:szCs w:val="32"/>
                <w:lang w:eastAsia="zh-CN"/>
              </w:rPr>
              <w:t>永靖县</w:t>
            </w:r>
            <w:r>
              <w:rPr>
                <w:rFonts w:hint="eastAsia" w:ascii="楷体" w:hAnsi="楷体" w:eastAsia="楷体" w:cs="宋体"/>
                <w:color w:val="000000"/>
                <w:kern w:val="0"/>
                <w:sz w:val="32"/>
                <w:szCs w:val="32"/>
              </w:rPr>
              <w:t>人民法院是国家审判机关，依法独立行使审判权，对</w:t>
            </w:r>
            <w:r>
              <w:rPr>
                <w:rFonts w:hint="eastAsia" w:ascii="楷体" w:hAnsi="楷体" w:eastAsia="楷体" w:cs="宋体"/>
                <w:color w:val="000000"/>
                <w:kern w:val="0"/>
                <w:sz w:val="32"/>
                <w:szCs w:val="32"/>
                <w:lang w:eastAsia="zh-CN"/>
              </w:rPr>
              <w:t>永靖县</w:t>
            </w:r>
            <w:r>
              <w:rPr>
                <w:rFonts w:hint="eastAsia" w:ascii="楷体" w:hAnsi="楷体" w:eastAsia="楷体" w:cs="宋体"/>
                <w:color w:val="000000"/>
                <w:kern w:val="0"/>
                <w:sz w:val="32"/>
                <w:szCs w:val="32"/>
              </w:rPr>
              <w:t>人民代表大会及其常务委员会负责并报告工作。主要职责是：</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1.依法审判由本院管辖的刑事、民事、行政等第一审案件。</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2.审判上级人民法院指定管辖或交由本院审判的刑事、民事、行政案件。</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3.受理不服本院生效裁判的各类申诉和再审申请，对其中确有错误的依法审查处理。</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4.审理上级人民法院指令再审、发还重审的刑事、民事、行政案件。</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5.依法执行本院已发生法律效力的判决、裁定、调解等法律文书以及国家行政机关申请执行的案件和外地法院委托执行的案件。</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6.调查研究审判工作中的法律政策及疑难问题，总结审判工作经验；针对案件审理中发现的问题，提出司法建议；进行司法统计工作。</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7.对本院法官及其他工作人员进行思想政治教育，组织专业培训。按照干部管理权限管理法官和其他工作人员；协助地方党委管理法官和其他工作人员；协同有关部门管理人民法院的机构设置、人员编制工作。</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8.在院党组、院长领导下，行使纪检监察职能，负责查处本院中党员干警和非党员干警的违纪违法问题。</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9.结合审判工作开展法制宣传，教育公民自觉遵守宪法、法律和社会公德。</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10.管理本院司法警察和警务工作。</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11.管理本院的有关经费和物质装备。</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12.负责案件信息管理、审判流程管理、案件质量评查、审判运行态势分析、审判质效评估、审判绩效考核、审委会事务管理。</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13.负责接待和处理群众日常来信来访，承办信访案件，建立和完善信访台账。</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14.承办其他应由本院负责办理的工作。</w:t>
            </w:r>
          </w:p>
        </w:tc>
      </w:tr>
      <w:tr>
        <w:tblPrEx>
          <w:tblCellMar>
            <w:top w:w="0" w:type="dxa"/>
            <w:left w:w="108" w:type="dxa"/>
            <w:bottom w:w="0" w:type="dxa"/>
            <w:right w:w="108" w:type="dxa"/>
          </w:tblCellMar>
        </w:tblPrEx>
        <w:trPr>
          <w:trHeight w:val="645" w:hRule="atLeast"/>
        </w:trPr>
        <w:tc>
          <w:tcPr>
            <w:tcW w:w="11160" w:type="dxa"/>
            <w:tcBorders>
              <w:top w:val="nil"/>
              <w:left w:val="nil"/>
              <w:bottom w:val="nil"/>
              <w:right w:val="nil"/>
            </w:tcBorders>
            <w:shd w:val="clear" w:color="auto" w:fill="auto"/>
            <w:noWrap/>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（二）内设机构及所属单位概况。</w:t>
            </w:r>
          </w:p>
        </w:tc>
      </w:tr>
      <w:tr>
        <w:tblPrEx>
          <w:tblCellMar>
            <w:top w:w="0" w:type="dxa"/>
            <w:left w:w="108" w:type="dxa"/>
            <w:bottom w:w="0" w:type="dxa"/>
            <w:right w:w="108" w:type="dxa"/>
          </w:tblCellMar>
        </w:tblPrEx>
        <w:trPr>
          <w:trHeight w:val="259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w:t>
            </w:r>
            <w:r>
              <w:rPr>
                <w:rFonts w:hint="eastAsia" w:ascii="仿宋_GB2312" w:hAnsi="仿宋_GB2312" w:eastAsia="仿宋_GB2312" w:cs="仿宋_GB2312"/>
                <w:kern w:val="0"/>
                <w:sz w:val="32"/>
                <w:szCs w:val="32"/>
              </w:rPr>
              <w:t>永靖县人民法院内设及归口管理机构有内设办公室、研究室、政工科、纪检组、监察室、审判管理办公室、法警队、立案庭、刑事审判庭、民事审判第一庭、民事审判第二庭、行政审判庭、审判监督庭、执行庭、三塬人民法庭、王台人民法庭、盐锅峡人民法庭、陈井人民法庭。单位人员编制共计70名，其中：行政编制59名，工勤编制8名，事业编制3人。在职人员年初</w:t>
            </w:r>
            <w:r>
              <w:rPr>
                <w:rFonts w:hint="eastAsia" w:ascii="仿宋_GB2312" w:hAnsi="仿宋_GB2312" w:eastAsia="仿宋_GB2312" w:cs="仿宋_GB2312"/>
                <w:kern w:val="0"/>
                <w:sz w:val="32"/>
                <w:szCs w:val="32"/>
                <w:lang w:val="en-US" w:eastAsia="zh-CN"/>
              </w:rPr>
              <w:t>69人，到龄退休4人，</w:t>
            </w:r>
            <w:r>
              <w:rPr>
                <w:rFonts w:hint="eastAsia" w:ascii="仿宋_GB2312" w:hAnsi="仿宋_GB2312" w:eastAsia="仿宋_GB2312" w:cs="仿宋_GB2312"/>
                <w:kern w:val="0"/>
                <w:sz w:val="32"/>
                <w:szCs w:val="32"/>
              </w:rPr>
              <w:t>年末为6</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人，遗属5人</w:t>
            </w:r>
            <w:r>
              <w:rPr>
                <w:rFonts w:hint="eastAsia" w:ascii="宋体" w:hAnsi="宋体" w:eastAsia="宋体" w:cs="宋体"/>
                <w:kern w:val="0"/>
                <w:sz w:val="24"/>
                <w:szCs w:val="24"/>
              </w:rPr>
              <w:t>。</w:t>
            </w:r>
            <w:r>
              <w:rPr>
                <w:rFonts w:hint="eastAsia" w:ascii="仿宋" w:hAnsi="仿宋" w:eastAsia="仿宋" w:cs="仿宋"/>
                <w:sz w:val="32"/>
                <w:szCs w:val="32"/>
              </w:rPr>
              <w:t>单位执行《行政事业单位会计制度》。</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二、绩效自评工作组织开展情况</w:t>
            </w:r>
            <w:r>
              <w:rPr>
                <w:rFonts w:ascii="Arial" w:hAnsi="Arial" w:eastAsia="黑体" w:cs="Arial"/>
                <w:color w:val="000000"/>
                <w:kern w:val="0"/>
                <w:sz w:val="32"/>
                <w:szCs w:val="32"/>
              </w:rPr>
              <w:t xml:space="preserve"> </w:t>
            </w:r>
          </w:p>
        </w:tc>
      </w:tr>
      <w:tr>
        <w:tblPrEx>
          <w:tblCellMar>
            <w:top w:w="0" w:type="dxa"/>
            <w:left w:w="108" w:type="dxa"/>
            <w:bottom w:w="0" w:type="dxa"/>
            <w:right w:w="108" w:type="dxa"/>
          </w:tblCellMar>
        </w:tblPrEx>
        <w:trPr>
          <w:trHeight w:val="229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我院本着公开、公平、公正的原则，严格按照上级和财政文件精神执行，严格执行管理分配制度和财务内控制度，加强廉政风险防控机制，综合绩效管理要求，理顺和细化资金管理流程，将每项业务中的决策机制、执行机制和监督机制，对资金的合理合规支出进行管理和控制。严格按程序办事，资金额度、项目公开。</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三、部门整体支出绩效自评情况分析</w:t>
            </w:r>
            <w:r>
              <w:rPr>
                <w:rFonts w:ascii="Arial" w:hAnsi="Arial" w:eastAsia="黑体" w:cs="Arial"/>
                <w:color w:val="000000"/>
                <w:kern w:val="0"/>
                <w:sz w:val="32"/>
                <w:szCs w:val="32"/>
              </w:rPr>
              <w:t xml:space="preserve"> </w:t>
            </w:r>
          </w:p>
        </w:tc>
      </w:tr>
      <w:tr>
        <w:tblPrEx>
          <w:tblCellMar>
            <w:top w:w="0" w:type="dxa"/>
            <w:left w:w="108" w:type="dxa"/>
            <w:bottom w:w="0" w:type="dxa"/>
            <w:right w:w="108" w:type="dxa"/>
          </w:tblCellMar>
        </w:tblPrEx>
        <w:trPr>
          <w:trHeight w:val="885" w:hRule="atLeast"/>
        </w:trPr>
        <w:tc>
          <w:tcPr>
            <w:tcW w:w="11160" w:type="dxa"/>
            <w:tcBorders>
              <w:top w:val="nil"/>
              <w:left w:val="nil"/>
              <w:bottom w:val="nil"/>
              <w:right w:val="nil"/>
            </w:tcBorders>
            <w:shd w:val="clear" w:color="auto" w:fill="auto"/>
            <w:noWrap/>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（一）部门决算情况。</w:t>
            </w:r>
          </w:p>
        </w:tc>
      </w:tr>
      <w:tr>
        <w:tblPrEx>
          <w:tblCellMar>
            <w:top w:w="0" w:type="dxa"/>
            <w:left w:w="108" w:type="dxa"/>
            <w:bottom w:w="0" w:type="dxa"/>
            <w:right w:w="108" w:type="dxa"/>
          </w:tblCellMar>
        </w:tblPrEx>
        <w:trPr>
          <w:trHeight w:val="4830" w:hRule="atLeast"/>
        </w:trPr>
        <w:tc>
          <w:tcPr>
            <w:tcW w:w="11160" w:type="dxa"/>
            <w:tcBorders>
              <w:top w:val="nil"/>
              <w:left w:val="nil"/>
              <w:bottom w:val="nil"/>
              <w:right w:val="nil"/>
            </w:tcBorders>
            <w:shd w:val="clear" w:color="auto" w:fill="auto"/>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1、年度收支决算情况。我部门2020年度决算总收入</w:t>
            </w:r>
            <w:r>
              <w:rPr>
                <w:rFonts w:hint="eastAsia" w:ascii="仿宋_GB2312" w:hAnsi="仿宋_GB2312" w:eastAsia="仿宋_GB2312" w:cs="仿宋_GB2312"/>
                <w:sz w:val="32"/>
                <w:szCs w:val="32"/>
                <w:lang w:val="en-US" w:eastAsia="zh-CN"/>
              </w:rPr>
              <w:t>2024.57</w:t>
            </w:r>
            <w:r>
              <w:rPr>
                <w:rFonts w:hint="eastAsia" w:ascii="楷体" w:hAnsi="楷体" w:eastAsia="楷体" w:cs="宋体"/>
                <w:color w:val="000000"/>
                <w:kern w:val="0"/>
                <w:sz w:val="32"/>
                <w:szCs w:val="32"/>
              </w:rPr>
              <w:t>万元，比2019年</w:t>
            </w:r>
            <w:r>
              <w:rPr>
                <w:rFonts w:hint="eastAsia" w:ascii="楷体" w:hAnsi="楷体" w:eastAsia="楷体" w:cs="宋体"/>
                <w:color w:val="000000"/>
                <w:kern w:val="0"/>
                <w:sz w:val="32"/>
                <w:szCs w:val="32"/>
                <w:lang w:eastAsia="zh-CN"/>
              </w:rPr>
              <w:t>减少</w:t>
            </w:r>
            <w:r>
              <w:rPr>
                <w:rFonts w:hint="eastAsia" w:ascii="仿宋_GB2312" w:hAnsi="仿宋_GB2312" w:eastAsia="仿宋_GB2312" w:cs="仿宋_GB2312"/>
                <w:sz w:val="32"/>
                <w:szCs w:val="32"/>
                <w:lang w:val="en-US" w:eastAsia="zh-CN"/>
              </w:rPr>
              <w:t>125.68</w:t>
            </w:r>
            <w:r>
              <w:rPr>
                <w:rFonts w:hint="eastAsia" w:ascii="楷体" w:hAnsi="楷体" w:eastAsia="楷体" w:cs="宋体"/>
                <w:color w:val="000000"/>
                <w:kern w:val="0"/>
                <w:sz w:val="32"/>
                <w:szCs w:val="32"/>
              </w:rPr>
              <w:t>万元；本年决算总支出</w:t>
            </w:r>
            <w:r>
              <w:rPr>
                <w:rFonts w:hint="eastAsia" w:ascii="仿宋" w:hAnsi="仿宋" w:eastAsia="仿宋" w:cs="仿宋"/>
                <w:sz w:val="32"/>
                <w:szCs w:val="32"/>
                <w:lang w:val="en-US" w:eastAsia="zh-CN"/>
              </w:rPr>
              <w:t>2132.82</w:t>
            </w:r>
            <w:r>
              <w:rPr>
                <w:rFonts w:hint="eastAsia" w:ascii="楷体" w:hAnsi="楷体" w:eastAsia="楷体" w:cs="宋体"/>
                <w:color w:val="000000"/>
                <w:kern w:val="0"/>
                <w:sz w:val="32"/>
                <w:szCs w:val="32"/>
              </w:rPr>
              <w:t>万元，比2019年减少</w:t>
            </w:r>
            <w:r>
              <w:rPr>
                <w:rFonts w:hint="eastAsia" w:ascii="仿宋_GB2312" w:hAnsi="仿宋_GB2312" w:eastAsia="仿宋_GB2312" w:cs="仿宋_GB2312"/>
                <w:sz w:val="32"/>
                <w:szCs w:val="32"/>
                <w:lang w:val="en-US" w:eastAsia="zh-CN"/>
              </w:rPr>
              <w:t>36.13</w:t>
            </w:r>
            <w:r>
              <w:rPr>
                <w:rFonts w:hint="eastAsia" w:ascii="楷体" w:hAnsi="楷体" w:eastAsia="楷体" w:cs="宋体"/>
                <w:color w:val="000000"/>
                <w:kern w:val="0"/>
                <w:sz w:val="32"/>
                <w:szCs w:val="32"/>
              </w:rPr>
              <w:t xml:space="preserve">万元。   </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2、年度收入决算情况。我部门2020年度收入</w:t>
            </w:r>
            <w:r>
              <w:rPr>
                <w:rFonts w:hint="eastAsia" w:ascii="仿宋_GB2312" w:hAnsi="仿宋_GB2312" w:eastAsia="仿宋_GB2312" w:cs="仿宋_GB2312"/>
                <w:sz w:val="32"/>
                <w:szCs w:val="32"/>
                <w:lang w:val="en-US" w:eastAsia="zh-CN"/>
              </w:rPr>
              <w:t>2024.57</w:t>
            </w:r>
            <w:r>
              <w:rPr>
                <w:rFonts w:hint="eastAsia" w:ascii="楷体" w:hAnsi="楷体" w:eastAsia="楷体" w:cs="宋体"/>
                <w:color w:val="000000"/>
                <w:kern w:val="0"/>
                <w:sz w:val="32"/>
                <w:szCs w:val="32"/>
              </w:rPr>
              <w:t>万元，</w:t>
            </w:r>
            <w:r>
              <w:rPr>
                <w:rFonts w:hint="eastAsia" w:ascii="楷体" w:hAnsi="楷体" w:eastAsia="楷体" w:cs="宋体"/>
                <w:color w:val="000000"/>
                <w:kern w:val="0"/>
                <w:sz w:val="32"/>
                <w:szCs w:val="32"/>
                <w:lang w:eastAsia="zh-CN"/>
              </w:rPr>
              <w:t>其中：</w:t>
            </w:r>
            <w:r>
              <w:rPr>
                <w:rFonts w:hint="eastAsia" w:ascii="仿宋" w:hAnsi="仿宋" w:eastAsia="仿宋" w:cs="仿宋"/>
                <w:sz w:val="32"/>
                <w:szCs w:val="32"/>
              </w:rPr>
              <w:t>一般公共预算财政拨款收入1,99</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98</w:t>
            </w:r>
            <w:r>
              <w:rPr>
                <w:rFonts w:hint="eastAsia" w:ascii="仿宋" w:hAnsi="仿宋" w:eastAsia="仿宋" w:cs="仿宋"/>
                <w:sz w:val="32"/>
                <w:szCs w:val="32"/>
              </w:rPr>
              <w:t>万元，占</w:t>
            </w:r>
            <w:r>
              <w:rPr>
                <w:rFonts w:hint="eastAsia" w:ascii="仿宋" w:hAnsi="仿宋" w:eastAsia="仿宋" w:cs="仿宋"/>
                <w:sz w:val="32"/>
                <w:szCs w:val="32"/>
                <w:lang w:val="en-US" w:eastAsia="zh-CN"/>
              </w:rPr>
              <w:t>99</w:t>
            </w:r>
            <w:r>
              <w:rPr>
                <w:rFonts w:hint="eastAsia" w:ascii="仿宋" w:hAnsi="仿宋" w:eastAsia="仿宋" w:cs="仿宋"/>
                <w:sz w:val="32"/>
                <w:szCs w:val="32"/>
              </w:rPr>
              <w:t xml:space="preserve">%；其他收入 </w:t>
            </w:r>
            <w:r>
              <w:rPr>
                <w:rFonts w:hint="eastAsia" w:ascii="仿宋" w:hAnsi="仿宋" w:eastAsia="仿宋" w:cs="仿宋"/>
                <w:sz w:val="32"/>
                <w:szCs w:val="32"/>
                <w:lang w:val="en-US" w:eastAsia="zh-CN"/>
              </w:rPr>
              <w:t>30.09</w:t>
            </w:r>
            <w:r>
              <w:rPr>
                <w:rFonts w:hint="eastAsia" w:ascii="仿宋" w:hAnsi="仿宋" w:eastAsia="仿宋" w:cs="仿宋"/>
                <w:sz w:val="32"/>
                <w:szCs w:val="32"/>
              </w:rPr>
              <w:t>万元，占</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3、年度支出决算情况。我部门2020年度支出</w:t>
            </w:r>
            <w:r>
              <w:rPr>
                <w:rFonts w:hint="eastAsia" w:ascii="楷体" w:hAnsi="楷体" w:eastAsia="楷体" w:cs="宋体"/>
                <w:color w:val="000000"/>
                <w:kern w:val="0"/>
                <w:sz w:val="32"/>
                <w:szCs w:val="32"/>
                <w:lang w:val="en-US" w:eastAsia="zh-CN"/>
              </w:rPr>
              <w:t>2132.82</w:t>
            </w:r>
            <w:r>
              <w:rPr>
                <w:rFonts w:hint="eastAsia" w:ascii="楷体" w:hAnsi="楷体" w:eastAsia="楷体" w:cs="宋体"/>
                <w:color w:val="000000"/>
                <w:kern w:val="0"/>
                <w:sz w:val="32"/>
                <w:szCs w:val="32"/>
              </w:rPr>
              <w:t>万元，其中公共安全支出</w:t>
            </w:r>
            <w:r>
              <w:rPr>
                <w:rFonts w:hint="eastAsia" w:ascii="楷体" w:hAnsi="楷体" w:eastAsia="楷体" w:cs="宋体"/>
                <w:color w:val="000000"/>
                <w:kern w:val="0"/>
                <w:sz w:val="32"/>
                <w:szCs w:val="32"/>
                <w:lang w:val="en-US" w:eastAsia="zh-CN"/>
              </w:rPr>
              <w:t>1930.02</w:t>
            </w:r>
            <w:r>
              <w:rPr>
                <w:rFonts w:hint="eastAsia" w:ascii="楷体" w:hAnsi="楷体" w:eastAsia="楷体" w:cs="宋体"/>
                <w:color w:val="000000"/>
                <w:kern w:val="0"/>
                <w:sz w:val="32"/>
                <w:szCs w:val="32"/>
              </w:rPr>
              <w:t>万元、社会保障和就业支出</w:t>
            </w:r>
            <w:r>
              <w:rPr>
                <w:rFonts w:hint="eastAsia" w:ascii="楷体" w:hAnsi="楷体" w:eastAsia="楷体" w:cs="宋体"/>
                <w:color w:val="000000"/>
                <w:kern w:val="0"/>
                <w:sz w:val="32"/>
                <w:szCs w:val="32"/>
                <w:lang w:val="en-US" w:eastAsia="zh-CN"/>
              </w:rPr>
              <w:t>86</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33</w:t>
            </w:r>
            <w:r>
              <w:rPr>
                <w:rFonts w:hint="eastAsia" w:ascii="楷体" w:hAnsi="楷体" w:eastAsia="楷体" w:cs="宋体"/>
                <w:color w:val="000000"/>
                <w:kern w:val="0"/>
                <w:sz w:val="32"/>
                <w:szCs w:val="32"/>
              </w:rPr>
              <w:t>万元、卫生健康支出</w:t>
            </w:r>
            <w:r>
              <w:rPr>
                <w:rFonts w:hint="eastAsia" w:ascii="楷体" w:hAnsi="楷体" w:eastAsia="楷体" w:cs="宋体"/>
                <w:color w:val="000000"/>
                <w:kern w:val="0"/>
                <w:sz w:val="32"/>
                <w:szCs w:val="32"/>
                <w:lang w:val="en-US" w:eastAsia="zh-CN"/>
              </w:rPr>
              <w:t>44</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65</w:t>
            </w:r>
            <w:r>
              <w:rPr>
                <w:rFonts w:hint="eastAsia" w:ascii="楷体" w:hAnsi="楷体" w:eastAsia="楷体" w:cs="宋体"/>
                <w:color w:val="000000"/>
                <w:kern w:val="0"/>
                <w:sz w:val="32"/>
                <w:szCs w:val="32"/>
              </w:rPr>
              <w:t>万元、住房保障支出</w:t>
            </w:r>
            <w:r>
              <w:rPr>
                <w:rFonts w:hint="eastAsia" w:ascii="楷体" w:hAnsi="楷体" w:eastAsia="楷体" w:cs="宋体"/>
                <w:color w:val="000000"/>
                <w:kern w:val="0"/>
                <w:sz w:val="32"/>
                <w:szCs w:val="32"/>
                <w:lang w:val="en-US" w:eastAsia="zh-CN"/>
              </w:rPr>
              <w:t>66</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3</w:t>
            </w:r>
            <w:r>
              <w:rPr>
                <w:rFonts w:hint="eastAsia" w:ascii="楷体" w:hAnsi="楷体" w:eastAsia="楷体" w:cs="宋体"/>
                <w:color w:val="000000"/>
                <w:kern w:val="0"/>
                <w:sz w:val="32"/>
                <w:szCs w:val="32"/>
              </w:rPr>
              <w:t>4万元</w:t>
            </w:r>
            <w:r>
              <w:rPr>
                <w:rFonts w:hint="eastAsia" w:ascii="楷体" w:hAnsi="楷体" w:eastAsia="楷体" w:cs="宋体"/>
                <w:color w:val="000000"/>
                <w:kern w:val="0"/>
                <w:sz w:val="32"/>
                <w:szCs w:val="32"/>
                <w:lang w:eastAsia="zh-CN"/>
              </w:rPr>
              <w:t>、其他扶贫支出</w:t>
            </w:r>
            <w:r>
              <w:rPr>
                <w:rFonts w:hint="eastAsia" w:ascii="楷体" w:hAnsi="楷体" w:eastAsia="楷体" w:cs="宋体"/>
                <w:color w:val="000000"/>
                <w:kern w:val="0"/>
                <w:sz w:val="32"/>
                <w:szCs w:val="32"/>
                <w:lang w:val="en-US" w:eastAsia="zh-CN"/>
              </w:rPr>
              <w:t>5.48</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4、“三公经费”支出决算情况。我部门2020年度“三公经费”支出合计为</w:t>
            </w:r>
            <w:r>
              <w:rPr>
                <w:rFonts w:hint="eastAsia" w:ascii="楷体" w:hAnsi="楷体" w:eastAsia="楷体" w:cs="宋体"/>
                <w:color w:val="000000"/>
                <w:kern w:val="0"/>
                <w:sz w:val="32"/>
                <w:szCs w:val="32"/>
                <w:lang w:val="en-US" w:eastAsia="zh-CN"/>
              </w:rPr>
              <w:t>61.92</w:t>
            </w:r>
            <w:r>
              <w:rPr>
                <w:rFonts w:hint="eastAsia" w:ascii="楷体" w:hAnsi="楷体" w:eastAsia="楷体" w:cs="宋体"/>
                <w:color w:val="000000"/>
                <w:kern w:val="0"/>
                <w:sz w:val="32"/>
                <w:szCs w:val="32"/>
              </w:rPr>
              <w:t>万元，比2019年决算</w:t>
            </w:r>
            <w:r>
              <w:rPr>
                <w:rFonts w:hint="eastAsia" w:ascii="楷体" w:hAnsi="楷体" w:eastAsia="楷体" w:cs="宋体"/>
                <w:color w:val="000000"/>
                <w:kern w:val="0"/>
                <w:sz w:val="32"/>
                <w:szCs w:val="32"/>
                <w:lang w:eastAsia="zh-CN"/>
              </w:rPr>
              <w:t>减少</w:t>
            </w:r>
            <w:r>
              <w:rPr>
                <w:rFonts w:hint="eastAsia" w:ascii="楷体" w:hAnsi="楷体" w:eastAsia="楷体" w:cs="宋体"/>
                <w:color w:val="000000"/>
                <w:kern w:val="0"/>
                <w:sz w:val="32"/>
                <w:szCs w:val="32"/>
                <w:lang w:val="en-US" w:eastAsia="zh-CN"/>
              </w:rPr>
              <w:t>6</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03</w:t>
            </w:r>
            <w:r>
              <w:rPr>
                <w:rFonts w:hint="eastAsia" w:ascii="楷体" w:hAnsi="楷体" w:eastAsia="楷体" w:cs="宋体"/>
                <w:color w:val="000000"/>
                <w:kern w:val="0"/>
                <w:sz w:val="32"/>
                <w:szCs w:val="32"/>
              </w:rPr>
              <w:t>万元，</w:t>
            </w:r>
            <w:r>
              <w:rPr>
                <w:rFonts w:hint="eastAsia" w:ascii="楷体" w:hAnsi="楷体" w:eastAsia="楷体" w:cs="宋体"/>
                <w:color w:val="000000"/>
                <w:kern w:val="0"/>
                <w:sz w:val="32"/>
                <w:szCs w:val="32"/>
                <w:lang w:eastAsia="zh-CN"/>
              </w:rPr>
              <w:t>减少</w:t>
            </w:r>
            <w:r>
              <w:rPr>
                <w:rFonts w:hint="eastAsia" w:ascii="楷体" w:hAnsi="楷体" w:eastAsia="楷体" w:cs="宋体"/>
                <w:color w:val="000000"/>
                <w:kern w:val="0"/>
                <w:sz w:val="32"/>
                <w:szCs w:val="32"/>
                <w:lang w:val="en-US" w:eastAsia="zh-CN"/>
              </w:rPr>
              <w:t>9</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eastAsia="zh-CN"/>
              </w:rPr>
              <w:t>减少</w:t>
            </w:r>
            <w:r>
              <w:rPr>
                <w:rFonts w:hint="eastAsia" w:ascii="楷体" w:hAnsi="楷体" w:eastAsia="楷体" w:cs="楷体"/>
                <w:sz w:val="32"/>
                <w:szCs w:val="32"/>
                <w:lang w:eastAsia="zh-CN"/>
              </w:rPr>
              <w:t>为了落实“过紧日子”工作要求，压缩开支</w:t>
            </w:r>
            <w:r>
              <w:rPr>
                <w:rFonts w:hint="eastAsia" w:ascii="楷体" w:hAnsi="楷体" w:eastAsia="楷体" w:cs="楷体"/>
                <w:color w:val="000000"/>
                <w:kern w:val="0"/>
                <w:sz w:val="32"/>
                <w:szCs w:val="32"/>
              </w:rPr>
              <w:t>。</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ind w:firstLine="480" w:firstLineChars="15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（二）总体绩效目标完成情况分析。</w:t>
            </w:r>
          </w:p>
        </w:tc>
      </w:tr>
      <w:tr>
        <w:tblPrEx>
          <w:tblCellMar>
            <w:top w:w="0" w:type="dxa"/>
            <w:left w:w="108" w:type="dxa"/>
            <w:bottom w:w="0" w:type="dxa"/>
            <w:right w:w="108" w:type="dxa"/>
          </w:tblCellMar>
        </w:tblPrEx>
        <w:trPr>
          <w:trHeight w:val="553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年度目标：1、强化审判职能，服务大局有新作为;2、践行司法为民，服务群众有新举措；3、坚持从严治院，队伍建设有新形象；4、夯实基层基础，司法保障有新成效；5、推进司法改革，审判机制有新突破。</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完成情况：1、依法审结案件</w:t>
            </w:r>
            <w:r>
              <w:rPr>
                <w:rFonts w:hint="eastAsia" w:ascii="楷体" w:hAnsi="楷体" w:eastAsia="楷体" w:cs="宋体"/>
                <w:color w:val="000000"/>
                <w:kern w:val="0"/>
                <w:sz w:val="32"/>
                <w:szCs w:val="32"/>
                <w:lang w:val="en-US" w:eastAsia="zh-CN"/>
              </w:rPr>
              <w:t>5957</w:t>
            </w:r>
            <w:r>
              <w:rPr>
                <w:rFonts w:hint="eastAsia" w:ascii="楷体" w:hAnsi="楷体" w:eastAsia="楷体" w:cs="宋体"/>
                <w:color w:val="000000"/>
                <w:kern w:val="0"/>
                <w:sz w:val="32"/>
                <w:szCs w:val="32"/>
              </w:rPr>
              <w:t>件。案件审结率8</w:t>
            </w:r>
            <w:r>
              <w:rPr>
                <w:rFonts w:hint="eastAsia" w:ascii="楷体" w:hAnsi="楷体" w:eastAsia="楷体" w:cs="宋体"/>
                <w:color w:val="000000"/>
                <w:kern w:val="0"/>
                <w:sz w:val="32"/>
                <w:szCs w:val="32"/>
                <w:lang w:val="en-US" w:eastAsia="zh-CN"/>
              </w:rPr>
              <w:t>6</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79</w:t>
            </w:r>
            <w:r>
              <w:rPr>
                <w:rFonts w:hint="eastAsia" w:ascii="楷体" w:hAnsi="楷体" w:eastAsia="楷体" w:cs="宋体"/>
                <w:color w:val="000000"/>
                <w:kern w:val="0"/>
                <w:sz w:val="32"/>
                <w:szCs w:val="32"/>
              </w:rPr>
              <w:t>%；2、狠抓窗口建设，健全诉讼引导、立案审查、诉前调解、司法救助、查询咨询、信访接待、收费退费等，为群众提供高效便捷的诉讼服务；3、狠抓思想政治建设、廉政作风建设、建设学习型法院；4、加大“智慧法院”建设投入，建成了庭审直播、远程办案、视频监控等信息化工作体系；通过集体培训、分组学习形式，不断提高陪审员的履职能力，充分发挥人民陪审员职能，全程参加案件庭审和评议；加强安防硬件建设，配备安保力量，严格实行来访来客登记检查制度；5、落实以审判责任制为核心的法官员额制改革，实现司法资源优化配置；深入推进司法公开，不断完善审判流程、开庭审理、裁判文书、执行信息四大公开平台建设。</w:t>
            </w:r>
          </w:p>
        </w:tc>
      </w:tr>
      <w:tr>
        <w:tblPrEx>
          <w:tblCellMar>
            <w:top w:w="0" w:type="dxa"/>
            <w:left w:w="108" w:type="dxa"/>
            <w:bottom w:w="0" w:type="dxa"/>
            <w:right w:w="108" w:type="dxa"/>
          </w:tblCellMar>
        </w:tblPrEx>
        <w:trPr>
          <w:trHeight w:val="585" w:hRule="atLeast"/>
        </w:trPr>
        <w:tc>
          <w:tcPr>
            <w:tcW w:w="0" w:type="auto"/>
            <w:tcBorders>
              <w:top w:val="nil"/>
              <w:left w:val="nil"/>
              <w:bottom w:val="nil"/>
              <w:right w:val="nil"/>
            </w:tcBorders>
            <w:shd w:val="clear" w:color="auto" w:fill="auto"/>
            <w:vAlign w:val="center"/>
          </w:tcPr>
          <w:p>
            <w:pPr>
              <w:widowControl/>
              <w:ind w:firstLine="640" w:firstLineChars="200"/>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（三）各项指标完成情况分析。</w:t>
            </w:r>
          </w:p>
        </w:tc>
      </w:tr>
      <w:tr>
        <w:tblPrEx>
          <w:tblCellMar>
            <w:top w:w="0" w:type="dxa"/>
            <w:left w:w="108" w:type="dxa"/>
            <w:bottom w:w="0" w:type="dxa"/>
            <w:right w:w="108" w:type="dxa"/>
          </w:tblCellMar>
        </w:tblPrEx>
        <w:trPr>
          <w:trHeight w:val="7950"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1、部门管理指标情况分析。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（1）资金投入指标。我院基本支出预算执行率100%，项目支出预算执行率100%，结转结余变动率0%。</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（2）财务管理指标。我院财务管理制度健全，资金使用合理合规。</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（3）采购管理指标。我院采购管理合法合规，采购手续齐全，严格按照政府相关采购规定执行。</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2、履职效果指标情况分析。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（1）部门履职目标。我院2020年新收各类案件</w:t>
            </w:r>
            <w:r>
              <w:rPr>
                <w:rFonts w:hint="eastAsia" w:ascii="楷体" w:hAnsi="楷体" w:eastAsia="楷体" w:cs="宋体"/>
                <w:color w:val="000000"/>
                <w:kern w:val="0"/>
                <w:sz w:val="32"/>
                <w:szCs w:val="32"/>
                <w:lang w:val="en-US" w:eastAsia="zh-CN"/>
              </w:rPr>
              <w:t>5957</w:t>
            </w:r>
            <w:r>
              <w:rPr>
                <w:rFonts w:hint="eastAsia" w:ascii="楷体" w:hAnsi="楷体" w:eastAsia="楷体" w:cs="宋体"/>
                <w:color w:val="000000"/>
                <w:kern w:val="0"/>
                <w:sz w:val="32"/>
                <w:szCs w:val="32"/>
              </w:rPr>
              <w:t>件，审结</w:t>
            </w:r>
            <w:r>
              <w:rPr>
                <w:rFonts w:hint="eastAsia" w:ascii="楷体" w:hAnsi="楷体" w:eastAsia="楷体" w:cs="宋体"/>
                <w:color w:val="000000"/>
                <w:kern w:val="0"/>
                <w:sz w:val="32"/>
                <w:szCs w:val="32"/>
                <w:lang w:val="en-US" w:eastAsia="zh-CN"/>
              </w:rPr>
              <w:t>5170</w:t>
            </w:r>
            <w:r>
              <w:rPr>
                <w:rFonts w:hint="eastAsia" w:ascii="楷体" w:hAnsi="楷体" w:eastAsia="楷体" w:cs="宋体"/>
                <w:color w:val="000000"/>
                <w:kern w:val="0"/>
                <w:sz w:val="32"/>
                <w:szCs w:val="32"/>
              </w:rPr>
              <w:t>件，结案率8</w:t>
            </w:r>
            <w:r>
              <w:rPr>
                <w:rFonts w:hint="eastAsia" w:ascii="楷体" w:hAnsi="楷体" w:eastAsia="楷体" w:cs="宋体"/>
                <w:color w:val="000000"/>
                <w:kern w:val="0"/>
                <w:sz w:val="32"/>
                <w:szCs w:val="32"/>
                <w:lang w:val="en-US" w:eastAsia="zh-CN"/>
              </w:rPr>
              <w:t>6</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79</w:t>
            </w:r>
            <w:r>
              <w:rPr>
                <w:rFonts w:hint="eastAsia" w:ascii="楷体" w:hAnsi="楷体" w:eastAsia="楷体" w:cs="宋体"/>
                <w:color w:val="000000"/>
                <w:kern w:val="0"/>
                <w:sz w:val="32"/>
                <w:szCs w:val="32"/>
              </w:rPr>
              <w:t>%，审限期结案率</w:t>
            </w:r>
            <w:r>
              <w:rPr>
                <w:rFonts w:hint="eastAsia" w:ascii="楷体" w:hAnsi="楷体" w:eastAsia="楷体" w:cs="宋体"/>
                <w:color w:val="000000"/>
                <w:kern w:val="0"/>
                <w:sz w:val="32"/>
                <w:szCs w:val="32"/>
                <w:lang w:val="en-US" w:eastAsia="zh-CN"/>
              </w:rPr>
              <w:t>100</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（2）部门效果目标。我院围绕社会稳定大局、促进社会经济平稳发展、保障群众安居乐业。</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（3）社会影响。我院2020年无违法违纪现象。</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3、能力建设指标情况分析。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（1）组织建设。我院狠抓思想政治建设，廉政作风建设、建设学习型法院。</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4、服务对象满意度</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我院积极开展审判执行工作，维护社会稳定，加强法院队伍建设，不断提升审判执行能力，提高司法公信力，为人民群众服务。</w:t>
            </w:r>
          </w:p>
        </w:tc>
      </w:tr>
      <w:tr>
        <w:tblPrEx>
          <w:tblCellMar>
            <w:top w:w="0" w:type="dxa"/>
            <w:left w:w="108" w:type="dxa"/>
            <w:bottom w:w="0" w:type="dxa"/>
            <w:right w:w="108" w:type="dxa"/>
          </w:tblCellMar>
        </w:tblPrEx>
        <w:trPr>
          <w:trHeight w:val="55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（四）偏离绩效目标的原因及下一步改进措施</w:t>
            </w:r>
          </w:p>
        </w:tc>
      </w:tr>
      <w:tr>
        <w:tblPrEx>
          <w:tblCellMar>
            <w:top w:w="0" w:type="dxa"/>
            <w:left w:w="108" w:type="dxa"/>
            <w:bottom w:w="0" w:type="dxa"/>
            <w:right w:w="108" w:type="dxa"/>
          </w:tblCellMar>
        </w:tblPrEx>
        <w:trPr>
          <w:trHeight w:val="1080"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我院将健全相关制度，明确部门和人员，逐步规范绩效目标编制，加强绩效跟踪监控，提升绩效评价质量，提高财政资金使用效益。</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四、部门预算项目支出绩效自评情况分析</w:t>
            </w:r>
            <w:r>
              <w:rPr>
                <w:rFonts w:ascii="Arial" w:hAnsi="Arial" w:eastAsia="黑体" w:cs="Arial"/>
                <w:color w:val="000000"/>
                <w:kern w:val="0"/>
                <w:sz w:val="32"/>
                <w:szCs w:val="32"/>
              </w:rPr>
              <w:t xml:space="preserve"> </w:t>
            </w:r>
          </w:p>
        </w:tc>
      </w:tr>
      <w:tr>
        <w:tblPrEx>
          <w:tblCellMar>
            <w:top w:w="0" w:type="dxa"/>
            <w:left w:w="108" w:type="dxa"/>
            <w:bottom w:w="0" w:type="dxa"/>
            <w:right w:w="108" w:type="dxa"/>
          </w:tblCellMar>
        </w:tblPrEx>
        <w:trPr>
          <w:trHeight w:val="1560"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2020年，本部门预算支出项目2个，当年财政拨款2</w:t>
            </w:r>
            <w:r>
              <w:rPr>
                <w:rFonts w:hint="eastAsia" w:ascii="楷体" w:hAnsi="楷体" w:eastAsia="楷体" w:cs="宋体"/>
                <w:color w:val="000000"/>
                <w:kern w:val="0"/>
                <w:sz w:val="32"/>
                <w:szCs w:val="32"/>
                <w:lang w:val="en-US" w:eastAsia="zh-CN"/>
              </w:rPr>
              <w:t>30</w:t>
            </w:r>
            <w:r>
              <w:rPr>
                <w:rFonts w:hint="eastAsia" w:ascii="楷体" w:hAnsi="楷体" w:eastAsia="楷体" w:cs="宋体"/>
                <w:color w:val="000000"/>
                <w:kern w:val="0"/>
                <w:sz w:val="32"/>
                <w:szCs w:val="32"/>
              </w:rPr>
              <w:t>万元，全年支出2</w:t>
            </w:r>
            <w:r>
              <w:rPr>
                <w:rFonts w:hint="eastAsia" w:ascii="楷体" w:hAnsi="楷体" w:eastAsia="楷体" w:cs="宋体"/>
                <w:color w:val="000000"/>
                <w:kern w:val="0"/>
                <w:sz w:val="32"/>
                <w:szCs w:val="32"/>
                <w:lang w:val="en-US" w:eastAsia="zh-CN"/>
              </w:rPr>
              <w:t>30</w:t>
            </w:r>
            <w:r>
              <w:rPr>
                <w:rFonts w:hint="eastAsia" w:ascii="楷体" w:hAnsi="楷体" w:eastAsia="楷体" w:cs="宋体"/>
                <w:color w:val="000000"/>
                <w:kern w:val="0"/>
                <w:sz w:val="32"/>
                <w:szCs w:val="32"/>
              </w:rPr>
              <w:t>万元，执行率100%。通过自评，有2个项目结果为“优”。分项目自评情况分析如下：</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（一）业务费</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1.项目支出预算执行情况。</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我院2020年业务费190万元，实际支出190万元，执行率100%。</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2.总体绩效目标完成情况分析。</w:t>
            </w:r>
          </w:p>
        </w:tc>
      </w:tr>
      <w:tr>
        <w:tblPrEx>
          <w:tblCellMar>
            <w:top w:w="0" w:type="dxa"/>
            <w:left w:w="108" w:type="dxa"/>
            <w:bottom w:w="0" w:type="dxa"/>
            <w:right w:w="108" w:type="dxa"/>
          </w:tblCellMar>
        </w:tblPrEx>
        <w:trPr>
          <w:trHeight w:val="220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年度目标：办案质效有所提高，充分发挥维护社会和谐稳定、民族团结的作用；法官业务能力不断提高，公众满意度不断提升；加强法制宣传力度，提升法律意识；保障本院审判执行工作高效运转。</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完成情况：总体目标基本完成，资金使用效率高，资金执行率达到100%。</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3.各项指标完成情况分析。</w:t>
            </w:r>
          </w:p>
        </w:tc>
      </w:tr>
      <w:tr>
        <w:tblPrEx>
          <w:tblCellMar>
            <w:top w:w="0" w:type="dxa"/>
            <w:left w:w="108" w:type="dxa"/>
            <w:bottom w:w="0" w:type="dxa"/>
            <w:right w:w="108" w:type="dxa"/>
          </w:tblCellMar>
        </w:tblPrEx>
        <w:trPr>
          <w:trHeight w:val="4500"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（1）产出指标情况分析。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数量指标。我院2020年新收各类案件</w:t>
            </w:r>
            <w:r>
              <w:rPr>
                <w:rFonts w:hint="eastAsia" w:ascii="楷体" w:hAnsi="楷体" w:eastAsia="楷体" w:cs="宋体"/>
                <w:color w:val="000000"/>
                <w:kern w:val="0"/>
                <w:sz w:val="32"/>
                <w:szCs w:val="32"/>
                <w:lang w:val="en-US" w:eastAsia="zh-CN"/>
              </w:rPr>
              <w:t>4943</w:t>
            </w:r>
            <w:r>
              <w:rPr>
                <w:rFonts w:hint="eastAsia" w:ascii="楷体" w:hAnsi="楷体" w:eastAsia="楷体" w:cs="宋体"/>
                <w:color w:val="000000"/>
                <w:kern w:val="0"/>
                <w:sz w:val="32"/>
                <w:szCs w:val="32"/>
              </w:rPr>
              <w:t>件，法定审限结案率100%。</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质量指标。我院业务费支出严格按照规定的支出范围进行支付，承办案件在评查、复查及专项检查中没有出现问题和产生不良的社会影响。</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时效指标。我院资金执行率100%。 </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（2）效益指标情况分析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经济效益。我院通过审判执行工作为国家、集体、个人挽回巨大的经济损失，司法公信力不断提高，有益于我院的审判执行工作的开展。 </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（3）满意度指标情况分析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我院审判执行工作中均未收到各方面的投诉，满意率达95%以上。</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（二）法庭运维费</w:t>
            </w:r>
          </w:p>
        </w:tc>
      </w:tr>
      <w:tr>
        <w:tblPrEx>
          <w:tblCellMar>
            <w:top w:w="0" w:type="dxa"/>
            <w:left w:w="108" w:type="dxa"/>
            <w:bottom w:w="0" w:type="dxa"/>
            <w:right w:w="108" w:type="dxa"/>
          </w:tblCellMar>
        </w:tblPrEx>
        <w:trPr>
          <w:trHeight w:val="535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（1）产出指标情况分析。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数量指标。我院基层法庭2020年新收各类案件</w:t>
            </w:r>
            <w:r>
              <w:rPr>
                <w:rFonts w:hint="eastAsia" w:ascii="楷体" w:hAnsi="楷体" w:eastAsia="楷体" w:cs="宋体"/>
                <w:color w:val="000000"/>
                <w:kern w:val="0"/>
                <w:sz w:val="32"/>
                <w:szCs w:val="32"/>
                <w:lang w:val="en-US" w:eastAsia="zh-CN"/>
              </w:rPr>
              <w:t>1014</w:t>
            </w:r>
            <w:r>
              <w:rPr>
                <w:rFonts w:hint="eastAsia" w:ascii="楷体" w:hAnsi="楷体" w:eastAsia="楷体" w:cs="宋体"/>
                <w:color w:val="000000"/>
                <w:kern w:val="0"/>
                <w:sz w:val="32"/>
                <w:szCs w:val="32"/>
              </w:rPr>
              <w:t>件，各法庭结案率达</w:t>
            </w:r>
            <w:r>
              <w:rPr>
                <w:rFonts w:hint="eastAsia" w:ascii="楷体" w:hAnsi="楷体" w:eastAsia="楷体" w:cs="宋体"/>
                <w:color w:val="000000"/>
                <w:kern w:val="0"/>
                <w:sz w:val="32"/>
                <w:szCs w:val="32"/>
                <w:lang w:val="en-US" w:eastAsia="zh-CN"/>
              </w:rPr>
              <w:t>97</w:t>
            </w:r>
            <w:bookmarkStart w:id="0" w:name="_GoBack"/>
            <w:bookmarkEnd w:id="0"/>
            <w:r>
              <w:rPr>
                <w:rFonts w:hint="eastAsia" w:ascii="楷体" w:hAnsi="楷体" w:eastAsia="楷体" w:cs="宋体"/>
                <w:color w:val="000000"/>
                <w:kern w:val="0"/>
                <w:sz w:val="32"/>
                <w:szCs w:val="32"/>
              </w:rPr>
              <w:t>%以上。法定审限内结案率100%。</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质量指标。我院法庭运维费严格按照“全省法院派出法庭运维经费规范使用的通知”执行，专款专用。</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时效指标。我院法庭运维费执行率100%。</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（2）效益指标情况分析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经济效益。我院基层法庭通过审判执行工作为国家、集体、个人挽回巨大的经济损失，司法公信力不断提高，有益于我院的审判执行工作的开展。 </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（3）满意度指标情况分析</w:t>
            </w:r>
            <w:r>
              <w:rPr>
                <w:rFonts w:hint="eastAsia" w:ascii="楷体" w:hAnsi="楷体" w:eastAsia="楷体" w:cs="宋体"/>
                <w:color w:val="000000"/>
                <w:kern w:val="0"/>
                <w:sz w:val="32"/>
                <w:szCs w:val="32"/>
              </w:rPr>
              <w:br w:type="textWrapping"/>
            </w:r>
            <w:r>
              <w:rPr>
                <w:rFonts w:hint="eastAsia" w:ascii="楷体" w:hAnsi="楷体" w:eastAsia="楷体" w:cs="宋体"/>
                <w:color w:val="000000"/>
                <w:kern w:val="0"/>
                <w:sz w:val="32"/>
                <w:szCs w:val="32"/>
              </w:rPr>
              <w:t xml:space="preserve">    我院基层法庭审判执行工作中均未收到各方面的投诉，满意率达95%以上。</w:t>
            </w:r>
          </w:p>
        </w:tc>
      </w:tr>
      <w:tr>
        <w:tblPrEx>
          <w:tblCellMar>
            <w:top w:w="0" w:type="dxa"/>
            <w:left w:w="108" w:type="dxa"/>
            <w:bottom w:w="0" w:type="dxa"/>
            <w:right w:w="108" w:type="dxa"/>
          </w:tblCellMar>
        </w:tblPrEx>
        <w:trPr>
          <w:trHeight w:val="720"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六、绩效自评结果拟应用和公开情况</w:t>
            </w:r>
          </w:p>
        </w:tc>
      </w:tr>
      <w:tr>
        <w:tblPrEx>
          <w:tblCellMar>
            <w:top w:w="0" w:type="dxa"/>
            <w:left w:w="108" w:type="dxa"/>
            <w:bottom w:w="0" w:type="dxa"/>
            <w:right w:w="108" w:type="dxa"/>
          </w:tblCellMar>
        </w:tblPrEx>
        <w:trPr>
          <w:trHeight w:val="1365" w:hRule="atLeast"/>
        </w:trPr>
        <w:tc>
          <w:tcPr>
            <w:tcW w:w="11160" w:type="dxa"/>
            <w:tcBorders>
              <w:top w:val="nil"/>
              <w:left w:val="nil"/>
              <w:bottom w:val="nil"/>
              <w:right w:val="nil"/>
            </w:tcBorders>
            <w:shd w:val="clear" w:color="auto" w:fill="auto"/>
          </w:tcPr>
          <w:p>
            <w:pPr>
              <w:widowControl/>
              <w:jc w:val="left"/>
              <w:rPr>
                <w:rFonts w:hint="eastAsia" w:ascii="楷体" w:hAnsi="楷体" w:eastAsia="楷体" w:cs="宋体"/>
                <w:color w:val="000000"/>
                <w:kern w:val="0"/>
                <w:sz w:val="32"/>
                <w:szCs w:val="32"/>
              </w:rPr>
            </w:pPr>
            <w:r>
              <w:rPr>
                <w:rFonts w:hint="eastAsia" w:ascii="楷体" w:hAnsi="楷体" w:eastAsia="楷体" w:cs="宋体"/>
                <w:color w:val="000000"/>
                <w:kern w:val="0"/>
                <w:sz w:val="32"/>
                <w:szCs w:val="32"/>
              </w:rPr>
              <w:t xml:space="preserve">    我院将2020年度业务费和法庭运维费项目的绩效评价报告和结果作为2021年改进和提高资金使用效益的依据，提高预算编制质量，加快执行进度。</w:t>
            </w:r>
          </w:p>
        </w:tc>
      </w:tr>
      <w:tr>
        <w:tblPrEx>
          <w:tblCellMar>
            <w:top w:w="0" w:type="dxa"/>
            <w:left w:w="108" w:type="dxa"/>
            <w:bottom w:w="0" w:type="dxa"/>
            <w:right w:w="108" w:type="dxa"/>
          </w:tblCellMar>
        </w:tblPrEx>
        <w:trPr>
          <w:trHeight w:val="765" w:hRule="atLeast"/>
        </w:trPr>
        <w:tc>
          <w:tcPr>
            <w:tcW w:w="11160" w:type="dxa"/>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七、其他需要说明的问题</w:t>
            </w:r>
          </w:p>
        </w:tc>
      </w:tr>
      <w:tr>
        <w:tblPrEx>
          <w:tblCellMar>
            <w:top w:w="0" w:type="dxa"/>
            <w:left w:w="108" w:type="dxa"/>
            <w:bottom w:w="0" w:type="dxa"/>
            <w:right w:w="108" w:type="dxa"/>
          </w:tblCellMar>
        </w:tblPrEx>
        <w:trPr>
          <w:trHeight w:val="585" w:hRule="atLeast"/>
        </w:trPr>
        <w:tc>
          <w:tcPr>
            <w:tcW w:w="11160" w:type="dxa"/>
            <w:tcBorders>
              <w:top w:val="nil"/>
              <w:left w:val="nil"/>
              <w:bottom w:val="nil"/>
              <w:right w:val="nil"/>
            </w:tcBorders>
            <w:shd w:val="clear" w:color="auto" w:fill="auto"/>
            <w:vAlign w:val="center"/>
          </w:tcPr>
          <w:p>
            <w:pPr>
              <w:widowControl/>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无其他需要说明的问题</w:t>
            </w:r>
          </w:p>
        </w:tc>
      </w:tr>
    </w:tbl>
    <w:p>
      <w:pPr>
        <w:spacing w:line="56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72"/>
    <w:rsid w:val="00263672"/>
    <w:rsid w:val="002A4D2F"/>
    <w:rsid w:val="004C5501"/>
    <w:rsid w:val="00502D4D"/>
    <w:rsid w:val="00907D74"/>
    <w:rsid w:val="00FE557C"/>
    <w:rsid w:val="08E00B34"/>
    <w:rsid w:val="5AE51ACF"/>
    <w:rsid w:val="77E90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772</Words>
  <Characters>4404</Characters>
  <Lines>36</Lines>
  <Paragraphs>10</Paragraphs>
  <TotalTime>12</TotalTime>
  <ScaleCrop>false</ScaleCrop>
  <LinksUpToDate>false</LinksUpToDate>
  <CharactersWithSpaces>5166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2021-08-24T09:34:00Z</dcterms:created>
  <dc:creator>Administrator</dc:creator>
  <cp:lastModifiedBy>薄雾</cp:lastModifiedBy>
  <cp:lastPrinted>2021-08-24T09:48:00Z</cp:lastPrinted>
  <dcterms:modified xsi:type="dcterms:W3CDTF">2021-08-25T00:55:39Z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