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kern w:val="0"/>
          <w:sz w:val="44"/>
          <w:szCs w:val="44"/>
        </w:rPr>
      </w:pPr>
    </w:p>
    <w:p>
      <w:pPr>
        <w:rPr>
          <w:rFonts w:ascii="仿宋_GB2312" w:eastAsia="仿宋_GB2312"/>
          <w:b/>
          <w:color w:val="000000"/>
          <w:sz w:val="44"/>
        </w:rPr>
      </w:pPr>
    </w:p>
    <w:p>
      <w:pPr>
        <w:rPr>
          <w:rFonts w:ascii="仿宋_GB2312" w:eastAsia="仿宋_GB2312"/>
          <w:b/>
          <w:color w:val="000000"/>
          <w:sz w:val="44"/>
        </w:rPr>
      </w:pPr>
    </w:p>
    <w:p>
      <w:pPr>
        <w:jc w:val="center"/>
        <w:rPr>
          <w:rFonts w:ascii="宋体" w:hAnsi="宋体" w:cs="宋体"/>
          <w:sz w:val="48"/>
          <w:szCs w:val="48"/>
        </w:rPr>
      </w:pPr>
      <w:r>
        <w:rPr>
          <w:rFonts w:hint="eastAsia" w:ascii="宋体" w:hAnsi="宋体" w:cs="宋体"/>
          <w:sz w:val="48"/>
          <w:szCs w:val="48"/>
        </w:rPr>
        <w:t>2020年度合作市人民法院</w:t>
      </w:r>
    </w:p>
    <w:p>
      <w:pPr>
        <w:jc w:val="center"/>
        <w:rPr>
          <w:rFonts w:ascii="宋体" w:hAnsi="宋体" w:cs="宋体"/>
          <w:sz w:val="48"/>
          <w:szCs w:val="48"/>
        </w:rPr>
      </w:pPr>
      <w:r>
        <w:rPr>
          <w:rFonts w:hint="eastAsia" w:ascii="宋体" w:hAnsi="宋体" w:cs="宋体"/>
          <w:sz w:val="48"/>
          <w:szCs w:val="48"/>
        </w:rPr>
        <w:t>部门预算执行情况自评报告</w:t>
      </w:r>
    </w:p>
    <w:p>
      <w:pPr>
        <w:jc w:val="center"/>
        <w:rPr>
          <w:rFonts w:ascii="宋体" w:hAnsi="宋体" w:cs="宋体"/>
          <w:sz w:val="48"/>
          <w:szCs w:val="48"/>
        </w:rPr>
      </w:pPr>
    </w:p>
    <w:p>
      <w:pPr>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省财政厅：</w:t>
      </w:r>
    </w:p>
    <w:p>
      <w:pPr>
        <w:pStyle w:val="11"/>
        <w:ind w:firstLine="640"/>
        <w:jc w:val="left"/>
        <w:rPr>
          <w:rFonts w:ascii="仿宋_GB2312" w:hAnsi="仿宋" w:eastAsia="仿宋_GB2312" w:cs="仿宋"/>
          <w:sz w:val="32"/>
          <w:szCs w:val="32"/>
        </w:rPr>
      </w:pPr>
      <w:r>
        <w:rPr>
          <w:rFonts w:hint="eastAsia" w:ascii="仿宋_GB2312" w:hAnsi="黑体" w:eastAsia="仿宋_GB2312" w:cs="黑体"/>
          <w:sz w:val="32"/>
          <w:szCs w:val="32"/>
        </w:rPr>
        <w:t>一、基本情况</w:t>
      </w:r>
    </w:p>
    <w:p>
      <w:pPr>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（一）部门主要职能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人民法院是国家的审判机关，主要任务是依法独立行使审判权，保证国家法律的统一、正确实施。据此，合作市人民法院的主要职责：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1.依法审理法律、法规规定的由市人民法院管辖的刑事、民事、行政案件。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2.依照审判监督程序，审理告诉、申诉的刑事、民事案件。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3.依法审理由中级人民法院指定再审的案件和人民检察院抗诉的案件。受理当事人不服本院发生法律效力的判决、裁定并提起申诉的刑事、行政诉讼案件。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4.依法行使执行权和司法决定权，执行本院已经发生法律效力的判决、裁决以及国家行政机关申请执行的案件和外地法院委托执行的案件。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5.对法律规定、规章等草案提出意见，对案件审理中发现的问题提出司法建议。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6.参与社会治安综合治理工作，在审判工作中宣传法制、教育公民自觉遵守宪法、法律、法规和社会公德。</w:t>
      </w:r>
    </w:p>
    <w:p>
      <w:pPr>
        <w:ind w:firstLine="640" w:firstLineChars="200"/>
        <w:jc w:val="left"/>
        <w:rPr>
          <w:rFonts w:ascii="仿宋_GB2312" w:hAnsi="楷体" w:eastAsia="仿宋_GB2312" w:cs="楷体"/>
          <w:color w:val="FF0000"/>
          <w:sz w:val="32"/>
          <w:szCs w:val="32"/>
        </w:rPr>
      </w:pPr>
      <w:r>
        <w:rPr>
          <w:rFonts w:hint="eastAsia" w:ascii="仿宋_GB2312" w:hAnsi="楷体" w:eastAsia="仿宋_GB2312" w:cs="楷体"/>
          <w:sz w:val="32"/>
          <w:szCs w:val="32"/>
        </w:rPr>
        <w:t>（二）</w:t>
      </w:r>
      <w:r>
        <w:rPr>
          <w:rFonts w:hint="eastAsia" w:ascii="仿宋_GB2312" w:hAnsi="楷体" w:eastAsia="仿宋_GB2312" w:cs="楷体"/>
          <w:color w:val="000000"/>
          <w:sz w:val="32"/>
          <w:szCs w:val="32"/>
        </w:rPr>
        <w:t>内设机构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市人民法院属财政全额拨款的行政单位，现内设11个科室，具体包括民事第一审判庭、民事第二审判庭、刑事审判庭、行政审判庭、立案庭、执行局、司法警察大队、政工科、办公室、审判监督庭、审判管理办公室。</w:t>
      </w:r>
    </w:p>
    <w:p>
      <w:pPr>
        <w:tabs>
          <w:tab w:val="left" w:pos="1065"/>
        </w:tabs>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二、绩效自评工作组织开展情况</w:t>
      </w:r>
    </w:p>
    <w:p>
      <w:pPr>
        <w:tabs>
          <w:tab w:val="left" w:pos="1065"/>
        </w:tabs>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绩效自评的基本原理、原则和项目特点，结合绩效目标，由项目组按照逻辑分析法独立研制科学的指标体系表。绩效自评表按照逻辑分析法设计，包括部门管理、履职效果、能力建设，服务对象满意度四部分内容组成。评价指标遵循相关性原则、重要性原则、可比性原则、经济性原则和系统性原则设置。绩效自评表为评分所用，需要基础表、问卷调查（详见附件1-3统计表）和访谈的支持。</w:t>
      </w:r>
    </w:p>
    <w:p>
      <w:pPr>
        <w:tabs>
          <w:tab w:val="left" w:pos="1065"/>
        </w:tabs>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绩效自评工作方案评审后，根据意见进行修改，形成绩效自评表。</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（数据来源主要包括由被评价单位填列的表格、提供的制度文件、预算资料、财务账册、与相关单位进行访谈以及问卷调查。具体每个指标的证据收集方法详见附件1-3统计表及工作底稿。）</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绩效自评实施过程自项目布置以来，项目组在前期调研的基础上，完成了项目绩效自评工作方案，明确了评价的目的、方法、评价的原则、指标体系、评价标准、问卷调查方案及访谈方案等。评价机构按照工作方案，经过了数据采集、问卷调查、访谈、数据分析和报告撰写等环节，顺利完成了绩效自评工作。具体实施过程如下：</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数据填报和采集：通过电话、微信、实地采集和发放调查问卷等形式填报反馈相关数据。所有数据经核查后汇总。</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访谈：对相关人员进行了访谈，包括：合作市人民法院院主管领导、财务负责人、政工科及其他科室。</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通过总结汇总各项结果得出评价数据（反映在工作底稿），绩效自评组撰写自评报告。</w:t>
      </w:r>
    </w:p>
    <w:p>
      <w:pPr>
        <w:tabs>
          <w:tab w:val="left" w:pos="1065"/>
        </w:tabs>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三、部门整体支出绩效自评情况分析</w:t>
      </w:r>
    </w:p>
    <w:p>
      <w:pPr>
        <w:ind w:firstLine="640" w:firstLineChars="200"/>
        <w:jc w:val="left"/>
        <w:rPr>
          <w:rFonts w:ascii="仿宋_GB2312" w:hAnsi="楷体" w:eastAsia="仿宋_GB2312" w:cs="楷体"/>
          <w:sz w:val="32"/>
          <w:szCs w:val="32"/>
        </w:rPr>
      </w:pPr>
      <w:r>
        <w:rPr>
          <w:rFonts w:hint="eastAsia" w:ascii="仿宋_GB2312" w:hAnsi="楷体" w:eastAsia="仿宋_GB2312" w:cs="楷体"/>
          <w:sz w:val="32"/>
          <w:szCs w:val="32"/>
        </w:rPr>
        <w:t>（一）部门决算情况</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w:t>
      </w:r>
      <w:r>
        <w:rPr>
          <w:rFonts w:hint="eastAsia" w:ascii="仿宋_GB2312" w:hAnsi="仿宋" w:eastAsia="仿宋_GB2312" w:cs="仿宋"/>
          <w:kern w:val="0"/>
          <w:sz w:val="32"/>
          <w:szCs w:val="32"/>
        </w:rPr>
        <w:t>合作市人民法院</w:t>
      </w:r>
      <w:r>
        <w:rPr>
          <w:rFonts w:hint="eastAsia" w:ascii="仿宋_GB2312" w:hAnsi="仿宋" w:eastAsia="仿宋_GB2312" w:cs="仿宋"/>
          <w:color w:val="000000"/>
          <w:sz w:val="32"/>
          <w:szCs w:val="32"/>
        </w:rPr>
        <w:t>决算收入11,976,018.00</w:t>
      </w:r>
      <w:r>
        <w:rPr>
          <w:rFonts w:hint="eastAsia" w:ascii="仿宋_GB2312" w:hAnsi="仿宋" w:eastAsia="仿宋_GB2312" w:cs="仿宋"/>
          <w:sz w:val="32"/>
          <w:szCs w:val="32"/>
        </w:rPr>
        <w:t>元，其中财政拨款收入</w:t>
      </w:r>
      <w:r>
        <w:rPr>
          <w:rFonts w:hint="eastAsia" w:ascii="仿宋_GB2312" w:hAnsi="仿宋" w:eastAsia="仿宋_GB2312" w:cs="仿宋"/>
          <w:color w:val="000000"/>
          <w:sz w:val="32"/>
          <w:szCs w:val="32"/>
        </w:rPr>
        <w:t>10,881,120.00</w:t>
      </w:r>
      <w:r>
        <w:rPr>
          <w:rFonts w:hint="eastAsia" w:ascii="仿宋_GB2312" w:hAnsi="仿宋" w:eastAsia="仿宋_GB2312" w:cs="仿宋"/>
          <w:sz w:val="32"/>
          <w:szCs w:val="32"/>
        </w:rPr>
        <w:t>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w:t>
      </w:r>
      <w:r>
        <w:rPr>
          <w:rFonts w:hint="eastAsia" w:ascii="仿宋_GB2312" w:hAnsi="仿宋" w:eastAsia="仿宋_GB2312" w:cs="仿宋"/>
          <w:kern w:val="0"/>
          <w:sz w:val="32"/>
          <w:szCs w:val="32"/>
        </w:rPr>
        <w:t>合作市人民法院</w:t>
      </w:r>
      <w:r>
        <w:rPr>
          <w:rFonts w:hint="eastAsia" w:ascii="仿宋_GB2312" w:hAnsi="仿宋" w:eastAsia="仿宋_GB2312" w:cs="仿宋"/>
          <w:color w:val="000000"/>
          <w:sz w:val="32"/>
          <w:szCs w:val="32"/>
        </w:rPr>
        <w:t>决算支出25,296,243.78</w:t>
      </w:r>
      <w:r>
        <w:rPr>
          <w:rFonts w:hint="eastAsia" w:ascii="仿宋_GB2312" w:hAnsi="仿宋" w:eastAsia="仿宋_GB2312" w:cs="仿宋"/>
          <w:sz w:val="32"/>
          <w:szCs w:val="32"/>
        </w:rPr>
        <w:t>元，其中基本支出</w:t>
      </w:r>
      <w:r>
        <w:rPr>
          <w:rFonts w:hint="eastAsia" w:ascii="仿宋_GB2312" w:hAnsi="仿宋" w:eastAsia="仿宋_GB2312" w:cs="仿宋"/>
          <w:color w:val="000000"/>
          <w:sz w:val="32"/>
          <w:szCs w:val="32"/>
        </w:rPr>
        <w:t>9,068,025.45</w:t>
      </w:r>
      <w:r>
        <w:rPr>
          <w:rFonts w:hint="eastAsia" w:ascii="仿宋_GB2312" w:hAnsi="仿宋" w:eastAsia="仿宋_GB2312" w:cs="仿宋"/>
          <w:sz w:val="32"/>
          <w:szCs w:val="32"/>
        </w:rPr>
        <w:t>（其中人员经费5,659,225.37元、日常公用经费</w:t>
      </w:r>
      <w:r>
        <w:rPr>
          <w:rFonts w:hint="eastAsia" w:ascii="仿宋_GB2312" w:hAnsi="仿宋" w:eastAsia="仿宋_GB2312" w:cs="仿宋"/>
          <w:color w:val="000000"/>
          <w:sz w:val="32"/>
          <w:szCs w:val="32"/>
        </w:rPr>
        <w:t>1,281,585.08</w:t>
      </w:r>
      <w:r>
        <w:rPr>
          <w:rFonts w:hint="eastAsia" w:ascii="仿宋_GB2312" w:hAnsi="仿宋" w:eastAsia="仿宋_GB2312" w:cs="仿宋"/>
          <w:sz w:val="32"/>
          <w:szCs w:val="32"/>
        </w:rPr>
        <w:t>元、信息网络与软件购置更新1,772,707.45元、其他人员经费354,507.55），项目支出</w:t>
      </w:r>
      <w:r>
        <w:rPr>
          <w:rFonts w:hint="eastAsia" w:ascii="仿宋_GB2312" w:hAnsi="仿宋" w:eastAsia="仿宋_GB2312" w:cs="仿宋"/>
          <w:color w:val="000000"/>
          <w:sz w:val="32"/>
          <w:szCs w:val="32"/>
        </w:rPr>
        <w:t>16,228,218.33</w:t>
      </w:r>
      <w:r>
        <w:rPr>
          <w:rFonts w:hint="eastAsia" w:ascii="仿宋_GB2312" w:hAnsi="仿宋" w:eastAsia="仿宋_GB2312" w:cs="仿宋"/>
          <w:sz w:val="32"/>
          <w:szCs w:val="32"/>
        </w:rPr>
        <w:t>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人员经费5,659,225.37元（其中：基本工资</w:t>
      </w:r>
      <w:r>
        <w:rPr>
          <w:rFonts w:hint="eastAsia" w:ascii="仿宋_GB2312" w:hAnsi="仿宋" w:eastAsia="仿宋_GB2312" w:cs="仿宋"/>
          <w:color w:val="000000"/>
          <w:sz w:val="32"/>
          <w:szCs w:val="32"/>
        </w:rPr>
        <w:t>1,656,450.00</w:t>
      </w:r>
      <w:r>
        <w:rPr>
          <w:rFonts w:hint="eastAsia" w:ascii="仿宋_GB2312" w:hAnsi="仿宋" w:eastAsia="仿宋_GB2312" w:cs="仿宋"/>
          <w:sz w:val="32"/>
          <w:szCs w:val="32"/>
        </w:rPr>
        <w:t>元、津贴补贴：</w:t>
      </w:r>
      <w:r>
        <w:rPr>
          <w:rFonts w:hint="eastAsia" w:ascii="仿宋_GB2312" w:hAnsi="仿宋" w:eastAsia="仿宋_GB2312" w:cs="仿宋"/>
          <w:color w:val="000000"/>
          <w:sz w:val="32"/>
          <w:szCs w:val="32"/>
        </w:rPr>
        <w:t>2,574,562.00</w:t>
      </w:r>
      <w:r>
        <w:rPr>
          <w:rFonts w:hint="eastAsia" w:ascii="仿宋_GB2312" w:hAnsi="仿宋" w:eastAsia="仿宋_GB2312" w:cs="仿宋"/>
          <w:sz w:val="32"/>
          <w:szCs w:val="32"/>
        </w:rPr>
        <w:t>元、绩效工资：1,088,943.00元、职工基本医疗保险缴费：62,042.08元、其他社会保障缴费：148,714.84元、其他工资福利支出128,513.45元）。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日常公用经费</w:t>
      </w:r>
      <w:r>
        <w:rPr>
          <w:rFonts w:hint="eastAsia" w:ascii="仿宋_GB2312" w:hAnsi="仿宋" w:eastAsia="仿宋_GB2312" w:cs="仿宋"/>
          <w:color w:val="000000"/>
          <w:sz w:val="32"/>
          <w:szCs w:val="32"/>
        </w:rPr>
        <w:t>1,281,585.08</w:t>
      </w:r>
      <w:r>
        <w:rPr>
          <w:rFonts w:hint="eastAsia" w:ascii="仿宋_GB2312" w:hAnsi="仿宋" w:eastAsia="仿宋_GB2312" w:cs="仿宋"/>
          <w:sz w:val="32"/>
          <w:szCs w:val="32"/>
        </w:rPr>
        <w:t>元（其中：办公费127,264.10元、印刷费：</w:t>
      </w:r>
      <w:r>
        <w:rPr>
          <w:rFonts w:hint="eastAsia" w:ascii="仿宋_GB2312" w:hAnsi="仿宋" w:eastAsia="仿宋_GB2312" w:cs="仿宋"/>
          <w:color w:val="000000"/>
          <w:sz w:val="32"/>
          <w:szCs w:val="32"/>
        </w:rPr>
        <w:t>21,289.81</w:t>
      </w:r>
      <w:r>
        <w:rPr>
          <w:rFonts w:hint="eastAsia" w:ascii="仿宋_GB2312" w:hAnsi="仿宋" w:eastAsia="仿宋_GB2312" w:cs="仿宋"/>
          <w:sz w:val="32"/>
          <w:szCs w:val="32"/>
        </w:rPr>
        <w:t>元、水费：</w:t>
      </w:r>
      <w:r>
        <w:rPr>
          <w:rFonts w:hint="eastAsia" w:ascii="仿宋_GB2312" w:hAnsi="仿宋" w:eastAsia="仿宋_GB2312" w:cs="仿宋"/>
          <w:color w:val="000000"/>
          <w:sz w:val="32"/>
          <w:szCs w:val="32"/>
        </w:rPr>
        <w:t>150.00</w:t>
      </w:r>
      <w:r>
        <w:rPr>
          <w:rFonts w:hint="eastAsia" w:ascii="仿宋_GB2312" w:hAnsi="仿宋" w:eastAsia="仿宋_GB2312" w:cs="仿宋"/>
          <w:sz w:val="32"/>
          <w:szCs w:val="32"/>
        </w:rPr>
        <w:t>元、电费：</w:t>
      </w:r>
      <w:r>
        <w:rPr>
          <w:rFonts w:hint="eastAsia" w:ascii="仿宋_GB2312" w:hAnsi="仿宋" w:eastAsia="仿宋_GB2312" w:cs="仿宋"/>
          <w:color w:val="000000"/>
          <w:sz w:val="32"/>
          <w:szCs w:val="32"/>
        </w:rPr>
        <w:t>18,184.71</w:t>
      </w:r>
      <w:r>
        <w:rPr>
          <w:rFonts w:hint="eastAsia" w:ascii="仿宋_GB2312" w:hAnsi="仿宋" w:eastAsia="仿宋_GB2312" w:cs="仿宋"/>
          <w:sz w:val="32"/>
          <w:szCs w:val="32"/>
        </w:rPr>
        <w:t>元、差旅费：</w:t>
      </w:r>
      <w:r>
        <w:rPr>
          <w:rFonts w:hint="eastAsia" w:ascii="仿宋_GB2312" w:hAnsi="仿宋" w:eastAsia="仿宋_GB2312" w:cs="仿宋"/>
          <w:color w:val="000000"/>
          <w:sz w:val="32"/>
          <w:szCs w:val="32"/>
        </w:rPr>
        <w:t>213,582.50</w:t>
      </w:r>
      <w:r>
        <w:rPr>
          <w:rFonts w:hint="eastAsia" w:ascii="仿宋_GB2312" w:hAnsi="仿宋" w:eastAsia="仿宋_GB2312" w:cs="仿宋"/>
          <w:sz w:val="32"/>
          <w:szCs w:val="32"/>
        </w:rPr>
        <w:t>元、培训费：</w:t>
      </w:r>
      <w:r>
        <w:rPr>
          <w:rFonts w:hint="eastAsia" w:ascii="仿宋_GB2312" w:hAnsi="仿宋" w:eastAsia="仿宋_GB2312" w:cs="仿宋"/>
          <w:color w:val="000000"/>
          <w:sz w:val="32"/>
          <w:szCs w:val="32"/>
        </w:rPr>
        <w:t>22,340.00</w:t>
      </w:r>
      <w:r>
        <w:rPr>
          <w:rFonts w:hint="eastAsia" w:ascii="仿宋_GB2312" w:hAnsi="仿宋" w:eastAsia="仿宋_GB2312" w:cs="仿宋"/>
          <w:sz w:val="32"/>
          <w:szCs w:val="32"/>
        </w:rPr>
        <w:t>元、公务接待费：8,388.00元、取暖费：57,600.00元、邮电费：73,152.00元、维修（护）费：300.00元、手续费：1,479.82元、劳务费：241,800.00元、工会经费：</w:t>
      </w:r>
      <w:r>
        <w:rPr>
          <w:rFonts w:hint="eastAsia" w:ascii="仿宋_GB2312" w:hAnsi="仿宋" w:eastAsia="仿宋_GB2312" w:cs="仿宋"/>
          <w:color w:val="000000"/>
          <w:sz w:val="32"/>
          <w:szCs w:val="32"/>
        </w:rPr>
        <w:t>13,150.00元</w:t>
      </w:r>
      <w:r>
        <w:rPr>
          <w:rFonts w:hint="eastAsia" w:ascii="仿宋_GB2312" w:hAnsi="仿宋" w:eastAsia="仿宋_GB2312" w:cs="仿宋"/>
          <w:sz w:val="32"/>
          <w:szCs w:val="32"/>
        </w:rPr>
        <w:t>、委托业务费：329,553.00元、公务用车运行维护费：</w:t>
      </w:r>
      <w:r>
        <w:rPr>
          <w:rFonts w:hint="eastAsia" w:ascii="仿宋_GB2312" w:hAnsi="仿宋" w:eastAsia="仿宋_GB2312" w:cs="仿宋"/>
          <w:color w:val="000000"/>
          <w:sz w:val="32"/>
          <w:szCs w:val="32"/>
        </w:rPr>
        <w:t>67,827.14</w:t>
      </w:r>
      <w:r>
        <w:rPr>
          <w:rFonts w:hint="eastAsia" w:ascii="仿宋_GB2312" w:hAnsi="仿宋" w:eastAsia="仿宋_GB2312" w:cs="仿宋"/>
          <w:sz w:val="32"/>
          <w:szCs w:val="32"/>
        </w:rPr>
        <w:t>元、其他商品和服务支出：</w:t>
      </w:r>
      <w:r>
        <w:rPr>
          <w:rFonts w:hint="eastAsia" w:ascii="仿宋_GB2312" w:hAnsi="仿宋" w:eastAsia="仿宋_GB2312" w:cs="仿宋"/>
          <w:color w:val="000000"/>
          <w:sz w:val="32"/>
          <w:szCs w:val="32"/>
        </w:rPr>
        <w:t>85,524.00</w:t>
      </w:r>
      <w:r>
        <w:rPr>
          <w:rFonts w:hint="eastAsia" w:ascii="仿宋_GB2312" w:hAnsi="仿宋" w:eastAsia="仿宋_GB2312" w:cs="仿宋"/>
          <w:sz w:val="32"/>
          <w:szCs w:val="32"/>
        </w:rPr>
        <w:t>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项目支出</w:t>
      </w:r>
      <w:r>
        <w:rPr>
          <w:rFonts w:hint="eastAsia" w:ascii="仿宋_GB2312" w:hAnsi="仿宋" w:eastAsia="仿宋_GB2312" w:cs="仿宋"/>
          <w:color w:val="000000"/>
          <w:sz w:val="32"/>
          <w:szCs w:val="32"/>
        </w:rPr>
        <w:t>16,228,218.33</w:t>
      </w:r>
      <w:r>
        <w:rPr>
          <w:rFonts w:hint="eastAsia" w:ascii="仿宋_GB2312" w:hAnsi="仿宋" w:eastAsia="仿宋_GB2312" w:cs="仿宋"/>
          <w:sz w:val="32"/>
          <w:szCs w:val="32"/>
        </w:rPr>
        <w:t>元（其中办公费：</w:t>
      </w:r>
      <w:r>
        <w:rPr>
          <w:rFonts w:hint="eastAsia" w:ascii="仿宋_GB2312" w:hAnsi="仿宋" w:eastAsia="仿宋_GB2312" w:cs="仿宋"/>
          <w:color w:val="000000"/>
          <w:sz w:val="32"/>
          <w:szCs w:val="32"/>
        </w:rPr>
        <w:t>402,367.16</w:t>
      </w:r>
      <w:r>
        <w:rPr>
          <w:rFonts w:hint="eastAsia" w:ascii="仿宋_GB2312" w:hAnsi="仿宋" w:eastAsia="仿宋_GB2312" w:cs="仿宋"/>
          <w:sz w:val="32"/>
          <w:szCs w:val="32"/>
        </w:rPr>
        <w:t>元、印刷费：</w:t>
      </w:r>
      <w:r>
        <w:rPr>
          <w:rFonts w:hint="eastAsia" w:ascii="仿宋_GB2312" w:hAnsi="仿宋" w:eastAsia="仿宋_GB2312" w:cs="仿宋"/>
          <w:color w:val="000000"/>
          <w:sz w:val="32"/>
          <w:szCs w:val="32"/>
        </w:rPr>
        <w:t>39,521.20</w:t>
      </w:r>
      <w:r>
        <w:rPr>
          <w:rFonts w:hint="eastAsia" w:ascii="仿宋_GB2312" w:hAnsi="仿宋" w:eastAsia="仿宋_GB2312" w:cs="仿宋"/>
          <w:sz w:val="32"/>
          <w:szCs w:val="32"/>
        </w:rPr>
        <w:t>元、水费：10,000.00元、电费：</w:t>
      </w:r>
      <w:r>
        <w:rPr>
          <w:rFonts w:hint="eastAsia" w:ascii="仿宋_GB2312" w:hAnsi="仿宋" w:eastAsia="仿宋_GB2312" w:cs="仿宋"/>
          <w:color w:val="000000"/>
          <w:sz w:val="32"/>
          <w:szCs w:val="32"/>
        </w:rPr>
        <w:t>27,451.52</w:t>
      </w:r>
      <w:r>
        <w:rPr>
          <w:rFonts w:hint="eastAsia" w:ascii="仿宋_GB2312" w:hAnsi="仿宋" w:eastAsia="仿宋_GB2312" w:cs="仿宋"/>
          <w:sz w:val="32"/>
          <w:szCs w:val="32"/>
        </w:rPr>
        <w:t>元、邮电费：</w:t>
      </w:r>
      <w:r>
        <w:rPr>
          <w:rFonts w:hint="eastAsia" w:ascii="仿宋_GB2312" w:hAnsi="仿宋" w:eastAsia="仿宋_GB2312" w:cs="仿宋"/>
          <w:color w:val="000000"/>
          <w:sz w:val="32"/>
          <w:szCs w:val="32"/>
        </w:rPr>
        <w:t>25,587.00</w:t>
      </w:r>
      <w:r>
        <w:rPr>
          <w:rFonts w:hint="eastAsia" w:ascii="仿宋_GB2312" w:hAnsi="仿宋" w:eastAsia="仿宋_GB2312" w:cs="仿宋"/>
          <w:sz w:val="32"/>
          <w:szCs w:val="32"/>
        </w:rPr>
        <w:t>元、物业管理费：</w:t>
      </w:r>
      <w:r>
        <w:rPr>
          <w:rFonts w:hint="eastAsia" w:ascii="仿宋_GB2312" w:hAnsi="仿宋" w:eastAsia="仿宋_GB2312" w:cs="仿宋"/>
          <w:color w:val="000000"/>
          <w:sz w:val="32"/>
          <w:szCs w:val="32"/>
        </w:rPr>
        <w:t>180,048.00</w:t>
      </w:r>
      <w:r>
        <w:rPr>
          <w:rFonts w:hint="eastAsia" w:ascii="仿宋_GB2312" w:hAnsi="仿宋" w:eastAsia="仿宋_GB2312" w:cs="仿宋"/>
          <w:sz w:val="32"/>
          <w:szCs w:val="32"/>
        </w:rPr>
        <w:t>元、差旅费：240,000.00元、维修（护）费：</w:t>
      </w:r>
      <w:r>
        <w:rPr>
          <w:rFonts w:hint="eastAsia" w:ascii="仿宋_GB2312" w:hAnsi="仿宋" w:eastAsia="仿宋_GB2312" w:cs="仿宋"/>
          <w:color w:val="000000"/>
          <w:sz w:val="32"/>
          <w:szCs w:val="32"/>
        </w:rPr>
        <w:t>95,310.49</w:t>
      </w:r>
      <w:r>
        <w:rPr>
          <w:rFonts w:hint="eastAsia" w:ascii="仿宋_GB2312" w:hAnsi="仿宋" w:eastAsia="仿宋_GB2312" w:cs="仿宋"/>
          <w:sz w:val="32"/>
          <w:szCs w:val="32"/>
        </w:rPr>
        <w:t>元、专用材料费：7,078.10元、被装购置费：10,200.00元、劳务费：718,200.00元、委托业务费：74,000.00元、公务用车运行维护费：</w:t>
      </w:r>
      <w:r>
        <w:rPr>
          <w:rFonts w:hint="eastAsia" w:ascii="仿宋_GB2312" w:hAnsi="仿宋" w:eastAsia="仿宋_GB2312" w:cs="仿宋"/>
          <w:color w:val="000000"/>
          <w:sz w:val="32"/>
          <w:szCs w:val="32"/>
        </w:rPr>
        <w:t>67,607.50</w:t>
      </w:r>
      <w:r>
        <w:rPr>
          <w:rFonts w:hint="eastAsia" w:ascii="仿宋_GB2312" w:hAnsi="仿宋" w:eastAsia="仿宋_GB2312" w:cs="仿宋"/>
          <w:sz w:val="32"/>
          <w:szCs w:val="32"/>
        </w:rPr>
        <w:t>元、其他商品和服务支出：367,992.00元、房屋建筑物构建：13,335,942.86元、办公设备购置：154,201.00元、专用设备购置：237,350.00元、基础设施建设：155,561.50元、大型修缮：32,000.00元、其他资本性支出：47,800.00元）。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年末结转资金：732,430.23元（为项目支出：732,430.23元。）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注：以上支出数据均包含上年结转结余。</w:t>
      </w:r>
    </w:p>
    <w:p>
      <w:pPr>
        <w:ind w:firstLine="640" w:firstLineChars="200"/>
        <w:jc w:val="left"/>
        <w:rPr>
          <w:rFonts w:ascii="仿宋_GB2312" w:hAnsi="楷体" w:eastAsia="仿宋_GB2312" w:cs="楷体"/>
          <w:sz w:val="32"/>
          <w:szCs w:val="32"/>
        </w:rPr>
      </w:pPr>
      <w:r>
        <w:rPr>
          <w:rFonts w:hint="eastAsia" w:ascii="仿宋_GB2312" w:hAnsi="楷体" w:eastAsia="仿宋_GB2312" w:cs="楷体"/>
          <w:sz w:val="32"/>
          <w:szCs w:val="32"/>
        </w:rPr>
        <w:t>（二）总体绩效目标完成情况分析</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sz w:val="32"/>
          <w:szCs w:val="32"/>
        </w:rPr>
        <w:t>2020年</w:t>
      </w:r>
      <w:r>
        <w:rPr>
          <w:rFonts w:hint="eastAsia" w:ascii="仿宋_GB2312" w:hAnsi="仿宋" w:eastAsia="仿宋_GB2312" w:cs="仿宋"/>
          <w:kern w:val="0"/>
          <w:sz w:val="32"/>
          <w:szCs w:val="32"/>
        </w:rPr>
        <w:t>合作市人民法院</w:t>
      </w:r>
      <w:r>
        <w:rPr>
          <w:rFonts w:hint="eastAsia" w:ascii="仿宋_GB2312" w:hAnsi="仿宋" w:eastAsia="仿宋_GB2312" w:cs="仿宋"/>
          <w:sz w:val="32"/>
          <w:szCs w:val="32"/>
        </w:rPr>
        <w:t>预算批复数1088.1万元，实际支出2653.70万元，</w:t>
      </w:r>
      <w:r>
        <w:rPr>
          <w:rFonts w:hint="eastAsia" w:ascii="仿宋_GB2312" w:hAnsi="仿宋" w:eastAsia="仿宋_GB2312" w:cs="仿宋"/>
          <w:color w:val="000000" w:themeColor="text1"/>
          <w:sz w:val="32"/>
          <w:szCs w:val="32"/>
        </w:rPr>
        <w:t>因新审判楼建设拨款结转1333.6万元，故实际支出数大于预算批复数。</w:t>
      </w:r>
    </w:p>
    <w:p>
      <w:pPr>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（三）各项指标完成情况分析</w:t>
      </w:r>
    </w:p>
    <w:tbl>
      <w:tblPr>
        <w:tblStyle w:val="5"/>
        <w:tblW w:w="8010" w:type="dxa"/>
        <w:tblInd w:w="0" w:type="dxa"/>
        <w:tblLayout w:type="autofit"/>
        <w:tblCellMar>
          <w:top w:w="0" w:type="dxa"/>
          <w:left w:w="0" w:type="dxa"/>
          <w:bottom w:w="0" w:type="dxa"/>
          <w:right w:w="0" w:type="dxa"/>
        </w:tblCellMar>
      </w:tblPr>
      <w:tblGrid>
        <w:gridCol w:w="2451"/>
        <w:gridCol w:w="1713"/>
        <w:gridCol w:w="1713"/>
        <w:gridCol w:w="1037"/>
        <w:gridCol w:w="1100"/>
      </w:tblGrid>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基本支出预算执行率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ascii="仿宋_GB2312" w:hAnsi="Calibri" w:eastAsia="仿宋_GB2312" w:cs="宋体"/>
                <w:color w:val="000000"/>
                <w:sz w:val="22"/>
              </w:rPr>
            </w:pPr>
            <w:r>
              <w:rPr>
                <w:rFonts w:hint="eastAsia" w:ascii="仿宋_GB2312" w:hAnsi="Calibri" w:eastAsia="仿宋_GB2312" w:cs="宋体"/>
                <w:color w:val="000000"/>
                <w:sz w:val="22"/>
              </w:rPr>
              <w:t>744.1</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ascii="仿宋_GB2312" w:hAnsi="Calibri" w:eastAsia="仿宋_GB2312" w:cs="宋体"/>
                <w:color w:val="000000"/>
                <w:sz w:val="22"/>
              </w:rPr>
            </w:pPr>
            <w:r>
              <w:rPr>
                <w:rFonts w:hint="eastAsia" w:ascii="仿宋_GB2312" w:hAnsi="Calibri" w:eastAsia="仿宋_GB2312"/>
                <w:color w:val="000000"/>
                <w:sz w:val="22"/>
              </w:rPr>
              <w:t>100.00%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项目支出预算执行率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ascii="仿宋_GB2312" w:hAnsi="Calibri" w:eastAsia="仿宋_GB2312" w:cs="宋体"/>
                <w:color w:val="000000"/>
                <w:sz w:val="22"/>
              </w:rPr>
            </w:pPr>
            <w:r>
              <w:rPr>
                <w:rFonts w:hint="eastAsia" w:ascii="仿宋_GB2312" w:hAnsi="Calibri" w:eastAsia="仿宋_GB2312" w:cs="宋体"/>
                <w:color w:val="000000"/>
                <w:sz w:val="22"/>
              </w:rPr>
              <w:t>270.76</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ascii="仿宋_GB2312" w:hAnsi="Calibri" w:eastAsia="仿宋_GB2312" w:cs="宋体"/>
                <w:color w:val="000000"/>
                <w:sz w:val="22"/>
              </w:rPr>
            </w:pPr>
            <w:r>
              <w:rPr>
                <w:rFonts w:hint="eastAsia" w:ascii="仿宋_GB2312" w:hAnsi="Calibri" w:eastAsia="仿宋_GB2312"/>
                <w:color w:val="000000"/>
                <w:sz w:val="22"/>
              </w:rPr>
              <w:t>78.71%</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“三公经费”控制率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sz w:val="22"/>
              </w:rPr>
              <w:t>合格</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结转结余变动率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sz w:val="22"/>
              </w:rPr>
              <w:t>合格</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财务管理制度健全性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健全</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资金使用规范性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规范</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政府采购规范性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规范</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资产管理规范性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规范</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在职人员控制率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37</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重点工作管理制度健全性</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健全</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产出数量指标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产出质量指标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产出时效指标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产出成本指标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中</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4</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经济效益指标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社会效益指标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生态效益指标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高中低</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高</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单位获奖情况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&gt;=1</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1</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8</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8</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违法违纪情况</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0</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8</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8</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中期规划建设完备程度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完备（</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完备（</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党建工作开展规律性</w:t>
            </w:r>
            <w:r>
              <w:rPr>
                <w:rFonts w:hint="eastAsia" w:ascii="仿宋_GB2312" w:hAnsi="Calibri" w:eastAsia="仿宋_GB2312" w:cs="Calibri"/>
                <w:color w:val="000000"/>
                <w:kern w:val="0"/>
                <w:sz w:val="22"/>
              </w:rPr>
              <w:t xml:space="preserve">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规律（</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规律（</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信息化管理覆盖率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全覆盖（</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全覆盖（</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人员培训机制完备性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完备（100%）</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完备（100%）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档案管理完备性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完备（100%）</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完备（100%）</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2</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服务对象</w:t>
            </w:r>
            <w:r>
              <w:rPr>
                <w:rFonts w:hint="eastAsia" w:ascii="仿宋_GB2312" w:hAnsi="Calibri" w:eastAsia="仿宋_GB2312" w:cs="Calibri"/>
                <w:color w:val="000000"/>
                <w:kern w:val="0"/>
                <w:sz w:val="22"/>
              </w:rPr>
              <w:t>1</w:t>
            </w:r>
            <w:r>
              <w:rPr>
                <w:rFonts w:hint="eastAsia" w:ascii="仿宋_GB2312" w:hAnsi="宋体" w:eastAsia="仿宋_GB2312" w:cs="宋体"/>
                <w:color w:val="000000"/>
                <w:kern w:val="0"/>
                <w:sz w:val="22"/>
              </w:rPr>
              <w:t>的满意度</w:t>
            </w:r>
            <w:r>
              <w:rPr>
                <w:rFonts w:hint="eastAsia" w:ascii="仿宋_GB2312" w:hAnsi="Calibri" w:eastAsia="仿宋_GB2312" w:cs="Calibri"/>
                <w:color w:val="000000"/>
                <w:kern w:val="0"/>
                <w:sz w:val="22"/>
              </w:rPr>
              <w:t xml:space="preserve">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满意（</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满意（</w:t>
            </w:r>
            <w:r>
              <w:rPr>
                <w:rFonts w:hint="eastAsia" w:ascii="仿宋_GB2312" w:hAnsi="Calibri" w:eastAsia="仿宋_GB2312" w:cs="Calibri"/>
                <w:color w:val="000000"/>
                <w:kern w:val="0"/>
                <w:sz w:val="22"/>
              </w:rPr>
              <w:t>90 %</w:t>
            </w:r>
            <w:r>
              <w:rPr>
                <w:rFonts w:hint="eastAsia" w:ascii="仿宋_GB2312" w:hAnsi="宋体" w:eastAsia="仿宋_GB2312" w:cs="宋体"/>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4</w:t>
            </w:r>
          </w:p>
        </w:tc>
      </w:tr>
      <w:tr>
        <w:tblPrEx>
          <w:tblCellMar>
            <w:top w:w="0" w:type="dxa"/>
            <w:left w:w="0" w:type="dxa"/>
            <w:bottom w:w="0" w:type="dxa"/>
            <w:right w:w="0" w:type="dxa"/>
          </w:tblCellMar>
        </w:tblPrEx>
        <w:trPr>
          <w:trHeight w:val="29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 xml:space="preserve">服务对象2的满意度 </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满意（</w:t>
            </w:r>
            <w:r>
              <w:rPr>
                <w:rFonts w:hint="eastAsia" w:ascii="仿宋_GB2312" w:hAnsi="Calibri" w:eastAsia="仿宋_GB2312" w:cs="Calibri"/>
                <w:color w:val="000000"/>
                <w:kern w:val="0"/>
                <w:sz w:val="22"/>
              </w:rPr>
              <w:t>100%</w:t>
            </w:r>
            <w:r>
              <w:rPr>
                <w:rFonts w:hint="eastAsia" w:ascii="仿宋_GB2312" w:hAnsi="宋体" w:eastAsia="仿宋_GB2312" w:cs="宋体"/>
                <w:color w:val="000000"/>
                <w:kern w:val="0"/>
                <w:sz w:val="22"/>
              </w:rPr>
              <w:t>）</w:t>
            </w:r>
          </w:p>
        </w:tc>
        <w:tc>
          <w:tcPr>
            <w:tcW w:w="17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left"/>
              <w:textAlignment w:val="bottom"/>
              <w:rPr>
                <w:rFonts w:ascii="仿宋_GB2312" w:hAnsi="宋体" w:eastAsia="仿宋_GB2312" w:cs="宋体"/>
                <w:color w:val="000000"/>
                <w:sz w:val="22"/>
              </w:rPr>
            </w:pPr>
            <w:r>
              <w:rPr>
                <w:rFonts w:hint="eastAsia" w:ascii="仿宋_GB2312" w:hAnsi="宋体" w:eastAsia="仿宋_GB2312" w:cs="宋体"/>
                <w:color w:val="000000"/>
                <w:kern w:val="0"/>
                <w:sz w:val="22"/>
              </w:rPr>
              <w:t>满意（</w:t>
            </w:r>
            <w:r>
              <w:rPr>
                <w:rFonts w:hint="eastAsia" w:ascii="仿宋_GB2312" w:hAnsi="Calibri" w:eastAsia="仿宋_GB2312" w:cs="Calibri"/>
                <w:color w:val="000000"/>
                <w:kern w:val="0"/>
                <w:sz w:val="22"/>
              </w:rPr>
              <w:t>90 %</w:t>
            </w:r>
            <w:r>
              <w:rPr>
                <w:rFonts w:hint="eastAsia" w:ascii="仿宋_GB2312" w:hAnsi="宋体" w:eastAsia="仿宋_GB2312" w:cs="宋体"/>
                <w:color w:val="000000"/>
                <w:kern w:val="0"/>
                <w:sz w:val="22"/>
              </w:rPr>
              <w:t>）</w:t>
            </w:r>
          </w:p>
        </w:tc>
        <w:tc>
          <w:tcPr>
            <w:tcW w:w="10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5</w:t>
            </w:r>
          </w:p>
        </w:tc>
        <w:tc>
          <w:tcPr>
            <w:tcW w:w="11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center"/>
              <w:textAlignment w:val="bottom"/>
              <w:rPr>
                <w:rFonts w:ascii="仿宋_GB2312" w:hAnsi="宋体" w:eastAsia="仿宋_GB2312" w:cs="宋体"/>
                <w:color w:val="000000"/>
                <w:sz w:val="22"/>
              </w:rPr>
            </w:pPr>
            <w:r>
              <w:rPr>
                <w:rFonts w:hint="eastAsia" w:ascii="仿宋_GB2312" w:hAnsi="Calibri" w:eastAsia="仿宋_GB2312" w:cs="Calibri"/>
                <w:color w:val="000000"/>
                <w:kern w:val="0"/>
                <w:sz w:val="22"/>
              </w:rPr>
              <w:t>4</w:t>
            </w:r>
          </w:p>
        </w:tc>
      </w:tr>
    </w:tbl>
    <w:p>
      <w:pPr>
        <w:ind w:firstLine="640" w:firstLineChars="200"/>
        <w:jc w:val="left"/>
        <w:rPr>
          <w:rFonts w:ascii="仿宋_GB2312" w:hAnsi="楷体" w:eastAsia="仿宋_GB2312" w:cs="楷体"/>
          <w:sz w:val="32"/>
          <w:szCs w:val="32"/>
        </w:rPr>
      </w:pPr>
      <w:r>
        <w:rPr>
          <w:rFonts w:hint="eastAsia" w:ascii="仿宋_GB2312" w:hAnsi="楷体" w:eastAsia="仿宋_GB2312" w:cs="楷体"/>
          <w:sz w:val="32"/>
          <w:szCs w:val="32"/>
        </w:rPr>
        <w:t>（四）偏离绩效目标的原因及下一步改进措施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偏离绩效目标的原因及下一步改进措施包括总体绩效目标和核心绩效指标未完成原因、下一步改进措施，政策执行或部门预算管理中存在的问题、原因和改进措施。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1.存在的主要问题</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社会公众人员满意度不高。</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2020年，在职员额法官为</w:t>
      </w:r>
      <w:r>
        <w:rPr>
          <w:rFonts w:hint="eastAsia" w:ascii="仿宋_GB2312" w:hAnsi="仿宋" w:eastAsia="仿宋_GB2312" w:cs="仿宋"/>
          <w:color w:val="000000"/>
          <w:sz w:val="32"/>
          <w:szCs w:val="32"/>
        </w:rPr>
        <w:t>11</w:t>
      </w:r>
      <w:r>
        <w:rPr>
          <w:rFonts w:hint="eastAsia" w:ascii="仿宋_GB2312" w:hAnsi="仿宋" w:eastAsia="仿宋_GB2312" w:cs="仿宋"/>
          <w:sz w:val="32"/>
          <w:szCs w:val="32"/>
        </w:rPr>
        <w:t>人。在职辅助人员工作强度较高，工作压力较大，不利于提高司法辅助人员的工作积极性。</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2.建议与改进措施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强辅助人员精神激励和人文关怀，提高辅助人员的工作积极性。本院已制定并实施了司法辅助人员考核和评优工作办法，并将评选出的优秀干警进行公示和奖励。本院可进一步加强对辅助人员的精神激励举措，并加强对辅助人员职业规划教育，提升辅助人员对工作的认同感和积极性。</w:t>
      </w:r>
    </w:p>
    <w:p>
      <w:pPr>
        <w:tabs>
          <w:tab w:val="left" w:pos="1065"/>
        </w:tabs>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四、部门预算项目支出绩效自评情况分析</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2020年，本部门预算支出项目</w:t>
      </w:r>
      <w:r>
        <w:rPr>
          <w:rFonts w:hint="eastAsia" w:ascii="仿宋_GB2312" w:hAnsi="仿宋" w:eastAsia="仿宋_GB2312" w:cs="仿宋"/>
          <w:color w:val="000000"/>
          <w:sz w:val="32"/>
          <w:szCs w:val="32"/>
        </w:rPr>
        <w:t>2</w:t>
      </w:r>
      <w:r>
        <w:rPr>
          <w:rFonts w:hint="eastAsia" w:ascii="仿宋_GB2312" w:hAnsi="仿宋" w:eastAsia="仿宋_GB2312" w:cs="仿宋"/>
          <w:sz w:val="32"/>
          <w:szCs w:val="32"/>
        </w:rPr>
        <w:t>个，当年财政拨款</w:t>
      </w:r>
      <w:r>
        <w:rPr>
          <w:rFonts w:hint="eastAsia" w:ascii="仿宋_GB2312" w:hAnsi="仿宋" w:eastAsia="仿宋_GB2312" w:cs="仿宋"/>
          <w:color w:val="000000"/>
          <w:sz w:val="32"/>
          <w:szCs w:val="32"/>
        </w:rPr>
        <w:t>344</w:t>
      </w:r>
      <w:r>
        <w:rPr>
          <w:rFonts w:hint="eastAsia" w:ascii="仿宋_GB2312" w:hAnsi="仿宋" w:eastAsia="仿宋_GB2312" w:cs="仿宋"/>
          <w:sz w:val="32"/>
          <w:szCs w:val="32"/>
        </w:rPr>
        <w:t>万元，全年支出</w:t>
      </w:r>
      <w:r>
        <w:rPr>
          <w:rFonts w:hint="eastAsia" w:ascii="仿宋_GB2312" w:hAnsi="仿宋" w:eastAsia="仿宋_GB2312" w:cs="仿宋"/>
          <w:color w:val="000000"/>
          <w:sz w:val="32"/>
          <w:szCs w:val="32"/>
        </w:rPr>
        <w:t>270.76</w:t>
      </w:r>
      <w:r>
        <w:rPr>
          <w:rFonts w:hint="eastAsia" w:ascii="仿宋_GB2312" w:hAnsi="仿宋" w:eastAsia="仿宋_GB2312" w:cs="仿宋"/>
          <w:sz w:val="32"/>
          <w:szCs w:val="32"/>
        </w:rPr>
        <w:t>万元（包括上年结转结余），执行率78.71%。</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通过自评，有</w:t>
      </w:r>
      <w:r>
        <w:rPr>
          <w:rFonts w:hint="eastAsia" w:ascii="仿宋_GB2312" w:hAnsi="仿宋" w:eastAsia="仿宋_GB2312" w:cs="仿宋"/>
          <w:color w:val="000000"/>
          <w:sz w:val="32"/>
          <w:szCs w:val="32"/>
        </w:rPr>
        <w:t>2</w:t>
      </w:r>
      <w:r>
        <w:rPr>
          <w:rFonts w:hint="eastAsia" w:ascii="仿宋_GB2312" w:hAnsi="仿宋" w:eastAsia="仿宋_GB2312" w:cs="仿宋"/>
          <w:sz w:val="32"/>
          <w:szCs w:val="32"/>
        </w:rPr>
        <w:t>个项目结果为“优”，分项目自评情况分析如下：</w:t>
      </w:r>
    </w:p>
    <w:p>
      <w:pPr>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（一）中央政法转移支付资金</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1.中央政法转移支付资金支出预算执行情况</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2020年合作市人民法院</w:t>
      </w:r>
      <w:r>
        <w:rPr>
          <w:rFonts w:hint="eastAsia" w:ascii="仿宋_GB2312" w:hAnsi="仿宋" w:eastAsia="仿宋_GB2312" w:cs="仿宋"/>
          <w:color w:val="000000"/>
          <w:sz w:val="32"/>
          <w:szCs w:val="32"/>
        </w:rPr>
        <w:t>转移支付资金</w:t>
      </w:r>
      <w:r>
        <w:rPr>
          <w:rFonts w:hint="eastAsia" w:ascii="仿宋_GB2312" w:hAnsi="仿宋" w:eastAsia="仿宋_GB2312" w:cs="仿宋"/>
          <w:sz w:val="32"/>
          <w:szCs w:val="32"/>
        </w:rPr>
        <w:t>收入</w:t>
      </w:r>
      <w:r>
        <w:rPr>
          <w:rFonts w:hint="eastAsia" w:ascii="仿宋_GB2312" w:hAnsi="仿宋" w:eastAsia="仿宋_GB2312" w:cs="仿宋"/>
          <w:color w:val="000000"/>
          <w:sz w:val="32"/>
          <w:szCs w:val="32"/>
        </w:rPr>
        <w:t>199</w:t>
      </w:r>
      <w:r>
        <w:rPr>
          <w:rFonts w:hint="eastAsia" w:ascii="仿宋_GB2312" w:hAnsi="仿宋" w:eastAsia="仿宋_GB2312" w:cs="仿宋"/>
          <w:sz w:val="32"/>
          <w:szCs w:val="32"/>
        </w:rPr>
        <w:t>万元，支出</w:t>
      </w:r>
      <w:r>
        <w:rPr>
          <w:rFonts w:hint="eastAsia" w:ascii="仿宋_GB2312" w:hAnsi="仿宋" w:eastAsia="仿宋_GB2312" w:cs="仿宋"/>
          <w:color w:val="000000"/>
          <w:kern w:val="0"/>
          <w:sz w:val="32"/>
          <w:szCs w:val="32"/>
        </w:rPr>
        <w:t>199</w:t>
      </w:r>
      <w:r>
        <w:rPr>
          <w:rFonts w:hint="eastAsia" w:ascii="仿宋_GB2312" w:hAnsi="仿宋" w:eastAsia="仿宋_GB2312" w:cs="仿宋"/>
          <w:sz w:val="32"/>
          <w:szCs w:val="32"/>
        </w:rPr>
        <w:t>元，执行率</w:t>
      </w:r>
      <w:r>
        <w:rPr>
          <w:rFonts w:hint="eastAsia" w:ascii="仿宋_GB2312" w:hAnsi="仿宋" w:eastAsia="仿宋_GB2312" w:cs="仿宋"/>
          <w:color w:val="000000"/>
          <w:sz w:val="32"/>
          <w:szCs w:val="32"/>
        </w:rPr>
        <w:t>100%</w:t>
      </w:r>
      <w:r>
        <w:rPr>
          <w:rFonts w:hint="eastAsia" w:ascii="仿宋_GB2312" w:hAnsi="仿宋" w:eastAsia="仿宋_GB2312" w:cs="仿宋"/>
          <w:sz w:val="32"/>
          <w:szCs w:val="32"/>
        </w:rPr>
        <w:t>。主要用于办公费：</w:t>
      </w:r>
      <w:r>
        <w:rPr>
          <w:rFonts w:hint="eastAsia" w:ascii="仿宋_GB2312" w:hAnsi="仿宋" w:eastAsia="仿宋_GB2312" w:cs="仿宋"/>
          <w:color w:val="000000"/>
          <w:sz w:val="32"/>
          <w:szCs w:val="32"/>
        </w:rPr>
        <w:t>53730.88</w:t>
      </w:r>
      <w:r>
        <w:rPr>
          <w:rFonts w:hint="eastAsia" w:ascii="仿宋_GB2312" w:hAnsi="仿宋" w:eastAsia="仿宋_GB2312" w:cs="仿宋"/>
          <w:sz w:val="32"/>
          <w:szCs w:val="32"/>
        </w:rPr>
        <w:t>元、维修（护）费：</w:t>
      </w:r>
      <w:r>
        <w:rPr>
          <w:rFonts w:hint="eastAsia" w:ascii="仿宋_GB2312" w:hAnsi="仿宋" w:eastAsia="仿宋_GB2312" w:cs="仿宋"/>
          <w:color w:val="000000"/>
          <w:sz w:val="32"/>
          <w:szCs w:val="32"/>
        </w:rPr>
        <w:t>478230.00</w:t>
      </w:r>
      <w:r>
        <w:rPr>
          <w:rFonts w:hint="eastAsia" w:ascii="仿宋_GB2312" w:hAnsi="仿宋" w:eastAsia="仿宋_GB2312" w:cs="仿宋"/>
          <w:sz w:val="32"/>
          <w:szCs w:val="32"/>
        </w:rPr>
        <w:t>元、商品与服务支出：791143.25元、大型修缮：</w:t>
      </w:r>
      <w:r>
        <w:rPr>
          <w:rFonts w:hint="eastAsia" w:ascii="仿宋_GB2312" w:hAnsi="仿宋" w:eastAsia="仿宋_GB2312" w:cs="仿宋"/>
          <w:color w:val="000000"/>
          <w:sz w:val="32"/>
          <w:szCs w:val="32"/>
        </w:rPr>
        <w:t>927511.10</w:t>
      </w:r>
      <w:r>
        <w:rPr>
          <w:rFonts w:hint="eastAsia" w:ascii="仿宋_GB2312" w:hAnsi="仿宋" w:eastAsia="仿宋_GB2312" w:cs="仿宋"/>
          <w:sz w:val="32"/>
          <w:szCs w:val="32"/>
        </w:rPr>
        <w:t>元、基础设施建设：5624057.14元。</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2.总体绩效目标完成情况分析</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总体绩效目标完成情况较好。</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3.偏离绩效目标的原因及下一步改进措施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偏离绩效目标的原因及下一步改进措施包括总体绩效目标和核心绩效指标未完成原因、下一步改进措施，政策执行或项目实施中存在的问题、原因和改进措施。</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1.基本支出经费保障水平偏低</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综合近几年我院批复预算看，预算执行基本围绕保人员经费、保正常运转进行。从决算情况看，基本支出比重比较大。</w:t>
      </w:r>
    </w:p>
    <w:p>
      <w:pPr>
        <w:numPr>
          <w:ilvl w:val="0"/>
          <w:numId w:val="1"/>
        </w:num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预算编制仍需进一步精确细化</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随着财务工作日益细化，各项资金需要完全按照所下指标用途分类来使用，我院目前还需要进一步提升对预算的细化工作，加强对资金使用的前瞻性预估。</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3.资产管理资料更新速度较慢</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我院虽然按照各级部门资产管理要求，对院内各项资产都进行了登记及建立台账。但由于人员短缺，资产专门管理人员都是由会计兼职，资产的登记及台账都存在更新滞后的情况。</w:t>
      </w:r>
    </w:p>
    <w:p>
      <w:pPr>
        <w:ind w:firstLine="640" w:firstLineChars="200"/>
        <w:jc w:val="left"/>
        <w:rPr>
          <w:rFonts w:ascii="仿宋_GB2312" w:hAnsi="仿宋" w:eastAsia="仿宋_GB2312" w:cs="楷体"/>
          <w:kern w:val="0"/>
          <w:sz w:val="32"/>
          <w:szCs w:val="32"/>
        </w:rPr>
      </w:pPr>
      <w:r>
        <w:rPr>
          <w:rFonts w:hint="eastAsia" w:ascii="仿宋_GB2312" w:hAnsi="仿宋" w:eastAsia="仿宋_GB2312" w:cs="楷体"/>
          <w:kern w:val="0"/>
          <w:sz w:val="32"/>
          <w:szCs w:val="32"/>
        </w:rPr>
        <w:t>（二）法院审判业务费</w:t>
      </w:r>
    </w:p>
    <w:p>
      <w:pPr>
        <w:ind w:firstLine="640" w:firstLineChars="200"/>
        <w:jc w:val="left"/>
        <w:rPr>
          <w:rFonts w:ascii="仿宋_GB2312" w:hAnsi="仿宋" w:eastAsia="仿宋_GB2312" w:cs="楷体"/>
          <w:kern w:val="0"/>
          <w:sz w:val="32"/>
          <w:szCs w:val="32"/>
        </w:rPr>
      </w:pPr>
      <w:r>
        <w:rPr>
          <w:rFonts w:hint="eastAsia" w:ascii="仿宋_GB2312" w:hAnsi="仿宋" w:eastAsia="仿宋_GB2312" w:cs="楷体"/>
          <w:kern w:val="0"/>
          <w:sz w:val="32"/>
          <w:szCs w:val="32"/>
        </w:rPr>
        <w:t>法院审判业务费经费支出预算执行情况：</w:t>
      </w:r>
    </w:p>
    <w:p>
      <w:pPr>
        <w:ind w:firstLine="640" w:firstLineChars="200"/>
        <w:jc w:val="left"/>
        <w:rPr>
          <w:rFonts w:ascii="仿宋_GB2312" w:hAnsi="仿宋" w:eastAsia="仿宋_GB2312" w:cs="楷体"/>
          <w:kern w:val="0"/>
          <w:sz w:val="32"/>
          <w:szCs w:val="32"/>
        </w:rPr>
      </w:pPr>
      <w:r>
        <w:rPr>
          <w:rFonts w:hint="eastAsia" w:ascii="仿宋_GB2312" w:hAnsi="仿宋" w:eastAsia="仿宋_GB2312" w:cs="楷体"/>
          <w:kern w:val="0"/>
          <w:sz w:val="32"/>
          <w:szCs w:val="32"/>
        </w:rPr>
        <w:t>2020年合作市人民法院法院审判业务费经费收入140万元，法院审判业务费经费支出140万元，执行率100%。</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1.改进措施和建议</w:t>
      </w:r>
    </w:p>
    <w:p>
      <w:pPr>
        <w:adjustRightInd w:val="0"/>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（1）针对预算批复，要多与省财政相关部门沟通汇报预算工作。</w:t>
      </w:r>
    </w:p>
    <w:p>
      <w:pPr>
        <w:adjustRightInd w:val="0"/>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科学合理编制预算，严格执行预算。在预算的编制阶段，多花时间、下功夫，将每项支出的预算做好做细。在预算的执行阶段，严格控制每项支出，并定期将预算使用情况向院党组汇报，针对突发性支出做好准备工作。</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完善管理制度，进一步加强资产管理。严格按照《固定资产管理办法》的规定加强固定资产管理，增加资产管理人员，及时登记、更新台账，加强资产卡片管理，年终前对各类实物资产进行全面盘点，确保账账、账实相符。</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（4）加强对财务人员的业务培训，增强其相关业务水平，提高整体工作效率。</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在选人用人方面，沿用套用国家公务员一般选贤用能竞聘方式和方法，结合法院业务特色，制定一整套识人、育人、用人机制，形成有法院特色的人员分类管理条例，在加快法院队伍建设与提高素质之间建立一体共振层级分类的管理模式。</w:t>
      </w:r>
    </w:p>
    <w:p>
      <w:pPr>
        <w:tabs>
          <w:tab w:val="left" w:pos="1065"/>
        </w:tabs>
        <w:ind w:firstLine="640" w:firstLineChars="200"/>
        <w:jc w:val="left"/>
        <w:rPr>
          <w:rFonts w:ascii="仿宋_GB2312" w:hAnsi="仿宋" w:eastAsia="仿宋_GB2312" w:cs="仿宋"/>
          <w:sz w:val="32"/>
          <w:szCs w:val="32"/>
        </w:rPr>
      </w:pPr>
      <w:r>
        <w:rPr>
          <w:rFonts w:hint="eastAsia" w:ascii="仿宋_GB2312" w:hAnsi="黑体" w:eastAsia="仿宋_GB2312" w:cs="黑体"/>
          <w:sz w:val="32"/>
          <w:szCs w:val="32"/>
        </w:rPr>
        <w:t>五、绩效自评结果拟应用和公开情况</w:t>
      </w:r>
      <w:r>
        <w:rPr>
          <w:rFonts w:hint="eastAsia" w:ascii="仿宋_GB2312" w:hAnsi="仿宋" w:eastAsia="仿宋_GB2312" w:cs="仿宋"/>
          <w:sz w:val="32"/>
          <w:szCs w:val="32"/>
        </w:rPr>
        <w:tab/>
      </w:r>
    </w:p>
    <w:p>
      <w:pPr>
        <w:tabs>
          <w:tab w:val="left" w:pos="4590"/>
        </w:tabs>
        <w:ind w:firstLine="640" w:firstLineChars="200"/>
        <w:jc w:val="left"/>
        <w:rPr>
          <w:rFonts w:ascii="仿宋_GB2312" w:hAnsi="仿宋" w:eastAsia="仿宋_GB2312" w:cs="仿宋"/>
          <w:sz w:val="32"/>
          <w:szCs w:val="32"/>
        </w:rPr>
      </w:pPr>
      <w:r>
        <w:rPr>
          <w:rFonts w:hint="eastAsia" w:ascii="仿宋_GB2312" w:hAnsi="仿宋" w:eastAsia="仿宋_GB2312" w:cs="仿宋"/>
          <w:kern w:val="0"/>
          <w:sz w:val="32"/>
          <w:szCs w:val="32"/>
        </w:rPr>
        <w:t>我院适时进行绩效自评，并加强自评结果应用，绩效自评结果将作为以后年度项目立项和经费支持的重要依据，若出现绩效自评结果与实际情况出入较大或绩效较差的情况，将对下一年度项目预算从紧、从严。</w:t>
      </w:r>
    </w:p>
    <w:p>
      <w:pPr>
        <w:tabs>
          <w:tab w:val="left" w:pos="1065"/>
        </w:tabs>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六、其他需要说明的问题</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无</w:t>
      </w:r>
    </w:p>
    <w:p>
      <w:pPr>
        <w:ind w:firstLine="640" w:firstLineChars="200"/>
        <w:jc w:val="left"/>
        <w:rPr>
          <w:rFonts w:ascii="仿宋_GB2312" w:hAnsi="仿宋" w:eastAsia="仿宋_GB2312" w:cs="仿宋"/>
          <w:sz w:val="32"/>
          <w:szCs w:val="32"/>
        </w:rPr>
      </w:pPr>
    </w:p>
    <w:p>
      <w:pPr>
        <w:ind w:firstLine="640" w:firstLineChars="200"/>
        <w:jc w:val="left"/>
        <w:rPr>
          <w:rFonts w:ascii="仿宋_GB2312" w:hAnsi="仿宋" w:eastAsia="仿宋_GB2312" w:cs="仿宋"/>
          <w:sz w:val="32"/>
          <w:szCs w:val="32"/>
        </w:rPr>
      </w:pPr>
    </w:p>
    <w:p>
      <w:pPr>
        <w:ind w:firstLine="640" w:firstLineChars="200"/>
        <w:jc w:val="left"/>
        <w:rPr>
          <w:rFonts w:ascii="仿宋_GB2312" w:hAnsi="仿宋" w:eastAsia="仿宋_GB2312" w:cs="仿宋"/>
          <w:sz w:val="32"/>
          <w:szCs w:val="32"/>
        </w:rPr>
      </w:pP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                           合作市人民法院</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2021年8月25日</w:t>
      </w:r>
      <w:bookmarkStart w:id="0" w:name="_GoBack"/>
      <w:bookmarkEnd w:id="0"/>
    </w:p>
    <w:p>
      <w:pPr>
        <w:ind w:firstLine="640" w:firstLineChars="200"/>
        <w:jc w:val="left"/>
        <w:rPr>
          <w:rFonts w:ascii="仿宋_GB2312" w:hAnsi="仿宋" w:eastAsia="仿宋_GB2312" w:cs="仿宋"/>
          <w:sz w:val="32"/>
          <w:szCs w:val="32"/>
        </w:rPr>
      </w:pPr>
    </w:p>
    <w:p>
      <w:pPr>
        <w:rPr>
          <w:rFonts w:ascii="宋体" w:hAnsi="宋体" w:cs="宋体"/>
          <w:sz w:val="28"/>
          <w:szCs w:val="28"/>
        </w:rPr>
      </w:pPr>
      <w:r>
        <w:rPr>
          <w:rFonts w:hint="eastAsia" w:ascii="宋体" w:hAnsi="宋体" w:cs="宋体"/>
          <w:sz w:val="28"/>
          <w:szCs w:val="28"/>
        </w:rPr>
        <w:t>附件1-3统计表：</w:t>
      </w:r>
    </w:p>
    <w:tbl>
      <w:tblPr>
        <w:tblStyle w:val="5"/>
        <w:tblW w:w="0" w:type="auto"/>
        <w:tblInd w:w="93" w:type="dxa"/>
        <w:tblLayout w:type="fixed"/>
        <w:tblCellMar>
          <w:top w:w="0" w:type="dxa"/>
          <w:left w:w="108" w:type="dxa"/>
          <w:bottom w:w="0" w:type="dxa"/>
          <w:right w:w="108" w:type="dxa"/>
        </w:tblCellMar>
      </w:tblPr>
      <w:tblGrid>
        <w:gridCol w:w="1291"/>
        <w:gridCol w:w="1559"/>
        <w:gridCol w:w="1985"/>
        <w:gridCol w:w="709"/>
        <w:gridCol w:w="914"/>
        <w:gridCol w:w="1971"/>
      </w:tblGrid>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2020年合作市人民法院部门整体支出绩效自评调查问卷</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1.您对目前所从事工作的满意度如何？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非常满意</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比较满意</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不满意</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非常不满意</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2.您认为公众对合作市人民法院院开展扶贫帮扶工作的满意度如何？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非常满意</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比较满意</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不满意</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非常不满意</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3.您对合作市人民法院开展司法工作的满意度如何？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非常满意</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比较满意</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不满意</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非常不满意</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4.您认为法院的培训内容是否符合当前的工作？</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非常符合</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比较符合</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不符合</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非常不符合</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5.通过培训，您认为对您本职工作是否有帮助？</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非常有帮助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比较有帮助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没帮助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完全没帮助 </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6.您认为法院组织的培训活动是否会影响日常的工作？</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非常有影响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比较有影响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有一定影响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有严重影响         </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7.您认为提出的意见法院采纳率达到多少？</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完全没有采纳</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8.您认为相关法院业务办理及时性如何？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非常及时</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比较及时</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不及时</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非常不及时</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9.您认为当前工作是否有利于维护社会稳定？</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非常有利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比较利于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不利于</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非常不利于</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10.您认为合作市人民法院对党建工作是否定期开展？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定期开展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大部分定期开展</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不定期开展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完全不定期开展  </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92"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11.请问您对合作市人民法院的工作有什么意见和建议？</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7138" w:type="dxa"/>
            <w:gridSpan w:val="5"/>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7138" w:type="dxa"/>
            <w:gridSpan w:val="5"/>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37"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1.您认为法院中央政法转移在报销流程上是否简便？</w:t>
            </w:r>
          </w:p>
        </w:tc>
      </w:tr>
      <w:tr>
        <w:tblPrEx>
          <w:tblCellMar>
            <w:top w:w="0" w:type="dxa"/>
            <w:left w:w="108" w:type="dxa"/>
            <w:bottom w:w="0" w:type="dxa"/>
            <w:right w:w="108" w:type="dxa"/>
          </w:tblCellMar>
        </w:tblPrEx>
        <w:trPr>
          <w:trHeight w:val="507"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非常简便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比较简便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不简便</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非常不简便</w:t>
            </w:r>
          </w:p>
        </w:tc>
      </w:tr>
      <w:tr>
        <w:tblPrEx>
          <w:tblCellMar>
            <w:top w:w="0" w:type="dxa"/>
            <w:left w:w="108" w:type="dxa"/>
            <w:bottom w:w="0" w:type="dxa"/>
            <w:right w:w="108" w:type="dxa"/>
          </w:tblCellMar>
        </w:tblPrEx>
        <w:trPr>
          <w:trHeight w:val="432"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2.您认为法院中央政法转移使用效益如何？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非常显著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比较显著</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不显著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非常不显著</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3.您认为合作市人民法院对相关资产的管理是否规范？</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非常规范</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比较规范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不规范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非常不规范</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4.您认为合作市人民法院财务管理制度是否健全，资金使用是否规范？</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非常健全、规范</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比较健全、规范</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不健全、规范</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非常不健全、规范</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6.您认为合作市人民法院档案管理机制是否完备？</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非常完备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比较完备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不完备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非常不完备</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1.您认为装备配置是否符合工作需求?</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非常符合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比较符合</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一般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不符合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非常不符合</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2.您认为装备保存完整性如何?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非常完整 </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比较完整    </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一般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不完整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非常不完整</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85" w:hRule="atLeast"/>
        </w:trPr>
        <w:tc>
          <w:tcPr>
            <w:tcW w:w="8429" w:type="dxa"/>
            <w:gridSpan w:val="6"/>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3.您认为公众对合作市人民法院开展司法工作的满意度如何？</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有效问卷</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非常满意</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比较满意</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一般</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不满意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非常不满意</w:t>
            </w:r>
          </w:p>
        </w:tc>
      </w:tr>
      <w:tr>
        <w:tblPrEx>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5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985"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0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7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rPr>
          <w:rFonts w:ascii="宋体" w:hAnsi="宋体" w:cs="宋体"/>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EA126"/>
    <w:multiLevelType w:val="singleLevel"/>
    <w:tmpl w:val="A94EA12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4CEB"/>
    <w:rsid w:val="00024D27"/>
    <w:rsid w:val="000301EF"/>
    <w:rsid w:val="00047288"/>
    <w:rsid w:val="000578A6"/>
    <w:rsid w:val="000877A2"/>
    <w:rsid w:val="00091006"/>
    <w:rsid w:val="000A70A2"/>
    <w:rsid w:val="000B430D"/>
    <w:rsid w:val="000F2AC3"/>
    <w:rsid w:val="0010717B"/>
    <w:rsid w:val="00132B93"/>
    <w:rsid w:val="00142D01"/>
    <w:rsid w:val="00143948"/>
    <w:rsid w:val="00153AA4"/>
    <w:rsid w:val="00157492"/>
    <w:rsid w:val="001613E5"/>
    <w:rsid w:val="001704D1"/>
    <w:rsid w:val="00175E71"/>
    <w:rsid w:val="001769F0"/>
    <w:rsid w:val="00181601"/>
    <w:rsid w:val="001A2845"/>
    <w:rsid w:val="001A538F"/>
    <w:rsid w:val="001B39FD"/>
    <w:rsid w:val="001D03E1"/>
    <w:rsid w:val="001F3564"/>
    <w:rsid w:val="001F7AC1"/>
    <w:rsid w:val="002007EC"/>
    <w:rsid w:val="00206D71"/>
    <w:rsid w:val="00240F18"/>
    <w:rsid w:val="002566AF"/>
    <w:rsid w:val="0026609E"/>
    <w:rsid w:val="00272EEE"/>
    <w:rsid w:val="002A39FB"/>
    <w:rsid w:val="002B1B7F"/>
    <w:rsid w:val="002C0A96"/>
    <w:rsid w:val="002C2C7A"/>
    <w:rsid w:val="002C2EFB"/>
    <w:rsid w:val="002F0A89"/>
    <w:rsid w:val="002F500F"/>
    <w:rsid w:val="0030233F"/>
    <w:rsid w:val="00317960"/>
    <w:rsid w:val="003229A7"/>
    <w:rsid w:val="003402CA"/>
    <w:rsid w:val="0035311A"/>
    <w:rsid w:val="00360AD7"/>
    <w:rsid w:val="00362503"/>
    <w:rsid w:val="00364AE5"/>
    <w:rsid w:val="0037739F"/>
    <w:rsid w:val="00397AF9"/>
    <w:rsid w:val="003A0FBD"/>
    <w:rsid w:val="003C3355"/>
    <w:rsid w:val="003D16E8"/>
    <w:rsid w:val="003F68B8"/>
    <w:rsid w:val="00415AEC"/>
    <w:rsid w:val="00422CFC"/>
    <w:rsid w:val="00435739"/>
    <w:rsid w:val="004477F7"/>
    <w:rsid w:val="00455117"/>
    <w:rsid w:val="00462DFC"/>
    <w:rsid w:val="00465D62"/>
    <w:rsid w:val="004709CF"/>
    <w:rsid w:val="00497CC6"/>
    <w:rsid w:val="004A46ED"/>
    <w:rsid w:val="004B21FF"/>
    <w:rsid w:val="004B23A6"/>
    <w:rsid w:val="004D632F"/>
    <w:rsid w:val="004D6FB0"/>
    <w:rsid w:val="004F211D"/>
    <w:rsid w:val="004F445E"/>
    <w:rsid w:val="005072D4"/>
    <w:rsid w:val="00510284"/>
    <w:rsid w:val="005175F8"/>
    <w:rsid w:val="0052170E"/>
    <w:rsid w:val="00531CF8"/>
    <w:rsid w:val="00537AA8"/>
    <w:rsid w:val="00541378"/>
    <w:rsid w:val="005420E1"/>
    <w:rsid w:val="005504E6"/>
    <w:rsid w:val="0055109C"/>
    <w:rsid w:val="005670C8"/>
    <w:rsid w:val="00587126"/>
    <w:rsid w:val="005923DC"/>
    <w:rsid w:val="005B2B24"/>
    <w:rsid w:val="00601045"/>
    <w:rsid w:val="00607179"/>
    <w:rsid w:val="006251D8"/>
    <w:rsid w:val="00627063"/>
    <w:rsid w:val="00636F6E"/>
    <w:rsid w:val="00637758"/>
    <w:rsid w:val="006476B7"/>
    <w:rsid w:val="00650715"/>
    <w:rsid w:val="0069217D"/>
    <w:rsid w:val="006A1A1A"/>
    <w:rsid w:val="006B5DFF"/>
    <w:rsid w:val="006D1761"/>
    <w:rsid w:val="006F1758"/>
    <w:rsid w:val="00724CEB"/>
    <w:rsid w:val="0074775B"/>
    <w:rsid w:val="00750FA0"/>
    <w:rsid w:val="00783F95"/>
    <w:rsid w:val="007956CE"/>
    <w:rsid w:val="007977BC"/>
    <w:rsid w:val="007A2AF5"/>
    <w:rsid w:val="007A7EA9"/>
    <w:rsid w:val="007B46B3"/>
    <w:rsid w:val="007C0B81"/>
    <w:rsid w:val="007C31B9"/>
    <w:rsid w:val="007C49F8"/>
    <w:rsid w:val="007E3448"/>
    <w:rsid w:val="007E45B0"/>
    <w:rsid w:val="007E48A2"/>
    <w:rsid w:val="00830183"/>
    <w:rsid w:val="00855EAA"/>
    <w:rsid w:val="00860C04"/>
    <w:rsid w:val="00866A84"/>
    <w:rsid w:val="00876955"/>
    <w:rsid w:val="00876F25"/>
    <w:rsid w:val="008926B4"/>
    <w:rsid w:val="008A4554"/>
    <w:rsid w:val="008B59AA"/>
    <w:rsid w:val="008B5D78"/>
    <w:rsid w:val="008C7E74"/>
    <w:rsid w:val="008D4621"/>
    <w:rsid w:val="008D6102"/>
    <w:rsid w:val="008E5BA1"/>
    <w:rsid w:val="008F6395"/>
    <w:rsid w:val="00914A89"/>
    <w:rsid w:val="0092360E"/>
    <w:rsid w:val="0092390E"/>
    <w:rsid w:val="009475B3"/>
    <w:rsid w:val="00950F9F"/>
    <w:rsid w:val="00986550"/>
    <w:rsid w:val="00986755"/>
    <w:rsid w:val="009911D7"/>
    <w:rsid w:val="009927F3"/>
    <w:rsid w:val="00996E71"/>
    <w:rsid w:val="009A1CF9"/>
    <w:rsid w:val="009A511F"/>
    <w:rsid w:val="009B36D5"/>
    <w:rsid w:val="009B508D"/>
    <w:rsid w:val="009B5620"/>
    <w:rsid w:val="009F5D81"/>
    <w:rsid w:val="00A06D3E"/>
    <w:rsid w:val="00A126B1"/>
    <w:rsid w:val="00A15CB9"/>
    <w:rsid w:val="00A16090"/>
    <w:rsid w:val="00A2590D"/>
    <w:rsid w:val="00A352D8"/>
    <w:rsid w:val="00A3603F"/>
    <w:rsid w:val="00A43F54"/>
    <w:rsid w:val="00A44DD4"/>
    <w:rsid w:val="00A6221F"/>
    <w:rsid w:val="00A67850"/>
    <w:rsid w:val="00A850A8"/>
    <w:rsid w:val="00A87852"/>
    <w:rsid w:val="00A8788A"/>
    <w:rsid w:val="00A96AED"/>
    <w:rsid w:val="00AA1462"/>
    <w:rsid w:val="00AA514B"/>
    <w:rsid w:val="00AA740C"/>
    <w:rsid w:val="00AB0BFA"/>
    <w:rsid w:val="00AC6232"/>
    <w:rsid w:val="00B0294C"/>
    <w:rsid w:val="00B24D88"/>
    <w:rsid w:val="00B27EB5"/>
    <w:rsid w:val="00B37777"/>
    <w:rsid w:val="00B4791D"/>
    <w:rsid w:val="00B63D73"/>
    <w:rsid w:val="00B76D5C"/>
    <w:rsid w:val="00B85572"/>
    <w:rsid w:val="00B865F8"/>
    <w:rsid w:val="00B90963"/>
    <w:rsid w:val="00B920A6"/>
    <w:rsid w:val="00B930F3"/>
    <w:rsid w:val="00BB5AB9"/>
    <w:rsid w:val="00BC2BC0"/>
    <w:rsid w:val="00BD0317"/>
    <w:rsid w:val="00BD08A3"/>
    <w:rsid w:val="00BD1BEF"/>
    <w:rsid w:val="00BD2B82"/>
    <w:rsid w:val="00BE327B"/>
    <w:rsid w:val="00BF1610"/>
    <w:rsid w:val="00BF29A2"/>
    <w:rsid w:val="00BF5EFC"/>
    <w:rsid w:val="00BF6EAB"/>
    <w:rsid w:val="00C03BA9"/>
    <w:rsid w:val="00C22E59"/>
    <w:rsid w:val="00C36407"/>
    <w:rsid w:val="00C62489"/>
    <w:rsid w:val="00C743D3"/>
    <w:rsid w:val="00CA0901"/>
    <w:rsid w:val="00CA4ABE"/>
    <w:rsid w:val="00CC3C13"/>
    <w:rsid w:val="00CC4687"/>
    <w:rsid w:val="00CE3DE7"/>
    <w:rsid w:val="00CE5481"/>
    <w:rsid w:val="00CE7615"/>
    <w:rsid w:val="00CF072A"/>
    <w:rsid w:val="00CF219C"/>
    <w:rsid w:val="00CF3847"/>
    <w:rsid w:val="00D055BD"/>
    <w:rsid w:val="00D30FB4"/>
    <w:rsid w:val="00D35BEE"/>
    <w:rsid w:val="00D4586A"/>
    <w:rsid w:val="00D652CE"/>
    <w:rsid w:val="00D66A86"/>
    <w:rsid w:val="00D76EBE"/>
    <w:rsid w:val="00DA319D"/>
    <w:rsid w:val="00DA6664"/>
    <w:rsid w:val="00DB6C46"/>
    <w:rsid w:val="00DC32B8"/>
    <w:rsid w:val="00DC62D0"/>
    <w:rsid w:val="00DC68D5"/>
    <w:rsid w:val="00DE2D15"/>
    <w:rsid w:val="00DE6E32"/>
    <w:rsid w:val="00DF2460"/>
    <w:rsid w:val="00E01928"/>
    <w:rsid w:val="00E13408"/>
    <w:rsid w:val="00E2515C"/>
    <w:rsid w:val="00E53789"/>
    <w:rsid w:val="00E60EBE"/>
    <w:rsid w:val="00E61051"/>
    <w:rsid w:val="00E65289"/>
    <w:rsid w:val="00E77FB2"/>
    <w:rsid w:val="00E83FCB"/>
    <w:rsid w:val="00E905CE"/>
    <w:rsid w:val="00EA794D"/>
    <w:rsid w:val="00EF08EB"/>
    <w:rsid w:val="00F067DF"/>
    <w:rsid w:val="00F23138"/>
    <w:rsid w:val="00F308C4"/>
    <w:rsid w:val="00F35B28"/>
    <w:rsid w:val="00F43D31"/>
    <w:rsid w:val="00F46775"/>
    <w:rsid w:val="00F60F8C"/>
    <w:rsid w:val="00F7322D"/>
    <w:rsid w:val="00F86541"/>
    <w:rsid w:val="00FA0556"/>
    <w:rsid w:val="00FA0A79"/>
    <w:rsid w:val="00FA13A1"/>
    <w:rsid w:val="00FA69C4"/>
    <w:rsid w:val="00FC135B"/>
    <w:rsid w:val="00FC24EB"/>
    <w:rsid w:val="00FC481F"/>
    <w:rsid w:val="00FD4854"/>
    <w:rsid w:val="00FD6475"/>
    <w:rsid w:val="00FE3BBA"/>
    <w:rsid w:val="00FF6E51"/>
    <w:rsid w:val="00FF7208"/>
    <w:rsid w:val="0196589A"/>
    <w:rsid w:val="06502C56"/>
    <w:rsid w:val="19F46813"/>
    <w:rsid w:val="2B11043B"/>
    <w:rsid w:val="2C5A3CD0"/>
    <w:rsid w:val="31157AC2"/>
    <w:rsid w:val="31783D89"/>
    <w:rsid w:val="3AFA3144"/>
    <w:rsid w:val="3BBB5E4E"/>
    <w:rsid w:val="3C2D0A2F"/>
    <w:rsid w:val="3C681EAA"/>
    <w:rsid w:val="3CC4558C"/>
    <w:rsid w:val="3E7D1C94"/>
    <w:rsid w:val="48D96A97"/>
    <w:rsid w:val="4FFC375B"/>
    <w:rsid w:val="504A27C6"/>
    <w:rsid w:val="61106E0B"/>
    <w:rsid w:val="63E77F19"/>
    <w:rsid w:val="69911BCF"/>
    <w:rsid w:val="6C061B1E"/>
    <w:rsid w:val="6C427567"/>
    <w:rsid w:val="6EB45A0C"/>
    <w:rsid w:val="70C5315B"/>
    <w:rsid w:val="75D11502"/>
    <w:rsid w:val="7ADE78B4"/>
    <w:rsid w:val="7DA6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588" w:lineRule="atLeast"/>
    </w:pPr>
    <w:rPr>
      <w:rFonts w:ascii="宋体" w:hAnsi="宋体" w:eastAsia="仿宋_GB2312"/>
      <w:spacing w:val="-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default" w:ascii="Calibri" w:hAnsi="Calibri" w:cs="Calibri"/>
      <w:color w:val="000000"/>
      <w:sz w:val="22"/>
      <w:szCs w:val="22"/>
      <w:u w:val="none"/>
    </w:rPr>
  </w:style>
  <w:style w:type="character" w:customStyle="1" w:styleId="8">
    <w:name w:val="font31"/>
    <w:basedOn w:val="6"/>
    <w:qFormat/>
    <w:uiPriority w:val="0"/>
    <w:rPr>
      <w:rFonts w:hint="default" w:ascii="Calibri" w:hAnsi="Calibri" w:cs="Calibri"/>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21"/>
    <w:basedOn w:val="6"/>
    <w:qFormat/>
    <w:uiPriority w:val="0"/>
    <w:rPr>
      <w:rFonts w:hint="eastAsia" w:ascii="宋体" w:hAnsi="宋体" w:eastAsia="宋体" w:cs="宋体"/>
      <w:color w:val="000000"/>
      <w:sz w:val="22"/>
      <w:szCs w:val="22"/>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891</Words>
  <Characters>5080</Characters>
  <Lines>42</Lines>
  <Paragraphs>11</Paragraphs>
  <TotalTime>167</TotalTime>
  <ScaleCrop>false</ScaleCrop>
  <LinksUpToDate>false</LinksUpToDate>
  <CharactersWithSpaces>5960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2021-04-29T07:17:00Z</dcterms:created>
  <dc:creator>Administrator</dc:creator>
  <cp:lastModifiedBy>丁丁</cp:lastModifiedBy>
  <cp:lastPrinted>2021-05-13T03:00:00Z</cp:lastPrinted>
  <dcterms:modified xsi:type="dcterms:W3CDTF">2021-08-25T01:55:29Z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766D371AEE384AEEBEDB07AAC27A7062</vt:lpwstr>
  </property>
</Properties>
</file>