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经典仿宋简" w:hAnsi="经典仿宋简" w:eastAsia="经典仿宋简" w:cs="经典仿宋简"/>
          <w:sz w:val="44"/>
          <w:szCs w:val="44"/>
        </w:rPr>
      </w:pPr>
    </w:p>
    <w:p>
      <w:pPr>
        <w:pStyle w:val="2"/>
        <w:keepNext w:val="0"/>
        <w:keepLines w:val="0"/>
        <w:widowControl/>
        <w:suppressLineNumbers w:val="0"/>
        <w:jc w:val="center"/>
        <w:rPr>
          <w:rFonts w:hint="eastAsia" w:ascii="经典仿宋简" w:hAnsi="经典仿宋简" w:eastAsia="经典仿宋简" w:cs="经典仿宋简"/>
          <w:sz w:val="44"/>
          <w:szCs w:val="44"/>
        </w:rPr>
      </w:pPr>
    </w:p>
    <w:p>
      <w:pPr>
        <w:pStyle w:val="2"/>
        <w:keepNext w:val="0"/>
        <w:keepLines w:val="0"/>
        <w:widowControl/>
        <w:suppressLineNumbers w:val="0"/>
        <w:jc w:val="center"/>
        <w:rPr>
          <w:rFonts w:hint="eastAsia" w:ascii="经典仿宋简" w:hAnsi="经典仿宋简" w:eastAsia="经典仿宋简" w:cs="经典仿宋简"/>
          <w:sz w:val="44"/>
          <w:szCs w:val="44"/>
        </w:rPr>
      </w:pPr>
      <w:r>
        <w:rPr>
          <w:rFonts w:hint="eastAsia" w:ascii="经典仿宋简" w:hAnsi="经典仿宋简" w:eastAsia="经典仿宋简" w:cs="经典仿宋简"/>
          <w:sz w:val="44"/>
          <w:szCs w:val="44"/>
        </w:rPr>
        <w:t>2020年度</w:t>
      </w:r>
    </w:p>
    <w:p>
      <w:pPr>
        <w:pStyle w:val="2"/>
        <w:keepNext w:val="0"/>
        <w:keepLines w:val="0"/>
        <w:widowControl/>
        <w:suppressLineNumbers w:val="0"/>
        <w:jc w:val="center"/>
        <w:rPr>
          <w:rFonts w:hint="eastAsia" w:ascii="经典仿宋简" w:hAnsi="经典仿宋简" w:eastAsia="经典仿宋简" w:cs="经典仿宋简"/>
          <w:sz w:val="44"/>
          <w:szCs w:val="44"/>
        </w:rPr>
      </w:pPr>
      <w:r>
        <w:rPr>
          <w:rFonts w:hint="eastAsia" w:ascii="经典仿宋简" w:hAnsi="经典仿宋简" w:eastAsia="经典仿宋简" w:cs="经典仿宋简"/>
          <w:sz w:val="44"/>
          <w:szCs w:val="44"/>
        </w:rPr>
        <w:t>甘肃省白银市中级人民法院部门决算</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rPr>
      </w:pPr>
      <w:r>
        <w:rPr>
          <w:rStyle w:val="5"/>
          <w:rFonts w:hint="eastAsia" w:ascii="黑体" w:hAnsi="黑体" w:eastAsia="黑体" w:cs="黑体"/>
          <w:sz w:val="32"/>
          <w:szCs w:val="32"/>
        </w:rPr>
        <w:t>目</w:t>
      </w:r>
      <w:r>
        <w:rPr>
          <w:rFonts w:hint="eastAsia" w:ascii="黑体" w:hAnsi="黑体" w:eastAsia="黑体" w:cs="黑体"/>
          <w:sz w:val="32"/>
          <w:szCs w:val="32"/>
        </w:rPr>
        <w:t xml:space="preserve"> </w:t>
      </w:r>
      <w:r>
        <w:rPr>
          <w:rStyle w:val="5"/>
          <w:rFonts w:hint="eastAsia" w:ascii="黑体" w:hAnsi="黑体" w:eastAsia="黑体" w:cs="黑体"/>
          <w:sz w:val="32"/>
          <w:szCs w:val="32"/>
        </w:rPr>
        <w:t>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第一部分  部门概括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第二部分  2020年度部门决算表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第三部分  2020年度部门决算情况说明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九、政府采购支出情况说明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十三、预算绩效情况说明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第四部分  名词解释</w:t>
      </w: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pPr>
      <w:r>
        <w:t> </w:t>
      </w:r>
    </w:p>
    <w:p>
      <w:pPr>
        <w:pStyle w:val="2"/>
        <w:keepNext w:val="0"/>
        <w:keepLines w:val="0"/>
        <w:widowControl/>
        <w:suppressLineNumbers w:val="0"/>
        <w:jc w:val="center"/>
        <w:rPr>
          <w:rFonts w:hint="eastAsia" w:ascii="黑体" w:hAnsi="黑体" w:eastAsia="黑体" w:cs="黑体"/>
          <w:sz w:val="32"/>
          <w:szCs w:val="32"/>
        </w:rPr>
      </w:pPr>
      <w:r>
        <w:rPr>
          <w:rStyle w:val="5"/>
          <w:rFonts w:hint="eastAsia" w:ascii="黑体" w:hAnsi="黑体" w:eastAsia="黑体" w:cs="黑体"/>
          <w:sz w:val="32"/>
          <w:szCs w:val="32"/>
        </w:rPr>
        <w:t>第一部分  部门概括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甘肃省白银市中级人民法院是国家审判机关，依法独立行使审判权，对市人民代表大会及其常务委员会负责并报告工作。其主要职责包括：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（一）审判法律规定由市中级人民法院管辖的案件和其认为应当由自己审判的案件。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（二）按照法律规定提审由下级人民法院管辖的一审案件。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（三）依法审判法律规定由市中级人民法院管辖的减刑、假释案件。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（四）审判上级人民法院交由市中级法院审判的案件。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（五）受理不服本院及下级法院生效裁判的各类申诉和再审申请，对其中确有错误的，再审、提审或指令下级人民法院再审。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（六）依法审判由市人民检察院按照审判监督程序提出的抗诉案件。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（七）依法对下级人民法院行驶指定管辖权。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（八）依法监督下级人民法院的审判工作。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（九）调查研究审判工作中的法律政策及疑难问题，直接审判工作经验；参与地方立法活动，组织汇总相关法律草案的意见；针对案件审理中发现的问题提出司法建议；综合指导全市人民法院司法统计工作。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（十）依法行使司法执行权和司法决定权；统一领导全市法院执行工作。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（十一）依法决定国家赔偿。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对市中级人民法院的法官和其他工作人员进行思想政治教育、组织专业培训；指导下级人民法院的思想政治工作和教育培训工作；按照权限管理、培训法官和其他工作人员；协同主管部门管理全市法院的机构、编制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（十三）负责本院并领导全市人民法院的监察工作。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（十四）管理全市人民法院的有关经费和物质装备。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（十五）在审判工作中宣传法制、教育公民自觉遵守宪法、法律。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（十六）管理市中级人民法院直属的事业单位和社会团体。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（十七）领导全市人民法院司法警察警务工作。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（十八）承办其他应由市中级人民法院负责的工作。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（一）机关内设机构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甘肃省白银市中级人民法院</w:t>
      </w:r>
      <w:r>
        <w:rPr>
          <w:rFonts w:hint="eastAsia" w:ascii="仿宋_GB2312" w:hAnsi="仿宋_GB2312" w:eastAsia="仿宋_GB2312" w:cs="仿宋_GB2312"/>
          <w:sz w:val="32"/>
          <w:szCs w:val="32"/>
        </w:rPr>
        <w:t>按编制部门批复“三定”方案</w:t>
      </w:r>
      <w:r>
        <w:rPr>
          <w:rFonts w:hint="eastAsia" w:ascii="仿宋_GB2312" w:hAnsi="仿宋_GB2312" w:eastAsia="仿宋_GB2312" w:cs="仿宋_GB2312"/>
          <w:sz w:val="32"/>
          <w:szCs w:val="32"/>
          <w:lang w:eastAsia="zh-CN"/>
        </w:rPr>
        <w:t>（市委办发〔</w:t>
      </w:r>
      <w:r>
        <w:rPr>
          <w:rFonts w:hint="eastAsia" w:ascii="仿宋_GB2312" w:hAnsi="仿宋_GB2312" w:eastAsia="仿宋_GB2312" w:cs="仿宋_GB2312"/>
          <w:sz w:val="32"/>
          <w:szCs w:val="32"/>
          <w:lang w:val="en-US" w:eastAsia="zh-CN"/>
        </w:rPr>
        <w:t>2002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44号），内设18</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职能部门</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政治部、办公室、立案庭、刑事审判第一庭、刑事审判第二庭、民事审判第一庭、民事审判第二庭、民事审判第三庭、行政审判庭、赔偿委员会办公室、审判监督庭、执行局</w:t>
      </w:r>
      <w:r>
        <w:rPr>
          <w:rFonts w:hint="eastAsia" w:ascii="仿宋_GB2312" w:hAnsi="仿宋_GB2312" w:eastAsia="仿宋_GB2312" w:cs="仿宋_GB2312"/>
          <w:sz w:val="32"/>
          <w:szCs w:val="32"/>
          <w:lang w:val="en-US" w:eastAsia="zh-CN"/>
        </w:rPr>
        <w:t>(庭）</w:t>
      </w:r>
      <w:r>
        <w:rPr>
          <w:rFonts w:hint="eastAsia" w:ascii="仿宋_GB2312" w:hAnsi="仿宋_GB2312" w:eastAsia="仿宋_GB2312" w:cs="仿宋_GB2312"/>
          <w:sz w:val="32"/>
          <w:szCs w:val="32"/>
          <w:lang w:eastAsia="zh-CN"/>
        </w:rPr>
        <w:t>、研究室、司法警察支队、司法技术处、司法行政装备处、信访办公室、审判管理办公室。另外，还有市纪委派驻市法院纪检监察组。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（二）参照公务员法管理单位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（三）直属事业单位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甘肃省白银市中级人民法院</w:t>
      </w:r>
      <w:r>
        <w:rPr>
          <w:rFonts w:hint="eastAsia" w:ascii="仿宋_GB2312" w:hAnsi="仿宋_GB2312" w:eastAsia="仿宋_GB2312" w:cs="仿宋_GB2312"/>
          <w:sz w:val="32"/>
          <w:szCs w:val="32"/>
        </w:rPr>
        <w:t>按编制部门批复“三定”方案</w:t>
      </w:r>
      <w:r>
        <w:rPr>
          <w:rFonts w:hint="eastAsia" w:ascii="仿宋_GB2312" w:hAnsi="仿宋_GB2312" w:eastAsia="仿宋_GB2312" w:cs="仿宋_GB2312"/>
          <w:sz w:val="32"/>
          <w:szCs w:val="32"/>
          <w:lang w:eastAsia="zh-CN"/>
        </w:rPr>
        <w:t>（市编字〔</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15号）直属事业单位1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白银市法官培训中心。财务不独立。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第二部分  2020年度部门决算表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八、政府性基金预算财政拨款收入支出决算表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本部门没有相关数据，故本表无数据。</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本部门没有相关数据，故本表无数据。</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第三部分  2020年度部门决算情况说明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2020年度收、支总计3,853.79万元。收、支较上年决算数减少370.67万元,下降8.77%,主要原因是</w:t>
      </w:r>
      <w:r>
        <w:rPr>
          <w:rFonts w:hint="eastAsia" w:ascii="仿宋_GB2312" w:hAnsi="仿宋_GB2312" w:eastAsia="仿宋_GB2312" w:cs="仿宋_GB2312"/>
          <w:color w:val="000000"/>
          <w:kern w:val="0"/>
          <w:sz w:val="32"/>
          <w:szCs w:val="32"/>
        </w:rPr>
        <w:t>其主要原因</w:t>
      </w:r>
      <w:r>
        <w:rPr>
          <w:rFonts w:hint="eastAsia" w:ascii="仿宋_GB2312" w:hAnsi="仿宋_GB2312" w:eastAsia="仿宋_GB2312" w:cs="仿宋_GB2312"/>
          <w:color w:val="000000"/>
          <w:kern w:val="0"/>
          <w:sz w:val="32"/>
          <w:szCs w:val="32"/>
          <w:lang w:eastAsia="zh-CN"/>
        </w:rPr>
        <w:t>为按照省级财政“过紧日子”要求压缩各项支出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基本支出2854.62万</w:t>
      </w:r>
      <w:r>
        <w:rPr>
          <w:rFonts w:hint="eastAsia" w:ascii="仿宋_GB2312" w:hAnsi="仿宋_GB2312" w:eastAsia="仿宋_GB2312" w:cs="仿宋_GB2312"/>
          <w:color w:val="000000"/>
          <w:kern w:val="0"/>
          <w:sz w:val="32"/>
          <w:szCs w:val="32"/>
        </w:rPr>
        <w:t>元，比</w:t>
      </w:r>
      <w:r>
        <w:rPr>
          <w:rFonts w:hint="eastAsia" w:ascii="仿宋_GB2312" w:hAnsi="仿宋_GB2312" w:eastAsia="仿宋_GB2312" w:cs="仿宋_GB2312"/>
          <w:color w:val="000000"/>
          <w:kern w:val="0"/>
          <w:sz w:val="32"/>
          <w:szCs w:val="32"/>
          <w:lang w:eastAsia="zh-CN"/>
        </w:rPr>
        <w:t>2019年</w:t>
      </w:r>
      <w:r>
        <w:rPr>
          <w:rFonts w:hint="eastAsia" w:ascii="仿宋_GB2312" w:hAnsi="仿宋_GB2312" w:eastAsia="仿宋_GB2312" w:cs="仿宋_GB2312"/>
          <w:color w:val="000000"/>
          <w:kern w:val="0"/>
          <w:sz w:val="32"/>
          <w:szCs w:val="32"/>
          <w:lang w:val="en-US" w:eastAsia="zh-CN"/>
        </w:rPr>
        <w:t>2563.03万</w:t>
      </w:r>
      <w:r>
        <w:rPr>
          <w:rFonts w:hint="eastAsia" w:ascii="仿宋_GB2312" w:hAnsi="仿宋_GB2312" w:eastAsia="仿宋_GB2312" w:cs="仿宋_GB2312"/>
          <w:color w:val="000000"/>
          <w:kern w:val="0"/>
          <w:sz w:val="32"/>
          <w:szCs w:val="32"/>
          <w:lang w:eastAsia="zh-CN"/>
        </w:rPr>
        <w:t>元增加</w:t>
      </w:r>
      <w:r>
        <w:rPr>
          <w:rFonts w:hint="eastAsia" w:ascii="仿宋_GB2312" w:hAnsi="仿宋_GB2312" w:eastAsia="仿宋_GB2312" w:cs="仿宋_GB2312"/>
          <w:color w:val="000000"/>
          <w:kern w:val="0"/>
          <w:sz w:val="32"/>
          <w:szCs w:val="32"/>
          <w:lang w:val="en-US" w:eastAsia="zh-CN"/>
        </w:rPr>
        <w:t>291.59万</w:t>
      </w:r>
      <w:r>
        <w:rPr>
          <w:rFonts w:hint="eastAsia" w:ascii="仿宋_GB2312" w:hAnsi="仿宋_GB2312" w:eastAsia="仿宋_GB2312" w:cs="仿宋_GB2312"/>
          <w:color w:val="000000"/>
          <w:kern w:val="0"/>
          <w:sz w:val="32"/>
          <w:szCs w:val="32"/>
          <w:lang w:eastAsia="zh-CN"/>
        </w:rPr>
        <w:t>元，增加</w:t>
      </w:r>
      <w:r>
        <w:rPr>
          <w:rFonts w:hint="eastAsia" w:ascii="仿宋_GB2312" w:hAnsi="仿宋_GB2312" w:eastAsia="仿宋_GB2312" w:cs="仿宋_GB2312"/>
          <w:color w:val="000000"/>
          <w:kern w:val="0"/>
          <w:sz w:val="32"/>
          <w:szCs w:val="32"/>
          <w:lang w:val="en-US" w:eastAsia="zh-CN"/>
        </w:rPr>
        <w:t>11.38%，</w:t>
      </w:r>
      <w:r>
        <w:rPr>
          <w:rFonts w:hint="eastAsia" w:ascii="仿宋_GB2312" w:hAnsi="仿宋_GB2312" w:eastAsia="仿宋_GB2312" w:cs="仿宋_GB2312"/>
          <w:color w:val="000000"/>
          <w:kern w:val="0"/>
          <w:sz w:val="32"/>
          <w:szCs w:val="32"/>
          <w:lang w:eastAsia="zh-CN"/>
        </w:rPr>
        <w:t>项目支出</w:t>
      </w:r>
      <w:r>
        <w:rPr>
          <w:rFonts w:hint="eastAsia" w:ascii="仿宋_GB2312" w:hAnsi="仿宋_GB2312" w:eastAsia="仿宋_GB2312" w:cs="仿宋_GB2312"/>
          <w:color w:val="000000"/>
          <w:kern w:val="0"/>
          <w:sz w:val="32"/>
          <w:szCs w:val="32"/>
          <w:lang w:val="en-US" w:eastAsia="zh-CN"/>
        </w:rPr>
        <w:t>999.17万</w:t>
      </w:r>
      <w:r>
        <w:rPr>
          <w:rFonts w:hint="eastAsia" w:ascii="仿宋_GB2312" w:hAnsi="仿宋_GB2312" w:eastAsia="仿宋_GB2312" w:cs="仿宋_GB2312"/>
          <w:color w:val="000000"/>
          <w:kern w:val="0"/>
          <w:sz w:val="32"/>
          <w:szCs w:val="32"/>
        </w:rPr>
        <w:t>元，比</w:t>
      </w:r>
      <w:r>
        <w:rPr>
          <w:rFonts w:hint="eastAsia" w:ascii="仿宋_GB2312" w:hAnsi="仿宋_GB2312" w:eastAsia="仿宋_GB2312" w:cs="仿宋_GB2312"/>
          <w:color w:val="000000"/>
          <w:kern w:val="0"/>
          <w:sz w:val="32"/>
          <w:szCs w:val="32"/>
          <w:lang w:eastAsia="zh-CN"/>
        </w:rPr>
        <w:t>2019年</w:t>
      </w:r>
      <w:r>
        <w:rPr>
          <w:rFonts w:hint="eastAsia" w:ascii="仿宋_GB2312" w:hAnsi="仿宋_GB2312" w:eastAsia="仿宋_GB2312" w:cs="仿宋_GB2312"/>
          <w:color w:val="000000"/>
          <w:kern w:val="0"/>
          <w:sz w:val="32"/>
          <w:szCs w:val="32"/>
          <w:lang w:val="en-US" w:eastAsia="zh-CN"/>
        </w:rPr>
        <w:t>1334.31万</w:t>
      </w:r>
      <w:r>
        <w:rPr>
          <w:rFonts w:hint="eastAsia" w:ascii="仿宋_GB2312" w:hAnsi="仿宋_GB2312" w:eastAsia="仿宋_GB2312" w:cs="仿宋_GB2312"/>
          <w:color w:val="000000"/>
          <w:kern w:val="0"/>
          <w:sz w:val="32"/>
          <w:szCs w:val="32"/>
          <w:lang w:eastAsia="zh-CN"/>
        </w:rPr>
        <w:t>元减少</w:t>
      </w:r>
      <w:r>
        <w:rPr>
          <w:rFonts w:hint="eastAsia" w:ascii="仿宋_GB2312" w:hAnsi="仿宋_GB2312" w:eastAsia="仿宋_GB2312" w:cs="仿宋_GB2312"/>
          <w:color w:val="000000"/>
          <w:kern w:val="0"/>
          <w:sz w:val="32"/>
          <w:szCs w:val="32"/>
          <w:lang w:val="en-US" w:eastAsia="zh-CN"/>
        </w:rPr>
        <w:t>335.14万</w:t>
      </w:r>
      <w:r>
        <w:rPr>
          <w:rFonts w:hint="eastAsia" w:ascii="仿宋_GB2312" w:hAnsi="仿宋_GB2312" w:eastAsia="仿宋_GB2312" w:cs="仿宋_GB2312"/>
          <w:color w:val="000000"/>
          <w:kern w:val="0"/>
          <w:sz w:val="32"/>
          <w:szCs w:val="32"/>
          <w:lang w:eastAsia="zh-CN"/>
        </w:rPr>
        <w:t>元，下降</w:t>
      </w:r>
      <w:r>
        <w:rPr>
          <w:rFonts w:hint="eastAsia" w:ascii="仿宋_GB2312" w:hAnsi="仿宋_GB2312" w:eastAsia="仿宋_GB2312" w:cs="仿宋_GB2312"/>
          <w:color w:val="000000"/>
          <w:kern w:val="0"/>
          <w:sz w:val="32"/>
          <w:szCs w:val="32"/>
          <w:lang w:val="en-US" w:eastAsia="zh-CN"/>
        </w:rPr>
        <w:t>25.12%</w:t>
      </w:r>
      <w:r>
        <w:rPr>
          <w:rFonts w:hint="eastAsia" w:ascii="仿宋_GB2312" w:hAnsi="仿宋_GB2312" w:eastAsia="仿宋_GB2312" w:cs="仿宋_GB2312"/>
          <w:color w:val="000000"/>
          <w:kern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2020年度收入合计3,526.66万元，其中：一般公共预算财政拨款收入3,283.66万元，占93.11%；其他收入 243.00万元，占6.89%。</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2020年度支出合计3,853.79万元，其中：基本支出2,854.62万元，占74.07%；项目支出999.17万元，占25.93%。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2020年度财政拨款收、支总计3,610.79万元。与2019年相比，财政拨款收、支总计各减少366.45万元，下降9.21%。主要原因是按照省级财政“过紧日子”要求压缩各项支出。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2020年度一般公共预算财政拨款支出3,610.79万元，较上年决算数减少39.33万元，下降1.08%。主要原因是按照省级财政“过紧日子”要求压缩各项支出。主要用于以下几个方面：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1．公共安全支出</w:t>
      </w:r>
      <w:r>
        <w:rPr>
          <w:rFonts w:hint="eastAsia" w:ascii="仿宋_GB2312" w:hAnsi="仿宋_GB2312" w:eastAsia="仿宋_GB2312" w:cs="仿宋_GB2312"/>
          <w:sz w:val="32"/>
          <w:szCs w:val="32"/>
        </w:rPr>
        <w:t>年初预算数为3,232.87万元，支出决算为3,232.87万元，完成年初预算的100.00%</w:t>
      </w:r>
      <w:r>
        <w:rPr>
          <w:rFonts w:hint="eastAsia" w:ascii="仿宋_GB2312" w:hAnsi="仿宋_GB2312" w:eastAsia="仿宋_GB2312" w:cs="仿宋_GB2312"/>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rPr>
        <w:t>年初预算数为152.83万元，支出决算为152.83万元，完成年初预算的100.00%</w:t>
      </w:r>
      <w:r>
        <w:rPr>
          <w:rFonts w:hint="eastAsia" w:ascii="仿宋_GB2312" w:hAnsi="仿宋_GB2312" w:eastAsia="仿宋_GB2312" w:cs="仿宋_GB2312"/>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rPr>
        <w:t>年初预算数为113.10万元，支出决算为113.10万元，完成年初预算的100.00%</w:t>
      </w:r>
      <w:r>
        <w:rPr>
          <w:rFonts w:hint="eastAsia" w:ascii="仿宋_GB2312" w:hAnsi="仿宋_GB2312" w:eastAsia="仿宋_GB2312" w:cs="仿宋_GB2312"/>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lang w:val="en-US" w:eastAsia="zh-CN"/>
        </w:rPr>
        <w:t>4</w:t>
      </w:r>
      <w:r>
        <w:rPr>
          <w:rStyle w:val="5"/>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rPr>
        <w:t>年初预算数为111.99万元，支出决算为111.99万元，完成年初预算的100.00%</w:t>
      </w:r>
      <w:r>
        <w:rPr>
          <w:rFonts w:hint="eastAsia" w:ascii="仿宋_GB2312" w:hAnsi="仿宋_GB2312" w:eastAsia="仿宋_GB2312" w:cs="仿宋_GB2312"/>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2020年度一般公共预算财政拨款基本支出2,611.62万元。其中：</w:t>
      </w:r>
      <w:r>
        <w:rPr>
          <w:rStyle w:val="5"/>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rPr>
        <w:t>2,319.62万元，较上年决算数增加250.89万元，增长12.13%，主要原因是</w:t>
      </w:r>
      <w:r>
        <w:rPr>
          <w:rFonts w:hint="eastAsia" w:ascii="仿宋_GB2312" w:hAnsi="仿宋_GB2312" w:eastAsia="仿宋_GB2312" w:cs="仿宋_GB2312"/>
          <w:color w:val="auto"/>
          <w:sz w:val="32"/>
          <w:szCs w:val="32"/>
          <w:lang w:eastAsia="zh-CN"/>
        </w:rPr>
        <w:t>两年一次晋档和员额法官等人员绩效标准调整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人员经费用途主要包括</w:t>
      </w:r>
      <w:r>
        <w:rPr>
          <w:rFonts w:hint="eastAsia" w:ascii="仿宋_GB2312" w:hAnsi="仿宋_GB2312" w:eastAsia="仿宋_GB2312" w:cs="仿宋_GB2312"/>
          <w:sz w:val="32"/>
          <w:szCs w:val="32"/>
          <w:lang w:eastAsia="zh-CN"/>
        </w:rPr>
        <w:t>支付职工</w:t>
      </w:r>
      <w:r>
        <w:rPr>
          <w:rFonts w:hint="eastAsia" w:ascii="仿宋_GB2312" w:hAnsi="仿宋_GB2312" w:eastAsia="仿宋_GB2312" w:cs="仿宋_GB2312"/>
          <w:color w:val="auto"/>
          <w:sz w:val="32"/>
          <w:szCs w:val="32"/>
        </w:rPr>
        <w:t>基本工资、津贴补贴、奖金、社会保障缴费</w:t>
      </w:r>
      <w:r>
        <w:rPr>
          <w:rFonts w:hint="eastAsia" w:ascii="仿宋_GB2312" w:hAnsi="仿宋_GB2312" w:eastAsia="仿宋_GB2312" w:cs="仿宋_GB2312"/>
          <w:color w:val="auto"/>
          <w:sz w:val="32"/>
          <w:szCs w:val="32"/>
          <w:lang w:eastAsia="zh-CN"/>
        </w:rPr>
        <w:t>，住房公积金等</w:t>
      </w:r>
      <w:r>
        <w:rPr>
          <w:rFonts w:hint="eastAsia" w:ascii="仿宋_GB2312" w:hAnsi="仿宋_GB2312" w:eastAsia="仿宋_GB2312" w:cs="仿宋_GB2312"/>
          <w:sz w:val="32"/>
          <w:szCs w:val="32"/>
        </w:rPr>
        <w:t>。</w:t>
      </w:r>
      <w:r>
        <w:rPr>
          <w:rStyle w:val="5"/>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rPr>
        <w:t>291.99万元，较上年决算数增加44.91万元，增长18.18%，主要原因是</w:t>
      </w:r>
      <w:r>
        <w:rPr>
          <w:rFonts w:hint="eastAsia" w:ascii="仿宋_GB2312" w:hAnsi="仿宋_GB2312" w:eastAsia="仿宋_GB2312" w:cs="仿宋_GB2312"/>
          <w:sz w:val="32"/>
          <w:szCs w:val="32"/>
          <w:lang w:eastAsia="zh-CN"/>
        </w:rPr>
        <w:t>为解决案多车少的窘状，预算增加购置执法执勤用车和数字化法院建设支出</w:t>
      </w:r>
      <w:r>
        <w:rPr>
          <w:rFonts w:hint="eastAsia" w:ascii="仿宋_GB2312" w:hAnsi="仿宋_GB2312" w:eastAsia="仿宋_GB2312" w:cs="仿宋_GB2312"/>
          <w:sz w:val="32"/>
          <w:szCs w:val="32"/>
        </w:rPr>
        <w:t>。公用经费用途主要包括办公费、印刷费、水费、电费、邮电费、取暖费、差旅费、维修（护）费、租赁费、培训费、公务接待费、劳务费、工会经费、福利费、公务运车运行维护费、其他交通费用、其他商品服务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（一）“三公”经费财政拨款支出总体情况说明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2020年度“三公”经费支出年初预算数为81.37万元，支出决算为81.3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万元，完成年初预算的100.0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（二）“三公”经费财政拨款支出决算具体情况说明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1.因公出国（境）费用</w:t>
      </w:r>
      <w:r>
        <w:rPr>
          <w:rFonts w:hint="eastAsia" w:ascii="仿宋_GB2312" w:hAnsi="仿宋_GB2312" w:eastAsia="仿宋_GB2312" w:cs="仿宋_GB2312"/>
          <w:sz w:val="32"/>
          <w:szCs w:val="32"/>
        </w:rPr>
        <w:t>年初预算数为0.00万元，支出决算为0.00万元，完成年初预算的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2.公务用车购置及运行维护费</w:t>
      </w:r>
      <w:r>
        <w:rPr>
          <w:rFonts w:hint="eastAsia" w:ascii="仿宋_GB2312" w:hAnsi="仿宋_GB2312" w:eastAsia="仿宋_GB2312" w:cs="仿宋_GB2312"/>
          <w:sz w:val="32"/>
          <w:szCs w:val="32"/>
        </w:rPr>
        <w:t>年初预算数为77.23万元，支出决算为77.23万元，完成年初预算的100.00%。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rPr>
        <w:t>年初预算数为27.10万元，支出决算为27.10万元，完成年初预算的100.00%。</w:t>
      </w:r>
      <w:r>
        <w:rPr>
          <w:rStyle w:val="5"/>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rPr>
        <w:t>年初预算数为50.13万元，支出决算为50.13万元，完成年初预算的100.00%。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主要用于市人民法院省内外案件调查取证、审理开庭、案年执行，以及机要文件交换、市内因公出行等业务所需的车辆燃料费、维修费、过路过桥费、保险费等支出。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rPr>
        <w:t>年初预算数为4.14万元，支出决算为4.14万元，完成年初预算的100.00%。主要是用于</w:t>
      </w:r>
      <w:r>
        <w:rPr>
          <w:rFonts w:hint="eastAsia" w:ascii="仿宋_GB2312" w:hAnsi="仿宋_GB2312" w:eastAsia="仿宋_GB2312" w:cs="仿宋_GB2312"/>
          <w:sz w:val="32"/>
          <w:szCs w:val="32"/>
          <w:lang w:eastAsia="zh-CN"/>
        </w:rPr>
        <w:t>审判执行</w:t>
      </w:r>
      <w:r>
        <w:rPr>
          <w:rFonts w:hint="eastAsia" w:ascii="仿宋_GB2312" w:hAnsi="仿宋_GB2312" w:eastAsia="仿宋_GB2312" w:cs="仿宋_GB2312"/>
          <w:sz w:val="32"/>
          <w:szCs w:val="32"/>
        </w:rPr>
        <w:t>业务交流、各级法院开庭接待的支出。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（三）“三公”经费财政拨款支出决算实物量情况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2020年度本部门</w:t>
      </w:r>
      <w:r>
        <w:rPr>
          <w:rStyle w:val="5"/>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rPr>
        <w:t>共计0个团组，0人；</w:t>
      </w:r>
      <w:r>
        <w:rPr>
          <w:rStyle w:val="5"/>
          <w:rFonts w:hint="eastAsia" w:ascii="仿宋_GB2312" w:hAnsi="仿宋_GB2312" w:eastAsia="仿宋_GB2312" w:cs="仿宋_GB2312"/>
          <w:sz w:val="32"/>
          <w:szCs w:val="32"/>
        </w:rPr>
        <w:t>公务用车购置</w:t>
      </w:r>
      <w:r>
        <w:rPr>
          <w:rFonts w:hint="eastAsia" w:ascii="仿宋_GB2312" w:hAnsi="仿宋_GB2312" w:eastAsia="仿宋_GB2312" w:cs="仿宋_GB2312"/>
          <w:sz w:val="32"/>
          <w:szCs w:val="32"/>
        </w:rPr>
        <w:t>1辆，</w:t>
      </w:r>
      <w:r>
        <w:rPr>
          <w:rStyle w:val="5"/>
          <w:rFonts w:hint="eastAsia" w:ascii="仿宋_GB2312" w:hAnsi="仿宋_GB2312" w:eastAsia="仿宋_GB2312" w:cs="仿宋_GB2312"/>
          <w:sz w:val="32"/>
          <w:szCs w:val="32"/>
        </w:rPr>
        <w:t>公务用车保有量</w:t>
      </w:r>
      <w:r>
        <w:rPr>
          <w:rFonts w:hint="eastAsia" w:ascii="仿宋_GB2312" w:hAnsi="仿宋_GB2312" w:eastAsia="仿宋_GB2312" w:cs="仿宋_GB2312"/>
          <w:sz w:val="32"/>
          <w:szCs w:val="32"/>
        </w:rPr>
        <w:t>为12辆；</w:t>
      </w:r>
      <w:r>
        <w:rPr>
          <w:rStyle w:val="5"/>
          <w:rFonts w:hint="eastAsia" w:ascii="仿宋_GB2312" w:hAnsi="仿宋_GB2312" w:eastAsia="仿宋_GB2312" w:cs="仿宋_GB2312"/>
          <w:sz w:val="32"/>
          <w:szCs w:val="32"/>
        </w:rPr>
        <w:t>国内公务接待</w:t>
      </w:r>
      <w:r>
        <w:rPr>
          <w:rFonts w:hint="eastAsia" w:ascii="仿宋_GB2312" w:hAnsi="仿宋_GB2312" w:eastAsia="仿宋_GB2312" w:cs="仿宋_GB2312"/>
          <w:sz w:val="32"/>
          <w:szCs w:val="32"/>
        </w:rPr>
        <w:t>68批次967人，其中：</w:t>
      </w:r>
      <w:r>
        <w:rPr>
          <w:rStyle w:val="5"/>
          <w:rFonts w:hint="eastAsia" w:ascii="仿宋_GB2312" w:hAnsi="仿宋_GB2312" w:eastAsia="仿宋_GB2312" w:cs="仿宋_GB2312"/>
          <w:sz w:val="32"/>
          <w:szCs w:val="32"/>
        </w:rPr>
        <w:t>外事接待</w:t>
      </w:r>
      <w:r>
        <w:rPr>
          <w:rFonts w:hint="eastAsia" w:ascii="仿宋_GB2312" w:hAnsi="仿宋_GB2312" w:eastAsia="仿宋_GB2312" w:cs="仿宋_GB2312"/>
          <w:sz w:val="32"/>
          <w:szCs w:val="32"/>
        </w:rPr>
        <w:t>0批次，0人；</w:t>
      </w:r>
      <w:r>
        <w:rPr>
          <w:rStyle w:val="5"/>
          <w:rFonts w:hint="eastAsia" w:ascii="仿宋_GB2312" w:hAnsi="仿宋_GB2312" w:eastAsia="仿宋_GB2312" w:cs="仿宋_GB2312"/>
          <w:sz w:val="32"/>
          <w:szCs w:val="32"/>
        </w:rPr>
        <w:t>国（境）外公务接待</w:t>
      </w:r>
      <w:r>
        <w:rPr>
          <w:rFonts w:hint="eastAsia" w:ascii="仿宋_GB2312" w:hAnsi="仿宋_GB2312" w:eastAsia="仿宋_GB2312" w:cs="仿宋_GB2312"/>
          <w:sz w:val="32"/>
          <w:szCs w:val="32"/>
        </w:rPr>
        <w:t>0批次，0人。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2020年度本部门机关运行经费支出291.99万元，机关运行经费主要用于开支机关运行经费</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主要用于开支办公费、印刷费、水费、电费、邮电费、取暖费、差旅费、维修（护）费、租赁费、培训费、公务接待费、劳务费、工会经费、福利费、公务运车运行维护费、其他交通费用、其他商品服务支出。机关运行经费较上年决算数增加44.91万元，增长18.18%，主要原因是为解决案多车少的窘状，预算增加购置执法执勤用车和数字化法院建设支出。其中：本年度会议费支出1.85万元，较上年决算数减少0.13万元，下降6.57%，主要原因按照省财政要求压缩会议支出。本年度培训费支出5.26万元，较上年决算数减少10.95万元，下降67.55%，主要原因按照省财政要求压缩培训费支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视频培训次数增加。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九、政府采购支出情况说明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2020年度本部门政府采购支出合计808.14万元，其中：政府采购货物支出218.00万元、政府采购工程支出 383.13万元、政府采购服务支出207.00万元。授予中小企业合同金额685.97万元，占政府采购支出总额的84.88%，其中：授予小微企业合 同金额313.99万元，占政府采购支出总额的38.85%。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截至2020年12月31日，本部门共有车辆12辆，其中，执法执勤用车10辆，特种专业技术用车2辆。单价50万元（含）以上通用设备0台（套），单价100万元（含）以上专用设备0台（套）。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本部门2020年度无政府性基金收入，也没有使用政府性基金安排的支出。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本部门2020年度没有使用国有资本经营预算安排的支出。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十三、预算绩效情况说明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2020年度下达我院项目预算资金金额</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万元，全年执行数为</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万元，执行率为100%。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度目标：通过政法转移支付和全省法院业务费资金，建立起更为完善的法院经费保障机制，以确保法院依法履行职责。保障法院完成2020年各类案件的审判和执行工作，完成2020年法院计划内信息数字化法院建设。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甘肃省财政厅关于印发&lt;甘肃省省级预算绩效管理办法&gt;等6个办法和规程的通知》（甘财绩〔2020〕5号）及《甘肃省财政厅关于开展2020年度省级预算执行情况绩效部门评价和财政评价工作的通知》（甘财绩〔2021〕4号）等有关规定，评价组对照项目绩效评价指标体系，从决策、过程、产出和效益四个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对2020年度白银市中级人民法院绩效评级为“良”</w:t>
      </w:r>
      <w:r>
        <w:rPr>
          <w:rFonts w:hint="eastAsia" w:ascii="仿宋_GB2312" w:hAnsi="仿宋_GB2312" w:eastAsia="仿宋_GB2312" w:cs="仿宋_GB2312"/>
          <w:sz w:val="32"/>
          <w:szCs w:val="32"/>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（二）绩效自评结果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1.绩效目标自评表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见附件3。</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见附件4。</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（三）重点绩效评价结果</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Style w:val="5"/>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甘肃慧瑞融智管理咨询有限公司第三方形式开展绩效评价1项，涉及全省法院业务费项目资金240万元，从评价情况来看：根据《甘肃省财政厅关于印发&lt;甘肃省省级预算绩效管理办法&gt;等6个办法和规程的通知》（甘财绩〔2020〕5号）及《甘肃省财政厅关于开展2020年度省级预算执行情况绩效部门评价和财政评价工作的通知》（甘财绩〔2021〕4号）等有关规定，评价组对照项目绩效评价指标体系，从决策、过程、产出和效益四个维度，通过数据采集、实地调研和问卷访谈等方式，对2020年度白银市中级人民法院全省法院业务费项目进行客观公正的评价，本项目总得分为88.94分，绩效评级为“良”。整体而言，白银市中级人民法院2020年全省法院业务费项目完成情况良好，执行案件执结率为96.45%，一审服判息诉率为98.14%；按照年初计划，采购了刑事物证信息管理系统及物证室建设、两个“一站式”建设、涉案财物管理平台系统基础软件、物联网数据采集服务器、射频数据采购系统等装备；对法院刑事证物收集保管程列室房屋、刑事物证信息管理系统及物证室建设项目进行了维修改造，为法院的办案环境提供便利，使法院办案能力建设和办案环境得到了明显的改善，有效保障了法院工作的顺利开展。（甘肃省白银市中级人民法院全省法院业务费项目绩效评价报告见附件</w:t>
      </w:r>
      <w:r>
        <w:rPr>
          <w:rFonts w:hint="eastAsia" w:ascii="仿宋_GB2312" w:hAnsi="仿宋_GB2312" w:eastAsia="仿宋_GB2312" w:cs="仿宋_GB2312"/>
          <w:sz w:val="32"/>
          <w:szCs w:val="32"/>
          <w:lang w:val="en-US" w:eastAsia="zh-CN"/>
        </w:rPr>
        <w:t>5，甘肃省白银市中级人民法院全省法院业务费项目绩效评价评分表见附件6</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第四部分  名词解释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一、财政拨款收入</w:t>
      </w:r>
      <w:r>
        <w:rPr>
          <w:rFonts w:hint="eastAsia" w:ascii="仿宋_GB2312" w:hAnsi="仿宋_GB2312" w:eastAsia="仿宋_GB2312" w:cs="仿宋_GB2312"/>
          <w:sz w:val="32"/>
          <w:szCs w:val="32"/>
        </w:rP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二、事业收入</w:t>
      </w:r>
      <w:r>
        <w:rPr>
          <w:rFonts w:hint="eastAsia" w:ascii="仿宋_GB2312" w:hAnsi="仿宋_GB2312" w:eastAsia="仿宋_GB2312" w:cs="仿宋_GB2312"/>
          <w:sz w:val="32"/>
          <w:szCs w:val="32"/>
        </w:rPr>
        <w:t>：指事业</w:t>
      </w:r>
      <w:bookmarkStart w:id="0" w:name="_GoBack"/>
      <w:r>
        <w:rPr>
          <w:rFonts w:hint="eastAsia" w:ascii="仿宋_GB2312" w:hAnsi="仿宋_GB2312" w:eastAsia="仿宋_GB2312" w:cs="仿宋_GB2312"/>
          <w:sz w:val="32"/>
          <w:szCs w:val="32"/>
        </w:rPr>
        <w:t>单位开</w:t>
      </w:r>
      <w:bookmarkEnd w:id="0"/>
      <w:r>
        <w:rPr>
          <w:rFonts w:hint="eastAsia" w:ascii="仿宋_GB2312" w:hAnsi="仿宋_GB2312" w:eastAsia="仿宋_GB2312" w:cs="仿宋_GB2312"/>
          <w:sz w:val="32"/>
          <w:szCs w:val="32"/>
        </w:rPr>
        <w:t>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三、经营收入</w:t>
      </w:r>
      <w:r>
        <w:rPr>
          <w:rFonts w:hint="eastAsia" w:ascii="仿宋_GB2312" w:hAnsi="仿宋_GB2312" w:eastAsia="仿宋_GB2312" w:cs="仿宋_GB2312"/>
          <w:sz w:val="32"/>
          <w:szCs w:val="32"/>
        </w:rP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四、其他收入</w:t>
      </w:r>
      <w:r>
        <w:rPr>
          <w:rFonts w:hint="eastAsia" w:ascii="仿宋_GB2312" w:hAnsi="仿宋_GB2312" w:eastAsia="仿宋_GB2312" w:cs="仿宋_GB2312"/>
          <w:sz w:val="32"/>
          <w:szCs w:val="32"/>
        </w:rPr>
        <w:t>：指单位取得的除“财政拨款收入”、“事业收入”、“经营收入”等以外 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五、用事业基金弥补收支差额</w:t>
      </w:r>
      <w:r>
        <w:rPr>
          <w:rFonts w:hint="eastAsia" w:ascii="仿宋_GB2312" w:hAnsi="仿宋_GB2312" w:eastAsia="仿宋_GB2312" w:cs="仿宋_GB2312"/>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六、年初结转和结余</w:t>
      </w:r>
      <w:r>
        <w:rPr>
          <w:rFonts w:hint="eastAsia" w:ascii="仿宋_GB2312" w:hAnsi="仿宋_GB2312" w:eastAsia="仿宋_GB2312" w:cs="仿宋_GB2312"/>
          <w:sz w:val="32"/>
          <w:szCs w:val="32"/>
        </w:rP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七、结余分配</w:t>
      </w:r>
      <w:r>
        <w:rPr>
          <w:rFonts w:hint="eastAsia" w:ascii="仿宋_GB2312" w:hAnsi="仿宋_GB2312" w:eastAsia="仿宋_GB2312" w:cs="仿宋_GB2312"/>
          <w:sz w:val="32"/>
          <w:szCs w:val="32"/>
        </w:rPr>
        <w:t>：指单位按照国家有关规定，缴纳所得税、提取专用基金、转入事业基金等当年结余的分配情况。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八、年末结转和结余</w:t>
      </w:r>
      <w:r>
        <w:rPr>
          <w:rFonts w:hint="eastAsia" w:ascii="仿宋_GB2312" w:hAnsi="仿宋_GB2312" w:eastAsia="仿宋_GB2312" w:cs="仿宋_GB2312"/>
          <w:sz w:val="32"/>
          <w:szCs w:val="32"/>
        </w:rP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九、基本支出</w:t>
      </w:r>
      <w:r>
        <w:rPr>
          <w:rFonts w:hint="eastAsia" w:ascii="仿宋_GB2312" w:hAnsi="仿宋_GB2312" w:eastAsia="仿宋_GB2312" w:cs="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十、项目支出</w:t>
      </w:r>
      <w:r>
        <w:rPr>
          <w:rFonts w:hint="eastAsia" w:ascii="仿宋_GB2312" w:hAnsi="仿宋_GB2312" w:eastAsia="仿宋_GB2312" w:cs="仿宋_GB2312"/>
          <w:sz w:val="32"/>
          <w:szCs w:val="32"/>
        </w:rP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十一、经营支出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十二、“三公”经费</w:t>
      </w:r>
      <w:r>
        <w:rPr>
          <w:rFonts w:hint="eastAsia" w:ascii="仿宋_GB2312" w:hAnsi="仿宋_GB2312" w:eastAsia="仿宋_GB2312" w:cs="仿宋_GB2312"/>
          <w:sz w:val="32"/>
          <w:szCs w:val="32"/>
        </w:rPr>
        <w:t>：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十三、机关运行经费</w:t>
      </w:r>
      <w:r>
        <w:rPr>
          <w:rFonts w:hint="eastAsia" w:ascii="仿宋_GB2312" w:hAnsi="仿宋_GB2312" w:eastAsia="仿宋_GB2312" w:cs="仿宋_GB2312"/>
          <w:sz w:val="32"/>
          <w:szCs w:val="32"/>
        </w:rPr>
        <w:t>：为保障行政单位（含参照公务员法管理的事业单位）运行用于购买 货物和服务等的各项公用经费，包括办公及印刷费、邮电费、差旅费、会议费、福利费、日常维护费、专用材料及一般设备购置费、办公用房水电费、办公用房取暖 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十四、工资福利支出</w:t>
      </w:r>
      <w:r>
        <w:rPr>
          <w:rFonts w:hint="eastAsia" w:ascii="仿宋_GB2312" w:hAnsi="仿宋_GB2312" w:eastAsia="仿宋_GB2312" w:cs="仿宋_GB2312"/>
          <w:sz w:val="32"/>
          <w:szCs w:val="32"/>
        </w:rPr>
        <w:t>（支出经济分类科目类级）：反映单位开支的在职职工和编制外长期聘用人员的各类劳动报酬，以及为上述人员缴纳的各项社会保险费等。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十五、商品和服务支出（支出经济分类科目类级）</w:t>
      </w:r>
      <w:r>
        <w:rPr>
          <w:rFonts w:hint="eastAsia" w:ascii="仿宋_GB2312" w:hAnsi="仿宋_GB2312" w:eastAsia="仿宋_GB2312" w:cs="仿宋_GB2312"/>
          <w:sz w:val="32"/>
          <w:szCs w:val="32"/>
        </w:rP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十六、对个人和家庭的补助（支出经济分类科目类级）</w:t>
      </w:r>
      <w:r>
        <w:rPr>
          <w:rFonts w:hint="eastAsia" w:ascii="仿宋_GB2312" w:hAnsi="仿宋_GB2312" w:eastAsia="仿宋_GB2312" w:cs="仿宋_GB2312"/>
          <w:sz w:val="32"/>
          <w:szCs w:val="32"/>
        </w:rPr>
        <w:t>：反映用于对个人和家庭的补助支出。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十七、其他资本性支出（支出经济分类科目类级）</w:t>
      </w:r>
      <w:r>
        <w:rPr>
          <w:rFonts w:hint="eastAsia" w:ascii="仿宋_GB2312" w:hAnsi="仿宋_GB2312" w:eastAsia="仿宋_GB2312" w:cs="仿宋_GB2312"/>
          <w:sz w:val="32"/>
          <w:szCs w:val="32"/>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1.2020年部门决算公开报表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2.2020年部门决算公开报告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3.2020年绩效目标自评表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4.2020年绩效自评报告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1278" w:leftChars="456" w:right="0" w:rightChars="0" w:hanging="320" w:hanging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5.甘肃省白银市中级人民法院全省法院业务费项目绩效评价报告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1387" w:leftChars="508" w:right="0" w:rightChars="0" w:hanging="320" w:hanging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6.甘肃省白银市中级人民法院全省法院业务费项目绩效评价评分表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960" w:firstLineChars="3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甘肃省白银市中级人民法院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仿宋简">
    <w:panose1 w:val="02010609000101010101"/>
    <w:charset w:val="86"/>
    <w:family w:val="auto"/>
    <w:pitch w:val="default"/>
    <w:sig w:usb0="A1007AEF" w:usb1="F9DF7CFB" w:usb2="0000001E" w:usb3="00000000" w:csb0="2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5FBF0"/>
    <w:multiLevelType w:val="singleLevel"/>
    <w:tmpl w:val="91A5FBF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F341D"/>
    <w:rsid w:val="007C209A"/>
    <w:rsid w:val="01147B0E"/>
    <w:rsid w:val="02C25BB8"/>
    <w:rsid w:val="04BE7E8D"/>
    <w:rsid w:val="07B05CAA"/>
    <w:rsid w:val="0AC83116"/>
    <w:rsid w:val="0FC5451B"/>
    <w:rsid w:val="10B3356D"/>
    <w:rsid w:val="15C67C28"/>
    <w:rsid w:val="160F59C3"/>
    <w:rsid w:val="177C6E8A"/>
    <w:rsid w:val="1B4F2018"/>
    <w:rsid w:val="1D4B5DDC"/>
    <w:rsid w:val="1F781A8F"/>
    <w:rsid w:val="20772B1A"/>
    <w:rsid w:val="28AA3C89"/>
    <w:rsid w:val="29A66FAA"/>
    <w:rsid w:val="2C743C74"/>
    <w:rsid w:val="2D9333AD"/>
    <w:rsid w:val="2E692FDA"/>
    <w:rsid w:val="2E7C6039"/>
    <w:rsid w:val="31972134"/>
    <w:rsid w:val="391B4A7F"/>
    <w:rsid w:val="39924370"/>
    <w:rsid w:val="3B464BD0"/>
    <w:rsid w:val="3C3F1E23"/>
    <w:rsid w:val="3CE54775"/>
    <w:rsid w:val="4A6F7F5F"/>
    <w:rsid w:val="4CEF341D"/>
    <w:rsid w:val="4CFA4C4F"/>
    <w:rsid w:val="58AA034E"/>
    <w:rsid w:val="66E4339F"/>
    <w:rsid w:val="6DFB42F7"/>
    <w:rsid w:val="6F2E1152"/>
    <w:rsid w:val="70023C3D"/>
    <w:rsid w:val="745D1E5F"/>
    <w:rsid w:val="7754510B"/>
    <w:rsid w:val="7AAF6F4E"/>
    <w:rsid w:val="7BAC361B"/>
    <w:rsid w:val="7E94708E"/>
    <w:rsid w:val="7F6C4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2021-08-19T03:44:00Z</dcterms:created>
  <dc:creator>BYZY</dc:creator>
  <cp:lastModifiedBy>高，实在是高</cp:lastModifiedBy>
  <dcterms:modified xsi:type="dcterms:W3CDTF">2021-08-30T08:22:46Z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9A38B5BAF4E941B38A63BBEA42BA3443</vt:lpwstr>
  </property>
</Properties>
</file>