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44"/>
          <w:szCs w:val="44"/>
          <w:lang w:val="zh-CN"/>
        </w:rPr>
      </w:pPr>
      <w:r>
        <w:rPr>
          <w:rFonts w:hint="eastAsia" w:ascii="宋体" w:hAnsi="宋体"/>
          <w:sz w:val="44"/>
          <w:szCs w:val="44"/>
          <w:lang w:val="zh-CN"/>
        </w:rPr>
        <w:t>2022年度</w:t>
      </w:r>
    </w:p>
    <w:p>
      <w:pPr>
        <w:spacing w:before="100" w:beforeLines="0" w:after="100" w:afterLines="0"/>
        <w:jc w:val="center"/>
        <w:rPr>
          <w:rFonts w:hint="eastAsia" w:ascii="宋体" w:hAnsi="宋体"/>
          <w:sz w:val="44"/>
          <w:szCs w:val="44"/>
          <w:lang w:val="zh-CN"/>
        </w:rPr>
      </w:pPr>
      <w:r>
        <w:rPr>
          <w:rFonts w:hint="eastAsia" w:ascii="宋体" w:hAnsi="宋体"/>
          <w:sz w:val="44"/>
          <w:szCs w:val="44"/>
          <w:lang w:val="zh-CN"/>
        </w:rPr>
        <w:t>合作市人民法院部门决算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华文仿宋" w:hAnsi="华文仿宋" w:eastAsia="华文仿宋" w:cs="华文仿宋"/>
          <w:sz w:val="24"/>
          <w:szCs w:val="24"/>
          <w:lang w:val="zh-CN"/>
        </w:rPr>
      </w:pPr>
    </w:p>
    <w:p>
      <w:pPr>
        <w:spacing w:before="100" w:beforeLines="0" w:after="100" w:afterLines="0"/>
        <w:jc w:val="center"/>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目录</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第一部分部门概况</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一、部门职责</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二、机构设置</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第二部分2022年度部门决算表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一、收入支出决算总表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二、收入决算表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三、支出决算表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四、财政拨款收入支出决算总表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五、一般公共预算财政拨款支出决算表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六、一般公共预算财政拨款基本支出决算明细表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七、政府性基金预算财政拨款收入支出决算表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八、国有资本经营预算财政拨款支出决算表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九、财政拨款“三公”经费支出决算表</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第三部分2022年度部门决算情况说明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一、收入支出决算总体情况说明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二、收入决算情况说明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三、支出决算情况说明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四、财政拨款收入支出决算总体情况说明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五、一般公共预算财政拨款支出决算情况说明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六、一般公共预算财政拨款基本支出决算情况说明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七、机关运行经费支出情况说明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八、政府采购支出情况说明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九、国有资产占用情况说明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十、政府性基金预算财政拨款收支决算情况说明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十一、国有资本经营预算财政拨款支出情况说明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十二、财政拨款“三公”经费支出决算情况说明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第四部分预算绩效情况说明</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第五部分名词解释</w:t>
      </w: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32"/>
          <w:szCs w:val="32"/>
          <w:lang w:val="zh-CN"/>
        </w:rPr>
      </w:pPr>
    </w:p>
    <w:p>
      <w:pPr>
        <w:spacing w:before="100" w:beforeLines="0" w:after="100" w:afterLines="0"/>
        <w:jc w:val="center"/>
        <w:rPr>
          <w:rFonts w:hint="eastAsia" w:ascii="华文仿宋" w:hAnsi="华文仿宋" w:eastAsia="华文仿宋" w:cs="华文仿宋"/>
          <w:sz w:val="24"/>
          <w:szCs w:val="24"/>
          <w:lang w:val="zh-CN"/>
        </w:rPr>
      </w:pPr>
    </w:p>
    <w:p>
      <w:pPr>
        <w:spacing w:before="100" w:beforeLines="0" w:after="100" w:afterLines="0"/>
        <w:jc w:val="center"/>
        <w:rPr>
          <w:rFonts w:hint="eastAsia" w:ascii="华文仿宋" w:hAnsi="华文仿宋" w:eastAsia="华文仿宋" w:cs="华文仿宋"/>
          <w:sz w:val="24"/>
          <w:szCs w:val="24"/>
          <w:lang w:val="zh-CN"/>
        </w:rPr>
      </w:pPr>
    </w:p>
    <w:p>
      <w:pPr>
        <w:spacing w:before="100" w:beforeLines="0" w:after="100" w:afterLines="0"/>
        <w:jc w:val="center"/>
        <w:rPr>
          <w:rFonts w:hint="eastAsia" w:ascii="华文仿宋" w:hAnsi="华文仿宋" w:eastAsia="华文仿宋" w:cs="华文仿宋"/>
          <w:sz w:val="24"/>
          <w:szCs w:val="24"/>
          <w:lang w:val="zh-CN"/>
        </w:rPr>
      </w:pPr>
    </w:p>
    <w:p>
      <w:pPr>
        <w:spacing w:before="100" w:beforeLines="0" w:after="100" w:afterLines="0"/>
        <w:jc w:val="center"/>
        <w:rPr>
          <w:rFonts w:hint="eastAsia" w:ascii="华文仿宋" w:hAnsi="华文仿宋" w:eastAsia="华文仿宋" w:cs="华文仿宋"/>
          <w:sz w:val="32"/>
          <w:szCs w:val="32"/>
          <w:lang w:val="zh-CN"/>
        </w:rPr>
      </w:pPr>
      <w:r>
        <w:rPr>
          <w:rFonts w:hint="eastAsia" w:ascii="华文仿宋" w:hAnsi="华文仿宋" w:eastAsia="华文仿宋" w:cs="华文仿宋"/>
          <w:b/>
          <w:sz w:val="32"/>
          <w:szCs w:val="32"/>
          <w:lang w:val="zh-CN"/>
        </w:rPr>
        <w:t>第一部分部门概况</w:t>
      </w:r>
    </w:p>
    <w:p>
      <w:pPr>
        <w:spacing w:before="100" w:beforeLines="0" w:after="100" w:afterLines="0"/>
        <w:jc w:val="left"/>
        <w:rPr>
          <w:rFonts w:hint="eastAsia" w:ascii="华文仿宋" w:hAnsi="华文仿宋" w:eastAsia="华文仿宋" w:cs="华文仿宋"/>
          <w:sz w:val="32"/>
          <w:szCs w:val="32"/>
          <w:lang w:val="zh-CN"/>
        </w:rPr>
      </w:pPr>
      <w:r>
        <w:rPr>
          <w:rFonts w:hint="eastAsia" w:ascii="华文仿宋" w:hAnsi="华文仿宋" w:eastAsia="华文仿宋" w:cs="华文仿宋"/>
          <w:sz w:val="32"/>
          <w:szCs w:val="32"/>
          <w:lang w:val="zh-CN"/>
        </w:rPr>
        <w:t>一、部门职责</w:t>
      </w:r>
    </w:p>
    <w:p>
      <w:pPr>
        <w:pStyle w:val="4"/>
        <w:shd w:val="clear" w:color="auto" w:fill="FFFFFF"/>
        <w:adjustRightInd w:val="0"/>
        <w:spacing w:line="52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合作市人民法院是国家的审判机关，主要任务是依法独立行使审判权，保证国家法律的统一、正确实施。据此，合作市人民法院的主要职责：</w:t>
      </w:r>
    </w:p>
    <w:p>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rPr>
      </w:pPr>
      <w:r>
        <w:rPr>
          <w:rFonts w:hint="eastAsia" w:ascii="华文仿宋" w:hAnsi="华文仿宋" w:eastAsia="华文仿宋" w:cs="华文仿宋"/>
          <w:color w:val="222222"/>
          <w:sz w:val="32"/>
          <w:szCs w:val="32"/>
          <w:shd w:val="clear" w:color="auto" w:fill="FFFFFF"/>
        </w:rPr>
        <w:t>1.依法审理法律、法规规定的由市人民法院管辖的刑事、民事、行政案件。</w:t>
      </w:r>
    </w:p>
    <w:p>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rPr>
      </w:pPr>
      <w:r>
        <w:rPr>
          <w:rFonts w:hint="eastAsia" w:ascii="华文仿宋" w:hAnsi="华文仿宋" w:eastAsia="华文仿宋" w:cs="华文仿宋"/>
          <w:color w:val="222222"/>
          <w:sz w:val="32"/>
          <w:szCs w:val="32"/>
          <w:shd w:val="clear" w:color="auto" w:fill="FFFFFF"/>
        </w:rPr>
        <w:t>2.依照审判监督程序，审理告诉、申诉的刑事、民事案件。</w:t>
      </w:r>
    </w:p>
    <w:p>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shd w:val="clear" w:color="auto" w:fill="FFFFFF"/>
        </w:rPr>
      </w:pPr>
      <w:r>
        <w:rPr>
          <w:rFonts w:hint="eastAsia" w:ascii="华文仿宋" w:hAnsi="华文仿宋" w:eastAsia="华文仿宋" w:cs="华文仿宋"/>
          <w:color w:val="222222"/>
          <w:sz w:val="32"/>
          <w:szCs w:val="32"/>
          <w:shd w:val="clear" w:color="auto" w:fill="FFFFFF"/>
        </w:rPr>
        <w:t>3.依法审理由中级人民法院指定再审的案件和人民检察院抗诉的案件。受理当事人不服本院发生法律效力的判决、裁定并提起申诉的刑事、行政诉讼案件。</w:t>
      </w:r>
    </w:p>
    <w:p>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rPr>
      </w:pPr>
      <w:r>
        <w:rPr>
          <w:rFonts w:hint="eastAsia" w:ascii="华文仿宋" w:hAnsi="华文仿宋" w:eastAsia="华文仿宋" w:cs="华文仿宋"/>
          <w:color w:val="222222"/>
          <w:sz w:val="32"/>
          <w:szCs w:val="32"/>
          <w:shd w:val="clear" w:color="auto" w:fill="FFFFFF"/>
        </w:rPr>
        <w:t>4.依法行使执行权和司法决定权，执行本院已经发生法律效力的判决、裁决以及国家行政机关申请执行的案件和外地法院委托执行的案件。</w:t>
      </w:r>
    </w:p>
    <w:p>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rPr>
      </w:pPr>
      <w:r>
        <w:rPr>
          <w:rFonts w:hint="eastAsia" w:ascii="华文仿宋" w:hAnsi="华文仿宋" w:eastAsia="华文仿宋" w:cs="华文仿宋"/>
          <w:color w:val="222222"/>
          <w:sz w:val="32"/>
          <w:szCs w:val="32"/>
          <w:shd w:val="clear" w:color="auto" w:fill="FFFFFF"/>
        </w:rPr>
        <w:t>5.对法律规定、规章等草案提出意见，对案件审理中发现的问题提出司法建议。</w:t>
      </w:r>
    </w:p>
    <w:p>
      <w:pPr>
        <w:pStyle w:val="4"/>
        <w:shd w:val="clear" w:color="auto" w:fill="FFFFFF"/>
        <w:adjustRightInd w:val="0"/>
        <w:spacing w:line="520" w:lineRule="atLeast"/>
        <w:ind w:firstLine="646"/>
        <w:rPr>
          <w:rFonts w:hint="eastAsia" w:ascii="华文仿宋" w:hAnsi="华文仿宋" w:eastAsia="华文仿宋" w:cs="华文仿宋"/>
          <w:color w:val="222222"/>
          <w:sz w:val="32"/>
          <w:szCs w:val="32"/>
        </w:rPr>
      </w:pPr>
      <w:r>
        <w:rPr>
          <w:rFonts w:hint="eastAsia" w:ascii="华文仿宋" w:hAnsi="华文仿宋" w:eastAsia="华文仿宋" w:cs="华文仿宋"/>
          <w:color w:val="222222"/>
          <w:sz w:val="32"/>
          <w:szCs w:val="32"/>
          <w:shd w:val="clear" w:color="auto" w:fill="FFFFFF"/>
        </w:rPr>
        <w:t>6.参与社会治安综合治理工作，在审判工作中宣传法制、教育公民自觉遵守宪法、法律、法规和社会公德。</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二、机构设置</w:t>
      </w:r>
    </w:p>
    <w:p>
      <w:pPr>
        <w:pStyle w:val="4"/>
        <w:shd w:val="clear" w:color="auto" w:fill="FFFFFF"/>
        <w:snapToGrid w:val="0"/>
        <w:spacing w:line="520" w:lineRule="exact"/>
        <w:ind w:firstLine="646"/>
        <w:rPr>
          <w:rFonts w:hint="eastAsia" w:ascii="华文仿宋" w:hAnsi="华文仿宋" w:eastAsia="华文仿宋" w:cs="华文仿宋"/>
          <w:color w:val="222222"/>
          <w:sz w:val="32"/>
          <w:szCs w:val="32"/>
          <w:lang w:eastAsia="zh-CN"/>
        </w:rPr>
      </w:pPr>
      <w:r>
        <w:rPr>
          <w:rFonts w:hint="eastAsia" w:ascii="华文仿宋" w:hAnsi="华文仿宋" w:eastAsia="华文仿宋" w:cs="华文仿宋"/>
          <w:color w:val="222222"/>
          <w:sz w:val="32"/>
          <w:szCs w:val="32"/>
          <w:shd w:val="clear" w:color="auto" w:fill="FFFFFF"/>
        </w:rPr>
        <w:t>合作市人民法院属财政全额拨款的行政单位，现内设</w:t>
      </w:r>
      <w:r>
        <w:rPr>
          <w:rFonts w:hint="eastAsia" w:ascii="华文仿宋" w:hAnsi="华文仿宋" w:eastAsia="华文仿宋" w:cs="华文仿宋"/>
          <w:color w:val="222222"/>
          <w:sz w:val="32"/>
          <w:szCs w:val="32"/>
          <w:shd w:val="clear" w:color="auto" w:fill="FFFFFF"/>
          <w:lang w:val="en-US" w:eastAsia="zh-CN"/>
        </w:rPr>
        <w:t>5</w:t>
      </w:r>
      <w:r>
        <w:rPr>
          <w:rFonts w:hint="eastAsia" w:ascii="华文仿宋" w:hAnsi="华文仿宋" w:eastAsia="华文仿宋" w:cs="华文仿宋"/>
          <w:color w:val="222222"/>
          <w:sz w:val="32"/>
          <w:szCs w:val="32"/>
          <w:shd w:val="clear" w:color="auto" w:fill="FFFFFF"/>
        </w:rPr>
        <w:t>个科室，具体包括</w:t>
      </w:r>
      <w:r>
        <w:rPr>
          <w:rFonts w:hint="eastAsia" w:ascii="华文仿宋" w:hAnsi="华文仿宋" w:eastAsia="华文仿宋" w:cs="华文仿宋"/>
          <w:color w:val="222222"/>
          <w:sz w:val="32"/>
          <w:szCs w:val="32"/>
          <w:shd w:val="clear" w:color="auto" w:fill="FFFFFF"/>
          <w:lang w:eastAsia="zh-CN"/>
        </w:rPr>
        <w:t>综合办公室</w:t>
      </w:r>
      <w:r>
        <w:rPr>
          <w:rFonts w:hint="eastAsia" w:ascii="华文仿宋" w:hAnsi="华文仿宋" w:eastAsia="华文仿宋" w:cs="华文仿宋"/>
          <w:color w:val="222222"/>
          <w:sz w:val="32"/>
          <w:szCs w:val="32"/>
          <w:shd w:val="clear" w:color="auto" w:fill="FFFFFF"/>
        </w:rPr>
        <w:t>、立案庭、执行局、</w:t>
      </w:r>
      <w:r>
        <w:rPr>
          <w:rFonts w:hint="eastAsia" w:ascii="华文仿宋" w:hAnsi="华文仿宋" w:eastAsia="华文仿宋" w:cs="华文仿宋"/>
          <w:color w:val="222222"/>
          <w:sz w:val="32"/>
          <w:szCs w:val="32"/>
          <w:shd w:val="clear" w:color="auto" w:fill="FFFFFF"/>
          <w:lang w:eastAsia="zh-CN"/>
        </w:rPr>
        <w:t>政治部</w:t>
      </w:r>
      <w:r>
        <w:rPr>
          <w:rFonts w:hint="eastAsia" w:ascii="华文仿宋" w:hAnsi="华文仿宋" w:eastAsia="华文仿宋" w:cs="华文仿宋"/>
          <w:color w:val="222222"/>
          <w:sz w:val="32"/>
          <w:szCs w:val="32"/>
          <w:shd w:val="clear" w:color="auto" w:fill="FFFFFF"/>
        </w:rPr>
        <w:t>、</w:t>
      </w:r>
      <w:r>
        <w:rPr>
          <w:rFonts w:hint="eastAsia" w:ascii="华文仿宋" w:hAnsi="华文仿宋" w:eastAsia="华文仿宋" w:cs="华文仿宋"/>
          <w:color w:val="222222"/>
          <w:sz w:val="32"/>
          <w:szCs w:val="32"/>
          <w:shd w:val="clear" w:color="auto" w:fill="FFFFFF"/>
          <w:lang w:eastAsia="zh-CN"/>
        </w:rPr>
        <w:t>综合审判庭。</w:t>
      </w:r>
    </w:p>
    <w:p>
      <w:pPr>
        <w:spacing w:before="100" w:beforeLines="0" w:after="100" w:afterLines="0"/>
        <w:jc w:val="center"/>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第二部分2022年度部门决算表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一、收入支出决算总表（见附件1：Z01收入支出决算总表）；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二、收入决算表（见附件1：Z03收入决算表）；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三、支出决算表（见附件1：Z0</w:t>
      </w:r>
      <w:r>
        <w:rPr>
          <w:rFonts w:hint="eastAsia" w:ascii="华文仿宋" w:hAnsi="华文仿宋" w:eastAsia="华文仿宋" w:cs="华文仿宋"/>
          <w:color w:val="auto"/>
          <w:sz w:val="32"/>
          <w:szCs w:val="32"/>
          <w:lang w:val="en-US" w:eastAsia="zh-CN"/>
        </w:rPr>
        <w:t>4</w:t>
      </w:r>
      <w:r>
        <w:rPr>
          <w:rFonts w:hint="eastAsia" w:ascii="华文仿宋" w:hAnsi="华文仿宋" w:eastAsia="华文仿宋" w:cs="华文仿宋"/>
          <w:color w:val="auto"/>
          <w:sz w:val="32"/>
          <w:szCs w:val="32"/>
          <w:lang w:val="zh-CN"/>
        </w:rPr>
        <w:t>支出决算表）；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四、财政拨款收入支出决算总表（见附件1：Z01_1财政拨款收入支出决算总表）；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五、一般公共预算财政拨款支出决算表（见附件1：Z07一般公共预算财政拨款支出决算表）；</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六、一般公共预算财政拨款基本支出决算明细表（见附件1：Z08_1一般公共预算财政拨款基本支出决算明细表）；</w:t>
      </w:r>
    </w:p>
    <w:p>
      <w:pPr>
        <w:pStyle w:val="4"/>
        <w:shd w:val="clear" w:color="auto" w:fill="FFFFFF"/>
        <w:snapToGrid w:val="0"/>
        <w:rPr>
          <w:rFonts w:hint="eastAsia" w:ascii="华文仿宋" w:hAnsi="华文仿宋" w:eastAsia="华文仿宋" w:cs="华文仿宋"/>
          <w:color w:val="auto"/>
          <w:sz w:val="32"/>
          <w:szCs w:val="32"/>
          <w:lang w:val="zh-CN" w:eastAsia="zh-CN"/>
        </w:rPr>
      </w:pPr>
      <w:r>
        <w:rPr>
          <w:rFonts w:hint="eastAsia" w:ascii="华文仿宋" w:hAnsi="华文仿宋" w:eastAsia="华文仿宋" w:cs="华文仿宋"/>
          <w:color w:val="auto"/>
          <w:sz w:val="32"/>
          <w:szCs w:val="32"/>
          <w:lang w:val="zh-CN"/>
        </w:rPr>
        <w:t>七、政府性基金预算财政拨款收入支出决算表（见附件1:Z09政府性基金预算财政拨款收入支出决算表），</w:t>
      </w:r>
      <w:r>
        <w:rPr>
          <w:rFonts w:hint="eastAsia" w:ascii="华文仿宋" w:hAnsi="华文仿宋" w:eastAsia="华文仿宋" w:cs="华文仿宋"/>
          <w:sz w:val="32"/>
          <w:szCs w:val="32"/>
        </w:rPr>
        <w:t>本部门没有相关数据，故本表无数据</w:t>
      </w:r>
      <w:r>
        <w:rPr>
          <w:rFonts w:hint="eastAsia" w:ascii="华文仿宋" w:hAnsi="华文仿宋" w:eastAsia="华文仿宋" w:cs="华文仿宋"/>
          <w:sz w:val="32"/>
          <w:szCs w:val="32"/>
          <w:lang w:eastAsia="zh-CN"/>
        </w:rPr>
        <w:t>。</w:t>
      </w:r>
    </w:p>
    <w:p>
      <w:pPr>
        <w:pStyle w:val="4"/>
        <w:shd w:val="clear" w:color="auto" w:fill="FFFFFF"/>
        <w:snapToGrid w:val="0"/>
        <w:rPr>
          <w:rFonts w:hint="eastAsia" w:ascii="华文仿宋" w:hAnsi="华文仿宋" w:eastAsia="华文仿宋" w:cs="华文仿宋"/>
          <w:color w:val="auto"/>
          <w:sz w:val="32"/>
          <w:szCs w:val="32"/>
          <w:lang w:val="zh-CN" w:eastAsia="zh-CN"/>
        </w:rPr>
      </w:pPr>
      <w:r>
        <w:rPr>
          <w:rFonts w:hint="eastAsia" w:ascii="华文仿宋" w:hAnsi="华文仿宋" w:eastAsia="华文仿宋" w:cs="华文仿宋"/>
          <w:color w:val="auto"/>
          <w:sz w:val="32"/>
          <w:szCs w:val="32"/>
          <w:lang w:val="zh-CN"/>
        </w:rPr>
        <w:t>八、国有资本经营预算财政拨款支出决算表（见附件1：Z11国有资本经营预算财政拨款支出决算表），</w:t>
      </w:r>
      <w:r>
        <w:rPr>
          <w:rFonts w:hint="eastAsia" w:ascii="华文仿宋" w:hAnsi="华文仿宋" w:eastAsia="华文仿宋" w:cs="华文仿宋"/>
          <w:sz w:val="32"/>
          <w:szCs w:val="32"/>
        </w:rPr>
        <w:t>本部门没有相关数据，故本表无数据</w:t>
      </w:r>
      <w:r>
        <w:rPr>
          <w:rFonts w:hint="eastAsia" w:ascii="华文仿宋" w:hAnsi="华文仿宋" w:eastAsia="华文仿宋" w:cs="华文仿宋"/>
          <w:sz w:val="32"/>
          <w:szCs w:val="32"/>
          <w:lang w:eastAsia="zh-CN"/>
        </w:rPr>
        <w:t>。</w:t>
      </w:r>
    </w:p>
    <w:p>
      <w:pPr>
        <w:spacing w:before="100" w:beforeLines="0" w:after="100" w:afterLines="0"/>
        <w:ind w:firstLine="640" w:firstLineChars="20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九、财政拨款“三公”经费支出决算表（见附表1：F03财政拨款“三公”经费支出决算表</w:t>
      </w:r>
      <w:r>
        <w:rPr>
          <w:rFonts w:hint="eastAsia" w:ascii="华文仿宋" w:hAnsi="华文仿宋" w:eastAsia="华文仿宋" w:cs="华文仿宋"/>
          <w:color w:val="auto"/>
          <w:sz w:val="32"/>
          <w:szCs w:val="32"/>
          <w:lang w:val="en-US" w:eastAsia="zh-CN"/>
        </w:rPr>
        <w:t>)</w:t>
      </w:r>
    </w:p>
    <w:p>
      <w:pPr>
        <w:spacing w:before="100" w:beforeLines="0" w:after="100" w:afterLines="0"/>
        <w:jc w:val="both"/>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详见附件</w:t>
      </w:r>
      <w:r>
        <w:rPr>
          <w:rFonts w:hint="eastAsia" w:ascii="华文仿宋" w:hAnsi="华文仿宋" w:eastAsia="华文仿宋" w:cs="华文仿宋"/>
          <w:color w:val="auto"/>
          <w:sz w:val="32"/>
          <w:szCs w:val="32"/>
          <w:lang w:val="en-US" w:eastAsia="zh-CN"/>
        </w:rPr>
        <w:t>1</w:t>
      </w:r>
    </w:p>
    <w:p>
      <w:pPr>
        <w:spacing w:before="100" w:beforeLines="0" w:after="100" w:afterLines="0"/>
        <w:jc w:val="center"/>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第三部分2022年度部门决算情况说明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一、收入支出决算总体情况说明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2022年度收、支总计</w:t>
      </w:r>
      <w:r>
        <w:rPr>
          <w:rFonts w:hint="eastAsia" w:ascii="华文仿宋" w:hAnsi="华文仿宋" w:eastAsia="华文仿宋" w:cs="华文仿宋"/>
          <w:color w:val="auto"/>
          <w:sz w:val="32"/>
          <w:szCs w:val="32"/>
          <w:lang w:val="en-US"/>
        </w:rPr>
        <w:t>均为</w:t>
      </w:r>
      <w:r>
        <w:rPr>
          <w:rFonts w:hint="eastAsia" w:ascii="华文仿宋" w:hAnsi="华文仿宋" w:eastAsia="华文仿宋" w:cs="华文仿宋"/>
          <w:color w:val="auto"/>
          <w:sz w:val="32"/>
          <w:szCs w:val="32"/>
          <w:lang w:val="zh-CN"/>
        </w:rPr>
        <w:t>2403.83万元。</w:t>
      </w:r>
      <w:r>
        <w:rPr>
          <w:rFonts w:hint="eastAsia" w:ascii="华文仿宋" w:hAnsi="华文仿宋" w:eastAsia="华文仿宋" w:cs="华文仿宋"/>
          <w:color w:val="auto"/>
          <w:sz w:val="32"/>
          <w:szCs w:val="32"/>
          <w:lang w:val="en-US"/>
        </w:rPr>
        <w:t>与上年度相比,</w:t>
      </w:r>
      <w:r>
        <w:rPr>
          <w:rFonts w:hint="eastAsia" w:ascii="华文仿宋" w:hAnsi="华文仿宋" w:eastAsia="华文仿宋" w:cs="华文仿宋"/>
          <w:color w:val="auto"/>
          <w:sz w:val="32"/>
          <w:szCs w:val="32"/>
          <w:lang w:val="zh-CN"/>
        </w:rPr>
        <w:t>收、支</w:t>
      </w:r>
      <w:r>
        <w:rPr>
          <w:rFonts w:hint="eastAsia" w:ascii="华文仿宋" w:hAnsi="华文仿宋" w:eastAsia="华文仿宋" w:cs="华文仿宋"/>
          <w:color w:val="auto"/>
          <w:sz w:val="32"/>
          <w:szCs w:val="32"/>
          <w:lang w:val="en-US"/>
        </w:rPr>
        <w:t>总计各</w:t>
      </w:r>
      <w:r>
        <w:rPr>
          <w:rFonts w:hint="eastAsia" w:ascii="华文仿宋" w:hAnsi="华文仿宋" w:eastAsia="华文仿宋" w:cs="华文仿宋"/>
          <w:color w:val="auto"/>
          <w:sz w:val="32"/>
          <w:szCs w:val="32"/>
          <w:lang w:val="zh-CN"/>
        </w:rPr>
        <w:t>减少413.63万元,下降14.68%,主要原因是我院“两庭”建设基本完工，财政拨付资金较上一年度减少。</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二、收入决算情况说明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2022年度收入合计1832.98万元,其中：财政拨款收入1625.18万元,占88.66%；</w:t>
      </w:r>
      <w:r>
        <w:rPr>
          <w:rFonts w:hint="eastAsia" w:ascii="华文仿宋" w:hAnsi="华文仿宋" w:eastAsia="华文仿宋" w:cs="华文仿宋"/>
          <w:color w:val="auto"/>
          <w:sz w:val="32"/>
          <w:szCs w:val="32"/>
          <w:lang w:val="en-US"/>
        </w:rPr>
        <w:t>上级补助</w:t>
      </w:r>
      <w:r>
        <w:rPr>
          <w:rFonts w:hint="eastAsia" w:ascii="华文仿宋" w:hAnsi="华文仿宋" w:eastAsia="华文仿宋" w:cs="华文仿宋"/>
          <w:color w:val="auto"/>
          <w:sz w:val="32"/>
          <w:szCs w:val="32"/>
          <w:lang w:val="zh-CN"/>
        </w:rPr>
        <w:t>收入0.00万元,占0.00%；</w:t>
      </w:r>
      <w:r>
        <w:rPr>
          <w:rFonts w:hint="eastAsia" w:ascii="华文仿宋" w:hAnsi="华文仿宋" w:eastAsia="华文仿宋" w:cs="华文仿宋"/>
          <w:color w:val="auto"/>
          <w:sz w:val="32"/>
          <w:szCs w:val="32"/>
          <w:lang w:val="en-US"/>
        </w:rPr>
        <w:t>事业</w:t>
      </w:r>
      <w:r>
        <w:rPr>
          <w:rFonts w:hint="eastAsia" w:ascii="华文仿宋" w:hAnsi="华文仿宋" w:eastAsia="华文仿宋" w:cs="华文仿宋"/>
          <w:color w:val="auto"/>
          <w:sz w:val="32"/>
          <w:szCs w:val="32"/>
          <w:lang w:val="zh-CN"/>
        </w:rPr>
        <w:t>收入0.00万元,占0.00%；</w:t>
      </w:r>
      <w:r>
        <w:rPr>
          <w:rFonts w:hint="eastAsia" w:ascii="华文仿宋" w:hAnsi="华文仿宋" w:eastAsia="华文仿宋" w:cs="华文仿宋"/>
          <w:color w:val="auto"/>
          <w:sz w:val="32"/>
          <w:szCs w:val="32"/>
          <w:lang w:val="en-US"/>
        </w:rPr>
        <w:t>经营</w:t>
      </w:r>
      <w:r>
        <w:rPr>
          <w:rFonts w:hint="eastAsia" w:ascii="华文仿宋" w:hAnsi="华文仿宋" w:eastAsia="华文仿宋" w:cs="华文仿宋"/>
          <w:color w:val="auto"/>
          <w:sz w:val="32"/>
          <w:szCs w:val="32"/>
          <w:lang w:val="zh-CN"/>
        </w:rPr>
        <w:t>收入0.00万元,占0.00%；</w:t>
      </w:r>
      <w:r>
        <w:rPr>
          <w:rFonts w:hint="eastAsia" w:ascii="华文仿宋" w:hAnsi="华文仿宋" w:eastAsia="华文仿宋" w:cs="华文仿宋"/>
          <w:color w:val="auto"/>
          <w:sz w:val="32"/>
          <w:szCs w:val="32"/>
          <w:lang w:val="en-US"/>
        </w:rPr>
        <w:t>附属单位上缴</w:t>
      </w:r>
      <w:r>
        <w:rPr>
          <w:rFonts w:hint="eastAsia" w:ascii="华文仿宋" w:hAnsi="华文仿宋" w:eastAsia="华文仿宋" w:cs="华文仿宋"/>
          <w:color w:val="auto"/>
          <w:sz w:val="32"/>
          <w:szCs w:val="32"/>
          <w:lang w:val="zh-CN"/>
        </w:rPr>
        <w:t>收入0.00万元,占0.00%；</w:t>
      </w:r>
      <w:r>
        <w:rPr>
          <w:rFonts w:hint="eastAsia" w:ascii="华文仿宋" w:hAnsi="华文仿宋" w:eastAsia="华文仿宋" w:cs="华文仿宋"/>
          <w:color w:val="auto"/>
          <w:sz w:val="32"/>
          <w:szCs w:val="32"/>
          <w:lang w:val="en-US"/>
        </w:rPr>
        <w:t>其他</w:t>
      </w:r>
      <w:r>
        <w:rPr>
          <w:rFonts w:hint="eastAsia" w:ascii="华文仿宋" w:hAnsi="华文仿宋" w:eastAsia="华文仿宋" w:cs="华文仿宋"/>
          <w:color w:val="auto"/>
          <w:sz w:val="32"/>
          <w:szCs w:val="32"/>
          <w:lang w:val="zh-CN"/>
        </w:rPr>
        <w:t>收入207.80万元,占11.34%；</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三、支出决算情况说明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2022年度支出合计2187.42万元,其中：基本支出935.58万元,占42.77%；项目支出1251.84万元,占57.23%；上缴上级支出0.00万元,占0.00%；经营支出0.00万元,占0.00%；对附属单位补助支出0.00万元,占0.00%。</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四、财政拨款收入支出决算总体情况说明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2022年度财政拨款收、支总计</w:t>
      </w:r>
      <w:r>
        <w:rPr>
          <w:rFonts w:hint="eastAsia" w:ascii="华文仿宋" w:hAnsi="华文仿宋" w:eastAsia="华文仿宋" w:cs="华文仿宋"/>
          <w:color w:val="auto"/>
          <w:sz w:val="32"/>
          <w:szCs w:val="32"/>
          <w:lang w:val="en-US"/>
        </w:rPr>
        <w:t>均为</w:t>
      </w:r>
      <w:r>
        <w:rPr>
          <w:rFonts w:hint="eastAsia" w:ascii="华文仿宋" w:hAnsi="华文仿宋" w:eastAsia="华文仿宋" w:cs="华文仿宋"/>
          <w:color w:val="auto"/>
          <w:sz w:val="32"/>
          <w:szCs w:val="32"/>
          <w:lang w:val="zh-CN"/>
        </w:rPr>
        <w:t>2185.17万元。与</w:t>
      </w:r>
      <w:r>
        <w:rPr>
          <w:rFonts w:hint="eastAsia" w:ascii="华文仿宋" w:hAnsi="华文仿宋" w:eastAsia="华文仿宋" w:cs="华文仿宋"/>
          <w:color w:val="auto"/>
          <w:sz w:val="32"/>
          <w:szCs w:val="32"/>
          <w:lang w:val="en-US"/>
        </w:rPr>
        <w:t>上</w:t>
      </w:r>
      <w:r>
        <w:rPr>
          <w:rFonts w:hint="eastAsia" w:ascii="华文仿宋" w:hAnsi="华文仿宋" w:eastAsia="华文仿宋" w:cs="华文仿宋"/>
          <w:color w:val="auto"/>
          <w:sz w:val="32"/>
          <w:szCs w:val="32"/>
          <w:lang w:val="zh-CN"/>
        </w:rPr>
        <w:t>年相比,各减少489.95万元,下降18.32%。主要原因是我院“两庭”建设基本完工，财政拨付资金较上一年度减少。</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五、一般公共预算财政拨款支出决算情况说明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2022年度一般公共预算财政拨款支出2051.62万元,较上年决算数减少63.51万元,下降3.0%。主要原因是我院“两庭”建设基本完工，财政拨付资金较上一年度减少。</w:t>
      </w:r>
    </w:p>
    <w:p>
      <w:pPr>
        <w:spacing w:before="100" w:beforeLines="0" w:after="100" w:afterLines="0"/>
        <w:jc w:val="left"/>
        <w:rPr>
          <w:rFonts w:hint="eastAsia" w:ascii="华文仿宋" w:hAnsi="华文仿宋" w:eastAsia="华文仿宋" w:cs="华文仿宋"/>
          <w:color w:val="FF0000"/>
          <w:sz w:val="32"/>
          <w:szCs w:val="32"/>
          <w:lang w:val="zh-CN"/>
        </w:rPr>
      </w:pPr>
      <w:r>
        <w:rPr>
          <w:rFonts w:hint="eastAsia" w:ascii="华文仿宋" w:hAnsi="华文仿宋" w:eastAsia="华文仿宋" w:cs="华文仿宋"/>
          <w:color w:val="auto"/>
          <w:sz w:val="32"/>
          <w:szCs w:val="32"/>
          <w:lang w:val="zh-CN"/>
        </w:rPr>
        <w:t>主要用于以下几个方面：</w:t>
      </w:r>
    </w:p>
    <w:p>
      <w:pPr>
        <w:pStyle w:val="4"/>
        <w:shd w:val="clear" w:color="auto" w:fill="FFFFFF"/>
        <w:adjustRightInd w:val="0"/>
        <w:spacing w:line="520" w:lineRule="exact"/>
        <w:ind w:firstLine="641" w:firstLineChars="200"/>
        <w:rPr>
          <w:rFonts w:hint="eastAsia" w:ascii="华文仿宋" w:hAnsi="华文仿宋" w:eastAsia="华文仿宋" w:cs="华文仿宋"/>
          <w:color w:val="FF0000"/>
          <w:sz w:val="32"/>
          <w:szCs w:val="32"/>
          <w:lang w:val="zh-CN"/>
        </w:rPr>
      </w:pPr>
      <w:r>
        <w:rPr>
          <w:rFonts w:hint="eastAsia" w:ascii="华文仿宋" w:hAnsi="华文仿宋" w:eastAsia="华文仿宋" w:cs="华文仿宋"/>
          <w:b/>
          <w:color w:val="auto"/>
          <w:sz w:val="32"/>
          <w:szCs w:val="32"/>
          <w:lang w:val="en-US" w:eastAsia="zh-CN"/>
        </w:rPr>
        <w:t>1</w:t>
      </w:r>
      <w:r>
        <w:rPr>
          <w:rFonts w:hint="eastAsia" w:ascii="华文仿宋" w:hAnsi="华文仿宋" w:eastAsia="华文仿宋" w:cs="华文仿宋"/>
          <w:b/>
          <w:color w:val="auto"/>
          <w:sz w:val="32"/>
          <w:szCs w:val="32"/>
          <w:lang w:val="zh-CN"/>
        </w:rPr>
        <w:t>．公共安全支出</w:t>
      </w:r>
      <w:r>
        <w:rPr>
          <w:rFonts w:hint="eastAsia" w:ascii="华文仿宋" w:hAnsi="华文仿宋" w:eastAsia="华文仿宋" w:cs="华文仿宋"/>
          <w:color w:val="auto"/>
          <w:sz w:val="32"/>
          <w:szCs w:val="32"/>
          <w:lang w:val="zh-CN"/>
        </w:rPr>
        <w:t>年初预算数为976.07万元,支出决算为1909.57万元,完成年初预算的195.64%,决算数大于预算数的主要原因是</w:t>
      </w:r>
      <w:r>
        <w:rPr>
          <w:rFonts w:hint="eastAsia" w:ascii="华文仿宋" w:hAnsi="华文仿宋" w:eastAsia="华文仿宋" w:cs="华文仿宋"/>
          <w:sz w:val="32"/>
          <w:szCs w:val="32"/>
        </w:rPr>
        <w:t>本年度下拨的两庭建设资金</w:t>
      </w:r>
      <w:r>
        <w:rPr>
          <w:rFonts w:hint="eastAsia" w:ascii="华文仿宋" w:hAnsi="华文仿宋" w:eastAsia="华文仿宋" w:cs="华文仿宋"/>
          <w:sz w:val="32"/>
          <w:szCs w:val="32"/>
          <w:lang w:eastAsia="zh-CN"/>
        </w:rPr>
        <w:t>与地方财政拨付的资金</w:t>
      </w:r>
      <w:r>
        <w:rPr>
          <w:rFonts w:hint="eastAsia" w:ascii="华文仿宋" w:hAnsi="华文仿宋" w:eastAsia="华文仿宋" w:cs="华文仿宋"/>
          <w:sz w:val="32"/>
          <w:szCs w:val="32"/>
        </w:rPr>
        <w:t>并未纳入年初预算。</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en-US" w:eastAsia="zh-CN"/>
        </w:rPr>
        <w:t>2</w:t>
      </w:r>
      <w:r>
        <w:rPr>
          <w:rFonts w:hint="eastAsia" w:ascii="华文仿宋" w:hAnsi="华文仿宋" w:eastAsia="华文仿宋" w:cs="华文仿宋"/>
          <w:b/>
          <w:color w:val="auto"/>
          <w:sz w:val="32"/>
          <w:szCs w:val="32"/>
          <w:lang w:val="zh-CN"/>
        </w:rPr>
        <w:t>．社会保障和就业支出</w:t>
      </w:r>
      <w:r>
        <w:rPr>
          <w:rFonts w:hint="eastAsia" w:ascii="华文仿宋" w:hAnsi="华文仿宋" w:eastAsia="华文仿宋" w:cs="华文仿宋"/>
          <w:color w:val="auto"/>
          <w:sz w:val="32"/>
          <w:szCs w:val="32"/>
          <w:lang w:val="zh-CN"/>
        </w:rPr>
        <w:t>年初预算数为45.61万元,支出决算为44.07万元,完成年初预算的96.61%,决算数小于预算数的主要原因是社会保障缴费有一定幅度的不确定性。</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en-US" w:eastAsia="zh-CN"/>
        </w:rPr>
        <w:t>3</w:t>
      </w:r>
      <w:r>
        <w:rPr>
          <w:rFonts w:hint="eastAsia" w:ascii="华文仿宋" w:hAnsi="华文仿宋" w:eastAsia="华文仿宋" w:cs="华文仿宋"/>
          <w:b/>
          <w:color w:val="auto"/>
          <w:sz w:val="32"/>
          <w:szCs w:val="32"/>
          <w:lang w:val="zh-CN"/>
        </w:rPr>
        <w:t>．卫生健康支出</w:t>
      </w:r>
      <w:r>
        <w:rPr>
          <w:rFonts w:hint="eastAsia" w:ascii="华文仿宋" w:hAnsi="华文仿宋" w:eastAsia="华文仿宋" w:cs="华文仿宋"/>
          <w:color w:val="auto"/>
          <w:sz w:val="32"/>
          <w:szCs w:val="32"/>
          <w:lang w:val="zh-CN"/>
        </w:rPr>
        <w:t>年初预算数为32.31万元,支出决算为34.04万元,完成年初预算的105.36%,决算数大于预算数的主要原因是人员正常增加。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en-US" w:eastAsia="zh-CN"/>
        </w:rPr>
        <w:t>4</w:t>
      </w:r>
      <w:r>
        <w:rPr>
          <w:rFonts w:hint="eastAsia" w:ascii="华文仿宋" w:hAnsi="华文仿宋" w:eastAsia="华文仿宋" w:cs="华文仿宋"/>
          <w:b/>
          <w:color w:val="auto"/>
          <w:sz w:val="32"/>
          <w:szCs w:val="32"/>
          <w:lang w:val="zh-CN"/>
        </w:rPr>
        <w:t>．住房保障支出</w:t>
      </w:r>
      <w:r>
        <w:rPr>
          <w:rFonts w:hint="eastAsia" w:ascii="华文仿宋" w:hAnsi="华文仿宋" w:eastAsia="华文仿宋" w:cs="华文仿宋"/>
          <w:color w:val="auto"/>
          <w:sz w:val="32"/>
          <w:szCs w:val="32"/>
          <w:lang w:val="zh-CN"/>
        </w:rPr>
        <w:t>年初预算数为63.94万元,支出决算为63.94万元,完成年初预算的100.0%。</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六、一般公共预算财政拨款基本支出决算情况说明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2022年度一般公共预算财政拨款基本支出799.78万元。其中：</w:t>
      </w:r>
    </w:p>
    <w:p>
      <w:pPr>
        <w:pStyle w:val="4"/>
        <w:shd w:val="clear" w:color="auto" w:fill="FFFFFF"/>
        <w:adjustRightInd w:val="0"/>
        <w:spacing w:line="520"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color w:val="auto"/>
          <w:sz w:val="32"/>
          <w:szCs w:val="32"/>
          <w:lang w:val="zh-CN"/>
        </w:rPr>
        <w:t>人员经费</w:t>
      </w:r>
      <w:r>
        <w:rPr>
          <w:rFonts w:hint="eastAsia" w:ascii="华文仿宋" w:hAnsi="华文仿宋" w:eastAsia="华文仿宋" w:cs="华文仿宋"/>
          <w:color w:val="auto"/>
          <w:sz w:val="32"/>
          <w:szCs w:val="32"/>
          <w:lang w:val="zh-CN"/>
        </w:rPr>
        <w:t>655.79万元,较上年决算数增加45.13万元,增长7.39%,主要原因是人员工资增加，社会保障缴费增加。人员经费用途</w:t>
      </w:r>
      <w:r>
        <w:rPr>
          <w:rFonts w:hint="eastAsia" w:ascii="华文仿宋" w:hAnsi="华文仿宋" w:eastAsia="华文仿宋" w:cs="华文仿宋"/>
          <w:sz w:val="32"/>
          <w:szCs w:val="32"/>
        </w:rPr>
        <w:t>主要包括基本工资、津贴补贴、绩效工资、社会保障缴费、职业年金缴费、职工基本医疗保险缴费、公务员医疗补助缴费、其他社会保障缴费、住房公积金、医疗费、其他工资福利支出等项目。</w:t>
      </w:r>
      <w:r>
        <w:rPr>
          <w:rFonts w:hint="eastAsia" w:ascii="华文仿宋" w:hAnsi="华文仿宋" w:eastAsia="华文仿宋" w:cs="华文仿宋"/>
          <w:b/>
          <w:color w:val="auto"/>
          <w:sz w:val="32"/>
          <w:szCs w:val="32"/>
          <w:lang w:val="zh-CN"/>
        </w:rPr>
        <w:t>公用经费</w:t>
      </w:r>
      <w:r>
        <w:rPr>
          <w:rFonts w:hint="eastAsia" w:ascii="华文仿宋" w:hAnsi="华文仿宋" w:eastAsia="华文仿宋" w:cs="华文仿宋"/>
          <w:color w:val="auto"/>
          <w:sz w:val="32"/>
          <w:szCs w:val="32"/>
          <w:lang w:val="zh-CN"/>
        </w:rPr>
        <w:t>143.99万元,较上年决算数增加28.58万元,增长24.76%,主要原因是我院搬迁至新建审判大楼办公后各项公用经费支出增加。公用经费用途主要包括</w:t>
      </w:r>
      <w:r>
        <w:rPr>
          <w:rFonts w:hint="eastAsia" w:ascii="华文仿宋" w:hAnsi="华文仿宋" w:eastAsia="华文仿宋" w:cs="华文仿宋"/>
          <w:sz w:val="32"/>
          <w:szCs w:val="32"/>
        </w:rPr>
        <w:t>办公费、印刷费、手续费、水费、电费、租赁费、培训费、被装购置费、工会经费、差旅费等。</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七</w:t>
      </w:r>
      <w:r>
        <w:rPr>
          <w:rFonts w:hint="eastAsia" w:ascii="华文仿宋" w:hAnsi="华文仿宋" w:eastAsia="华文仿宋" w:cs="华文仿宋"/>
          <w:color w:val="auto"/>
          <w:sz w:val="32"/>
          <w:szCs w:val="32"/>
          <w:lang w:val="zh-CN"/>
        </w:rPr>
        <w:t>、机关运行经费支出情况说明</w:t>
      </w:r>
    </w:p>
    <w:p>
      <w:pPr>
        <w:spacing w:before="100" w:beforeLines="0" w:after="100" w:afterLines="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2022年度本部门机关运行经费支出143.99万元,机关运行经费主要用于开支</w:t>
      </w:r>
      <w:r>
        <w:rPr>
          <w:rFonts w:hint="eastAsia" w:ascii="华文仿宋" w:hAnsi="华文仿宋" w:eastAsia="华文仿宋" w:cs="华文仿宋"/>
          <w:sz w:val="32"/>
          <w:szCs w:val="32"/>
        </w:rPr>
        <w:t>办公费、取暖费、临聘人员工资</w:t>
      </w:r>
      <w:r>
        <w:rPr>
          <w:rFonts w:hint="eastAsia" w:ascii="华文仿宋" w:hAnsi="华文仿宋" w:eastAsia="华文仿宋" w:cs="华文仿宋"/>
          <w:color w:val="auto"/>
          <w:sz w:val="32"/>
          <w:szCs w:val="32"/>
          <w:lang w:val="zh-CN"/>
        </w:rPr>
        <w:t>。机关运行经费较上年决算数增加28.58万元,增长24.76%,主要原因是我单位</w:t>
      </w:r>
      <w:r>
        <w:rPr>
          <w:rFonts w:hint="eastAsia" w:ascii="华文仿宋" w:hAnsi="华文仿宋" w:eastAsia="华文仿宋" w:cs="华文仿宋"/>
          <w:color w:val="auto"/>
          <w:sz w:val="32"/>
          <w:szCs w:val="32"/>
          <w:lang w:val="en-US" w:eastAsia="zh-CN"/>
        </w:rPr>
        <w:t>搬迁至新建审判大楼办公，新建审判大楼面积较旧审判大楼增加，取暖费用增加，同时本年度临聘人员较上一年度增加，故费用增加。</w:t>
      </w:r>
    </w:p>
    <w:p>
      <w:pPr>
        <w:pStyle w:val="4"/>
        <w:shd w:val="clear" w:color="auto" w:fill="FFFFFF"/>
        <w:adjustRightInd w:val="0"/>
        <w:spacing w:line="520" w:lineRule="exact"/>
        <w:ind w:firstLine="640" w:firstLineChars="200"/>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本年度培训费支出0.94万元,较上年决算数减少0.7万元,下降42.68%,主要原因是</w:t>
      </w:r>
      <w:r>
        <w:rPr>
          <w:rFonts w:hint="eastAsia" w:ascii="华文仿宋" w:hAnsi="华文仿宋" w:eastAsia="华文仿宋" w:cs="华文仿宋"/>
          <w:sz w:val="32"/>
          <w:szCs w:val="32"/>
        </w:rPr>
        <w:t>我单位牢牢树立过“紧日子”的思想，严格控制培训费的支出。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八</w:t>
      </w:r>
      <w:r>
        <w:rPr>
          <w:rFonts w:hint="eastAsia" w:ascii="华文仿宋" w:hAnsi="华文仿宋" w:eastAsia="华文仿宋" w:cs="华文仿宋"/>
          <w:color w:val="auto"/>
          <w:sz w:val="32"/>
          <w:szCs w:val="32"/>
          <w:lang w:val="zh-CN"/>
        </w:rPr>
        <w:t>、政府采购支出情况说明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本部门政府采购支出合计13.38万元,其中：政府采购货物支出13.38万元、政府采购工程支出0.00万元、政府采购服务支出0.00万元。授予中小企业合同金额13.38万元,占政府采购支出总额的100.00%,其中：授予小微企业合同金额13.38万元,占政府采购支出总额的100.00%。</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九</w:t>
      </w:r>
      <w:r>
        <w:rPr>
          <w:rFonts w:hint="eastAsia" w:ascii="华文仿宋" w:hAnsi="华文仿宋" w:eastAsia="华文仿宋" w:cs="华文仿宋"/>
          <w:color w:val="auto"/>
          <w:sz w:val="32"/>
          <w:szCs w:val="32"/>
          <w:lang w:val="zh-CN"/>
        </w:rPr>
        <w:t>、国有资产占用情况说明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截至2022年12月31日,本部门共有车辆8辆,其中,副部(省)级及以上领导用车0辆、主要领导干部用车0辆、机要通信用车0辆、应急保障用车0辆、执法执勤用车8辆,特种专业技术用车0辆,离退休干部用车0辆,其他用车0辆。单价100万元(含)以上设备5台(套)。</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十、政府性基金预算财政拨款收支决算情况说明</w:t>
      </w:r>
    </w:p>
    <w:p>
      <w:pPr>
        <w:pStyle w:val="4"/>
        <w:shd w:val="clear" w:color="auto" w:fill="FFFFFF"/>
        <w:adjustRightInd w:val="0"/>
        <w:spacing w:line="520" w:lineRule="exact"/>
        <w:ind w:firstLine="640" w:firstLineChars="200"/>
        <w:rPr>
          <w:rFonts w:hint="eastAsia" w:ascii="华文仿宋" w:hAnsi="华文仿宋" w:eastAsia="华文仿宋" w:cs="华文仿宋"/>
          <w:color w:val="FF0000"/>
          <w:sz w:val="32"/>
          <w:szCs w:val="32"/>
          <w:lang w:val="zh-CN"/>
        </w:rPr>
      </w:pPr>
      <w:r>
        <w:rPr>
          <w:rFonts w:hint="eastAsia" w:ascii="华文仿宋" w:hAnsi="华文仿宋" w:eastAsia="华文仿宋" w:cs="华文仿宋"/>
          <w:sz w:val="32"/>
          <w:szCs w:val="32"/>
        </w:rPr>
        <w:t>本部门202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年度无政府性基金收入，也没有使用政府性基金安排的支出，故本表无数据。</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十</w:t>
      </w:r>
      <w:r>
        <w:rPr>
          <w:rFonts w:hint="eastAsia" w:ascii="华文仿宋" w:hAnsi="华文仿宋" w:eastAsia="华文仿宋" w:cs="华文仿宋"/>
          <w:color w:val="auto"/>
          <w:sz w:val="32"/>
          <w:szCs w:val="32"/>
          <w:lang w:val="en-US"/>
        </w:rPr>
        <w:t>一</w:t>
      </w:r>
      <w:r>
        <w:rPr>
          <w:rFonts w:hint="eastAsia" w:ascii="华文仿宋" w:hAnsi="华文仿宋" w:eastAsia="华文仿宋" w:cs="华文仿宋"/>
          <w:color w:val="auto"/>
          <w:sz w:val="32"/>
          <w:szCs w:val="32"/>
          <w:lang w:val="zh-CN"/>
        </w:rPr>
        <w:t>、国有资本经营预算财政拨款支出情况说明</w:t>
      </w:r>
    </w:p>
    <w:p>
      <w:pPr>
        <w:pStyle w:val="4"/>
        <w:shd w:val="clear" w:color="auto" w:fill="FFFFFF"/>
        <w:adjustRightInd w:val="0"/>
        <w:snapToGrid w:val="0"/>
        <w:spacing w:line="52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本部门202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年度没有使用国有资本经营预算安排的支出，故本表无数据。</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en-US"/>
        </w:rPr>
        <w:t>十二</w:t>
      </w:r>
      <w:r>
        <w:rPr>
          <w:rFonts w:hint="eastAsia" w:ascii="华文仿宋" w:hAnsi="华文仿宋" w:eastAsia="华文仿宋" w:cs="华文仿宋"/>
          <w:color w:val="auto"/>
          <w:sz w:val="32"/>
          <w:szCs w:val="32"/>
          <w:lang w:val="zh-CN"/>
        </w:rPr>
        <w:t>、财政拨款“三公”经费支出决算情况说明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(一)“三公”经费财政拨款支出总体情况说明</w:t>
      </w:r>
    </w:p>
    <w:p>
      <w:pPr>
        <w:spacing w:before="100" w:beforeLines="0" w:after="100" w:afterLines="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2022年度“三公”经费支出</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预算数为38.39万元,支出决算为38.39万元，完成年初预算的</w:t>
      </w:r>
      <w:r>
        <w:rPr>
          <w:rFonts w:hint="eastAsia" w:ascii="华文仿宋" w:hAnsi="华文仿宋" w:eastAsia="华文仿宋" w:cs="华文仿宋"/>
          <w:color w:val="auto"/>
          <w:sz w:val="32"/>
          <w:szCs w:val="32"/>
          <w:lang w:val="en-US" w:eastAsia="zh-CN"/>
        </w:rPr>
        <w:t>100%，</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增加19.2</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增长100.09</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en-US" w:eastAsia="zh-CN"/>
        </w:rPr>
        <w:t>本年度新购车辆1辆。</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(二)“三公”经费财政拨款支出决算具体情况说明</w:t>
      </w:r>
    </w:p>
    <w:p>
      <w:pPr>
        <w:pStyle w:val="4"/>
        <w:shd w:val="clear" w:color="auto" w:fill="FFFFFF"/>
        <w:adjustRightInd w:val="0"/>
        <w:spacing w:line="520" w:lineRule="exact"/>
        <w:ind w:firstLine="641" w:firstLineChars="200"/>
        <w:rPr>
          <w:rFonts w:hint="eastAsia" w:ascii="华文仿宋" w:hAnsi="华文仿宋" w:eastAsia="华文仿宋" w:cs="华文仿宋"/>
          <w:sz w:val="32"/>
          <w:szCs w:val="32"/>
        </w:rPr>
      </w:pPr>
      <w:r>
        <w:rPr>
          <w:rFonts w:hint="eastAsia" w:ascii="华文仿宋" w:hAnsi="华文仿宋" w:eastAsia="华文仿宋" w:cs="华文仿宋"/>
          <w:b/>
          <w:color w:val="auto"/>
          <w:sz w:val="32"/>
          <w:szCs w:val="32"/>
          <w:lang w:val="zh-CN"/>
        </w:rPr>
        <w:t>1.因公出国(境)费用</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预算数为0.00万元,支出决算为0.00万元,</w:t>
      </w:r>
      <w:r>
        <w:rPr>
          <w:rFonts w:hint="eastAsia" w:ascii="华文仿宋" w:hAnsi="华文仿宋" w:eastAsia="华文仿宋" w:cs="华文仿宋"/>
          <w:sz w:val="32"/>
          <w:szCs w:val="32"/>
        </w:rPr>
        <w:t>，完成年初预算的0.00%,本单位无相关数据。本年无因公出国（境）。</w:t>
      </w:r>
    </w:p>
    <w:p>
      <w:pPr>
        <w:spacing w:before="100" w:beforeLines="0" w:after="100" w:afterLines="0"/>
        <w:jc w:val="left"/>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b/>
          <w:color w:val="auto"/>
          <w:sz w:val="32"/>
          <w:szCs w:val="32"/>
          <w:lang w:val="zh-CN"/>
        </w:rPr>
        <w:t>2.公务用车购置及运行维护费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预算数为38.39万元,支出决算为38.39万元,完成年初预算的</w:t>
      </w:r>
      <w:r>
        <w:rPr>
          <w:rFonts w:hint="eastAsia" w:ascii="华文仿宋" w:hAnsi="华文仿宋" w:eastAsia="华文仿宋" w:cs="华文仿宋"/>
          <w:color w:val="auto"/>
          <w:sz w:val="32"/>
          <w:szCs w:val="32"/>
          <w:lang w:val="en-US" w:eastAsia="zh-CN"/>
        </w:rPr>
        <w:t>100%，</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增加19.2</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增长100.09</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en-US" w:eastAsia="zh-CN"/>
        </w:rPr>
        <w:t>本年度新购车辆1辆。</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其中：公务用车购置费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预算数为18.39万元,支出决算为18.39万元,完成年初预算的</w:t>
      </w:r>
      <w:r>
        <w:rPr>
          <w:rFonts w:hint="eastAsia" w:ascii="华文仿宋" w:hAnsi="华文仿宋" w:eastAsia="华文仿宋" w:cs="华文仿宋"/>
          <w:color w:val="auto"/>
          <w:sz w:val="32"/>
          <w:szCs w:val="32"/>
          <w:lang w:val="en-US" w:eastAsia="zh-CN"/>
        </w:rPr>
        <w:t>100%，</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增加18.39</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增长</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en-US" w:eastAsia="zh-CN"/>
        </w:rPr>
        <w:t>本年度新购车辆1辆。</w:t>
      </w:r>
    </w:p>
    <w:p>
      <w:pPr>
        <w:spacing w:before="100" w:beforeLines="0" w:after="100" w:afterLines="0"/>
        <w:jc w:val="left"/>
        <w:rPr>
          <w:rFonts w:hint="eastAsia" w:ascii="华文仿宋" w:hAnsi="华文仿宋" w:eastAsia="华文仿宋" w:cs="华文仿宋"/>
          <w:color w:val="auto"/>
          <w:sz w:val="32"/>
          <w:szCs w:val="32"/>
          <w:lang w:val="zh-CN" w:eastAsia="zh-CN"/>
        </w:rPr>
      </w:pPr>
      <w:r>
        <w:rPr>
          <w:rFonts w:hint="eastAsia" w:ascii="华文仿宋" w:hAnsi="华文仿宋" w:eastAsia="华文仿宋" w:cs="华文仿宋"/>
          <w:b/>
          <w:color w:val="auto"/>
          <w:sz w:val="32"/>
          <w:szCs w:val="32"/>
          <w:lang w:val="zh-CN"/>
        </w:rPr>
        <w:t>公务用车运行维护费</w:t>
      </w:r>
      <w:r>
        <w:rPr>
          <w:rFonts w:hint="eastAsia" w:ascii="华文仿宋" w:hAnsi="华文仿宋" w:eastAsia="华文仿宋" w:cs="华文仿宋"/>
          <w:color w:val="auto"/>
          <w:sz w:val="32"/>
          <w:szCs w:val="32"/>
          <w:lang w:val="en-US"/>
        </w:rPr>
        <w:t>全年</w:t>
      </w:r>
      <w:r>
        <w:rPr>
          <w:rFonts w:hint="eastAsia" w:ascii="华文仿宋" w:hAnsi="华文仿宋" w:eastAsia="华文仿宋" w:cs="华文仿宋"/>
          <w:color w:val="auto"/>
          <w:sz w:val="32"/>
          <w:szCs w:val="32"/>
          <w:lang w:val="zh-CN"/>
        </w:rPr>
        <w:t>预算数为20.00万元,支出决算为20.00万元,完成年初预算的</w:t>
      </w:r>
      <w:r>
        <w:rPr>
          <w:rFonts w:hint="eastAsia" w:ascii="华文仿宋" w:hAnsi="华文仿宋" w:eastAsia="华文仿宋" w:cs="华文仿宋"/>
          <w:color w:val="auto"/>
          <w:sz w:val="32"/>
          <w:szCs w:val="32"/>
          <w:lang w:val="en-US" w:eastAsia="zh-CN"/>
        </w:rPr>
        <w:t>100%，</w:t>
      </w:r>
      <w:r>
        <w:rPr>
          <w:rFonts w:hint="eastAsia" w:ascii="华文仿宋" w:hAnsi="华文仿宋" w:eastAsia="华文仿宋" w:cs="华文仿宋"/>
          <w:color w:val="auto"/>
          <w:sz w:val="32"/>
          <w:szCs w:val="32"/>
          <w:lang w:val="en-US"/>
        </w:rPr>
        <w:t>较上年决算数</w:t>
      </w:r>
      <w:r>
        <w:rPr>
          <w:rFonts w:hint="eastAsia" w:ascii="华文仿宋" w:hAnsi="华文仿宋" w:eastAsia="华文仿宋" w:cs="华文仿宋"/>
          <w:color w:val="auto"/>
          <w:sz w:val="32"/>
          <w:szCs w:val="32"/>
          <w:lang w:val="en-US" w:eastAsia="zh-CN"/>
        </w:rPr>
        <w:t>增加0.81</w:t>
      </w:r>
      <w:r>
        <w:rPr>
          <w:rFonts w:hint="eastAsia" w:ascii="华文仿宋" w:hAnsi="华文仿宋" w:eastAsia="华文仿宋" w:cs="华文仿宋"/>
          <w:color w:val="auto"/>
          <w:sz w:val="32"/>
          <w:szCs w:val="32"/>
          <w:lang w:val="zh-CN"/>
        </w:rPr>
        <w:t>万元</w:t>
      </w:r>
      <w:r>
        <w:rPr>
          <w:rFonts w:hint="eastAsia" w:ascii="华文仿宋" w:hAnsi="华文仿宋" w:eastAsia="华文仿宋" w:cs="华文仿宋"/>
          <w:color w:val="auto"/>
          <w:sz w:val="32"/>
          <w:szCs w:val="32"/>
          <w:lang w:val="en-US"/>
        </w:rPr>
        <w:t>,</w:t>
      </w:r>
      <w:r>
        <w:rPr>
          <w:rFonts w:hint="eastAsia" w:ascii="华文仿宋" w:hAnsi="华文仿宋" w:eastAsia="华文仿宋" w:cs="华文仿宋"/>
          <w:color w:val="auto"/>
          <w:sz w:val="32"/>
          <w:szCs w:val="32"/>
          <w:lang w:val="en-US" w:eastAsia="zh-CN"/>
        </w:rPr>
        <w:t>增长4.23</w:t>
      </w:r>
      <w:r>
        <w:rPr>
          <w:rFonts w:hint="eastAsia" w:ascii="华文仿宋" w:hAnsi="华文仿宋" w:eastAsia="华文仿宋" w:cs="华文仿宋"/>
          <w:color w:val="auto"/>
          <w:sz w:val="32"/>
          <w:szCs w:val="32"/>
          <w:lang w:val="zh-CN"/>
        </w:rPr>
        <w:t>%</w:t>
      </w:r>
      <w:r>
        <w:rPr>
          <w:rFonts w:hint="eastAsia" w:ascii="华文仿宋" w:hAnsi="华文仿宋" w:eastAsia="华文仿宋" w:cs="华文仿宋"/>
          <w:color w:val="auto"/>
          <w:sz w:val="32"/>
          <w:szCs w:val="32"/>
          <w:lang w:val="en-US"/>
        </w:rPr>
        <w:t>,主要原因是</w:t>
      </w:r>
      <w:r>
        <w:rPr>
          <w:rFonts w:hint="eastAsia" w:ascii="华文仿宋" w:hAnsi="华文仿宋" w:eastAsia="华文仿宋" w:cs="华文仿宋"/>
          <w:color w:val="auto"/>
          <w:sz w:val="32"/>
          <w:szCs w:val="32"/>
          <w:lang w:val="en-US" w:eastAsia="zh-CN"/>
        </w:rPr>
        <w:t>本年度案件数量增加，单位派车较上一年度增加，车辆运行维护费用增加。</w:t>
      </w:r>
    </w:p>
    <w:p>
      <w:pPr>
        <w:pStyle w:val="4"/>
        <w:shd w:val="clear" w:color="auto" w:fill="FFFFFF"/>
        <w:adjustRightInd w:val="0"/>
        <w:spacing w:line="520" w:lineRule="exac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en-US" w:eastAsia="zh-CN"/>
        </w:rPr>
        <w:t>3.</w:t>
      </w:r>
      <w:r>
        <w:rPr>
          <w:rFonts w:hint="eastAsia" w:ascii="华文仿宋" w:hAnsi="华文仿宋" w:eastAsia="华文仿宋" w:cs="华文仿宋"/>
          <w:b/>
          <w:color w:val="auto"/>
          <w:sz w:val="32"/>
          <w:szCs w:val="32"/>
          <w:lang w:val="zh-CN"/>
        </w:rPr>
        <w:t>公务接待费</w:t>
      </w:r>
      <w:r>
        <w:rPr>
          <w:rFonts w:hint="eastAsia" w:ascii="华文仿宋" w:hAnsi="华文仿宋" w:eastAsia="华文仿宋" w:cs="华文仿宋"/>
          <w:color w:val="auto"/>
          <w:sz w:val="32"/>
          <w:szCs w:val="32"/>
          <w:lang w:val="en-US"/>
        </w:rPr>
        <w:t>全</w:t>
      </w:r>
      <w:r>
        <w:rPr>
          <w:rFonts w:hint="eastAsia" w:ascii="华文仿宋" w:hAnsi="华文仿宋" w:eastAsia="华文仿宋" w:cs="华文仿宋"/>
          <w:color w:val="auto"/>
          <w:sz w:val="32"/>
          <w:szCs w:val="32"/>
          <w:lang w:val="zh-CN"/>
        </w:rPr>
        <w:t>年预算数为0.00万元,支出决算为0.00万元,</w:t>
      </w:r>
      <w:r>
        <w:rPr>
          <w:rFonts w:hint="eastAsia" w:ascii="华文仿宋" w:hAnsi="华文仿宋" w:eastAsia="华文仿宋" w:cs="华文仿宋"/>
          <w:sz w:val="32"/>
          <w:szCs w:val="32"/>
        </w:rPr>
        <w:t>完成年初预算的0.00%,本单位无相关数据。</w:t>
      </w:r>
    </w:p>
    <w:p>
      <w:pPr>
        <w:numPr>
          <w:ilvl w:val="0"/>
          <w:numId w:val="0"/>
        </w:num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(三)“三公”经费财政拨款支出决算实物量情况</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color w:val="auto"/>
          <w:sz w:val="32"/>
          <w:szCs w:val="32"/>
          <w:lang w:val="zh-CN"/>
        </w:rPr>
        <w:t>2022年度本部门</w:t>
      </w:r>
      <w:r>
        <w:rPr>
          <w:rFonts w:hint="eastAsia" w:ascii="华文仿宋" w:hAnsi="华文仿宋" w:eastAsia="华文仿宋" w:cs="华文仿宋"/>
          <w:b/>
          <w:color w:val="auto"/>
          <w:sz w:val="32"/>
          <w:szCs w:val="32"/>
          <w:lang w:val="zh-CN"/>
        </w:rPr>
        <w:t>因公出国(境)</w:t>
      </w:r>
      <w:r>
        <w:rPr>
          <w:rFonts w:hint="eastAsia" w:ascii="华文仿宋" w:hAnsi="华文仿宋" w:eastAsia="华文仿宋" w:cs="华文仿宋"/>
          <w:color w:val="auto"/>
          <w:sz w:val="32"/>
          <w:szCs w:val="32"/>
          <w:lang w:val="zh-CN"/>
        </w:rPr>
        <w:t>共计0个团组,0人；</w:t>
      </w:r>
      <w:r>
        <w:rPr>
          <w:rFonts w:hint="eastAsia" w:ascii="华文仿宋" w:hAnsi="华文仿宋" w:eastAsia="华文仿宋" w:cs="华文仿宋"/>
          <w:b/>
          <w:color w:val="auto"/>
          <w:sz w:val="32"/>
          <w:szCs w:val="32"/>
          <w:lang w:val="zh-CN"/>
        </w:rPr>
        <w:t>公务用车购置</w:t>
      </w:r>
      <w:r>
        <w:rPr>
          <w:rFonts w:hint="eastAsia" w:ascii="华文仿宋" w:hAnsi="华文仿宋" w:eastAsia="华文仿宋" w:cs="华文仿宋"/>
          <w:color w:val="auto"/>
          <w:sz w:val="32"/>
          <w:szCs w:val="32"/>
          <w:lang w:val="zh-CN"/>
        </w:rPr>
        <w:t>1辆,</w:t>
      </w:r>
      <w:r>
        <w:rPr>
          <w:rFonts w:hint="eastAsia" w:ascii="华文仿宋" w:hAnsi="华文仿宋" w:eastAsia="华文仿宋" w:cs="华文仿宋"/>
          <w:b/>
          <w:color w:val="auto"/>
          <w:sz w:val="32"/>
          <w:szCs w:val="32"/>
          <w:lang w:val="zh-CN"/>
        </w:rPr>
        <w:t>公务用车保有量</w:t>
      </w:r>
      <w:r>
        <w:rPr>
          <w:rFonts w:hint="eastAsia" w:ascii="华文仿宋" w:hAnsi="华文仿宋" w:eastAsia="华文仿宋" w:cs="华文仿宋"/>
          <w:color w:val="auto"/>
          <w:sz w:val="32"/>
          <w:szCs w:val="32"/>
          <w:lang w:val="zh-CN"/>
        </w:rPr>
        <w:t>为8辆；</w:t>
      </w:r>
      <w:r>
        <w:rPr>
          <w:rFonts w:hint="eastAsia" w:ascii="华文仿宋" w:hAnsi="华文仿宋" w:eastAsia="华文仿宋" w:cs="华文仿宋"/>
          <w:b/>
          <w:color w:val="auto"/>
          <w:sz w:val="32"/>
          <w:szCs w:val="32"/>
          <w:lang w:val="zh-CN"/>
        </w:rPr>
        <w:t>国内公务接待</w:t>
      </w:r>
      <w:r>
        <w:rPr>
          <w:rFonts w:hint="eastAsia" w:ascii="华文仿宋" w:hAnsi="华文仿宋" w:eastAsia="华文仿宋" w:cs="华文仿宋"/>
          <w:color w:val="auto"/>
          <w:sz w:val="32"/>
          <w:szCs w:val="32"/>
          <w:lang w:val="zh-CN"/>
        </w:rPr>
        <w:t>0批次0人,其中：</w:t>
      </w:r>
      <w:r>
        <w:rPr>
          <w:rFonts w:hint="eastAsia" w:ascii="华文仿宋" w:hAnsi="华文仿宋" w:eastAsia="华文仿宋" w:cs="华文仿宋"/>
          <w:b/>
          <w:color w:val="auto"/>
          <w:sz w:val="32"/>
          <w:szCs w:val="32"/>
          <w:lang w:val="zh-CN"/>
        </w:rPr>
        <w:t>外事接待</w:t>
      </w:r>
      <w:r>
        <w:rPr>
          <w:rFonts w:hint="eastAsia" w:ascii="华文仿宋" w:hAnsi="华文仿宋" w:eastAsia="华文仿宋" w:cs="华文仿宋"/>
          <w:color w:val="auto"/>
          <w:sz w:val="32"/>
          <w:szCs w:val="32"/>
          <w:lang w:val="zh-CN"/>
        </w:rPr>
        <w:t>0批次,0人；</w:t>
      </w:r>
      <w:r>
        <w:rPr>
          <w:rFonts w:hint="eastAsia" w:ascii="华文仿宋" w:hAnsi="华文仿宋" w:eastAsia="华文仿宋" w:cs="华文仿宋"/>
          <w:b/>
          <w:color w:val="auto"/>
          <w:sz w:val="32"/>
          <w:szCs w:val="32"/>
          <w:lang w:val="zh-CN"/>
        </w:rPr>
        <w:t>国(境)外公务接待</w:t>
      </w:r>
      <w:r>
        <w:rPr>
          <w:rFonts w:hint="eastAsia" w:ascii="华文仿宋" w:hAnsi="华文仿宋" w:eastAsia="华文仿宋" w:cs="华文仿宋"/>
          <w:color w:val="auto"/>
          <w:sz w:val="32"/>
          <w:szCs w:val="32"/>
          <w:lang w:val="zh-CN"/>
        </w:rPr>
        <w:t>0批次,0人。</w:t>
      </w:r>
    </w:p>
    <w:p>
      <w:pPr>
        <w:spacing w:before="100" w:beforeLines="0" w:after="100" w:afterLines="0"/>
        <w:jc w:val="center"/>
        <w:rPr>
          <w:rFonts w:hint="eastAsia" w:ascii="华文仿宋" w:hAnsi="华文仿宋" w:eastAsia="华文仿宋" w:cs="华文仿宋"/>
          <w:b/>
          <w:color w:val="auto"/>
          <w:sz w:val="32"/>
          <w:szCs w:val="32"/>
          <w:lang w:val="zh-CN"/>
        </w:rPr>
      </w:pPr>
      <w:r>
        <w:rPr>
          <w:rFonts w:hint="eastAsia" w:ascii="华文仿宋" w:hAnsi="华文仿宋" w:eastAsia="华文仿宋" w:cs="华文仿宋"/>
          <w:b/>
          <w:color w:val="auto"/>
          <w:sz w:val="32"/>
          <w:szCs w:val="32"/>
          <w:lang w:val="zh-CN"/>
        </w:rPr>
        <w:t>第四部分预算绩效情况说明</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(一)预算绩效管理工作开展情况</w:t>
      </w:r>
    </w:p>
    <w:p>
      <w:pPr>
        <w:pStyle w:val="4"/>
        <w:shd w:val="clear" w:color="auto" w:fill="FFFFFF"/>
        <w:adjustRightInd w:val="0"/>
        <w:spacing w:line="52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根据预算绩效管理要求，本部门对</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个项目开展了绩效自评，其中，以填报目标自评表形式开展自评0项，涉及资金0万元，以委托第三方形式开展绩效自评</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项，</w:t>
      </w:r>
      <w:r>
        <w:rPr>
          <w:rFonts w:hint="eastAsia" w:ascii="华文仿宋" w:hAnsi="华文仿宋" w:eastAsia="华文仿宋" w:cs="华文仿宋"/>
          <w:sz w:val="32"/>
          <w:szCs w:val="32"/>
          <w:lang w:eastAsia="zh-CN"/>
        </w:rPr>
        <w:t>涉及资金</w:t>
      </w:r>
      <w:r>
        <w:rPr>
          <w:rFonts w:hint="eastAsia" w:ascii="华文仿宋" w:hAnsi="华文仿宋" w:eastAsia="华文仿宋" w:cs="华文仿宋"/>
          <w:sz w:val="32"/>
          <w:szCs w:val="32"/>
          <w:lang w:val="en-US" w:eastAsia="zh-CN"/>
        </w:rPr>
        <w:t>733万元</w:t>
      </w:r>
      <w:r>
        <w:rPr>
          <w:rFonts w:hint="eastAsia" w:ascii="华文仿宋" w:hAnsi="华文仿宋" w:eastAsia="华文仿宋" w:cs="华文仿宋"/>
          <w:sz w:val="32"/>
          <w:szCs w:val="32"/>
        </w:rPr>
        <w:t>。从评价情况来看，审判办案质效，案件结案率、执行率皆有所提高，预期目标完成情况良好。</w:t>
      </w:r>
    </w:p>
    <w:p>
      <w:pPr>
        <w:pStyle w:val="4"/>
        <w:shd w:val="clear" w:color="auto" w:fill="FFFFFF"/>
        <w:adjustRightInd w:val="0"/>
        <w:spacing w:line="520" w:lineRule="exact"/>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从评价情况来看，合作市人民法院202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年度绩效自评工作整体评价结果为“优”。</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(二)绩效自评结果</w:t>
      </w:r>
    </w:p>
    <w:p>
      <w:pPr>
        <w:spacing w:before="100" w:beforeLines="0" w:after="100" w:afterLines="0"/>
        <w:jc w:val="left"/>
        <w:rPr>
          <w:rFonts w:hint="eastAsia" w:ascii="华文仿宋" w:hAnsi="华文仿宋" w:eastAsia="华文仿宋" w:cs="华文仿宋"/>
          <w:color w:val="FF0000"/>
          <w:sz w:val="32"/>
          <w:szCs w:val="32"/>
          <w:lang w:val="zh-CN"/>
        </w:rPr>
      </w:pPr>
      <w:r>
        <w:rPr>
          <w:rFonts w:hint="eastAsia" w:ascii="华文仿宋" w:hAnsi="华文仿宋" w:eastAsia="华文仿宋" w:cs="华文仿宋"/>
          <w:color w:val="auto"/>
          <w:sz w:val="32"/>
          <w:szCs w:val="32"/>
          <w:lang w:val="zh-CN"/>
        </w:rPr>
        <w:t>1.绩效目标自评表</w:t>
      </w:r>
    </w:p>
    <w:p>
      <w:pPr>
        <w:ind w:firstLine="640" w:firstLineChars="200"/>
        <w:rPr>
          <w:rFonts w:hint="eastAsia" w:ascii="华文仿宋" w:hAnsi="华文仿宋" w:eastAsia="华文仿宋" w:cs="华文仿宋"/>
          <w:color w:val="auto"/>
          <w:kern w:val="0"/>
          <w:sz w:val="32"/>
          <w:szCs w:val="32"/>
          <w:lang w:val="en-US" w:eastAsia="zh-CN"/>
        </w:rPr>
      </w:pPr>
      <w:r>
        <w:rPr>
          <w:rFonts w:hint="eastAsia" w:ascii="华文仿宋" w:hAnsi="华文仿宋" w:eastAsia="华文仿宋" w:cs="华文仿宋"/>
          <w:color w:val="000000"/>
          <w:kern w:val="0"/>
          <w:sz w:val="32"/>
          <w:szCs w:val="32"/>
          <w:lang w:val="en-US"/>
        </w:rPr>
        <w:t>我部门在2022年度部门决算中反映</w:t>
      </w:r>
      <w:r>
        <w:rPr>
          <w:rFonts w:hint="eastAsia" w:ascii="华文仿宋" w:hAnsi="华文仿宋" w:eastAsia="华文仿宋" w:cs="华文仿宋"/>
          <w:color w:val="auto"/>
          <w:kern w:val="0"/>
          <w:sz w:val="32"/>
          <w:szCs w:val="32"/>
          <w:lang w:val="en-US" w:eastAsia="zh-CN"/>
        </w:rPr>
        <w:t>中央政法转移支付、全省法院业务费、两庭建设3</w:t>
      </w:r>
      <w:r>
        <w:rPr>
          <w:rFonts w:hint="eastAsia" w:ascii="华文仿宋" w:hAnsi="华文仿宋" w:eastAsia="华文仿宋" w:cs="华文仿宋"/>
          <w:color w:val="000000"/>
          <w:kern w:val="0"/>
          <w:sz w:val="32"/>
          <w:szCs w:val="32"/>
          <w:lang w:val="en-US"/>
        </w:rPr>
        <w:t>个项目绩效自评结果。</w:t>
      </w:r>
    </w:p>
    <w:p>
      <w:pPr>
        <w:ind w:firstLine="641" w:firstLineChars="200"/>
        <w:rPr>
          <w:rFonts w:hint="eastAsia" w:ascii="华文仿宋" w:hAnsi="华文仿宋" w:eastAsia="华文仿宋" w:cs="华文仿宋"/>
          <w:b/>
          <w:bCs/>
          <w:color w:val="auto"/>
          <w:kern w:val="0"/>
          <w:sz w:val="32"/>
          <w:szCs w:val="32"/>
          <w:lang w:val="en-US" w:eastAsia="zh-CN"/>
        </w:rPr>
      </w:pPr>
      <w:r>
        <w:rPr>
          <w:rFonts w:hint="eastAsia" w:ascii="华文仿宋" w:hAnsi="华文仿宋" w:eastAsia="华文仿宋" w:cs="华文仿宋"/>
          <w:b/>
          <w:bCs/>
          <w:color w:val="auto"/>
          <w:kern w:val="0"/>
          <w:sz w:val="32"/>
          <w:szCs w:val="32"/>
          <w:lang w:val="en-US" w:eastAsia="zh-CN"/>
        </w:rPr>
        <w:t>项目1：中央政法转移支付项目</w:t>
      </w:r>
    </w:p>
    <w:p>
      <w:pPr>
        <w:ind w:firstLine="640" w:firstLineChars="200"/>
        <w:rPr>
          <w:rFonts w:hint="eastAsia" w:ascii="华文仿宋" w:hAnsi="华文仿宋" w:eastAsia="华文仿宋" w:cs="华文仿宋"/>
          <w:color w:val="000000"/>
          <w:kern w:val="0"/>
          <w:sz w:val="32"/>
          <w:szCs w:val="32"/>
          <w:lang w:val="en-US"/>
        </w:rPr>
      </w:pPr>
      <w:r>
        <w:rPr>
          <w:rFonts w:hint="eastAsia" w:ascii="华文仿宋" w:hAnsi="华文仿宋" w:eastAsia="华文仿宋" w:cs="华文仿宋"/>
          <w:color w:val="auto"/>
          <w:kern w:val="0"/>
          <w:sz w:val="32"/>
          <w:szCs w:val="32"/>
          <w:lang w:val="en-US" w:eastAsia="zh-CN"/>
        </w:rPr>
        <w:t>中央政法转移支付</w:t>
      </w:r>
      <w:r>
        <w:rPr>
          <w:rFonts w:hint="eastAsia" w:ascii="华文仿宋" w:hAnsi="华文仿宋" w:eastAsia="华文仿宋" w:cs="华文仿宋"/>
          <w:color w:val="000000"/>
          <w:kern w:val="0"/>
          <w:sz w:val="32"/>
          <w:szCs w:val="32"/>
          <w:lang w:val="en-US"/>
        </w:rPr>
        <w:t>项目绩效自评情况：根据年初设定的绩效目标,项目绩效自评得分</w:t>
      </w:r>
      <w:r>
        <w:rPr>
          <w:rFonts w:hint="eastAsia" w:ascii="华文仿宋" w:hAnsi="华文仿宋" w:eastAsia="华文仿宋" w:cs="华文仿宋"/>
          <w:color w:val="auto"/>
          <w:kern w:val="0"/>
          <w:sz w:val="32"/>
          <w:szCs w:val="32"/>
          <w:lang w:val="en-US"/>
        </w:rPr>
        <w:t>为</w:t>
      </w:r>
      <w:r>
        <w:rPr>
          <w:rFonts w:hint="eastAsia" w:ascii="华文仿宋" w:hAnsi="华文仿宋" w:eastAsia="华文仿宋" w:cs="华文仿宋"/>
          <w:color w:val="auto"/>
          <w:kern w:val="0"/>
          <w:sz w:val="32"/>
          <w:szCs w:val="32"/>
          <w:lang w:val="en-US" w:eastAsia="zh-CN"/>
        </w:rPr>
        <w:t>97.81</w:t>
      </w:r>
      <w:r>
        <w:rPr>
          <w:rFonts w:hint="eastAsia" w:ascii="华文仿宋" w:hAnsi="华文仿宋" w:eastAsia="华文仿宋" w:cs="华文仿宋"/>
          <w:color w:val="000000"/>
          <w:kern w:val="0"/>
          <w:sz w:val="32"/>
          <w:szCs w:val="32"/>
          <w:lang w:val="en-US"/>
        </w:rPr>
        <w:t>分。项目全年预算数为</w:t>
      </w:r>
      <w:r>
        <w:rPr>
          <w:rFonts w:hint="eastAsia" w:ascii="华文仿宋" w:hAnsi="华文仿宋" w:eastAsia="华文仿宋" w:cs="华文仿宋"/>
          <w:color w:val="auto"/>
          <w:kern w:val="0"/>
          <w:sz w:val="32"/>
          <w:szCs w:val="32"/>
          <w:lang w:val="en-US" w:eastAsia="zh-CN"/>
        </w:rPr>
        <w:t>297.64</w:t>
      </w:r>
      <w:r>
        <w:rPr>
          <w:rFonts w:hint="eastAsia" w:ascii="华文仿宋" w:hAnsi="华文仿宋" w:eastAsia="华文仿宋" w:cs="华文仿宋"/>
          <w:color w:val="000000"/>
          <w:kern w:val="0"/>
          <w:sz w:val="32"/>
          <w:szCs w:val="32"/>
          <w:lang w:val="en-US"/>
        </w:rPr>
        <w:t>万元,执行数为</w:t>
      </w:r>
      <w:r>
        <w:rPr>
          <w:rFonts w:hint="eastAsia" w:ascii="华文仿宋" w:hAnsi="华文仿宋" w:eastAsia="华文仿宋" w:cs="华文仿宋"/>
          <w:color w:val="auto"/>
          <w:kern w:val="0"/>
          <w:sz w:val="32"/>
          <w:szCs w:val="32"/>
          <w:lang w:val="en-US" w:eastAsia="zh-CN"/>
        </w:rPr>
        <w:t>289.62</w:t>
      </w:r>
      <w:r>
        <w:rPr>
          <w:rFonts w:hint="eastAsia" w:ascii="华文仿宋" w:hAnsi="华文仿宋" w:eastAsia="华文仿宋" w:cs="华文仿宋"/>
          <w:color w:val="000000"/>
          <w:kern w:val="0"/>
          <w:sz w:val="32"/>
          <w:szCs w:val="32"/>
          <w:lang w:val="en-US"/>
        </w:rPr>
        <w:t>万元,完成预算的</w:t>
      </w:r>
      <w:r>
        <w:rPr>
          <w:rFonts w:hint="eastAsia" w:ascii="华文仿宋" w:hAnsi="华文仿宋" w:eastAsia="华文仿宋" w:cs="华文仿宋"/>
          <w:color w:val="auto"/>
          <w:kern w:val="0"/>
          <w:sz w:val="32"/>
          <w:szCs w:val="32"/>
          <w:lang w:val="en-US" w:eastAsia="zh-CN"/>
        </w:rPr>
        <w:t>97.31</w:t>
      </w:r>
      <w:r>
        <w:rPr>
          <w:rFonts w:hint="eastAsia" w:ascii="华文仿宋" w:hAnsi="华文仿宋" w:eastAsia="华文仿宋" w:cs="华文仿宋"/>
          <w:color w:val="000000"/>
          <w:kern w:val="0"/>
          <w:sz w:val="32"/>
          <w:szCs w:val="32"/>
          <w:lang w:val="en-US"/>
        </w:rPr>
        <w:t>%。</w:t>
      </w:r>
      <w:r>
        <w:rPr>
          <w:rFonts w:hint="eastAsia"/>
          <w:sz w:val="24"/>
          <w:szCs w:val="24"/>
        </w:rPr>
        <w:t>本</w:t>
      </w:r>
      <w:r>
        <w:rPr>
          <w:rFonts w:hint="eastAsia" w:ascii="华文仿宋" w:hAnsi="华文仿宋" w:eastAsia="华文仿宋" w:cs="华文仿宋"/>
          <w:color w:val="000000"/>
          <w:kern w:val="0"/>
          <w:sz w:val="32"/>
          <w:szCs w:val="32"/>
          <w:lang w:val="en-US"/>
        </w:rPr>
        <w:t>项目</w:t>
      </w:r>
      <w:r>
        <w:rPr>
          <w:rFonts w:hint="eastAsia" w:ascii="华文仿宋" w:hAnsi="华文仿宋" w:eastAsia="华文仿宋" w:cs="华文仿宋"/>
          <w:color w:val="000000"/>
          <w:kern w:val="0"/>
          <w:sz w:val="32"/>
          <w:szCs w:val="32"/>
          <w:lang w:val="en-US" w:eastAsia="zh-CN"/>
        </w:rPr>
        <w:t>2022年</w:t>
      </w:r>
      <w:r>
        <w:rPr>
          <w:rFonts w:hint="eastAsia" w:ascii="华文仿宋" w:hAnsi="华文仿宋" w:eastAsia="华文仿宋" w:cs="华文仿宋"/>
          <w:color w:val="000000"/>
          <w:kern w:val="0"/>
          <w:sz w:val="32"/>
          <w:szCs w:val="32"/>
          <w:lang w:val="en-US"/>
        </w:rPr>
        <w:t>度绩效目标实际完成情况如下：中央政法转移支付资金主要用于支付办案办公费、印刷费、水费、电费、邮电费、差旅费、劳务费、公车运行维护费、办公设备购置、专用设备购置等支出。保障了我院</w:t>
      </w:r>
      <w:r>
        <w:rPr>
          <w:rFonts w:hint="eastAsia" w:ascii="华文仿宋" w:hAnsi="华文仿宋" w:eastAsia="华文仿宋" w:cs="华文仿宋"/>
          <w:color w:val="000000"/>
          <w:kern w:val="0"/>
          <w:sz w:val="32"/>
          <w:szCs w:val="32"/>
          <w:lang w:val="en-US" w:eastAsia="zh-CN"/>
        </w:rPr>
        <w:t>2022年</w:t>
      </w:r>
      <w:r>
        <w:rPr>
          <w:rFonts w:hint="eastAsia" w:ascii="华文仿宋" w:hAnsi="华文仿宋" w:eastAsia="华文仿宋" w:cs="华文仿宋"/>
          <w:color w:val="000000"/>
          <w:kern w:val="0"/>
          <w:sz w:val="32"/>
          <w:szCs w:val="32"/>
          <w:lang w:val="en-US"/>
        </w:rPr>
        <w:t>各类案件的审判、执行工作。与预期的预算计划完全一致。</w:t>
      </w:r>
      <w:r>
        <w:rPr>
          <w:rFonts w:hint="eastAsia" w:ascii="仿宋_GB2312" w:hAnsi="宋体" w:eastAsia="仿宋_GB2312" w:cs="宋体"/>
          <w:sz w:val="32"/>
          <w:szCs w:val="32"/>
        </w:rPr>
        <w:t>发现的主要问题及原因：一是预算项目实施不及时，预算率低；二是</w:t>
      </w:r>
      <w:r>
        <w:rPr>
          <w:rFonts w:hint="eastAsia" w:ascii="仿宋_GB2312" w:eastAsia="仿宋_GB2312"/>
          <w:sz w:val="32"/>
          <w:szCs w:val="32"/>
        </w:rPr>
        <w:t>强化绩效目标管理，合理制定目标值</w:t>
      </w:r>
      <w:r>
        <w:rPr>
          <w:rFonts w:hint="eastAsia" w:ascii="仿宋_GB2312" w:hAnsi="宋体" w:eastAsia="仿宋_GB2312" w:cs="宋体"/>
          <w:sz w:val="32"/>
          <w:szCs w:val="32"/>
        </w:rPr>
        <w:t>。下一步改进措施：一是</w:t>
      </w:r>
      <w:r>
        <w:rPr>
          <w:rFonts w:hint="eastAsia" w:ascii="仿宋_GB2312" w:eastAsia="仿宋_GB2312"/>
          <w:sz w:val="32"/>
          <w:szCs w:val="32"/>
        </w:rPr>
        <w:t>加快预算执行，提高预算编制完整性</w:t>
      </w:r>
      <w:r>
        <w:rPr>
          <w:rFonts w:hint="eastAsia" w:ascii="仿宋_GB2312" w:hAnsi="宋体" w:eastAsia="仿宋_GB2312" w:cs="宋体"/>
          <w:sz w:val="32"/>
          <w:szCs w:val="32"/>
        </w:rPr>
        <w:t>；二是加强对预算经办人员业务知识的培训与学习。</w:t>
      </w:r>
    </w:p>
    <w:p>
      <w:pPr>
        <w:spacing w:before="100" w:beforeLines="0" w:after="100" w:afterLines="0"/>
        <w:jc w:val="left"/>
        <w:rPr>
          <w:rFonts w:hint="eastAsia" w:ascii="华文仿宋" w:hAnsi="华文仿宋" w:eastAsia="华文仿宋" w:cs="华文仿宋"/>
          <w:b/>
          <w:color w:val="auto"/>
          <w:sz w:val="32"/>
          <w:szCs w:val="32"/>
          <w:lang w:val="en-US" w:eastAsia="zh-CN"/>
        </w:rPr>
      </w:pPr>
      <w:r>
        <w:rPr>
          <w:rFonts w:hint="eastAsia" w:ascii="华文仿宋" w:hAnsi="华文仿宋" w:eastAsia="华文仿宋" w:cs="华文仿宋"/>
          <w:b/>
          <w:color w:val="auto"/>
          <w:sz w:val="32"/>
          <w:szCs w:val="32"/>
          <w:lang w:val="zh-CN"/>
        </w:rPr>
        <w:t>项目</w:t>
      </w:r>
      <w:r>
        <w:rPr>
          <w:rFonts w:hint="eastAsia" w:ascii="华文仿宋" w:hAnsi="华文仿宋" w:eastAsia="华文仿宋" w:cs="华文仿宋"/>
          <w:b/>
          <w:color w:val="auto"/>
          <w:sz w:val="32"/>
          <w:szCs w:val="32"/>
          <w:lang w:val="en-US" w:eastAsia="zh-CN"/>
        </w:rPr>
        <w:t>2全省法院业务费</w:t>
      </w:r>
    </w:p>
    <w:p>
      <w:pPr>
        <w:ind w:firstLine="640" w:firstLineChars="200"/>
        <w:rPr>
          <w:rFonts w:hint="eastAsia" w:ascii="华文仿宋" w:hAnsi="华文仿宋" w:eastAsia="华文仿宋" w:cs="华文仿宋"/>
          <w:color w:val="000000"/>
          <w:kern w:val="0"/>
          <w:sz w:val="32"/>
          <w:szCs w:val="32"/>
          <w:lang w:val="en-US"/>
        </w:rPr>
      </w:pPr>
      <w:r>
        <w:rPr>
          <w:rFonts w:hint="eastAsia" w:ascii="华文仿宋" w:hAnsi="华文仿宋" w:eastAsia="华文仿宋" w:cs="华文仿宋"/>
          <w:color w:val="auto"/>
          <w:kern w:val="0"/>
          <w:sz w:val="32"/>
          <w:szCs w:val="32"/>
          <w:lang w:val="en-US" w:eastAsia="zh-CN"/>
        </w:rPr>
        <w:t>全省法院业务费</w:t>
      </w:r>
      <w:r>
        <w:rPr>
          <w:rFonts w:hint="eastAsia" w:ascii="华文仿宋" w:hAnsi="华文仿宋" w:eastAsia="华文仿宋" w:cs="华文仿宋"/>
          <w:color w:val="000000"/>
          <w:kern w:val="0"/>
          <w:sz w:val="32"/>
          <w:szCs w:val="32"/>
          <w:lang w:val="en-US"/>
        </w:rPr>
        <w:t>项目绩效自评情况：根据年初设定的绩效目标,项目绩效自评得分</w:t>
      </w:r>
      <w:r>
        <w:rPr>
          <w:rFonts w:hint="eastAsia" w:ascii="华文仿宋" w:hAnsi="华文仿宋" w:eastAsia="华文仿宋" w:cs="华文仿宋"/>
          <w:color w:val="auto"/>
          <w:kern w:val="0"/>
          <w:sz w:val="32"/>
          <w:szCs w:val="32"/>
          <w:lang w:val="en-US"/>
        </w:rPr>
        <w:t>为</w:t>
      </w:r>
      <w:r>
        <w:rPr>
          <w:rFonts w:hint="eastAsia" w:ascii="华文仿宋" w:hAnsi="华文仿宋" w:eastAsia="华文仿宋" w:cs="华文仿宋"/>
          <w:color w:val="auto"/>
          <w:kern w:val="0"/>
          <w:sz w:val="32"/>
          <w:szCs w:val="32"/>
          <w:lang w:val="en-US" w:eastAsia="zh-CN"/>
        </w:rPr>
        <w:t>98.13</w:t>
      </w:r>
      <w:r>
        <w:rPr>
          <w:rFonts w:hint="eastAsia" w:ascii="华文仿宋" w:hAnsi="华文仿宋" w:eastAsia="华文仿宋" w:cs="华文仿宋"/>
          <w:color w:val="000000"/>
          <w:kern w:val="0"/>
          <w:sz w:val="32"/>
          <w:szCs w:val="32"/>
          <w:lang w:val="en-US"/>
        </w:rPr>
        <w:t>分。项目全年预算数为</w:t>
      </w:r>
      <w:r>
        <w:rPr>
          <w:rFonts w:hint="eastAsia" w:ascii="华文仿宋" w:hAnsi="华文仿宋" w:eastAsia="华文仿宋" w:cs="华文仿宋"/>
          <w:color w:val="auto"/>
          <w:kern w:val="0"/>
          <w:sz w:val="32"/>
          <w:szCs w:val="32"/>
          <w:lang w:val="en-US" w:eastAsia="zh-CN"/>
        </w:rPr>
        <w:t>166.41</w:t>
      </w:r>
      <w:r>
        <w:rPr>
          <w:rFonts w:hint="eastAsia" w:ascii="华文仿宋" w:hAnsi="华文仿宋" w:eastAsia="华文仿宋" w:cs="华文仿宋"/>
          <w:color w:val="000000"/>
          <w:kern w:val="0"/>
          <w:sz w:val="32"/>
          <w:szCs w:val="32"/>
          <w:lang w:val="en-US"/>
        </w:rPr>
        <w:t>万元,执行数为</w:t>
      </w:r>
      <w:r>
        <w:rPr>
          <w:rFonts w:hint="eastAsia" w:ascii="华文仿宋" w:hAnsi="华文仿宋" w:eastAsia="华文仿宋" w:cs="华文仿宋"/>
          <w:color w:val="auto"/>
          <w:kern w:val="0"/>
          <w:sz w:val="32"/>
          <w:szCs w:val="32"/>
          <w:lang w:val="en-US" w:eastAsia="zh-CN"/>
        </w:rPr>
        <w:t>153.08</w:t>
      </w:r>
      <w:r>
        <w:rPr>
          <w:rFonts w:hint="eastAsia" w:ascii="华文仿宋" w:hAnsi="华文仿宋" w:eastAsia="华文仿宋" w:cs="华文仿宋"/>
          <w:color w:val="000000"/>
          <w:kern w:val="0"/>
          <w:sz w:val="32"/>
          <w:szCs w:val="32"/>
          <w:lang w:val="en-US"/>
        </w:rPr>
        <w:t>万元,完成预算的</w:t>
      </w:r>
      <w:r>
        <w:rPr>
          <w:rFonts w:hint="eastAsia" w:ascii="华文仿宋" w:hAnsi="华文仿宋" w:eastAsia="华文仿宋" w:cs="华文仿宋"/>
          <w:color w:val="auto"/>
          <w:kern w:val="0"/>
          <w:sz w:val="32"/>
          <w:szCs w:val="32"/>
          <w:lang w:val="en-US" w:eastAsia="zh-CN"/>
        </w:rPr>
        <w:t>91.99</w:t>
      </w:r>
      <w:r>
        <w:rPr>
          <w:rFonts w:hint="eastAsia" w:ascii="华文仿宋" w:hAnsi="华文仿宋" w:eastAsia="华文仿宋" w:cs="华文仿宋"/>
          <w:color w:val="000000"/>
          <w:kern w:val="0"/>
          <w:sz w:val="32"/>
          <w:szCs w:val="32"/>
          <w:lang w:val="en-US"/>
        </w:rPr>
        <w:t>%。本项目</w:t>
      </w:r>
      <w:r>
        <w:rPr>
          <w:rFonts w:hint="eastAsia" w:ascii="华文仿宋" w:hAnsi="华文仿宋" w:eastAsia="华文仿宋" w:cs="华文仿宋"/>
          <w:color w:val="000000"/>
          <w:kern w:val="0"/>
          <w:sz w:val="32"/>
          <w:szCs w:val="32"/>
          <w:lang w:val="en-US" w:eastAsia="zh-CN"/>
        </w:rPr>
        <w:t>2022年</w:t>
      </w:r>
      <w:r>
        <w:rPr>
          <w:rFonts w:hint="eastAsia" w:ascii="华文仿宋" w:hAnsi="华文仿宋" w:eastAsia="华文仿宋" w:cs="华文仿宋"/>
          <w:color w:val="000000"/>
          <w:kern w:val="0"/>
          <w:sz w:val="32"/>
          <w:szCs w:val="32"/>
          <w:lang w:val="en-US"/>
        </w:rPr>
        <w:t>度绩效目标实际完成情况如下：主要用于支付工作人员办理案件过程中需要开支的办公费、印刷费、劳务费、差旅费、业务设备购置费等支出。全年</w:t>
      </w:r>
      <w:r>
        <w:rPr>
          <w:rFonts w:hint="eastAsia" w:ascii="华文仿宋" w:hAnsi="华文仿宋" w:eastAsia="华文仿宋" w:cs="华文仿宋"/>
          <w:color w:val="000000"/>
          <w:kern w:val="0"/>
          <w:sz w:val="32"/>
          <w:szCs w:val="32"/>
          <w:lang w:val="en-US" w:eastAsia="zh-CN"/>
        </w:rPr>
        <w:t>预算</w:t>
      </w:r>
      <w:r>
        <w:rPr>
          <w:rFonts w:hint="eastAsia" w:ascii="华文仿宋" w:hAnsi="华文仿宋" w:eastAsia="华文仿宋" w:cs="华文仿宋"/>
          <w:color w:val="000000"/>
          <w:kern w:val="0"/>
          <w:sz w:val="32"/>
          <w:szCs w:val="32"/>
          <w:lang w:val="en-US"/>
        </w:rPr>
        <w:t>执行率</w:t>
      </w:r>
      <w:r>
        <w:rPr>
          <w:rFonts w:hint="eastAsia" w:ascii="华文仿宋" w:hAnsi="华文仿宋" w:eastAsia="华文仿宋" w:cs="华文仿宋"/>
          <w:color w:val="000000"/>
          <w:kern w:val="0"/>
          <w:sz w:val="32"/>
          <w:szCs w:val="32"/>
          <w:lang w:val="en-US" w:eastAsia="zh-CN"/>
        </w:rPr>
        <w:t>100</w:t>
      </w:r>
      <w:r>
        <w:rPr>
          <w:rFonts w:hint="eastAsia" w:ascii="华文仿宋" w:hAnsi="华文仿宋" w:eastAsia="华文仿宋" w:cs="华文仿宋"/>
          <w:color w:val="000000"/>
          <w:kern w:val="0"/>
          <w:sz w:val="32"/>
          <w:szCs w:val="32"/>
          <w:lang w:val="en-US"/>
        </w:rPr>
        <w:t>%，保障了办案业务工作正常开展。与预期的预算计划完全一致。</w:t>
      </w:r>
      <w:r>
        <w:rPr>
          <w:rFonts w:hint="eastAsia" w:ascii="仿宋_GB2312" w:hAnsi="宋体" w:eastAsia="仿宋_GB2312" w:cs="宋体"/>
          <w:sz w:val="32"/>
          <w:szCs w:val="32"/>
        </w:rPr>
        <w:t>发现的主要问题及原因：一是预算项目实施不及时，预算率低；二是</w:t>
      </w:r>
      <w:r>
        <w:rPr>
          <w:rFonts w:hint="eastAsia" w:ascii="仿宋_GB2312" w:eastAsia="仿宋_GB2312"/>
          <w:sz w:val="32"/>
          <w:szCs w:val="32"/>
        </w:rPr>
        <w:t>强化绩效目标管理，合理制定目标值</w:t>
      </w:r>
      <w:r>
        <w:rPr>
          <w:rFonts w:hint="eastAsia" w:ascii="仿宋_GB2312" w:hAnsi="宋体" w:eastAsia="仿宋_GB2312" w:cs="宋体"/>
          <w:sz w:val="32"/>
          <w:szCs w:val="32"/>
        </w:rPr>
        <w:t>。下一步改进措施：一是</w:t>
      </w:r>
      <w:r>
        <w:rPr>
          <w:rFonts w:hint="eastAsia" w:ascii="仿宋_GB2312" w:eastAsia="仿宋_GB2312"/>
          <w:sz w:val="32"/>
          <w:szCs w:val="32"/>
        </w:rPr>
        <w:t>加快预算执行，提高预算编制完整性</w:t>
      </w:r>
      <w:r>
        <w:rPr>
          <w:rFonts w:hint="eastAsia" w:ascii="仿宋_GB2312" w:hAnsi="宋体" w:eastAsia="仿宋_GB2312" w:cs="宋体"/>
          <w:sz w:val="32"/>
          <w:szCs w:val="32"/>
        </w:rPr>
        <w:t>；二是加强对预算经办人员业务知识的培训与学习。</w:t>
      </w:r>
    </w:p>
    <w:p>
      <w:pPr>
        <w:pStyle w:val="5"/>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ind w:firstLine="641" w:firstLineChars="200"/>
        <w:rPr>
          <w:rFonts w:hint="eastAsia" w:ascii="华文仿宋" w:hAnsi="华文仿宋" w:eastAsia="华文仿宋" w:cs="华文仿宋"/>
          <w:b/>
          <w:bCs/>
          <w:color w:val="auto"/>
          <w:kern w:val="0"/>
          <w:sz w:val="32"/>
          <w:szCs w:val="32"/>
          <w:lang w:val="zh-CN" w:eastAsia="zh-CN"/>
        </w:rPr>
      </w:pPr>
      <w:r>
        <w:rPr>
          <w:rFonts w:hint="eastAsia" w:ascii="华文仿宋" w:hAnsi="华文仿宋" w:eastAsia="华文仿宋" w:cs="华文仿宋"/>
          <w:b/>
          <w:bCs/>
          <w:color w:val="auto"/>
          <w:kern w:val="0"/>
          <w:sz w:val="32"/>
          <w:szCs w:val="32"/>
          <w:lang w:val="zh-CN" w:eastAsia="zh-CN"/>
        </w:rPr>
        <w:t>（三）项目3- 两庭建设</w:t>
      </w:r>
    </w:p>
    <w:p>
      <w:pPr>
        <w:ind w:firstLine="641" w:firstLineChars="200"/>
        <w:rPr>
          <w:rFonts w:hint="eastAsia" w:ascii="华文仿宋" w:hAnsi="华文仿宋" w:eastAsia="华文仿宋" w:cs="华文仿宋"/>
          <w:b/>
          <w:bCs/>
          <w:color w:val="auto"/>
          <w:kern w:val="0"/>
          <w:sz w:val="32"/>
          <w:szCs w:val="32"/>
          <w:lang w:val="zh-CN" w:eastAsia="zh-CN"/>
        </w:rPr>
      </w:pPr>
      <w:r>
        <w:rPr>
          <w:rFonts w:hint="eastAsia" w:ascii="华文仿宋" w:hAnsi="华文仿宋" w:eastAsia="华文仿宋" w:cs="华文仿宋"/>
          <w:b/>
          <w:bCs/>
          <w:color w:val="auto"/>
          <w:kern w:val="0"/>
          <w:sz w:val="32"/>
          <w:szCs w:val="32"/>
          <w:lang w:val="zh-CN" w:eastAsia="zh-CN"/>
        </w:rPr>
        <w:t>1、项目支出预算执行情况</w:t>
      </w:r>
    </w:p>
    <w:p>
      <w:pPr>
        <w:spacing w:before="100" w:beforeLines="0" w:after="100" w:afterLines="0"/>
        <w:ind w:firstLine="640" w:firstLineChars="200"/>
        <w:jc w:val="left"/>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两庭建设</w:t>
      </w:r>
      <w:r>
        <w:rPr>
          <w:rFonts w:hint="eastAsia" w:ascii="华文仿宋" w:hAnsi="华文仿宋" w:eastAsia="华文仿宋" w:cs="华文仿宋"/>
          <w:sz w:val="32"/>
          <w:szCs w:val="32"/>
        </w:rPr>
        <w:t>全年预算数</w:t>
      </w:r>
      <w:r>
        <w:rPr>
          <w:rFonts w:hint="eastAsia" w:ascii="华文仿宋" w:hAnsi="华文仿宋" w:eastAsia="华文仿宋" w:cs="华文仿宋"/>
          <w:sz w:val="32"/>
          <w:szCs w:val="32"/>
          <w:lang w:val="en-US" w:eastAsia="zh-CN"/>
        </w:rPr>
        <w:t>427</w:t>
      </w:r>
      <w:r>
        <w:rPr>
          <w:rFonts w:hint="eastAsia" w:ascii="华文仿宋" w:hAnsi="华文仿宋" w:eastAsia="华文仿宋" w:cs="华文仿宋"/>
          <w:sz w:val="32"/>
          <w:szCs w:val="32"/>
        </w:rPr>
        <w:t>万元，全年执行数</w:t>
      </w:r>
      <w:r>
        <w:rPr>
          <w:rFonts w:hint="eastAsia" w:ascii="华文仿宋" w:hAnsi="华文仿宋" w:eastAsia="华文仿宋" w:cs="华文仿宋"/>
          <w:sz w:val="32"/>
          <w:szCs w:val="32"/>
          <w:lang w:val="en-US" w:eastAsia="zh-CN"/>
        </w:rPr>
        <w:t>427</w:t>
      </w:r>
      <w:r>
        <w:rPr>
          <w:rFonts w:hint="eastAsia" w:ascii="华文仿宋" w:hAnsi="华文仿宋" w:eastAsia="华文仿宋" w:cs="华文仿宋"/>
          <w:sz w:val="32"/>
          <w:szCs w:val="32"/>
        </w:rPr>
        <w:t>万元，预算执行率100%，满分10分，得分10分。</w:t>
      </w:r>
      <w:r>
        <w:rPr>
          <w:rFonts w:hint="eastAsia" w:ascii="华文仿宋" w:hAnsi="华文仿宋" w:eastAsia="华文仿宋" w:cs="华文仿宋"/>
          <w:sz w:val="32"/>
          <w:szCs w:val="32"/>
          <w:lang w:eastAsia="zh-CN"/>
        </w:rPr>
        <w:t>本项目2022年度绩效目标实际完成情况如下：主要用于本院新建审判法庭建设，为改善办案办公条件提供了稳定的经费保障，使我院干警提供了一个舒适的办公环境，使干警能够安心工作、办案、为更好的维护国家体制、法律的权威、公平和正义、维护社会稳定和谐，达到公众认同，当事人满意的效果，确保本年底受理案件审判工作顺利的完成。主要用于支出新建审判法庭附属设施及二次装修建设用款。与预期的预算计划完全一致。</w:t>
      </w:r>
      <w:r>
        <w:rPr>
          <w:rFonts w:hint="eastAsia" w:ascii="华文仿宋" w:hAnsi="华文仿宋" w:eastAsia="华文仿宋" w:cs="华文仿宋"/>
          <w:color w:val="auto"/>
          <w:sz w:val="32"/>
          <w:szCs w:val="32"/>
          <w:lang w:val="zh-CN"/>
        </w:rPr>
        <w:t>我院两庭建设项目基本没有偏离绩效目标。下一步改进措施，我院将根据财务规范进一步提升对预算的细化工作，加强对资金使用的前瞻性预估。</w:t>
      </w:r>
    </w:p>
    <w:p>
      <w:pPr>
        <w:ind w:firstLine="641" w:firstLineChars="200"/>
        <w:rPr>
          <w:rFonts w:hint="eastAsia" w:ascii="华文仿宋" w:hAnsi="华文仿宋" w:eastAsia="华文仿宋" w:cs="华文仿宋"/>
          <w:b/>
          <w:bCs/>
          <w:color w:val="auto"/>
          <w:kern w:val="0"/>
          <w:sz w:val="32"/>
          <w:szCs w:val="32"/>
          <w:lang w:val="zh-CN" w:eastAsia="zh-CN"/>
        </w:rPr>
      </w:pPr>
      <w:r>
        <w:rPr>
          <w:rFonts w:hint="eastAsia" w:ascii="华文仿宋" w:hAnsi="华文仿宋" w:eastAsia="华文仿宋" w:cs="华文仿宋"/>
          <w:b/>
          <w:bCs/>
          <w:color w:val="auto"/>
          <w:kern w:val="0"/>
          <w:sz w:val="32"/>
          <w:szCs w:val="32"/>
          <w:lang w:val="zh-CN" w:eastAsia="zh-CN"/>
        </w:rPr>
        <w:t>(三)部门绩效评价结果</w:t>
      </w:r>
    </w:p>
    <w:p>
      <w:pPr>
        <w:spacing w:before="100" w:beforeLines="0" w:after="100" w:afterLines="0"/>
        <w:ind w:firstLine="640" w:firstLineChars="200"/>
        <w:jc w:val="both"/>
        <w:rPr>
          <w:rFonts w:hint="eastAsia" w:ascii="华文仿宋" w:hAnsi="华文仿宋" w:eastAsia="华文仿宋" w:cs="华文仿宋"/>
          <w:color w:val="auto"/>
          <w:sz w:val="32"/>
          <w:szCs w:val="32"/>
          <w:lang w:val="en-US" w:eastAsia="zh-CN"/>
        </w:rPr>
      </w:pPr>
      <w:r>
        <w:rPr>
          <w:rFonts w:hint="eastAsia" w:ascii="华文仿宋" w:hAnsi="华文仿宋" w:eastAsia="华文仿宋" w:cs="华文仿宋"/>
          <w:color w:val="auto"/>
          <w:sz w:val="32"/>
          <w:szCs w:val="32"/>
          <w:lang w:val="zh-CN"/>
        </w:rPr>
        <w:t>详见附件</w:t>
      </w:r>
      <w:r>
        <w:rPr>
          <w:rFonts w:hint="eastAsia" w:ascii="华文仿宋" w:hAnsi="华文仿宋" w:eastAsia="华文仿宋" w:cs="华文仿宋"/>
          <w:color w:val="auto"/>
          <w:sz w:val="32"/>
          <w:szCs w:val="32"/>
          <w:lang w:val="en-US" w:eastAsia="zh-CN"/>
        </w:rPr>
        <w:t>2（自评表）</w:t>
      </w:r>
    </w:p>
    <w:p>
      <w:pPr>
        <w:pStyle w:val="3"/>
        <w:ind w:left="0" w:leftChars="0" w:firstLine="640" w:firstLineChars="200"/>
        <w:rPr>
          <w:rFonts w:hint="default"/>
          <w:lang w:val="en-US" w:eastAsia="zh-CN"/>
        </w:rPr>
      </w:pPr>
      <w:r>
        <w:rPr>
          <w:rFonts w:hint="eastAsia" w:ascii="华文仿宋" w:hAnsi="华文仿宋" w:eastAsia="华文仿宋" w:cs="华文仿宋"/>
          <w:color w:val="auto"/>
          <w:sz w:val="32"/>
          <w:szCs w:val="32"/>
          <w:lang w:val="en-US" w:eastAsia="zh-CN"/>
        </w:rPr>
        <w:t>详见附件3（自评报告）</w:t>
      </w:r>
    </w:p>
    <w:p>
      <w:pPr>
        <w:spacing w:before="100" w:beforeLines="0" w:after="100" w:afterLines="0"/>
        <w:jc w:val="center"/>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第五部分名词解释</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一、财政拨款收入</w:t>
      </w:r>
      <w:r>
        <w:rPr>
          <w:rFonts w:hint="eastAsia" w:ascii="华文仿宋" w:hAnsi="华文仿宋" w:eastAsia="华文仿宋" w:cs="华文仿宋"/>
          <w:color w:val="auto"/>
          <w:sz w:val="32"/>
          <w:szCs w:val="32"/>
          <w:lang w:val="zh-CN"/>
        </w:rPr>
        <w:t>：指本年度从本级财政部门取得的财政拨款,包括一般公共预算财政拨款和政府性基金预算财政拨款。</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二、事业收入</w:t>
      </w:r>
      <w:r>
        <w:rPr>
          <w:rFonts w:hint="eastAsia" w:ascii="华文仿宋" w:hAnsi="华文仿宋" w:eastAsia="华文仿宋" w:cs="华文仿宋"/>
          <w:color w:val="auto"/>
          <w:sz w:val="32"/>
          <w:szCs w:val="32"/>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三、经营收入</w:t>
      </w:r>
      <w:r>
        <w:rPr>
          <w:rFonts w:hint="eastAsia" w:ascii="华文仿宋" w:hAnsi="华文仿宋" w:eastAsia="华文仿宋" w:cs="华文仿宋"/>
          <w:color w:val="auto"/>
          <w:sz w:val="32"/>
          <w:szCs w:val="32"/>
          <w:lang w:val="zh-CN"/>
        </w:rPr>
        <w:t>：指事业单位在专业业务活动及其辅助活动之外开展非独立核算经营活动取得的现金流入。</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四、其他收入</w:t>
      </w:r>
      <w:r>
        <w:rPr>
          <w:rFonts w:hint="eastAsia" w:ascii="华文仿宋" w:hAnsi="华文仿宋" w:eastAsia="华文仿宋" w:cs="华文仿宋"/>
          <w:color w:val="auto"/>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五、年初结转和结余</w:t>
      </w:r>
      <w:r>
        <w:rPr>
          <w:rFonts w:hint="eastAsia" w:ascii="华文仿宋" w:hAnsi="华文仿宋" w:eastAsia="华文仿宋" w:cs="华文仿宋"/>
          <w:color w:val="auto"/>
          <w:sz w:val="32"/>
          <w:szCs w:val="32"/>
          <w:lang w:val="zh-CN"/>
        </w:rPr>
        <w:t>：指单位上年结转本年使用的基本支出结转、项目支出结转和结余、经营结余。</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六、结余分配</w:t>
      </w:r>
      <w:r>
        <w:rPr>
          <w:rFonts w:hint="eastAsia" w:ascii="华文仿宋" w:hAnsi="华文仿宋" w:eastAsia="华文仿宋" w:cs="华文仿宋"/>
          <w:color w:val="auto"/>
          <w:sz w:val="32"/>
          <w:szCs w:val="32"/>
          <w:lang w:val="zh-CN"/>
        </w:rPr>
        <w:t>：指单位按照国家有关规定,缴纳所得税、提取专用基金、转入事业基金等当年结余的分配情况。</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七、年末结转和结余</w:t>
      </w:r>
      <w:r>
        <w:rPr>
          <w:rFonts w:hint="eastAsia" w:ascii="华文仿宋" w:hAnsi="华文仿宋" w:eastAsia="华文仿宋" w:cs="华文仿宋"/>
          <w:color w:val="auto"/>
          <w:sz w:val="32"/>
          <w:szCs w:val="32"/>
          <w:lang w:val="zh-CN"/>
        </w:rPr>
        <w:t>：指单位结转下年的基本支出结转、项目支出结转和结余、经营结余。</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八、基本支出</w:t>
      </w:r>
      <w:r>
        <w:rPr>
          <w:rFonts w:hint="eastAsia" w:ascii="华文仿宋" w:hAnsi="华文仿宋" w:eastAsia="华文仿宋" w:cs="华文仿宋"/>
          <w:color w:val="auto"/>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九、项目支出</w:t>
      </w:r>
      <w:r>
        <w:rPr>
          <w:rFonts w:hint="eastAsia" w:ascii="华文仿宋" w:hAnsi="华文仿宋" w:eastAsia="华文仿宋" w:cs="华文仿宋"/>
          <w:color w:val="auto"/>
          <w:sz w:val="32"/>
          <w:szCs w:val="32"/>
          <w:lang w:val="zh-CN"/>
        </w:rPr>
        <w:t>：指在基本支出之外为完成特定行政任务和事业发展目标所发生的支出。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十、经营支出</w:t>
      </w:r>
      <w:r>
        <w:rPr>
          <w:rFonts w:hint="eastAsia" w:ascii="华文仿宋" w:hAnsi="华文仿宋" w:eastAsia="华文仿宋" w:cs="华文仿宋"/>
          <w:color w:val="auto"/>
          <w:sz w:val="32"/>
          <w:szCs w:val="32"/>
          <w:lang w:val="zh-CN"/>
        </w:rPr>
        <w:t>：指事业单位在专业业务活动及其辅助活动之外开展非独立核算经营活动发生的支出。</w:t>
      </w:r>
    </w:p>
    <w:p>
      <w:pPr>
        <w:spacing w:before="100" w:beforeLines="0" w:after="100" w:afterLines="0"/>
        <w:jc w:val="left"/>
        <w:rPr>
          <w:rFonts w:hint="eastAsia" w:ascii="华文仿宋" w:hAnsi="华文仿宋" w:eastAsia="华文仿宋" w:cs="华文仿宋"/>
          <w:color w:val="auto"/>
          <w:sz w:val="32"/>
          <w:szCs w:val="32"/>
          <w:lang w:val="zh-CN"/>
        </w:rPr>
      </w:pPr>
      <w:r>
        <w:rPr>
          <w:rFonts w:hint="eastAsia" w:ascii="华文仿宋" w:hAnsi="华文仿宋" w:eastAsia="华文仿宋" w:cs="华文仿宋"/>
          <w:b/>
          <w:color w:val="auto"/>
          <w:sz w:val="32"/>
          <w:szCs w:val="32"/>
          <w:lang w:val="zh-CN"/>
        </w:rPr>
        <w:t>十一、“三公”经费</w:t>
      </w:r>
      <w:r>
        <w:rPr>
          <w:rFonts w:hint="eastAsia" w:ascii="华文仿宋" w:hAnsi="华文仿宋" w:eastAsia="华文仿宋" w:cs="华文仿宋"/>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rPr>
          <w:rFonts w:hint="eastAsia" w:ascii="华文仿宋" w:hAnsi="华文仿宋" w:eastAsia="华文仿宋" w:cs="华文仿宋"/>
          <w:color w:val="auto"/>
          <w:sz w:val="24"/>
          <w:szCs w:val="24"/>
          <w:lang w:val="zh-CN"/>
        </w:rPr>
      </w:pPr>
      <w:r>
        <w:rPr>
          <w:rFonts w:hint="eastAsia" w:ascii="华文仿宋" w:hAnsi="华文仿宋" w:eastAsia="华文仿宋" w:cs="华文仿宋"/>
          <w:b/>
          <w:color w:val="auto"/>
          <w:sz w:val="32"/>
          <w:szCs w:val="32"/>
          <w:lang w:val="zh-CN"/>
        </w:rPr>
        <w:t>十二、机关运行经费</w:t>
      </w:r>
      <w:r>
        <w:rPr>
          <w:rFonts w:hint="eastAsia" w:ascii="华文仿宋" w:hAnsi="华文仿宋" w:eastAsia="华文仿宋" w:cs="华文仿宋"/>
          <w:color w:val="auto"/>
          <w:sz w:val="32"/>
          <w:szCs w:val="32"/>
          <w:lang w:val="zh-CN"/>
        </w:rPr>
        <w:t>：为</w:t>
      </w:r>
      <w:r>
        <w:rPr>
          <w:rFonts w:hint="eastAsia" w:ascii="华文仿宋" w:hAnsi="华文仿宋" w:eastAsia="华文仿宋" w:cs="华文仿宋"/>
          <w:kern w:val="0"/>
          <w:sz w:val="32"/>
          <w:szCs w:val="32"/>
          <w:lang w:val="zh-CN"/>
        </w:rPr>
        <w:t>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adjustRightInd w:val="0"/>
        <w:spacing w:line="520" w:lineRule="exact"/>
        <w:ind w:firstLine="641" w:firstLineChars="200"/>
        <w:rPr>
          <w:rFonts w:hint="eastAsia" w:ascii="华文仿宋" w:hAnsi="华文仿宋" w:eastAsia="华文仿宋" w:cs="华文仿宋"/>
          <w:sz w:val="32"/>
          <w:szCs w:val="32"/>
        </w:rPr>
      </w:pPr>
      <w:r>
        <w:rPr>
          <w:rStyle w:val="9"/>
          <w:rFonts w:hint="eastAsia" w:ascii="华文仿宋" w:hAnsi="华文仿宋" w:eastAsia="华文仿宋" w:cs="华文仿宋"/>
          <w:sz w:val="32"/>
          <w:szCs w:val="32"/>
        </w:rPr>
        <w:t>十三、工资福利支出</w:t>
      </w:r>
      <w:r>
        <w:rPr>
          <w:rFonts w:hint="eastAsia" w:ascii="华文仿宋" w:hAnsi="华文仿宋" w:eastAsia="华文仿宋" w:cs="华文仿宋"/>
          <w:sz w:val="32"/>
          <w:szCs w:val="32"/>
        </w:rPr>
        <w:t>（支出经济分类科目类级）：反映单位开支的在职职工和编制外长期聘用人员的各类劳动报酬，以及为上述人员缴纳的各项社会保险费等。</w:t>
      </w:r>
    </w:p>
    <w:p>
      <w:pPr>
        <w:pStyle w:val="4"/>
        <w:shd w:val="clear" w:color="auto" w:fill="FFFFFF"/>
        <w:adjustRightInd w:val="0"/>
        <w:spacing w:line="520" w:lineRule="exact"/>
        <w:ind w:firstLine="641" w:firstLineChars="200"/>
        <w:rPr>
          <w:rFonts w:hint="eastAsia" w:ascii="华文仿宋" w:hAnsi="华文仿宋" w:eastAsia="华文仿宋" w:cs="华文仿宋"/>
          <w:sz w:val="32"/>
          <w:szCs w:val="32"/>
        </w:rPr>
      </w:pPr>
      <w:r>
        <w:rPr>
          <w:rStyle w:val="9"/>
          <w:rFonts w:hint="eastAsia" w:ascii="华文仿宋" w:hAnsi="华文仿宋" w:eastAsia="华文仿宋" w:cs="华文仿宋"/>
          <w:sz w:val="32"/>
          <w:szCs w:val="32"/>
        </w:rPr>
        <w:t>十四、商品和服务支出（支出经济分类科目类级）</w:t>
      </w:r>
      <w:r>
        <w:rPr>
          <w:rFonts w:hint="eastAsia" w:ascii="华文仿宋" w:hAnsi="华文仿宋" w:eastAsia="华文仿宋" w:cs="华文仿宋"/>
          <w:sz w:val="32"/>
          <w:szCs w:val="32"/>
        </w:rPr>
        <w:t>：反映单位购买商品和服务的支出（不包括用于购置固定资产的支出、战略性和应急储备支出）。</w:t>
      </w:r>
    </w:p>
    <w:p>
      <w:pPr>
        <w:pStyle w:val="4"/>
        <w:shd w:val="clear" w:color="auto" w:fill="FFFFFF"/>
        <w:adjustRightInd w:val="0"/>
        <w:spacing w:line="520" w:lineRule="exact"/>
        <w:ind w:firstLine="641" w:firstLineChars="200"/>
        <w:rPr>
          <w:rFonts w:hint="eastAsia" w:ascii="华文仿宋" w:hAnsi="华文仿宋" w:eastAsia="华文仿宋" w:cs="华文仿宋"/>
          <w:sz w:val="32"/>
          <w:szCs w:val="32"/>
        </w:rPr>
      </w:pPr>
      <w:r>
        <w:rPr>
          <w:rStyle w:val="9"/>
          <w:rFonts w:hint="eastAsia" w:ascii="华文仿宋" w:hAnsi="华文仿宋" w:eastAsia="华文仿宋" w:cs="华文仿宋"/>
          <w:sz w:val="32"/>
          <w:szCs w:val="32"/>
        </w:rPr>
        <w:t>十五、对个人和家庭的补助（支出经济分类科目类级）</w:t>
      </w:r>
      <w:r>
        <w:rPr>
          <w:rFonts w:hint="eastAsia" w:ascii="华文仿宋" w:hAnsi="华文仿宋" w:eastAsia="华文仿宋" w:cs="华文仿宋"/>
          <w:sz w:val="32"/>
          <w:szCs w:val="32"/>
        </w:rPr>
        <w:t>：反映用于对个人和家庭的补助支出。</w:t>
      </w:r>
    </w:p>
    <w:p>
      <w:pPr>
        <w:pStyle w:val="4"/>
        <w:shd w:val="clear" w:color="auto" w:fill="FFFFFF"/>
        <w:adjustRightInd w:val="0"/>
        <w:spacing w:line="520" w:lineRule="exact"/>
        <w:ind w:firstLine="641" w:firstLineChars="200"/>
        <w:rPr>
          <w:rFonts w:hint="eastAsia" w:ascii="华文仿宋" w:hAnsi="华文仿宋" w:eastAsia="华文仿宋" w:cs="华文仿宋"/>
          <w:sz w:val="32"/>
          <w:szCs w:val="32"/>
        </w:rPr>
      </w:pPr>
      <w:r>
        <w:rPr>
          <w:rStyle w:val="9"/>
          <w:rFonts w:hint="eastAsia" w:ascii="华文仿宋" w:hAnsi="华文仿宋" w:eastAsia="华文仿宋" w:cs="华文仿宋"/>
          <w:sz w:val="32"/>
          <w:szCs w:val="32"/>
        </w:rPr>
        <w:t>十六、其他资本性支出（支出经济分类科目类级）</w:t>
      </w:r>
      <w:r>
        <w:rPr>
          <w:rFonts w:hint="eastAsia" w:ascii="华文仿宋" w:hAnsi="华文仿宋" w:eastAsia="华文仿宋" w:cs="华文仿宋"/>
          <w:sz w:val="32"/>
          <w:szCs w:val="32"/>
        </w:rPr>
        <w:t>：反映非各级发展与改革部门集中安排的用于购置固定资产、战略性和应急性储备、土地和无形资产，以及构建基础设施、大型修缮和财政支持企业更新改造所发生的支出。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附件：1.202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年度部门决算</w:t>
      </w:r>
      <w:r>
        <w:rPr>
          <w:rFonts w:hint="eastAsia" w:ascii="华文仿宋" w:hAnsi="华文仿宋" w:eastAsia="华文仿宋" w:cs="华文仿宋"/>
          <w:color w:val="auto"/>
          <w:kern w:val="2"/>
          <w:sz w:val="32"/>
          <w:szCs w:val="32"/>
          <w:lang w:val="en-US" w:eastAsia="zh-CN"/>
        </w:rPr>
        <w:t>公开</w:t>
      </w:r>
      <w:r>
        <w:rPr>
          <w:rFonts w:hint="eastAsia" w:ascii="华文仿宋" w:hAnsi="华文仿宋" w:eastAsia="华文仿宋" w:cs="华文仿宋"/>
          <w:color w:val="auto"/>
          <w:kern w:val="2"/>
          <w:sz w:val="32"/>
          <w:szCs w:val="32"/>
          <w:lang w:val="zh-CN"/>
        </w:rPr>
        <w:t>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left="0" w:right="0" w:firstLine="516"/>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年度绩效自评报告</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autoSpaceDE w:val="0"/>
        <w:autoSpaceDN/>
        <w:spacing w:before="0" w:beforeAutospacing="0" w:after="0" w:afterAutospacing="0" w:line="600" w:lineRule="atLeast"/>
        <w:ind w:right="0" w:firstLine="1600" w:firstLineChars="500"/>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2</w:t>
      </w:r>
      <w:r>
        <w:rPr>
          <w:rFonts w:hint="eastAsia" w:ascii="华文仿宋" w:hAnsi="华文仿宋" w:eastAsia="华文仿宋" w:cs="华文仿宋"/>
          <w:color w:val="auto"/>
          <w:kern w:val="2"/>
          <w:sz w:val="32"/>
          <w:szCs w:val="32"/>
          <w:lang w:val="zh-CN"/>
        </w:rPr>
        <w:t>年度绩效自评表</w:t>
      </w:r>
    </w:p>
    <w:p>
      <w:pPr>
        <w:pStyle w:val="10"/>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p>
    <w:p>
      <w:pPr>
        <w:pStyle w:val="10"/>
        <w:keepNext w:val="0"/>
        <w:keepLines w:val="0"/>
        <w:widowControl/>
        <w:suppressLineNumbers w:val="0"/>
        <w:autoSpaceDE w:val="0"/>
        <w:autoSpaceDN/>
        <w:spacing w:before="0" w:beforeAutospacing="0" w:line="600" w:lineRule="atLeast"/>
        <w:ind w:left="0"/>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合作市</w:t>
      </w:r>
      <w:bookmarkStart w:id="0" w:name="_GoBack"/>
      <w:bookmarkEnd w:id="0"/>
      <w:r>
        <w:rPr>
          <w:rFonts w:hint="eastAsia" w:ascii="华文仿宋" w:hAnsi="华文仿宋" w:eastAsia="华文仿宋" w:cs="华文仿宋"/>
          <w:color w:val="auto"/>
          <w:kern w:val="2"/>
          <w:sz w:val="32"/>
          <w:szCs w:val="32"/>
          <w:lang w:val="zh-CN"/>
        </w:rPr>
        <w:t>人民法院</w:t>
      </w:r>
    </w:p>
    <w:p>
      <w:pPr>
        <w:pStyle w:val="10"/>
        <w:keepNext w:val="0"/>
        <w:keepLines w:val="0"/>
        <w:widowControl/>
        <w:suppressLineNumbers w:val="0"/>
        <w:autoSpaceDE w:val="0"/>
        <w:autoSpaceDN/>
        <w:spacing w:before="0" w:beforeAutospacing="0" w:line="600" w:lineRule="atLeast"/>
        <w:jc w:val="left"/>
        <w:rPr>
          <w:rFonts w:hint="eastAsia" w:ascii="华文仿宋" w:hAnsi="华文仿宋" w:eastAsia="华文仿宋" w:cs="华文仿宋"/>
          <w:color w:val="auto"/>
          <w:kern w:val="2"/>
          <w:sz w:val="32"/>
          <w:szCs w:val="32"/>
          <w:lang w:val="zh-CN"/>
        </w:rPr>
      </w:pPr>
      <w:r>
        <w:rPr>
          <w:rFonts w:hint="eastAsia" w:ascii="华文仿宋" w:hAnsi="华文仿宋" w:eastAsia="华文仿宋" w:cs="华文仿宋"/>
          <w:color w:val="auto"/>
          <w:kern w:val="2"/>
          <w:sz w:val="32"/>
          <w:szCs w:val="32"/>
          <w:lang w:val="zh-CN"/>
        </w:rPr>
        <w:t xml:space="preserve">        </w:t>
      </w:r>
      <w:r>
        <w:rPr>
          <w:rFonts w:hint="eastAsia" w:ascii="华文仿宋" w:hAnsi="华文仿宋" w:eastAsia="华文仿宋" w:cs="华文仿宋"/>
          <w:color w:val="auto"/>
          <w:kern w:val="2"/>
          <w:sz w:val="32"/>
          <w:szCs w:val="32"/>
          <w:lang w:val="en-US" w:eastAsia="zh-CN"/>
        </w:rPr>
        <w:t xml:space="preserve">                     </w:t>
      </w:r>
      <w:r>
        <w:rPr>
          <w:rFonts w:hint="eastAsia" w:ascii="华文仿宋" w:hAnsi="华文仿宋" w:eastAsia="华文仿宋" w:cs="华文仿宋"/>
          <w:color w:val="auto"/>
          <w:kern w:val="2"/>
          <w:sz w:val="32"/>
          <w:szCs w:val="32"/>
          <w:lang w:val="zh-CN"/>
        </w:rPr>
        <w:t>202</w:t>
      </w:r>
      <w:r>
        <w:rPr>
          <w:rFonts w:hint="eastAsia" w:ascii="华文仿宋" w:hAnsi="华文仿宋" w:eastAsia="华文仿宋" w:cs="华文仿宋"/>
          <w:color w:val="auto"/>
          <w:kern w:val="2"/>
          <w:sz w:val="32"/>
          <w:szCs w:val="32"/>
          <w:lang w:val="en-US" w:eastAsia="zh-CN"/>
        </w:rPr>
        <w:t>3</w:t>
      </w:r>
      <w:r>
        <w:rPr>
          <w:rFonts w:hint="eastAsia" w:ascii="华文仿宋" w:hAnsi="华文仿宋" w:eastAsia="华文仿宋" w:cs="华文仿宋"/>
          <w:color w:val="auto"/>
          <w:kern w:val="2"/>
          <w:sz w:val="32"/>
          <w:szCs w:val="32"/>
          <w:lang w:val="zh-CN"/>
        </w:rPr>
        <w:t>年8月19日</w:t>
      </w:r>
    </w:p>
    <w:p>
      <w:pPr>
        <w:pStyle w:val="4"/>
        <w:shd w:val="clear" w:color="auto" w:fill="FFFFFF"/>
        <w:adjustRightInd w:val="0"/>
        <w:spacing w:line="520" w:lineRule="exact"/>
        <w:ind w:firstLine="640" w:firstLineChars="200"/>
        <w:rPr>
          <w:rFonts w:hint="eastAsia" w:ascii="华文仿宋" w:hAnsi="华文仿宋" w:eastAsia="华文仿宋" w:cs="华文仿宋"/>
          <w:sz w:val="32"/>
          <w:szCs w:val="32"/>
        </w:rPr>
      </w:pPr>
    </w:p>
    <w:p>
      <w:pPr>
        <w:spacing w:before="100" w:beforeLines="0" w:after="100" w:afterLines="0"/>
        <w:jc w:val="left"/>
        <w:rPr>
          <w:rFonts w:hint="eastAsia" w:ascii="华文仿宋" w:hAnsi="华文仿宋" w:eastAsia="华文仿宋" w:cs="华文仿宋"/>
          <w:color w:val="auto"/>
          <w:sz w:val="24"/>
          <w:szCs w:val="24"/>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GJhMWZjMzU0MWFiZTA0YjVmYzQyZmM4ZjEyODQifQ=="/>
  </w:docVars>
  <w:rsids>
    <w:rsidRoot w:val="00000000"/>
    <w:rsid w:val="020967F0"/>
    <w:rsid w:val="03C54999"/>
    <w:rsid w:val="04071455"/>
    <w:rsid w:val="052D6C99"/>
    <w:rsid w:val="0560706F"/>
    <w:rsid w:val="06D511C9"/>
    <w:rsid w:val="080F08D8"/>
    <w:rsid w:val="08B84ACC"/>
    <w:rsid w:val="091F509D"/>
    <w:rsid w:val="0A0420EC"/>
    <w:rsid w:val="0AE918B4"/>
    <w:rsid w:val="0C760F26"/>
    <w:rsid w:val="0D0E115E"/>
    <w:rsid w:val="0D8E04F1"/>
    <w:rsid w:val="0DAB0949"/>
    <w:rsid w:val="10523A58"/>
    <w:rsid w:val="11C24C0D"/>
    <w:rsid w:val="11C27ADB"/>
    <w:rsid w:val="139F6FB4"/>
    <w:rsid w:val="147D20BD"/>
    <w:rsid w:val="189866C8"/>
    <w:rsid w:val="192F2B88"/>
    <w:rsid w:val="1AE404DC"/>
    <w:rsid w:val="1BD6378F"/>
    <w:rsid w:val="1C224C26"/>
    <w:rsid w:val="1CDD0B4D"/>
    <w:rsid w:val="1D5801D4"/>
    <w:rsid w:val="1D6B43AB"/>
    <w:rsid w:val="1E8703FF"/>
    <w:rsid w:val="1FA946A3"/>
    <w:rsid w:val="1FC5352B"/>
    <w:rsid w:val="21C1459A"/>
    <w:rsid w:val="23E16FE3"/>
    <w:rsid w:val="25284930"/>
    <w:rsid w:val="25965FB8"/>
    <w:rsid w:val="26265313"/>
    <w:rsid w:val="27231678"/>
    <w:rsid w:val="280A1524"/>
    <w:rsid w:val="28904CC6"/>
    <w:rsid w:val="28DE1ED5"/>
    <w:rsid w:val="2A701253"/>
    <w:rsid w:val="2AA13935"/>
    <w:rsid w:val="2B142E8B"/>
    <w:rsid w:val="2E00516B"/>
    <w:rsid w:val="2E746177"/>
    <w:rsid w:val="2F6F1AD9"/>
    <w:rsid w:val="3062163D"/>
    <w:rsid w:val="30966D45"/>
    <w:rsid w:val="32422197"/>
    <w:rsid w:val="33745910"/>
    <w:rsid w:val="3DB42DAD"/>
    <w:rsid w:val="40155D85"/>
    <w:rsid w:val="40702BD5"/>
    <w:rsid w:val="431247FD"/>
    <w:rsid w:val="433E1A96"/>
    <w:rsid w:val="45BC7A00"/>
    <w:rsid w:val="45E06E35"/>
    <w:rsid w:val="45E93AD6"/>
    <w:rsid w:val="4642364B"/>
    <w:rsid w:val="46E464B1"/>
    <w:rsid w:val="47680E90"/>
    <w:rsid w:val="47F210A1"/>
    <w:rsid w:val="49ED5E14"/>
    <w:rsid w:val="4A4C6847"/>
    <w:rsid w:val="4D3B0DF4"/>
    <w:rsid w:val="4E6A7BE3"/>
    <w:rsid w:val="4FD01CC8"/>
    <w:rsid w:val="51D8186A"/>
    <w:rsid w:val="55762756"/>
    <w:rsid w:val="559B06A0"/>
    <w:rsid w:val="55C73B6D"/>
    <w:rsid w:val="57445A1A"/>
    <w:rsid w:val="57C32112"/>
    <w:rsid w:val="59681BF7"/>
    <w:rsid w:val="59EF227E"/>
    <w:rsid w:val="5A0E1D6B"/>
    <w:rsid w:val="5A420E34"/>
    <w:rsid w:val="5CE10F2A"/>
    <w:rsid w:val="5D301FF8"/>
    <w:rsid w:val="5E653F23"/>
    <w:rsid w:val="5F675754"/>
    <w:rsid w:val="607E5A53"/>
    <w:rsid w:val="616D55C9"/>
    <w:rsid w:val="6198016C"/>
    <w:rsid w:val="630A3604"/>
    <w:rsid w:val="630E2DDB"/>
    <w:rsid w:val="63D556A7"/>
    <w:rsid w:val="63E57025"/>
    <w:rsid w:val="63FF0976"/>
    <w:rsid w:val="655B398A"/>
    <w:rsid w:val="66C901C2"/>
    <w:rsid w:val="69765236"/>
    <w:rsid w:val="6A162576"/>
    <w:rsid w:val="6A615EE7"/>
    <w:rsid w:val="6A7817DB"/>
    <w:rsid w:val="6ADA35A3"/>
    <w:rsid w:val="6B012C10"/>
    <w:rsid w:val="6CEB733C"/>
    <w:rsid w:val="6EE64D53"/>
    <w:rsid w:val="6F762F7E"/>
    <w:rsid w:val="727A5D97"/>
    <w:rsid w:val="73D63E47"/>
    <w:rsid w:val="77B701AC"/>
    <w:rsid w:val="7EB937A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3">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index 1"/>
    <w:basedOn w:val="1"/>
    <w:next w:val="1"/>
    <w:qFormat/>
    <w:uiPriority w:val="0"/>
    <w:rPr>
      <w:szCs w:val="20"/>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Strong"/>
    <w:basedOn w:val="8"/>
    <w:qFormat/>
    <w:uiPriority w:val="22"/>
    <w:rPr>
      <w:b/>
      <w:bCs/>
    </w:rPr>
  </w:style>
  <w:style w:type="paragraph" w:customStyle="1" w:styleId="10">
    <w:name w:val="普通(网站) Char"/>
    <w:basedOn w:val="1"/>
    <w:qFormat/>
    <w:uiPriority w:val="0"/>
    <w:pPr>
      <w:widowControl w:val="0"/>
      <w:spacing w:before="100" w:beforeAutospacing="1" w:after="100" w:afterAutospacing="1"/>
    </w:pPr>
    <w:rPr>
      <w:rFonts w:eastAsiaTheme="minorEastAsia"/>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5.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Props1.xml><?xml version="1.0" encoding="utf-8"?>
<ds:datastoreItem xmlns:ds="http://schemas.openxmlformats.org/officeDocument/2006/customXml" ds:itemID="{bf097a8e-dcf9-4900-b452-f3e4245697aa}">
  <ds:schemaRefs/>
</ds:datastoreItem>
</file>

<file path=customXml/itemProps2.xml><?xml version="1.0" encoding="utf-8"?>
<ds:datastoreItem xmlns:ds="http://schemas.openxmlformats.org/officeDocument/2006/customXml" ds:itemID="{be523602-9dd0-4729-81b9-1072d7623bcf}">
  <ds:schemaRefs/>
</ds:datastoreItem>
</file>

<file path=customXml/itemProps3.xml><?xml version="1.0" encoding="utf-8"?>
<ds:datastoreItem xmlns:ds="http://schemas.openxmlformats.org/officeDocument/2006/customXml" ds:itemID="{1cde779f-2c2f-4042-9dad-8830f7a8493a}">
  <ds:schemaRefs/>
</ds:datastoreItem>
</file>

<file path=customXml/itemProps4.xml><?xml version="1.0" encoding="utf-8"?>
<ds:datastoreItem xmlns:ds="http://schemas.openxmlformats.org/officeDocument/2006/customXml" ds:itemID="{e8522f36-1559-4361-abf0-a85f982ac622}">
  <ds:schemaRefs/>
</ds:datastoreItem>
</file>

<file path=customXml/itemProps5.xml><?xml version="1.0" encoding="utf-8"?>
<ds:datastoreItem xmlns:ds="http://schemas.openxmlformats.org/officeDocument/2006/customXml" ds:itemID="{a8d4d46f-15d0-40dc-8125-bd06526d2fa1}">
  <ds:schemaRefs/>
</ds:datastoreItem>
</file>

<file path=customXml/itemProps6.xml><?xml version="1.0" encoding="utf-8"?>
<ds:datastoreItem xmlns:ds="http://schemas.openxmlformats.org/officeDocument/2006/customXml" ds:itemID="{0703fb1e-cd1d-429d-88b9-8f112e9b3a89}">
  <ds:schemaRefs/>
</ds:datastoreItem>
</file>

<file path=customXml/itemProps7.xml><?xml version="1.0" encoding="utf-8"?>
<ds:datastoreItem xmlns:ds="http://schemas.openxmlformats.org/officeDocument/2006/customXml" ds:itemID="{67106978-1714-4930-a4b9-493e5649edbc}">
  <ds:schemaRefs/>
</ds:datastoreItem>
</file>

<file path=customXml/itemProps8.xml><?xml version="1.0" encoding="utf-8"?>
<ds:datastoreItem xmlns:ds="http://schemas.openxmlformats.org/officeDocument/2006/customXml" ds:itemID="{9ba6c45e-2272-4b3a-99a5-dff2268df497}">
  <ds:schemaRefs/>
</ds:datastoreItem>
</file>

<file path=customXml/itemProps9.xml><?xml version="1.0" encoding="utf-8"?>
<ds:datastoreItem xmlns:ds="http://schemas.openxmlformats.org/officeDocument/2006/customXml" ds:itemID="{001f75dc-e5c4-4775-b18a-89375aa7e4e2}">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5824</Words>
  <Characters>6393</Characters>
  <Lines>0</Lines>
  <Paragraphs>0</Paragraphs>
  <TotalTime>0</TotalTime>
  <ScaleCrop>false</ScaleCrop>
  <LinksUpToDate>false</LinksUpToDate>
  <CharactersWithSpaces>6400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王伟亮</cp:lastModifiedBy>
  <dcterms:modified xsi:type="dcterms:W3CDTF">2023-08-19T09:02:58Z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D7A762F0C67E4860895CDACD1AC0FC8A_12</vt:lpwstr>
  </property>
</Properties>
</file>