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4"/>
          <w:sz w:val="36"/>
          <w:szCs w:val="36"/>
        </w:rPr>
      </w:pPr>
    </w:p>
    <w:p>
      <w:pPr>
        <w:rPr>
          <w:b/>
          <w:bCs/>
          <w:sz w:val="32"/>
          <w:szCs w:val="32"/>
        </w:rPr>
      </w:pPr>
      <w:r>
        <w:rPr>
          <w:b/>
          <w:bCs/>
          <w:sz w:val="32"/>
          <w:szCs w:val="32"/>
        </w:rPr>
        <w:t>202</w:t>
      </w:r>
      <w:r>
        <w:rPr>
          <w:rFonts w:hint="eastAsia"/>
          <w:b/>
          <w:bCs/>
          <w:sz w:val="32"/>
          <w:szCs w:val="32"/>
        </w:rPr>
        <w:t>2</w:t>
      </w:r>
      <w:r>
        <w:rPr>
          <w:b/>
          <w:bCs/>
          <w:sz w:val="32"/>
          <w:szCs w:val="32"/>
        </w:rPr>
        <w:t>年度省级预算执行情况绩效单位自评报表目录</w:t>
      </w:r>
    </w:p>
    <w:p>
      <w:pPr>
        <w:ind w:firstLine="1201" w:firstLineChars="500"/>
        <w:rPr>
          <w:b/>
          <w:bCs/>
          <w:sz w:val="24"/>
          <w:szCs w:val="24"/>
        </w:rPr>
      </w:pPr>
      <w:r>
        <w:rPr>
          <w:rFonts w:hint="eastAsia"/>
          <w:b/>
          <w:bCs/>
          <w:sz w:val="24"/>
          <w:szCs w:val="24"/>
        </w:rPr>
        <w:t>一、部门自评报告</w:t>
      </w:r>
    </w:p>
    <w:p>
      <w:pPr>
        <w:ind w:firstLine="1201" w:firstLineChars="500"/>
        <w:rPr>
          <w:b/>
          <w:bCs/>
          <w:sz w:val="24"/>
          <w:szCs w:val="24"/>
        </w:rPr>
      </w:pPr>
      <w:r>
        <w:rPr>
          <w:rFonts w:hint="eastAsia"/>
          <w:b/>
          <w:bCs/>
          <w:sz w:val="24"/>
          <w:szCs w:val="24"/>
        </w:rPr>
        <w:t>二、部门整体支出自评表</w:t>
      </w:r>
    </w:p>
    <w:p>
      <w:pPr>
        <w:ind w:firstLine="1201" w:firstLineChars="500"/>
        <w:rPr>
          <w:b/>
          <w:bCs/>
          <w:sz w:val="24"/>
          <w:szCs w:val="24"/>
        </w:rPr>
      </w:pPr>
      <w:r>
        <w:rPr>
          <w:rFonts w:hint="eastAsia"/>
          <w:b/>
          <w:bCs/>
          <w:sz w:val="24"/>
          <w:szCs w:val="24"/>
        </w:rPr>
        <w:t>三、部门预算项目支出绩效自评结果汇总表</w:t>
      </w:r>
    </w:p>
    <w:p>
      <w:pPr>
        <w:ind w:firstLine="1680" w:firstLineChars="700"/>
        <w:rPr>
          <w:sz w:val="24"/>
          <w:szCs w:val="24"/>
        </w:rPr>
      </w:pPr>
      <w:r>
        <w:rPr>
          <w:sz w:val="24"/>
          <w:szCs w:val="24"/>
        </w:rPr>
        <w:t>1.</w:t>
      </w:r>
      <w:r>
        <w:rPr>
          <w:rFonts w:hint="eastAsia"/>
        </w:rPr>
        <w:t xml:space="preserve"> </w:t>
      </w:r>
      <w:r>
        <w:rPr>
          <w:rFonts w:hint="eastAsia"/>
          <w:sz w:val="24"/>
          <w:szCs w:val="24"/>
        </w:rPr>
        <w:t>中央政法转移支付资金</w:t>
      </w:r>
      <w:r>
        <w:rPr>
          <w:sz w:val="24"/>
          <w:szCs w:val="24"/>
        </w:rPr>
        <w:t>项目绩效自评表</w:t>
      </w:r>
    </w:p>
    <w:p>
      <w:pPr>
        <w:ind w:firstLine="1680" w:firstLineChars="700"/>
        <w:rPr>
          <w:sz w:val="24"/>
          <w:szCs w:val="24"/>
        </w:rPr>
      </w:pPr>
      <w:r>
        <w:rPr>
          <w:sz w:val="24"/>
          <w:szCs w:val="24"/>
        </w:rPr>
        <w:t>2.</w:t>
      </w:r>
      <w:r>
        <w:rPr>
          <w:rFonts w:hint="eastAsia"/>
        </w:rPr>
        <w:t xml:space="preserve"> </w:t>
      </w:r>
      <w:r>
        <w:rPr>
          <w:rFonts w:hint="eastAsia"/>
          <w:sz w:val="24"/>
          <w:szCs w:val="24"/>
        </w:rPr>
        <w:t>业务费</w:t>
      </w:r>
      <w:r>
        <w:rPr>
          <w:sz w:val="24"/>
          <w:szCs w:val="24"/>
        </w:rPr>
        <w:t>项目绩效自评表</w:t>
      </w:r>
    </w:p>
    <w:p>
      <w:pPr>
        <w:pStyle w:val="10"/>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spacing w:val="14"/>
          <w:sz w:val="36"/>
          <w:szCs w:val="36"/>
        </w:rPr>
      </w:pPr>
      <w:r>
        <w:rPr>
          <w:rFonts w:hint="eastAsia"/>
          <w:spacing w:val="14"/>
          <w:sz w:val="36"/>
          <w:szCs w:val="36"/>
        </w:rPr>
        <w:t>2022年度嘉峪关市城区人民法院</w:t>
      </w:r>
    </w:p>
    <w:p>
      <w:pPr>
        <w:jc w:val="center"/>
        <w:rPr>
          <w:spacing w:val="14"/>
          <w:sz w:val="36"/>
          <w:szCs w:val="36"/>
        </w:rPr>
      </w:pPr>
      <w:r>
        <w:rPr>
          <w:rFonts w:hint="eastAsia"/>
          <w:spacing w:val="14"/>
          <w:sz w:val="36"/>
          <w:szCs w:val="36"/>
        </w:rPr>
        <w:t>部门预算执行情况绩效自评报告</w:t>
      </w:r>
    </w:p>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rPr>
          <w:spacing w:val="24"/>
          <w:sz w:val="32"/>
          <w:szCs w:val="32"/>
        </w:rPr>
      </w:pPr>
    </w:p>
    <w:p>
      <w:pPr>
        <w:tabs>
          <w:tab w:val="left" w:pos="495"/>
        </w:tabs>
        <w:jc w:val="center"/>
        <w:rPr>
          <w:spacing w:val="24"/>
          <w:sz w:val="32"/>
          <w:szCs w:val="32"/>
        </w:rPr>
      </w:pPr>
    </w:p>
    <w:p>
      <w:pPr>
        <w:tabs>
          <w:tab w:val="left" w:pos="495"/>
        </w:tabs>
        <w:jc w:val="center"/>
        <w:rPr>
          <w:sz w:val="32"/>
          <w:szCs w:val="32"/>
        </w:rPr>
      </w:pPr>
      <w:r>
        <w:rPr>
          <w:rFonts w:hint="eastAsia"/>
          <w:spacing w:val="24"/>
          <w:sz w:val="32"/>
          <w:szCs w:val="32"/>
        </w:rPr>
        <w:t>嘉峪关市城区人民法院</w:t>
      </w:r>
    </w:p>
    <w:p>
      <w:pPr>
        <w:tabs>
          <w:tab w:val="left" w:pos="495"/>
        </w:tabs>
        <w:ind w:firstLine="2880" w:firstLineChars="900"/>
        <w:rPr>
          <w:sz w:val="32"/>
          <w:szCs w:val="32"/>
        </w:rPr>
      </w:pPr>
      <w:r>
        <w:rPr>
          <w:rFonts w:hint="eastAsia"/>
          <w:sz w:val="32"/>
          <w:szCs w:val="32"/>
        </w:rPr>
        <w:t>2</w:t>
      </w:r>
      <w:r>
        <w:rPr>
          <w:sz w:val="32"/>
          <w:szCs w:val="32"/>
        </w:rPr>
        <w:t>02</w:t>
      </w:r>
      <w:r>
        <w:rPr>
          <w:rFonts w:hint="eastAsia"/>
          <w:sz w:val="32"/>
          <w:szCs w:val="32"/>
        </w:rPr>
        <w:t>3年2月22日</w:t>
      </w:r>
    </w:p>
    <w:p>
      <w:pPr>
        <w:spacing w:line="640" w:lineRule="exact"/>
        <w:jc w:val="center"/>
        <w:rPr>
          <w:b/>
          <w:bCs/>
          <w:sz w:val="28"/>
          <w:szCs w:val="28"/>
        </w:rPr>
      </w:pPr>
    </w:p>
    <w:p>
      <w:pPr>
        <w:pStyle w:val="10"/>
      </w:pPr>
      <w:r>
        <w:br w:type="page"/>
      </w:r>
    </w:p>
    <w:p>
      <w:pPr>
        <w:spacing w:line="640" w:lineRule="exact"/>
        <w:jc w:val="center"/>
        <w:rPr>
          <w:b/>
          <w:bCs/>
          <w:sz w:val="28"/>
          <w:szCs w:val="28"/>
        </w:rPr>
      </w:pPr>
      <w:r>
        <w:rPr>
          <w:rFonts w:hint="eastAsia"/>
          <w:b/>
          <w:bCs/>
          <w:sz w:val="28"/>
          <w:szCs w:val="28"/>
        </w:rPr>
        <w:t xml:space="preserve">目 </w:t>
      </w:r>
      <w:r>
        <w:rPr>
          <w:b/>
          <w:bCs/>
          <w:sz w:val="28"/>
          <w:szCs w:val="28"/>
        </w:rPr>
        <w:t xml:space="preserve">   </w:t>
      </w:r>
      <w:r>
        <w:rPr>
          <w:rFonts w:hint="eastAsia"/>
          <w:b/>
          <w:bCs/>
          <w:sz w:val="28"/>
          <w:szCs w:val="28"/>
        </w:rPr>
        <w:t>录</w:t>
      </w:r>
    </w:p>
    <w:p>
      <w:pPr>
        <w:spacing w:line="640" w:lineRule="exact"/>
        <w:rPr>
          <w:b/>
          <w:bCs/>
          <w:sz w:val="24"/>
          <w:szCs w:val="24"/>
        </w:rPr>
      </w:pPr>
      <w:r>
        <w:rPr>
          <w:rFonts w:hint="eastAsia"/>
          <w:b/>
          <w:bCs/>
          <w:sz w:val="24"/>
          <w:szCs w:val="24"/>
        </w:rPr>
        <w:t>一、基本情况</w:t>
      </w:r>
      <w:r>
        <w:rPr>
          <w:b/>
          <w:bCs/>
          <w:sz w:val="24"/>
          <w:szCs w:val="24"/>
        </w:rPr>
        <w:t>………………………………………………………………………</w:t>
      </w:r>
      <w:r>
        <w:rPr>
          <w:rFonts w:hint="eastAsia"/>
          <w:b/>
          <w:bCs/>
          <w:sz w:val="24"/>
          <w:szCs w:val="24"/>
        </w:rPr>
        <w:t xml:space="preserve">.. </w:t>
      </w:r>
      <w:r>
        <w:rPr>
          <w:b/>
          <w:bCs/>
          <w:sz w:val="24"/>
          <w:szCs w:val="24"/>
        </w:rPr>
        <w:t>1</w:t>
      </w:r>
    </w:p>
    <w:p>
      <w:pPr>
        <w:spacing w:line="640" w:lineRule="exact"/>
        <w:ind w:left="420"/>
        <w:rPr>
          <w:sz w:val="24"/>
          <w:szCs w:val="24"/>
        </w:rPr>
      </w:pPr>
      <w:r>
        <w:rPr>
          <w:rFonts w:hint="eastAsia"/>
          <w:sz w:val="24"/>
          <w:szCs w:val="24"/>
        </w:rPr>
        <w:t>（一）部门主要职能</w:t>
      </w:r>
      <w:r>
        <w:rPr>
          <w:sz w:val="24"/>
          <w:szCs w:val="24"/>
        </w:rPr>
        <w:t>…………</w:t>
      </w:r>
      <w:r>
        <w:rPr>
          <w:rFonts w:hint="eastAsia"/>
          <w:sz w:val="24"/>
          <w:szCs w:val="24"/>
        </w:rPr>
        <w:t>................................</w:t>
      </w:r>
      <w:r>
        <w:rPr>
          <w:sz w:val="24"/>
          <w:szCs w:val="24"/>
        </w:rPr>
        <w:t>……………</w:t>
      </w:r>
      <w:r>
        <w:rPr>
          <w:rFonts w:hint="eastAsia"/>
          <w:sz w:val="24"/>
          <w:szCs w:val="24"/>
        </w:rPr>
        <w:t>...................</w:t>
      </w:r>
      <w:r>
        <w:rPr>
          <w:sz w:val="24"/>
          <w:szCs w:val="24"/>
        </w:rPr>
        <w:t>1</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（二）内设机构及所属单位概括</w:t>
      </w:r>
      <w:r>
        <w:rPr>
          <w:sz w:val="24"/>
          <w:szCs w:val="24"/>
        </w:rPr>
        <w:t>………………</w:t>
      </w:r>
      <w:r>
        <w:rPr>
          <w:rFonts w:hint="eastAsia"/>
          <w:sz w:val="24"/>
          <w:szCs w:val="24"/>
        </w:rPr>
        <w:t>...</w:t>
      </w:r>
      <w:r>
        <w:rPr>
          <w:sz w:val="24"/>
          <w:szCs w:val="24"/>
        </w:rPr>
        <w:t>………………………..</w:t>
      </w:r>
      <w:r>
        <w:rPr>
          <w:rFonts w:hint="eastAsia"/>
          <w:sz w:val="24"/>
          <w:szCs w:val="24"/>
        </w:rPr>
        <w:t xml:space="preserve">.......1              </w:t>
      </w:r>
    </w:p>
    <w:p>
      <w:pPr>
        <w:spacing w:line="640" w:lineRule="exact"/>
        <w:rPr>
          <w:b/>
          <w:bCs/>
          <w:sz w:val="24"/>
          <w:szCs w:val="24"/>
        </w:rPr>
      </w:pPr>
      <w:r>
        <w:rPr>
          <w:rFonts w:hint="eastAsia"/>
          <w:b/>
          <w:bCs/>
          <w:sz w:val="24"/>
          <w:szCs w:val="24"/>
        </w:rPr>
        <w:t>二、绩效自评工作组织开展情况</w:t>
      </w:r>
      <w:r>
        <w:rPr>
          <w:b/>
          <w:bCs/>
          <w:sz w:val="24"/>
          <w:szCs w:val="24"/>
        </w:rPr>
        <w:t>…………………</w:t>
      </w:r>
      <w:r>
        <w:rPr>
          <w:rFonts w:hint="eastAsia"/>
          <w:b/>
          <w:bCs/>
          <w:sz w:val="24"/>
          <w:szCs w:val="24"/>
        </w:rPr>
        <w:t>..</w:t>
      </w:r>
      <w:r>
        <w:rPr>
          <w:b/>
          <w:bCs/>
          <w:sz w:val="24"/>
          <w:szCs w:val="24"/>
        </w:rPr>
        <w:t>…………………………...</w:t>
      </w:r>
      <w:r>
        <w:rPr>
          <w:rFonts w:hint="eastAsia"/>
          <w:b/>
          <w:bCs/>
          <w:sz w:val="24"/>
          <w:szCs w:val="24"/>
        </w:rPr>
        <w:t>.......2</w:t>
      </w:r>
    </w:p>
    <w:p>
      <w:pPr>
        <w:spacing w:line="640" w:lineRule="exact"/>
        <w:ind w:firstLine="480"/>
        <w:rPr>
          <w:sz w:val="24"/>
          <w:szCs w:val="24"/>
        </w:rPr>
      </w:pPr>
      <w:r>
        <w:rPr>
          <w:rFonts w:hint="eastAsia"/>
          <w:sz w:val="24"/>
          <w:szCs w:val="24"/>
        </w:rPr>
        <w:t>（一）绩效自评工作组织管理情况</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 2</w:t>
      </w:r>
    </w:p>
    <w:p>
      <w:pPr>
        <w:spacing w:line="640" w:lineRule="exact"/>
        <w:rPr>
          <w:b/>
          <w:bCs/>
          <w:sz w:val="24"/>
          <w:szCs w:val="24"/>
        </w:rPr>
      </w:pPr>
      <w:r>
        <w:rPr>
          <w:rFonts w:hint="eastAsia"/>
          <w:b/>
          <w:bCs/>
          <w:sz w:val="24"/>
          <w:szCs w:val="24"/>
        </w:rPr>
        <w:t>三、部门整体支出绩效自评情况分析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.2</w:t>
      </w:r>
    </w:p>
    <w:p>
      <w:pPr>
        <w:spacing w:line="640" w:lineRule="exact"/>
        <w:ind w:firstLine="480"/>
        <w:rPr>
          <w:sz w:val="24"/>
          <w:szCs w:val="24"/>
        </w:rPr>
      </w:pPr>
      <w:r>
        <w:rPr>
          <w:rFonts w:hint="eastAsia"/>
          <w:sz w:val="24"/>
          <w:szCs w:val="24"/>
        </w:rPr>
        <w:t>（一）部门决算情况</w:t>
      </w:r>
      <w:r>
        <w:rPr>
          <w:sz w:val="24"/>
          <w:szCs w:val="24"/>
        </w:rPr>
        <w:t>……………………………</w:t>
      </w:r>
      <w:r>
        <w:rPr>
          <w:rFonts w:hint="eastAsia"/>
          <w:sz w:val="24"/>
          <w:szCs w:val="24"/>
        </w:rPr>
        <w:t>.........</w:t>
      </w:r>
      <w:r>
        <w:rPr>
          <w:sz w:val="24"/>
          <w:szCs w:val="24"/>
        </w:rPr>
        <w:t>…………………………</w:t>
      </w:r>
      <w:r>
        <w:rPr>
          <w:rFonts w:hint="eastAsia"/>
          <w:sz w:val="24"/>
          <w:szCs w:val="24"/>
        </w:rPr>
        <w:t>3</w:t>
      </w:r>
    </w:p>
    <w:p>
      <w:pPr>
        <w:spacing w:line="640" w:lineRule="exact"/>
        <w:ind w:firstLine="480"/>
        <w:rPr>
          <w:sz w:val="24"/>
          <w:szCs w:val="24"/>
        </w:rPr>
      </w:pPr>
      <w:r>
        <w:rPr>
          <w:rFonts w:hint="eastAsia"/>
          <w:sz w:val="24"/>
          <w:szCs w:val="24"/>
        </w:rPr>
        <w:t>（二）总体绩效目标完成情况分析</w:t>
      </w:r>
      <w:r>
        <w:rPr>
          <w:sz w:val="24"/>
          <w:szCs w:val="24"/>
        </w:rPr>
        <w:t>…………………………</w:t>
      </w:r>
      <w:r>
        <w:rPr>
          <w:rFonts w:hint="eastAsia"/>
          <w:sz w:val="24"/>
          <w:szCs w:val="24"/>
        </w:rPr>
        <w:t>.</w:t>
      </w:r>
      <w:r>
        <w:rPr>
          <w:sz w:val="24"/>
          <w:szCs w:val="24"/>
        </w:rPr>
        <w:t>……………</w:t>
      </w:r>
      <w:r>
        <w:rPr>
          <w:rFonts w:hint="eastAsia"/>
          <w:sz w:val="24"/>
          <w:szCs w:val="24"/>
        </w:rPr>
        <w:t>..</w:t>
      </w:r>
      <w:r>
        <w:rPr>
          <w:sz w:val="24"/>
          <w:szCs w:val="24"/>
        </w:rPr>
        <w:t>.3</w:t>
      </w:r>
    </w:p>
    <w:p>
      <w:pPr>
        <w:spacing w:line="640" w:lineRule="exact"/>
        <w:ind w:firstLine="480"/>
        <w:rPr>
          <w:sz w:val="24"/>
          <w:szCs w:val="24"/>
        </w:rPr>
      </w:pPr>
      <w:r>
        <w:rPr>
          <w:rFonts w:hint="eastAsia"/>
          <w:sz w:val="24"/>
          <w:szCs w:val="24"/>
        </w:rPr>
        <w:t>（三）各项指标完成情况分析</w:t>
      </w:r>
      <w:r>
        <w:rPr>
          <w:sz w:val="24"/>
          <w:szCs w:val="24"/>
        </w:rPr>
        <w:t>………………………………………………</w:t>
      </w:r>
      <w:r>
        <w:rPr>
          <w:rFonts w:hint="eastAsia"/>
          <w:sz w:val="24"/>
          <w:szCs w:val="24"/>
        </w:rPr>
        <w:t>..4</w:t>
      </w:r>
    </w:p>
    <w:p>
      <w:pPr>
        <w:spacing w:line="640" w:lineRule="exact"/>
        <w:ind w:firstLine="480"/>
        <w:rPr>
          <w:sz w:val="24"/>
          <w:szCs w:val="24"/>
        </w:rPr>
      </w:pPr>
      <w:r>
        <w:rPr>
          <w:rFonts w:hint="eastAsia"/>
          <w:sz w:val="24"/>
          <w:szCs w:val="24"/>
        </w:rPr>
        <w:t>（四）偏离绩效目标的原因及下一步改进措施</w:t>
      </w:r>
      <w:r>
        <w:rPr>
          <w:sz w:val="24"/>
          <w:szCs w:val="24"/>
        </w:rPr>
        <w:t>…………</w:t>
      </w:r>
      <w:r>
        <w:rPr>
          <w:rFonts w:hint="eastAsia"/>
          <w:sz w:val="24"/>
          <w:szCs w:val="24"/>
        </w:rPr>
        <w:t>..........</w:t>
      </w:r>
      <w:r>
        <w:rPr>
          <w:sz w:val="24"/>
          <w:szCs w:val="24"/>
        </w:rPr>
        <w:t>…………</w:t>
      </w:r>
      <w:r>
        <w:rPr>
          <w:rFonts w:hint="eastAsia"/>
          <w:sz w:val="24"/>
          <w:szCs w:val="24"/>
        </w:rPr>
        <w:t>..11</w:t>
      </w:r>
    </w:p>
    <w:p>
      <w:pPr>
        <w:spacing w:line="640" w:lineRule="exact"/>
        <w:rPr>
          <w:b/>
          <w:bCs/>
          <w:sz w:val="24"/>
          <w:szCs w:val="24"/>
        </w:rPr>
      </w:pPr>
      <w:r>
        <w:rPr>
          <w:rFonts w:hint="eastAsia"/>
          <w:b/>
          <w:bCs/>
          <w:sz w:val="24"/>
          <w:szCs w:val="24"/>
        </w:rPr>
        <w:t>四、部门预算项目支出绩效自评情况分析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12</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（一）项目</w:t>
      </w:r>
      <w:r>
        <w:rPr>
          <w:sz w:val="24"/>
          <w:szCs w:val="24"/>
        </w:rPr>
        <w:t>1</w:t>
      </w:r>
      <w:r>
        <w:rPr>
          <w:rFonts w:hint="eastAsia"/>
          <w:sz w:val="24"/>
          <w:szCs w:val="24"/>
        </w:rPr>
        <w:t xml:space="preserve">中央政法转移支付资金 </w:t>
      </w:r>
      <w:r>
        <w:rPr>
          <w:sz w:val="24"/>
          <w:szCs w:val="24"/>
        </w:rPr>
        <w:t>………………</w:t>
      </w:r>
      <w:r>
        <w:rPr>
          <w:rFonts w:hint="eastAsia"/>
          <w:sz w:val="24"/>
          <w:szCs w:val="24"/>
        </w:rPr>
        <w:t>..</w:t>
      </w:r>
      <w:r>
        <w:rPr>
          <w:sz w:val="24"/>
          <w:szCs w:val="24"/>
        </w:rPr>
        <w:t>……………………</w:t>
      </w:r>
      <w:r>
        <w:rPr>
          <w:rFonts w:hint="eastAsia"/>
          <w:sz w:val="24"/>
          <w:szCs w:val="24"/>
        </w:rPr>
        <w:t>.</w:t>
      </w:r>
      <w:r>
        <w:rPr>
          <w:sz w:val="24"/>
          <w:szCs w:val="24"/>
        </w:rPr>
        <w:t>1</w:t>
      </w:r>
      <w:r>
        <w:rPr>
          <w:rFonts w:hint="eastAsia"/>
          <w:sz w:val="24"/>
          <w:szCs w:val="24"/>
        </w:rPr>
        <w:t>2</w:t>
      </w:r>
    </w:p>
    <w:p>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（二）项目</w:t>
      </w:r>
      <w:r>
        <w:rPr>
          <w:sz w:val="24"/>
          <w:szCs w:val="24"/>
        </w:rPr>
        <w:t>2</w:t>
      </w:r>
      <w:r>
        <w:rPr>
          <w:rFonts w:hint="eastAsia"/>
          <w:sz w:val="24"/>
          <w:szCs w:val="24"/>
        </w:rPr>
        <w:t>业务费</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……17</w:t>
      </w:r>
      <w:r>
        <w:rPr>
          <w:rFonts w:hint="eastAsia"/>
          <w:sz w:val="24"/>
          <w:szCs w:val="24"/>
        </w:rPr>
        <w:t xml:space="preserve">     </w:t>
      </w:r>
    </w:p>
    <w:p>
      <w:pPr>
        <w:spacing w:line="640" w:lineRule="exact"/>
        <w:rPr>
          <w:b/>
          <w:bCs/>
          <w:sz w:val="24"/>
          <w:szCs w:val="24"/>
        </w:rPr>
      </w:pPr>
      <w:r>
        <w:rPr>
          <w:rFonts w:hint="eastAsia"/>
          <w:b/>
          <w:bCs/>
          <w:sz w:val="24"/>
          <w:szCs w:val="24"/>
        </w:rPr>
        <w:t>五、部门管理的转移支付绩效自评情况分析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b/>
          <w:bCs/>
          <w:sz w:val="24"/>
          <w:szCs w:val="24"/>
        </w:rPr>
      </w:pPr>
      <w:r>
        <w:rPr>
          <w:rFonts w:hint="eastAsia"/>
          <w:b/>
          <w:bCs/>
          <w:sz w:val="24"/>
          <w:szCs w:val="24"/>
        </w:rPr>
        <w:t>六、绩效自评结果拟应用和公开情况</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b/>
          <w:bCs/>
          <w:sz w:val="24"/>
          <w:szCs w:val="24"/>
        </w:rPr>
      </w:pPr>
      <w:r>
        <w:rPr>
          <w:rFonts w:hint="eastAsia"/>
          <w:b/>
          <w:bCs/>
          <w:sz w:val="24"/>
          <w:szCs w:val="24"/>
        </w:rPr>
        <w:t>七、其他需要说明的问题</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30</w:t>
      </w:r>
    </w:p>
    <w:p>
      <w:pPr>
        <w:spacing w:line="640" w:lineRule="exact"/>
        <w:rPr>
          <w:sz w:val="24"/>
          <w:szCs w:val="24"/>
        </w:rPr>
        <w:sectPr>
          <w:footerReference r:id="rId3" w:type="default"/>
          <w:pgSz w:w="11906" w:h="16838"/>
          <w:pgMar w:top="1440" w:right="1800" w:bottom="1440" w:left="1800" w:header="851" w:footer="992" w:gutter="0"/>
          <w:pgNumType w:start="1"/>
          <w:cols w:space="425" w:num="1"/>
          <w:titlePg/>
          <w:docGrid w:type="lines" w:linePitch="312" w:charSpace="0"/>
        </w:sectPr>
      </w:pPr>
    </w:p>
    <w:p>
      <w:pPr>
        <w:spacing w:line="360" w:lineRule="auto"/>
        <w:rPr>
          <w:sz w:val="24"/>
          <w:szCs w:val="24"/>
        </w:rPr>
      </w:pPr>
    </w:p>
    <w:p>
      <w:pPr>
        <w:pStyle w:val="10"/>
      </w:pPr>
    </w:p>
    <w:p>
      <w:pPr>
        <w:ind w:firstLine="480" w:firstLineChars="200"/>
        <w:rPr>
          <w:b/>
          <w:bCs/>
          <w:sz w:val="24"/>
          <w:szCs w:val="24"/>
        </w:rPr>
      </w:pPr>
      <w:r>
        <w:rPr>
          <w:rFonts w:hint="eastAsia"/>
          <w:b/>
          <w:bCs/>
          <w:sz w:val="24"/>
          <w:szCs w:val="24"/>
        </w:rPr>
        <w:t>一、基本情况</w:t>
      </w:r>
    </w:p>
    <w:p>
      <w:pPr>
        <w:ind w:firstLine="480" w:firstLineChars="200"/>
        <w:rPr>
          <w:b/>
          <w:bCs/>
          <w:sz w:val="24"/>
          <w:szCs w:val="24"/>
        </w:rPr>
      </w:pPr>
      <w:r>
        <w:rPr>
          <w:rFonts w:hint="eastAsia"/>
          <w:b/>
          <w:bCs/>
          <w:sz w:val="24"/>
          <w:szCs w:val="24"/>
        </w:rPr>
        <w:t>（一）部门主要职能</w:t>
      </w:r>
    </w:p>
    <w:p>
      <w:pPr>
        <w:widowControl/>
        <w:autoSpaceDE w:val="0"/>
        <w:spacing w:line="560" w:lineRule="exact"/>
        <w:ind w:firstLine="600" w:firstLineChars="200"/>
        <w:rPr>
          <w:rFonts w:ascii="仿宋_GB2312" w:hAnsi="宋体" w:eastAsia="仿宋_GB2312" w:cs="仿宋_GB2312"/>
          <w:kern w:val="0"/>
          <w:sz w:val="30"/>
          <w:szCs w:val="30"/>
        </w:rPr>
      </w:pPr>
      <w:r>
        <w:rPr>
          <w:rFonts w:hint="eastAsia" w:ascii="仿宋" w:hAnsi="仿宋" w:eastAsia="仿宋" w:cs="仿宋"/>
          <w:kern w:val="0"/>
          <w:sz w:val="30"/>
          <w:szCs w:val="30"/>
        </w:rPr>
        <w:t>（1）依法审理法律规定有基层人民法院管辖、中级人民法院指定管辖或者认</w:t>
      </w:r>
      <w:r>
        <w:rPr>
          <w:rFonts w:ascii="仿宋_GB2312" w:hAnsi="宋体" w:eastAsia="仿宋_GB2312" w:cs="仿宋_GB2312"/>
          <w:kern w:val="0"/>
          <w:sz w:val="30"/>
          <w:szCs w:val="30"/>
        </w:rPr>
        <w:t>为应当由本院审理的刑事、民事、商事、行政等一审案件。</w:t>
      </w:r>
    </w:p>
    <w:p>
      <w:pPr>
        <w:widowControl/>
        <w:autoSpaceDE w:val="0"/>
        <w:spacing w:line="560" w:lineRule="exact"/>
        <w:ind w:firstLine="600" w:firstLineChars="200"/>
        <w:rPr>
          <w:rFonts w:ascii="仿宋_GB2312" w:hAnsi="宋体" w:eastAsia="仿宋_GB2312" w:cs="仿宋_GB2312"/>
          <w:kern w:val="0"/>
          <w:sz w:val="30"/>
          <w:szCs w:val="30"/>
        </w:rPr>
      </w:pPr>
      <w:r>
        <w:rPr>
          <w:rFonts w:ascii="仿宋_GB2312" w:hAnsi="宋体" w:eastAsia="仿宋_GB2312" w:cs="仿宋_GB2312"/>
          <w:kern w:val="0"/>
          <w:sz w:val="30"/>
          <w:szCs w:val="30"/>
        </w:rPr>
        <w:t>（2）依法审理中级人民法院指定再审的案件和人民检察院抗诉的案件，复查对本院发生法律效力的裁决、裁定的申诉案件和审判提起的再审的案件。</w:t>
      </w:r>
    </w:p>
    <w:p>
      <w:pPr>
        <w:widowControl/>
        <w:autoSpaceDE w:val="0"/>
        <w:spacing w:line="560" w:lineRule="exact"/>
        <w:ind w:firstLine="600" w:firstLineChars="200"/>
        <w:rPr>
          <w:rFonts w:ascii="仿宋_GB2312" w:hAnsi="宋体" w:eastAsia="仿宋_GB2312" w:cs="仿宋_GB2312"/>
          <w:kern w:val="0"/>
          <w:sz w:val="30"/>
          <w:szCs w:val="30"/>
        </w:rPr>
      </w:pPr>
      <w:r>
        <w:rPr>
          <w:rFonts w:ascii="仿宋_GB2312" w:hAnsi="宋体" w:eastAsia="仿宋_GB2312" w:cs="仿宋_GB2312"/>
          <w:kern w:val="0"/>
          <w:sz w:val="30"/>
          <w:szCs w:val="30"/>
        </w:rPr>
        <w:t>（3）依法行使执行权和司法决定权。</w:t>
      </w:r>
    </w:p>
    <w:p>
      <w:pPr>
        <w:widowControl/>
        <w:autoSpaceDE w:val="0"/>
        <w:spacing w:line="560" w:lineRule="exact"/>
        <w:ind w:firstLine="600" w:firstLineChars="200"/>
        <w:rPr>
          <w:rFonts w:ascii="仿宋_GB2312" w:hAnsi="宋体" w:eastAsia="仿宋_GB2312" w:cs="仿宋_GB2312"/>
          <w:kern w:val="0"/>
          <w:sz w:val="30"/>
          <w:szCs w:val="30"/>
        </w:rPr>
      </w:pPr>
      <w:r>
        <w:rPr>
          <w:rFonts w:ascii="仿宋_GB2312" w:hAnsi="宋体" w:eastAsia="仿宋_GB2312" w:cs="仿宋_GB2312"/>
          <w:kern w:val="0"/>
          <w:sz w:val="30"/>
          <w:szCs w:val="30"/>
        </w:rPr>
        <w:t>（4）对法律规定、规章等草案提出意见，对案件审理中发生的问题提出司法建议。</w:t>
      </w:r>
    </w:p>
    <w:p>
      <w:pPr>
        <w:widowControl/>
        <w:autoSpaceDE w:val="0"/>
        <w:spacing w:line="560" w:lineRule="exact"/>
        <w:ind w:firstLine="600" w:firstLineChars="200"/>
        <w:rPr>
          <w:rFonts w:ascii="仿宋_GB2312" w:hAnsi="宋体" w:eastAsia="仿宋_GB2312" w:cs="仿宋_GB2312"/>
          <w:kern w:val="0"/>
          <w:sz w:val="30"/>
          <w:szCs w:val="30"/>
        </w:rPr>
      </w:pPr>
      <w:r>
        <w:rPr>
          <w:rFonts w:ascii="仿宋_GB2312" w:hAnsi="宋体" w:eastAsia="仿宋_GB2312" w:cs="仿宋_GB2312"/>
          <w:kern w:val="0"/>
          <w:sz w:val="30"/>
          <w:szCs w:val="30"/>
        </w:rPr>
        <w:t>（5）宣传法制，教育公民忠于社会主义祖国，自觉遵守宪法，法律和社会公德。</w:t>
      </w:r>
    </w:p>
    <w:p>
      <w:pPr>
        <w:widowControl/>
        <w:autoSpaceDE w:val="0"/>
        <w:spacing w:line="560" w:lineRule="exact"/>
        <w:ind w:firstLine="600" w:firstLineChars="200"/>
        <w:rPr>
          <w:rFonts w:ascii="仿宋_GB2312" w:hAnsi="宋体" w:eastAsia="仿宋_GB2312" w:cs="仿宋_GB2312"/>
          <w:kern w:val="0"/>
          <w:sz w:val="30"/>
          <w:szCs w:val="30"/>
        </w:rPr>
      </w:pPr>
      <w:r>
        <w:rPr>
          <w:rFonts w:ascii="仿宋_GB2312" w:hAnsi="宋体" w:eastAsia="仿宋_GB2312" w:cs="仿宋_GB2312"/>
          <w:kern w:val="0"/>
          <w:sz w:val="30"/>
          <w:szCs w:val="30"/>
        </w:rPr>
        <w:t>（6）积极参与社会治安综合治理工作。</w:t>
      </w:r>
    </w:p>
    <w:p>
      <w:pPr>
        <w:snapToGrid w:val="0"/>
        <w:spacing w:line="560" w:lineRule="exact"/>
        <w:ind w:firstLine="600" w:firstLineChars="200"/>
        <w:rPr>
          <w:rFonts w:ascii="仿宋" w:hAnsi="仿宋" w:eastAsia="仿宋" w:cs="Calibri"/>
          <w:color w:val="000000"/>
          <w:kern w:val="0"/>
          <w:sz w:val="24"/>
          <w:szCs w:val="24"/>
        </w:rPr>
      </w:pPr>
      <w:r>
        <w:rPr>
          <w:rFonts w:ascii="仿宋_GB2312" w:hAnsi="宋体" w:eastAsia="仿宋_GB2312" w:cs="仿宋_GB2312"/>
          <w:kern w:val="0"/>
          <w:sz w:val="30"/>
          <w:szCs w:val="30"/>
        </w:rPr>
        <w:t>（7）承办其他应由基层人民法院负责的工作。</w:t>
      </w:r>
    </w:p>
    <w:p>
      <w:pPr>
        <w:ind w:firstLine="480" w:firstLineChars="200"/>
        <w:rPr>
          <w:b/>
          <w:bCs/>
          <w:sz w:val="24"/>
          <w:szCs w:val="24"/>
        </w:rPr>
      </w:pPr>
      <w:r>
        <w:rPr>
          <w:rFonts w:hint="eastAsia"/>
          <w:b/>
          <w:bCs/>
          <w:sz w:val="24"/>
          <w:szCs w:val="24"/>
        </w:rPr>
        <w:t>（二）内设机构及所属单位概况</w:t>
      </w:r>
    </w:p>
    <w:p>
      <w:pPr>
        <w:pStyle w:val="4"/>
        <w:spacing w:line="560" w:lineRule="exact"/>
        <w:ind w:firstLine="600" w:firstLineChars="200"/>
        <w:rPr>
          <w:rFonts w:hint="default" w:ascii="仿宋" w:hAnsi="仿宋" w:eastAsia="仿宋" w:cs="仿宋"/>
          <w:sz w:val="30"/>
          <w:szCs w:val="30"/>
        </w:rPr>
      </w:pPr>
      <w:r>
        <w:rPr>
          <w:rFonts w:ascii="仿宋" w:hAnsi="仿宋" w:eastAsia="仿宋" w:cs="仿宋"/>
          <w:sz w:val="30"/>
          <w:szCs w:val="30"/>
        </w:rPr>
        <w:t>嘉峪关市城区人民法院共有预算单位1个。</w:t>
      </w:r>
    </w:p>
    <w:p>
      <w:pPr>
        <w:pStyle w:val="4"/>
        <w:spacing w:line="560" w:lineRule="exact"/>
        <w:ind w:firstLine="600" w:firstLineChars="200"/>
        <w:rPr>
          <w:rFonts w:hint="default" w:ascii="仿宋" w:hAnsi="仿宋" w:eastAsia="仿宋" w:cs="仿宋"/>
          <w:color w:val="000000"/>
          <w:sz w:val="30"/>
          <w:szCs w:val="30"/>
        </w:rPr>
      </w:pPr>
      <w:r>
        <w:rPr>
          <w:rFonts w:ascii="仿宋" w:hAnsi="仿宋" w:eastAsia="仿宋" w:cs="仿宋"/>
          <w:sz w:val="30"/>
          <w:szCs w:val="30"/>
        </w:rPr>
        <w:t>嘉峪关市城区人民法院内设5个机构：立案庭（诉讼服务中心）、综合办公室（司法警察大队）、政治部（机关党委）、综合审判庭、执行局。</w:t>
      </w:r>
    </w:p>
    <w:p>
      <w:pPr>
        <w:pStyle w:val="4"/>
        <w:spacing w:line="560" w:lineRule="exact"/>
        <w:ind w:firstLine="600" w:firstLineChars="200"/>
        <w:rPr>
          <w:rFonts w:hint="default" w:ascii="仿宋" w:hAnsi="仿宋" w:eastAsia="仿宋" w:cs="仿宋"/>
          <w:sz w:val="30"/>
          <w:szCs w:val="30"/>
        </w:rPr>
      </w:pPr>
      <w:r>
        <w:rPr>
          <w:rFonts w:hint="default" w:ascii="仿宋" w:hAnsi="仿宋" w:eastAsia="仿宋" w:cs="仿宋"/>
          <w:sz w:val="30"/>
          <w:szCs w:val="30"/>
        </w:rPr>
        <w:t>嘉峪关市城区人民法院编制人数62人，其中：行政编制32人，事业编制20人,工勤编制10人;年末实有人数</w:t>
      </w:r>
      <w:r>
        <w:rPr>
          <w:rFonts w:ascii="仿宋" w:hAnsi="仿宋" w:eastAsia="仿宋" w:cs="仿宋"/>
          <w:sz w:val="30"/>
          <w:szCs w:val="30"/>
        </w:rPr>
        <w:t>39</w:t>
      </w:r>
      <w:r>
        <w:rPr>
          <w:rFonts w:hint="default" w:ascii="仿宋" w:hAnsi="仿宋" w:eastAsia="仿宋" w:cs="仿宋"/>
          <w:sz w:val="30"/>
          <w:szCs w:val="30"/>
        </w:rPr>
        <w:t>人全部为在职人员。</w:t>
      </w:r>
    </w:p>
    <w:p>
      <w:pPr>
        <w:spacing w:line="600" w:lineRule="exact"/>
        <w:ind w:firstLine="480" w:firstLineChars="200"/>
        <w:rPr>
          <w:b/>
          <w:bCs/>
          <w:sz w:val="24"/>
          <w:szCs w:val="24"/>
        </w:rPr>
      </w:pPr>
      <w:r>
        <w:rPr>
          <w:rFonts w:hint="eastAsia"/>
          <w:sz w:val="24"/>
          <w:szCs w:val="24"/>
        </w:rPr>
        <w:t xml:space="preserve"> </w:t>
      </w:r>
      <w:r>
        <w:rPr>
          <w:rFonts w:hint="eastAsia"/>
          <w:b/>
          <w:bCs/>
          <w:sz w:val="24"/>
          <w:szCs w:val="24"/>
        </w:rPr>
        <w:t>二、绩效自评工作组织开展情况</w:t>
      </w:r>
    </w:p>
    <w:p>
      <w:pPr>
        <w:ind w:firstLine="480" w:firstLineChars="200"/>
        <w:rPr>
          <w:b/>
          <w:bCs/>
          <w:sz w:val="24"/>
          <w:szCs w:val="24"/>
          <w:highlight w:val="yellow"/>
        </w:rPr>
      </w:pPr>
      <w:r>
        <w:rPr>
          <w:rFonts w:hint="eastAsia"/>
          <w:b/>
          <w:bCs/>
          <w:sz w:val="24"/>
          <w:szCs w:val="24"/>
        </w:rPr>
        <w:t>（一）绩效自评工作组织管理情况</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精神，按照真实准确、客</w:t>
      </w:r>
      <w:r>
        <w:rPr>
          <w:rFonts w:hint="eastAsia"/>
          <w:sz w:val="24"/>
          <w:szCs w:val="24"/>
        </w:rPr>
        <w:t>观公正、突出重点的要求，我院全面开展2022年</w:t>
      </w:r>
      <w:r>
        <w:rPr>
          <w:sz w:val="24"/>
          <w:szCs w:val="24"/>
        </w:rPr>
        <w:t>度预算执行情况绩</w:t>
      </w:r>
      <w:r>
        <w:rPr>
          <w:rFonts w:hint="eastAsia"/>
          <w:sz w:val="24"/>
          <w:szCs w:val="24"/>
        </w:rPr>
        <w:t>效自评工作。</w:t>
      </w:r>
    </w:p>
    <w:p>
      <w:pPr>
        <w:ind w:firstLine="480" w:firstLineChars="200"/>
        <w:rPr>
          <w:b/>
          <w:bCs/>
          <w:sz w:val="24"/>
          <w:szCs w:val="24"/>
        </w:rPr>
      </w:pPr>
      <w:r>
        <w:rPr>
          <w:b/>
          <w:bCs/>
          <w:sz w:val="24"/>
          <w:szCs w:val="24"/>
        </w:rPr>
        <w:t>1、高度重视，严格落实自评责任</w:t>
      </w:r>
    </w:p>
    <w:p>
      <w:pPr>
        <w:ind w:firstLine="480" w:firstLineChars="200"/>
        <w:rPr>
          <w:sz w:val="24"/>
          <w:szCs w:val="24"/>
        </w:rPr>
      </w:pPr>
      <w:r>
        <w:rPr>
          <w:rFonts w:hint="eastAsia"/>
          <w:sz w:val="24"/>
          <w:szCs w:val="24"/>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480" w:firstLineChars="200"/>
        <w:rPr>
          <w:b/>
          <w:bCs/>
          <w:sz w:val="24"/>
          <w:szCs w:val="24"/>
        </w:rPr>
      </w:pPr>
      <w:r>
        <w:rPr>
          <w:b/>
          <w:bCs/>
          <w:sz w:val="24"/>
          <w:szCs w:val="24"/>
        </w:rPr>
        <w:t>2、明确方向，理清绩效评价思路</w:t>
      </w:r>
    </w:p>
    <w:p>
      <w:pPr>
        <w:ind w:firstLine="480" w:firstLineChars="200"/>
        <w:rPr>
          <w:sz w:val="24"/>
          <w:szCs w:val="24"/>
        </w:rPr>
      </w:pPr>
      <w:r>
        <w:rPr>
          <w:rFonts w:hint="eastAsia"/>
          <w:sz w:val="24"/>
          <w:szCs w:val="24"/>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480" w:firstLineChars="200"/>
        <w:rPr>
          <w:b/>
          <w:bCs/>
          <w:sz w:val="24"/>
          <w:szCs w:val="24"/>
        </w:rPr>
      </w:pPr>
      <w:r>
        <w:rPr>
          <w:b/>
          <w:bCs/>
          <w:sz w:val="24"/>
          <w:szCs w:val="24"/>
        </w:rPr>
        <w:t>3、认真开展，严把绩效自评质量</w:t>
      </w:r>
    </w:p>
    <w:p>
      <w:pPr>
        <w:ind w:firstLine="480" w:firstLineChars="200"/>
        <w:rPr>
          <w:sz w:val="24"/>
          <w:szCs w:val="24"/>
        </w:rPr>
      </w:pPr>
      <w:r>
        <w:rPr>
          <w:rFonts w:hint="eastAsia"/>
          <w:sz w:val="24"/>
          <w:szCs w:val="24"/>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sz w:val="24"/>
          <w:szCs w:val="24"/>
        </w:rPr>
        <w:t>1家单位和</w:t>
      </w:r>
      <w:r>
        <w:rPr>
          <w:rFonts w:hint="eastAsia"/>
          <w:sz w:val="24"/>
          <w:szCs w:val="24"/>
        </w:rPr>
        <w:t>4</w:t>
      </w:r>
      <w:r>
        <w:rPr>
          <w:sz w:val="24"/>
          <w:szCs w:val="24"/>
        </w:rPr>
        <w:t>个预算项目，通</w:t>
      </w:r>
      <w:r>
        <w:rPr>
          <w:rFonts w:hint="eastAsia"/>
          <w:sz w:val="24"/>
          <w:szCs w:val="24"/>
        </w:rPr>
        <w:t>过座谈、收集资料，针对申报内容、实施情况、财务管理等方面运用定性和定量分析相结合的方法，根据年度实际完成情况真实、完整、合理的进行打分评价，做到科学量化、如实反映。</w:t>
      </w:r>
    </w:p>
    <w:p>
      <w:pPr>
        <w:ind w:firstLine="480" w:firstLineChars="200"/>
        <w:rPr>
          <w:b/>
          <w:bCs/>
          <w:sz w:val="24"/>
          <w:szCs w:val="24"/>
        </w:rPr>
      </w:pPr>
      <w:r>
        <w:rPr>
          <w:rFonts w:hint="eastAsia"/>
          <w:b/>
          <w:bCs/>
          <w:sz w:val="24"/>
          <w:szCs w:val="24"/>
        </w:rPr>
        <w:t>三、部门整体支出绩效自评情况分析</w:t>
      </w:r>
    </w:p>
    <w:p>
      <w:pPr>
        <w:ind w:firstLine="360" w:firstLineChars="150"/>
        <w:rPr>
          <w:b/>
          <w:bCs/>
          <w:sz w:val="24"/>
          <w:szCs w:val="24"/>
        </w:rPr>
      </w:pPr>
      <w:r>
        <w:rPr>
          <w:rFonts w:hint="eastAsia"/>
          <w:b/>
          <w:bCs/>
          <w:sz w:val="24"/>
          <w:szCs w:val="24"/>
        </w:rPr>
        <w:t>（一）部门决算情况</w:t>
      </w:r>
    </w:p>
    <w:p>
      <w:pPr>
        <w:ind w:firstLine="480" w:firstLineChars="200"/>
        <w:rPr>
          <w:sz w:val="24"/>
          <w:szCs w:val="24"/>
        </w:rPr>
      </w:pPr>
      <w:r>
        <w:rPr>
          <w:sz w:val="24"/>
          <w:szCs w:val="24"/>
        </w:rPr>
        <w:t>202</w:t>
      </w:r>
      <w:r>
        <w:rPr>
          <w:rFonts w:hint="eastAsia"/>
          <w:sz w:val="24"/>
          <w:szCs w:val="24"/>
        </w:rPr>
        <w:t>2</w:t>
      </w:r>
      <w:r>
        <w:rPr>
          <w:sz w:val="24"/>
          <w:szCs w:val="24"/>
        </w:rPr>
        <w:t>年度，</w:t>
      </w:r>
      <w:r>
        <w:rPr>
          <w:rFonts w:hint="eastAsia"/>
          <w:sz w:val="24"/>
          <w:szCs w:val="24"/>
        </w:rPr>
        <w:t>嘉峪关市城区人民法院</w:t>
      </w:r>
      <w:r>
        <w:rPr>
          <w:sz w:val="24"/>
          <w:szCs w:val="24"/>
        </w:rPr>
        <w:t>部门整体支出年初预算数为</w:t>
      </w:r>
      <w:r>
        <w:rPr>
          <w:rFonts w:hint="eastAsia"/>
          <w:sz w:val="24"/>
          <w:szCs w:val="24"/>
        </w:rPr>
        <w:t>1325.36</w:t>
      </w:r>
      <w:r>
        <w:rPr>
          <w:sz w:val="24"/>
          <w:szCs w:val="24"/>
        </w:rPr>
        <w:t>万元，其中基本支出</w:t>
      </w:r>
      <w:r>
        <w:rPr>
          <w:rFonts w:hint="eastAsia"/>
          <w:sz w:val="24"/>
          <w:szCs w:val="24"/>
        </w:rPr>
        <w:t>1038.36</w:t>
      </w:r>
      <w:r>
        <w:rPr>
          <w:sz w:val="24"/>
          <w:szCs w:val="24"/>
        </w:rPr>
        <w:t>万元，项目支出</w:t>
      </w:r>
      <w:r>
        <w:rPr>
          <w:rFonts w:hint="eastAsia"/>
          <w:sz w:val="24"/>
          <w:szCs w:val="24"/>
        </w:rPr>
        <w:t>287万</w:t>
      </w:r>
      <w:r>
        <w:rPr>
          <w:sz w:val="24"/>
          <w:szCs w:val="24"/>
        </w:rPr>
        <w:t>元。经调整，</w:t>
      </w:r>
      <w:r>
        <w:rPr>
          <w:rFonts w:hint="eastAsia"/>
          <w:sz w:val="24"/>
          <w:szCs w:val="24"/>
        </w:rPr>
        <w:t>单位全年</w:t>
      </w:r>
      <w:bookmarkStart w:id="0" w:name="_GoBack"/>
      <w:bookmarkEnd w:id="0"/>
      <w:r>
        <w:rPr>
          <w:rFonts w:hint="eastAsia"/>
          <w:sz w:val="24"/>
          <w:szCs w:val="24"/>
        </w:rPr>
        <w:t>预算数资金总额为2041.31</w:t>
      </w:r>
      <w:r>
        <w:rPr>
          <w:sz w:val="24"/>
          <w:szCs w:val="24"/>
        </w:rPr>
        <w:t>万元，其中基本支出</w:t>
      </w:r>
      <w:r>
        <w:rPr>
          <w:rFonts w:hint="eastAsia"/>
          <w:sz w:val="24"/>
          <w:szCs w:val="24"/>
        </w:rPr>
        <w:t>1428.31</w:t>
      </w:r>
      <w:r>
        <w:rPr>
          <w:sz w:val="24"/>
          <w:szCs w:val="24"/>
        </w:rPr>
        <w:t>万</w:t>
      </w:r>
      <w:r>
        <w:rPr>
          <w:rFonts w:hint="eastAsia"/>
          <w:sz w:val="24"/>
          <w:szCs w:val="24"/>
        </w:rPr>
        <w:t>元，项目支出613</w:t>
      </w:r>
      <w:r>
        <w:rPr>
          <w:sz w:val="24"/>
          <w:szCs w:val="24"/>
        </w:rPr>
        <w:t>万元。根据年末单位支出预算，我单位于年内</w:t>
      </w:r>
      <w:r>
        <w:rPr>
          <w:rFonts w:hint="eastAsia"/>
          <w:sz w:val="24"/>
          <w:szCs w:val="24"/>
        </w:rPr>
        <w:t>实际支出2041.31万元，其中基本支出1428.31</w:t>
      </w:r>
      <w:r>
        <w:rPr>
          <w:sz w:val="24"/>
          <w:szCs w:val="24"/>
        </w:rPr>
        <w:t>万</w:t>
      </w:r>
      <w:r>
        <w:rPr>
          <w:rFonts w:hint="eastAsia"/>
          <w:sz w:val="24"/>
          <w:szCs w:val="24"/>
        </w:rPr>
        <w:t>元，项目支出613万元。单位支出预算执行率为100</w:t>
      </w:r>
      <w:r>
        <w:rPr>
          <w:sz w:val="24"/>
          <w:szCs w:val="24"/>
        </w:rPr>
        <w:t>%。</w:t>
      </w:r>
    </w:p>
    <w:p>
      <w:pPr>
        <w:ind w:firstLine="360" w:firstLineChars="150"/>
        <w:rPr>
          <w:b/>
          <w:bCs/>
          <w:sz w:val="24"/>
          <w:szCs w:val="24"/>
        </w:rPr>
      </w:pPr>
      <w:r>
        <w:rPr>
          <w:rFonts w:hint="eastAsia"/>
          <w:b/>
          <w:bCs/>
          <w:sz w:val="24"/>
          <w:szCs w:val="24"/>
        </w:rPr>
        <w:t>（二）总体绩效目标完成情况分析</w:t>
      </w:r>
    </w:p>
    <w:p>
      <w:pPr>
        <w:ind w:left="-2" w:leftChars="-1" w:firstLine="360" w:firstLineChars="150"/>
        <w:rPr>
          <w:sz w:val="24"/>
          <w:szCs w:val="24"/>
        </w:rPr>
      </w:pPr>
      <w:r>
        <w:rPr>
          <w:rFonts w:hint="eastAsia"/>
          <w:sz w:val="24"/>
          <w:szCs w:val="24"/>
        </w:rPr>
        <w:t>经综合评价与分析，嘉峪关市城区人民法院</w:t>
      </w:r>
      <w:r>
        <w:rPr>
          <w:sz w:val="24"/>
          <w:szCs w:val="24"/>
        </w:rPr>
        <w:t>202</w:t>
      </w:r>
      <w:r>
        <w:rPr>
          <w:rFonts w:hint="eastAsia"/>
          <w:sz w:val="24"/>
          <w:szCs w:val="24"/>
        </w:rPr>
        <w:t>2</w:t>
      </w:r>
      <w:r>
        <w:rPr>
          <w:sz w:val="24"/>
          <w:szCs w:val="24"/>
        </w:rPr>
        <w:t>年度部门整体支</w:t>
      </w:r>
      <w:r>
        <w:rPr>
          <w:rFonts w:hint="eastAsia"/>
          <w:sz w:val="24"/>
          <w:szCs w:val="24"/>
        </w:rPr>
        <w:t>出绩效自评最终得分为91.54</w:t>
      </w:r>
      <w:r>
        <w:rPr>
          <w:sz w:val="24"/>
          <w:szCs w:val="24"/>
        </w:rPr>
        <w:t>分，评价结果为“</w:t>
      </w:r>
      <w:r>
        <w:rPr>
          <w:rFonts w:hint="eastAsia"/>
          <w:sz w:val="24"/>
          <w:szCs w:val="24"/>
        </w:rPr>
        <w:t>优</w:t>
      </w:r>
      <w:r>
        <w:rPr>
          <w:sz w:val="24"/>
          <w:szCs w:val="24"/>
        </w:rPr>
        <w:t>”。部门整体支出</w:t>
      </w:r>
      <w:r>
        <w:rPr>
          <w:rFonts w:hint="eastAsia"/>
          <w:sz w:val="24"/>
          <w:szCs w:val="24"/>
        </w:rPr>
        <w:t>自评表中各项指标得分情况如下所示。</w:t>
      </w:r>
    </w:p>
    <w:p>
      <w:pPr>
        <w:ind w:left="239" w:leftChars="114" w:firstLine="240" w:firstLineChars="100"/>
        <w:rPr>
          <w:sz w:val="24"/>
          <w:szCs w:val="24"/>
        </w:rPr>
      </w:pPr>
      <w:r>
        <w:rPr>
          <w:rFonts w:hint="eastAsia"/>
          <w:b/>
          <w:bCs/>
          <w:sz w:val="24"/>
          <w:szCs w:val="24"/>
        </w:rPr>
        <w:t>1、整体支出情况</w:t>
      </w:r>
    </w:p>
    <w:p>
      <w:pPr>
        <w:ind w:firstLine="480" w:firstLineChars="200"/>
        <w:rPr>
          <w:sz w:val="24"/>
          <w:szCs w:val="24"/>
        </w:rPr>
      </w:pPr>
      <w:r>
        <w:rPr>
          <w:sz w:val="24"/>
          <w:szCs w:val="24"/>
        </w:rPr>
        <w:t>202</w:t>
      </w:r>
      <w:r>
        <w:rPr>
          <w:rFonts w:hint="eastAsia"/>
          <w:sz w:val="24"/>
          <w:szCs w:val="24"/>
        </w:rPr>
        <w:t>2</w:t>
      </w:r>
      <w:r>
        <w:rPr>
          <w:sz w:val="24"/>
          <w:szCs w:val="24"/>
        </w:rPr>
        <w:t>年度，</w:t>
      </w:r>
      <w:r>
        <w:rPr>
          <w:rFonts w:hint="eastAsia"/>
          <w:sz w:val="24"/>
          <w:szCs w:val="24"/>
        </w:rPr>
        <w:t>嘉峪关市城区人民法院</w:t>
      </w:r>
      <w:r>
        <w:rPr>
          <w:sz w:val="24"/>
          <w:szCs w:val="24"/>
        </w:rPr>
        <w:t>部门整体支出年初预算数为</w:t>
      </w:r>
      <w:r>
        <w:rPr>
          <w:rFonts w:hint="eastAsia"/>
          <w:sz w:val="24"/>
          <w:szCs w:val="24"/>
        </w:rPr>
        <w:t>1325.36</w:t>
      </w:r>
      <w:r>
        <w:rPr>
          <w:sz w:val="24"/>
          <w:szCs w:val="24"/>
        </w:rPr>
        <w:t>万元，其中基本支出</w:t>
      </w:r>
      <w:r>
        <w:rPr>
          <w:rFonts w:hint="eastAsia"/>
          <w:sz w:val="24"/>
          <w:szCs w:val="24"/>
        </w:rPr>
        <w:t>1038.36</w:t>
      </w:r>
      <w:r>
        <w:rPr>
          <w:sz w:val="24"/>
          <w:szCs w:val="24"/>
        </w:rPr>
        <w:t>万元，项目支出</w:t>
      </w:r>
      <w:r>
        <w:rPr>
          <w:rFonts w:hint="eastAsia"/>
          <w:sz w:val="24"/>
          <w:szCs w:val="24"/>
        </w:rPr>
        <w:t>287万</w:t>
      </w:r>
      <w:r>
        <w:rPr>
          <w:sz w:val="24"/>
          <w:szCs w:val="24"/>
        </w:rPr>
        <w:t>元。经调整，</w:t>
      </w:r>
      <w:r>
        <w:rPr>
          <w:rFonts w:hint="eastAsia"/>
          <w:sz w:val="24"/>
          <w:szCs w:val="24"/>
        </w:rPr>
        <w:t>单位全年预算数资金总额为2041.31</w:t>
      </w:r>
      <w:r>
        <w:rPr>
          <w:sz w:val="24"/>
          <w:szCs w:val="24"/>
        </w:rPr>
        <w:t>万元，其中基本支出</w:t>
      </w:r>
      <w:r>
        <w:rPr>
          <w:rFonts w:hint="eastAsia" w:ascii="宋体" w:hAnsi="宋体" w:eastAsia="宋体" w:cs="宋体"/>
          <w:color w:val="000000"/>
          <w:kern w:val="0"/>
          <w:szCs w:val="21"/>
        </w:rPr>
        <w:t>1428.31</w:t>
      </w:r>
      <w:r>
        <w:rPr>
          <w:sz w:val="24"/>
          <w:szCs w:val="24"/>
        </w:rPr>
        <w:t>万</w:t>
      </w:r>
      <w:r>
        <w:rPr>
          <w:rFonts w:hint="eastAsia"/>
          <w:sz w:val="24"/>
          <w:szCs w:val="24"/>
        </w:rPr>
        <w:t>元，项目支出613</w:t>
      </w:r>
      <w:r>
        <w:rPr>
          <w:sz w:val="24"/>
          <w:szCs w:val="24"/>
        </w:rPr>
        <w:t>万元。根据年末单位支出预算，我单位于年内</w:t>
      </w:r>
      <w:r>
        <w:rPr>
          <w:rFonts w:hint="eastAsia"/>
          <w:sz w:val="24"/>
          <w:szCs w:val="24"/>
        </w:rPr>
        <w:t>实际支出2041.31万元，其中基本支出</w:t>
      </w:r>
      <w:r>
        <w:rPr>
          <w:rFonts w:hint="eastAsia" w:ascii="宋体" w:hAnsi="宋体" w:eastAsia="宋体" w:cs="宋体"/>
          <w:color w:val="000000"/>
          <w:kern w:val="0"/>
          <w:szCs w:val="21"/>
        </w:rPr>
        <w:t>1428.31</w:t>
      </w:r>
      <w:r>
        <w:rPr>
          <w:sz w:val="24"/>
          <w:szCs w:val="24"/>
        </w:rPr>
        <w:t>万</w:t>
      </w:r>
      <w:r>
        <w:rPr>
          <w:rFonts w:hint="eastAsia"/>
          <w:sz w:val="24"/>
          <w:szCs w:val="24"/>
        </w:rPr>
        <w:t>元，项目支出613万元。单位支出预算执行率为100</w:t>
      </w:r>
      <w:r>
        <w:rPr>
          <w:sz w:val="24"/>
          <w:szCs w:val="24"/>
        </w:rPr>
        <w:t>%。</w:t>
      </w:r>
    </w:p>
    <w:p>
      <w:pPr>
        <w:ind w:firstLine="480" w:firstLineChars="200"/>
        <w:rPr>
          <w:sz w:val="24"/>
          <w:szCs w:val="24"/>
        </w:rPr>
      </w:pPr>
      <w:r>
        <w:rPr>
          <w:rFonts w:hint="eastAsia"/>
          <w:sz w:val="24"/>
          <w:szCs w:val="24"/>
        </w:rPr>
        <w:t>该部分总分10分，得分10分，</w:t>
      </w:r>
      <w:r>
        <w:rPr>
          <w:sz w:val="24"/>
          <w:szCs w:val="24"/>
        </w:rPr>
        <w:t>得分率为</w:t>
      </w:r>
      <w:r>
        <w:rPr>
          <w:rFonts w:hint="eastAsia"/>
          <w:sz w:val="24"/>
          <w:szCs w:val="24"/>
        </w:rPr>
        <w:t>100</w:t>
      </w:r>
      <w:r>
        <w:rPr>
          <w:sz w:val="24"/>
          <w:szCs w:val="24"/>
        </w:rPr>
        <w:t>%</w:t>
      </w:r>
      <w:r>
        <w:rPr>
          <w:rFonts w:hint="eastAsia"/>
          <w:sz w:val="24"/>
          <w:szCs w:val="24"/>
        </w:rPr>
        <w:t>。</w:t>
      </w:r>
    </w:p>
    <w:p>
      <w:pPr>
        <w:ind w:left="239" w:leftChars="114" w:firstLine="240" w:firstLineChars="100"/>
        <w:rPr>
          <w:b/>
          <w:bCs/>
          <w:sz w:val="24"/>
          <w:szCs w:val="24"/>
        </w:rPr>
      </w:pPr>
      <w:r>
        <w:rPr>
          <w:rFonts w:hint="eastAsia"/>
          <w:b/>
          <w:bCs/>
          <w:sz w:val="24"/>
          <w:szCs w:val="24"/>
        </w:rPr>
        <w:t>2、年度绩效指标完成情况</w:t>
      </w:r>
    </w:p>
    <w:p>
      <w:pPr>
        <w:jc w:val="center"/>
        <w:rPr>
          <w:sz w:val="24"/>
          <w:szCs w:val="24"/>
        </w:rPr>
      </w:pPr>
      <w:r>
        <w:rPr>
          <w:rFonts w:hint="eastAsia"/>
          <w:sz w:val="24"/>
          <w:szCs w:val="24"/>
        </w:rPr>
        <w:t>2022年</w:t>
      </w:r>
      <w:r>
        <w:rPr>
          <w:sz w:val="24"/>
          <w:szCs w:val="24"/>
        </w:rPr>
        <w:t>度部门整体支出绩效评价指标得分情况</w:t>
      </w:r>
      <w:r>
        <w:rPr>
          <w:rFonts w:hint="eastAsia"/>
          <w:sz w:val="24"/>
          <w:szCs w:val="24"/>
        </w:rPr>
        <w:t>（权重）</w:t>
      </w:r>
    </w:p>
    <w:p>
      <w:pPr>
        <w:spacing w:line="240" w:lineRule="exact"/>
        <w:jc w:val="center"/>
        <w:rPr>
          <w:sz w:val="32"/>
          <w:szCs w:val="32"/>
        </w:rPr>
      </w:pPr>
    </w:p>
    <w:tbl>
      <w:tblPr>
        <w:tblStyle w:val="11"/>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得分率</w:t>
            </w:r>
          </w:p>
        </w:tc>
      </w:tr>
      <w:tr>
        <w:tblPrEx>
          <w:tblCellMar>
            <w:top w:w="0" w:type="dxa"/>
            <w:left w:w="108" w:type="dxa"/>
            <w:bottom w:w="0" w:type="dxa"/>
            <w:right w:w="108" w:type="dxa"/>
          </w:tblCellMar>
        </w:tblPrEx>
        <w:trPr>
          <w:trHeight w:val="43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19.2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96%</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42.34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84.68%</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能力建设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100%</w:t>
            </w:r>
          </w:p>
        </w:tc>
      </w:tr>
      <w:tr>
        <w:tblPrEx>
          <w:tblCellMar>
            <w:top w:w="0" w:type="dxa"/>
            <w:left w:w="108" w:type="dxa"/>
            <w:bottom w:w="0" w:type="dxa"/>
            <w:right w:w="108" w:type="dxa"/>
          </w:tblCellMar>
        </w:tblPrEx>
        <w:trPr>
          <w:trHeight w:val="419"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服务对象满意度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 100%</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highlight w:val="yellow"/>
              </w:rPr>
            </w:pPr>
            <w:r>
              <w:rPr>
                <w:rFonts w:hint="eastAsia" w:ascii="等线" w:hAnsi="等线" w:eastAsia="等线" w:cs="宋体"/>
                <w:color w:val="000000"/>
                <w:kern w:val="0"/>
                <w:sz w:val="24"/>
                <w:szCs w:val="24"/>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81.54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90.6%</w:t>
            </w:r>
          </w:p>
        </w:tc>
      </w:tr>
    </w:tbl>
    <w:p>
      <w:pPr>
        <w:pStyle w:val="9"/>
        <w:spacing w:before="0" w:beforeAutospacing="0" w:after="0" w:afterAutospacing="0" w:line="540" w:lineRule="exact"/>
        <w:ind w:right="45" w:firstLine="480" w:firstLineChars="200"/>
        <w:jc w:val="both"/>
        <w:rPr>
          <w:b/>
          <w:bCs/>
          <w:szCs w:val="24"/>
        </w:rPr>
      </w:pPr>
      <w:r>
        <w:rPr>
          <w:rFonts w:hint="eastAsia"/>
          <w:b/>
          <w:bCs/>
          <w:szCs w:val="24"/>
        </w:rPr>
        <w:t>预期目标：</w:t>
      </w:r>
    </w:p>
    <w:p>
      <w:pPr>
        <w:ind w:firstLine="480" w:firstLineChars="200"/>
        <w:rPr>
          <w:sz w:val="24"/>
          <w:szCs w:val="24"/>
        </w:rPr>
      </w:pPr>
      <w:r>
        <w:rPr>
          <w:rFonts w:hint="eastAsia"/>
          <w:sz w:val="24"/>
          <w:szCs w:val="24"/>
        </w:rPr>
        <w:t>1</w:t>
      </w:r>
      <w:r>
        <w:rPr>
          <w:sz w:val="24"/>
          <w:szCs w:val="24"/>
        </w:rPr>
        <w:t>、目标</w:t>
      </w:r>
      <w:r>
        <w:rPr>
          <w:rFonts w:hint="eastAsia"/>
          <w:sz w:val="24"/>
          <w:szCs w:val="24"/>
        </w:rPr>
        <w:t>一</w:t>
      </w:r>
    </w:p>
    <w:p>
      <w:pPr>
        <w:spacing w:line="360" w:lineRule="auto"/>
        <w:ind w:firstLine="480" w:firstLineChars="200"/>
        <w:rPr>
          <w:sz w:val="24"/>
          <w:szCs w:val="24"/>
        </w:rPr>
      </w:pPr>
      <w:r>
        <w:rPr>
          <w:rFonts w:hint="eastAsia"/>
          <w:sz w:val="24"/>
          <w:szCs w:val="24"/>
        </w:rPr>
        <w:t>预期目标：</w:t>
      </w:r>
      <w:r>
        <w:rPr>
          <w:sz w:val="24"/>
          <w:szCs w:val="24"/>
        </w:rPr>
        <w:t>加强法院信息化建设，利用科技手段，提高信息化工作水平；</w:t>
      </w:r>
    </w:p>
    <w:p>
      <w:pPr>
        <w:spacing w:line="360" w:lineRule="auto"/>
        <w:ind w:firstLine="480" w:firstLineChars="200"/>
        <w:rPr>
          <w:sz w:val="24"/>
          <w:szCs w:val="24"/>
        </w:rPr>
      </w:pPr>
      <w:r>
        <w:rPr>
          <w:rFonts w:hint="eastAsia"/>
          <w:sz w:val="24"/>
          <w:szCs w:val="24"/>
        </w:rPr>
        <w:t>实际完成情况：</w:t>
      </w:r>
      <w:r>
        <w:rPr>
          <w:sz w:val="24"/>
          <w:szCs w:val="24"/>
        </w:rPr>
        <w:t>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pPr>
        <w:ind w:left="239" w:leftChars="114" w:firstLine="281" w:firstLineChars="1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目标</w:t>
      </w:r>
      <w:r>
        <w:rPr>
          <w:rFonts w:hint="eastAsia" w:ascii="仿宋" w:hAnsi="仿宋" w:eastAsia="仿宋"/>
          <w:b/>
          <w:bCs/>
          <w:sz w:val="28"/>
          <w:szCs w:val="28"/>
        </w:rPr>
        <w:t>二</w:t>
      </w:r>
    </w:p>
    <w:p>
      <w:pPr>
        <w:spacing w:line="360" w:lineRule="auto"/>
        <w:ind w:firstLine="480" w:firstLineChars="200"/>
        <w:rPr>
          <w:sz w:val="24"/>
          <w:szCs w:val="24"/>
        </w:rPr>
      </w:pPr>
      <w:r>
        <w:rPr>
          <w:rFonts w:hint="eastAsia"/>
          <w:sz w:val="24"/>
          <w:szCs w:val="24"/>
        </w:rPr>
        <w:t>预期目标：</w:t>
      </w:r>
      <w:r>
        <w:rPr>
          <w:sz w:val="24"/>
          <w:szCs w:val="24"/>
        </w:rPr>
        <w:t>加强队伍管理、教育培训、新闻宣传、文化建设、审判执行工作等装备建设。</w:t>
      </w:r>
    </w:p>
    <w:p>
      <w:pPr>
        <w:spacing w:line="360" w:lineRule="auto"/>
        <w:ind w:firstLine="480" w:firstLineChars="200"/>
        <w:rPr>
          <w:sz w:val="24"/>
          <w:szCs w:val="24"/>
        </w:rPr>
      </w:pPr>
      <w:r>
        <w:rPr>
          <w:rFonts w:hint="eastAsia"/>
          <w:sz w:val="24"/>
          <w:szCs w:val="24"/>
        </w:rPr>
        <w:t>实际完成情况：保障审判执行工作，紧紧围绕“努力让人民群众在每一个司法案件中感受到公平正义”工作目标。</w:t>
      </w:r>
    </w:p>
    <w:p>
      <w:pPr>
        <w:ind w:firstLine="480" w:firstLineChars="200"/>
        <w:rPr>
          <w:b/>
          <w:bCs/>
          <w:sz w:val="24"/>
          <w:szCs w:val="24"/>
        </w:rPr>
      </w:pPr>
      <w:r>
        <w:rPr>
          <w:rFonts w:hint="eastAsia"/>
          <w:b/>
          <w:bCs/>
          <w:sz w:val="24"/>
          <w:szCs w:val="24"/>
        </w:rPr>
        <w:t>（三）各项指标完成情况分析</w:t>
      </w:r>
    </w:p>
    <w:p>
      <w:pPr>
        <w:ind w:firstLine="480" w:firstLineChars="200"/>
        <w:rPr>
          <w:b/>
          <w:bCs/>
          <w:sz w:val="24"/>
          <w:szCs w:val="24"/>
        </w:rPr>
      </w:pPr>
      <w:r>
        <w:rPr>
          <w:b/>
          <w:bCs/>
          <w:sz w:val="24"/>
          <w:szCs w:val="24"/>
        </w:rPr>
        <w:t>1、</w:t>
      </w:r>
      <w:r>
        <w:rPr>
          <w:rFonts w:hint="eastAsia"/>
          <w:b/>
          <w:bCs/>
          <w:sz w:val="24"/>
          <w:szCs w:val="24"/>
        </w:rPr>
        <w:t>部门管理</w:t>
      </w:r>
    </w:p>
    <w:p>
      <w:pPr>
        <w:ind w:firstLine="480" w:firstLineChars="200"/>
        <w:rPr>
          <w:sz w:val="24"/>
          <w:szCs w:val="24"/>
        </w:rPr>
      </w:pPr>
      <w:r>
        <w:rPr>
          <w:rFonts w:hint="eastAsia"/>
          <w:sz w:val="24"/>
          <w:szCs w:val="24"/>
        </w:rPr>
        <w:t>根据《2022年嘉峪关市城区人民法院</w:t>
      </w:r>
      <w:r>
        <w:rPr>
          <w:sz w:val="24"/>
          <w:szCs w:val="24"/>
        </w:rPr>
        <w:t>整体支出绩效自评表》</w:t>
      </w:r>
      <w:r>
        <w:rPr>
          <w:rFonts w:hint="eastAsia"/>
          <w:sz w:val="24"/>
          <w:szCs w:val="24"/>
        </w:rPr>
        <w:t>一级指标部门管理之下共设置</w:t>
      </w:r>
      <w:r>
        <w:rPr>
          <w:sz w:val="24"/>
          <w:szCs w:val="24"/>
        </w:rPr>
        <w:t>6个二级指标，10个三级指标，指标</w:t>
      </w:r>
      <w:r>
        <w:rPr>
          <w:rFonts w:hint="eastAsia"/>
          <w:sz w:val="24"/>
          <w:szCs w:val="24"/>
        </w:rPr>
        <w:t>权重合计20</w:t>
      </w:r>
      <w:r>
        <w:rPr>
          <w:sz w:val="24"/>
          <w:szCs w:val="24"/>
        </w:rPr>
        <w:t>分，自评得分</w:t>
      </w:r>
      <w:r>
        <w:rPr>
          <w:rFonts w:hint="eastAsia"/>
          <w:sz w:val="24"/>
          <w:szCs w:val="24"/>
        </w:rPr>
        <w:t>19.2</w:t>
      </w:r>
      <w:r>
        <w:rPr>
          <w:sz w:val="24"/>
          <w:szCs w:val="24"/>
        </w:rPr>
        <w:t>分，得分率为</w:t>
      </w:r>
      <w:r>
        <w:rPr>
          <w:rFonts w:hint="eastAsia"/>
          <w:sz w:val="24"/>
          <w:szCs w:val="24"/>
        </w:rPr>
        <w:t xml:space="preserve">96 </w:t>
      </w:r>
      <w:r>
        <w:rPr>
          <w:sz w:val="24"/>
          <w:szCs w:val="24"/>
        </w:rPr>
        <w:t>%。各指标得分</w:t>
      </w:r>
      <w:r>
        <w:rPr>
          <w:rFonts w:hint="eastAsia"/>
          <w:sz w:val="24"/>
          <w:szCs w:val="24"/>
        </w:rPr>
        <w:t>情况如下图所示：</w:t>
      </w:r>
    </w:p>
    <w:tbl>
      <w:tblPr>
        <w:tblStyle w:val="11"/>
        <w:tblW w:w="8714" w:type="dxa"/>
        <w:tblInd w:w="-147" w:type="dxa"/>
        <w:tblLayout w:type="autofit"/>
        <w:tblCellMar>
          <w:top w:w="0" w:type="dxa"/>
          <w:left w:w="108" w:type="dxa"/>
          <w:bottom w:w="0" w:type="dxa"/>
          <w:right w:w="108" w:type="dxa"/>
        </w:tblCellMar>
      </w:tblPr>
      <w:tblGrid>
        <w:gridCol w:w="2836"/>
        <w:gridCol w:w="1559"/>
        <w:gridCol w:w="1559"/>
        <w:gridCol w:w="851"/>
        <w:gridCol w:w="992"/>
        <w:gridCol w:w="917"/>
      </w:tblGrid>
      <w:tr>
        <w:tblPrEx>
          <w:tblCellMar>
            <w:top w:w="0" w:type="dxa"/>
            <w:left w:w="108" w:type="dxa"/>
            <w:bottom w:w="0" w:type="dxa"/>
            <w:right w:w="108" w:type="dxa"/>
          </w:tblCellMar>
        </w:tblPrEx>
        <w:trPr>
          <w:trHeight w:val="450" w:hRule="atLeast"/>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299"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≤0%</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0</w:t>
            </w:r>
            <w:r>
              <w:rPr>
                <w:rFonts w:hint="eastAsia" w:ascii="宋体" w:hAnsi="宋体" w:eastAsia="宋体" w:cs="宋体"/>
                <w:color w:val="333333"/>
                <w:sz w:val="22"/>
              </w:rPr>
              <w:t>%</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健全</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333333"/>
                <w:sz w:val="22"/>
              </w:rPr>
            </w:pPr>
            <w:r>
              <w:rPr>
                <w:rFonts w:hint="eastAsia"/>
                <w:color w:val="333333"/>
                <w:sz w:val="22"/>
              </w:rPr>
              <w:t>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健全</w:t>
            </w:r>
          </w:p>
        </w:tc>
        <w:tc>
          <w:tcPr>
            <w:tcW w:w="155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w:t>
            </w:r>
          </w:p>
        </w:tc>
      </w:tr>
    </w:tbl>
    <w:p>
      <w:pPr>
        <w:ind w:firstLine="480" w:firstLineChars="200"/>
        <w:rPr>
          <w:sz w:val="24"/>
          <w:szCs w:val="24"/>
        </w:rPr>
      </w:pPr>
      <w:r>
        <w:rPr>
          <w:rFonts w:hint="eastAsia"/>
          <w:b/>
          <w:bCs/>
          <w:sz w:val="24"/>
          <w:szCs w:val="24"/>
        </w:rPr>
        <w:t>基本支出预算执行率：</w:t>
      </w:r>
      <w:r>
        <w:rPr>
          <w:rFonts w:hint="eastAsia"/>
          <w:sz w:val="24"/>
          <w:szCs w:val="24"/>
        </w:rPr>
        <w:t>该指标反映基本支出实际数占预算数的比值，2022年</w:t>
      </w:r>
      <w:r>
        <w:rPr>
          <w:sz w:val="24"/>
          <w:szCs w:val="24"/>
        </w:rPr>
        <w:t>度基本支出全年预算数</w:t>
      </w:r>
      <w:r>
        <w:rPr>
          <w:rFonts w:hint="eastAsia"/>
          <w:sz w:val="24"/>
          <w:szCs w:val="24"/>
        </w:rPr>
        <w:t>1428.31</w:t>
      </w:r>
      <w:r>
        <w:rPr>
          <w:sz w:val="24"/>
          <w:szCs w:val="24"/>
        </w:rPr>
        <w:t>万元，实际支出数</w:t>
      </w:r>
      <w:r>
        <w:rPr>
          <w:rFonts w:hint="eastAsia"/>
          <w:sz w:val="24"/>
          <w:szCs w:val="24"/>
        </w:rPr>
        <w:t>1428.31万元，预算执行率100</w:t>
      </w:r>
      <w:r>
        <w:rPr>
          <w:sz w:val="24"/>
          <w:szCs w:val="24"/>
        </w:rPr>
        <w:t>%，该指标分值</w:t>
      </w:r>
      <w:r>
        <w:rPr>
          <w:rFonts w:hint="eastAsia"/>
          <w:sz w:val="24"/>
          <w:szCs w:val="24"/>
        </w:rPr>
        <w:t xml:space="preserve">2 </w:t>
      </w:r>
      <w:r>
        <w:rPr>
          <w:sz w:val="24"/>
          <w:szCs w:val="24"/>
        </w:rPr>
        <w:t>分，根据评分标准自评</w:t>
      </w:r>
      <w:r>
        <w:rPr>
          <w:rFonts w:hint="eastAsia"/>
          <w:sz w:val="24"/>
          <w:szCs w:val="24"/>
        </w:rPr>
        <w:t>得分2</w:t>
      </w:r>
      <w:r>
        <w:rPr>
          <w:sz w:val="24"/>
          <w:szCs w:val="24"/>
        </w:rPr>
        <w:t>分，得分率为</w:t>
      </w:r>
      <w:r>
        <w:rPr>
          <w:rFonts w:hint="eastAsia"/>
          <w:sz w:val="24"/>
          <w:szCs w:val="24"/>
        </w:rPr>
        <w:t>100</w:t>
      </w:r>
      <w:r>
        <w:rPr>
          <w:sz w:val="24"/>
          <w:szCs w:val="24"/>
        </w:rPr>
        <w:t>%。</w:t>
      </w:r>
    </w:p>
    <w:p>
      <w:pPr>
        <w:ind w:firstLine="480" w:firstLineChars="200"/>
        <w:rPr>
          <w:sz w:val="24"/>
          <w:szCs w:val="24"/>
          <w:highlight w:val="yellow"/>
        </w:rPr>
      </w:pPr>
      <w:r>
        <w:rPr>
          <w:rFonts w:hint="eastAsia"/>
          <w:b/>
          <w:bCs/>
          <w:sz w:val="24"/>
          <w:szCs w:val="24"/>
        </w:rPr>
        <w:t>项目支出预算执行率</w:t>
      </w:r>
      <w:r>
        <w:rPr>
          <w:rFonts w:hint="eastAsia"/>
          <w:sz w:val="24"/>
          <w:szCs w:val="24"/>
        </w:rPr>
        <w:t>：该指标反映项目支出实际数占预算数的比值，2022年</w:t>
      </w:r>
      <w:r>
        <w:rPr>
          <w:sz w:val="24"/>
          <w:szCs w:val="24"/>
        </w:rPr>
        <w:t>度项目支出全年预算数</w:t>
      </w:r>
      <w:r>
        <w:rPr>
          <w:rFonts w:hint="eastAsia"/>
          <w:sz w:val="24"/>
          <w:szCs w:val="24"/>
        </w:rPr>
        <w:t>613</w:t>
      </w:r>
      <w:r>
        <w:rPr>
          <w:sz w:val="24"/>
          <w:szCs w:val="24"/>
        </w:rPr>
        <w:t>万元，实际支出数</w:t>
      </w:r>
      <w:r>
        <w:rPr>
          <w:rFonts w:hint="eastAsia"/>
          <w:sz w:val="24"/>
          <w:szCs w:val="24"/>
        </w:rPr>
        <w:t>613万元，项目支出预算执行率为100</w:t>
      </w:r>
      <w:r>
        <w:rPr>
          <w:sz w:val="24"/>
          <w:szCs w:val="24"/>
        </w:rPr>
        <w:t>%，</w:t>
      </w:r>
      <w:r>
        <w:rPr>
          <w:rFonts w:hint="eastAsia"/>
          <w:sz w:val="24"/>
          <w:szCs w:val="24"/>
        </w:rPr>
        <w:t>该指标分值2</w:t>
      </w:r>
      <w:r>
        <w:rPr>
          <w:sz w:val="24"/>
          <w:szCs w:val="24"/>
        </w:rPr>
        <w:t>分，自评得分</w:t>
      </w:r>
      <w:r>
        <w:rPr>
          <w:rFonts w:hint="eastAsia"/>
          <w:sz w:val="24"/>
          <w:szCs w:val="24"/>
        </w:rPr>
        <w:t xml:space="preserve">2 </w:t>
      </w:r>
      <w:r>
        <w:rPr>
          <w:sz w:val="24"/>
          <w:szCs w:val="24"/>
        </w:rPr>
        <w:t>分，</w:t>
      </w:r>
      <w:r>
        <w:rPr>
          <w:rFonts w:hint="eastAsia"/>
          <w:sz w:val="24"/>
          <w:szCs w:val="24"/>
        </w:rPr>
        <w:t>得分率为100</w:t>
      </w:r>
      <w:r>
        <w:rPr>
          <w:sz w:val="24"/>
          <w:szCs w:val="24"/>
        </w:rPr>
        <w:t>%。</w:t>
      </w:r>
    </w:p>
    <w:p>
      <w:pPr>
        <w:ind w:firstLine="480" w:firstLineChars="200"/>
        <w:rPr>
          <w:sz w:val="24"/>
          <w:szCs w:val="24"/>
        </w:rPr>
      </w:pPr>
      <w:r>
        <w:rPr>
          <w:rFonts w:hint="eastAsia"/>
          <w:b/>
          <w:bCs/>
          <w:sz w:val="24"/>
          <w:szCs w:val="24"/>
        </w:rPr>
        <w:t>“三公经费”控制率：</w:t>
      </w:r>
      <w:r>
        <w:rPr>
          <w:rFonts w:hint="eastAsia"/>
          <w:sz w:val="24"/>
          <w:szCs w:val="24"/>
        </w:rPr>
        <w:t>该指标反映三公经费实际数占预算数的比值，</w:t>
      </w:r>
      <w:r>
        <w:rPr>
          <w:sz w:val="24"/>
          <w:szCs w:val="24"/>
        </w:rPr>
        <w:t>202</w:t>
      </w:r>
      <w:r>
        <w:rPr>
          <w:rFonts w:hint="eastAsia"/>
          <w:sz w:val="24"/>
          <w:szCs w:val="24"/>
        </w:rPr>
        <w:t>2</w:t>
      </w:r>
      <w:r>
        <w:rPr>
          <w:sz w:val="24"/>
          <w:szCs w:val="24"/>
        </w:rPr>
        <w:t>年度我院按照国家、省市区有关厉行节约的规定，对“三</w:t>
      </w:r>
      <w:r>
        <w:rPr>
          <w:rFonts w:hint="eastAsia"/>
          <w:sz w:val="24"/>
          <w:szCs w:val="24"/>
        </w:rPr>
        <w:t>公”经费进行控制，“三公经费”预算数2</w:t>
      </w:r>
      <w:r>
        <w:rPr>
          <w:sz w:val="24"/>
          <w:szCs w:val="24"/>
        </w:rPr>
        <w:t>万元，实际支出数</w:t>
      </w:r>
      <w:r>
        <w:rPr>
          <w:rFonts w:hint="eastAsia"/>
          <w:sz w:val="24"/>
          <w:szCs w:val="24"/>
        </w:rPr>
        <w:t>2万</w:t>
      </w:r>
      <w:r>
        <w:rPr>
          <w:sz w:val="24"/>
          <w:szCs w:val="24"/>
        </w:rPr>
        <w:t>元</w:t>
      </w:r>
      <w:r>
        <w:rPr>
          <w:rFonts w:hint="eastAsia"/>
          <w:sz w:val="24"/>
          <w:szCs w:val="24"/>
        </w:rPr>
        <w:t>。</w:t>
      </w:r>
      <w:r>
        <w:rPr>
          <w:sz w:val="24"/>
          <w:szCs w:val="24"/>
        </w:rPr>
        <w:t>“三公经费”控制率为</w:t>
      </w:r>
      <w:r>
        <w:rPr>
          <w:rFonts w:hint="eastAsia"/>
          <w:sz w:val="24"/>
          <w:szCs w:val="24"/>
        </w:rPr>
        <w:t>100</w:t>
      </w:r>
      <w:r>
        <w:rPr>
          <w:sz w:val="24"/>
          <w:szCs w:val="24"/>
        </w:rPr>
        <w:t>%，</w:t>
      </w:r>
      <w:r>
        <w:rPr>
          <w:rFonts w:hint="eastAsia"/>
          <w:sz w:val="24"/>
          <w:szCs w:val="24"/>
        </w:rPr>
        <w:t>低于</w:t>
      </w:r>
      <w:r>
        <w:rPr>
          <w:sz w:val="24"/>
          <w:szCs w:val="24"/>
        </w:rPr>
        <w:t>控制率100%</w:t>
      </w:r>
      <w:r>
        <w:rPr>
          <w:rFonts w:hint="eastAsia"/>
          <w:sz w:val="24"/>
          <w:szCs w:val="24"/>
        </w:rPr>
        <w:t xml:space="preserve"> </w:t>
      </w:r>
      <w:r>
        <w:rPr>
          <w:sz w:val="24"/>
          <w:szCs w:val="24"/>
        </w:rPr>
        <w:t>，该</w:t>
      </w:r>
      <w:r>
        <w:rPr>
          <w:rFonts w:hint="eastAsia"/>
          <w:sz w:val="24"/>
          <w:szCs w:val="24"/>
        </w:rPr>
        <w:t>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r>
        <w:rPr>
          <w:rFonts w:hint="eastAsia"/>
          <w:sz w:val="24"/>
          <w:szCs w:val="24"/>
        </w:rPr>
        <w:t xml:space="preserve"> </w:t>
      </w:r>
    </w:p>
    <w:p>
      <w:pPr>
        <w:ind w:firstLine="480" w:firstLineChars="200"/>
        <w:rPr>
          <w:sz w:val="24"/>
          <w:szCs w:val="24"/>
        </w:rPr>
      </w:pPr>
      <w:r>
        <w:rPr>
          <w:rFonts w:hint="eastAsia"/>
          <w:b/>
          <w:bCs/>
          <w:sz w:val="24"/>
          <w:szCs w:val="24"/>
        </w:rPr>
        <w:t>结转结余变动率：</w:t>
      </w:r>
      <w:r>
        <w:rPr>
          <w:rFonts w:hint="eastAsia"/>
          <w:sz w:val="24"/>
          <w:szCs w:val="24"/>
        </w:rPr>
        <w:t>该指标反映本年度结转资金相比上年度结转资金的增减程度，2021年</w:t>
      </w:r>
      <w:r>
        <w:rPr>
          <w:sz w:val="24"/>
          <w:szCs w:val="24"/>
        </w:rPr>
        <w:t>度结转结余资金</w:t>
      </w:r>
      <w:r>
        <w:rPr>
          <w:rFonts w:hint="eastAsia"/>
          <w:sz w:val="24"/>
          <w:szCs w:val="24"/>
        </w:rPr>
        <w:t>0</w:t>
      </w:r>
      <w:r>
        <w:rPr>
          <w:sz w:val="24"/>
          <w:szCs w:val="24"/>
        </w:rPr>
        <w:t>元，</w:t>
      </w:r>
      <w:r>
        <w:rPr>
          <w:rFonts w:hint="eastAsia"/>
          <w:sz w:val="24"/>
          <w:szCs w:val="24"/>
        </w:rPr>
        <w:t>2022年</w:t>
      </w:r>
      <w:r>
        <w:rPr>
          <w:sz w:val="24"/>
          <w:szCs w:val="24"/>
        </w:rPr>
        <w:t>度结转</w:t>
      </w:r>
      <w:r>
        <w:rPr>
          <w:rFonts w:hint="eastAsia"/>
          <w:sz w:val="24"/>
          <w:szCs w:val="24"/>
        </w:rPr>
        <w:t>0元，在预算执行、事项支出、会计核算以及重大事项支出程序等方面不存在不规范现象，无虚列项目支出，截留、挤占、挪用项目资金等情况。指标权重2</w:t>
      </w:r>
      <w:r>
        <w:rPr>
          <w:sz w:val="24"/>
          <w:szCs w:val="24"/>
        </w:rPr>
        <w:t>分，自评得分</w:t>
      </w:r>
      <w:r>
        <w:rPr>
          <w:rFonts w:hint="eastAsia"/>
          <w:sz w:val="24"/>
          <w:szCs w:val="24"/>
        </w:rPr>
        <w:t xml:space="preserve">2 </w:t>
      </w:r>
      <w:r>
        <w:rPr>
          <w:sz w:val="24"/>
          <w:szCs w:val="24"/>
        </w:rPr>
        <w:t>分，得分率为</w:t>
      </w:r>
      <w:r>
        <w:rPr>
          <w:rFonts w:hint="eastAsia"/>
          <w:sz w:val="24"/>
          <w:szCs w:val="24"/>
        </w:rPr>
        <w:t>100</w:t>
      </w:r>
      <w:r>
        <w:rPr>
          <w:sz w:val="24"/>
          <w:szCs w:val="24"/>
        </w:rPr>
        <w:t>%。</w:t>
      </w:r>
    </w:p>
    <w:p>
      <w:pPr>
        <w:ind w:firstLine="480" w:firstLineChars="200"/>
        <w:rPr>
          <w:sz w:val="24"/>
          <w:szCs w:val="24"/>
        </w:rPr>
      </w:pPr>
      <w:r>
        <w:rPr>
          <w:rFonts w:hint="eastAsia"/>
          <w:b/>
          <w:bCs/>
          <w:sz w:val="24"/>
          <w:szCs w:val="24"/>
        </w:rPr>
        <w:t>财务管理制度健全性：</w:t>
      </w:r>
      <w:r>
        <w:rPr>
          <w:rFonts w:hint="eastAsia"/>
          <w:sz w:val="24"/>
          <w:szCs w:val="24"/>
        </w:rPr>
        <w:t>单位制定了嘉峪关市城区人民法院财务经费管理办法、固定资产资产管理办法等规章制度，</w:t>
      </w:r>
      <w:r>
        <w:rPr>
          <w:sz w:val="24"/>
          <w:szCs w:val="24"/>
        </w:rPr>
        <w:t>该指标权重</w:t>
      </w:r>
      <w:r>
        <w:rPr>
          <w:rFonts w:hint="eastAsia"/>
          <w:sz w:val="24"/>
          <w:szCs w:val="24"/>
        </w:rPr>
        <w:t>2</w:t>
      </w:r>
      <w:r>
        <w:rPr>
          <w:sz w:val="24"/>
          <w:szCs w:val="24"/>
        </w:rPr>
        <w:t>分，按评价标准自评得分</w:t>
      </w:r>
      <w:r>
        <w:rPr>
          <w:rFonts w:hint="eastAsia"/>
          <w:sz w:val="24"/>
          <w:szCs w:val="24"/>
        </w:rPr>
        <w:t>1.8</w:t>
      </w:r>
      <w:r>
        <w:rPr>
          <w:sz w:val="24"/>
          <w:szCs w:val="24"/>
        </w:rPr>
        <w:t>分，得分率为</w:t>
      </w:r>
      <w:r>
        <w:rPr>
          <w:rFonts w:hint="eastAsia"/>
          <w:sz w:val="24"/>
          <w:szCs w:val="24"/>
        </w:rPr>
        <w:t>9</w:t>
      </w:r>
      <w:r>
        <w:rPr>
          <w:sz w:val="24"/>
          <w:szCs w:val="24"/>
        </w:rPr>
        <w:t>0%。</w:t>
      </w:r>
    </w:p>
    <w:p>
      <w:pPr>
        <w:ind w:firstLine="480" w:firstLineChars="200"/>
        <w:rPr>
          <w:sz w:val="24"/>
          <w:szCs w:val="24"/>
        </w:rPr>
      </w:pPr>
      <w:r>
        <w:rPr>
          <w:rFonts w:hint="eastAsia"/>
          <w:b/>
          <w:bCs/>
          <w:sz w:val="24"/>
          <w:szCs w:val="24"/>
        </w:rPr>
        <w:t>资金使用规范性：</w:t>
      </w:r>
      <w:r>
        <w:rPr>
          <w:rFonts w:hint="eastAsia"/>
          <w:sz w:val="24"/>
          <w:szCs w:val="24"/>
        </w:rPr>
        <w:t>该指标反映部门资金支出是否规范，</w:t>
      </w:r>
      <w:r>
        <w:rPr>
          <w:sz w:val="24"/>
          <w:szCs w:val="24"/>
        </w:rPr>
        <w:t>202</w:t>
      </w:r>
      <w:r>
        <w:rPr>
          <w:rFonts w:hint="eastAsia"/>
          <w:sz w:val="24"/>
          <w:szCs w:val="24"/>
        </w:rPr>
        <w:t>2</w:t>
      </w:r>
      <w:r>
        <w:rPr>
          <w:sz w:val="24"/>
          <w:szCs w:val="24"/>
        </w:rPr>
        <w:t>年</w:t>
      </w:r>
      <w:r>
        <w:rPr>
          <w:rFonts w:hint="eastAsia"/>
          <w:sz w:val="24"/>
          <w:szCs w:val="24"/>
        </w:rPr>
        <w:t>我院资金支出总体上审批程序合规、手续齐全，支出内容符合省财政预算批复规定的用途。指标权重2</w:t>
      </w:r>
      <w:r>
        <w:rPr>
          <w:sz w:val="24"/>
          <w:szCs w:val="24"/>
        </w:rPr>
        <w:t>分，自评得分</w:t>
      </w:r>
      <w:r>
        <w:rPr>
          <w:rFonts w:hint="eastAsia"/>
          <w:sz w:val="24"/>
          <w:szCs w:val="24"/>
        </w:rPr>
        <w:t xml:space="preserve">1.8 </w:t>
      </w:r>
      <w:r>
        <w:rPr>
          <w:sz w:val="24"/>
          <w:szCs w:val="24"/>
        </w:rPr>
        <w:t>分，得分率为</w:t>
      </w:r>
      <w:r>
        <w:rPr>
          <w:rFonts w:hint="eastAsia"/>
          <w:sz w:val="24"/>
          <w:szCs w:val="24"/>
        </w:rPr>
        <w:t>90</w:t>
      </w:r>
      <w:r>
        <w:rPr>
          <w:sz w:val="24"/>
          <w:szCs w:val="24"/>
        </w:rPr>
        <w:t>%</w:t>
      </w:r>
    </w:p>
    <w:p>
      <w:pPr>
        <w:ind w:firstLine="480" w:firstLineChars="200"/>
        <w:rPr>
          <w:sz w:val="24"/>
          <w:szCs w:val="24"/>
        </w:rPr>
      </w:pPr>
      <w:r>
        <w:rPr>
          <w:rFonts w:hint="eastAsia"/>
          <w:b/>
          <w:bCs/>
          <w:sz w:val="24"/>
          <w:szCs w:val="24"/>
        </w:rPr>
        <w:t>政府采购规范性</w:t>
      </w:r>
      <w:r>
        <w:rPr>
          <w:rFonts w:hint="eastAsia"/>
          <w:sz w:val="24"/>
          <w:szCs w:val="24"/>
        </w:rPr>
        <w:t>：2022年我院采购实际执行情况与采购计划安排基本无差异。采购事项严格执行相关标准，采购业务符合政府采购相关规定，指标权重2</w:t>
      </w:r>
      <w:r>
        <w:rPr>
          <w:sz w:val="24"/>
          <w:szCs w:val="24"/>
        </w:rPr>
        <w:t>分，自评得分</w:t>
      </w:r>
      <w:r>
        <w:rPr>
          <w:rFonts w:hint="eastAsia"/>
          <w:sz w:val="24"/>
          <w:szCs w:val="24"/>
        </w:rPr>
        <w:t>1.8</w:t>
      </w:r>
      <w:r>
        <w:rPr>
          <w:sz w:val="24"/>
          <w:szCs w:val="24"/>
        </w:rPr>
        <w:t>分，</w:t>
      </w:r>
      <w:r>
        <w:rPr>
          <w:rFonts w:hint="eastAsia"/>
          <w:sz w:val="24"/>
          <w:szCs w:val="24"/>
        </w:rPr>
        <w:t>得分率为90</w:t>
      </w:r>
      <w:r>
        <w:rPr>
          <w:sz w:val="24"/>
          <w:szCs w:val="24"/>
        </w:rPr>
        <w:t>%。</w:t>
      </w:r>
    </w:p>
    <w:p>
      <w:pPr>
        <w:ind w:firstLine="480" w:firstLineChars="200"/>
        <w:rPr>
          <w:sz w:val="24"/>
          <w:szCs w:val="24"/>
        </w:rPr>
      </w:pPr>
      <w:r>
        <w:rPr>
          <w:rFonts w:hint="eastAsia"/>
          <w:b/>
          <w:bCs/>
          <w:sz w:val="24"/>
          <w:szCs w:val="24"/>
        </w:rPr>
        <w:t>资产管理规范性：</w:t>
      </w:r>
      <w:r>
        <w:rPr>
          <w:rFonts w:hint="eastAsia"/>
          <w:sz w:val="24"/>
          <w:szCs w:val="24"/>
        </w:rPr>
        <w:t>2022年我院账务和资产卡片数据相符，资产卡片与实物相符，各类资产保存完整、使用合规、配置合理、处置规范，根据评分标准本项得满分。指标权重2</w:t>
      </w:r>
      <w:r>
        <w:rPr>
          <w:sz w:val="24"/>
          <w:szCs w:val="24"/>
        </w:rPr>
        <w:t>分，自评</w:t>
      </w:r>
      <w:r>
        <w:rPr>
          <w:rFonts w:hint="eastAsia"/>
          <w:sz w:val="24"/>
          <w:szCs w:val="24"/>
        </w:rPr>
        <w:t>得分1.8</w:t>
      </w:r>
      <w:r>
        <w:rPr>
          <w:sz w:val="24"/>
          <w:szCs w:val="24"/>
        </w:rPr>
        <w:t>分，得分率为</w:t>
      </w:r>
      <w:r>
        <w:rPr>
          <w:rFonts w:hint="eastAsia"/>
          <w:sz w:val="24"/>
          <w:szCs w:val="24"/>
        </w:rPr>
        <w:t>90</w:t>
      </w:r>
      <w:r>
        <w:rPr>
          <w:sz w:val="24"/>
          <w:szCs w:val="24"/>
        </w:rPr>
        <w:t>%。</w:t>
      </w:r>
    </w:p>
    <w:p>
      <w:pPr>
        <w:pStyle w:val="4"/>
        <w:spacing w:line="560" w:lineRule="exact"/>
        <w:ind w:firstLine="482" w:firstLineChars="200"/>
        <w:rPr>
          <w:rFonts w:hint="default"/>
          <w:sz w:val="24"/>
          <w:szCs w:val="24"/>
        </w:rPr>
      </w:pPr>
      <w:r>
        <w:rPr>
          <w:b/>
          <w:bCs/>
          <w:sz w:val="24"/>
          <w:szCs w:val="24"/>
        </w:rPr>
        <w:t>在职人员控制率：</w:t>
      </w:r>
      <w:r>
        <w:rPr>
          <w:sz w:val="24"/>
          <w:szCs w:val="24"/>
        </w:rPr>
        <w:t>该指标反映单位实际人数占编制人数的比重，</w:t>
      </w:r>
      <w:r>
        <w:rPr>
          <w:rFonts w:hint="default" w:ascii="仿宋" w:hAnsi="仿宋" w:eastAsia="仿宋" w:cs="仿宋"/>
          <w:sz w:val="30"/>
          <w:szCs w:val="30"/>
        </w:rPr>
        <w:t>嘉峪关市城区人民法院编制人数62人，其中：行政编制32人，事业编制20人,工勤编制10人;年末实有人数</w:t>
      </w:r>
      <w:r>
        <w:rPr>
          <w:rFonts w:ascii="仿宋" w:hAnsi="仿宋" w:eastAsia="仿宋" w:cs="仿宋"/>
          <w:sz w:val="30"/>
          <w:szCs w:val="30"/>
        </w:rPr>
        <w:t>39</w:t>
      </w:r>
      <w:r>
        <w:rPr>
          <w:rFonts w:hint="default" w:ascii="仿宋" w:hAnsi="仿宋" w:eastAsia="仿宋" w:cs="仿宋"/>
          <w:sz w:val="30"/>
          <w:szCs w:val="30"/>
        </w:rPr>
        <w:t>人全部为在职人员</w:t>
      </w:r>
      <w:r>
        <w:rPr>
          <w:sz w:val="24"/>
          <w:szCs w:val="24"/>
        </w:rPr>
        <w:t>。在职人员控制率为100 %，该指标分值2分，自评得分2分，得分率100%。</w:t>
      </w:r>
    </w:p>
    <w:p>
      <w:pPr>
        <w:ind w:firstLine="480" w:firstLineChars="200"/>
        <w:rPr>
          <w:sz w:val="24"/>
          <w:szCs w:val="24"/>
        </w:rPr>
      </w:pPr>
      <w:r>
        <w:rPr>
          <w:rFonts w:hint="eastAsia"/>
          <w:b/>
          <w:bCs/>
          <w:sz w:val="24"/>
          <w:szCs w:val="24"/>
        </w:rPr>
        <w:t>重点工作管理制度健全性：</w:t>
      </w:r>
      <w:r>
        <w:rPr>
          <w:rFonts w:hint="eastAsia"/>
          <w:sz w:val="24"/>
          <w:szCs w:val="24"/>
        </w:rPr>
        <w:t>该指标反映单位重点工作管理制度是否健全长效，我院针对重点工作，编制《嘉峪关市城区人民法院制度汇编》，</w:t>
      </w:r>
      <w:r>
        <w:rPr>
          <w:sz w:val="24"/>
          <w:szCs w:val="24"/>
        </w:rPr>
        <w:t>涉及党</w:t>
      </w:r>
      <w:r>
        <w:rPr>
          <w:rFonts w:hint="eastAsia"/>
          <w:sz w:val="24"/>
          <w:szCs w:val="24"/>
        </w:rPr>
        <w:t>务</w:t>
      </w:r>
      <w:r>
        <w:rPr>
          <w:sz w:val="24"/>
          <w:szCs w:val="24"/>
        </w:rPr>
        <w:t>，</w:t>
      </w:r>
      <w:r>
        <w:rPr>
          <w:rFonts w:hint="eastAsia"/>
          <w:sz w:val="24"/>
          <w:szCs w:val="24"/>
        </w:rPr>
        <w:t>行政</w:t>
      </w:r>
      <w:r>
        <w:rPr>
          <w:sz w:val="24"/>
          <w:szCs w:val="24"/>
        </w:rPr>
        <w:t>、</w:t>
      </w:r>
      <w:r>
        <w:rPr>
          <w:rFonts w:hint="eastAsia"/>
          <w:sz w:val="24"/>
          <w:szCs w:val="24"/>
        </w:rPr>
        <w:t>业务等各方面，有效推动分院各项工作规范化开展，指标权重2</w:t>
      </w:r>
      <w:r>
        <w:rPr>
          <w:sz w:val="24"/>
          <w:szCs w:val="24"/>
        </w:rPr>
        <w:t>分，</w:t>
      </w:r>
      <w:r>
        <w:rPr>
          <w:rFonts w:hint="eastAsia"/>
          <w:sz w:val="24"/>
          <w:szCs w:val="24"/>
        </w:rPr>
        <w:t xml:space="preserve">自评得分2 </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2</w:t>
      </w:r>
      <w:r>
        <w:rPr>
          <w:b/>
          <w:bCs/>
          <w:sz w:val="24"/>
          <w:szCs w:val="24"/>
        </w:rPr>
        <w:t>、履职效果</w:t>
      </w:r>
    </w:p>
    <w:p>
      <w:pPr>
        <w:ind w:firstLine="480" w:firstLineChars="200"/>
        <w:rPr>
          <w:sz w:val="24"/>
          <w:szCs w:val="24"/>
        </w:rPr>
      </w:pPr>
      <w:r>
        <w:rPr>
          <w:rFonts w:hint="eastAsia"/>
          <w:sz w:val="24"/>
          <w:szCs w:val="24"/>
        </w:rPr>
        <w:t>一级指标履职效果下设部门履职目标、部门效果和社会影响3</w:t>
      </w:r>
      <w:r>
        <w:rPr>
          <w:sz w:val="24"/>
          <w:szCs w:val="24"/>
        </w:rPr>
        <w:t>个二级指标</w:t>
      </w:r>
      <w:r>
        <w:rPr>
          <w:rFonts w:hint="eastAsia"/>
          <w:sz w:val="24"/>
          <w:szCs w:val="24"/>
        </w:rPr>
        <w:t>、25个三级指标</w:t>
      </w:r>
      <w:r>
        <w:rPr>
          <w:sz w:val="24"/>
          <w:szCs w:val="24"/>
        </w:rPr>
        <w:t>，</w:t>
      </w:r>
      <w:r>
        <w:rPr>
          <w:rFonts w:hint="eastAsia"/>
          <w:sz w:val="24"/>
          <w:szCs w:val="24"/>
        </w:rPr>
        <w:t>下面将逐一进行分析。</w:t>
      </w:r>
    </w:p>
    <w:p>
      <w:pPr>
        <w:ind w:firstLine="480" w:firstLineChars="200"/>
        <w:rPr>
          <w:b/>
          <w:bCs/>
          <w:sz w:val="24"/>
          <w:szCs w:val="24"/>
        </w:rPr>
      </w:pPr>
      <w:r>
        <w:rPr>
          <w:rFonts w:hint="eastAsia"/>
          <w:b/>
          <w:bCs/>
          <w:sz w:val="24"/>
          <w:szCs w:val="24"/>
        </w:rPr>
        <w:t>（</w:t>
      </w:r>
      <w:r>
        <w:rPr>
          <w:b/>
          <w:bCs/>
          <w:sz w:val="24"/>
          <w:szCs w:val="24"/>
        </w:rPr>
        <w:t>1）部门履职目标</w:t>
      </w:r>
    </w:p>
    <w:p>
      <w:pPr>
        <w:ind w:firstLine="480" w:firstLineChars="200"/>
        <w:rPr>
          <w:sz w:val="24"/>
          <w:szCs w:val="24"/>
          <w:highlight w:val="yellow"/>
        </w:rPr>
      </w:pPr>
      <w:r>
        <w:rPr>
          <w:rFonts w:hint="eastAsia"/>
          <w:sz w:val="24"/>
          <w:szCs w:val="24"/>
        </w:rPr>
        <w:t>部门履职目标根据部门重点工作任务的产出而设置，指标权重合计40</w:t>
      </w:r>
      <w:r>
        <w:rPr>
          <w:sz w:val="24"/>
          <w:szCs w:val="24"/>
        </w:rPr>
        <w:t>分，自评得分</w:t>
      </w:r>
      <w:r>
        <w:rPr>
          <w:rFonts w:hint="eastAsia"/>
          <w:sz w:val="24"/>
          <w:szCs w:val="24"/>
        </w:rPr>
        <w:t>32.98</w:t>
      </w:r>
      <w:r>
        <w:rPr>
          <w:sz w:val="24"/>
          <w:szCs w:val="24"/>
        </w:rPr>
        <w:t>分，得分率为</w:t>
      </w:r>
      <w:r>
        <w:rPr>
          <w:rFonts w:hint="eastAsia"/>
          <w:sz w:val="24"/>
          <w:szCs w:val="24"/>
        </w:rPr>
        <w:t>82.45</w:t>
      </w:r>
      <w:r>
        <w:rPr>
          <w:sz w:val="24"/>
          <w:szCs w:val="24"/>
        </w:rPr>
        <w:t>%。</w:t>
      </w:r>
    </w:p>
    <w:tbl>
      <w:tblPr>
        <w:tblStyle w:val="11"/>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产出数量指标1-刑事案件审结率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&gt;=93%</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&gt;=78.04%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1.68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84%</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产出数量指标2-民商事案件审结率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&gt;=90%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&gt;=86.08%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1.91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产出数量指标3-行政案件审结率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&gt;=98%</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&gt;=87.8%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1.79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Cs w:val="21"/>
              </w:rPr>
            </w:pPr>
            <w:r>
              <w:rPr>
                <w:rFonts w:hint="eastAsia"/>
                <w:color w:val="000000"/>
                <w:szCs w:val="21"/>
              </w:rPr>
              <w:t>产出数量指标4-执行案件结案率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&gt;=93%</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&gt;=74.6%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80%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产出数量指标5-维修改造项目完成率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产出数量指标6-档案库建设数</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=1个</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0个</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产出数量指标7-装备购置完成率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产出数量指标8-法制宣传工作完成率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产出质量指标1-一审服判息诉率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&gt;=87%</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&gt;=87%</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产出质量指标2-上诉改判率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&lt;=10%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&lt;=10%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产出质量指标3-再审审查率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&lt;=1%</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&lt;=1%</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产出质量指标4-维修改造项目验收合格率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产出质量指标5-档案库建设项目验收合格率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333333"/>
                <w:sz w:val="22"/>
              </w:rPr>
            </w:pPr>
            <w:r>
              <w:rPr>
                <w:rFonts w:hint="eastAsia"/>
                <w:color w:val="333333"/>
                <w:sz w:val="22"/>
              </w:rPr>
              <w:t>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产出质量指标6-装备验收合格率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产出时效指标1-法定审限内结案率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&gt;=97%</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&gt;=100%</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产出时效指标2-维修改造项目完成及时性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产出时效指标3-档案库建设项目完成及时性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未建设</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产出时效指标4-装备购置及时性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产出时效指标5-开展法制宣传工作及时性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及时</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产出成本指标-成本控制情况</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控制在预算范围内</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控制在预算范围内</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sz w:val="22"/>
              </w:rPr>
            </w:pPr>
            <w:r>
              <w:rPr>
                <w:rFonts w:hint="eastAsia"/>
                <w:color w:val="000000"/>
                <w:sz w:val="22"/>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32.98</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等线" w:hAnsi="等线" w:eastAsia="等线" w:cs="宋体"/>
                <w:b/>
                <w:bCs/>
                <w:color w:val="000000"/>
                <w:kern w:val="0"/>
                <w:sz w:val="22"/>
              </w:rPr>
            </w:pPr>
            <w:r>
              <w:rPr>
                <w:rFonts w:hint="eastAsia" w:ascii="等线" w:hAnsi="等线" w:eastAsia="等线" w:cs="宋体"/>
                <w:b/>
                <w:bCs/>
                <w:color w:val="000000"/>
                <w:kern w:val="0"/>
                <w:sz w:val="22"/>
              </w:rPr>
              <w:t>82.45%</w:t>
            </w:r>
          </w:p>
        </w:tc>
      </w:tr>
    </w:tbl>
    <w:p>
      <w:pPr>
        <w:ind w:firstLine="480" w:firstLineChars="200"/>
        <w:rPr>
          <w:sz w:val="24"/>
          <w:szCs w:val="24"/>
        </w:rPr>
      </w:pPr>
      <w:r>
        <w:rPr>
          <w:rFonts w:hint="eastAsia"/>
          <w:sz w:val="24"/>
          <w:szCs w:val="24"/>
        </w:rPr>
        <w:t>根据我院年度工作计划和重点工作任务，设置各重点业务的产出指标，目标完成情况良好，各指标具体完成情况分析如下：</w:t>
      </w:r>
    </w:p>
    <w:p>
      <w:pPr>
        <w:ind w:firstLine="480" w:firstLineChars="200"/>
        <w:rPr>
          <w:sz w:val="24"/>
          <w:szCs w:val="24"/>
        </w:rPr>
      </w:pPr>
      <w:r>
        <w:rPr>
          <w:rFonts w:hint="eastAsia"/>
          <w:b/>
          <w:bCs/>
          <w:sz w:val="24"/>
          <w:szCs w:val="24"/>
        </w:rPr>
        <w:t>产出数量指标：</w:t>
      </w:r>
      <w:r>
        <w:rPr>
          <w:rFonts w:hint="eastAsia"/>
          <w:sz w:val="24"/>
          <w:szCs w:val="24"/>
        </w:rPr>
        <w:t>与办案相关的必要支出费用得到保障，在执行过程中保障了各类案件在审理过程中的各项支出费用及时到位。指标分值16</w:t>
      </w:r>
      <w:r>
        <w:rPr>
          <w:sz w:val="24"/>
          <w:szCs w:val="24"/>
        </w:rPr>
        <w:t>分，按评价标准自评得分为</w:t>
      </w:r>
      <w:r>
        <w:rPr>
          <w:rFonts w:hint="eastAsia"/>
          <w:sz w:val="24"/>
          <w:szCs w:val="24"/>
        </w:rPr>
        <w:t>12.98</w:t>
      </w:r>
      <w:r>
        <w:rPr>
          <w:sz w:val="24"/>
          <w:szCs w:val="24"/>
        </w:rPr>
        <w:t>分，得分率为</w:t>
      </w:r>
      <w:r>
        <w:rPr>
          <w:rFonts w:hint="eastAsia"/>
          <w:sz w:val="24"/>
          <w:szCs w:val="24"/>
        </w:rPr>
        <w:t>81</w:t>
      </w:r>
      <w:r>
        <w:rPr>
          <w:sz w:val="24"/>
          <w:szCs w:val="24"/>
        </w:rPr>
        <w:t>%。</w:t>
      </w:r>
    </w:p>
    <w:p>
      <w:pPr>
        <w:ind w:firstLine="480" w:firstLineChars="200"/>
        <w:rPr>
          <w:sz w:val="24"/>
          <w:szCs w:val="24"/>
        </w:rPr>
      </w:pPr>
      <w:r>
        <w:rPr>
          <w:rFonts w:hint="eastAsia"/>
          <w:b/>
          <w:bCs/>
          <w:sz w:val="24"/>
          <w:szCs w:val="24"/>
        </w:rPr>
        <w:t>产出质量指标</w:t>
      </w:r>
      <w:r>
        <w:rPr>
          <w:b/>
          <w:bCs/>
          <w:sz w:val="24"/>
          <w:szCs w:val="24"/>
        </w:rPr>
        <w:t>：</w:t>
      </w:r>
      <w:r>
        <w:rPr>
          <w:rFonts w:hint="eastAsia"/>
          <w:sz w:val="24"/>
          <w:szCs w:val="24"/>
        </w:rPr>
        <w:t xml:space="preserve"> 严格法定审限内结案，无积案堆案，法定审限结案率达到100</w:t>
      </w:r>
      <w:r>
        <w:rPr>
          <w:sz w:val="24"/>
          <w:szCs w:val="24"/>
        </w:rPr>
        <w:t>%。</w:t>
      </w:r>
      <w:r>
        <w:rPr>
          <w:rFonts w:hint="eastAsia"/>
          <w:sz w:val="24"/>
          <w:szCs w:val="24"/>
        </w:rPr>
        <w:t>指标分值12</w:t>
      </w:r>
      <w:r>
        <w:rPr>
          <w:sz w:val="24"/>
          <w:szCs w:val="24"/>
        </w:rPr>
        <w:t>分，按评价标准自评得分为</w:t>
      </w:r>
      <w:r>
        <w:rPr>
          <w:rFonts w:hint="eastAsia"/>
          <w:sz w:val="24"/>
          <w:szCs w:val="24"/>
        </w:rPr>
        <w:t>10</w:t>
      </w:r>
      <w:r>
        <w:rPr>
          <w:sz w:val="24"/>
          <w:szCs w:val="24"/>
        </w:rPr>
        <w:t>分，得分率为</w:t>
      </w:r>
      <w:r>
        <w:rPr>
          <w:rFonts w:hint="eastAsia"/>
          <w:sz w:val="24"/>
          <w:szCs w:val="24"/>
        </w:rPr>
        <w:t>83</w:t>
      </w:r>
      <w:r>
        <w:rPr>
          <w:sz w:val="24"/>
          <w:szCs w:val="24"/>
        </w:rPr>
        <w:t>%。</w:t>
      </w:r>
    </w:p>
    <w:p>
      <w:pPr>
        <w:ind w:firstLine="480" w:firstLineChars="200"/>
        <w:jc w:val="left"/>
      </w:pPr>
      <w:r>
        <w:rPr>
          <w:rFonts w:hint="eastAsia"/>
          <w:b/>
          <w:bCs/>
          <w:sz w:val="24"/>
          <w:szCs w:val="24"/>
        </w:rPr>
        <w:t>产出时效指标：</w:t>
      </w:r>
      <w:r>
        <w:rPr>
          <w:rFonts w:hint="eastAsia"/>
          <w:sz w:val="24"/>
          <w:szCs w:val="24"/>
        </w:rPr>
        <w:t>满足辖区居民司法诉求，实现法定时间结案，完成培训工作等。指标分值10</w:t>
      </w:r>
      <w:r>
        <w:rPr>
          <w:sz w:val="24"/>
          <w:szCs w:val="24"/>
        </w:rPr>
        <w:t>分，按评价标准自评得分为</w:t>
      </w:r>
      <w:r>
        <w:rPr>
          <w:rFonts w:hint="eastAsia"/>
          <w:sz w:val="24"/>
          <w:szCs w:val="24"/>
        </w:rPr>
        <w:t>8</w:t>
      </w:r>
      <w:r>
        <w:rPr>
          <w:sz w:val="24"/>
          <w:szCs w:val="24"/>
        </w:rPr>
        <w:t>分，得分率为</w:t>
      </w:r>
      <w:r>
        <w:rPr>
          <w:rFonts w:hint="eastAsia"/>
          <w:sz w:val="24"/>
          <w:szCs w:val="24"/>
        </w:rPr>
        <w:t>80</w:t>
      </w:r>
      <w:r>
        <w:rPr>
          <w:sz w:val="24"/>
          <w:szCs w:val="24"/>
        </w:rPr>
        <w:t>%</w:t>
      </w:r>
      <w:r>
        <w:rPr>
          <w:rFonts w:hint="eastAsia"/>
          <w:sz w:val="24"/>
          <w:szCs w:val="24"/>
        </w:rPr>
        <w:t>。</w:t>
      </w:r>
    </w:p>
    <w:p>
      <w:pPr>
        <w:ind w:firstLine="480" w:firstLineChars="200"/>
        <w:rPr>
          <w:sz w:val="24"/>
          <w:szCs w:val="24"/>
          <w:highlight w:val="yellow"/>
        </w:rPr>
      </w:pPr>
      <w:r>
        <w:rPr>
          <w:rFonts w:hint="eastAsia"/>
          <w:b/>
          <w:bCs/>
          <w:sz w:val="24"/>
          <w:szCs w:val="24"/>
        </w:rPr>
        <w:t>产出成本指标</w:t>
      </w:r>
      <w:r>
        <w:rPr>
          <w:b/>
          <w:bCs/>
          <w:sz w:val="24"/>
          <w:szCs w:val="24"/>
        </w:rPr>
        <w:t>：</w:t>
      </w:r>
      <w:r>
        <w:rPr>
          <w:rFonts w:hint="eastAsia"/>
          <w:sz w:val="24"/>
          <w:szCs w:val="24"/>
        </w:rPr>
        <w:t>2022年</w:t>
      </w:r>
      <w:r>
        <w:rPr>
          <w:sz w:val="24"/>
          <w:szCs w:val="24"/>
        </w:rPr>
        <w:t>我院严格贯彻过紧日子</w:t>
      </w:r>
      <w:r>
        <w:rPr>
          <w:rFonts w:hint="eastAsia"/>
          <w:sz w:val="24"/>
          <w:szCs w:val="24"/>
        </w:rPr>
        <w:t>方针，通过优化保障管理方式，培养节俭文化，在提高服务质量水平的同时，降低各项开支，成本有效控制在预算安排内，根据评分标准本项得满分。指标分值2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（2）部门效果目标</w:t>
      </w:r>
    </w:p>
    <w:tbl>
      <w:tblPr>
        <w:tblStyle w:val="11"/>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43"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经济效益指标-执行标的到位率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&gt;=25%</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&gt;=44.16%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社会效益指标1-民商事案件调解撤诉率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&gt;=37%</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&gt;=25.28%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1.36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社会效益指标2-一审案件陪审率</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&gt;=26%</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&gt;=44.15%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6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5.36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88 %</w:t>
            </w:r>
          </w:p>
        </w:tc>
      </w:tr>
    </w:tbl>
    <w:p>
      <w:pPr>
        <w:ind w:firstLine="480" w:firstLineChars="200"/>
        <w:rPr>
          <w:sz w:val="24"/>
          <w:szCs w:val="24"/>
        </w:rPr>
      </w:pPr>
      <w:r>
        <w:rPr>
          <w:rFonts w:hint="eastAsia"/>
          <w:sz w:val="24"/>
          <w:szCs w:val="24"/>
        </w:rPr>
        <w:t>效益指标主要考虑社会效益和经济效益两部分。总分值6</w:t>
      </w:r>
      <w:r>
        <w:rPr>
          <w:sz w:val="24"/>
          <w:szCs w:val="24"/>
        </w:rPr>
        <w:t>分，得分</w:t>
      </w:r>
      <w:r>
        <w:rPr>
          <w:rFonts w:hint="eastAsia"/>
          <w:sz w:val="24"/>
          <w:szCs w:val="24"/>
        </w:rPr>
        <w:t>5.36</w:t>
      </w:r>
      <w:r>
        <w:rPr>
          <w:sz w:val="24"/>
          <w:szCs w:val="24"/>
        </w:rPr>
        <w:t>分，得分率</w:t>
      </w:r>
      <w:r>
        <w:rPr>
          <w:rFonts w:hint="eastAsia"/>
          <w:sz w:val="24"/>
          <w:szCs w:val="24"/>
        </w:rPr>
        <w:t>88</w:t>
      </w:r>
      <w:r>
        <w:rPr>
          <w:sz w:val="24"/>
          <w:szCs w:val="24"/>
        </w:rPr>
        <w:t>%。</w:t>
      </w:r>
    </w:p>
    <w:p>
      <w:pPr>
        <w:ind w:firstLine="480" w:firstLineChars="200"/>
        <w:rPr>
          <w:sz w:val="24"/>
          <w:szCs w:val="24"/>
        </w:rPr>
      </w:pPr>
      <w:r>
        <w:rPr>
          <w:rFonts w:hint="eastAsia"/>
          <w:sz w:val="24"/>
          <w:szCs w:val="24"/>
        </w:rPr>
        <w:t>经济效益主要为执行金额到位率，社会效益指标下设</w:t>
      </w:r>
      <w:r>
        <w:rPr>
          <w:rFonts w:hint="eastAsia"/>
          <w:color w:val="333333"/>
          <w:sz w:val="22"/>
        </w:rPr>
        <w:t>民商事案件调解撤诉率</w:t>
      </w:r>
      <w:r>
        <w:rPr>
          <w:rFonts w:hint="eastAsia"/>
          <w:sz w:val="24"/>
          <w:szCs w:val="24"/>
        </w:rPr>
        <w:t>、</w:t>
      </w:r>
      <w:r>
        <w:rPr>
          <w:rFonts w:hint="eastAsia"/>
          <w:color w:val="333333"/>
          <w:sz w:val="22"/>
        </w:rPr>
        <w:t>一审案件陪审率</w:t>
      </w:r>
      <w:r>
        <w:rPr>
          <w:rFonts w:hint="eastAsia"/>
          <w:sz w:val="24"/>
          <w:szCs w:val="24"/>
        </w:rPr>
        <w:t>。</w:t>
      </w:r>
    </w:p>
    <w:p>
      <w:pPr>
        <w:ind w:firstLine="480" w:firstLineChars="200"/>
        <w:rPr>
          <w:b/>
          <w:bCs/>
          <w:sz w:val="24"/>
          <w:szCs w:val="24"/>
        </w:rPr>
      </w:pPr>
      <w:r>
        <w:rPr>
          <w:rFonts w:hint="eastAsia"/>
          <w:b/>
          <w:bCs/>
          <w:sz w:val="24"/>
          <w:szCs w:val="24"/>
        </w:rPr>
        <w:t>（3</w:t>
      </w:r>
      <w:r>
        <w:rPr>
          <w:b/>
          <w:bCs/>
          <w:sz w:val="24"/>
          <w:szCs w:val="24"/>
        </w:rPr>
        <w:t>）社会影响</w:t>
      </w:r>
    </w:p>
    <w:p>
      <w:pPr>
        <w:ind w:firstLine="480" w:firstLineChars="200"/>
        <w:rPr>
          <w:sz w:val="24"/>
          <w:szCs w:val="24"/>
        </w:rPr>
      </w:pPr>
      <w:r>
        <w:rPr>
          <w:rFonts w:hint="eastAsia"/>
          <w:sz w:val="24"/>
          <w:szCs w:val="24"/>
        </w:rPr>
        <w:t>社会影响指标包括单位获奖情况和违法违纪情况两个指标。本项指标分值合计4</w:t>
      </w:r>
      <w:r>
        <w:rPr>
          <w:sz w:val="24"/>
          <w:szCs w:val="24"/>
        </w:rPr>
        <w:t>分，自评得分</w:t>
      </w:r>
      <w:r>
        <w:rPr>
          <w:rFonts w:hint="eastAsia"/>
          <w:sz w:val="24"/>
          <w:szCs w:val="24"/>
        </w:rPr>
        <w:t>4</w:t>
      </w:r>
      <w:r>
        <w:rPr>
          <w:sz w:val="24"/>
          <w:szCs w:val="24"/>
        </w:rPr>
        <w:t>分，得分率</w:t>
      </w:r>
      <w:r>
        <w:rPr>
          <w:rFonts w:hint="eastAsia"/>
          <w:sz w:val="24"/>
          <w:szCs w:val="24"/>
        </w:rPr>
        <w:t>100</w:t>
      </w:r>
      <w:r>
        <w:rPr>
          <w:sz w:val="24"/>
          <w:szCs w:val="24"/>
        </w:rPr>
        <w:t>%。</w:t>
      </w:r>
    </w:p>
    <w:tbl>
      <w:tblPr>
        <w:tblStyle w:val="11"/>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86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Cs w:val="21"/>
              </w:rPr>
              <w:t xml:space="preserve"> &gt;=2项</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等线" w:hAnsi="等线" w:eastAsia="等线" w:cs="宋体"/>
                <w:color w:val="000000"/>
                <w:kern w:val="0"/>
                <w:sz w:val="22"/>
              </w:rPr>
            </w:pPr>
            <w:r>
              <w:rPr>
                <w:rFonts w:hint="eastAsia" w:ascii="宋体" w:hAnsi="宋体" w:eastAsia="宋体" w:cs="宋体"/>
                <w:color w:val="000000"/>
                <w:kern w:val="0"/>
                <w:szCs w:val="21"/>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等线" w:hAnsi="等线" w:eastAsia="等线" w:cs="宋体"/>
                <w:color w:val="000000"/>
                <w:kern w:val="0"/>
                <w:sz w:val="22"/>
              </w:rPr>
            </w:pPr>
            <w:r>
              <w:rPr>
                <w:rFonts w:hint="eastAsia" w:ascii="宋体" w:hAnsi="宋体" w:eastAsia="宋体" w:cs="宋体"/>
                <w:color w:val="000000"/>
                <w:kern w:val="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等线" w:hAnsi="等线" w:eastAsia="等线" w:cs="宋体"/>
                <w:color w:val="000000"/>
                <w:kern w:val="0"/>
                <w:sz w:val="22"/>
              </w:rPr>
            </w:pPr>
            <w:r>
              <w:rPr>
                <w:rFonts w:hint="eastAsia" w:ascii="宋体" w:hAnsi="宋体" w:eastAsia="宋体" w:cs="宋体"/>
                <w:color w:val="000000"/>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highlight w:val="red"/>
              </w:rPr>
            </w:pPr>
            <w:r>
              <w:rPr>
                <w:rFonts w:hint="eastAsia" w:ascii="宋体" w:hAnsi="宋体" w:eastAsia="宋体" w:cs="宋体"/>
                <w:color w:val="000000"/>
                <w:kern w:val="0"/>
                <w:szCs w:val="21"/>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highlight w:val="red"/>
              </w:rPr>
            </w:pPr>
            <w:r>
              <w:rPr>
                <w:rFonts w:hint="eastAsia" w:ascii="宋体" w:hAnsi="宋体" w:eastAsia="宋体" w:cs="宋体"/>
                <w:color w:val="000000"/>
                <w:kern w:val="0"/>
                <w:szCs w:val="21"/>
              </w:rPr>
              <w:t>无</w:t>
            </w:r>
          </w:p>
        </w:tc>
        <w:tc>
          <w:tcPr>
            <w:tcW w:w="1338" w:type="dxa"/>
            <w:tcBorders>
              <w:top w:val="nil"/>
              <w:left w:val="nil"/>
              <w:bottom w:val="single" w:color="auto" w:sz="4" w:space="0"/>
              <w:right w:val="single" w:color="auto" w:sz="4" w:space="0"/>
            </w:tcBorders>
            <w:shd w:val="clear" w:color="auto" w:fill="auto"/>
            <w:noWrap/>
            <w:vAlign w:val="center"/>
          </w:tcPr>
          <w:p>
            <w:pPr>
              <w:rPr>
                <w:rFonts w:ascii="等线" w:hAnsi="等线" w:eastAsia="等线" w:cs="宋体"/>
                <w:color w:val="000000"/>
                <w:kern w:val="0"/>
                <w:sz w:val="22"/>
              </w:rPr>
            </w:pPr>
            <w:r>
              <w:rPr>
                <w:rFonts w:hint="eastAsia" w:ascii="等线" w:hAnsi="等线" w:eastAsia="等线" w:cs="宋体"/>
                <w:color w:val="000000"/>
                <w:kern w:val="0"/>
                <w:sz w:val="22"/>
              </w:rPr>
              <w:t>无</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等线" w:hAnsi="等线" w:eastAsia="等线" w:cs="宋体"/>
                <w:color w:val="000000"/>
                <w:kern w:val="0"/>
                <w:sz w:val="22"/>
              </w:rPr>
            </w:pPr>
            <w:r>
              <w:rPr>
                <w:rFonts w:hint="eastAsia" w:ascii="宋体" w:hAnsi="宋体" w:eastAsia="宋体" w:cs="宋体"/>
                <w:color w:val="000000"/>
                <w:kern w:val="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等线" w:hAnsi="等线" w:eastAsia="等线" w:cs="宋体"/>
                <w:color w:val="000000"/>
                <w:kern w:val="0"/>
                <w:sz w:val="22"/>
              </w:rPr>
            </w:pPr>
            <w:r>
              <w:rPr>
                <w:rFonts w:hint="eastAsia" w:ascii="宋体" w:hAnsi="宋体" w:eastAsia="宋体" w:cs="宋体"/>
                <w:color w:val="000000"/>
                <w:kern w:val="0"/>
                <w:szCs w:val="21"/>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bl>
    <w:p>
      <w:pPr>
        <w:ind w:firstLine="480" w:firstLineChars="200"/>
        <w:rPr>
          <w:sz w:val="24"/>
          <w:szCs w:val="24"/>
        </w:rPr>
      </w:pPr>
      <w:r>
        <w:rPr>
          <w:rFonts w:hint="eastAsia"/>
          <w:b/>
          <w:bCs/>
          <w:sz w:val="24"/>
          <w:szCs w:val="24"/>
        </w:rPr>
        <w:t>单位获奖情况：</w:t>
      </w:r>
      <w:r>
        <w:rPr>
          <w:rFonts w:hint="eastAsia"/>
          <w:sz w:val="24"/>
          <w:szCs w:val="24"/>
        </w:rPr>
        <w:t>2022年度，单位获奖2个。该指标分值2</w:t>
      </w:r>
      <w:r>
        <w:rPr>
          <w:sz w:val="24"/>
          <w:szCs w:val="24"/>
        </w:rPr>
        <w:t>分，根据评价</w:t>
      </w:r>
      <w:r>
        <w:rPr>
          <w:rFonts w:hint="eastAsia"/>
          <w:sz w:val="24"/>
          <w:szCs w:val="24"/>
        </w:rPr>
        <w:t>标准自评得分2</w:t>
      </w:r>
      <w:r>
        <w:rPr>
          <w:sz w:val="24"/>
          <w:szCs w:val="24"/>
        </w:rPr>
        <w:t>分，得分率</w:t>
      </w:r>
      <w:r>
        <w:rPr>
          <w:rFonts w:hint="eastAsia"/>
          <w:sz w:val="24"/>
          <w:szCs w:val="24"/>
        </w:rPr>
        <w:t>100</w:t>
      </w:r>
      <w:r>
        <w:rPr>
          <w:sz w:val="24"/>
          <w:szCs w:val="24"/>
        </w:rPr>
        <w:t>%</w:t>
      </w:r>
      <w:r>
        <w:rPr>
          <w:rFonts w:hint="eastAsia"/>
          <w:sz w:val="24"/>
          <w:szCs w:val="24"/>
        </w:rPr>
        <w:t>。</w:t>
      </w:r>
    </w:p>
    <w:p>
      <w:pPr>
        <w:ind w:firstLine="480" w:firstLineChars="200"/>
        <w:rPr>
          <w:sz w:val="24"/>
          <w:szCs w:val="24"/>
        </w:rPr>
      </w:pPr>
      <w:r>
        <w:rPr>
          <w:rFonts w:hint="eastAsia"/>
          <w:b/>
          <w:bCs/>
          <w:sz w:val="24"/>
          <w:szCs w:val="24"/>
        </w:rPr>
        <w:t>违法违纪情况：</w:t>
      </w:r>
      <w:r>
        <w:rPr>
          <w:rFonts w:hint="eastAsia"/>
          <w:sz w:val="24"/>
          <w:szCs w:val="24"/>
        </w:rPr>
        <w:t>2022年</w:t>
      </w:r>
      <w:r>
        <w:rPr>
          <w:sz w:val="24"/>
          <w:szCs w:val="24"/>
        </w:rPr>
        <w:t>未出现在国家层面督查或人大审计、监</w:t>
      </w:r>
      <w:r>
        <w:rPr>
          <w:rFonts w:hint="eastAsia"/>
          <w:sz w:val="24"/>
          <w:szCs w:val="24"/>
        </w:rPr>
        <w:t>察等监督监察时发现问题被问责的情况，该指标权重2</w:t>
      </w:r>
      <w:r>
        <w:rPr>
          <w:sz w:val="24"/>
          <w:szCs w:val="24"/>
        </w:rPr>
        <w:t>分，自评</w:t>
      </w:r>
      <w:r>
        <w:rPr>
          <w:rFonts w:hint="eastAsia"/>
          <w:sz w:val="24"/>
          <w:szCs w:val="24"/>
        </w:rPr>
        <w:t>得分2</w:t>
      </w:r>
      <w:r>
        <w:rPr>
          <w:sz w:val="24"/>
          <w:szCs w:val="24"/>
        </w:rPr>
        <w:t>分，得分率为</w:t>
      </w:r>
      <w:r>
        <w:rPr>
          <w:rFonts w:hint="eastAsia"/>
          <w:sz w:val="24"/>
          <w:szCs w:val="24"/>
        </w:rPr>
        <w:t>10</w:t>
      </w:r>
      <w:r>
        <w:rPr>
          <w:sz w:val="24"/>
          <w:szCs w:val="24"/>
        </w:rPr>
        <w:t>0%。</w:t>
      </w:r>
    </w:p>
    <w:p>
      <w:pPr>
        <w:ind w:firstLine="480" w:firstLineChars="200"/>
        <w:rPr>
          <w:b/>
          <w:bCs/>
          <w:sz w:val="24"/>
          <w:szCs w:val="24"/>
        </w:rPr>
      </w:pPr>
      <w:r>
        <w:rPr>
          <w:rFonts w:hint="eastAsia"/>
          <w:b/>
          <w:bCs/>
          <w:sz w:val="24"/>
          <w:szCs w:val="24"/>
        </w:rPr>
        <w:t>3</w:t>
      </w:r>
      <w:r>
        <w:rPr>
          <w:b/>
          <w:bCs/>
          <w:sz w:val="24"/>
          <w:szCs w:val="24"/>
        </w:rPr>
        <w:t>、能力建设</w:t>
      </w:r>
    </w:p>
    <w:p>
      <w:pPr>
        <w:ind w:firstLine="480" w:firstLineChars="200"/>
        <w:rPr>
          <w:sz w:val="24"/>
          <w:szCs w:val="24"/>
        </w:rPr>
      </w:pPr>
      <w:r>
        <w:rPr>
          <w:rFonts w:hint="eastAsia"/>
          <w:sz w:val="24"/>
          <w:szCs w:val="24"/>
        </w:rPr>
        <w:t>根据《2022年</w:t>
      </w:r>
      <w:r>
        <w:rPr>
          <w:sz w:val="24"/>
          <w:szCs w:val="24"/>
        </w:rPr>
        <w:t>度</w:t>
      </w:r>
      <w:r>
        <w:rPr>
          <w:rFonts w:hint="eastAsia"/>
          <w:sz w:val="24"/>
          <w:szCs w:val="24"/>
        </w:rPr>
        <w:t>嘉峪关市城区人民法院</w:t>
      </w:r>
      <w:r>
        <w:rPr>
          <w:sz w:val="24"/>
          <w:szCs w:val="24"/>
        </w:rPr>
        <w:t>省级预算执行情况绩效自</w:t>
      </w:r>
      <w:r>
        <w:rPr>
          <w:rFonts w:hint="eastAsia"/>
          <w:sz w:val="24"/>
          <w:szCs w:val="24"/>
        </w:rPr>
        <w:t>评报表》，一级指标能力建设下设3</w:t>
      </w:r>
      <w:r>
        <w:rPr>
          <w:sz w:val="24"/>
          <w:szCs w:val="24"/>
        </w:rPr>
        <w:t>个二级指标</w:t>
      </w:r>
      <w:r>
        <w:rPr>
          <w:rFonts w:hint="eastAsia"/>
          <w:sz w:val="24"/>
          <w:szCs w:val="24"/>
        </w:rPr>
        <w:t>,3</w:t>
      </w:r>
      <w:r>
        <w:rPr>
          <w:sz w:val="24"/>
          <w:szCs w:val="24"/>
        </w:rPr>
        <w:t>个三级指标，指标</w:t>
      </w:r>
      <w:r>
        <w:rPr>
          <w:rFonts w:hint="eastAsia"/>
          <w:sz w:val="24"/>
          <w:szCs w:val="24"/>
        </w:rPr>
        <w:t>权重合计10</w:t>
      </w:r>
      <w:r>
        <w:rPr>
          <w:sz w:val="24"/>
          <w:szCs w:val="24"/>
        </w:rPr>
        <w:t>分，自评得分</w:t>
      </w:r>
      <w:r>
        <w:rPr>
          <w:rFonts w:hint="eastAsia"/>
          <w:sz w:val="24"/>
          <w:szCs w:val="24"/>
        </w:rPr>
        <w:t xml:space="preserve"> 10</w:t>
      </w:r>
      <w:r>
        <w:rPr>
          <w:sz w:val="24"/>
          <w:szCs w:val="24"/>
        </w:rPr>
        <w:t>分，得分率为</w:t>
      </w:r>
      <w:r>
        <w:rPr>
          <w:rFonts w:hint="eastAsia"/>
          <w:sz w:val="24"/>
          <w:szCs w:val="24"/>
        </w:rPr>
        <w:t>100</w:t>
      </w:r>
      <w:r>
        <w:rPr>
          <w:sz w:val="24"/>
          <w:szCs w:val="24"/>
        </w:rPr>
        <w:t>%。</w:t>
      </w:r>
    </w:p>
    <w:tbl>
      <w:tblPr>
        <w:tblStyle w:val="11"/>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中期规划建设完备程度</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4</w:t>
            </w:r>
          </w:p>
        </w:tc>
        <w:tc>
          <w:tcPr>
            <w:tcW w:w="1134" w:type="dxa"/>
            <w:tcBorders>
              <w:top w:val="nil"/>
              <w:left w:val="nil"/>
              <w:bottom w:val="single" w:color="auto" w:sz="4" w:space="0"/>
              <w:right w:val="single" w:color="auto" w:sz="4" w:space="0"/>
            </w:tcBorders>
            <w:shd w:val="clear" w:color="auto" w:fill="auto"/>
            <w:noWrap/>
          </w:tcPr>
          <w:p>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人员培训机制完备性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3</w:t>
            </w:r>
          </w:p>
        </w:tc>
        <w:tc>
          <w:tcPr>
            <w:tcW w:w="1134" w:type="dxa"/>
            <w:tcBorders>
              <w:top w:val="nil"/>
              <w:left w:val="nil"/>
              <w:bottom w:val="single" w:color="auto" w:sz="4" w:space="0"/>
              <w:right w:val="single" w:color="auto" w:sz="4" w:space="0"/>
            </w:tcBorders>
            <w:shd w:val="clear" w:color="auto" w:fill="auto"/>
            <w:noWrap/>
          </w:tcPr>
          <w:p>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档案管理完备性</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3</w:t>
            </w:r>
          </w:p>
        </w:tc>
        <w:tc>
          <w:tcPr>
            <w:tcW w:w="1134" w:type="dxa"/>
            <w:tcBorders>
              <w:top w:val="nil"/>
              <w:left w:val="nil"/>
              <w:bottom w:val="single" w:color="auto" w:sz="4" w:space="0"/>
              <w:right w:val="single" w:color="auto" w:sz="4" w:space="0"/>
            </w:tcBorders>
            <w:shd w:val="clear" w:color="auto" w:fill="auto"/>
            <w:noWrap/>
          </w:tcPr>
          <w:p>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100%</w:t>
            </w:r>
          </w:p>
        </w:tc>
      </w:tr>
    </w:tbl>
    <w:p>
      <w:pPr>
        <w:ind w:firstLine="480" w:firstLineChars="200"/>
        <w:rPr>
          <w:sz w:val="24"/>
          <w:szCs w:val="24"/>
        </w:rPr>
      </w:pPr>
      <w:r>
        <w:rPr>
          <w:rFonts w:hint="eastAsia"/>
          <w:b/>
          <w:bCs/>
          <w:sz w:val="24"/>
          <w:szCs w:val="24"/>
        </w:rPr>
        <w:t>中期规划建设完备程度：</w:t>
      </w:r>
      <w:r>
        <w:rPr>
          <w:rFonts w:hint="eastAsia"/>
          <w:sz w:val="24"/>
          <w:szCs w:val="24"/>
        </w:rPr>
        <w:t>我院中期规划明确完整、内容全面可行，认真落实中央、省市和县委关于政法队伍教育整顿的安排部署，跟班先进找差距等做法，但与规定还有差距。该指标权重4分，自评得分4分，得分率为100%。</w:t>
      </w:r>
    </w:p>
    <w:p>
      <w:pPr>
        <w:ind w:firstLine="480" w:firstLineChars="200"/>
        <w:rPr>
          <w:sz w:val="24"/>
          <w:szCs w:val="24"/>
        </w:rPr>
      </w:pPr>
      <w:r>
        <w:rPr>
          <w:rFonts w:hint="eastAsia"/>
          <w:b/>
          <w:bCs/>
          <w:sz w:val="24"/>
          <w:szCs w:val="24"/>
        </w:rPr>
        <w:t>人员培训机制完备性：</w:t>
      </w:r>
      <w:r>
        <w:rPr>
          <w:rFonts w:hint="eastAsia"/>
          <w:sz w:val="24"/>
          <w:szCs w:val="24"/>
        </w:rPr>
        <w:t>我院大力加强短期岗位培训，参加、举办了刑事、民事、行政、执行、信访和综合等各类业务培训班；提前完成专项培训任务 ，进一步强化了法官的职业素养，提升了法官的庭审驾驭能力、裁判文书制作能力和法律适用能力。指标权重3</w:t>
      </w:r>
      <w:r>
        <w:rPr>
          <w:sz w:val="24"/>
          <w:szCs w:val="24"/>
        </w:rPr>
        <w:t>分，自评得分</w:t>
      </w:r>
      <w:r>
        <w:rPr>
          <w:rFonts w:hint="eastAsia"/>
          <w:sz w:val="24"/>
          <w:szCs w:val="24"/>
        </w:rPr>
        <w:t xml:space="preserve">3分，得分率为100 </w:t>
      </w:r>
      <w:r>
        <w:rPr>
          <w:sz w:val="24"/>
          <w:szCs w:val="24"/>
        </w:rPr>
        <w:t>%。</w:t>
      </w:r>
    </w:p>
    <w:p>
      <w:pPr>
        <w:ind w:left="240" w:firstLine="240" w:firstLineChars="100"/>
        <w:rPr>
          <w:sz w:val="24"/>
          <w:szCs w:val="24"/>
        </w:rPr>
      </w:pPr>
      <w:r>
        <w:rPr>
          <w:rFonts w:hint="eastAsia"/>
          <w:b/>
          <w:bCs/>
          <w:sz w:val="24"/>
          <w:szCs w:val="24"/>
        </w:rPr>
        <w:t>档案管理完备性：</w:t>
      </w:r>
      <w:r>
        <w:rPr>
          <w:rFonts w:hint="eastAsia"/>
          <w:sz w:val="24"/>
          <w:szCs w:val="24"/>
        </w:rPr>
        <w:t xml:space="preserve">我院档案管理工作完成较好，档案收集、档案保管方面管理到位，并设有档案管理的专职人员。指标权重3分，自评得分 3分，得分率为100%。 </w:t>
      </w:r>
    </w:p>
    <w:p>
      <w:pPr>
        <w:ind w:left="240" w:firstLine="240" w:firstLineChars="100"/>
        <w:rPr>
          <w:b/>
          <w:bCs/>
          <w:sz w:val="24"/>
          <w:szCs w:val="24"/>
        </w:rPr>
      </w:pPr>
      <w:r>
        <w:rPr>
          <w:rFonts w:hint="eastAsia"/>
          <w:b/>
          <w:bCs/>
          <w:sz w:val="24"/>
          <w:szCs w:val="24"/>
        </w:rPr>
        <w:t xml:space="preserve">4、服务对象满意度 </w:t>
      </w:r>
    </w:p>
    <w:p>
      <w:pPr>
        <w:ind w:firstLine="480" w:firstLineChars="200"/>
      </w:pPr>
      <w:r>
        <w:rPr>
          <w:rFonts w:hint="eastAsia"/>
          <w:sz w:val="24"/>
          <w:szCs w:val="24"/>
        </w:rPr>
        <w:t>根据《2022年</w:t>
      </w:r>
      <w:r>
        <w:rPr>
          <w:sz w:val="24"/>
          <w:szCs w:val="24"/>
        </w:rPr>
        <w:t>度</w:t>
      </w:r>
      <w:r>
        <w:rPr>
          <w:rFonts w:hint="eastAsia"/>
          <w:sz w:val="24"/>
          <w:szCs w:val="24"/>
        </w:rPr>
        <w:t>嘉峪关市城区人民法院</w:t>
      </w:r>
      <w:r>
        <w:rPr>
          <w:sz w:val="24"/>
          <w:szCs w:val="24"/>
        </w:rPr>
        <w:t>省级预算执行情况绩效自</w:t>
      </w:r>
      <w:r>
        <w:rPr>
          <w:rFonts w:hint="eastAsia"/>
          <w:sz w:val="24"/>
          <w:szCs w:val="24"/>
        </w:rPr>
        <w:t>评报表》，一级指标服务满意度下设1</w:t>
      </w:r>
      <w:r>
        <w:rPr>
          <w:sz w:val="24"/>
          <w:szCs w:val="24"/>
        </w:rPr>
        <w:t>个二级指标</w:t>
      </w:r>
      <w:r>
        <w:rPr>
          <w:rFonts w:hint="eastAsia"/>
          <w:sz w:val="24"/>
          <w:szCs w:val="24"/>
        </w:rPr>
        <w:t>，1</w:t>
      </w:r>
      <w:r>
        <w:rPr>
          <w:sz w:val="24"/>
          <w:szCs w:val="24"/>
        </w:rPr>
        <w:t>个三级指标，指标</w:t>
      </w:r>
      <w:r>
        <w:rPr>
          <w:rFonts w:hint="eastAsia"/>
          <w:sz w:val="24"/>
          <w:szCs w:val="24"/>
        </w:rPr>
        <w:t>权重合计10</w:t>
      </w:r>
      <w:r>
        <w:rPr>
          <w:sz w:val="24"/>
          <w:szCs w:val="24"/>
        </w:rPr>
        <w:t>分，自评得分</w:t>
      </w:r>
      <w:r>
        <w:rPr>
          <w:rFonts w:hint="eastAsia"/>
          <w:sz w:val="24"/>
          <w:szCs w:val="24"/>
        </w:rPr>
        <w:t>10</w:t>
      </w:r>
      <w:r>
        <w:rPr>
          <w:sz w:val="24"/>
          <w:szCs w:val="24"/>
        </w:rPr>
        <w:t>分，得分率为</w:t>
      </w:r>
      <w:r>
        <w:rPr>
          <w:rFonts w:hint="eastAsia"/>
          <w:sz w:val="24"/>
          <w:szCs w:val="24"/>
        </w:rPr>
        <w:t>100</w:t>
      </w:r>
      <w:r>
        <w:rPr>
          <w:sz w:val="24"/>
          <w:szCs w:val="24"/>
        </w:rPr>
        <w:t>%。</w:t>
      </w:r>
    </w:p>
    <w:tbl>
      <w:tblPr>
        <w:tblStyle w:val="11"/>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人民群众满意度</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&gt;=85%</w:t>
            </w:r>
          </w:p>
        </w:tc>
        <w:tc>
          <w:tcPr>
            <w:tcW w:w="141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&gt;=85%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 100%</w:t>
            </w:r>
          </w:p>
        </w:tc>
      </w:tr>
    </w:tbl>
    <w:p>
      <w:pPr>
        <w:ind w:firstLine="480" w:firstLineChars="200"/>
        <w:rPr>
          <w:b/>
          <w:bCs/>
          <w:sz w:val="24"/>
          <w:szCs w:val="24"/>
        </w:rPr>
      </w:pPr>
      <w:r>
        <w:rPr>
          <w:rFonts w:hint="eastAsia"/>
          <w:b/>
          <w:bCs/>
          <w:sz w:val="24"/>
          <w:szCs w:val="24"/>
        </w:rPr>
        <w:t>（四）偏离绩效目标的原因及下一步改进措施</w:t>
      </w:r>
    </w:p>
    <w:p>
      <w:pPr>
        <w:ind w:firstLine="480" w:firstLineChars="200"/>
        <w:rPr>
          <w:b/>
          <w:bCs/>
          <w:sz w:val="24"/>
          <w:szCs w:val="24"/>
        </w:rPr>
      </w:pPr>
      <w:r>
        <w:rPr>
          <w:rFonts w:hint="eastAsia"/>
          <w:sz w:val="24"/>
          <w:szCs w:val="24"/>
        </w:rPr>
        <w:t>偏离主要为档案库建设项目当年未实施。</w:t>
      </w:r>
    </w:p>
    <w:p>
      <w:pPr>
        <w:ind w:firstLine="480" w:firstLineChars="200"/>
        <w:rPr>
          <w:sz w:val="24"/>
          <w:szCs w:val="24"/>
        </w:rPr>
      </w:pPr>
      <w:r>
        <w:rPr>
          <w:rFonts w:hint="eastAsia"/>
          <w:sz w:val="24"/>
          <w:szCs w:val="24"/>
        </w:rPr>
        <w:t>下一步改进措施：</w:t>
      </w:r>
    </w:p>
    <w:p>
      <w:pPr>
        <w:ind w:firstLine="480" w:firstLineChars="200"/>
        <w:rPr>
          <w:sz w:val="24"/>
          <w:szCs w:val="24"/>
        </w:rPr>
      </w:pPr>
      <w:r>
        <w:rPr>
          <w:rFonts w:hint="eastAsia"/>
          <w:sz w:val="24"/>
          <w:szCs w:val="24"/>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ind w:firstLine="480" w:firstLineChars="200"/>
        <w:rPr>
          <w:sz w:val="24"/>
          <w:szCs w:val="24"/>
        </w:rPr>
      </w:pPr>
      <w:r>
        <w:rPr>
          <w:rFonts w:hint="eastAsia"/>
          <w:sz w:val="24"/>
          <w:szCs w:val="24"/>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ind w:firstLine="480" w:firstLineChars="200"/>
        <w:rPr>
          <w:sz w:val="24"/>
          <w:szCs w:val="24"/>
        </w:rPr>
      </w:pPr>
      <w:r>
        <w:rPr>
          <w:rFonts w:hint="eastAsia"/>
          <w:sz w:val="24"/>
          <w:szCs w:val="24"/>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480" w:firstLineChars="200"/>
        <w:rPr>
          <w:b/>
          <w:bCs/>
          <w:sz w:val="24"/>
          <w:szCs w:val="24"/>
        </w:rPr>
      </w:pPr>
      <w:r>
        <w:rPr>
          <w:rFonts w:hint="eastAsia"/>
          <w:b/>
          <w:bCs/>
          <w:sz w:val="24"/>
          <w:szCs w:val="24"/>
        </w:rPr>
        <w:t>四、部门预算项目支出绩效自评情况分析</w:t>
      </w:r>
    </w:p>
    <w:p>
      <w:pPr>
        <w:ind w:firstLine="480" w:firstLineChars="200"/>
        <w:rPr>
          <w:sz w:val="24"/>
          <w:szCs w:val="24"/>
        </w:rPr>
      </w:pPr>
      <w:r>
        <w:rPr>
          <w:rFonts w:hint="eastAsia"/>
          <w:sz w:val="24"/>
          <w:szCs w:val="24"/>
        </w:rPr>
        <w:t>2022年</w:t>
      </w:r>
      <w:r>
        <w:rPr>
          <w:sz w:val="24"/>
          <w:szCs w:val="24"/>
        </w:rPr>
        <w:t>，我院预算支出项目</w:t>
      </w:r>
      <w:r>
        <w:rPr>
          <w:rFonts w:hint="eastAsia"/>
          <w:sz w:val="24"/>
          <w:szCs w:val="24"/>
        </w:rPr>
        <w:t>2</w:t>
      </w:r>
      <w:r>
        <w:rPr>
          <w:sz w:val="24"/>
          <w:szCs w:val="24"/>
        </w:rPr>
        <w:t>个，当年项目年初预算数</w:t>
      </w:r>
      <w:r>
        <w:rPr>
          <w:rFonts w:hint="eastAsia"/>
          <w:sz w:val="24"/>
          <w:szCs w:val="24"/>
        </w:rPr>
        <w:t>287万元，全年预算数287</w:t>
      </w:r>
      <w:r>
        <w:rPr>
          <w:sz w:val="24"/>
          <w:szCs w:val="24"/>
        </w:rPr>
        <w:t>元，实际支出数</w:t>
      </w:r>
      <w:r>
        <w:rPr>
          <w:rFonts w:hint="eastAsia"/>
          <w:sz w:val="24"/>
          <w:szCs w:val="24"/>
        </w:rPr>
        <w:t>287</w:t>
      </w:r>
      <w:r>
        <w:rPr>
          <w:sz w:val="24"/>
          <w:szCs w:val="24"/>
        </w:rPr>
        <w:t>元，执行率</w:t>
      </w:r>
      <w:r>
        <w:rPr>
          <w:rFonts w:hint="eastAsia"/>
          <w:sz w:val="24"/>
          <w:szCs w:val="24"/>
        </w:rPr>
        <w:t>100</w:t>
      </w:r>
      <w:r>
        <w:rPr>
          <w:sz w:val="24"/>
          <w:szCs w:val="24"/>
        </w:rPr>
        <w:t>%。</w:t>
      </w:r>
      <w:r>
        <w:rPr>
          <w:rFonts w:hint="eastAsia"/>
          <w:sz w:val="24"/>
          <w:szCs w:val="24"/>
        </w:rPr>
        <w:t>通过自评，有2个项目结果为 “良”。分项目自评情况分析如下：</w:t>
      </w:r>
    </w:p>
    <w:p>
      <w:pPr>
        <w:ind w:firstLine="480" w:firstLineChars="200"/>
        <w:rPr>
          <w:b/>
          <w:bCs/>
          <w:sz w:val="24"/>
          <w:szCs w:val="24"/>
        </w:rPr>
      </w:pPr>
      <w:r>
        <w:rPr>
          <w:rFonts w:hint="eastAsia"/>
          <w:b/>
          <w:bCs/>
          <w:sz w:val="24"/>
          <w:szCs w:val="24"/>
        </w:rPr>
        <w:t>（一）项目1</w:t>
      </w:r>
      <w:r>
        <w:rPr>
          <w:b/>
          <w:bCs/>
          <w:sz w:val="24"/>
          <w:szCs w:val="24"/>
        </w:rPr>
        <w:t>-</w:t>
      </w:r>
      <w:r>
        <w:rPr>
          <w:rFonts w:hint="eastAsia"/>
          <w:b/>
          <w:bCs/>
          <w:sz w:val="24"/>
          <w:szCs w:val="24"/>
        </w:rPr>
        <w:t xml:space="preserve"> 中央政法转移支付资金</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中央政法转移支付资金项目全年预算数403</w:t>
      </w:r>
      <w:r>
        <w:rPr>
          <w:sz w:val="24"/>
          <w:szCs w:val="24"/>
        </w:rPr>
        <w:t>万元，全年执行数</w:t>
      </w:r>
      <w:r>
        <w:rPr>
          <w:rFonts w:hint="eastAsia"/>
          <w:sz w:val="24"/>
          <w:szCs w:val="24"/>
        </w:rPr>
        <w:t>403</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中央政法转移支付项目自评价得分80.6</w:t>
      </w:r>
      <w:r>
        <w:rPr>
          <w:sz w:val="24"/>
          <w:szCs w:val="24"/>
        </w:rPr>
        <w:t>分，自评结果为“</w:t>
      </w:r>
      <w:r>
        <w:rPr>
          <w:rFonts w:hint="eastAsia"/>
          <w:sz w:val="24"/>
          <w:szCs w:val="24"/>
        </w:rPr>
        <w:t>良</w:t>
      </w:r>
      <w:r>
        <w:rPr>
          <w:sz w:val="24"/>
          <w:szCs w:val="24"/>
        </w:rPr>
        <w:t>”。</w:t>
      </w:r>
    </w:p>
    <w:p>
      <w:pPr>
        <w:ind w:firstLine="480" w:firstLineChars="200"/>
        <w:rPr>
          <w:b/>
          <w:bCs/>
          <w:sz w:val="24"/>
          <w:szCs w:val="24"/>
        </w:rPr>
      </w:pPr>
      <w:r>
        <w:rPr>
          <w:rFonts w:hint="eastAsia"/>
          <w:sz w:val="24"/>
          <w:szCs w:val="24"/>
        </w:rPr>
        <w:t>本项目2022年</w:t>
      </w:r>
      <w:r>
        <w:rPr>
          <w:sz w:val="24"/>
          <w:szCs w:val="24"/>
        </w:rPr>
        <w:t>度绩效目标实际完成情况如下：</w:t>
      </w:r>
      <w:r>
        <w:rPr>
          <w:rFonts w:hint="eastAsia"/>
          <w:sz w:val="24"/>
          <w:szCs w:val="24"/>
        </w:rPr>
        <w:t>通过政法转移支付资金，建立起新型的更加完善的法院经费保障机制，以确保法院依法履行职责。保障法院完成</w:t>
      </w:r>
      <w:r>
        <w:rPr>
          <w:sz w:val="24"/>
          <w:szCs w:val="24"/>
        </w:rPr>
        <w:t>2022年各类案件的审判、执行工作，完成2022年法院计划内信息网络建设和设备的更新换代。</w:t>
      </w:r>
    </w:p>
    <w:p>
      <w:pPr>
        <w:ind w:firstLine="480" w:firstLineChars="200"/>
        <w:rPr>
          <w:b/>
          <w:bCs/>
          <w:sz w:val="24"/>
          <w:szCs w:val="24"/>
        </w:rPr>
      </w:pPr>
      <w:r>
        <w:rPr>
          <w:b/>
          <w:bCs/>
          <w:sz w:val="24"/>
          <w:szCs w:val="24"/>
        </w:rPr>
        <w:t>3、各项指标完成情况分析</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二级指标8个，三级指标25个。</w:t>
      </w:r>
    </w:p>
    <w:tbl>
      <w:tblPr>
        <w:tblStyle w:val="11"/>
        <w:tblW w:w="8662" w:type="dxa"/>
        <w:tblInd w:w="0" w:type="dxa"/>
        <w:tblLayout w:type="autofit"/>
        <w:tblCellMar>
          <w:top w:w="0" w:type="dxa"/>
          <w:left w:w="0" w:type="dxa"/>
          <w:bottom w:w="0" w:type="dxa"/>
          <w:right w:w="0" w:type="dxa"/>
        </w:tblCellMar>
      </w:tblPr>
      <w:tblGrid>
        <w:gridCol w:w="1291"/>
        <w:gridCol w:w="2126"/>
        <w:gridCol w:w="1418"/>
        <w:gridCol w:w="1276"/>
        <w:gridCol w:w="850"/>
        <w:gridCol w:w="851"/>
        <w:gridCol w:w="850"/>
      </w:tblGrid>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二级指标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数量指标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维修改造项目完成率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移动办案软件购置数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公务用车购置完成率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物业服务保障工作完成率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质量指标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档案库建设项目验收合格率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维修改造项目验收合格率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移动办案软件验收合格率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公务用车验收合格率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一审服判息诉率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档案库建设项目完成及时性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未建设</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维修改造项目完成及时性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移动办案软件购置及时性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公务用车购置及时性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未采购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物业服务保障及时性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法定审限内结案率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成本指标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成本控制情况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控制在预算范围内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控制在预算范围内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执行标的到位率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&gt;=44.16%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社会效益指标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民商事案件调解撤诉率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&gt;=37%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&gt;=25.28%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68%</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有效保障审判服务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有效保障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有效保障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设备管护机制健全性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92%</w:t>
            </w:r>
          </w:p>
        </w:tc>
      </w:tr>
      <w:tr>
        <w:tblPrEx>
          <w:tblCellMar>
            <w:top w:w="0" w:type="dxa"/>
            <w:left w:w="0" w:type="dxa"/>
            <w:bottom w:w="0" w:type="dxa"/>
            <w:right w:w="0" w:type="dxa"/>
          </w:tblCellMar>
        </w:tblPrEx>
        <w:trPr>
          <w:trHeight w:val="649"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案件评查机制健全性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服务对象满意度指标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工作人员满意度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649"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人民群众满意度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w:t>
            </w:r>
          </w:p>
        </w:tc>
      </w:tr>
      <w:tr>
        <w:tblPrEx>
          <w:tblCellMar>
            <w:top w:w="0" w:type="dxa"/>
            <w:left w:w="0" w:type="dxa"/>
            <w:bottom w:w="0" w:type="dxa"/>
            <w:right w:w="0" w:type="dxa"/>
          </w:tblCellMar>
        </w:tblPrEx>
        <w:trPr>
          <w:trHeight w:val="714" w:hRule="atLeast"/>
        </w:trPr>
        <w:tc>
          <w:tcPr>
            <w:tcW w:w="61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78%</w:t>
            </w:r>
          </w:p>
        </w:tc>
      </w:tr>
    </w:tbl>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产出指标包括数量指标、质量指标、时效指标、成本指标4个二级指标。总分值5</w:t>
      </w:r>
      <w:r>
        <w:rPr>
          <w:sz w:val="24"/>
          <w:szCs w:val="24"/>
        </w:rPr>
        <w:t>0分，得分</w:t>
      </w:r>
      <w:r>
        <w:rPr>
          <w:rFonts w:hint="eastAsia"/>
          <w:sz w:val="24"/>
          <w:szCs w:val="24"/>
        </w:rPr>
        <w:t>33</w:t>
      </w:r>
      <w:r>
        <w:rPr>
          <w:sz w:val="24"/>
          <w:szCs w:val="24"/>
        </w:rPr>
        <w:t>分，得分率</w:t>
      </w:r>
      <w:r>
        <w:rPr>
          <w:rFonts w:hint="eastAsia"/>
          <w:sz w:val="24"/>
          <w:szCs w:val="24"/>
        </w:rPr>
        <w:t>66</w:t>
      </w:r>
      <w:r>
        <w:rPr>
          <w:sz w:val="24"/>
          <w:szCs w:val="24"/>
        </w:rPr>
        <w:t>%。</w:t>
      </w:r>
    </w:p>
    <w:p>
      <w:pPr>
        <w:ind w:firstLine="480" w:firstLineChars="200"/>
        <w:rPr>
          <w:sz w:val="24"/>
          <w:szCs w:val="24"/>
        </w:rPr>
      </w:pPr>
      <w:r>
        <w:rPr>
          <w:rFonts w:hint="eastAsia"/>
          <w:sz w:val="24"/>
          <w:szCs w:val="24"/>
        </w:rPr>
        <w:t>数量指标下设档案库建设数、公务用车购置完成率、移动办案软件购置数、维修改造完成率、结案率等，其中移动办案软件购置数、物业服务保障工作完成率、维修改造完成率2022年结案率均达到100%。档案库建设数、公务用车购置完成率2项指标未实施，得分0。该指标分值15分，按评价标准自评得分为10分，得分率为67%。</w:t>
      </w:r>
    </w:p>
    <w:p>
      <w:pPr>
        <w:ind w:firstLine="480" w:firstLineChars="200"/>
        <w:rPr>
          <w:sz w:val="24"/>
          <w:szCs w:val="24"/>
        </w:rPr>
      </w:pPr>
      <w:r>
        <w:rPr>
          <w:rFonts w:hint="eastAsia"/>
          <w:sz w:val="24"/>
          <w:szCs w:val="24"/>
        </w:rPr>
        <w:t>质量指标下设档案库建设项目验收合格率、维修改造项目验收合格率、移动办案软件验收合格率、公务用车验收合格率、一审服判息诉率5个指标，档案库建设项目验收合格率、公务用车验收合格率因该项目未实施，其余项基本</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准自评得分为9</w:t>
      </w:r>
      <w:r>
        <w:rPr>
          <w:sz w:val="24"/>
          <w:szCs w:val="24"/>
        </w:rPr>
        <w:t>分，得分率为</w:t>
      </w:r>
      <w:r>
        <w:rPr>
          <w:rFonts w:hint="eastAsia"/>
          <w:sz w:val="24"/>
          <w:szCs w:val="24"/>
        </w:rPr>
        <w:t>60</w:t>
      </w:r>
      <w:r>
        <w:rPr>
          <w:sz w:val="24"/>
          <w:szCs w:val="24"/>
        </w:rPr>
        <w:t>%。</w:t>
      </w:r>
    </w:p>
    <w:p>
      <w:pPr>
        <w:ind w:firstLine="480" w:firstLineChars="200"/>
        <w:rPr>
          <w:sz w:val="24"/>
          <w:szCs w:val="24"/>
        </w:rPr>
      </w:pPr>
      <w:r>
        <w:rPr>
          <w:rFonts w:hint="eastAsia"/>
          <w:sz w:val="24"/>
          <w:szCs w:val="24"/>
        </w:rPr>
        <w:t>时效指标下设维修改造项目完成及时性、移动办案软件购置及时性、物业服务保障及时性、法定审限内结案率等6个三级指标，其中档案馆项目、公车购置未实施。2022年我院加强行政审判工作，促进法制政府建设，办案经费支出及时。</w:t>
      </w:r>
      <w:r>
        <w:rPr>
          <w:sz w:val="24"/>
          <w:szCs w:val="24"/>
        </w:rPr>
        <w:t>达到预期目标，该指标分值</w:t>
      </w:r>
      <w:r>
        <w:rPr>
          <w:rFonts w:hint="eastAsia"/>
          <w:sz w:val="24"/>
          <w:szCs w:val="24"/>
        </w:rPr>
        <w:t>18</w:t>
      </w:r>
      <w:r>
        <w:rPr>
          <w:sz w:val="24"/>
          <w:szCs w:val="24"/>
        </w:rPr>
        <w:t>分，按评价标</w:t>
      </w:r>
      <w:r>
        <w:rPr>
          <w:rFonts w:hint="eastAsia"/>
          <w:sz w:val="24"/>
          <w:szCs w:val="24"/>
        </w:rPr>
        <w:t>准自评得分为12</w:t>
      </w:r>
      <w:r>
        <w:rPr>
          <w:sz w:val="24"/>
          <w:szCs w:val="24"/>
        </w:rPr>
        <w:t>分，得分率为</w:t>
      </w:r>
      <w:r>
        <w:rPr>
          <w:rFonts w:hint="eastAsia"/>
          <w:sz w:val="24"/>
          <w:szCs w:val="24"/>
        </w:rPr>
        <w:t>67</w:t>
      </w:r>
      <w:r>
        <w:rPr>
          <w:sz w:val="24"/>
          <w:szCs w:val="24"/>
        </w:rPr>
        <w:t>%。</w:t>
      </w:r>
    </w:p>
    <w:p>
      <w:pPr>
        <w:ind w:firstLine="480" w:firstLineChars="200"/>
        <w:rPr>
          <w:sz w:val="24"/>
          <w:szCs w:val="24"/>
        </w:rPr>
      </w:pPr>
      <w:r>
        <w:rPr>
          <w:rFonts w:hint="eastAsia"/>
          <w:sz w:val="24"/>
          <w:szCs w:val="24"/>
        </w:rPr>
        <w:t>成本指标下设1个三级指标</w:t>
      </w:r>
      <w:r>
        <w:rPr>
          <w:sz w:val="24"/>
          <w:szCs w:val="24"/>
        </w:rPr>
        <w:t>，达到预期目标，该指标分值</w:t>
      </w:r>
      <w:r>
        <w:rPr>
          <w:rFonts w:hint="eastAsia"/>
          <w:sz w:val="24"/>
          <w:szCs w:val="24"/>
        </w:rPr>
        <w:t>2</w:t>
      </w:r>
      <w:r>
        <w:rPr>
          <w:sz w:val="24"/>
          <w:szCs w:val="24"/>
        </w:rPr>
        <w:t>分，按评价标</w:t>
      </w:r>
      <w:r>
        <w:rPr>
          <w:rFonts w:hint="eastAsia"/>
          <w:sz w:val="24"/>
          <w:szCs w:val="24"/>
        </w:rPr>
        <w:t>准自评得分为2</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效益指标包括经济效益、社会效益和可持续影响指标3个二级指标。总分值30</w:t>
      </w:r>
      <w:r>
        <w:rPr>
          <w:sz w:val="24"/>
          <w:szCs w:val="24"/>
        </w:rPr>
        <w:t>分，得分</w:t>
      </w:r>
      <w:r>
        <w:rPr>
          <w:rFonts w:hint="eastAsia"/>
          <w:sz w:val="24"/>
          <w:szCs w:val="24"/>
        </w:rPr>
        <w:t>27.6</w:t>
      </w:r>
      <w:r>
        <w:rPr>
          <w:sz w:val="24"/>
          <w:szCs w:val="24"/>
        </w:rPr>
        <w:t>分，得分率</w:t>
      </w:r>
      <w:r>
        <w:rPr>
          <w:rFonts w:hint="eastAsia"/>
          <w:sz w:val="24"/>
          <w:szCs w:val="24"/>
        </w:rPr>
        <w:t>92</w:t>
      </w:r>
      <w:r>
        <w:rPr>
          <w:sz w:val="24"/>
          <w:szCs w:val="24"/>
        </w:rPr>
        <w:t>%。</w:t>
      </w:r>
    </w:p>
    <w:p>
      <w:pPr>
        <w:ind w:firstLine="480" w:firstLineChars="200"/>
        <w:rPr>
          <w:sz w:val="24"/>
          <w:szCs w:val="24"/>
        </w:rPr>
      </w:pPr>
      <w:r>
        <w:rPr>
          <w:rFonts w:hint="eastAsia"/>
          <w:sz w:val="24"/>
          <w:szCs w:val="24"/>
        </w:rPr>
        <w:t>经济效益下设执行标的到位率三级指标，2022年我院加大执行力度，维护胜诉权益，执行标的到位率达到44%以上。该指标分值6</w:t>
      </w:r>
      <w:r>
        <w:rPr>
          <w:sz w:val="24"/>
          <w:szCs w:val="24"/>
        </w:rPr>
        <w:t>分，根据评分标准自评得分</w:t>
      </w:r>
      <w:r>
        <w:rPr>
          <w:rFonts w:hint="eastAsia"/>
          <w:sz w:val="24"/>
          <w:szCs w:val="24"/>
        </w:rPr>
        <w:t>6</w:t>
      </w:r>
      <w:r>
        <w:rPr>
          <w:sz w:val="24"/>
          <w:szCs w:val="24"/>
        </w:rPr>
        <w:t>分，得分</w:t>
      </w:r>
      <w:r>
        <w:rPr>
          <w:rFonts w:hint="eastAsia"/>
          <w:sz w:val="24"/>
          <w:szCs w:val="24"/>
        </w:rPr>
        <w:t>率为100</w:t>
      </w:r>
      <w:r>
        <w:rPr>
          <w:sz w:val="24"/>
          <w:szCs w:val="24"/>
        </w:rPr>
        <w:t>%。</w:t>
      </w:r>
    </w:p>
    <w:p>
      <w:pPr>
        <w:ind w:firstLine="480" w:firstLineChars="200"/>
        <w:rPr>
          <w:sz w:val="24"/>
          <w:szCs w:val="24"/>
        </w:rPr>
      </w:pPr>
      <w:r>
        <w:rPr>
          <w:rFonts w:hint="eastAsia"/>
          <w:sz w:val="24"/>
          <w:szCs w:val="24"/>
        </w:rPr>
        <w:t>社会效益下设2个三级指标，有效保障审判服务、民事案件调撤率。2022年我院依法开展刑事审判，全力维护社会稳定；妥善解决民商纠纷，积极化解社会矛盾；加强行政审判工作，促进法制政府建设；全力破解执行难题，兑现涉诉合法权益，不断提高人民群众对法院信任度。该指标分值12</w:t>
      </w:r>
      <w:r>
        <w:rPr>
          <w:sz w:val="24"/>
          <w:szCs w:val="24"/>
        </w:rPr>
        <w:t>分，根据评分标准自评得分</w:t>
      </w:r>
      <w:r>
        <w:rPr>
          <w:rFonts w:hint="eastAsia"/>
          <w:sz w:val="24"/>
          <w:szCs w:val="24"/>
        </w:rPr>
        <w:t>10.1</w:t>
      </w:r>
      <w:r>
        <w:rPr>
          <w:sz w:val="24"/>
          <w:szCs w:val="24"/>
        </w:rPr>
        <w:t>分，得分</w:t>
      </w:r>
      <w:r>
        <w:rPr>
          <w:rFonts w:hint="eastAsia"/>
          <w:sz w:val="24"/>
          <w:szCs w:val="24"/>
        </w:rPr>
        <w:t>率为84</w:t>
      </w:r>
      <w:r>
        <w:rPr>
          <w:sz w:val="24"/>
          <w:szCs w:val="24"/>
        </w:rPr>
        <w:t>%。</w:t>
      </w:r>
    </w:p>
    <w:p>
      <w:pPr>
        <w:ind w:firstLine="480" w:firstLineChars="200"/>
      </w:pPr>
      <w:r>
        <w:rPr>
          <w:rFonts w:hint="eastAsia"/>
          <w:sz w:val="24"/>
          <w:szCs w:val="24"/>
        </w:rPr>
        <w:t>可持续影响指标下设设备管护机制健全性、案件评查机制健全性2个三级指标，我院建立了设备管护制度，有效执行制度。该指标分值12</w:t>
      </w:r>
      <w:r>
        <w:rPr>
          <w:sz w:val="24"/>
          <w:szCs w:val="24"/>
        </w:rPr>
        <w:t>分，根据评分标准自评得分</w:t>
      </w:r>
      <w:r>
        <w:rPr>
          <w:rFonts w:hint="eastAsia"/>
          <w:sz w:val="24"/>
          <w:szCs w:val="24"/>
        </w:rPr>
        <w:t>11.5</w:t>
      </w:r>
      <w:r>
        <w:rPr>
          <w:sz w:val="24"/>
          <w:szCs w:val="24"/>
        </w:rPr>
        <w:t>分，得分</w:t>
      </w:r>
      <w:r>
        <w:rPr>
          <w:rFonts w:hint="eastAsia"/>
          <w:sz w:val="24"/>
          <w:szCs w:val="24"/>
        </w:rPr>
        <w:t>率为96</w:t>
      </w:r>
      <w:r>
        <w:rPr>
          <w:sz w:val="24"/>
          <w:szCs w:val="24"/>
        </w:rPr>
        <w:t>%。</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满意度指标指相关受益群体的满意度，本次自评满意度指标设置为工作人员满意度和人民群众满意度。2022年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10</w:t>
      </w:r>
      <w:r>
        <w:rPr>
          <w:sz w:val="24"/>
          <w:szCs w:val="24"/>
        </w:rPr>
        <w:t>分，得分</w:t>
      </w:r>
      <w:r>
        <w:rPr>
          <w:rFonts w:hint="eastAsia"/>
          <w:sz w:val="24"/>
          <w:szCs w:val="24"/>
        </w:rPr>
        <w:t>率为10</w:t>
      </w:r>
      <w:r>
        <w:rPr>
          <w:sz w:val="24"/>
          <w:szCs w:val="24"/>
        </w:rPr>
        <w:t>0%。</w:t>
      </w:r>
    </w:p>
    <w:p>
      <w:pPr>
        <w:ind w:firstLine="480" w:firstLineChars="200"/>
        <w:rPr>
          <w:b/>
          <w:bCs/>
          <w:sz w:val="24"/>
          <w:szCs w:val="24"/>
        </w:rPr>
      </w:pPr>
      <w:r>
        <w:rPr>
          <w:rFonts w:hint="eastAsia"/>
          <w:b/>
          <w:bCs/>
          <w:sz w:val="24"/>
          <w:szCs w:val="24"/>
        </w:rPr>
        <w:t>4、</w:t>
      </w:r>
      <w:r>
        <w:rPr>
          <w:b/>
          <w:bCs/>
          <w:sz w:val="24"/>
          <w:szCs w:val="24"/>
        </w:rPr>
        <w:t>偏离绩效目标的原因及下一步改进措施</w:t>
      </w:r>
    </w:p>
    <w:p>
      <w:pPr>
        <w:ind w:firstLine="480" w:firstLineChars="200"/>
        <w:rPr>
          <w:sz w:val="24"/>
          <w:szCs w:val="24"/>
        </w:rPr>
      </w:pPr>
      <w:r>
        <w:rPr>
          <w:sz w:val="24"/>
          <w:szCs w:val="24"/>
        </w:rPr>
        <w:t>绩效目标</w:t>
      </w:r>
      <w:r>
        <w:rPr>
          <w:rFonts w:hint="eastAsia"/>
          <w:sz w:val="24"/>
          <w:szCs w:val="24"/>
        </w:rPr>
        <w:t>因档案馆项目及公车购置未实施外基本未偏离，下一步我院将结合本院具体情况积极申报、推进项目实施。</w:t>
      </w:r>
    </w:p>
    <w:p>
      <w:pPr>
        <w:ind w:firstLine="480" w:firstLineChars="200"/>
        <w:rPr>
          <w:b/>
          <w:bCs/>
          <w:sz w:val="24"/>
          <w:szCs w:val="24"/>
        </w:rPr>
      </w:pPr>
      <w:r>
        <w:rPr>
          <w:rFonts w:hint="eastAsia"/>
          <w:b/>
          <w:bCs/>
          <w:sz w:val="24"/>
          <w:szCs w:val="24"/>
        </w:rPr>
        <w:t>（二）项目2</w:t>
      </w:r>
      <w:r>
        <w:rPr>
          <w:b/>
          <w:bCs/>
          <w:sz w:val="24"/>
          <w:szCs w:val="24"/>
        </w:rPr>
        <w:t>-</w:t>
      </w:r>
      <w:r>
        <w:rPr>
          <w:rFonts w:hint="eastAsia"/>
          <w:b/>
          <w:bCs/>
          <w:sz w:val="24"/>
          <w:szCs w:val="24"/>
        </w:rPr>
        <w:t xml:space="preserve"> 业务费</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业务费全年预算数210</w:t>
      </w:r>
      <w:r>
        <w:rPr>
          <w:sz w:val="24"/>
          <w:szCs w:val="24"/>
        </w:rPr>
        <w:t>万元，全年执行数</w:t>
      </w:r>
      <w:r>
        <w:rPr>
          <w:rFonts w:hint="eastAsia"/>
          <w:sz w:val="24"/>
          <w:szCs w:val="24"/>
        </w:rPr>
        <w:t>210</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业务费自评价得分87.08</w:t>
      </w:r>
      <w:r>
        <w:rPr>
          <w:sz w:val="24"/>
          <w:szCs w:val="24"/>
        </w:rPr>
        <w:t>分，自评结果为“</w:t>
      </w:r>
      <w:r>
        <w:rPr>
          <w:rFonts w:hint="eastAsia"/>
          <w:sz w:val="24"/>
          <w:szCs w:val="24"/>
        </w:rPr>
        <w:t>良</w:t>
      </w:r>
      <w:r>
        <w:rPr>
          <w:sz w:val="24"/>
          <w:szCs w:val="24"/>
        </w:rPr>
        <w:t>”。</w:t>
      </w:r>
    </w:p>
    <w:p>
      <w:pPr>
        <w:ind w:firstLine="480" w:firstLineChars="20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主要用于支付包括办案差旅费、办公费、邮寄费、印刷费、大型修缮、劳务费、物业管理费等支出。全年预算执行率100%，保障了办案业务工作正常开展。与预期的预算计划完全一致。</w:t>
      </w:r>
    </w:p>
    <w:p>
      <w:pPr>
        <w:ind w:firstLine="480" w:firstLineChars="200"/>
        <w:rPr>
          <w:b/>
          <w:bCs/>
          <w:sz w:val="24"/>
          <w:szCs w:val="24"/>
        </w:rPr>
      </w:pPr>
      <w:r>
        <w:rPr>
          <w:b/>
          <w:bCs/>
          <w:sz w:val="24"/>
          <w:szCs w:val="24"/>
        </w:rPr>
        <w:t>3、各项指标完成情况分析</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二级指标8个，三级指标30个。</w:t>
      </w:r>
    </w:p>
    <w:tbl>
      <w:tblPr>
        <w:tblStyle w:val="11"/>
        <w:tblW w:w="8520" w:type="dxa"/>
        <w:tblInd w:w="0" w:type="dxa"/>
        <w:tblLayout w:type="autofit"/>
        <w:tblCellMar>
          <w:top w:w="0" w:type="dxa"/>
          <w:left w:w="0" w:type="dxa"/>
          <w:bottom w:w="0" w:type="dxa"/>
          <w:right w:w="0" w:type="dxa"/>
        </w:tblCellMar>
      </w:tblPr>
      <w:tblGrid>
        <w:gridCol w:w="1291"/>
        <w:gridCol w:w="1985"/>
        <w:gridCol w:w="1417"/>
        <w:gridCol w:w="1276"/>
        <w:gridCol w:w="850"/>
        <w:gridCol w:w="851"/>
        <w:gridCol w:w="850"/>
      </w:tblGrid>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二级指标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数量指标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刑事案件结案率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&gt;=78.04%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84.00%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民商事案件结案率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&gt;=86.08%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95.50%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行政案件结案率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89.50%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执行案件结案率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&gt;=74.6%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六专四室专用电梯购置数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=1个</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执法执勤车辆购置数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=4辆</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远程信访终端购置数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物业服务保障工作完成率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质量指标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一审服判息诉率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上诉改判率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&lt;=10%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&lt;=10%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再审审查率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&lt;=1%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&lt;=1%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六专四室专用电梯验收合格率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档案库建设项目验收合格率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执法执勤车辆验收合格率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远程信访终端验收合格率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六专四室专用电梯购置及时性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档案库建设项目完成及时性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未实施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法定审限内结案率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远程信访终端购置及时性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66.67%</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办公设备购置及时性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66.67%</w:t>
            </w:r>
          </w:p>
        </w:tc>
      </w:tr>
      <w:tr>
        <w:tblPrEx>
          <w:tblCellMar>
            <w:top w:w="0" w:type="dxa"/>
            <w:left w:w="0" w:type="dxa"/>
            <w:bottom w:w="0" w:type="dxa"/>
            <w:right w:w="0" w:type="dxa"/>
          </w:tblCellMar>
        </w:tblPrEx>
        <w:trPr>
          <w:trHeight w:val="567" w:hRule="atLeast"/>
        </w:trPr>
        <w:tc>
          <w:tcPr>
            <w:tcW w:w="12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物业服务保障及时性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66.67%</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成本指标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成本控制情况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控制在预算范围内</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控制在预算范围内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执行标的到位率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&gt;=44.16%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社会效益指标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民商事案件调解撤诉率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&gt;=37%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&gt;=25.28%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68.33%</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一审案件陪审率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&gt;=44.15%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可持续影响指标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案件评查机制健全性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设备管护机制健全性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健全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服务对象满意度指标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人民群众满意度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工作人员满意度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100.00%</w:t>
            </w:r>
          </w:p>
        </w:tc>
      </w:tr>
      <w:tr>
        <w:tblPrEx>
          <w:tblCellMar>
            <w:top w:w="0" w:type="dxa"/>
            <w:left w:w="0" w:type="dxa"/>
            <w:bottom w:w="0" w:type="dxa"/>
            <w:right w:w="0" w:type="dxa"/>
          </w:tblCellMar>
        </w:tblPrEx>
        <w:trPr>
          <w:trHeight w:val="567" w:hRule="atLeast"/>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76.08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84.53%</w:t>
            </w:r>
          </w:p>
        </w:tc>
      </w:tr>
    </w:tbl>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产出指标包括数量指标、质量指标、时效指标、成本指标四个二级指标。总分值5</w:t>
      </w:r>
      <w:r>
        <w:rPr>
          <w:sz w:val="24"/>
          <w:szCs w:val="24"/>
        </w:rPr>
        <w:t>0分，得分</w:t>
      </w:r>
      <w:r>
        <w:rPr>
          <w:rFonts w:hint="eastAsia"/>
          <w:sz w:val="24"/>
          <w:szCs w:val="24"/>
        </w:rPr>
        <w:t>38.98</w:t>
      </w:r>
      <w:r>
        <w:rPr>
          <w:sz w:val="24"/>
          <w:szCs w:val="24"/>
        </w:rPr>
        <w:t>分，得分率</w:t>
      </w:r>
      <w:r>
        <w:rPr>
          <w:rFonts w:hint="eastAsia"/>
          <w:sz w:val="24"/>
          <w:szCs w:val="24"/>
        </w:rPr>
        <w:t>78</w:t>
      </w:r>
      <w:r>
        <w:rPr>
          <w:sz w:val="24"/>
          <w:szCs w:val="24"/>
        </w:rPr>
        <w:t>%。</w:t>
      </w:r>
    </w:p>
    <w:p>
      <w:pPr>
        <w:ind w:firstLine="480" w:firstLineChars="200"/>
        <w:rPr>
          <w:sz w:val="24"/>
          <w:szCs w:val="24"/>
        </w:rPr>
      </w:pPr>
      <w:r>
        <w:rPr>
          <w:rFonts w:hint="eastAsia"/>
          <w:sz w:val="24"/>
          <w:szCs w:val="24"/>
        </w:rPr>
        <w:t>数量指标下设结案率等9个三级指标。2022年，民商事案件审结率结案率86.08%，刑事案件审结率78.04%，行政案件结案率87.8%，执行案件结案率74.6%，档案馆项目、公车购置未实施,其他指标都达到预定值。该指标分值18分，按评价标准自评得分为12.98分，得分率为72%。</w:t>
      </w:r>
    </w:p>
    <w:p>
      <w:pPr>
        <w:ind w:firstLine="480" w:firstLineChars="200"/>
        <w:rPr>
          <w:sz w:val="24"/>
          <w:szCs w:val="24"/>
        </w:rPr>
      </w:pPr>
      <w:r>
        <w:rPr>
          <w:rFonts w:hint="eastAsia"/>
          <w:sz w:val="24"/>
          <w:szCs w:val="24"/>
        </w:rPr>
        <w:t>质量指标下设一审服判息诉率、六专四室专用电梯验收合格率、档案库建设项目验收合格率等7个三级指标。除档案馆、公车购置项目未实施，其他指标均达到</w:t>
      </w:r>
      <w:r>
        <w:rPr>
          <w:sz w:val="24"/>
          <w:szCs w:val="24"/>
        </w:rPr>
        <w:t>预期目标，该指标分值1</w:t>
      </w:r>
      <w:r>
        <w:rPr>
          <w:rFonts w:hint="eastAsia"/>
          <w:sz w:val="24"/>
          <w:szCs w:val="24"/>
        </w:rPr>
        <w:t>4</w:t>
      </w:r>
      <w:r>
        <w:rPr>
          <w:sz w:val="24"/>
          <w:szCs w:val="24"/>
        </w:rPr>
        <w:t>分，按评价标</w:t>
      </w:r>
      <w:r>
        <w:rPr>
          <w:rFonts w:hint="eastAsia"/>
          <w:sz w:val="24"/>
          <w:szCs w:val="24"/>
        </w:rPr>
        <w:t>准自评得分为10</w:t>
      </w:r>
      <w:r>
        <w:rPr>
          <w:sz w:val="24"/>
          <w:szCs w:val="24"/>
        </w:rPr>
        <w:t>分，得分率为</w:t>
      </w:r>
      <w:r>
        <w:rPr>
          <w:rFonts w:hint="eastAsia" w:ascii="等线" w:hAnsi="等线" w:eastAsia="等线" w:cs="宋体"/>
          <w:color w:val="000000"/>
          <w:kern w:val="0"/>
          <w:sz w:val="22"/>
        </w:rPr>
        <w:t>71</w:t>
      </w:r>
      <w:r>
        <w:rPr>
          <w:sz w:val="24"/>
          <w:szCs w:val="24"/>
        </w:rPr>
        <w:t>%。</w:t>
      </w:r>
    </w:p>
    <w:p>
      <w:pPr>
        <w:ind w:firstLine="480" w:firstLineChars="200"/>
        <w:rPr>
          <w:sz w:val="24"/>
          <w:szCs w:val="24"/>
        </w:rPr>
      </w:pPr>
      <w:r>
        <w:rPr>
          <w:rFonts w:hint="eastAsia"/>
          <w:sz w:val="24"/>
          <w:szCs w:val="24"/>
        </w:rPr>
        <w:t>时效指标下设六专四室专用电梯购置及时性、法定审限内结案率、档案库建设项目完成及时性等6个三级指标，2022年我院依法开展刑事审判，全力维护社会稳定；妥善解决民商纠纷，积极化解社会矛盾；加强行政审判工作，促进法制政府建设，办案经费支出及时、维修维护完工及时。除档案馆项目外均</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准自评得分为13</w:t>
      </w:r>
      <w:r>
        <w:rPr>
          <w:sz w:val="24"/>
          <w:szCs w:val="24"/>
        </w:rPr>
        <w:t>分，得分率为</w:t>
      </w:r>
      <w:r>
        <w:rPr>
          <w:rFonts w:hint="eastAsia"/>
          <w:sz w:val="24"/>
          <w:szCs w:val="24"/>
        </w:rPr>
        <w:t>87</w:t>
      </w:r>
      <w:r>
        <w:rPr>
          <w:sz w:val="24"/>
          <w:szCs w:val="24"/>
        </w:rPr>
        <w:t>%。</w:t>
      </w:r>
    </w:p>
    <w:p>
      <w:pPr>
        <w:ind w:firstLine="480" w:firstLineChars="200"/>
        <w:rPr>
          <w:sz w:val="24"/>
          <w:szCs w:val="24"/>
        </w:rPr>
      </w:pPr>
      <w:r>
        <w:rPr>
          <w:rFonts w:hint="eastAsia"/>
          <w:sz w:val="24"/>
          <w:szCs w:val="24"/>
        </w:rPr>
        <w:t>成本指标下设成本控制情况</w:t>
      </w:r>
      <w:r>
        <w:rPr>
          <w:sz w:val="24"/>
          <w:szCs w:val="24"/>
        </w:rPr>
        <w:t>，达到预期目标，该指标分值</w:t>
      </w:r>
      <w:r>
        <w:rPr>
          <w:rFonts w:hint="eastAsia"/>
          <w:sz w:val="24"/>
          <w:szCs w:val="24"/>
        </w:rPr>
        <w:t>3</w:t>
      </w:r>
      <w:r>
        <w:rPr>
          <w:sz w:val="24"/>
          <w:szCs w:val="24"/>
        </w:rPr>
        <w:t>分，按评价标</w:t>
      </w:r>
      <w:r>
        <w:rPr>
          <w:rFonts w:hint="eastAsia"/>
          <w:sz w:val="24"/>
          <w:szCs w:val="24"/>
        </w:rPr>
        <w:t>准自评得分为3</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效益指标包括经济效益、社会效益和可持续影响指标3个二级指标。总分值30</w:t>
      </w:r>
      <w:r>
        <w:rPr>
          <w:sz w:val="24"/>
          <w:szCs w:val="24"/>
        </w:rPr>
        <w:t>分，得分</w:t>
      </w:r>
      <w:r>
        <w:rPr>
          <w:rFonts w:hint="eastAsia"/>
          <w:sz w:val="24"/>
          <w:szCs w:val="24"/>
        </w:rPr>
        <w:t>28.1</w:t>
      </w:r>
      <w:r>
        <w:rPr>
          <w:sz w:val="24"/>
          <w:szCs w:val="24"/>
        </w:rPr>
        <w:t>分，得分率</w:t>
      </w:r>
      <w:r>
        <w:rPr>
          <w:rFonts w:hint="eastAsia"/>
          <w:sz w:val="24"/>
          <w:szCs w:val="24"/>
        </w:rPr>
        <w:t>94</w:t>
      </w:r>
      <w:r>
        <w:rPr>
          <w:sz w:val="24"/>
          <w:szCs w:val="24"/>
        </w:rPr>
        <w:t>%。</w:t>
      </w:r>
    </w:p>
    <w:p>
      <w:pPr>
        <w:ind w:firstLine="480" w:firstLineChars="200"/>
        <w:rPr>
          <w:sz w:val="24"/>
          <w:szCs w:val="24"/>
        </w:rPr>
      </w:pPr>
      <w:r>
        <w:rPr>
          <w:rFonts w:hint="eastAsia"/>
          <w:sz w:val="24"/>
          <w:szCs w:val="24"/>
        </w:rPr>
        <w:t>社会效益下设2个三级指标，民商事案件调解撤诉率、一审案件陪审率。2022年我院依法开展刑事审判，全力维护社会稳定；妥善解决民商纠纷，积极化解社会矛盾；加强行政审判工作，促进法制政府建设；全力破解执行难题，兑现涉诉合法权益，不断提高人民群众对法院信任度。该指标分值12</w:t>
      </w:r>
      <w:r>
        <w:rPr>
          <w:sz w:val="24"/>
          <w:szCs w:val="24"/>
        </w:rPr>
        <w:t>分，根据评分标准自评得分</w:t>
      </w:r>
      <w:r>
        <w:rPr>
          <w:rFonts w:hint="eastAsia"/>
          <w:sz w:val="24"/>
          <w:szCs w:val="24"/>
        </w:rPr>
        <w:t>10.1</w:t>
      </w:r>
      <w:r>
        <w:rPr>
          <w:sz w:val="24"/>
          <w:szCs w:val="24"/>
        </w:rPr>
        <w:t>分。</w:t>
      </w:r>
    </w:p>
    <w:p>
      <w:pPr>
        <w:ind w:firstLine="480" w:firstLineChars="200"/>
      </w:pPr>
      <w:r>
        <w:rPr>
          <w:rFonts w:hint="eastAsia"/>
          <w:sz w:val="24"/>
          <w:szCs w:val="24"/>
        </w:rPr>
        <w:t>可持续影响下设案件评审机制健全性、设备管护机制健全性2个三级指标，我院案件评审机制完备健全，设备管理制度完备、执行较好。该指标分值12</w:t>
      </w:r>
      <w:r>
        <w:rPr>
          <w:sz w:val="24"/>
          <w:szCs w:val="24"/>
        </w:rPr>
        <w:t>分，根据评分标准自评得分</w:t>
      </w:r>
      <w:r>
        <w:rPr>
          <w:rFonts w:hint="eastAsia"/>
          <w:sz w:val="24"/>
          <w:szCs w:val="24"/>
        </w:rPr>
        <w:t>12</w:t>
      </w:r>
      <w:r>
        <w:rPr>
          <w:sz w:val="24"/>
          <w:szCs w:val="24"/>
        </w:rPr>
        <w:t>分，得分</w:t>
      </w:r>
      <w:r>
        <w:rPr>
          <w:rFonts w:hint="eastAsia"/>
          <w:sz w:val="24"/>
          <w:szCs w:val="24"/>
        </w:rPr>
        <w:t>率为10</w:t>
      </w:r>
      <w:r>
        <w:rPr>
          <w:sz w:val="24"/>
          <w:szCs w:val="24"/>
        </w:rPr>
        <w:t>0%。</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满意度指标指相关受益群体的满意度，本次自评满意度指标设置为人民群众满意度程度和工作人员满意度。2022年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10</w:t>
      </w:r>
      <w:r>
        <w:rPr>
          <w:sz w:val="24"/>
          <w:szCs w:val="24"/>
        </w:rPr>
        <w:t>分，得分</w:t>
      </w:r>
      <w:r>
        <w:rPr>
          <w:rFonts w:hint="eastAsia"/>
          <w:sz w:val="24"/>
          <w:szCs w:val="24"/>
        </w:rPr>
        <w:t>率为10</w:t>
      </w:r>
      <w:r>
        <w:rPr>
          <w:sz w:val="24"/>
          <w:szCs w:val="24"/>
        </w:rPr>
        <w:t>0%。</w:t>
      </w:r>
    </w:p>
    <w:p>
      <w:pPr>
        <w:ind w:firstLine="600" w:firstLineChars="250"/>
        <w:rPr>
          <w:b/>
          <w:bCs/>
          <w:sz w:val="24"/>
          <w:szCs w:val="24"/>
        </w:rPr>
      </w:pPr>
      <w:r>
        <w:rPr>
          <w:rFonts w:hint="eastAsia"/>
          <w:b/>
          <w:bCs/>
          <w:sz w:val="24"/>
          <w:szCs w:val="24"/>
        </w:rPr>
        <w:t>4、</w:t>
      </w:r>
      <w:r>
        <w:rPr>
          <w:b/>
          <w:bCs/>
          <w:sz w:val="24"/>
          <w:szCs w:val="24"/>
        </w:rPr>
        <w:t>偏离绩效目标的原因及下一步改进措施</w:t>
      </w:r>
    </w:p>
    <w:p>
      <w:pPr>
        <w:pStyle w:val="10"/>
        <w:rPr>
          <w:sz w:val="24"/>
          <w:szCs w:val="24"/>
        </w:rPr>
      </w:pPr>
      <w:r>
        <w:rPr>
          <w:rFonts w:hint="eastAsia"/>
        </w:rPr>
        <w:t xml:space="preserve">     </w:t>
      </w:r>
      <w:r>
        <w:rPr>
          <w:rFonts w:hint="eastAsia"/>
          <w:sz w:val="24"/>
          <w:szCs w:val="24"/>
        </w:rPr>
        <w:t>我院业务费除档案馆建设项目、公车购置未实施外没有偏离绩效目标。</w:t>
      </w:r>
    </w:p>
    <w:p>
      <w:pPr>
        <w:ind w:firstLine="480" w:firstLineChars="200"/>
        <w:rPr>
          <w:b/>
          <w:bCs/>
          <w:sz w:val="24"/>
          <w:szCs w:val="24"/>
        </w:rPr>
      </w:pPr>
      <w:r>
        <w:rPr>
          <w:rFonts w:hint="eastAsia"/>
          <w:b/>
          <w:bCs/>
          <w:sz w:val="24"/>
          <w:szCs w:val="24"/>
        </w:rPr>
        <w:t>五、部门管理的转移支付绩效自评情况分析</w:t>
      </w:r>
    </w:p>
    <w:p>
      <w:pPr>
        <w:ind w:firstLine="480" w:firstLineChars="200"/>
        <w:rPr>
          <w:sz w:val="24"/>
          <w:szCs w:val="24"/>
        </w:rPr>
      </w:pPr>
      <w:r>
        <w:rPr>
          <w:rFonts w:hint="eastAsia"/>
          <w:sz w:val="24"/>
          <w:szCs w:val="24"/>
        </w:rPr>
        <w:t>无。</w:t>
      </w:r>
    </w:p>
    <w:p>
      <w:pPr>
        <w:ind w:firstLine="480" w:firstLineChars="200"/>
        <w:rPr>
          <w:b/>
          <w:bCs/>
          <w:sz w:val="24"/>
          <w:szCs w:val="24"/>
          <w:highlight w:val="yellow"/>
        </w:rPr>
      </w:pPr>
      <w:r>
        <w:rPr>
          <w:rFonts w:hint="eastAsia"/>
          <w:b/>
          <w:bCs/>
          <w:sz w:val="24"/>
          <w:szCs w:val="24"/>
        </w:rPr>
        <w:t>六、绩效自评结果拟应用和公开情况</w:t>
      </w:r>
    </w:p>
    <w:p>
      <w:pPr>
        <w:ind w:firstLine="480" w:firstLineChars="200"/>
        <w:rPr>
          <w:sz w:val="24"/>
          <w:szCs w:val="24"/>
        </w:rPr>
      </w:pPr>
      <w:r>
        <w:rPr>
          <w:rFonts w:hint="eastAsia"/>
          <w:sz w:val="24"/>
          <w:szCs w:val="24"/>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pPr>
        <w:ind w:firstLine="480" w:firstLineChars="200"/>
        <w:rPr>
          <w:sz w:val="24"/>
          <w:szCs w:val="24"/>
        </w:rPr>
      </w:pPr>
      <w:r>
        <w:rPr>
          <w:rFonts w:hint="eastAsia"/>
          <w:sz w:val="24"/>
          <w:szCs w:val="24"/>
        </w:rPr>
        <w:t>绩效自评结果的应用是单位完善政策、改进管理、提高预算水平，增强绩效管理的重要依据，单位要加强评价结果的应用。根据政策文件规定，我单位绩效自评结果将编入2022年</w:t>
      </w:r>
      <w:r>
        <w:rPr>
          <w:sz w:val="24"/>
          <w:szCs w:val="24"/>
        </w:rPr>
        <w:t>度决算中，随同</w:t>
      </w:r>
      <w:r>
        <w:rPr>
          <w:rFonts w:hint="eastAsia"/>
          <w:sz w:val="24"/>
          <w:szCs w:val="24"/>
        </w:rPr>
        <w:t>2022年</w:t>
      </w:r>
      <w:r>
        <w:rPr>
          <w:sz w:val="24"/>
          <w:szCs w:val="24"/>
        </w:rPr>
        <w:t>度单位决算同步公开</w:t>
      </w:r>
      <w:r>
        <w:rPr>
          <w:rFonts w:hint="eastAsia"/>
          <w:sz w:val="24"/>
          <w:szCs w:val="24"/>
        </w:rPr>
        <w:t>，并将绩效评价报告和结果作为2022年改进和提高资金使用效益的依据，提高预算编制质量，加快政府采购实施。</w:t>
      </w:r>
    </w:p>
    <w:p>
      <w:pPr>
        <w:ind w:firstLine="480" w:firstLineChars="200"/>
        <w:rPr>
          <w:b/>
          <w:bCs/>
          <w:sz w:val="24"/>
          <w:szCs w:val="24"/>
        </w:rPr>
      </w:pPr>
      <w:r>
        <w:rPr>
          <w:rFonts w:hint="eastAsia"/>
          <w:b/>
          <w:bCs/>
          <w:sz w:val="24"/>
          <w:szCs w:val="24"/>
        </w:rPr>
        <w:t>七、其他需要说明的问题</w:t>
      </w:r>
    </w:p>
    <w:p>
      <w:pPr>
        <w:ind w:firstLine="480" w:firstLineChars="200"/>
        <w:rPr>
          <w:sz w:val="24"/>
          <w:szCs w:val="24"/>
        </w:rPr>
      </w:pPr>
      <w:r>
        <w:rPr>
          <w:rFonts w:hint="eastAsia"/>
          <w:sz w:val="24"/>
          <w:szCs w:val="24"/>
        </w:rPr>
        <w:t>无。</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mOTg1YzZmZWUxYzNhOWU5YjU1MTMzZGJiMGMzOTEifQ=="/>
  </w:docVars>
  <w:rsids>
    <w:rsidRoot w:val="00267092"/>
    <w:rsid w:val="000458A6"/>
    <w:rsid w:val="000A410F"/>
    <w:rsid w:val="0011254A"/>
    <w:rsid w:val="001338AB"/>
    <w:rsid w:val="001415E9"/>
    <w:rsid w:val="00192ED6"/>
    <w:rsid w:val="00194201"/>
    <w:rsid w:val="00197BB6"/>
    <w:rsid w:val="001A36F5"/>
    <w:rsid w:val="001C121B"/>
    <w:rsid w:val="001C4555"/>
    <w:rsid w:val="001D7632"/>
    <w:rsid w:val="0023707C"/>
    <w:rsid w:val="0023778B"/>
    <w:rsid w:val="00267092"/>
    <w:rsid w:val="00272398"/>
    <w:rsid w:val="002A7B0A"/>
    <w:rsid w:val="002F0F31"/>
    <w:rsid w:val="00313789"/>
    <w:rsid w:val="00322515"/>
    <w:rsid w:val="00366AE4"/>
    <w:rsid w:val="00381AF0"/>
    <w:rsid w:val="00385CF6"/>
    <w:rsid w:val="003D4253"/>
    <w:rsid w:val="003F3A37"/>
    <w:rsid w:val="00401B48"/>
    <w:rsid w:val="0040311E"/>
    <w:rsid w:val="004100DB"/>
    <w:rsid w:val="00453265"/>
    <w:rsid w:val="00455684"/>
    <w:rsid w:val="00462570"/>
    <w:rsid w:val="00462F63"/>
    <w:rsid w:val="00492D28"/>
    <w:rsid w:val="004A4B93"/>
    <w:rsid w:val="004A4BEF"/>
    <w:rsid w:val="004C1441"/>
    <w:rsid w:val="004D6062"/>
    <w:rsid w:val="00546060"/>
    <w:rsid w:val="00580ADC"/>
    <w:rsid w:val="005A5F42"/>
    <w:rsid w:val="005A73E1"/>
    <w:rsid w:val="005D5876"/>
    <w:rsid w:val="00614AA0"/>
    <w:rsid w:val="006351F6"/>
    <w:rsid w:val="00640833"/>
    <w:rsid w:val="0065078C"/>
    <w:rsid w:val="00651484"/>
    <w:rsid w:val="00671964"/>
    <w:rsid w:val="00682DE5"/>
    <w:rsid w:val="0069153C"/>
    <w:rsid w:val="006A331F"/>
    <w:rsid w:val="006A3C68"/>
    <w:rsid w:val="006C1AA2"/>
    <w:rsid w:val="006C389E"/>
    <w:rsid w:val="006D128E"/>
    <w:rsid w:val="006E77A0"/>
    <w:rsid w:val="00712EBF"/>
    <w:rsid w:val="007158E1"/>
    <w:rsid w:val="007717CB"/>
    <w:rsid w:val="007757C2"/>
    <w:rsid w:val="00784163"/>
    <w:rsid w:val="00784C99"/>
    <w:rsid w:val="00786433"/>
    <w:rsid w:val="00797767"/>
    <w:rsid w:val="007A01EB"/>
    <w:rsid w:val="007A6D32"/>
    <w:rsid w:val="007B241F"/>
    <w:rsid w:val="007D50CD"/>
    <w:rsid w:val="007F2A59"/>
    <w:rsid w:val="00801A82"/>
    <w:rsid w:val="00816826"/>
    <w:rsid w:val="008461FB"/>
    <w:rsid w:val="00855B2D"/>
    <w:rsid w:val="00891AA7"/>
    <w:rsid w:val="008C37DE"/>
    <w:rsid w:val="009061E3"/>
    <w:rsid w:val="00911170"/>
    <w:rsid w:val="00937B2F"/>
    <w:rsid w:val="00940B9D"/>
    <w:rsid w:val="009469D6"/>
    <w:rsid w:val="00961B9E"/>
    <w:rsid w:val="009962EA"/>
    <w:rsid w:val="009A11B1"/>
    <w:rsid w:val="009A14D0"/>
    <w:rsid w:val="009A3A46"/>
    <w:rsid w:val="009C488E"/>
    <w:rsid w:val="009F334E"/>
    <w:rsid w:val="00A211A7"/>
    <w:rsid w:val="00A57E23"/>
    <w:rsid w:val="00A843FB"/>
    <w:rsid w:val="00AA734B"/>
    <w:rsid w:val="00AD21A2"/>
    <w:rsid w:val="00AD678A"/>
    <w:rsid w:val="00B1635E"/>
    <w:rsid w:val="00B214C0"/>
    <w:rsid w:val="00B337C2"/>
    <w:rsid w:val="00B70386"/>
    <w:rsid w:val="00B96899"/>
    <w:rsid w:val="00BA5298"/>
    <w:rsid w:val="00BA59A1"/>
    <w:rsid w:val="00BB6983"/>
    <w:rsid w:val="00BB69E1"/>
    <w:rsid w:val="00BE77E3"/>
    <w:rsid w:val="00BF3611"/>
    <w:rsid w:val="00C03DCF"/>
    <w:rsid w:val="00C06630"/>
    <w:rsid w:val="00C07CB4"/>
    <w:rsid w:val="00C1545F"/>
    <w:rsid w:val="00C176CF"/>
    <w:rsid w:val="00C41561"/>
    <w:rsid w:val="00C559CA"/>
    <w:rsid w:val="00C562B2"/>
    <w:rsid w:val="00C66800"/>
    <w:rsid w:val="00C839F3"/>
    <w:rsid w:val="00C921FA"/>
    <w:rsid w:val="00CA5DE0"/>
    <w:rsid w:val="00CA6D3F"/>
    <w:rsid w:val="00CD1669"/>
    <w:rsid w:val="00CE2A85"/>
    <w:rsid w:val="00CE5929"/>
    <w:rsid w:val="00D16D23"/>
    <w:rsid w:val="00D26A2D"/>
    <w:rsid w:val="00D55B39"/>
    <w:rsid w:val="00D80C55"/>
    <w:rsid w:val="00D97239"/>
    <w:rsid w:val="00DB3911"/>
    <w:rsid w:val="00DD1842"/>
    <w:rsid w:val="00DE348D"/>
    <w:rsid w:val="00DE7DF4"/>
    <w:rsid w:val="00DF23F5"/>
    <w:rsid w:val="00E04CDF"/>
    <w:rsid w:val="00E35A92"/>
    <w:rsid w:val="00E3690E"/>
    <w:rsid w:val="00E81DCA"/>
    <w:rsid w:val="00E83B2F"/>
    <w:rsid w:val="00EA272C"/>
    <w:rsid w:val="00EB2D61"/>
    <w:rsid w:val="00EF48AE"/>
    <w:rsid w:val="00F3606D"/>
    <w:rsid w:val="00F45429"/>
    <w:rsid w:val="00F93696"/>
    <w:rsid w:val="00F93EB0"/>
    <w:rsid w:val="00FB0053"/>
    <w:rsid w:val="00FE6FC3"/>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AF3F0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796A61"/>
    <w:rsid w:val="7AD7195F"/>
    <w:rsid w:val="7D62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caption"/>
    <w:basedOn w:val="1"/>
    <w:next w:val="1"/>
    <w:qFormat/>
    <w:uiPriority w:val="35"/>
    <w:pPr>
      <w:jc w:val="left"/>
    </w:pPr>
    <w:rPr>
      <w:rFonts w:hint="eastAsia" w:ascii="Cambria" w:hAnsi="Cambria" w:eastAsia="黑体" w:cs="Times New Roman"/>
      <w:kern w:val="0"/>
      <w:sz w:val="20"/>
      <w:szCs w:val="20"/>
    </w:rPr>
  </w:style>
  <w:style w:type="paragraph" w:styleId="5">
    <w:name w:val="Body Text"/>
    <w:basedOn w:val="1"/>
    <w:next w:val="1"/>
    <w:qFormat/>
    <w:uiPriority w:val="0"/>
    <w:rPr>
      <w:rFonts w:ascii="Calibri" w:hAnsi="Calibri"/>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index 1"/>
    <w:basedOn w:val="1"/>
    <w:next w:val="1"/>
    <w:qFormat/>
    <w:uiPriority w:val="0"/>
    <w:rPr>
      <w:szCs w:val="20"/>
    </w:rPr>
  </w:style>
  <w:style w:type="paragraph" w:styleId="13">
    <w:name w:val="List Paragraph"/>
    <w:basedOn w:val="1"/>
    <w:qFormat/>
    <w:uiPriority w:val="34"/>
    <w:pPr>
      <w:ind w:firstLine="420" w:firstLineChars="200"/>
    </w:p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font31"/>
    <w:basedOn w:val="12"/>
    <w:qFormat/>
    <w:uiPriority w:val="0"/>
    <w:rPr>
      <w:rFonts w:hint="eastAsia" w:ascii="宋体" w:hAnsi="宋体" w:eastAsia="宋体" w:cs="宋体"/>
      <w:color w:val="000000"/>
      <w:sz w:val="18"/>
      <w:szCs w:val="18"/>
      <w:u w:val="none"/>
    </w:rPr>
  </w:style>
  <w:style w:type="character" w:customStyle="1" w:styleId="18">
    <w:name w:val="font11"/>
    <w:basedOn w:val="12"/>
    <w:qFormat/>
    <w:uiPriority w:val="0"/>
    <w:rPr>
      <w:rFonts w:hint="eastAsia" w:ascii="宋体" w:hAnsi="宋体" w:eastAsia="宋体" w:cs="宋体"/>
      <w:color w:val="000000"/>
      <w:sz w:val="18"/>
      <w:szCs w:val="18"/>
      <w:u w:val="none"/>
    </w:rPr>
  </w:style>
  <w:style w:type="character" w:customStyle="1" w:styleId="19">
    <w:name w:val="font01"/>
    <w:basedOn w:val="12"/>
    <w:qFormat/>
    <w:uiPriority w:val="0"/>
    <w:rPr>
      <w:rFonts w:hint="eastAsia" w:ascii="宋体" w:hAnsi="宋体" w:eastAsia="宋体" w:cs="宋体"/>
      <w:color w:val="000000"/>
      <w:sz w:val="18"/>
      <w:szCs w:val="18"/>
      <w:u w:val="none"/>
    </w:rPr>
  </w:style>
  <w:style w:type="character" w:customStyle="1" w:styleId="20">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10450</Words>
  <Characters>12141</Characters>
  <Lines>94</Lines>
  <Paragraphs>26</Paragraphs>
  <TotalTime>374</TotalTime>
  <ScaleCrop>false</ScaleCrop>
  <LinksUpToDate>false</LinksUpToDate>
  <CharactersWithSpaces>12262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 ～ ～ ～</cp:lastModifiedBy>
  <dcterms:modified xsi:type="dcterms:W3CDTF">2023-08-16T07:53:32Z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20D74615B9D746DBB76EC3515BF45850</vt:lpwstr>
  </property>
</Properties>
</file>