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center"/>
        <w:rPr>
          <w:rFonts w:hint="eastAsia" w:ascii="宋体" w:hAnsi="宋体" w:eastAsia="宋体"/>
          <w:b/>
          <w:bCs/>
          <w:sz w:val="44"/>
          <w:szCs w:val="44"/>
          <w:lang w:val="en-US" w:eastAsia="zh-CN"/>
        </w:rPr>
      </w:pPr>
    </w:p>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2</w:t>
      </w:r>
      <w:r>
        <w:rPr>
          <w:rFonts w:ascii="宋体" w:hAnsi="宋体" w:eastAsia="宋体"/>
          <w:b/>
          <w:bCs/>
          <w:sz w:val="44"/>
          <w:szCs w:val="44"/>
        </w:rPr>
        <w:t>年度</w:t>
      </w:r>
      <w:r>
        <w:rPr>
          <w:rFonts w:hint="eastAsia" w:ascii="宋体" w:hAnsi="宋体" w:eastAsia="宋体"/>
          <w:b/>
          <w:bCs/>
          <w:sz w:val="44"/>
          <w:szCs w:val="44"/>
          <w:lang w:eastAsia="zh-CN"/>
        </w:rPr>
        <w:t>平凉市中级</w:t>
      </w:r>
      <w:r>
        <w:rPr>
          <w:rFonts w:hint="eastAsia" w:ascii="宋体" w:hAnsi="宋体" w:eastAsia="宋体"/>
          <w:b/>
          <w:bCs/>
          <w:sz w:val="44"/>
          <w:szCs w:val="44"/>
        </w:rPr>
        <w:t>人民法院</w:t>
      </w:r>
    </w:p>
    <w:p>
      <w:pPr>
        <w:spacing w:line="720" w:lineRule="auto"/>
        <w:ind w:firstLine="0" w:firstLineChars="0"/>
        <w:jc w:val="center"/>
        <w:rPr>
          <w:rFonts w:ascii="宋体" w:hAnsi="宋体" w:eastAsia="宋体"/>
          <w:b/>
          <w:bCs/>
          <w:sz w:val="44"/>
          <w:szCs w:val="44"/>
        </w:rPr>
      </w:pPr>
      <w:r>
        <w:rPr>
          <w:rFonts w:hint="eastAsia" w:ascii="宋体" w:hAnsi="宋体" w:eastAsia="宋体"/>
          <w:b/>
          <w:bCs/>
          <w:sz w:val="44"/>
          <w:szCs w:val="44"/>
          <w:lang w:val="en-US" w:eastAsia="zh-CN"/>
        </w:rPr>
        <w:t>部门</w:t>
      </w:r>
      <w:r>
        <w:rPr>
          <w:rFonts w:ascii="宋体" w:hAnsi="宋体" w:eastAsia="宋体"/>
          <w:b/>
          <w:bCs/>
          <w:sz w:val="44"/>
          <w:szCs w:val="44"/>
        </w:rPr>
        <w:t>预算执行情况</w:t>
      </w:r>
      <w:r>
        <w:rPr>
          <w:rFonts w:hint="eastAsia" w:ascii="宋体" w:hAnsi="宋体" w:eastAsia="宋体"/>
          <w:b/>
          <w:bCs/>
          <w:sz w:val="44"/>
          <w:szCs w:val="44"/>
          <w:lang w:eastAsia="zh-CN"/>
        </w:rPr>
        <w:t>绩效</w:t>
      </w:r>
      <w:r>
        <w:rPr>
          <w:rFonts w:ascii="宋体" w:hAnsi="宋体" w:eastAsia="宋体"/>
          <w:b/>
          <w:bCs/>
          <w:sz w:val="44"/>
          <w:szCs w:val="44"/>
        </w:rPr>
        <w:t>自评报告</w:t>
      </w:r>
    </w:p>
    <w:p>
      <w:pPr>
        <w:widowControl/>
        <w:spacing w:line="240" w:lineRule="auto"/>
        <w:ind w:firstLine="0" w:firstLineChars="0"/>
        <w:jc w:val="left"/>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val="en-US" w:eastAsia="zh-CN"/>
        </w:rPr>
        <w:t>平凉市中级</w:t>
      </w:r>
      <w:r>
        <w:rPr>
          <w:rFonts w:hint="eastAsia" w:ascii="宋体" w:hAnsi="宋体" w:eastAsia="宋体"/>
          <w:b/>
          <w:bCs/>
          <w:sz w:val="32"/>
          <w:szCs w:val="32"/>
          <w:lang w:eastAsia="zh-CN"/>
        </w:rPr>
        <w:t>人民法院</w:t>
      </w:r>
    </w:p>
    <w:p>
      <w:pPr>
        <w:ind w:firstLine="0" w:firstLineChars="0"/>
        <w:jc w:val="center"/>
        <w:rPr>
          <w:rFonts w:ascii="宋体" w:hAnsi="宋体" w:eastAsia="宋体"/>
          <w:b/>
          <w:bCs/>
          <w:sz w:val="32"/>
          <w:szCs w:val="32"/>
          <w:highlight w:val="none"/>
        </w:rPr>
      </w:pPr>
      <w:r>
        <w:rPr>
          <w:rFonts w:hint="eastAsia" w:ascii="宋体" w:hAnsi="宋体" w:eastAsia="宋体"/>
          <w:b/>
          <w:bCs/>
          <w:sz w:val="32"/>
          <w:szCs w:val="32"/>
          <w:highlight w:val="none"/>
        </w:rPr>
        <w:t>202</w:t>
      </w:r>
      <w:r>
        <w:rPr>
          <w:rFonts w:hint="eastAsia" w:ascii="宋体" w:hAnsi="宋体" w:eastAsia="宋体"/>
          <w:b/>
          <w:bCs/>
          <w:sz w:val="32"/>
          <w:szCs w:val="32"/>
          <w:highlight w:val="none"/>
          <w:lang w:val="en-US" w:eastAsia="zh-CN"/>
        </w:rPr>
        <w:t>3</w:t>
      </w:r>
      <w:r>
        <w:rPr>
          <w:rFonts w:hint="eastAsia" w:ascii="宋体" w:hAnsi="宋体" w:eastAsia="宋体"/>
          <w:b/>
          <w:bCs/>
          <w:sz w:val="32"/>
          <w:szCs w:val="32"/>
          <w:highlight w:val="none"/>
        </w:rPr>
        <w:t>年</w:t>
      </w:r>
      <w:r>
        <w:rPr>
          <w:rFonts w:hint="eastAsia" w:ascii="宋体" w:hAnsi="宋体" w:eastAsia="宋体"/>
          <w:b/>
          <w:bCs/>
          <w:sz w:val="32"/>
          <w:szCs w:val="32"/>
          <w:highlight w:val="none"/>
          <w:lang w:val="en-US" w:eastAsia="zh-CN"/>
        </w:rPr>
        <w:t>2</w:t>
      </w:r>
      <w:r>
        <w:rPr>
          <w:rFonts w:hint="eastAsia" w:ascii="宋体" w:hAnsi="宋体" w:eastAsia="宋体"/>
          <w:b/>
          <w:bCs/>
          <w:sz w:val="32"/>
          <w:szCs w:val="32"/>
          <w:highlight w:val="none"/>
        </w:rPr>
        <w:t>月</w:t>
      </w:r>
      <w:r>
        <w:rPr>
          <w:rFonts w:hint="eastAsia" w:ascii="宋体" w:hAnsi="宋体" w:eastAsia="宋体"/>
          <w:b/>
          <w:bCs/>
          <w:sz w:val="32"/>
          <w:szCs w:val="32"/>
          <w:highlight w:val="none"/>
          <w:lang w:val="en-US" w:eastAsia="zh-CN"/>
        </w:rPr>
        <w:t>17</w:t>
      </w:r>
      <w:r>
        <w:rPr>
          <w:rFonts w:hint="eastAsia" w:ascii="宋体" w:hAnsi="宋体" w:eastAsia="宋体"/>
          <w:b/>
          <w:bCs/>
          <w:sz w:val="32"/>
          <w:szCs w:val="32"/>
          <w:highlight w:val="none"/>
        </w:rPr>
        <w:t>日</w:t>
      </w:r>
    </w:p>
    <w:p>
      <w:pPr>
        <w:ind w:firstLine="560"/>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pPr>
            <w:pStyle w:val="30"/>
            <w:spacing w:line="360" w:lineRule="auto"/>
            <w:ind w:firstLine="560"/>
            <w:jc w:val="center"/>
            <w:rPr>
              <w:rFonts w:ascii="黑体" w:hAnsi="黑体" w:eastAsia="黑体"/>
              <w:color w:val="auto"/>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 xml:space="preserve"> 录</w:t>
          </w:r>
        </w:p>
        <w:p>
          <w:pPr>
            <w:pStyle w:val="15"/>
            <w:tabs>
              <w:tab w:val="right" w:leader="dot" w:pos="8306"/>
              <w:tab w:val="clear" w:pos="8296"/>
            </w:tabs>
          </w:pPr>
          <w:r>
            <w:fldChar w:fldCharType="begin"/>
          </w:r>
          <w:r>
            <w:instrText xml:space="preserve"> TOC \o "1-2" \h \z \u </w:instrText>
          </w:r>
          <w:r>
            <w:fldChar w:fldCharType="separate"/>
          </w:r>
        </w:p>
        <w:p>
          <w:pPr>
            <w:pStyle w:val="15"/>
            <w:tabs>
              <w:tab w:val="right" w:leader="dot" w:pos="8306"/>
              <w:tab w:val="clear" w:pos="8296"/>
            </w:tabs>
          </w:pPr>
          <w:r>
            <w:fldChar w:fldCharType="begin"/>
          </w:r>
          <w:r>
            <w:instrText xml:space="preserve"> HYPERLINK \l _Toc28802 </w:instrText>
          </w:r>
          <w:r>
            <w:fldChar w:fldCharType="separate"/>
          </w:r>
          <w:r>
            <w:rPr>
              <w:rFonts w:hint="eastAsia"/>
            </w:rPr>
            <w:t>一、基本情况</w:t>
          </w:r>
          <w:r>
            <w:tab/>
          </w:r>
          <w:r>
            <w:fldChar w:fldCharType="begin"/>
          </w:r>
          <w:r>
            <w:instrText xml:space="preserve"> PAGEREF _Toc28802 \h </w:instrText>
          </w:r>
          <w:r>
            <w:fldChar w:fldCharType="separate"/>
          </w:r>
          <w:r>
            <w:t>3</w:t>
          </w:r>
          <w:r>
            <w:fldChar w:fldCharType="end"/>
          </w:r>
          <w:r>
            <w:fldChar w:fldCharType="end"/>
          </w:r>
        </w:p>
        <w:p>
          <w:pPr>
            <w:pStyle w:val="16"/>
            <w:tabs>
              <w:tab w:val="right" w:leader="dot" w:pos="8306"/>
              <w:tab w:val="clear" w:pos="8296"/>
            </w:tabs>
          </w:pPr>
          <w:r>
            <w:fldChar w:fldCharType="begin"/>
          </w:r>
          <w:r>
            <w:instrText xml:space="preserve"> HYPERLINK \l _Toc15972 </w:instrText>
          </w:r>
          <w:r>
            <w:fldChar w:fldCharType="separate"/>
          </w:r>
          <w:r>
            <w:rPr>
              <w:rFonts w:hint="eastAsia"/>
            </w:rPr>
            <w:t>（一）部门主要职能</w:t>
          </w:r>
          <w:r>
            <w:tab/>
          </w:r>
          <w:r>
            <w:fldChar w:fldCharType="begin"/>
          </w:r>
          <w:r>
            <w:instrText xml:space="preserve"> PAGEREF _Toc15972 \h </w:instrText>
          </w:r>
          <w:r>
            <w:fldChar w:fldCharType="separate"/>
          </w:r>
          <w:r>
            <w:t>3</w:t>
          </w:r>
          <w:r>
            <w:fldChar w:fldCharType="end"/>
          </w:r>
          <w:r>
            <w:fldChar w:fldCharType="end"/>
          </w:r>
        </w:p>
        <w:p>
          <w:pPr>
            <w:pStyle w:val="16"/>
            <w:tabs>
              <w:tab w:val="right" w:leader="dot" w:pos="8306"/>
              <w:tab w:val="clear" w:pos="8296"/>
            </w:tabs>
          </w:pPr>
          <w:r>
            <w:fldChar w:fldCharType="begin"/>
          </w:r>
          <w:r>
            <w:instrText xml:space="preserve"> HYPERLINK \l _Toc27474 </w:instrText>
          </w:r>
          <w:r>
            <w:fldChar w:fldCharType="separate"/>
          </w:r>
          <w:r>
            <w:rPr>
              <w:rFonts w:hint="eastAsia"/>
            </w:rPr>
            <w:t>（二）内设机构及所属</w:t>
          </w:r>
          <w:r>
            <w:rPr>
              <w:rFonts w:hint="eastAsia"/>
              <w:lang w:eastAsia="zh-CN"/>
            </w:rPr>
            <w:t>部门</w:t>
          </w:r>
          <w:r>
            <w:rPr>
              <w:rFonts w:hint="eastAsia"/>
            </w:rPr>
            <w:t>概况</w:t>
          </w:r>
          <w:r>
            <w:tab/>
          </w:r>
          <w:r>
            <w:fldChar w:fldCharType="begin"/>
          </w:r>
          <w:r>
            <w:instrText xml:space="preserve"> PAGEREF _Toc27474 \h </w:instrText>
          </w:r>
          <w:r>
            <w:fldChar w:fldCharType="separate"/>
          </w:r>
          <w:r>
            <w:t>3</w:t>
          </w:r>
          <w:r>
            <w:fldChar w:fldCharType="end"/>
          </w:r>
          <w:r>
            <w:fldChar w:fldCharType="end"/>
          </w:r>
        </w:p>
        <w:p>
          <w:pPr>
            <w:pStyle w:val="15"/>
            <w:tabs>
              <w:tab w:val="right" w:leader="dot" w:pos="8306"/>
              <w:tab w:val="clear" w:pos="8296"/>
            </w:tabs>
          </w:pPr>
          <w:r>
            <w:fldChar w:fldCharType="begin"/>
          </w:r>
          <w:r>
            <w:instrText xml:space="preserve"> HYPERLINK \l _Toc13057 </w:instrText>
          </w:r>
          <w:r>
            <w:fldChar w:fldCharType="separate"/>
          </w:r>
          <w:r>
            <w:rPr>
              <w:rFonts w:hint="eastAsia"/>
            </w:rPr>
            <w:t>二、绩效自评工作组织开展情况</w:t>
          </w:r>
          <w:r>
            <w:tab/>
          </w:r>
          <w:r>
            <w:fldChar w:fldCharType="begin"/>
          </w:r>
          <w:r>
            <w:instrText xml:space="preserve"> PAGEREF _Toc13057 \h </w:instrText>
          </w:r>
          <w:r>
            <w:fldChar w:fldCharType="separate"/>
          </w:r>
          <w:r>
            <w:t>3</w:t>
          </w:r>
          <w:r>
            <w:fldChar w:fldCharType="end"/>
          </w:r>
          <w:r>
            <w:fldChar w:fldCharType="end"/>
          </w:r>
        </w:p>
        <w:p>
          <w:pPr>
            <w:pStyle w:val="16"/>
            <w:tabs>
              <w:tab w:val="right" w:leader="dot" w:pos="8306"/>
              <w:tab w:val="clear" w:pos="8296"/>
            </w:tabs>
          </w:pPr>
          <w:r>
            <w:fldChar w:fldCharType="begin"/>
          </w:r>
          <w:r>
            <w:instrText xml:space="preserve"> HYPERLINK \l _Toc26575 </w:instrText>
          </w:r>
          <w:r>
            <w:fldChar w:fldCharType="separate"/>
          </w: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自评工作组织管理情况</w:t>
          </w:r>
          <w:r>
            <w:tab/>
          </w:r>
          <w:r>
            <w:fldChar w:fldCharType="begin"/>
          </w:r>
          <w:r>
            <w:instrText xml:space="preserve"> PAGEREF _Toc26575 \h </w:instrText>
          </w:r>
          <w:r>
            <w:fldChar w:fldCharType="separate"/>
          </w:r>
          <w:r>
            <w:t>4</w:t>
          </w:r>
          <w:r>
            <w:fldChar w:fldCharType="end"/>
          </w:r>
          <w:r>
            <w:fldChar w:fldCharType="end"/>
          </w:r>
        </w:p>
        <w:p>
          <w:pPr>
            <w:pStyle w:val="16"/>
            <w:tabs>
              <w:tab w:val="right" w:leader="dot" w:pos="8306"/>
              <w:tab w:val="clear" w:pos="8296"/>
            </w:tabs>
          </w:pPr>
          <w:r>
            <w:fldChar w:fldCharType="begin"/>
          </w:r>
          <w:r>
            <w:instrText xml:space="preserve"> HYPERLINK \l _Toc20149 </w:instrText>
          </w:r>
          <w:r>
            <w:fldChar w:fldCharType="separate"/>
          </w: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自评范围</w:t>
          </w:r>
          <w:r>
            <w:tab/>
          </w:r>
          <w:r>
            <w:fldChar w:fldCharType="begin"/>
          </w:r>
          <w:r>
            <w:instrText xml:space="preserve"> PAGEREF _Toc20149 \h </w:instrText>
          </w:r>
          <w:r>
            <w:fldChar w:fldCharType="separate"/>
          </w:r>
          <w:r>
            <w:t>4</w:t>
          </w:r>
          <w:r>
            <w:fldChar w:fldCharType="end"/>
          </w:r>
          <w:r>
            <w:fldChar w:fldCharType="end"/>
          </w:r>
        </w:p>
        <w:p>
          <w:pPr>
            <w:pStyle w:val="16"/>
            <w:tabs>
              <w:tab w:val="right" w:leader="dot" w:pos="8306"/>
              <w:tab w:val="clear" w:pos="8296"/>
            </w:tabs>
          </w:pPr>
          <w:r>
            <w:fldChar w:fldCharType="begin"/>
          </w:r>
          <w:r>
            <w:instrText xml:space="preserve"> HYPERLINK \l _Toc3587 </w:instrText>
          </w:r>
          <w:r>
            <w:fldChar w:fldCharType="separate"/>
          </w: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rPr>
            <w:t>自评工作程序</w:t>
          </w:r>
          <w:r>
            <w:tab/>
          </w:r>
          <w:r>
            <w:fldChar w:fldCharType="begin"/>
          </w:r>
          <w:r>
            <w:instrText xml:space="preserve"> PAGEREF _Toc3587 \h </w:instrText>
          </w:r>
          <w:r>
            <w:fldChar w:fldCharType="separate"/>
          </w:r>
          <w:r>
            <w:t>5</w:t>
          </w:r>
          <w:r>
            <w:fldChar w:fldCharType="end"/>
          </w:r>
          <w:r>
            <w:fldChar w:fldCharType="end"/>
          </w:r>
        </w:p>
        <w:p>
          <w:pPr>
            <w:pStyle w:val="15"/>
            <w:tabs>
              <w:tab w:val="right" w:leader="dot" w:pos="8306"/>
              <w:tab w:val="clear" w:pos="8296"/>
            </w:tabs>
          </w:pPr>
          <w:r>
            <w:fldChar w:fldCharType="begin"/>
          </w:r>
          <w:r>
            <w:instrText xml:space="preserve"> HYPERLINK \l _Toc10313 </w:instrText>
          </w:r>
          <w:r>
            <w:fldChar w:fldCharType="separate"/>
          </w:r>
          <w:r>
            <w:rPr>
              <w:rFonts w:hint="eastAsia"/>
            </w:rPr>
            <w:t>三、部门整体支出绩效自评情况分析</w:t>
          </w:r>
          <w:r>
            <w:tab/>
          </w:r>
          <w:r>
            <w:fldChar w:fldCharType="begin"/>
          </w:r>
          <w:r>
            <w:instrText xml:space="preserve"> PAGEREF _Toc10313 \h </w:instrText>
          </w:r>
          <w:r>
            <w:fldChar w:fldCharType="separate"/>
          </w:r>
          <w:r>
            <w:t>5</w:t>
          </w:r>
          <w:r>
            <w:fldChar w:fldCharType="end"/>
          </w:r>
          <w:r>
            <w:fldChar w:fldCharType="end"/>
          </w:r>
        </w:p>
        <w:p>
          <w:pPr>
            <w:pStyle w:val="16"/>
            <w:tabs>
              <w:tab w:val="right" w:leader="dot" w:pos="8306"/>
              <w:tab w:val="clear" w:pos="8296"/>
            </w:tabs>
          </w:pPr>
          <w:r>
            <w:fldChar w:fldCharType="begin"/>
          </w:r>
          <w:r>
            <w:instrText xml:space="preserve"> HYPERLINK \l _Toc29778 </w:instrText>
          </w:r>
          <w:r>
            <w:fldChar w:fldCharType="separate"/>
          </w:r>
          <w:r>
            <w:rPr>
              <w:rFonts w:hint="eastAsia"/>
            </w:rPr>
            <w:t>（一）部门决算情况</w:t>
          </w:r>
          <w:r>
            <w:tab/>
          </w:r>
          <w:r>
            <w:fldChar w:fldCharType="begin"/>
          </w:r>
          <w:r>
            <w:instrText xml:space="preserve"> PAGEREF _Toc29778 \h </w:instrText>
          </w:r>
          <w:r>
            <w:fldChar w:fldCharType="separate"/>
          </w:r>
          <w:r>
            <w:t>5</w:t>
          </w:r>
          <w:r>
            <w:fldChar w:fldCharType="end"/>
          </w:r>
          <w:r>
            <w:fldChar w:fldCharType="end"/>
          </w:r>
        </w:p>
        <w:p>
          <w:pPr>
            <w:pStyle w:val="16"/>
            <w:tabs>
              <w:tab w:val="right" w:leader="dot" w:pos="8306"/>
              <w:tab w:val="clear" w:pos="8296"/>
            </w:tabs>
          </w:pPr>
          <w:r>
            <w:fldChar w:fldCharType="begin"/>
          </w:r>
          <w:r>
            <w:instrText xml:space="preserve"> HYPERLINK \l _Toc5467 </w:instrText>
          </w:r>
          <w:r>
            <w:fldChar w:fldCharType="separate"/>
          </w:r>
          <w:r>
            <w:rPr>
              <w:rFonts w:hint="eastAsia"/>
            </w:rPr>
            <w:t>（二）总体绩效目标完成情况分析</w:t>
          </w:r>
          <w:r>
            <w:tab/>
          </w:r>
          <w:r>
            <w:fldChar w:fldCharType="begin"/>
          </w:r>
          <w:r>
            <w:instrText xml:space="preserve"> PAGEREF _Toc5467 \h </w:instrText>
          </w:r>
          <w:r>
            <w:fldChar w:fldCharType="separate"/>
          </w:r>
          <w:r>
            <w:t>5</w:t>
          </w:r>
          <w:r>
            <w:fldChar w:fldCharType="end"/>
          </w:r>
          <w:r>
            <w:fldChar w:fldCharType="end"/>
          </w:r>
        </w:p>
        <w:p>
          <w:pPr>
            <w:pStyle w:val="16"/>
            <w:tabs>
              <w:tab w:val="right" w:leader="dot" w:pos="8306"/>
              <w:tab w:val="clear" w:pos="8296"/>
            </w:tabs>
          </w:pPr>
          <w:r>
            <w:fldChar w:fldCharType="begin"/>
          </w:r>
          <w:r>
            <w:instrText xml:space="preserve"> HYPERLINK \l _Toc25030 </w:instrText>
          </w:r>
          <w:r>
            <w:fldChar w:fldCharType="separate"/>
          </w:r>
          <w:r>
            <w:rPr>
              <w:rFonts w:hint="eastAsia"/>
            </w:rPr>
            <w:t>（三）各项指标完成情况分析</w:t>
          </w:r>
          <w:r>
            <w:tab/>
          </w:r>
          <w:r>
            <w:fldChar w:fldCharType="begin"/>
          </w:r>
          <w:r>
            <w:instrText xml:space="preserve"> PAGEREF _Toc25030 \h </w:instrText>
          </w:r>
          <w:r>
            <w:fldChar w:fldCharType="separate"/>
          </w:r>
          <w:r>
            <w:t>8</w:t>
          </w:r>
          <w:r>
            <w:fldChar w:fldCharType="end"/>
          </w:r>
          <w:r>
            <w:fldChar w:fldCharType="end"/>
          </w:r>
        </w:p>
        <w:p>
          <w:pPr>
            <w:pStyle w:val="16"/>
            <w:tabs>
              <w:tab w:val="right" w:leader="dot" w:pos="8306"/>
              <w:tab w:val="clear" w:pos="8296"/>
            </w:tabs>
          </w:pPr>
          <w:r>
            <w:fldChar w:fldCharType="begin"/>
          </w:r>
          <w:r>
            <w:instrText xml:space="preserve"> HYPERLINK \l _Toc28959 </w:instrText>
          </w:r>
          <w:r>
            <w:fldChar w:fldCharType="separate"/>
          </w:r>
          <w:r>
            <w:rPr>
              <w:rFonts w:hint="eastAsia"/>
              <w:lang w:eastAsia="zh-CN"/>
            </w:rPr>
            <w:t>（四）</w:t>
          </w:r>
          <w:r>
            <w:rPr>
              <w:rFonts w:hint="eastAsia"/>
            </w:rPr>
            <w:t>偏离绩效目标的原因及下一步改进措施</w:t>
          </w:r>
          <w:r>
            <w:tab/>
          </w:r>
          <w:r>
            <w:fldChar w:fldCharType="begin"/>
          </w:r>
          <w:r>
            <w:instrText xml:space="preserve"> PAGEREF _Toc28959 \h </w:instrText>
          </w:r>
          <w:r>
            <w:fldChar w:fldCharType="separate"/>
          </w:r>
          <w:r>
            <w:t>13</w:t>
          </w:r>
          <w:r>
            <w:fldChar w:fldCharType="end"/>
          </w:r>
          <w:r>
            <w:fldChar w:fldCharType="end"/>
          </w:r>
        </w:p>
        <w:p>
          <w:pPr>
            <w:pStyle w:val="15"/>
            <w:tabs>
              <w:tab w:val="right" w:leader="dot" w:pos="8306"/>
              <w:tab w:val="clear" w:pos="8296"/>
            </w:tabs>
          </w:pPr>
          <w:r>
            <w:fldChar w:fldCharType="begin"/>
          </w:r>
          <w:r>
            <w:instrText xml:space="preserve"> HYPERLINK \l _Toc7092 </w:instrText>
          </w:r>
          <w:r>
            <w:fldChar w:fldCharType="separate"/>
          </w:r>
          <w:r>
            <w:rPr>
              <w:rFonts w:hint="eastAsia"/>
            </w:rPr>
            <w:t>四、部门预算项目支出绩效自评情况分析</w:t>
          </w:r>
          <w:r>
            <w:tab/>
          </w:r>
          <w:r>
            <w:fldChar w:fldCharType="begin"/>
          </w:r>
          <w:r>
            <w:instrText xml:space="preserve"> PAGEREF _Toc7092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_Toc9991 </w:instrText>
          </w:r>
          <w:r>
            <w:fldChar w:fldCharType="separate"/>
          </w:r>
          <w:r>
            <w:rPr>
              <w:rFonts w:hint="eastAsia"/>
            </w:rPr>
            <w:t>（</w:t>
          </w:r>
          <w:r>
            <w:rPr>
              <w:rFonts w:hint="eastAsia"/>
              <w:lang w:val="en-US" w:eastAsia="zh-CN"/>
            </w:rPr>
            <w:t>一</w:t>
          </w:r>
          <w:r>
            <w:rPr>
              <w:rFonts w:hint="eastAsia"/>
            </w:rPr>
            <w:t>）</w:t>
          </w:r>
          <w:r>
            <w:rPr>
              <w:rFonts w:hint="eastAsia"/>
              <w:lang w:val="en-US" w:eastAsia="zh-CN"/>
            </w:rPr>
            <w:t>全省法院</w:t>
          </w:r>
          <w:r>
            <w:rPr>
              <w:rFonts w:hint="eastAsia"/>
            </w:rPr>
            <w:t>业务费</w:t>
          </w:r>
          <w:r>
            <w:tab/>
          </w:r>
          <w:r>
            <w:fldChar w:fldCharType="begin"/>
          </w:r>
          <w:r>
            <w:instrText xml:space="preserve"> PAGEREF _Toc9991 \h </w:instrText>
          </w:r>
          <w:r>
            <w:fldChar w:fldCharType="separate"/>
          </w:r>
          <w:r>
            <w:t>13</w:t>
          </w:r>
          <w:r>
            <w:fldChar w:fldCharType="end"/>
          </w:r>
          <w:r>
            <w:fldChar w:fldCharType="end"/>
          </w:r>
        </w:p>
        <w:p>
          <w:pPr>
            <w:pStyle w:val="15"/>
            <w:tabs>
              <w:tab w:val="right" w:leader="dot" w:pos="8306"/>
              <w:tab w:val="clear" w:pos="8296"/>
            </w:tabs>
          </w:pPr>
          <w:r>
            <w:fldChar w:fldCharType="begin"/>
          </w:r>
          <w:r>
            <w:instrText xml:space="preserve"> HYPERLINK \l _Toc11271 </w:instrText>
          </w:r>
          <w:r>
            <w:fldChar w:fldCharType="separate"/>
          </w:r>
          <w:r>
            <w:rPr>
              <w:rFonts w:hint="eastAsia"/>
            </w:rPr>
            <w:t>五、部门管理的省对市县转移支付绩效自评情况分析</w:t>
          </w:r>
          <w:r>
            <w:tab/>
          </w:r>
          <w:r>
            <w:fldChar w:fldCharType="begin"/>
          </w:r>
          <w:r>
            <w:instrText xml:space="preserve"> PAGEREF _Toc11271 \h </w:instrText>
          </w:r>
          <w:r>
            <w:fldChar w:fldCharType="separate"/>
          </w:r>
          <w:r>
            <w:t>17</w:t>
          </w:r>
          <w:r>
            <w:fldChar w:fldCharType="end"/>
          </w:r>
          <w:r>
            <w:fldChar w:fldCharType="end"/>
          </w:r>
        </w:p>
        <w:p>
          <w:pPr>
            <w:pStyle w:val="16"/>
            <w:tabs>
              <w:tab w:val="right" w:leader="dot" w:pos="8306"/>
              <w:tab w:val="clear" w:pos="8296"/>
            </w:tabs>
          </w:pPr>
          <w:r>
            <w:fldChar w:fldCharType="begin"/>
          </w:r>
          <w:r>
            <w:instrText xml:space="preserve"> HYPERLINK \l _Toc3384 </w:instrText>
          </w:r>
          <w:r>
            <w:fldChar w:fldCharType="separate"/>
          </w:r>
          <w:r>
            <w:rPr>
              <w:rFonts w:hint="eastAsia"/>
            </w:rPr>
            <w:t>（一）中央政法转移支付资金</w:t>
          </w:r>
          <w:r>
            <w:tab/>
          </w:r>
          <w:r>
            <w:fldChar w:fldCharType="begin"/>
          </w:r>
          <w:r>
            <w:instrText xml:space="preserve"> PAGEREF _Toc3384 \h </w:instrText>
          </w:r>
          <w:r>
            <w:fldChar w:fldCharType="separate"/>
          </w:r>
          <w:r>
            <w:t>17</w:t>
          </w:r>
          <w:r>
            <w:fldChar w:fldCharType="end"/>
          </w:r>
          <w:r>
            <w:fldChar w:fldCharType="end"/>
          </w:r>
        </w:p>
        <w:p>
          <w:pPr>
            <w:pStyle w:val="15"/>
            <w:tabs>
              <w:tab w:val="right" w:leader="dot" w:pos="8306"/>
              <w:tab w:val="clear" w:pos="8296"/>
            </w:tabs>
          </w:pPr>
          <w:r>
            <w:fldChar w:fldCharType="begin"/>
          </w:r>
          <w:r>
            <w:instrText xml:space="preserve"> HYPERLINK \l _Toc11458 </w:instrText>
          </w:r>
          <w:r>
            <w:fldChar w:fldCharType="separate"/>
          </w:r>
          <w:r>
            <w:rPr>
              <w:rFonts w:hint="eastAsia"/>
            </w:rPr>
            <w:t>六、绩效自评结果拟应用和公开情况</w:t>
          </w:r>
          <w:r>
            <w:tab/>
          </w:r>
          <w:r>
            <w:fldChar w:fldCharType="begin"/>
          </w:r>
          <w:r>
            <w:instrText xml:space="preserve"> PAGEREF _Toc11458 \h </w:instrText>
          </w:r>
          <w:r>
            <w:fldChar w:fldCharType="separate"/>
          </w:r>
          <w:r>
            <w:t>22</w:t>
          </w:r>
          <w:r>
            <w:fldChar w:fldCharType="end"/>
          </w:r>
          <w:r>
            <w:fldChar w:fldCharType="end"/>
          </w:r>
        </w:p>
        <w:p>
          <w:pPr>
            <w:pStyle w:val="15"/>
            <w:tabs>
              <w:tab w:val="right" w:leader="dot" w:pos="8306"/>
              <w:tab w:val="clear" w:pos="8296"/>
            </w:tabs>
          </w:pPr>
          <w:r>
            <w:fldChar w:fldCharType="begin"/>
          </w:r>
          <w:r>
            <w:instrText xml:space="preserve"> HYPERLINK \l _Toc2494 </w:instrText>
          </w:r>
          <w:r>
            <w:fldChar w:fldCharType="separate"/>
          </w:r>
          <w:r>
            <w:rPr>
              <w:rFonts w:hint="eastAsia"/>
            </w:rPr>
            <w:t>七、其他需要说明的问题</w:t>
          </w:r>
          <w:r>
            <w:tab/>
          </w:r>
          <w:r>
            <w:fldChar w:fldCharType="begin"/>
          </w:r>
          <w:r>
            <w:instrText xml:space="preserve"> PAGEREF _Toc2494 \h </w:instrText>
          </w:r>
          <w:r>
            <w:fldChar w:fldCharType="separate"/>
          </w:r>
          <w:r>
            <w:t>22</w:t>
          </w:r>
          <w:r>
            <w:fldChar w:fldCharType="end"/>
          </w:r>
          <w:r>
            <w:fldChar w:fldCharType="end"/>
          </w:r>
        </w:p>
        <w:p>
          <w:pPr>
            <w:ind w:firstLine="0" w:firstLineChars="0"/>
          </w:pPr>
          <w:r>
            <w:fldChar w:fldCharType="end"/>
          </w:r>
        </w:p>
      </w:sdtContent>
    </w:sdt>
    <w:p>
      <w:pPr>
        <w:widowControl/>
        <w:spacing w:line="240" w:lineRule="auto"/>
        <w:ind w:firstLine="0" w:firstLineChars="0"/>
        <w:jc w:val="center"/>
        <w:rPr>
          <w:rFonts w:hint="eastAsia" w:ascii="宋体" w:hAnsi="宋体" w:eastAsia="宋体" w:cs="Arial"/>
          <w:b/>
          <w:bCs/>
          <w:sz w:val="44"/>
          <w:szCs w:val="44"/>
          <w:highlight w:val="none"/>
          <w:lang w:val="en-US"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bookmarkStart w:id="0" w:name="_Toc13158"/>
      <w:bookmarkStart w:id="1" w:name="_Toc4040"/>
      <w:bookmarkStart w:id="2" w:name="_Toc28671"/>
      <w:bookmarkStart w:id="3" w:name="_Toc22477"/>
      <w:bookmarkStart w:id="4" w:name="_Toc18188"/>
    </w:p>
    <w:p>
      <w:pPr>
        <w:widowControl/>
        <w:spacing w:line="240" w:lineRule="auto"/>
        <w:ind w:firstLine="0" w:firstLineChars="0"/>
        <w:jc w:val="center"/>
        <w:rPr>
          <w:rFonts w:hint="eastAsia" w:ascii="宋体" w:hAnsi="宋体" w:eastAsia="宋体" w:cs="Arial"/>
          <w:b/>
          <w:bCs/>
          <w:sz w:val="44"/>
          <w:szCs w:val="44"/>
          <w:highlight w:val="none"/>
        </w:rPr>
      </w:pPr>
      <w:r>
        <w:rPr>
          <w:rFonts w:hint="eastAsia" w:ascii="宋体" w:hAnsi="宋体" w:eastAsia="宋体" w:cs="Arial"/>
          <w:b/>
          <w:bCs/>
          <w:sz w:val="44"/>
          <w:szCs w:val="44"/>
          <w:highlight w:val="none"/>
          <w:lang w:val="en-US" w:eastAsia="zh-CN"/>
        </w:rPr>
        <w:t>平凉市中级人民法院</w:t>
      </w:r>
      <w:r>
        <w:rPr>
          <w:rFonts w:hint="eastAsia" w:ascii="宋体" w:hAnsi="宋体" w:eastAsia="宋体" w:cs="Arial"/>
          <w:b/>
          <w:bCs/>
          <w:sz w:val="44"/>
          <w:szCs w:val="44"/>
          <w:highlight w:val="none"/>
        </w:rPr>
        <w:t>202</w:t>
      </w:r>
      <w:r>
        <w:rPr>
          <w:rFonts w:hint="eastAsia" w:ascii="宋体" w:hAnsi="宋体" w:eastAsia="宋体" w:cs="Arial"/>
          <w:b/>
          <w:bCs/>
          <w:sz w:val="44"/>
          <w:szCs w:val="44"/>
          <w:highlight w:val="none"/>
          <w:lang w:val="en-US" w:eastAsia="zh-CN"/>
        </w:rPr>
        <w:t>2</w:t>
      </w:r>
      <w:r>
        <w:rPr>
          <w:rFonts w:hint="eastAsia" w:ascii="宋体" w:hAnsi="宋体" w:eastAsia="宋体" w:cs="Arial"/>
          <w:b/>
          <w:bCs/>
          <w:sz w:val="44"/>
          <w:szCs w:val="44"/>
          <w:highlight w:val="none"/>
        </w:rPr>
        <w:t>年度</w:t>
      </w:r>
    </w:p>
    <w:p>
      <w:pPr>
        <w:widowControl/>
        <w:spacing w:line="240" w:lineRule="auto"/>
        <w:ind w:firstLine="0" w:firstLineChars="0"/>
        <w:jc w:val="center"/>
        <w:rPr>
          <w:rFonts w:ascii="宋体" w:hAnsi="宋体" w:eastAsia="宋体" w:cs="Arial"/>
          <w:b/>
          <w:bCs/>
          <w:sz w:val="44"/>
          <w:szCs w:val="44"/>
          <w:highlight w:val="none"/>
        </w:rPr>
      </w:pPr>
      <w:r>
        <w:rPr>
          <w:rFonts w:hint="eastAsia" w:ascii="宋体" w:hAnsi="宋体" w:eastAsia="宋体" w:cs="Arial"/>
          <w:b/>
          <w:bCs/>
          <w:sz w:val="44"/>
          <w:szCs w:val="44"/>
          <w:highlight w:val="none"/>
          <w:lang w:val="en-US" w:eastAsia="zh-CN"/>
        </w:rPr>
        <w:t>部门</w:t>
      </w:r>
      <w:r>
        <w:rPr>
          <w:rFonts w:hint="eastAsia" w:ascii="宋体" w:hAnsi="宋体" w:eastAsia="宋体" w:cs="Arial"/>
          <w:b/>
          <w:bCs/>
          <w:sz w:val="44"/>
          <w:szCs w:val="44"/>
          <w:highlight w:val="none"/>
        </w:rPr>
        <w:t>预算执行情况自评报告</w:t>
      </w:r>
      <w:bookmarkEnd w:id="0"/>
      <w:bookmarkEnd w:id="1"/>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highlight w:val="none"/>
        </w:rPr>
      </w:pPr>
      <w:bookmarkStart w:id="5" w:name="_Toc28802"/>
      <w:r>
        <w:rPr>
          <w:rFonts w:hint="eastAsia"/>
          <w:highlight w:val="none"/>
        </w:rPr>
        <w:t>一、基本情况</w:t>
      </w:r>
      <w:bookmarkEnd w:id="2"/>
      <w:bookmarkEnd w:id="3"/>
      <w:bookmarkEnd w:id="4"/>
      <w:bookmarkEnd w:id="5"/>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highlight w:val="none"/>
        </w:rPr>
      </w:pPr>
      <w:bookmarkStart w:id="6" w:name="_Toc18868"/>
      <w:bookmarkStart w:id="7" w:name="_Toc15972"/>
      <w:bookmarkStart w:id="8" w:name="_Toc819"/>
      <w:bookmarkStart w:id="9" w:name="_Toc24636"/>
      <w:r>
        <w:rPr>
          <w:rFonts w:hint="eastAsia"/>
          <w:highlight w:val="none"/>
        </w:rPr>
        <w:t>（一）部门主要职能</w:t>
      </w:r>
      <w:bookmarkEnd w:id="6"/>
      <w:bookmarkEnd w:id="7"/>
      <w:bookmarkEnd w:id="8"/>
      <w:bookmarkEnd w:id="9"/>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default"/>
          <w:highlight w:val="none"/>
          <w:lang w:val="en-US" w:eastAsia="zh-CN"/>
        </w:rPr>
      </w:pPr>
      <w:bookmarkStart w:id="10" w:name="_Toc25335"/>
      <w:bookmarkStart w:id="11" w:name="_Toc7151"/>
      <w:bookmarkStart w:id="12" w:name="_Toc27474"/>
      <w:bookmarkStart w:id="13" w:name="_Toc20782"/>
      <w:r>
        <w:rPr>
          <w:rFonts w:hint="eastAsia"/>
          <w:highlight w:val="none"/>
          <w:lang w:val="en-US" w:eastAsia="zh-CN"/>
        </w:rPr>
        <w:t>1.</w:t>
      </w:r>
      <w:r>
        <w:rPr>
          <w:rFonts w:hint="default"/>
          <w:highlight w:val="none"/>
          <w:lang w:val="en-US" w:eastAsia="zh-CN"/>
        </w:rPr>
        <w:t>主要职能</w:t>
      </w:r>
    </w:p>
    <w:p>
      <w:pPr>
        <w:pStyle w:val="4"/>
        <w:ind w:firstLine="643"/>
        <w:rPr>
          <w:rFonts w:hint="default" w:ascii="Times New Roman" w:hAnsi="Times New Roman" w:eastAsia="仿宋_GB2312" w:cs="Times New Roman"/>
          <w:b w:val="0"/>
          <w:bCs w:val="0"/>
          <w:color w:val="000000"/>
          <w:spacing w:val="0"/>
          <w:w w:val="100"/>
          <w:kern w:val="0"/>
          <w:sz w:val="28"/>
          <w:szCs w:val="18"/>
          <w:highlight w:val="none"/>
          <w:u w:val="none" w:color="000000"/>
          <w:vertAlign w:val="baseline"/>
          <w:lang w:val="en-US" w:eastAsia="zh-CN"/>
        </w:rPr>
      </w:pPr>
      <w:r>
        <w:rPr>
          <w:rFonts w:hint="default" w:ascii="Times New Roman" w:hAnsi="Times New Roman" w:eastAsia="仿宋_GB2312" w:cs="Times New Roman"/>
          <w:b w:val="0"/>
          <w:bCs w:val="0"/>
          <w:color w:val="000000"/>
          <w:spacing w:val="0"/>
          <w:w w:val="100"/>
          <w:kern w:val="0"/>
          <w:sz w:val="28"/>
          <w:szCs w:val="18"/>
          <w:highlight w:val="none"/>
          <w:u w:val="none" w:color="000000"/>
          <w:vertAlign w:val="baseline"/>
          <w:lang w:val="en-US" w:eastAsia="zh-CN"/>
        </w:rPr>
        <w:t>平凉市中级人民法院是国家审判机关，依法独立行使审判权，对市人民代表大会及其常务委员会负责并报告工作。</w:t>
      </w:r>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default"/>
          <w:highlight w:val="none"/>
          <w:lang w:val="en-US" w:eastAsia="zh-CN"/>
        </w:rPr>
      </w:pPr>
      <w:r>
        <w:rPr>
          <w:rFonts w:hint="default"/>
          <w:highlight w:val="none"/>
          <w:lang w:val="en-US" w:eastAsia="zh-CN"/>
        </w:rPr>
        <w:t>2</w:t>
      </w:r>
      <w:r>
        <w:rPr>
          <w:rFonts w:hint="eastAsia"/>
          <w:highlight w:val="none"/>
          <w:lang w:val="en-US" w:eastAsia="zh-CN"/>
        </w:rPr>
        <w:t>.</w:t>
      </w:r>
      <w:r>
        <w:rPr>
          <w:rFonts w:hint="default"/>
          <w:highlight w:val="none"/>
          <w:lang w:val="en-US" w:eastAsia="zh-CN"/>
        </w:rPr>
        <w:t>主要职责</w:t>
      </w:r>
    </w:p>
    <w:p>
      <w:pPr>
        <w:pStyle w:val="4"/>
        <w:ind w:firstLine="643"/>
        <w:rPr>
          <w:rFonts w:hint="default" w:ascii="Times New Roman" w:hAnsi="Times New Roman" w:eastAsia="仿宋_GB2312" w:cs="Times New Roman"/>
          <w:b w:val="0"/>
          <w:bCs w:val="0"/>
          <w:color w:val="000000"/>
          <w:spacing w:val="0"/>
          <w:w w:val="100"/>
          <w:kern w:val="0"/>
          <w:sz w:val="28"/>
          <w:szCs w:val="18"/>
          <w:highlight w:val="none"/>
          <w:u w:val="none" w:color="000000"/>
          <w:vertAlign w:val="baseline"/>
          <w:lang w:val="en-US" w:eastAsia="zh-CN"/>
        </w:rPr>
      </w:pPr>
      <w:r>
        <w:rPr>
          <w:rFonts w:hint="default" w:ascii="Times New Roman" w:hAnsi="Times New Roman" w:eastAsia="仿宋_GB2312" w:cs="Times New Roman"/>
          <w:b w:val="0"/>
          <w:bCs w:val="0"/>
          <w:color w:val="000000"/>
          <w:spacing w:val="0"/>
          <w:w w:val="100"/>
          <w:kern w:val="0"/>
          <w:sz w:val="28"/>
          <w:szCs w:val="18"/>
          <w:highlight w:val="none"/>
          <w:u w:val="none" w:color="000000"/>
          <w:vertAlign w:val="baseline"/>
          <w:lang w:val="en-US" w:eastAsia="zh-CN"/>
        </w:rPr>
        <w:t>审判法律规定由中级法院管辖审判的刑事、民商事、行政等一审、二审案件。受理不服本地区基层人民法院判决、裁定的各类申诉、再审及上级法院指令由本院再审的案件及抗诉案件。</w:t>
      </w:r>
    </w:p>
    <w:p>
      <w:pPr>
        <w:pStyle w:val="4"/>
        <w:ind w:firstLine="643"/>
        <w:rPr>
          <w:highlight w:val="none"/>
        </w:rPr>
      </w:pPr>
      <w:r>
        <w:rPr>
          <w:rFonts w:hint="eastAsia"/>
          <w:highlight w:val="none"/>
        </w:rPr>
        <w:t>（二）内设机构及所属</w:t>
      </w:r>
      <w:r>
        <w:rPr>
          <w:rFonts w:hint="eastAsia"/>
          <w:highlight w:val="none"/>
          <w:lang w:eastAsia="zh-CN"/>
        </w:rPr>
        <w:t>部门</w:t>
      </w:r>
      <w:r>
        <w:rPr>
          <w:rFonts w:hint="eastAsia"/>
          <w:highlight w:val="none"/>
        </w:rPr>
        <w:t>概况</w:t>
      </w:r>
      <w:bookmarkEnd w:id="10"/>
      <w:bookmarkEnd w:id="11"/>
      <w:bookmarkEnd w:id="12"/>
      <w:bookmarkEnd w:id="13"/>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highlight w:val="none"/>
          <w:lang w:val="en-US" w:eastAsia="zh-CN"/>
        </w:rPr>
      </w:pPr>
      <w:bookmarkStart w:id="14" w:name="_Toc28217"/>
      <w:r>
        <w:rPr>
          <w:rFonts w:hint="eastAsia"/>
          <w:highlight w:val="none"/>
          <w:lang w:val="en-US" w:eastAsia="zh-CN"/>
        </w:rPr>
        <w:t>1.内设机构</w:t>
      </w:r>
      <w:bookmarkEnd w:id="14"/>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default" w:ascii="Times New Roman" w:hAnsi="Times New Roman" w:eastAsia="仿宋_GB2312" w:cs="Times New Roman"/>
          <w:b w:val="0"/>
          <w:bCs w:val="0"/>
          <w:color w:val="000000"/>
          <w:spacing w:val="0"/>
          <w:w w:val="100"/>
          <w:kern w:val="0"/>
          <w:sz w:val="28"/>
          <w:szCs w:val="18"/>
          <w:highlight w:val="none"/>
          <w:u w:val="none" w:color="000000"/>
          <w:vertAlign w:val="baseline"/>
          <w:lang w:val="en-US" w:eastAsia="zh-CN"/>
        </w:rPr>
      </w:pPr>
      <w:bookmarkStart w:id="15" w:name="_Toc8223"/>
      <w:r>
        <w:rPr>
          <w:rFonts w:hint="default" w:ascii="Times New Roman" w:hAnsi="Times New Roman" w:eastAsia="仿宋_GB2312" w:cs="Times New Roman"/>
          <w:b w:val="0"/>
          <w:bCs w:val="0"/>
          <w:color w:val="000000"/>
          <w:spacing w:val="0"/>
          <w:w w:val="100"/>
          <w:kern w:val="0"/>
          <w:sz w:val="28"/>
          <w:szCs w:val="18"/>
          <w:highlight w:val="none"/>
          <w:u w:val="none" w:color="000000"/>
          <w:vertAlign w:val="baseline"/>
          <w:lang w:val="en-US" w:eastAsia="zh-CN"/>
        </w:rPr>
        <w:t>院机关内设机构19个，包括：办公室，政治部、研究室、监察室、审判管理办公室、司法行政装备处、刑事审判第一庭、刑事审判第二庭、民事审判第一庭、民事审判第二庭、民事审判第三庭、行政审判庭、赔偿委员会办公室、立案庭、信访督查室、审判监督庭、执行局、法警队、法医技术室。另外，还有市纪委派驻市法院纪检组。</w:t>
      </w:r>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default"/>
          <w:highlight w:val="none"/>
          <w:lang w:val="en-US" w:eastAsia="zh-CN"/>
        </w:rPr>
      </w:pPr>
      <w:r>
        <w:rPr>
          <w:rFonts w:hint="eastAsia"/>
          <w:highlight w:val="none"/>
          <w:lang w:val="en-US" w:eastAsia="zh-CN"/>
        </w:rPr>
        <w:t>2.</w:t>
      </w:r>
      <w:bookmarkEnd w:id="15"/>
      <w:r>
        <w:rPr>
          <w:rFonts w:hint="eastAsia"/>
          <w:highlight w:val="none"/>
          <w:lang w:val="en-US" w:eastAsia="zh-CN"/>
        </w:rPr>
        <w:t>人员基本情况</w:t>
      </w:r>
    </w:p>
    <w:p>
      <w:pPr>
        <w:keepNext w:val="0"/>
        <w:keepLines w:val="0"/>
        <w:pageBreakBefore w:val="0"/>
        <w:widowControl w:val="0"/>
        <w:kinsoku/>
        <w:wordWrap/>
        <w:overflowPunct/>
        <w:topLinePunct w:val="0"/>
        <w:autoSpaceDE/>
        <w:autoSpaceDN/>
        <w:bidi w:val="0"/>
        <w:snapToGrid w:val="0"/>
        <w:spacing w:before="0" w:beforeLines="0" w:after="0" w:afterLines="0" w:line="540" w:lineRule="exact"/>
        <w:ind w:left="0" w:right="0" w:firstLine="623"/>
        <w:textAlignment w:val="baseline"/>
        <w:rPr>
          <w:rFonts w:hint="default" w:ascii="Times New Roman" w:hAnsi="Times New Roman" w:eastAsia="仿宋_GB2312" w:cs="Times New Roman"/>
          <w:color w:val="000000"/>
          <w:spacing w:val="0"/>
          <w:w w:val="100"/>
          <w:kern w:val="0"/>
          <w:sz w:val="32"/>
          <w:szCs w:val="20"/>
          <w:highlight w:val="none"/>
          <w:u w:val="none" w:color="000000"/>
          <w:vertAlign w:val="baseline"/>
          <w:lang w:val="en-US" w:eastAsia="zh-CN"/>
        </w:rPr>
      </w:pPr>
      <w:bookmarkStart w:id="16" w:name="_Toc18193"/>
      <w:bookmarkStart w:id="17" w:name="_Toc13057"/>
      <w:bookmarkStart w:id="18" w:name="_Toc13794"/>
      <w:bookmarkStart w:id="19" w:name="_Toc4574"/>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人员编制</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113</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人，其中：政法编制</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106</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人，工勤编制</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7</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人。截至</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2022</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年</w:t>
      </w:r>
      <w:r>
        <w:rPr>
          <w:rFonts w:hint="eastAsia" w:ascii="Times New Roman" w:hAnsi="Times New Roman" w:cs="Times New Roman"/>
          <w:color w:val="000000"/>
          <w:spacing w:val="0"/>
          <w:w w:val="100"/>
          <w:kern w:val="0"/>
          <w:sz w:val="32"/>
          <w:szCs w:val="20"/>
          <w:highlight w:val="none"/>
          <w:u w:val="none" w:color="000000"/>
          <w:vertAlign w:val="baseline"/>
          <w:lang w:val="en-US" w:eastAsia="zh-CN"/>
        </w:rPr>
        <w:t>12</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月，我院实有行政在职人员</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101</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人，其中政法编制公务员</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96</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人，工勤人员</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5</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人。此外，我院实有省聘书记员</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41</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人，遗属</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7</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人</w:t>
      </w:r>
      <w:r>
        <w:rPr>
          <w:rFonts w:hint="default" w:ascii="Times New Roman" w:hAnsi="Times New Roman" w:eastAsia="仿宋_GB2312" w:cs="Times New Roman"/>
          <w:color w:val="000000"/>
          <w:spacing w:val="0"/>
          <w:w w:val="100"/>
          <w:kern w:val="0"/>
          <w:sz w:val="32"/>
          <w:szCs w:val="20"/>
          <w:highlight w:val="none"/>
          <w:u w:val="none" w:color="000000"/>
          <w:vertAlign w:val="baseline"/>
          <w:lang w:val="en-US" w:eastAsia="zh-CN"/>
        </w:rPr>
        <w:t>。</w:t>
      </w:r>
    </w:p>
    <w:p>
      <w:pPr>
        <w:pStyle w:val="3"/>
        <w:keepNext/>
        <w:keepLines/>
        <w:pageBreakBefore w:val="0"/>
        <w:widowControl w:val="0"/>
        <w:kinsoku/>
        <w:wordWrap/>
        <w:overflowPunct/>
        <w:topLinePunct w:val="0"/>
        <w:autoSpaceDE/>
        <w:autoSpaceDN/>
        <w:bidi w:val="0"/>
        <w:adjustRightInd/>
        <w:snapToGrid/>
        <w:ind w:firstLine="643" w:firstLineChars="200"/>
        <w:textAlignment w:val="auto"/>
        <w:rPr>
          <w:highlight w:val="none"/>
        </w:rPr>
      </w:pPr>
      <w:r>
        <w:rPr>
          <w:rFonts w:hint="eastAsia"/>
          <w:highlight w:val="none"/>
        </w:rPr>
        <w:t>二、绩效自评工作组织开展情况</w:t>
      </w:r>
      <w:bookmarkEnd w:id="16"/>
      <w:bookmarkEnd w:id="17"/>
      <w:bookmarkEnd w:id="18"/>
      <w:bookmarkEnd w:id="19"/>
    </w:p>
    <w:p>
      <w:pPr>
        <w:pStyle w:val="4"/>
        <w:rPr>
          <w:highlight w:val="none"/>
        </w:rPr>
      </w:pPr>
      <w:bookmarkStart w:id="20" w:name="_Toc26575"/>
      <w:bookmarkStart w:id="21" w:name="_Toc31965"/>
      <w:bookmarkStart w:id="22" w:name="_Toc4177"/>
      <w:bookmarkStart w:id="23" w:name="_Toc11147"/>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自评工作组织管理情况</w:t>
      </w:r>
      <w:bookmarkEnd w:id="20"/>
    </w:p>
    <w:p>
      <w:pPr>
        <w:rPr>
          <w:highlight w:val="none"/>
        </w:rPr>
      </w:pPr>
      <w:r>
        <w:rPr>
          <w:rFonts w:hint="eastAsia" w:hAnsi="宋体"/>
          <w:szCs w:val="28"/>
          <w:highlight w:val="none"/>
        </w:rPr>
        <w:t>我院十分重视此次绩效评价工作，要求财务部门严格按照省上有关文件精神，科学分析，精准评价，确保绩效评价客观公正。</w:t>
      </w:r>
      <w:r>
        <w:rPr>
          <w:rFonts w:hint="eastAsia"/>
          <w:highlight w:val="none"/>
        </w:rPr>
        <w:t>工作启动后，</w:t>
      </w:r>
      <w:r>
        <w:rPr>
          <w:rFonts w:hint="eastAsia" w:hAnsi="宋体"/>
          <w:szCs w:val="28"/>
          <w:highlight w:val="none"/>
        </w:rPr>
        <w:t>严格按照《</w:t>
      </w:r>
      <w:r>
        <w:rPr>
          <w:rFonts w:hAnsi="宋体"/>
          <w:szCs w:val="28"/>
          <w:highlight w:val="none"/>
        </w:rPr>
        <w:t>关于全面实施预算绩效管理的意见》（中发〔2018〕34号）</w:t>
      </w:r>
      <w:r>
        <w:rPr>
          <w:rFonts w:hint="eastAsia" w:hAnsi="宋体"/>
          <w:szCs w:val="28"/>
          <w:highlight w:val="none"/>
        </w:rPr>
        <w:t>、中共甘肃省委甘肃省人民政府《关于全面实施预算绩效管理的实施意见》（甘发〔</w:t>
      </w:r>
      <w:r>
        <w:rPr>
          <w:rFonts w:hAnsi="宋体"/>
          <w:szCs w:val="28"/>
          <w:highlight w:val="none"/>
        </w:rPr>
        <w:t>2018〕32号）</w:t>
      </w:r>
      <w:r>
        <w:rPr>
          <w:rFonts w:hint="eastAsia" w:hAnsi="宋体"/>
          <w:szCs w:val="28"/>
          <w:highlight w:val="none"/>
        </w:rPr>
        <w:t>、</w:t>
      </w:r>
      <w:r>
        <w:rPr>
          <w:rFonts w:hint="eastAsia" w:ascii="Times New Roman" w:hAnsi="Times New Roman" w:cs="Times New Roman"/>
          <w:highlight w:val="none"/>
        </w:rPr>
        <w:t>《甘肃省财政厅关于开展</w:t>
      </w:r>
      <w:r>
        <w:rPr>
          <w:rFonts w:ascii="Times New Roman" w:hAnsi="Times New Roman" w:cs="Times New Roman"/>
          <w:highlight w:val="none"/>
        </w:rPr>
        <w:t>202</w:t>
      </w:r>
      <w:r>
        <w:rPr>
          <w:rFonts w:hint="eastAsia" w:ascii="Times New Roman" w:hAnsi="Times New Roman" w:cs="Times New Roman"/>
          <w:highlight w:val="none"/>
          <w:lang w:val="en-US" w:eastAsia="zh-CN"/>
        </w:rPr>
        <w:t>2</w:t>
      </w:r>
      <w:r>
        <w:rPr>
          <w:rFonts w:hint="eastAsia" w:ascii="Times New Roman" w:hAnsi="Times New Roman" w:cs="Times New Roman"/>
          <w:highlight w:val="none"/>
        </w:rPr>
        <w:t>年度省级预算执行情况绩效自评</w:t>
      </w:r>
      <w:r>
        <w:rPr>
          <w:rFonts w:hint="eastAsia" w:ascii="Times New Roman" w:hAnsi="Times New Roman" w:cs="Times New Roman"/>
          <w:highlight w:val="none"/>
          <w:lang w:val="en-US" w:eastAsia="zh-CN"/>
        </w:rPr>
        <w:t>工作</w:t>
      </w:r>
      <w:r>
        <w:rPr>
          <w:rFonts w:hint="eastAsia" w:ascii="Times New Roman" w:hAnsi="Times New Roman" w:cs="Times New Roman"/>
          <w:highlight w:val="none"/>
        </w:rPr>
        <w:t>的通知》（甘财绩〔202</w:t>
      </w:r>
      <w:r>
        <w:rPr>
          <w:rFonts w:hint="eastAsia" w:ascii="Times New Roman" w:hAnsi="Times New Roman" w:cs="Times New Roman"/>
          <w:highlight w:val="none"/>
          <w:lang w:val="en-US" w:eastAsia="zh-CN"/>
        </w:rPr>
        <w:t>2</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7</w:t>
      </w:r>
      <w:r>
        <w:rPr>
          <w:rFonts w:hint="eastAsia" w:ascii="Times New Roman" w:hAnsi="Times New Roman" w:cs="Times New Roman"/>
          <w:highlight w:val="none"/>
        </w:rPr>
        <w:t>号）</w:t>
      </w:r>
      <w:r>
        <w:rPr>
          <w:highlight w:val="none"/>
        </w:rPr>
        <w:t>等文件的要求，联合各相关</w:t>
      </w:r>
      <w:r>
        <w:rPr>
          <w:rFonts w:hint="eastAsia"/>
          <w:highlight w:val="none"/>
          <w:lang w:eastAsia="zh-CN"/>
        </w:rPr>
        <w:t>业务部门</w:t>
      </w:r>
      <w:r>
        <w:rPr>
          <w:highlight w:val="none"/>
        </w:rPr>
        <w:t>共同完成此次自评</w:t>
      </w:r>
      <w:r>
        <w:rPr>
          <w:rFonts w:hint="eastAsia"/>
          <w:highlight w:val="none"/>
        </w:rPr>
        <w:t>工作。自评工作遵循科学公正、统筹兼顾、激励约束和公开透明的原则，以</w:t>
      </w:r>
      <w:r>
        <w:rPr>
          <w:rFonts w:hint="eastAsia"/>
          <w:highlight w:val="none"/>
          <w:lang w:val="en-US" w:eastAsia="zh-CN"/>
        </w:rPr>
        <w:t>我院</w:t>
      </w:r>
      <w:r>
        <w:rPr>
          <w:rFonts w:hint="eastAsia"/>
          <w:highlight w:val="none"/>
        </w:rPr>
        <w:t>202</w:t>
      </w:r>
      <w:r>
        <w:rPr>
          <w:rFonts w:hint="eastAsia"/>
          <w:highlight w:val="none"/>
          <w:lang w:val="en-US" w:eastAsia="zh-CN"/>
        </w:rPr>
        <w:t>2</w:t>
      </w:r>
      <w:r>
        <w:rPr>
          <w:rFonts w:hint="eastAsia"/>
          <w:highlight w:val="none"/>
        </w:rPr>
        <w:t>年初设定的绩效目标及相关法律法规、政策要求、行业规划、部门职责等为依据，运用定量和定性相结合的评价方法，对</w:t>
      </w:r>
      <w:r>
        <w:rPr>
          <w:rFonts w:hint="eastAsia"/>
          <w:highlight w:val="none"/>
          <w:lang w:val="en-US" w:eastAsia="zh-CN"/>
        </w:rPr>
        <w:t>我院</w:t>
      </w:r>
      <w:r>
        <w:rPr>
          <w:rFonts w:hint="eastAsia"/>
          <w:highlight w:val="none"/>
        </w:rPr>
        <w:t>202</w:t>
      </w:r>
      <w:r>
        <w:rPr>
          <w:rFonts w:hint="eastAsia"/>
          <w:highlight w:val="none"/>
          <w:lang w:val="en-US" w:eastAsia="zh-CN"/>
        </w:rPr>
        <w:t>2</w:t>
      </w:r>
      <w:r>
        <w:rPr>
          <w:rFonts w:hint="eastAsia"/>
          <w:highlight w:val="none"/>
        </w:rPr>
        <w:t>年度省级预算执行情况的经济性、效率性、效益性进行客观公正的分析评价。</w:t>
      </w:r>
    </w:p>
    <w:p>
      <w:pPr>
        <w:pStyle w:val="4"/>
        <w:rPr>
          <w:highlight w:val="none"/>
        </w:rPr>
      </w:pPr>
      <w:bookmarkStart w:id="24" w:name="_Toc28216"/>
      <w:bookmarkStart w:id="25" w:name="_Toc26980"/>
      <w:bookmarkStart w:id="26" w:name="_Toc20149"/>
      <w:bookmarkStart w:id="27" w:name="_Toc13356"/>
      <w:bookmarkStart w:id="28" w:name="_Toc29448"/>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自评范围</w:t>
      </w:r>
      <w:bookmarkEnd w:id="24"/>
      <w:bookmarkEnd w:id="25"/>
      <w:bookmarkEnd w:id="26"/>
      <w:bookmarkEnd w:id="27"/>
      <w:bookmarkEnd w:id="28"/>
    </w:p>
    <w:p>
      <w:pPr>
        <w:ind w:firstLine="560"/>
        <w:rPr>
          <w:highlight w:val="none"/>
        </w:rPr>
      </w:pPr>
      <w:r>
        <w:rPr>
          <w:rFonts w:hint="eastAsia"/>
          <w:highlight w:val="none"/>
        </w:rPr>
        <w:t>本次预算绩效自评价，按照省级部门项目支出、省对市县转移支付、部门整体支出三类评价对象全覆盖的原则，结合</w:t>
      </w:r>
      <w:r>
        <w:rPr>
          <w:rFonts w:hint="eastAsia"/>
          <w:highlight w:val="none"/>
          <w:lang w:eastAsia="zh-CN"/>
        </w:rPr>
        <w:t>我院</w:t>
      </w:r>
      <w:r>
        <w:rPr>
          <w:highlight w:val="none"/>
        </w:rPr>
        <w:t>实际情况，自评</w:t>
      </w:r>
      <w:r>
        <w:rPr>
          <w:rFonts w:hint="eastAsia" w:hAnsi="宋体"/>
          <w:szCs w:val="28"/>
          <w:highlight w:val="none"/>
        </w:rPr>
        <w:t>中央政法转移支付</w:t>
      </w:r>
      <w:r>
        <w:rPr>
          <w:rFonts w:hint="eastAsia" w:hAnsi="宋体"/>
          <w:szCs w:val="28"/>
          <w:highlight w:val="none"/>
          <w:lang w:eastAsia="zh-CN"/>
        </w:rPr>
        <w:t>资金</w:t>
      </w:r>
      <w:r>
        <w:rPr>
          <w:rFonts w:hint="eastAsia" w:hAnsi="宋体"/>
          <w:szCs w:val="28"/>
          <w:highlight w:val="none"/>
          <w:lang w:val="en-US" w:eastAsia="zh-CN"/>
        </w:rPr>
        <w:t>及</w:t>
      </w:r>
      <w:r>
        <w:rPr>
          <w:rFonts w:hint="eastAsia"/>
          <w:highlight w:val="none"/>
        </w:rPr>
        <w:t>法庭运维费</w:t>
      </w:r>
      <w:r>
        <w:rPr>
          <w:rFonts w:hint="eastAsia"/>
          <w:highlight w:val="none"/>
          <w:lang w:val="en-US" w:eastAsia="zh-CN"/>
        </w:rPr>
        <w:t>一</w:t>
      </w:r>
      <w:r>
        <w:rPr>
          <w:highlight w:val="none"/>
        </w:rPr>
        <w:t>个项目自评</w:t>
      </w:r>
      <w:r>
        <w:rPr>
          <w:rFonts w:hint="eastAsia"/>
          <w:highlight w:val="none"/>
          <w:lang w:val="en-US" w:eastAsia="zh-CN"/>
        </w:rPr>
        <w:t>和</w:t>
      </w:r>
      <w:r>
        <w:rPr>
          <w:rFonts w:hint="eastAsia" w:hAnsi="宋体"/>
          <w:szCs w:val="28"/>
          <w:highlight w:val="none"/>
          <w:lang w:eastAsia="zh-CN"/>
        </w:rPr>
        <w:t>部门</w:t>
      </w:r>
      <w:r>
        <w:rPr>
          <w:rFonts w:hint="eastAsia" w:hAnsi="宋体"/>
          <w:szCs w:val="28"/>
          <w:highlight w:val="none"/>
        </w:rPr>
        <w:t>整体支出自评。</w:t>
      </w:r>
    </w:p>
    <w:p>
      <w:pPr>
        <w:pStyle w:val="4"/>
        <w:rPr>
          <w:highlight w:val="none"/>
        </w:rPr>
      </w:pPr>
      <w:bookmarkStart w:id="29" w:name="_Toc3587"/>
      <w:bookmarkStart w:id="30" w:name="_Toc25429"/>
      <w:bookmarkStart w:id="31" w:name="_Toc22785"/>
      <w:bookmarkStart w:id="32" w:name="_Toc18694"/>
      <w:bookmarkStart w:id="33" w:name="_Toc25203"/>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rPr>
        <w:t>自评工作程序</w:t>
      </w:r>
      <w:bookmarkEnd w:id="29"/>
      <w:bookmarkEnd w:id="30"/>
      <w:bookmarkEnd w:id="31"/>
      <w:bookmarkEnd w:id="32"/>
      <w:bookmarkEnd w:id="33"/>
    </w:p>
    <w:p>
      <w:pPr>
        <w:rPr>
          <w:rFonts w:hint="eastAsia" w:eastAsia="仿宋_GB2312"/>
          <w:highlight w:val="none"/>
          <w:lang w:eastAsia="zh-CN"/>
        </w:rPr>
      </w:pPr>
      <w:r>
        <w:rPr>
          <w:rFonts w:hint="eastAsia"/>
          <w:highlight w:val="none"/>
        </w:rPr>
        <w:t>本次绩效自评工作主要包括以下工作程序</w:t>
      </w:r>
      <w:r>
        <w:rPr>
          <w:rFonts w:hint="eastAsia"/>
          <w:highlight w:val="none"/>
          <w:lang w:eastAsia="zh-CN"/>
        </w:rPr>
        <w:t>：</w:t>
      </w:r>
    </w:p>
    <w:p>
      <w:pPr>
        <w:rPr>
          <w:highlight w:val="none"/>
        </w:rPr>
      </w:pPr>
      <w:r>
        <w:rPr>
          <w:rFonts w:hint="eastAsia"/>
          <w:highlight w:val="none"/>
        </w:rPr>
        <w:t>1.根据</w:t>
      </w:r>
      <w:r>
        <w:rPr>
          <w:rFonts w:hint="eastAsia"/>
          <w:highlight w:val="none"/>
          <w:lang w:val="en-US" w:eastAsia="zh-CN"/>
        </w:rPr>
        <w:t>我院</w:t>
      </w:r>
      <w:r>
        <w:rPr>
          <w:rFonts w:hint="eastAsia"/>
          <w:highlight w:val="none"/>
        </w:rPr>
        <w:t>整体</w:t>
      </w:r>
      <w:r>
        <w:rPr>
          <w:highlight w:val="none"/>
        </w:rPr>
        <w:t>支出和</w:t>
      </w:r>
      <w:r>
        <w:rPr>
          <w:rFonts w:hint="eastAsia"/>
          <w:highlight w:val="none"/>
        </w:rPr>
        <w:t>项目支出绩效目标的设定情况，通过各业务</w:t>
      </w:r>
      <w:r>
        <w:rPr>
          <w:rFonts w:hint="eastAsia"/>
          <w:highlight w:val="none"/>
          <w:lang w:val="en-US" w:eastAsia="zh-CN"/>
        </w:rPr>
        <w:t>部门</w:t>
      </w:r>
      <w:r>
        <w:rPr>
          <w:rFonts w:hint="eastAsia"/>
          <w:highlight w:val="none"/>
        </w:rPr>
        <w:t>收集</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pPr>
        <w:rPr>
          <w:highlight w:val="none"/>
        </w:rPr>
      </w:pPr>
      <w:r>
        <w:rPr>
          <w:highlight w:val="none"/>
        </w:rPr>
        <w:t>2.</w:t>
      </w:r>
      <w:r>
        <w:rPr>
          <w:rFonts w:hint="eastAsia"/>
          <w:highlight w:val="none"/>
        </w:rPr>
        <w:t>整理分析相关资料，统计财政资金预算执行情况和各项</w:t>
      </w:r>
      <w:r>
        <w:rPr>
          <w:highlight w:val="none"/>
        </w:rPr>
        <w:t>绩效目标完成</w:t>
      </w:r>
      <w:r>
        <w:rPr>
          <w:rFonts w:hint="eastAsia"/>
          <w:highlight w:val="none"/>
        </w:rPr>
        <w:t>情况，对年初</w:t>
      </w:r>
      <w:r>
        <w:rPr>
          <w:highlight w:val="none"/>
        </w:rPr>
        <w:t>设定的</w:t>
      </w:r>
      <w:r>
        <w:rPr>
          <w:rFonts w:hint="eastAsia"/>
          <w:highlight w:val="none"/>
        </w:rPr>
        <w:t>绩效指标及各项指标完成情况进行对比分析，填写《202</w:t>
      </w:r>
      <w:r>
        <w:rPr>
          <w:rFonts w:hint="eastAsia"/>
          <w:highlight w:val="none"/>
          <w:lang w:val="en-US" w:eastAsia="zh-CN"/>
        </w:rPr>
        <w:t>2</w:t>
      </w:r>
      <w:r>
        <w:rPr>
          <w:rFonts w:hint="eastAsia"/>
          <w:highlight w:val="none"/>
        </w:rPr>
        <w:t>年度部门预算执行情况绩效自评报表》；</w:t>
      </w:r>
    </w:p>
    <w:p>
      <w:pPr>
        <w:rPr>
          <w:rFonts w:hint="eastAsia"/>
          <w:highlight w:val="none"/>
        </w:rPr>
      </w:pPr>
      <w:r>
        <w:rPr>
          <w:highlight w:val="none"/>
        </w:rPr>
        <w:t>3.</w:t>
      </w:r>
      <w:r>
        <w:rPr>
          <w:rFonts w:hint="eastAsia"/>
          <w:highlight w:val="none"/>
        </w:rPr>
        <w:t>总结评价结论，归纳问题，分析原因，提出改进</w:t>
      </w:r>
      <w:r>
        <w:rPr>
          <w:highlight w:val="none"/>
        </w:rPr>
        <w:t>措施</w:t>
      </w:r>
      <w:r>
        <w:rPr>
          <w:rFonts w:hint="eastAsia"/>
          <w:highlight w:val="none"/>
        </w:rPr>
        <w:t>，完成《202</w:t>
      </w:r>
      <w:r>
        <w:rPr>
          <w:rFonts w:hint="eastAsia"/>
          <w:highlight w:val="none"/>
          <w:lang w:val="en-US" w:eastAsia="zh-CN"/>
        </w:rPr>
        <w:t>2</w:t>
      </w:r>
      <w:r>
        <w:rPr>
          <w:rFonts w:hint="eastAsia"/>
          <w:highlight w:val="none"/>
        </w:rPr>
        <w:t>年度预算执行情况自评报告》</w:t>
      </w:r>
      <w:r>
        <w:rPr>
          <w:rFonts w:hint="eastAsia"/>
          <w:highlight w:val="none"/>
          <w:lang w:val="en-US" w:eastAsia="zh-CN"/>
        </w:rPr>
        <w:t>撰写</w:t>
      </w:r>
      <w:r>
        <w:rPr>
          <w:rFonts w:hint="eastAsia"/>
          <w:highlight w:val="none"/>
        </w:rPr>
        <w:t>。</w:t>
      </w:r>
    </w:p>
    <w:p>
      <w:pPr>
        <w:ind w:firstLine="560"/>
        <w:rPr>
          <w:highlight w:val="none"/>
        </w:rPr>
      </w:pPr>
      <w:r>
        <w:rPr>
          <w:rFonts w:hint="eastAsia"/>
          <w:highlight w:val="none"/>
          <w:lang w:val="en-US" w:eastAsia="zh-CN"/>
        </w:rPr>
        <w:t>4.</w:t>
      </w:r>
      <w:r>
        <w:rPr>
          <w:rFonts w:hint="eastAsia"/>
          <w:highlight w:val="none"/>
        </w:rPr>
        <w:t>自评表和自评报告完成之后，进行内部审核，对自评表的真实性、完整性、合理性和客观性进行初步审核，并对发现的问题及时反馈和修改，修改完善后报送审核备案。</w:t>
      </w:r>
    </w:p>
    <w:bookmarkEnd w:id="21"/>
    <w:bookmarkEnd w:id="22"/>
    <w:bookmarkEnd w:id="23"/>
    <w:p>
      <w:pPr>
        <w:pStyle w:val="3"/>
        <w:rPr>
          <w:highlight w:val="none"/>
        </w:rPr>
      </w:pPr>
      <w:bookmarkStart w:id="34" w:name="_Toc17042"/>
      <w:bookmarkStart w:id="35" w:name="_Toc31556"/>
      <w:bookmarkStart w:id="36" w:name="_Toc26000"/>
      <w:bookmarkStart w:id="37" w:name="_Toc10313"/>
      <w:r>
        <w:rPr>
          <w:rFonts w:hint="eastAsia"/>
          <w:highlight w:val="none"/>
        </w:rPr>
        <w:t>三、部门整体支出绩效自评情况分析</w:t>
      </w:r>
      <w:bookmarkEnd w:id="34"/>
      <w:bookmarkEnd w:id="35"/>
      <w:bookmarkEnd w:id="36"/>
      <w:bookmarkEnd w:id="37"/>
      <w:r>
        <w:rPr>
          <w:highlight w:val="none"/>
        </w:rPr>
        <w:tab/>
      </w:r>
    </w:p>
    <w:p>
      <w:pPr>
        <w:pStyle w:val="4"/>
        <w:ind w:firstLine="643"/>
        <w:rPr>
          <w:rFonts w:hint="eastAsia"/>
          <w:highlight w:val="none"/>
          <w:lang w:eastAsia="zh-CN"/>
        </w:rPr>
      </w:pPr>
      <w:bookmarkStart w:id="38" w:name="_Toc32623"/>
      <w:bookmarkStart w:id="39" w:name="_Toc8171"/>
      <w:bookmarkStart w:id="40" w:name="_Toc3483"/>
      <w:bookmarkStart w:id="41" w:name="_Toc29778"/>
      <w:r>
        <w:rPr>
          <w:rFonts w:hint="eastAsia"/>
          <w:highlight w:val="none"/>
        </w:rPr>
        <w:t>（一）部门决算情况</w:t>
      </w:r>
      <w:bookmarkEnd w:id="38"/>
      <w:bookmarkEnd w:id="39"/>
      <w:bookmarkEnd w:id="40"/>
      <w:bookmarkEnd w:id="41"/>
    </w:p>
    <w:p>
      <w:pPr>
        <w:ind w:firstLine="560"/>
        <w:rPr>
          <w:rFonts w:hint="default"/>
          <w:highlight w:val="none"/>
          <w:lang w:val="en-US" w:eastAsia="zh-CN"/>
        </w:rPr>
      </w:pPr>
      <w:r>
        <w:rPr>
          <w:rFonts w:hint="eastAsia"/>
          <w:highlight w:val="none"/>
          <w:lang w:val="en-US" w:eastAsia="zh-CN"/>
        </w:rPr>
        <w:t>2022年度，平凉市中级人民法院年初预算2,883.63万元</w:t>
      </w:r>
      <w:r>
        <w:rPr>
          <w:rFonts w:hint="eastAsia"/>
          <w:highlight w:val="none"/>
          <w:lang w:eastAsia="zh-CN"/>
        </w:rPr>
        <w:t>，</w:t>
      </w:r>
      <w:r>
        <w:rPr>
          <w:rFonts w:hint="eastAsia"/>
          <w:highlight w:val="none"/>
        </w:rPr>
        <w:t>全年预算</w:t>
      </w:r>
      <w:r>
        <w:rPr>
          <w:rFonts w:hint="eastAsia"/>
          <w:highlight w:val="none"/>
          <w:lang w:eastAsia="zh-CN"/>
        </w:rPr>
        <w:t>数</w:t>
      </w:r>
      <w:r>
        <w:rPr>
          <w:rFonts w:hint="eastAsia"/>
          <w:highlight w:val="none"/>
          <w:lang w:val="en-US" w:eastAsia="zh-CN"/>
        </w:rPr>
        <w:t>3,749.97万元，实际支出数3,749.97万元，</w:t>
      </w:r>
      <w:r>
        <w:rPr>
          <w:rFonts w:hint="eastAsia"/>
          <w:highlight w:val="none"/>
        </w:rPr>
        <w:t>部门整体支出预算执行率为</w:t>
      </w:r>
      <w:r>
        <w:rPr>
          <w:rFonts w:hint="eastAsia"/>
          <w:highlight w:val="none"/>
          <w:lang w:val="en-US" w:eastAsia="zh-CN"/>
        </w:rPr>
        <w:t>100%。</w:t>
      </w:r>
    </w:p>
    <w:p>
      <w:pPr>
        <w:pStyle w:val="4"/>
        <w:ind w:left="0" w:leftChars="0" w:firstLine="643" w:firstLineChars="200"/>
        <w:rPr>
          <w:highlight w:val="none"/>
        </w:rPr>
      </w:pPr>
      <w:bookmarkStart w:id="42" w:name="_Toc5467"/>
      <w:bookmarkStart w:id="43" w:name="_Toc10769"/>
      <w:bookmarkStart w:id="44" w:name="_Toc21423"/>
      <w:bookmarkStart w:id="45" w:name="_Toc22782"/>
      <w:r>
        <w:rPr>
          <w:rFonts w:hint="eastAsia"/>
          <w:highlight w:val="none"/>
        </w:rPr>
        <w:t>（二）总体绩效目标完成情况分析</w:t>
      </w:r>
      <w:bookmarkEnd w:id="42"/>
      <w:bookmarkEnd w:id="43"/>
      <w:bookmarkEnd w:id="44"/>
      <w:bookmarkEnd w:id="45"/>
    </w:p>
    <w:p>
      <w:pPr>
        <w:jc w:val="left"/>
        <w:rPr>
          <w:rFonts w:hint="eastAsia"/>
          <w:highlight w:val="none"/>
        </w:rPr>
      </w:pPr>
      <w:r>
        <w:rPr>
          <w:rFonts w:hint="eastAsia"/>
          <w:highlight w:val="none"/>
        </w:rPr>
        <w:t>经综合评价与分析，</w:t>
      </w:r>
      <w:r>
        <w:rPr>
          <w:rFonts w:hint="eastAsia"/>
          <w:highlight w:val="none"/>
          <w:lang w:val="en-US" w:eastAsia="zh-CN"/>
        </w:rPr>
        <w:t>平凉市中级</w:t>
      </w:r>
      <w:r>
        <w:rPr>
          <w:rFonts w:hint="eastAsia"/>
          <w:highlight w:val="none"/>
          <w:lang w:eastAsia="zh-CN"/>
        </w:rPr>
        <w:t>人民法院202</w:t>
      </w:r>
      <w:r>
        <w:rPr>
          <w:rFonts w:hint="eastAsia"/>
          <w:highlight w:val="none"/>
          <w:lang w:val="en-US" w:eastAsia="zh-CN"/>
        </w:rPr>
        <w:t>2</w:t>
      </w:r>
      <w:r>
        <w:rPr>
          <w:highlight w:val="none"/>
        </w:rPr>
        <w:t>年度部门整体支出绩效评价最终得分为</w:t>
      </w:r>
      <w:r>
        <w:rPr>
          <w:rFonts w:hint="eastAsia"/>
          <w:highlight w:val="none"/>
          <w:lang w:val="en-US" w:eastAsia="zh-CN"/>
        </w:rPr>
        <w:t>99.52</w:t>
      </w:r>
      <w:r>
        <w:rPr>
          <w:highlight w:val="none"/>
        </w:rPr>
        <w:t>分，评价结果为“</w:t>
      </w:r>
      <w:r>
        <w:rPr>
          <w:rFonts w:hint="eastAsia"/>
          <w:highlight w:val="none"/>
          <w:lang w:eastAsia="zh-CN"/>
        </w:rPr>
        <w:t>优</w:t>
      </w:r>
      <w:r>
        <w:rPr>
          <w:highlight w:val="none"/>
        </w:rPr>
        <w:t>”。最终评分结果如</w:t>
      </w:r>
      <w:r>
        <w:rPr>
          <w:rFonts w:hint="eastAsia"/>
          <w:highlight w:val="none"/>
        </w:rPr>
        <w:t>下</w:t>
      </w:r>
      <w:r>
        <w:rPr>
          <w:highlight w:val="none"/>
        </w:rPr>
        <w:t>表所示</w:t>
      </w:r>
      <w:r>
        <w:rPr>
          <w:rFonts w:hint="eastAsia"/>
          <w:highlight w:val="none"/>
        </w:rPr>
        <w:t>：</w:t>
      </w:r>
    </w:p>
    <w:p>
      <w:pPr>
        <w:jc w:val="center"/>
        <w:rPr>
          <w:rFonts w:ascii="宋体" w:hAnsi="宋体"/>
          <w:highlight w:val="none"/>
        </w:rPr>
      </w:pPr>
      <w:r>
        <w:rPr>
          <w:rFonts w:hint="eastAsia" w:ascii="宋体" w:hAnsi="宋体" w:cs="宋体"/>
          <w:b/>
          <w:bCs/>
          <w:kern w:val="0"/>
          <w:sz w:val="24"/>
          <w:highlight w:val="none"/>
        </w:rPr>
        <w:t>202</w:t>
      </w:r>
      <w:r>
        <w:rPr>
          <w:rFonts w:hint="eastAsia" w:ascii="宋体" w:hAnsi="宋体" w:cs="宋体"/>
          <w:b/>
          <w:bCs/>
          <w:kern w:val="0"/>
          <w:sz w:val="24"/>
          <w:highlight w:val="none"/>
          <w:lang w:val="en-US" w:eastAsia="zh-CN"/>
        </w:rPr>
        <w:t>2</w:t>
      </w:r>
      <w:r>
        <w:rPr>
          <w:rFonts w:hint="eastAsia" w:ascii="宋体" w:hAnsi="宋体" w:cs="宋体"/>
          <w:b/>
          <w:bCs/>
          <w:kern w:val="0"/>
          <w:sz w:val="24"/>
          <w:highlight w:val="none"/>
        </w:rPr>
        <w:t>年度部门整体支出绩效评价指标得分情况</w:t>
      </w:r>
    </w:p>
    <w:tbl>
      <w:tblPr>
        <w:tblStyle w:val="20"/>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一级指标</w:t>
            </w:r>
          </w:p>
        </w:tc>
        <w:tc>
          <w:tcPr>
            <w:tcW w:w="167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分值</w:t>
            </w:r>
          </w:p>
        </w:tc>
        <w:tc>
          <w:tcPr>
            <w:tcW w:w="1560"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自评得分</w:t>
            </w:r>
          </w:p>
        </w:tc>
        <w:tc>
          <w:tcPr>
            <w:tcW w:w="226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widowControl/>
              <w:suppressLineNumbers w:val="0"/>
              <w:ind w:firstLine="440" w:firstLineChars="20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预算执行率</w:t>
            </w:r>
          </w:p>
        </w:tc>
        <w:tc>
          <w:tcPr>
            <w:tcW w:w="1678" w:type="dxa"/>
            <w:vAlign w:val="center"/>
          </w:tcPr>
          <w:p>
            <w:pPr>
              <w:keepNext w:val="0"/>
              <w:keepLines w:val="0"/>
              <w:widowControl/>
              <w:suppressLineNumbers w:val="0"/>
              <w:ind w:firstLine="440" w:firstLineChars="20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widowControl/>
              <w:suppressLineNumbers w:val="0"/>
              <w:ind w:firstLine="440" w:firstLineChars="20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部门管理</w:t>
            </w:r>
          </w:p>
        </w:tc>
        <w:tc>
          <w:tcPr>
            <w:tcW w:w="1678"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20</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19.52</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97.60%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widowControl/>
              <w:suppressLineNumbers w:val="0"/>
              <w:ind w:firstLine="440" w:firstLineChars="20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履职效果</w:t>
            </w:r>
          </w:p>
        </w:tc>
        <w:tc>
          <w:tcPr>
            <w:tcW w:w="1678"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50</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50</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widowControl/>
              <w:suppressLineNumbers w:val="0"/>
              <w:ind w:firstLine="440" w:firstLineChars="20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能力建设</w:t>
            </w:r>
          </w:p>
        </w:tc>
        <w:tc>
          <w:tcPr>
            <w:tcW w:w="1678"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10</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1" w:hRule="atLeast"/>
        </w:trPr>
        <w:tc>
          <w:tcPr>
            <w:tcW w:w="3533" w:type="dxa"/>
            <w:vAlign w:val="center"/>
          </w:tcPr>
          <w:p>
            <w:pPr>
              <w:keepNext w:val="0"/>
              <w:keepLines w:val="0"/>
              <w:widowControl/>
              <w:suppressLineNumbers w:val="0"/>
              <w:ind w:firstLine="440" w:firstLineChars="20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服务对象满意度</w:t>
            </w:r>
          </w:p>
        </w:tc>
        <w:tc>
          <w:tcPr>
            <w:tcW w:w="1678"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10</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10</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合计</w:t>
            </w:r>
          </w:p>
        </w:tc>
        <w:tc>
          <w:tcPr>
            <w:tcW w:w="167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100</w:t>
            </w:r>
          </w:p>
        </w:tc>
        <w:tc>
          <w:tcPr>
            <w:tcW w:w="1560" w:type="dxa"/>
            <w:shd w:val="clear" w:color="auto" w:fill="BDD6EE"/>
            <w:vAlign w:val="center"/>
          </w:tcPr>
          <w:p>
            <w:pPr>
              <w:keepNext w:val="0"/>
              <w:keepLines w:val="0"/>
              <w:widowControl/>
              <w:suppressLineNumbers w:val="0"/>
              <w:ind w:firstLine="442" w:firstLineChars="20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99.52</w:t>
            </w:r>
          </w:p>
        </w:tc>
        <w:tc>
          <w:tcPr>
            <w:tcW w:w="226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99.52%</w:t>
            </w:r>
          </w:p>
        </w:tc>
      </w:tr>
    </w:tbl>
    <w:p>
      <w:pPr>
        <w:tabs>
          <w:tab w:val="left" w:pos="1538"/>
        </w:tabs>
        <w:ind w:firstLine="560"/>
        <w:jc w:val="left"/>
        <w:rPr>
          <w:rFonts w:hint="eastAsia" w:eastAsia="仿宋_GB2312"/>
          <w:highlight w:val="yellow"/>
          <w:lang w:eastAsia="zh-CN"/>
        </w:rPr>
      </w:pPr>
    </w:p>
    <w:p>
      <w:pPr>
        <w:pStyle w:val="5"/>
        <w:ind w:left="0" w:leftChars="0" w:firstLine="562" w:firstLineChars="200"/>
        <w:rPr>
          <w:rFonts w:hint="eastAsia" w:eastAsia="仿宋_GB2312"/>
          <w:b/>
          <w:bCs/>
          <w:highlight w:val="none"/>
          <w:lang w:eastAsia="zh-CN"/>
        </w:rPr>
      </w:pPr>
      <w:r>
        <w:rPr>
          <w:rFonts w:hint="eastAsia"/>
          <w:highlight w:val="none"/>
          <w:lang w:val="en-US" w:eastAsia="zh-CN"/>
        </w:rPr>
        <w:t>2022年主要工作成果及总体绩效目标完成情况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2" w:firstLineChars="200"/>
        <w:jc w:val="both"/>
        <w:textAlignment w:val="auto"/>
        <w:rPr>
          <w:rFonts w:hint="default"/>
          <w:b/>
          <w:bCs/>
          <w:highlight w:val="none"/>
          <w:lang w:val="en-US" w:eastAsia="zh-CN"/>
        </w:rPr>
      </w:pPr>
      <w:r>
        <w:rPr>
          <w:rFonts w:hint="eastAsia"/>
          <w:b/>
          <w:bCs/>
          <w:highlight w:val="none"/>
          <w:lang w:val="en-US" w:eastAsia="zh-CN"/>
        </w:rPr>
        <w:t>1.总体绩效目标</w:t>
      </w:r>
    </w:p>
    <w:p>
      <w:pPr>
        <w:ind w:firstLine="560" w:firstLineChars="200"/>
        <w:rPr>
          <w:rFonts w:hint="eastAsia"/>
          <w:b w:val="0"/>
          <w:bCs w:val="0"/>
          <w:sz w:val="24"/>
          <w:szCs w:val="21"/>
          <w:highlight w:val="none"/>
          <w:lang w:eastAsia="zh-CN"/>
        </w:rPr>
      </w:pPr>
      <w:r>
        <w:rPr>
          <w:rFonts w:hint="eastAsia"/>
          <w:b w:val="0"/>
          <w:bCs w:val="0"/>
          <w:sz w:val="28"/>
          <w:szCs w:val="22"/>
          <w:highlight w:val="none"/>
          <w:lang w:eastAsia="zh-CN"/>
        </w:rPr>
        <w:t>（</w:t>
      </w:r>
      <w:r>
        <w:rPr>
          <w:rFonts w:hint="eastAsia"/>
          <w:b w:val="0"/>
          <w:bCs w:val="0"/>
          <w:sz w:val="28"/>
          <w:szCs w:val="22"/>
          <w:highlight w:val="none"/>
          <w:lang w:val="en-US" w:eastAsia="zh-CN"/>
        </w:rPr>
        <w:t>1</w:t>
      </w:r>
      <w:r>
        <w:rPr>
          <w:rFonts w:hint="eastAsia"/>
          <w:b w:val="0"/>
          <w:bCs w:val="0"/>
          <w:sz w:val="28"/>
          <w:szCs w:val="22"/>
          <w:highlight w:val="none"/>
          <w:lang w:eastAsia="zh-CN"/>
        </w:rPr>
        <w:t>）始终把政治建设摆在首位，坚定捍卫“两个确立”</w:t>
      </w:r>
    </w:p>
    <w:p>
      <w:pPr>
        <w:ind w:firstLine="560" w:firstLineChars="200"/>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pPr>
      <w:r>
        <w:rPr>
          <w:rFonts w:hint="eastAsia"/>
          <w:b w:val="0"/>
          <w:bCs w:val="0"/>
          <w:sz w:val="28"/>
          <w:szCs w:val="22"/>
          <w:highlight w:val="none"/>
          <w:lang w:eastAsia="zh-CN"/>
        </w:rPr>
        <w:t>（</w:t>
      </w:r>
      <w:r>
        <w:rPr>
          <w:rFonts w:hint="eastAsia"/>
          <w:b w:val="0"/>
          <w:bCs w:val="0"/>
          <w:sz w:val="28"/>
          <w:szCs w:val="22"/>
          <w:highlight w:val="none"/>
          <w:lang w:val="en-US" w:eastAsia="zh-CN"/>
        </w:rPr>
        <w:t>2</w:t>
      </w:r>
      <w:r>
        <w:rPr>
          <w:rFonts w:hint="eastAsia"/>
          <w:b w:val="0"/>
          <w:bCs w:val="0"/>
          <w:sz w:val="28"/>
          <w:szCs w:val="22"/>
          <w:highlight w:val="none"/>
          <w:lang w:eastAsia="zh-CN"/>
        </w:rPr>
        <w:t>）</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发挥审判职能作用，更好地维护国家法制、法律的权威、公平和正义，维护社会稳定和谐,推动建设高水平的平安平凉。</w:t>
      </w:r>
    </w:p>
    <w:p>
      <w:pPr>
        <w:pStyle w:val="2"/>
        <w:rPr>
          <w:rFonts w:hint="eastAsia"/>
          <w:highlight w:val="none"/>
        </w:rPr>
      </w:pPr>
      <w:r>
        <w:rPr>
          <w:rFonts w:hint="eastAsia"/>
          <w:b w:val="0"/>
          <w:bCs w:val="0"/>
          <w:sz w:val="28"/>
          <w:szCs w:val="22"/>
          <w:highlight w:val="none"/>
          <w:lang w:eastAsia="zh-CN"/>
        </w:rPr>
        <w:t>（</w:t>
      </w:r>
      <w:r>
        <w:rPr>
          <w:rFonts w:hint="eastAsia"/>
          <w:b w:val="0"/>
          <w:bCs w:val="0"/>
          <w:sz w:val="28"/>
          <w:szCs w:val="22"/>
          <w:highlight w:val="none"/>
          <w:lang w:val="en-US" w:eastAsia="zh-CN"/>
        </w:rPr>
        <w:t>3</w:t>
      </w:r>
      <w:r>
        <w:rPr>
          <w:rFonts w:hint="eastAsia"/>
          <w:b w:val="0"/>
          <w:bCs w:val="0"/>
          <w:sz w:val="28"/>
          <w:szCs w:val="22"/>
          <w:highlight w:val="none"/>
          <w:lang w:eastAsia="zh-CN"/>
        </w:rPr>
        <w:t>）</w:t>
      </w:r>
      <w:r>
        <w:rPr>
          <w:rFonts w:hint="eastAsia"/>
          <w:highlight w:val="none"/>
        </w:rPr>
        <w:t>充分发挥司法职能，全力服务保障高质量发展</w:t>
      </w:r>
    </w:p>
    <w:p>
      <w:pPr>
        <w:ind w:firstLine="562"/>
        <w:rPr>
          <w:rFonts w:hint="eastAsia"/>
          <w:b/>
          <w:bCs/>
          <w:highlight w:val="none"/>
        </w:rPr>
      </w:pPr>
      <w:r>
        <w:rPr>
          <w:rFonts w:hint="eastAsia"/>
          <w:b/>
          <w:bCs/>
          <w:highlight w:val="none"/>
          <w:lang w:val="en-US" w:eastAsia="zh-CN"/>
        </w:rPr>
        <w:t>2.</w:t>
      </w:r>
      <w:r>
        <w:rPr>
          <w:rFonts w:hint="eastAsia"/>
          <w:b/>
          <w:bCs/>
          <w:highlight w:val="none"/>
        </w:rPr>
        <w:t>实际完成情况</w:t>
      </w:r>
    </w:p>
    <w:p>
      <w:pPr>
        <w:pStyle w:val="18"/>
        <w:spacing w:before="0" w:beforeAutospacing="0" w:after="0" w:afterAutospacing="0" w:line="560" w:lineRule="exact"/>
        <w:ind w:firstLine="420" w:firstLineChars="150"/>
        <w:jc w:val="both"/>
        <w:rPr>
          <w:rFonts w:hint="eastAsia" w:ascii="仿宋_GB2312" w:hAnsi="仿宋_GB2312" w:eastAsia="仿宋_GB2312" w:cs="仿宋_GB2312"/>
          <w:sz w:val="28"/>
          <w:szCs w:val="28"/>
          <w:highlight w:val="none"/>
        </w:rPr>
      </w:pPr>
      <w:r>
        <w:rPr>
          <w:rFonts w:hint="eastAsia"/>
          <w:b w:val="0"/>
          <w:bCs w:val="0"/>
          <w:sz w:val="28"/>
          <w:szCs w:val="24"/>
          <w:highlight w:val="none"/>
          <w:lang w:eastAsia="zh-CN"/>
        </w:rPr>
        <w:t>（</w:t>
      </w:r>
      <w:r>
        <w:rPr>
          <w:rFonts w:hint="eastAsia"/>
          <w:b w:val="0"/>
          <w:bCs w:val="0"/>
          <w:sz w:val="28"/>
          <w:szCs w:val="24"/>
          <w:highlight w:val="none"/>
          <w:lang w:val="en-US" w:eastAsia="zh-CN"/>
        </w:rPr>
        <w:t>1</w:t>
      </w:r>
      <w:r>
        <w:rPr>
          <w:rFonts w:hint="eastAsia"/>
          <w:b w:val="0"/>
          <w:bCs w:val="0"/>
          <w:sz w:val="28"/>
          <w:szCs w:val="24"/>
          <w:highlight w:val="none"/>
          <w:lang w:eastAsia="zh-CN"/>
        </w:rPr>
        <w:t>）</w:t>
      </w:r>
      <w:r>
        <w:rPr>
          <w:rFonts w:hint="eastAsia" w:ascii="仿宋_GB2312" w:hAnsi="仿宋_GB2312" w:eastAsia="仿宋_GB2312" w:cs="仿宋_GB2312"/>
          <w:sz w:val="28"/>
          <w:szCs w:val="28"/>
          <w:highlight w:val="none"/>
        </w:rPr>
        <w:t>以党的政治建设为统领，深入学习贯彻习近平新时代中国特设社会主义思想和党的二十大精神，切实增强政治判断力、政治领悟力、政治执行力。常态化巩固拓展党史学习教育成果，深入学习宣传贯彻党的十九届六中全会、党的二十大和省、市党代会精神，健全完善政治轮训制度，集中收看了党的二十大、庆祝中国共青团成立100周年大会和省第十四次党代会直播，结合“两个确立”主题教育,分级分批开展集中学习40余场次、举办专题辅导培训30余场次，研讨交流70余人次、开展红色革命教育11场次，深入基层法院、包抓联系村和企业党支部宣讲21场次，全方位、多层次夯实拥护“两个确立”的思想政治基础，全体干警“四个意识”进一步增强，“四个自信”更加坚定，“两个维护”更加坚决。</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ascii="仿宋_GB2312" w:hAnsi="仿宋_GB2312" w:eastAsia="仿宋_GB2312" w:cs="仿宋_GB2312"/>
          <w:sz w:val="28"/>
          <w:szCs w:val="28"/>
          <w:highlight w:val="none"/>
        </w:rPr>
        <w:t>以党的二十大维稳安保为主线，坚决扛牢平安建设政治责任，全力营造安全稳定的政治社会环境。一是坚决维护社会安全。依法惩罚犯罪、保护人民，审结一审刑事案件1356件，判处罪犯2122人。常态化推进扫黑除恶斗争，审结严重暴力、危害公共安全等犯罪案件620件，马某某等10人恶势力犯罪团伙被依法严惩，持续提升人民群众安全感。二是坚决守好民生安全底线。打好反诈人民战争，审结非法吸收公众存款、电信网络诈骗犯罪案件9件，严厉打击网络直播、套路贷、校园贷等诈骗乱象，挽回经济损失184万元，守住群众“钱袋子”。三是筑牢发展安全防线。依法维护疫情防控秩序，审结涉疫犯罪案件3件，全市法院累计4900余人次参与一线防疫。推进高风险机构化险工作，与市金融办、银保监局、人民银行建立联动机制，审结金融纠纷案件3102件，清收涉金融不良资产4.45亿元，切实防范化解金融风险。</w:t>
      </w:r>
    </w:p>
    <w:p>
      <w:pPr>
        <w:pStyle w:val="2"/>
        <w:rPr>
          <w:rFonts w:hint="eastAsia"/>
          <w:lang w:eastAsia="zh-CN"/>
        </w:rPr>
      </w:pPr>
      <w:r>
        <w:rPr>
          <w:rFonts w:hint="eastAsia"/>
          <w:b w:val="0"/>
          <w:bCs w:val="0"/>
          <w:sz w:val="28"/>
          <w:szCs w:val="22"/>
          <w:highlight w:val="none"/>
          <w:lang w:eastAsia="zh-CN"/>
        </w:rPr>
        <w:t>（</w:t>
      </w:r>
      <w:r>
        <w:rPr>
          <w:rFonts w:hint="eastAsia"/>
          <w:b w:val="0"/>
          <w:bCs w:val="0"/>
          <w:sz w:val="28"/>
          <w:szCs w:val="22"/>
          <w:highlight w:val="none"/>
          <w:lang w:val="en-US" w:eastAsia="zh-CN"/>
        </w:rPr>
        <w:t>3</w:t>
      </w:r>
      <w:r>
        <w:rPr>
          <w:rFonts w:hint="eastAsia"/>
          <w:b w:val="0"/>
          <w:bCs w:val="0"/>
          <w:sz w:val="28"/>
          <w:szCs w:val="22"/>
          <w:highlight w:val="none"/>
          <w:lang w:eastAsia="zh-CN"/>
        </w:rPr>
        <w:t>）围绕服务大局，精准对接省第十四次党代会、市第五次党代会和市委五届历次全会决策部署，持续优化司法服务，高效发挥审判职能，依法护航高质量发展。一是高质量服务九大重点产业链。制定落实31条司法措施，成立苹果产业、煤电产业、现代农业、生态旅游等7个特色巡回法庭，妥善审理涉产业发展案件2249件，服务九大重点产业强链延链补链。二是高质量服务创建全国文明城市。制定落实25条司法措施，稳妥化解涉重大项目建设、城市管理执法、城中村改造案件1333件，为创城工作保驾护航。攻坚克难执结阻碍某医院重点项目建设案件，尽最大努力保障民生工程。审结盗掘古文化遗址、古生物化石案件7件，保护历史文化遗产。助推社会信用体系建设，发布失信被执行人名单4655人次，司法拘留76人次，依法及时将880人次移出“黑名单”，营造诚实守信社会风尚。三是高质量服务全面推进乡村振兴。制定落实40条司法措施，增强乡村司法供给，成立“法官驻村工作站”，妥善审理涉“三农”案件6625件，审理涉“三权分置”、集体收益分配、乡村环境整治案件1076件，保障农业农村优先发展。</w:t>
      </w:r>
    </w:p>
    <w:p>
      <w:pPr>
        <w:pStyle w:val="4"/>
        <w:bidi w:val="0"/>
        <w:rPr>
          <w:rFonts w:hint="eastAsia"/>
          <w:highlight w:val="none"/>
        </w:rPr>
      </w:pPr>
      <w:bookmarkStart w:id="46" w:name="_Toc18553"/>
      <w:bookmarkStart w:id="47" w:name="_Toc25030"/>
      <w:bookmarkStart w:id="48" w:name="_Toc7799"/>
      <w:bookmarkStart w:id="49" w:name="_Toc17819"/>
      <w:r>
        <w:rPr>
          <w:rFonts w:hint="eastAsia"/>
          <w:highlight w:val="none"/>
        </w:rPr>
        <w:t>（三）各项指标完成情况分析</w:t>
      </w:r>
      <w:bookmarkEnd w:id="46"/>
      <w:bookmarkEnd w:id="47"/>
      <w:bookmarkEnd w:id="48"/>
      <w:bookmarkEnd w:id="49"/>
    </w:p>
    <w:p>
      <w:pPr>
        <w:ind w:firstLine="562"/>
        <w:rPr>
          <w:highlight w:val="none"/>
        </w:rPr>
      </w:pPr>
      <w:r>
        <w:rPr>
          <w:rFonts w:hint="eastAsia" w:ascii="仿宋_GB2312" w:hAnsi="仿宋_GB2312" w:eastAsia="仿宋_GB2312" w:cs="仿宋_GB2312"/>
          <w:sz w:val="28"/>
          <w:szCs w:val="28"/>
          <w:highlight w:val="none"/>
        </w:rPr>
        <w:t>情况说明：由于预算绩效系统中得分均按照定性指标的计算方式进行，故造成系统中的得分与实际得分略微有所偏差，但不影响整体评价结果，</w:t>
      </w:r>
      <w:r>
        <w:rPr>
          <w:rFonts w:hint="eastAsia" w:ascii="仿宋_GB2312" w:hAnsi="仿宋_GB2312" w:eastAsia="仿宋_GB2312" w:cs="仿宋_GB2312"/>
          <w:sz w:val="28"/>
          <w:szCs w:val="28"/>
          <w:highlight w:val="none"/>
          <w:lang w:eastAsia="zh-CN"/>
        </w:rPr>
        <w:t>部门整体支出</w:t>
      </w:r>
      <w:r>
        <w:rPr>
          <w:rFonts w:hint="eastAsia" w:ascii="仿宋_GB2312" w:hAnsi="仿宋_GB2312" w:eastAsia="仿宋_GB2312" w:cs="仿宋_GB2312"/>
          <w:sz w:val="28"/>
          <w:szCs w:val="28"/>
          <w:highlight w:val="none"/>
        </w:rPr>
        <w:t>全部数据以本报告为准。</w:t>
      </w:r>
    </w:p>
    <w:p>
      <w:pPr>
        <w:pStyle w:val="5"/>
        <w:ind w:firstLine="562"/>
        <w:rPr>
          <w:rFonts w:hint="default" w:eastAsia="仿宋_GB2312"/>
          <w:highlight w:val="none"/>
          <w:lang w:val="en-US" w:eastAsia="zh-CN"/>
        </w:rPr>
      </w:pPr>
      <w:r>
        <w:rPr>
          <w:highlight w:val="none"/>
        </w:rPr>
        <w:t>1</w:t>
      </w:r>
      <w:r>
        <w:rPr>
          <w:rFonts w:hint="eastAsia"/>
          <w:highlight w:val="none"/>
          <w:lang w:eastAsia="zh-CN"/>
        </w:rPr>
        <w:t>.</w:t>
      </w:r>
      <w:r>
        <w:rPr>
          <w:rFonts w:hint="eastAsia"/>
          <w:highlight w:val="none"/>
          <w:lang w:val="en-US" w:eastAsia="zh-CN"/>
        </w:rPr>
        <w:t>部门整体支出</w:t>
      </w:r>
      <w:r>
        <w:rPr>
          <w:highlight w:val="none"/>
        </w:rPr>
        <w:t>预算执行率</w:t>
      </w:r>
      <w:r>
        <w:rPr>
          <w:rFonts w:hint="eastAsia"/>
          <w:highlight w:val="none"/>
          <w:lang w:val="en-US" w:eastAsia="zh-CN"/>
        </w:rPr>
        <w:t>完成情况分析</w:t>
      </w:r>
    </w:p>
    <w:p>
      <w:pPr>
        <w:ind w:firstLine="560"/>
        <w:rPr>
          <w:rFonts w:hint="default"/>
          <w:highlight w:val="none"/>
          <w:lang w:val="en-US" w:eastAsia="zh-CN"/>
        </w:rPr>
      </w:pPr>
      <w:r>
        <w:rPr>
          <w:rFonts w:hint="eastAsia" w:hAnsi="宋体"/>
          <w:szCs w:val="28"/>
          <w:highlight w:val="none"/>
        </w:rPr>
        <w:t>我院202</w:t>
      </w:r>
      <w:r>
        <w:rPr>
          <w:rFonts w:hint="eastAsia" w:hAnsi="宋体"/>
          <w:szCs w:val="28"/>
          <w:highlight w:val="none"/>
          <w:lang w:val="en-US" w:eastAsia="zh-CN"/>
        </w:rPr>
        <w:t>2</w:t>
      </w:r>
      <w:r>
        <w:rPr>
          <w:rFonts w:hint="eastAsia" w:hAnsi="宋体"/>
          <w:szCs w:val="28"/>
          <w:highlight w:val="none"/>
        </w:rPr>
        <w:t>年</w:t>
      </w:r>
      <w:r>
        <w:rPr>
          <w:rFonts w:hint="eastAsia"/>
          <w:highlight w:val="none"/>
          <w:lang w:val="en-US" w:eastAsia="zh-CN"/>
        </w:rPr>
        <w:t>年初预算2,883.63万元</w:t>
      </w:r>
      <w:r>
        <w:rPr>
          <w:rFonts w:hint="eastAsia"/>
          <w:highlight w:val="none"/>
          <w:lang w:eastAsia="zh-CN"/>
        </w:rPr>
        <w:t>，</w:t>
      </w:r>
      <w:r>
        <w:rPr>
          <w:rFonts w:hint="eastAsia"/>
          <w:highlight w:val="none"/>
        </w:rPr>
        <w:t>全年预算</w:t>
      </w:r>
      <w:r>
        <w:rPr>
          <w:rFonts w:hint="eastAsia"/>
          <w:highlight w:val="none"/>
          <w:lang w:eastAsia="zh-CN"/>
        </w:rPr>
        <w:t>数</w:t>
      </w:r>
      <w:r>
        <w:rPr>
          <w:rFonts w:hint="eastAsia"/>
          <w:highlight w:val="none"/>
          <w:lang w:val="en-US" w:eastAsia="zh-CN"/>
        </w:rPr>
        <w:t>3,749.97万元，实际支出数3,749.97万元，</w:t>
      </w:r>
      <w:r>
        <w:rPr>
          <w:rFonts w:hint="eastAsia"/>
          <w:highlight w:val="none"/>
        </w:rPr>
        <w:t>部门整体支出预算执行率为</w:t>
      </w:r>
      <w:r>
        <w:rPr>
          <w:rFonts w:hint="eastAsia"/>
          <w:highlight w:val="none"/>
          <w:lang w:val="en-US" w:eastAsia="zh-CN"/>
        </w:rPr>
        <w:t>100%。</w:t>
      </w:r>
    </w:p>
    <w:p>
      <w:pPr>
        <w:ind w:left="0" w:leftChars="0" w:firstLine="0" w:firstLineChars="0"/>
        <w:rPr>
          <w:rFonts w:hint="eastAsia"/>
          <w:highlight w:val="none"/>
        </w:rPr>
      </w:pPr>
      <w:r>
        <w:rPr>
          <w:rFonts w:hint="eastAsia"/>
          <w:color w:val="000000" w:themeColor="text1"/>
          <w:szCs w:val="28"/>
          <w:highlight w:val="none"/>
          <w14:textFill>
            <w14:solidFill>
              <w14:schemeClr w14:val="tx1"/>
            </w14:solidFill>
          </w14:textFill>
        </w:rPr>
        <w:t>该指标分值10分，自评得分为</w:t>
      </w:r>
      <w:r>
        <w:rPr>
          <w:rFonts w:hint="eastAsia"/>
          <w:color w:val="000000" w:themeColor="text1"/>
          <w:szCs w:val="28"/>
          <w:highlight w:val="none"/>
          <w:lang w:val="en-US" w:eastAsia="zh-CN"/>
          <w14:textFill>
            <w14:solidFill>
              <w14:schemeClr w14:val="tx1"/>
            </w14:solidFill>
          </w14:textFill>
        </w:rPr>
        <w:t>10</w:t>
      </w:r>
      <w:r>
        <w:rPr>
          <w:rFonts w:hint="eastAsia"/>
          <w:color w:val="000000" w:themeColor="text1"/>
          <w:szCs w:val="28"/>
          <w:highlight w:val="none"/>
          <w14:textFill>
            <w14:solidFill>
              <w14:schemeClr w14:val="tx1"/>
            </w14:solidFill>
          </w14:textFill>
        </w:rPr>
        <w:t>分，得分率为</w:t>
      </w:r>
      <w:r>
        <w:rPr>
          <w:rFonts w:hint="eastAsia"/>
          <w:color w:val="000000" w:themeColor="text1"/>
          <w:szCs w:val="28"/>
          <w:highlight w:val="none"/>
          <w:lang w:val="en-US" w:eastAsia="zh-CN"/>
          <w14:textFill>
            <w14:solidFill>
              <w14:schemeClr w14:val="tx1"/>
            </w14:solidFill>
          </w14:textFill>
        </w:rPr>
        <w:t>100</w:t>
      </w:r>
      <w:r>
        <w:rPr>
          <w:rFonts w:hint="eastAsia"/>
          <w:color w:val="000000" w:themeColor="text1"/>
          <w:szCs w:val="28"/>
          <w:highlight w:val="none"/>
          <w14:textFill>
            <w14:solidFill>
              <w14:schemeClr w14:val="tx1"/>
            </w14:solidFill>
          </w14:textFill>
        </w:rPr>
        <w:t>%。</w:t>
      </w:r>
    </w:p>
    <w:p>
      <w:pPr>
        <w:pStyle w:val="5"/>
        <w:ind w:firstLine="562"/>
        <w:rPr>
          <w:rFonts w:hint="default" w:eastAsia="仿宋_GB2312"/>
          <w:highlight w:val="none"/>
          <w:lang w:val="en-US" w:eastAsia="zh-CN"/>
        </w:rPr>
      </w:pPr>
      <w:r>
        <w:rPr>
          <w:highlight w:val="none"/>
        </w:rPr>
        <w:t>2</w:t>
      </w:r>
      <w:r>
        <w:rPr>
          <w:rFonts w:hint="eastAsia"/>
          <w:highlight w:val="none"/>
          <w:lang w:eastAsia="zh-CN"/>
        </w:rPr>
        <w:t>.</w:t>
      </w:r>
      <w:r>
        <w:rPr>
          <w:highlight w:val="none"/>
        </w:rPr>
        <w:t>部门管理</w:t>
      </w:r>
      <w:r>
        <w:rPr>
          <w:rFonts w:hint="eastAsia"/>
          <w:highlight w:val="none"/>
          <w:lang w:val="en-US" w:eastAsia="zh-CN"/>
        </w:rPr>
        <w:t>目标完成情况分析</w:t>
      </w:r>
    </w:p>
    <w:p>
      <w:pPr>
        <w:rPr>
          <w:rFonts w:hint="eastAsia"/>
          <w:highlight w:val="none"/>
          <w:lang w:val="en-US" w:eastAsia="zh-CN"/>
        </w:rPr>
      </w:pPr>
      <w:r>
        <w:rPr>
          <w:rFonts w:hint="eastAsia"/>
          <w:highlight w:val="none"/>
        </w:rPr>
        <w:t>部门管理指标包括资金投入、财务管理、采购管理、资产管理、人员管理、重点工作管理六个二级指标，下设10个三级指标。</w:t>
      </w:r>
      <w:r>
        <w:rPr>
          <w:rFonts w:hint="eastAsia"/>
          <w:color w:val="000000" w:themeColor="text1"/>
          <w:szCs w:val="28"/>
          <w:highlight w:val="none"/>
          <w14:textFill>
            <w14:solidFill>
              <w14:schemeClr w14:val="tx1"/>
            </w14:solidFill>
          </w14:textFill>
        </w:rPr>
        <w:t>该指标分值</w:t>
      </w:r>
      <w:r>
        <w:rPr>
          <w:rFonts w:hint="eastAsia"/>
          <w:highlight w:val="none"/>
          <w:lang w:val="en-US" w:eastAsia="zh-CN"/>
        </w:rPr>
        <w:t>20</w:t>
      </w:r>
      <w:r>
        <w:rPr>
          <w:rFonts w:hint="eastAsia"/>
          <w:highlight w:val="none"/>
        </w:rPr>
        <w:t>分，自评</w:t>
      </w:r>
      <w:r>
        <w:rPr>
          <w:highlight w:val="none"/>
        </w:rPr>
        <w:t>得</w:t>
      </w:r>
      <w:r>
        <w:rPr>
          <w:rFonts w:hint="eastAsia"/>
          <w:highlight w:val="none"/>
        </w:rPr>
        <w:t>分</w:t>
      </w:r>
      <w:r>
        <w:rPr>
          <w:rFonts w:hint="eastAsia"/>
          <w:highlight w:val="none"/>
          <w:lang w:val="en-US" w:eastAsia="zh-CN"/>
        </w:rPr>
        <w:t>19.52</w:t>
      </w:r>
      <w:r>
        <w:rPr>
          <w:rFonts w:hint="eastAsia"/>
          <w:highlight w:val="none"/>
        </w:rPr>
        <w:t>分，得分率</w:t>
      </w:r>
      <w:r>
        <w:rPr>
          <w:rFonts w:hint="eastAsia"/>
          <w:highlight w:val="none"/>
          <w:lang w:val="en-US" w:eastAsia="zh-CN"/>
        </w:rPr>
        <w:t>97.60</w:t>
      </w:r>
      <w:r>
        <w:rPr>
          <w:rFonts w:hint="eastAsia"/>
          <w:highlight w:val="none"/>
        </w:rPr>
        <w:t>%。</w:t>
      </w:r>
      <w:r>
        <w:rPr>
          <w:rFonts w:hint="eastAsia"/>
          <w:highlight w:val="none"/>
          <w:lang w:val="en-US" w:eastAsia="zh-CN"/>
        </w:rPr>
        <w:t>具体如下表：</w:t>
      </w:r>
    </w:p>
    <w:tbl>
      <w:tblPr>
        <w:tblStyle w:val="20"/>
        <w:tblW w:w="87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823"/>
        <w:gridCol w:w="1530"/>
        <w:gridCol w:w="1418"/>
        <w:gridCol w:w="198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keepNext w:val="0"/>
              <w:keepLines w:val="0"/>
              <w:widowControl/>
              <w:suppressLineNumbers w:val="0"/>
              <w:ind w:firstLine="482" w:firstLineChars="20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1530" w:type="dxa"/>
            <w:shd w:val="clear" w:color="auto" w:fill="BDD6EE"/>
            <w:vAlign w:val="center"/>
          </w:tcPr>
          <w:p>
            <w:pPr>
              <w:keepNext w:val="0"/>
              <w:keepLines w:val="0"/>
              <w:widowControl/>
              <w:suppressLineNumbers w:val="0"/>
              <w:ind w:firstLine="482" w:firstLineChars="20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分值</w:t>
            </w:r>
          </w:p>
        </w:tc>
        <w:tc>
          <w:tcPr>
            <w:tcW w:w="1418" w:type="dxa"/>
            <w:shd w:val="clear" w:color="auto" w:fill="BDD6EE"/>
            <w:vAlign w:val="center"/>
          </w:tcPr>
          <w:p>
            <w:pPr>
              <w:keepNext w:val="0"/>
              <w:keepLines w:val="0"/>
              <w:widowControl/>
              <w:suppressLineNumbers w:val="0"/>
              <w:ind w:left="0" w:leftChars="0" w:firstLine="0" w:firstLineChars="0"/>
              <w:jc w:val="both"/>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自评得分</w:t>
            </w:r>
          </w:p>
        </w:tc>
        <w:tc>
          <w:tcPr>
            <w:tcW w:w="1984" w:type="dxa"/>
            <w:shd w:val="clear" w:color="auto" w:fill="BDD6EE"/>
            <w:vAlign w:val="center"/>
          </w:tcPr>
          <w:p>
            <w:pPr>
              <w:keepNext w:val="0"/>
              <w:keepLines w:val="0"/>
              <w:widowControl/>
              <w:suppressLineNumbers w:val="0"/>
              <w:ind w:firstLine="482" w:firstLineChars="20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资金投入</w:t>
            </w:r>
          </w:p>
        </w:tc>
        <w:tc>
          <w:tcPr>
            <w:tcW w:w="1530"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8</w:t>
            </w:r>
          </w:p>
        </w:tc>
        <w:tc>
          <w:tcPr>
            <w:tcW w:w="1418"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7.52</w:t>
            </w:r>
          </w:p>
        </w:tc>
        <w:tc>
          <w:tcPr>
            <w:tcW w:w="1984"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财务管理</w:t>
            </w:r>
          </w:p>
        </w:tc>
        <w:tc>
          <w:tcPr>
            <w:tcW w:w="1530"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4</w:t>
            </w:r>
          </w:p>
        </w:tc>
        <w:tc>
          <w:tcPr>
            <w:tcW w:w="1418"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w:t>
            </w:r>
          </w:p>
        </w:tc>
        <w:tc>
          <w:tcPr>
            <w:tcW w:w="1984"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采购管理</w:t>
            </w:r>
          </w:p>
        </w:tc>
        <w:tc>
          <w:tcPr>
            <w:tcW w:w="1530"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2</w:t>
            </w:r>
          </w:p>
        </w:tc>
        <w:tc>
          <w:tcPr>
            <w:tcW w:w="1418"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2</w:t>
            </w:r>
          </w:p>
        </w:tc>
        <w:tc>
          <w:tcPr>
            <w:tcW w:w="1984"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资产管理</w:t>
            </w:r>
          </w:p>
        </w:tc>
        <w:tc>
          <w:tcPr>
            <w:tcW w:w="1530"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2</w:t>
            </w:r>
          </w:p>
        </w:tc>
        <w:tc>
          <w:tcPr>
            <w:tcW w:w="1418"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w:t>
            </w:r>
          </w:p>
        </w:tc>
        <w:tc>
          <w:tcPr>
            <w:tcW w:w="1984"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人员管理</w:t>
            </w:r>
          </w:p>
        </w:tc>
        <w:tc>
          <w:tcPr>
            <w:tcW w:w="1530"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2</w:t>
            </w:r>
          </w:p>
        </w:tc>
        <w:tc>
          <w:tcPr>
            <w:tcW w:w="1418"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2</w:t>
            </w:r>
          </w:p>
        </w:tc>
        <w:tc>
          <w:tcPr>
            <w:tcW w:w="1984"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重点工作管理</w:t>
            </w:r>
          </w:p>
        </w:tc>
        <w:tc>
          <w:tcPr>
            <w:tcW w:w="1530"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2</w:t>
            </w:r>
          </w:p>
        </w:tc>
        <w:tc>
          <w:tcPr>
            <w:tcW w:w="1418"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w:t>
            </w:r>
          </w:p>
        </w:tc>
        <w:tc>
          <w:tcPr>
            <w:tcW w:w="1984"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keepNext w:val="0"/>
              <w:keepLines w:val="0"/>
              <w:widowControl/>
              <w:suppressLineNumbers w:val="0"/>
              <w:ind w:firstLine="482" w:firstLineChars="200"/>
              <w:jc w:val="center"/>
              <w:textAlignment w:val="center"/>
              <w:rPr>
                <w:rFonts w:hAnsi="宋体" w:cs="宋体"/>
                <w:b/>
                <w:color w:val="000000"/>
                <w:kern w:val="0"/>
                <w:sz w:val="24"/>
                <w:szCs w:val="28"/>
                <w:highlight w:val="none"/>
              </w:rPr>
            </w:pPr>
            <w:r>
              <w:rPr>
                <w:rFonts w:hint="eastAsia" w:ascii="仿宋_GB2312" w:hAnsi="宋体" w:eastAsia="仿宋_GB2312" w:cs="仿宋_GB2312"/>
                <w:b/>
                <w:bCs/>
                <w:i w:val="0"/>
                <w:iCs w:val="0"/>
                <w:color w:val="000000"/>
                <w:kern w:val="0"/>
                <w:sz w:val="24"/>
                <w:szCs w:val="24"/>
                <w:u w:val="none"/>
                <w:lang w:val="en-US" w:eastAsia="zh-CN" w:bidi="ar"/>
              </w:rPr>
              <w:t>合计</w:t>
            </w:r>
          </w:p>
        </w:tc>
        <w:tc>
          <w:tcPr>
            <w:tcW w:w="1530" w:type="dxa"/>
            <w:shd w:val="clear" w:color="auto" w:fill="BDD6EE"/>
            <w:vAlign w:val="center"/>
          </w:tcPr>
          <w:p>
            <w:pPr>
              <w:keepNext w:val="0"/>
              <w:keepLines w:val="0"/>
              <w:widowControl/>
              <w:suppressLineNumbers w:val="0"/>
              <w:ind w:firstLine="442" w:firstLineChars="200"/>
              <w:jc w:val="center"/>
              <w:textAlignment w:val="center"/>
              <w:rPr>
                <w:rFonts w:hint="default" w:ascii="宋体" w:hAnsi="宋体" w:eastAsia="宋体" w:cs="宋体"/>
                <w:b/>
                <w:color w:val="000000"/>
                <w:kern w:val="0"/>
                <w:sz w:val="22"/>
                <w:szCs w:val="22"/>
                <w:highlight w:val="none"/>
                <w:lang w:val="en-US"/>
              </w:rPr>
            </w:pPr>
            <w:r>
              <w:rPr>
                <w:rFonts w:hint="eastAsia" w:ascii="宋体" w:hAnsi="宋体" w:eastAsia="宋体" w:cs="宋体"/>
                <w:b/>
                <w:bCs/>
                <w:i w:val="0"/>
                <w:iCs w:val="0"/>
                <w:color w:val="000000"/>
                <w:kern w:val="0"/>
                <w:sz w:val="22"/>
                <w:szCs w:val="22"/>
                <w:highlight w:val="none"/>
                <w:u w:val="none"/>
                <w:lang w:val="en-US" w:eastAsia="zh-CN" w:bidi="ar"/>
              </w:rPr>
              <w:t>20</w:t>
            </w:r>
          </w:p>
        </w:tc>
        <w:tc>
          <w:tcPr>
            <w:tcW w:w="1418" w:type="dxa"/>
            <w:shd w:val="clear" w:color="auto" w:fill="BDD6EE"/>
            <w:vAlign w:val="center"/>
          </w:tcPr>
          <w:p>
            <w:pPr>
              <w:keepNext w:val="0"/>
              <w:keepLines w:val="0"/>
              <w:widowControl/>
              <w:suppressLineNumbers w:val="0"/>
              <w:ind w:firstLine="442" w:firstLineChars="20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19.52</w:t>
            </w:r>
          </w:p>
        </w:tc>
        <w:tc>
          <w:tcPr>
            <w:tcW w:w="1984"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97.60%</w:t>
            </w:r>
          </w:p>
        </w:tc>
      </w:tr>
    </w:tbl>
    <w:p>
      <w:pPr>
        <w:ind w:firstLine="562"/>
        <w:rPr>
          <w:rFonts w:hAnsi="宋体"/>
          <w:szCs w:val="28"/>
          <w:highlight w:val="none"/>
        </w:rPr>
      </w:pPr>
      <w:r>
        <w:rPr>
          <w:rFonts w:hint="eastAsia" w:hAnsi="宋体"/>
          <w:b/>
          <w:bCs/>
          <w:szCs w:val="28"/>
          <w:highlight w:val="none"/>
        </w:rPr>
        <w:t>基本支出预算执行率</w:t>
      </w:r>
      <w:r>
        <w:rPr>
          <w:rFonts w:hint="eastAsia" w:hAnsi="宋体"/>
          <w:b/>
          <w:bCs/>
          <w:szCs w:val="28"/>
          <w:highlight w:val="none"/>
          <w:lang w:eastAsia="zh-CN"/>
        </w:rPr>
        <w:t>：</w:t>
      </w:r>
      <w:r>
        <w:rPr>
          <w:rFonts w:hint="eastAsia" w:hAnsi="宋体"/>
          <w:szCs w:val="28"/>
          <w:highlight w:val="none"/>
          <w:lang w:eastAsia="zh-CN"/>
        </w:rPr>
        <w:t>202</w:t>
      </w:r>
      <w:r>
        <w:rPr>
          <w:rFonts w:hint="eastAsia" w:hAnsi="宋体"/>
          <w:szCs w:val="28"/>
          <w:highlight w:val="none"/>
          <w:lang w:val="en-US" w:eastAsia="zh-CN"/>
        </w:rPr>
        <w:t>2</w:t>
      </w:r>
      <w:r>
        <w:rPr>
          <w:rFonts w:hint="eastAsia" w:hAnsi="宋体"/>
          <w:szCs w:val="28"/>
          <w:highlight w:val="none"/>
        </w:rPr>
        <w:t>年度我院基本支出全年预算数</w:t>
      </w:r>
      <w:r>
        <w:rPr>
          <w:rFonts w:hint="eastAsia" w:hAnsi="宋体"/>
          <w:szCs w:val="28"/>
          <w:highlight w:val="none"/>
          <w:lang w:val="en-US" w:eastAsia="zh-CN"/>
        </w:rPr>
        <w:t>2,255.97</w:t>
      </w:r>
      <w:r>
        <w:rPr>
          <w:rFonts w:hint="eastAsia" w:hAnsi="宋体"/>
          <w:szCs w:val="28"/>
          <w:highlight w:val="none"/>
        </w:rPr>
        <w:t>万元</w:t>
      </w:r>
      <w:r>
        <w:rPr>
          <w:rFonts w:hint="eastAsia" w:hAnsi="宋体"/>
          <w:szCs w:val="28"/>
          <w:highlight w:val="none"/>
          <w:lang w:eastAsia="zh-CN"/>
        </w:rPr>
        <w:t>，</w:t>
      </w:r>
      <w:r>
        <w:rPr>
          <w:rFonts w:hint="eastAsia" w:hAnsi="宋体"/>
          <w:szCs w:val="28"/>
          <w:highlight w:val="none"/>
        </w:rPr>
        <w:t>实际支出数</w:t>
      </w:r>
      <w:r>
        <w:rPr>
          <w:rFonts w:hint="eastAsia" w:hAnsi="宋体"/>
          <w:szCs w:val="28"/>
          <w:highlight w:val="none"/>
          <w:lang w:val="en-US" w:eastAsia="zh-CN"/>
        </w:rPr>
        <w:t>为2,255.97</w:t>
      </w:r>
      <w:r>
        <w:rPr>
          <w:rFonts w:hint="eastAsia" w:hAnsi="宋体"/>
          <w:szCs w:val="28"/>
          <w:highlight w:val="none"/>
        </w:rPr>
        <w:t>万元，基本支出预算执行率为</w:t>
      </w:r>
      <w:r>
        <w:rPr>
          <w:rFonts w:hint="eastAsia" w:hAnsi="宋体"/>
          <w:szCs w:val="28"/>
          <w:highlight w:val="none"/>
          <w:lang w:val="en-US" w:eastAsia="zh-CN"/>
        </w:rPr>
        <w:t>100</w:t>
      </w:r>
      <w:r>
        <w:rPr>
          <w:rFonts w:hint="eastAsia" w:hAnsi="宋体"/>
          <w:szCs w:val="28"/>
          <w:highlight w:val="none"/>
        </w:rPr>
        <w:t>%</w:t>
      </w:r>
      <w:r>
        <w:rPr>
          <w:rFonts w:hint="eastAsia" w:hAnsi="宋体"/>
          <w:szCs w:val="28"/>
          <w:highlight w:val="none"/>
          <w:lang w:val="en-US"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分，自评得分为</w:t>
      </w:r>
      <w:r>
        <w:rPr>
          <w:rFonts w:hint="eastAsia" w:hAnsi="宋体"/>
          <w:szCs w:val="28"/>
          <w:highlight w:val="none"/>
          <w:lang w:val="en-US" w:eastAsia="zh-CN"/>
        </w:rPr>
        <w:t>2</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ind w:firstLine="562"/>
        <w:rPr>
          <w:rFonts w:hAnsi="宋体"/>
          <w:szCs w:val="28"/>
          <w:highlight w:val="none"/>
        </w:rPr>
      </w:pPr>
      <w:r>
        <w:rPr>
          <w:rFonts w:hint="eastAsia" w:hAnsi="宋体"/>
          <w:b/>
          <w:bCs/>
          <w:szCs w:val="28"/>
          <w:highlight w:val="none"/>
        </w:rPr>
        <w:t>项目支出预算执行率：</w:t>
      </w:r>
      <w:r>
        <w:rPr>
          <w:rFonts w:hint="eastAsia" w:hAnsi="宋体"/>
          <w:szCs w:val="28"/>
          <w:highlight w:val="none"/>
          <w:lang w:eastAsia="zh-CN"/>
        </w:rPr>
        <w:t>202</w:t>
      </w:r>
      <w:r>
        <w:rPr>
          <w:rFonts w:hint="eastAsia" w:hAnsi="宋体"/>
          <w:szCs w:val="28"/>
          <w:highlight w:val="none"/>
          <w:lang w:val="en-US" w:eastAsia="zh-CN"/>
        </w:rPr>
        <w:t>2</w:t>
      </w:r>
      <w:r>
        <w:rPr>
          <w:rFonts w:hint="eastAsia" w:hAnsi="宋体"/>
          <w:szCs w:val="28"/>
          <w:highlight w:val="none"/>
        </w:rPr>
        <w:t>年度项目支出全年预算数</w:t>
      </w:r>
      <w:r>
        <w:rPr>
          <w:rFonts w:hint="eastAsia" w:hAnsi="宋体"/>
          <w:szCs w:val="28"/>
          <w:highlight w:val="none"/>
          <w:lang w:eastAsia="zh-CN"/>
        </w:rPr>
        <w:t>为</w:t>
      </w:r>
      <w:r>
        <w:rPr>
          <w:rFonts w:hint="eastAsia" w:hAnsi="宋体"/>
          <w:szCs w:val="28"/>
          <w:highlight w:val="none"/>
          <w:lang w:val="en-US" w:eastAsia="zh-CN"/>
        </w:rPr>
        <w:t>1,494.00</w:t>
      </w:r>
      <w:r>
        <w:rPr>
          <w:rFonts w:hint="eastAsia" w:hAnsi="宋体"/>
          <w:szCs w:val="28"/>
          <w:highlight w:val="none"/>
        </w:rPr>
        <w:t>万元，</w:t>
      </w:r>
      <w:r>
        <w:rPr>
          <w:rFonts w:hint="eastAsia" w:hAnsi="宋体"/>
          <w:szCs w:val="28"/>
          <w:highlight w:val="none"/>
          <w:lang w:val="en-US" w:eastAsia="zh-CN"/>
        </w:rPr>
        <w:t>实际支出数1,494.00</w:t>
      </w:r>
      <w:r>
        <w:rPr>
          <w:rFonts w:hint="eastAsia" w:hAnsi="宋体"/>
          <w:szCs w:val="28"/>
          <w:highlight w:val="none"/>
        </w:rPr>
        <w:t>元</w:t>
      </w:r>
      <w:r>
        <w:rPr>
          <w:rFonts w:hint="eastAsia" w:hAnsi="宋体"/>
          <w:szCs w:val="28"/>
          <w:highlight w:val="none"/>
          <w:lang w:eastAsia="zh-CN"/>
        </w:rPr>
        <w:t>。</w:t>
      </w:r>
      <w:r>
        <w:rPr>
          <w:rFonts w:hint="eastAsia" w:hAnsi="宋体"/>
          <w:szCs w:val="28"/>
          <w:highlight w:val="none"/>
        </w:rPr>
        <w:t>项目支出预算执行率为</w:t>
      </w:r>
      <w:r>
        <w:rPr>
          <w:rFonts w:hint="eastAsia" w:hAnsi="宋体"/>
          <w:szCs w:val="28"/>
          <w:highlight w:val="none"/>
          <w:lang w:val="en-US" w:eastAsia="zh-CN"/>
        </w:rPr>
        <w:t>100</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分，自评得分为</w:t>
      </w:r>
      <w:r>
        <w:rPr>
          <w:rFonts w:hint="eastAsia" w:hAnsi="宋体"/>
          <w:szCs w:val="28"/>
          <w:highlight w:val="none"/>
          <w:lang w:val="en-US" w:eastAsia="zh-CN"/>
        </w:rPr>
        <w:t>2</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keepNext w:val="0"/>
        <w:keepLines w:val="0"/>
        <w:pageBreakBefore w:val="0"/>
        <w:kinsoku/>
        <w:wordWrap/>
        <w:overflowPunct/>
        <w:topLinePunct w:val="0"/>
        <w:autoSpaceDE/>
        <w:autoSpaceDN/>
        <w:bidi w:val="0"/>
        <w:adjustRightInd/>
        <w:spacing w:line="540" w:lineRule="exact"/>
        <w:ind w:firstLine="562" w:firstLineChars="200"/>
        <w:rPr>
          <w:rFonts w:hint="default" w:ascii="Times New Roman" w:hAnsi="Times New Roman" w:eastAsia="仿宋_GB2312" w:cs="Times New Roman"/>
          <w:color w:val="000000"/>
          <w:spacing w:val="0"/>
          <w:w w:val="100"/>
          <w:kern w:val="0"/>
          <w:sz w:val="32"/>
          <w:szCs w:val="20"/>
          <w:highlight w:val="none"/>
          <w:u w:val="none" w:color="000000"/>
          <w:vertAlign w:val="baseline"/>
        </w:rPr>
      </w:pPr>
      <w:r>
        <w:rPr>
          <w:rFonts w:hint="eastAsia" w:hAnsi="宋体"/>
          <w:b/>
          <w:bCs/>
          <w:szCs w:val="28"/>
          <w:highlight w:val="none"/>
        </w:rPr>
        <w:t>“三公经费”控制率：</w:t>
      </w:r>
      <w:r>
        <w:rPr>
          <w:rFonts w:hint="default" w:ascii="Times New Roman" w:hAnsi="Times New Roman" w:eastAsia="仿宋_GB2312" w:cs="Times New Roman"/>
          <w:color w:val="000000"/>
          <w:spacing w:val="0"/>
          <w:w w:val="100"/>
          <w:kern w:val="0"/>
          <w:sz w:val="28"/>
          <w:szCs w:val="18"/>
          <w:highlight w:val="none"/>
          <w:u w:val="none" w:color="000000"/>
          <w:vertAlign w:val="baseline"/>
        </w:rPr>
        <w:t>202</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2</w:t>
      </w:r>
      <w:r>
        <w:rPr>
          <w:rFonts w:hint="default" w:ascii="Times New Roman" w:hAnsi="Times New Roman" w:eastAsia="仿宋_GB2312" w:cs="Times New Roman"/>
          <w:color w:val="000000"/>
          <w:spacing w:val="0"/>
          <w:w w:val="100"/>
          <w:kern w:val="0"/>
          <w:sz w:val="28"/>
          <w:szCs w:val="18"/>
          <w:highlight w:val="none"/>
          <w:u w:val="none" w:color="000000"/>
          <w:vertAlign w:val="baseline"/>
        </w:rPr>
        <w:t>年度我院按照国家、省市区有关厉行节约的规定，对“三公”经费进行控制，“三公经费”预算数</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94.68</w:t>
      </w:r>
      <w:r>
        <w:rPr>
          <w:rFonts w:hint="default" w:ascii="Times New Roman" w:hAnsi="Times New Roman" w:eastAsia="仿宋_GB2312" w:cs="Times New Roman"/>
          <w:color w:val="000000"/>
          <w:spacing w:val="0"/>
          <w:w w:val="100"/>
          <w:kern w:val="0"/>
          <w:sz w:val="28"/>
          <w:szCs w:val="18"/>
          <w:highlight w:val="none"/>
          <w:u w:val="none" w:color="000000"/>
          <w:vertAlign w:val="baseline"/>
        </w:rPr>
        <w:t>万元，实际支出数</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72.19</w:t>
      </w:r>
      <w:r>
        <w:rPr>
          <w:rFonts w:hint="default" w:ascii="Times New Roman" w:hAnsi="Times New Roman" w:eastAsia="仿宋_GB2312" w:cs="Times New Roman"/>
          <w:color w:val="000000"/>
          <w:spacing w:val="0"/>
          <w:w w:val="100"/>
          <w:kern w:val="0"/>
          <w:sz w:val="28"/>
          <w:szCs w:val="18"/>
          <w:highlight w:val="none"/>
          <w:u w:val="none" w:color="000000"/>
          <w:vertAlign w:val="baseline"/>
        </w:rPr>
        <w:t>万元。“三公经费”控制率为</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76.25</w:t>
      </w:r>
      <w:r>
        <w:rPr>
          <w:rFonts w:hint="eastAsia" w:hAnsi="宋体"/>
          <w:szCs w:val="28"/>
          <w:highlight w:val="none"/>
        </w:rPr>
        <w:t>%</w:t>
      </w:r>
      <w:r>
        <w:rPr>
          <w:rFonts w:hint="default" w:ascii="Times New Roman" w:hAnsi="Times New Roman" w:eastAsia="仿宋_GB2312" w:cs="Times New Roman"/>
          <w:color w:val="000000"/>
          <w:spacing w:val="0"/>
          <w:w w:val="100"/>
          <w:kern w:val="0"/>
          <w:sz w:val="28"/>
          <w:szCs w:val="18"/>
          <w:highlight w:val="none"/>
          <w:u w:val="none" w:color="000000"/>
          <w:vertAlign w:val="baseline"/>
        </w:rPr>
        <w:t>，低于控制率100</w:t>
      </w:r>
      <w:r>
        <w:rPr>
          <w:rFonts w:hint="eastAsia" w:hAnsi="宋体"/>
          <w:szCs w:val="28"/>
          <w:highlight w:val="none"/>
        </w:rPr>
        <w:t>%</w:t>
      </w:r>
      <w:r>
        <w:rPr>
          <w:rFonts w:hint="default" w:ascii="Times New Roman" w:hAnsi="Times New Roman" w:eastAsia="仿宋_GB2312" w:cs="Times New Roman"/>
          <w:color w:val="000000"/>
          <w:spacing w:val="0"/>
          <w:w w:val="100"/>
          <w:kern w:val="0"/>
          <w:sz w:val="28"/>
          <w:szCs w:val="18"/>
          <w:highlight w:val="none"/>
          <w:u w:val="none" w:color="000000"/>
          <w:vertAlign w:val="baseline"/>
        </w:rPr>
        <w:t>，该指标分值2分，自评得分</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1.52</w:t>
      </w:r>
      <w:r>
        <w:rPr>
          <w:rFonts w:hint="default" w:ascii="Times New Roman" w:hAnsi="Times New Roman" w:eastAsia="仿宋_GB2312" w:cs="Times New Roman"/>
          <w:color w:val="000000"/>
          <w:spacing w:val="0"/>
          <w:w w:val="100"/>
          <w:kern w:val="0"/>
          <w:sz w:val="28"/>
          <w:szCs w:val="18"/>
          <w:highlight w:val="none"/>
          <w:u w:val="none" w:color="000000"/>
          <w:vertAlign w:val="baseline"/>
        </w:rPr>
        <w:t>分，得分率</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76</w:t>
      </w:r>
      <w:r>
        <w:rPr>
          <w:rFonts w:hint="eastAsia" w:hAnsi="宋体"/>
          <w:szCs w:val="28"/>
          <w:highlight w:val="none"/>
        </w:rPr>
        <w:t>%</w:t>
      </w:r>
      <w:r>
        <w:rPr>
          <w:rFonts w:hint="default" w:ascii="Times New Roman" w:hAnsi="Times New Roman" w:eastAsia="仿宋_GB2312" w:cs="Times New Roman"/>
          <w:color w:val="000000"/>
          <w:spacing w:val="0"/>
          <w:w w:val="100"/>
          <w:kern w:val="0"/>
          <w:sz w:val="28"/>
          <w:szCs w:val="18"/>
          <w:highlight w:val="none"/>
          <w:u w:val="none" w:color="000000"/>
          <w:vertAlign w:val="baseline"/>
        </w:rPr>
        <w:t>。</w:t>
      </w:r>
    </w:p>
    <w:p>
      <w:pPr>
        <w:keepNext w:val="0"/>
        <w:keepLines w:val="0"/>
        <w:pageBreakBefore w:val="0"/>
        <w:kinsoku/>
        <w:wordWrap/>
        <w:overflowPunct/>
        <w:topLinePunct w:val="0"/>
        <w:autoSpaceDE/>
        <w:autoSpaceDN/>
        <w:bidi w:val="0"/>
        <w:adjustRightInd/>
        <w:spacing w:line="540" w:lineRule="exact"/>
        <w:ind w:firstLine="562" w:firstLineChars="200"/>
        <w:rPr>
          <w:rFonts w:hint="eastAsia" w:hAnsi="宋体" w:eastAsia="仿宋_GB2312"/>
          <w:b/>
          <w:bCs/>
          <w:color w:val="auto"/>
          <w:szCs w:val="28"/>
          <w:highlight w:val="none"/>
          <w:lang w:val="en-US" w:eastAsia="zh-CN"/>
        </w:rPr>
      </w:pPr>
      <w:r>
        <w:rPr>
          <w:rFonts w:hint="eastAsia" w:hAnsi="宋体"/>
          <w:b/>
          <w:bCs/>
          <w:color w:val="auto"/>
          <w:szCs w:val="28"/>
          <w:highlight w:val="none"/>
        </w:rPr>
        <w:t>结转结余变动率</w:t>
      </w:r>
      <w:r>
        <w:rPr>
          <w:rFonts w:hint="eastAsia" w:hAnsi="宋体"/>
          <w:b/>
          <w:bCs/>
          <w:color w:val="auto"/>
          <w:szCs w:val="28"/>
          <w:highlight w:val="none"/>
          <w:lang w:val="en-US" w:eastAsia="zh-CN"/>
        </w:rPr>
        <w:t>:</w:t>
      </w:r>
      <w:r>
        <w:rPr>
          <w:rFonts w:hint="eastAsia" w:hAnsi="宋体"/>
          <w:b w:val="0"/>
          <w:bCs w:val="0"/>
          <w:color w:val="auto"/>
          <w:szCs w:val="28"/>
          <w:highlight w:val="none"/>
        </w:rPr>
        <w:t>20</w:t>
      </w:r>
      <w:r>
        <w:rPr>
          <w:rFonts w:hint="eastAsia" w:hAnsi="宋体"/>
          <w:b w:val="0"/>
          <w:bCs w:val="0"/>
          <w:color w:val="auto"/>
          <w:szCs w:val="28"/>
          <w:highlight w:val="none"/>
          <w:lang w:val="en-US" w:eastAsia="zh-CN"/>
        </w:rPr>
        <w:t>21</w:t>
      </w:r>
      <w:r>
        <w:rPr>
          <w:rFonts w:hint="eastAsia" w:hAnsi="宋体"/>
          <w:b w:val="0"/>
          <w:bCs w:val="0"/>
          <w:color w:val="auto"/>
          <w:szCs w:val="28"/>
          <w:highlight w:val="none"/>
        </w:rPr>
        <w:t>年度结转结余资金</w:t>
      </w:r>
      <w:r>
        <w:rPr>
          <w:rFonts w:hint="eastAsia" w:hAnsi="宋体"/>
          <w:b w:val="0"/>
          <w:bCs w:val="0"/>
          <w:color w:val="auto"/>
          <w:szCs w:val="28"/>
          <w:highlight w:val="none"/>
          <w:lang w:val="en-US" w:eastAsia="zh-CN"/>
        </w:rPr>
        <w:t>0.00</w:t>
      </w:r>
      <w:r>
        <w:rPr>
          <w:rFonts w:hint="eastAsia" w:hAnsi="宋体"/>
          <w:b w:val="0"/>
          <w:bCs w:val="0"/>
          <w:color w:val="auto"/>
          <w:szCs w:val="28"/>
          <w:highlight w:val="none"/>
        </w:rPr>
        <w:t>万元，202</w:t>
      </w:r>
      <w:r>
        <w:rPr>
          <w:rFonts w:hint="eastAsia" w:hAnsi="宋体"/>
          <w:b w:val="0"/>
          <w:bCs w:val="0"/>
          <w:color w:val="auto"/>
          <w:szCs w:val="28"/>
          <w:highlight w:val="none"/>
          <w:lang w:val="en-US" w:eastAsia="zh-CN"/>
        </w:rPr>
        <w:t>2</w:t>
      </w:r>
      <w:r>
        <w:rPr>
          <w:rFonts w:hint="eastAsia" w:hAnsi="宋体"/>
          <w:b w:val="0"/>
          <w:bCs w:val="0"/>
          <w:color w:val="auto"/>
          <w:szCs w:val="28"/>
          <w:highlight w:val="none"/>
        </w:rPr>
        <w:t>年度结转</w:t>
      </w:r>
      <w:r>
        <w:rPr>
          <w:rFonts w:hint="eastAsia" w:hAnsi="宋体"/>
          <w:b w:val="0"/>
          <w:bCs w:val="0"/>
          <w:color w:val="auto"/>
          <w:szCs w:val="28"/>
          <w:highlight w:val="none"/>
          <w:lang w:val="en-US" w:eastAsia="zh-CN"/>
        </w:rPr>
        <w:t>0.00万元</w:t>
      </w:r>
      <w:r>
        <w:rPr>
          <w:rFonts w:hint="eastAsia" w:hAnsi="宋体"/>
          <w:b w:val="0"/>
          <w:bCs w:val="0"/>
          <w:color w:val="auto"/>
          <w:szCs w:val="28"/>
          <w:highlight w:val="none"/>
        </w:rPr>
        <w:t>，202</w:t>
      </w:r>
      <w:r>
        <w:rPr>
          <w:rFonts w:hint="eastAsia" w:hAnsi="宋体"/>
          <w:b w:val="0"/>
          <w:bCs w:val="0"/>
          <w:color w:val="auto"/>
          <w:szCs w:val="28"/>
          <w:highlight w:val="none"/>
          <w:lang w:val="en-US" w:eastAsia="zh-CN"/>
        </w:rPr>
        <w:t>2</w:t>
      </w:r>
      <w:r>
        <w:rPr>
          <w:rFonts w:hint="eastAsia" w:hAnsi="宋体"/>
          <w:b w:val="0"/>
          <w:bCs w:val="0"/>
          <w:color w:val="auto"/>
          <w:szCs w:val="28"/>
          <w:highlight w:val="none"/>
        </w:rPr>
        <w:t>年财务管理制定了多个相关财务制度和资金管理办法，对资金开支有完备的审批流程和管控手续。大额资金均由党委会研究通过后使用。在预算执行、事项支出、会计核算以及重大事项支出程序等方面不存在不规范现象，无虚列项目支出，截留、挤占、挪用项目资金等情况。指标权重</w:t>
      </w:r>
      <w:r>
        <w:rPr>
          <w:rFonts w:hint="eastAsia" w:hAnsi="宋体"/>
          <w:b w:val="0"/>
          <w:bCs w:val="0"/>
          <w:color w:val="auto"/>
          <w:szCs w:val="28"/>
          <w:highlight w:val="none"/>
          <w:lang w:val="en-US" w:eastAsia="zh-CN"/>
        </w:rPr>
        <w:t>2</w:t>
      </w:r>
      <w:r>
        <w:rPr>
          <w:rFonts w:hint="eastAsia" w:hAnsi="宋体"/>
          <w:b w:val="0"/>
          <w:bCs w:val="0"/>
          <w:color w:val="auto"/>
          <w:szCs w:val="28"/>
          <w:highlight w:val="none"/>
        </w:rPr>
        <w:t>分，自评得分</w:t>
      </w:r>
      <w:r>
        <w:rPr>
          <w:rFonts w:hint="eastAsia" w:hAnsi="宋体"/>
          <w:b w:val="0"/>
          <w:bCs w:val="0"/>
          <w:color w:val="auto"/>
          <w:szCs w:val="28"/>
          <w:highlight w:val="none"/>
          <w:lang w:val="en-US" w:eastAsia="zh-CN"/>
        </w:rPr>
        <w:t>2</w:t>
      </w:r>
      <w:r>
        <w:rPr>
          <w:rFonts w:hint="eastAsia" w:hAnsi="宋体"/>
          <w:b w:val="0"/>
          <w:bCs w:val="0"/>
          <w:color w:val="auto"/>
          <w:szCs w:val="28"/>
          <w:highlight w:val="none"/>
        </w:rPr>
        <w:t>分，得分率为</w:t>
      </w:r>
      <w:r>
        <w:rPr>
          <w:rFonts w:hint="eastAsia" w:hAnsi="宋体"/>
          <w:b w:val="0"/>
          <w:bCs w:val="0"/>
          <w:color w:val="auto"/>
          <w:szCs w:val="28"/>
          <w:highlight w:val="none"/>
          <w:lang w:val="en-US" w:eastAsia="zh-CN"/>
        </w:rPr>
        <w:t>100</w:t>
      </w:r>
      <w:r>
        <w:rPr>
          <w:rFonts w:hint="eastAsia" w:hAnsi="宋体"/>
          <w:b w:val="0"/>
          <w:bCs w:val="0"/>
          <w:color w:val="auto"/>
          <w:szCs w:val="28"/>
          <w:highlight w:val="none"/>
        </w:rPr>
        <w:t>%</w:t>
      </w:r>
      <w:r>
        <w:rPr>
          <w:rFonts w:hint="eastAsia" w:hAnsi="宋体"/>
          <w:b w:val="0"/>
          <w:bCs w:val="0"/>
          <w:color w:val="auto"/>
          <w:szCs w:val="28"/>
          <w:highlight w:val="none"/>
          <w:lang w:eastAsia="zh-CN"/>
        </w:rPr>
        <w:t>。</w:t>
      </w:r>
    </w:p>
    <w:p>
      <w:pPr>
        <w:keepNext w:val="0"/>
        <w:keepLines w:val="0"/>
        <w:pageBreakBefore w:val="0"/>
        <w:kinsoku/>
        <w:wordWrap/>
        <w:overflowPunct/>
        <w:topLinePunct w:val="0"/>
        <w:autoSpaceDE/>
        <w:autoSpaceDN/>
        <w:bidi w:val="0"/>
        <w:adjustRightInd/>
        <w:spacing w:line="540" w:lineRule="exact"/>
        <w:ind w:firstLine="562" w:firstLineChars="200"/>
        <w:rPr>
          <w:rFonts w:hint="eastAsia" w:ascii="仿宋" w:hAnsi="仿宋" w:eastAsia="仿宋" w:cs="仿宋"/>
          <w:color w:val="000000"/>
          <w:spacing w:val="0"/>
          <w:w w:val="100"/>
          <w:kern w:val="0"/>
          <w:sz w:val="28"/>
          <w:szCs w:val="28"/>
          <w:highlight w:val="none"/>
          <w:u w:val="none" w:color="000000"/>
          <w:vertAlign w:val="baseline"/>
          <w:lang w:eastAsia="zh-CN"/>
        </w:rPr>
      </w:pPr>
      <w:r>
        <w:rPr>
          <w:rFonts w:hint="eastAsia" w:hAnsi="宋体"/>
          <w:b/>
          <w:bCs/>
          <w:szCs w:val="28"/>
          <w:highlight w:val="none"/>
        </w:rPr>
        <w:t>财务管理制度健全性：</w:t>
      </w:r>
      <w:r>
        <w:rPr>
          <w:rFonts w:hint="eastAsia" w:hAnsi="宋体"/>
          <w:b w:val="0"/>
          <w:bCs w:val="0"/>
          <w:szCs w:val="28"/>
          <w:highlight w:val="none"/>
          <w:lang w:val="en-US" w:eastAsia="zh-CN"/>
        </w:rPr>
        <w:t>我院所</w:t>
      </w:r>
      <w:r>
        <w:rPr>
          <w:rFonts w:hint="eastAsia" w:hAnsi="宋体"/>
          <w:b w:val="0"/>
          <w:bCs w:val="0"/>
          <w:szCs w:val="28"/>
          <w:highlight w:val="none"/>
          <w:lang w:eastAsia="zh-CN"/>
        </w:rPr>
        <w:t>制定了平凉市中级人民法院财务管理</w:t>
      </w:r>
      <w:r>
        <w:rPr>
          <w:rFonts w:hint="eastAsia" w:hAnsi="宋体"/>
          <w:b w:val="0"/>
          <w:bCs w:val="0"/>
          <w:szCs w:val="28"/>
          <w:highlight w:val="none"/>
          <w:lang w:val="en-US" w:eastAsia="zh-CN"/>
        </w:rPr>
        <w:t>制度办法</w:t>
      </w:r>
      <w:r>
        <w:rPr>
          <w:rFonts w:hint="eastAsia" w:ascii="仿宋" w:hAnsi="仿宋" w:eastAsia="仿宋" w:cs="仿宋"/>
          <w:color w:val="000000"/>
          <w:spacing w:val="0"/>
          <w:w w:val="100"/>
          <w:kern w:val="0"/>
          <w:sz w:val="28"/>
          <w:szCs w:val="28"/>
          <w:highlight w:val="none"/>
          <w:u w:val="none" w:color="000000"/>
          <w:vertAlign w:val="baseline"/>
          <w:lang w:eastAsia="zh-CN"/>
        </w:rPr>
        <w:t>该指标分值</w:t>
      </w:r>
      <w:r>
        <w:rPr>
          <w:rFonts w:hint="eastAsia" w:ascii="仿宋" w:hAnsi="仿宋" w:eastAsia="仿宋" w:cs="仿宋"/>
          <w:color w:val="000000"/>
          <w:spacing w:val="0"/>
          <w:w w:val="100"/>
          <w:kern w:val="0"/>
          <w:sz w:val="28"/>
          <w:szCs w:val="28"/>
          <w:highlight w:val="none"/>
          <w:u w:val="none" w:color="000000"/>
          <w:vertAlign w:val="baseline"/>
          <w:lang w:val="en-US" w:eastAsia="zh-CN"/>
        </w:rPr>
        <w:t>2</w:t>
      </w:r>
      <w:r>
        <w:rPr>
          <w:rFonts w:hint="eastAsia" w:ascii="仿宋" w:hAnsi="仿宋" w:eastAsia="仿宋" w:cs="仿宋"/>
          <w:color w:val="000000"/>
          <w:spacing w:val="0"/>
          <w:w w:val="100"/>
          <w:kern w:val="0"/>
          <w:sz w:val="28"/>
          <w:szCs w:val="28"/>
          <w:highlight w:val="none"/>
          <w:u w:val="none" w:color="000000"/>
          <w:vertAlign w:val="baseline"/>
          <w:lang w:eastAsia="zh-CN"/>
        </w:rPr>
        <w:t>分，自评得分为</w:t>
      </w:r>
      <w:r>
        <w:rPr>
          <w:rFonts w:hint="eastAsia" w:ascii="仿宋" w:hAnsi="仿宋" w:eastAsia="仿宋" w:cs="仿宋"/>
          <w:color w:val="000000"/>
          <w:spacing w:val="0"/>
          <w:w w:val="100"/>
          <w:kern w:val="0"/>
          <w:sz w:val="28"/>
          <w:szCs w:val="28"/>
          <w:highlight w:val="none"/>
          <w:u w:val="none" w:color="000000"/>
          <w:vertAlign w:val="baseline"/>
          <w:lang w:val="en-US" w:eastAsia="zh-CN"/>
        </w:rPr>
        <w:t>2</w:t>
      </w:r>
      <w:r>
        <w:rPr>
          <w:rFonts w:hint="eastAsia" w:ascii="仿宋" w:hAnsi="仿宋" w:eastAsia="仿宋" w:cs="仿宋"/>
          <w:color w:val="000000"/>
          <w:spacing w:val="0"/>
          <w:w w:val="100"/>
          <w:kern w:val="0"/>
          <w:sz w:val="28"/>
          <w:szCs w:val="28"/>
          <w:highlight w:val="none"/>
          <w:u w:val="none" w:color="000000"/>
          <w:vertAlign w:val="baseline"/>
          <w:lang w:eastAsia="zh-CN"/>
        </w:rPr>
        <w:t>分，得分率为100%。</w:t>
      </w:r>
    </w:p>
    <w:p>
      <w:pPr>
        <w:keepNext w:val="0"/>
        <w:keepLines w:val="0"/>
        <w:pageBreakBefore w:val="0"/>
        <w:kinsoku/>
        <w:wordWrap/>
        <w:overflowPunct/>
        <w:topLinePunct w:val="0"/>
        <w:autoSpaceDE/>
        <w:autoSpaceDN/>
        <w:bidi w:val="0"/>
        <w:adjustRightInd/>
        <w:spacing w:line="540" w:lineRule="exact"/>
        <w:ind w:firstLine="562" w:firstLineChars="200"/>
        <w:rPr>
          <w:rFonts w:hAnsi="宋体"/>
          <w:szCs w:val="28"/>
          <w:highlight w:val="none"/>
        </w:rPr>
      </w:pPr>
      <w:r>
        <w:rPr>
          <w:rFonts w:hint="eastAsia" w:hAnsi="宋体"/>
          <w:b/>
          <w:bCs/>
          <w:szCs w:val="28"/>
          <w:highlight w:val="none"/>
        </w:rPr>
        <w:t>资金使用规范性：</w:t>
      </w:r>
      <w:r>
        <w:rPr>
          <w:rFonts w:hint="eastAsia" w:hAnsi="宋体"/>
          <w:b w:val="0"/>
          <w:bCs w:val="0"/>
          <w:szCs w:val="28"/>
          <w:highlight w:val="none"/>
        </w:rPr>
        <w:t>202</w:t>
      </w:r>
      <w:r>
        <w:rPr>
          <w:rFonts w:hint="eastAsia" w:hAnsi="宋体"/>
          <w:b w:val="0"/>
          <w:bCs w:val="0"/>
          <w:szCs w:val="28"/>
          <w:highlight w:val="none"/>
          <w:lang w:val="en-US" w:eastAsia="zh-CN"/>
        </w:rPr>
        <w:t>2</w:t>
      </w:r>
      <w:r>
        <w:rPr>
          <w:rFonts w:hint="eastAsia" w:hAnsi="宋体"/>
          <w:b w:val="0"/>
          <w:bCs w:val="0"/>
          <w:szCs w:val="28"/>
          <w:highlight w:val="none"/>
        </w:rPr>
        <w:t>年我院资金支出总体上审批程序合规、手续齐全，支出内容符合省财政预算批复规定的用途。</w:t>
      </w:r>
      <w:r>
        <w:rPr>
          <w:rFonts w:hint="eastAsia"/>
          <w:color w:val="000000" w:themeColor="text1"/>
          <w:szCs w:val="28"/>
          <w:highlight w:val="none"/>
          <w14:textFill>
            <w14:solidFill>
              <w14:schemeClr w14:val="tx1"/>
            </w14:solidFill>
          </w14:textFill>
        </w:rPr>
        <w:t>该指标分值</w:t>
      </w:r>
      <w:r>
        <w:rPr>
          <w:rFonts w:hint="eastAsia" w:ascii="仿宋" w:hAnsi="仿宋" w:eastAsia="仿宋" w:cs="仿宋"/>
          <w:color w:val="000000"/>
          <w:spacing w:val="0"/>
          <w:w w:val="100"/>
          <w:kern w:val="0"/>
          <w:sz w:val="28"/>
          <w:szCs w:val="28"/>
          <w:highlight w:val="none"/>
          <w:u w:val="none" w:color="000000"/>
          <w:vertAlign w:val="baseline"/>
          <w:lang w:val="en-US" w:eastAsia="zh-CN"/>
        </w:rPr>
        <w:t>2</w:t>
      </w:r>
      <w:r>
        <w:rPr>
          <w:rFonts w:hint="eastAsia" w:ascii="仿宋" w:hAnsi="仿宋" w:eastAsia="仿宋" w:cs="仿宋"/>
          <w:color w:val="000000"/>
          <w:spacing w:val="0"/>
          <w:w w:val="100"/>
          <w:kern w:val="0"/>
          <w:sz w:val="28"/>
          <w:szCs w:val="28"/>
          <w:highlight w:val="none"/>
          <w:u w:val="none" w:color="000000"/>
          <w:vertAlign w:val="baseline"/>
          <w:lang w:eastAsia="zh-CN"/>
        </w:rPr>
        <w:t>分，自评得分</w:t>
      </w:r>
      <w:r>
        <w:rPr>
          <w:rFonts w:hint="eastAsia" w:ascii="仿宋" w:hAnsi="仿宋" w:eastAsia="仿宋" w:cs="仿宋"/>
          <w:color w:val="000000"/>
          <w:spacing w:val="0"/>
          <w:w w:val="100"/>
          <w:kern w:val="0"/>
          <w:sz w:val="28"/>
          <w:szCs w:val="28"/>
          <w:highlight w:val="none"/>
          <w:u w:val="none" w:color="000000"/>
          <w:vertAlign w:val="baseline"/>
          <w:lang w:val="en-US" w:eastAsia="zh-CN"/>
        </w:rPr>
        <w:t>2</w:t>
      </w:r>
      <w:r>
        <w:rPr>
          <w:rFonts w:hint="eastAsia" w:ascii="仿宋" w:hAnsi="仿宋" w:eastAsia="仿宋" w:cs="仿宋"/>
          <w:color w:val="000000"/>
          <w:spacing w:val="0"/>
          <w:w w:val="100"/>
          <w:kern w:val="0"/>
          <w:sz w:val="28"/>
          <w:szCs w:val="28"/>
          <w:highlight w:val="none"/>
          <w:u w:val="none" w:color="000000"/>
          <w:vertAlign w:val="baseline"/>
          <w:lang w:eastAsia="zh-CN"/>
        </w:rPr>
        <w:t>分，得分率为</w:t>
      </w:r>
      <w:r>
        <w:rPr>
          <w:rFonts w:hint="eastAsia" w:ascii="仿宋" w:hAnsi="仿宋" w:eastAsia="仿宋" w:cs="仿宋"/>
          <w:color w:val="000000"/>
          <w:spacing w:val="0"/>
          <w:w w:val="100"/>
          <w:kern w:val="0"/>
          <w:sz w:val="28"/>
          <w:szCs w:val="28"/>
          <w:highlight w:val="none"/>
          <w:u w:val="none" w:color="000000"/>
          <w:vertAlign w:val="baseline"/>
          <w:lang w:val="en-US" w:eastAsia="zh-CN"/>
        </w:rPr>
        <w:t>100</w:t>
      </w:r>
      <w:r>
        <w:rPr>
          <w:rFonts w:hint="eastAsia" w:ascii="仿宋" w:hAnsi="仿宋" w:eastAsia="仿宋" w:cs="仿宋"/>
          <w:color w:val="000000"/>
          <w:spacing w:val="0"/>
          <w:w w:val="100"/>
          <w:kern w:val="0"/>
          <w:sz w:val="28"/>
          <w:szCs w:val="28"/>
          <w:highlight w:val="none"/>
          <w:u w:val="none" w:color="000000"/>
          <w:vertAlign w:val="baseline"/>
          <w:lang w:eastAsia="zh-CN"/>
        </w:rPr>
        <w:t>%。</w:t>
      </w:r>
    </w:p>
    <w:p>
      <w:pPr>
        <w:keepNext w:val="0"/>
        <w:keepLines w:val="0"/>
        <w:pageBreakBefore w:val="0"/>
        <w:kinsoku/>
        <w:wordWrap/>
        <w:overflowPunct/>
        <w:topLinePunct w:val="0"/>
        <w:autoSpaceDE/>
        <w:autoSpaceDN/>
        <w:bidi w:val="0"/>
        <w:adjustRightInd/>
        <w:spacing w:line="540" w:lineRule="exact"/>
        <w:ind w:firstLine="562" w:firstLineChars="200"/>
        <w:rPr>
          <w:rFonts w:hint="default" w:ascii="Times New Roman" w:hAnsi="Times New Roman" w:eastAsia="仿宋_GB2312" w:cs="Times New Roman"/>
          <w:color w:val="000000"/>
          <w:spacing w:val="0"/>
          <w:w w:val="100"/>
          <w:kern w:val="0"/>
          <w:sz w:val="32"/>
          <w:szCs w:val="20"/>
          <w:highlight w:val="none"/>
          <w:u w:val="none" w:color="000000"/>
          <w:vertAlign w:val="baseline"/>
          <w:lang w:eastAsia="zh-CN"/>
        </w:rPr>
      </w:pPr>
      <w:r>
        <w:rPr>
          <w:rFonts w:hint="eastAsia" w:hAnsi="宋体"/>
          <w:b/>
          <w:bCs/>
          <w:szCs w:val="28"/>
          <w:highlight w:val="none"/>
        </w:rPr>
        <w:t>政府采购规范性：</w:t>
      </w:r>
      <w:r>
        <w:rPr>
          <w:rFonts w:hint="eastAsia" w:hAnsi="宋体"/>
          <w:b w:val="0"/>
          <w:bCs w:val="0"/>
          <w:szCs w:val="28"/>
          <w:highlight w:val="none"/>
          <w:lang w:val="en-US" w:eastAsia="zh-CN"/>
        </w:rPr>
        <w:t>2022年</w:t>
      </w:r>
      <w:r>
        <w:rPr>
          <w:rFonts w:hint="eastAsia" w:hAnsi="宋体"/>
          <w:b w:val="0"/>
          <w:bCs w:val="0"/>
          <w:szCs w:val="28"/>
          <w:highlight w:val="none"/>
        </w:rPr>
        <w:t>我院采购实际执行情况与采购计划安排基本无差异。采购事项严格执行相关标准，采购业务符合政府采购相关规定，</w:t>
      </w:r>
      <w:r>
        <w:rPr>
          <w:rFonts w:hint="eastAsia"/>
          <w:color w:val="000000" w:themeColor="text1"/>
          <w:szCs w:val="28"/>
          <w:highlight w:val="none"/>
          <w14:textFill>
            <w14:solidFill>
              <w14:schemeClr w14:val="tx1"/>
            </w14:solidFill>
          </w14:textFill>
        </w:rPr>
        <w:t>该指标分值</w:t>
      </w:r>
      <w:r>
        <w:rPr>
          <w:rFonts w:hint="eastAsia" w:ascii="仿宋" w:hAnsi="仿宋" w:eastAsia="仿宋" w:cs="仿宋"/>
          <w:color w:val="000000"/>
          <w:spacing w:val="0"/>
          <w:w w:val="100"/>
          <w:kern w:val="0"/>
          <w:sz w:val="28"/>
          <w:szCs w:val="28"/>
          <w:highlight w:val="none"/>
          <w:u w:val="none" w:color="000000"/>
          <w:vertAlign w:val="baseline"/>
          <w:lang w:val="en-US" w:eastAsia="zh-CN"/>
        </w:rPr>
        <w:t>2</w:t>
      </w:r>
      <w:r>
        <w:rPr>
          <w:rFonts w:hint="eastAsia" w:ascii="仿宋" w:hAnsi="仿宋" w:eastAsia="仿宋" w:cs="仿宋"/>
          <w:color w:val="000000"/>
          <w:spacing w:val="0"/>
          <w:w w:val="100"/>
          <w:kern w:val="0"/>
          <w:sz w:val="28"/>
          <w:szCs w:val="28"/>
          <w:highlight w:val="none"/>
          <w:u w:val="none" w:color="000000"/>
          <w:vertAlign w:val="baseline"/>
          <w:lang w:eastAsia="zh-CN"/>
        </w:rPr>
        <w:t>分，自评得分</w:t>
      </w:r>
      <w:r>
        <w:rPr>
          <w:rFonts w:hint="eastAsia" w:ascii="仿宋" w:hAnsi="仿宋" w:eastAsia="仿宋" w:cs="仿宋"/>
          <w:color w:val="000000"/>
          <w:spacing w:val="0"/>
          <w:w w:val="100"/>
          <w:kern w:val="0"/>
          <w:sz w:val="28"/>
          <w:szCs w:val="28"/>
          <w:highlight w:val="none"/>
          <w:u w:val="none" w:color="000000"/>
          <w:vertAlign w:val="baseline"/>
          <w:lang w:val="en-US" w:eastAsia="zh-CN"/>
        </w:rPr>
        <w:t>2</w:t>
      </w:r>
      <w:r>
        <w:rPr>
          <w:rFonts w:hint="eastAsia" w:ascii="仿宋" w:hAnsi="仿宋" w:eastAsia="仿宋" w:cs="仿宋"/>
          <w:color w:val="000000"/>
          <w:spacing w:val="0"/>
          <w:w w:val="100"/>
          <w:kern w:val="0"/>
          <w:sz w:val="28"/>
          <w:szCs w:val="28"/>
          <w:highlight w:val="none"/>
          <w:u w:val="none" w:color="000000"/>
          <w:vertAlign w:val="baseline"/>
          <w:lang w:eastAsia="zh-CN"/>
        </w:rPr>
        <w:t>分，得分率为</w:t>
      </w:r>
      <w:r>
        <w:rPr>
          <w:rFonts w:hint="eastAsia" w:ascii="仿宋" w:hAnsi="仿宋" w:eastAsia="仿宋" w:cs="仿宋"/>
          <w:color w:val="000000"/>
          <w:spacing w:val="0"/>
          <w:w w:val="100"/>
          <w:kern w:val="0"/>
          <w:sz w:val="28"/>
          <w:szCs w:val="28"/>
          <w:highlight w:val="none"/>
          <w:u w:val="none" w:color="000000"/>
          <w:vertAlign w:val="baseline"/>
          <w:lang w:val="en-US" w:eastAsia="zh-CN"/>
        </w:rPr>
        <w:t>100</w:t>
      </w:r>
      <w:r>
        <w:rPr>
          <w:rFonts w:hint="eastAsia" w:ascii="仿宋" w:hAnsi="仿宋" w:eastAsia="仿宋" w:cs="仿宋"/>
          <w:color w:val="000000"/>
          <w:spacing w:val="0"/>
          <w:w w:val="100"/>
          <w:kern w:val="0"/>
          <w:sz w:val="28"/>
          <w:szCs w:val="28"/>
          <w:highlight w:val="none"/>
          <w:u w:val="none" w:color="000000"/>
          <w:vertAlign w:val="baseline"/>
          <w:lang w:eastAsia="zh-CN"/>
        </w:rPr>
        <w:t>%。</w:t>
      </w:r>
    </w:p>
    <w:p>
      <w:pPr>
        <w:keepNext w:val="0"/>
        <w:keepLines w:val="0"/>
        <w:pageBreakBefore w:val="0"/>
        <w:kinsoku/>
        <w:wordWrap/>
        <w:overflowPunct/>
        <w:topLinePunct w:val="0"/>
        <w:autoSpaceDE/>
        <w:autoSpaceDN/>
        <w:bidi w:val="0"/>
        <w:spacing w:line="540" w:lineRule="exact"/>
        <w:ind w:firstLine="562" w:firstLineChars="200"/>
        <w:rPr>
          <w:rFonts w:hint="eastAsia" w:ascii="仿宋" w:hAnsi="仿宋" w:eastAsia="仿宋" w:cs="仿宋"/>
          <w:color w:val="000000"/>
          <w:spacing w:val="0"/>
          <w:w w:val="100"/>
          <w:kern w:val="0"/>
          <w:sz w:val="28"/>
          <w:szCs w:val="28"/>
          <w:highlight w:val="none"/>
          <w:u w:val="none" w:color="000000"/>
          <w:vertAlign w:val="baseline"/>
          <w:lang w:val="en-US" w:eastAsia="zh-CN"/>
        </w:rPr>
      </w:pPr>
      <w:r>
        <w:rPr>
          <w:rFonts w:hint="eastAsia" w:hAnsi="宋体"/>
          <w:b/>
          <w:bCs/>
          <w:szCs w:val="28"/>
          <w:highlight w:val="none"/>
        </w:rPr>
        <w:t>资产管理规范性：</w:t>
      </w:r>
      <w:r>
        <w:rPr>
          <w:rFonts w:hint="eastAsia" w:hAnsi="宋体"/>
          <w:b w:val="0"/>
          <w:bCs w:val="0"/>
          <w:szCs w:val="28"/>
          <w:highlight w:val="none"/>
          <w:lang w:val="en-US" w:eastAsia="zh-CN"/>
        </w:rPr>
        <w:t>2022</w:t>
      </w:r>
      <w:r>
        <w:rPr>
          <w:rFonts w:hint="eastAsia" w:ascii="仿宋" w:hAnsi="仿宋" w:eastAsia="仿宋" w:cs="仿宋"/>
          <w:color w:val="000000"/>
          <w:spacing w:val="0"/>
          <w:w w:val="100"/>
          <w:kern w:val="0"/>
          <w:sz w:val="28"/>
          <w:szCs w:val="28"/>
          <w:highlight w:val="none"/>
          <w:u w:val="none" w:color="000000"/>
          <w:vertAlign w:val="baseline"/>
          <w:lang w:val="en-US" w:eastAsia="zh-CN"/>
        </w:rPr>
        <w:t>年我院资产管理制度健全，制定了《平凉市中级人民法院资产管理办法》等制度规范，并严格执行。账务和资产卡片数据相符，资产卡片与实物相符，各类资产保存完整、使用合规、配置合理、处置规范，根据评分标准本项得满分。</w:t>
      </w:r>
      <w:r>
        <w:rPr>
          <w:rFonts w:hint="eastAsia"/>
          <w:color w:val="000000" w:themeColor="text1"/>
          <w:szCs w:val="28"/>
          <w:highlight w:val="none"/>
          <w14:textFill>
            <w14:solidFill>
              <w14:schemeClr w14:val="tx1"/>
            </w14:solidFill>
          </w14:textFill>
        </w:rPr>
        <w:t>该指标分值</w:t>
      </w:r>
      <w:r>
        <w:rPr>
          <w:rFonts w:hint="eastAsia" w:hAnsi="宋体"/>
          <w:b w:val="0"/>
          <w:bCs w:val="0"/>
          <w:szCs w:val="28"/>
          <w:highlight w:val="none"/>
          <w:lang w:val="en-US" w:eastAsia="zh-CN"/>
        </w:rPr>
        <w:t>2</w:t>
      </w:r>
      <w:r>
        <w:rPr>
          <w:rFonts w:hint="eastAsia" w:ascii="仿宋" w:hAnsi="仿宋" w:eastAsia="仿宋" w:cs="仿宋"/>
          <w:color w:val="000000"/>
          <w:spacing w:val="0"/>
          <w:w w:val="100"/>
          <w:kern w:val="0"/>
          <w:sz w:val="28"/>
          <w:szCs w:val="28"/>
          <w:highlight w:val="none"/>
          <w:u w:val="none" w:color="000000"/>
          <w:vertAlign w:val="baseline"/>
          <w:lang w:val="en-US" w:eastAsia="zh-CN"/>
        </w:rPr>
        <w:t>分，自评得分</w:t>
      </w:r>
      <w:r>
        <w:rPr>
          <w:rFonts w:hint="eastAsia" w:hAnsi="宋体"/>
          <w:b w:val="0"/>
          <w:bCs w:val="0"/>
          <w:szCs w:val="28"/>
          <w:highlight w:val="none"/>
          <w:lang w:val="en-US" w:eastAsia="zh-CN"/>
        </w:rPr>
        <w:t>2</w:t>
      </w:r>
      <w:r>
        <w:rPr>
          <w:rFonts w:hint="eastAsia" w:ascii="仿宋" w:hAnsi="仿宋" w:eastAsia="仿宋" w:cs="仿宋"/>
          <w:color w:val="000000"/>
          <w:spacing w:val="0"/>
          <w:w w:val="100"/>
          <w:kern w:val="0"/>
          <w:sz w:val="28"/>
          <w:szCs w:val="28"/>
          <w:highlight w:val="none"/>
          <w:u w:val="none" w:color="000000"/>
          <w:vertAlign w:val="baseline"/>
          <w:lang w:val="en-US" w:eastAsia="zh-CN"/>
        </w:rPr>
        <w:t>分，得分率为100%。</w:t>
      </w:r>
    </w:p>
    <w:p>
      <w:pPr>
        <w:ind w:firstLine="562"/>
        <w:rPr>
          <w:rFonts w:hAnsi="宋体"/>
          <w:szCs w:val="28"/>
          <w:highlight w:val="none"/>
        </w:rPr>
      </w:pPr>
      <w:bookmarkStart w:id="91" w:name="_GoBack"/>
      <w:r>
        <w:rPr>
          <w:rFonts w:hint="eastAsia" w:hAnsi="宋体"/>
          <w:b/>
          <w:bCs/>
          <w:szCs w:val="28"/>
          <w:highlight w:val="none"/>
        </w:rPr>
        <w:t>在职人员控制率：</w:t>
      </w:r>
      <w:r>
        <w:rPr>
          <w:rFonts w:hint="eastAsia" w:hAnsi="宋体"/>
          <w:szCs w:val="28"/>
          <w:highlight w:val="none"/>
        </w:rPr>
        <w:t>我院人员管理较为规范，</w:t>
      </w:r>
      <w:r>
        <w:rPr>
          <w:rFonts w:hint="eastAsia" w:hAnsi="宋体"/>
          <w:szCs w:val="28"/>
          <w:highlight w:val="none"/>
          <w:lang w:eastAsia="zh-CN"/>
        </w:rPr>
        <w:t>部门</w:t>
      </w:r>
      <w:r>
        <w:rPr>
          <w:rFonts w:hint="eastAsia" w:hAnsi="宋体"/>
          <w:szCs w:val="28"/>
          <w:highlight w:val="none"/>
        </w:rPr>
        <w:t>整体的财政供养人员规模得到有效控制，</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人员编制</w:t>
      </w:r>
      <w:r>
        <w:rPr>
          <w:rFonts w:hint="eastAsia" w:hAnsi="宋体"/>
          <w:b w:val="0"/>
          <w:bCs w:val="0"/>
          <w:szCs w:val="28"/>
          <w:highlight w:val="none"/>
          <w:lang w:val="en-US" w:eastAsia="zh-CN"/>
        </w:rPr>
        <w:t>113</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人，其中：政法编制</w:t>
      </w:r>
      <w:r>
        <w:rPr>
          <w:rFonts w:hint="eastAsia" w:hAnsi="宋体"/>
          <w:b w:val="0"/>
          <w:bCs w:val="0"/>
          <w:szCs w:val="28"/>
          <w:highlight w:val="none"/>
          <w:lang w:val="en-US" w:eastAsia="zh-CN"/>
        </w:rPr>
        <w:t>106</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人，工勤编制</w:t>
      </w:r>
      <w:r>
        <w:rPr>
          <w:rFonts w:hint="eastAsia" w:hAnsi="宋体"/>
          <w:b w:val="0"/>
          <w:bCs w:val="0"/>
          <w:szCs w:val="28"/>
          <w:highlight w:val="none"/>
          <w:lang w:val="en-US" w:eastAsia="zh-CN"/>
        </w:rPr>
        <w:t>7</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人</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w:t>
      </w:r>
      <w:r>
        <w:rPr>
          <w:rFonts w:hint="eastAsia" w:hAnsi="宋体"/>
          <w:szCs w:val="28"/>
          <w:highlight w:val="none"/>
        </w:rPr>
        <w:t>在职人员控制率为</w:t>
      </w:r>
      <w:r>
        <w:rPr>
          <w:rFonts w:hint="eastAsia" w:hAnsi="宋体"/>
          <w:b w:val="0"/>
          <w:bCs w:val="0"/>
          <w:color w:val="auto"/>
          <w:szCs w:val="28"/>
          <w:highlight w:val="none"/>
          <w:lang w:val="en-US" w:eastAsia="zh-CN"/>
        </w:rPr>
        <w:t>100</w:t>
      </w:r>
      <w:r>
        <w:rPr>
          <w:rFonts w:hint="eastAsia" w:hAnsi="宋体"/>
          <w:b w:val="0"/>
          <w:bCs w:val="0"/>
          <w:color w:val="auto"/>
          <w:szCs w:val="28"/>
          <w:highlight w:val="none"/>
        </w:rPr>
        <w:t>%</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eastAsia="zh-CN"/>
        </w:rPr>
        <w:t>2</w:t>
      </w:r>
      <w:r>
        <w:rPr>
          <w:rFonts w:hint="eastAsia" w:hAnsi="宋体"/>
          <w:szCs w:val="28"/>
          <w:highlight w:val="none"/>
          <w:lang w:val="en-US" w:eastAsia="zh-CN"/>
        </w:rPr>
        <w:t>.7</w:t>
      </w:r>
      <w:r>
        <w:rPr>
          <w:rFonts w:hint="eastAsia" w:hAnsi="宋体"/>
          <w:szCs w:val="28"/>
          <w:highlight w:val="none"/>
        </w:rPr>
        <w:t>分，自评得分为</w:t>
      </w:r>
      <w:r>
        <w:rPr>
          <w:rFonts w:hint="eastAsia" w:hAnsi="宋体"/>
          <w:szCs w:val="28"/>
          <w:highlight w:val="none"/>
          <w:lang w:eastAsia="zh-CN"/>
        </w:rPr>
        <w:t>2</w:t>
      </w:r>
      <w:r>
        <w:rPr>
          <w:rFonts w:hint="eastAsia" w:hAnsi="宋体"/>
          <w:szCs w:val="28"/>
          <w:highlight w:val="none"/>
          <w:lang w:val="en-US" w:eastAsia="zh-CN"/>
        </w:rPr>
        <w:t>.7</w:t>
      </w:r>
      <w:r>
        <w:rPr>
          <w:rFonts w:hint="eastAsia" w:hAnsi="宋体"/>
          <w:szCs w:val="28"/>
          <w:highlight w:val="none"/>
        </w:rPr>
        <w:t>分，得分率为</w:t>
      </w:r>
      <w:r>
        <w:rPr>
          <w:rFonts w:hint="eastAsia" w:hAnsi="宋体"/>
          <w:b w:val="0"/>
          <w:bCs w:val="0"/>
          <w:color w:val="auto"/>
          <w:szCs w:val="28"/>
          <w:highlight w:val="none"/>
          <w:lang w:val="en-US" w:eastAsia="zh-CN"/>
        </w:rPr>
        <w:t>100</w:t>
      </w:r>
      <w:r>
        <w:rPr>
          <w:rFonts w:hint="eastAsia" w:hAnsi="宋体"/>
          <w:b w:val="0"/>
          <w:bCs w:val="0"/>
          <w:color w:val="auto"/>
          <w:szCs w:val="28"/>
          <w:highlight w:val="none"/>
        </w:rPr>
        <w:t>%</w:t>
      </w:r>
      <w:r>
        <w:rPr>
          <w:rFonts w:hint="eastAsia" w:hAnsi="宋体"/>
          <w:szCs w:val="28"/>
          <w:highlight w:val="none"/>
        </w:rPr>
        <w:t>。</w:t>
      </w:r>
    </w:p>
    <w:bookmarkEnd w:id="91"/>
    <w:p>
      <w:pPr>
        <w:keepNext w:val="0"/>
        <w:keepLines w:val="0"/>
        <w:pageBreakBefore w:val="0"/>
        <w:kinsoku/>
        <w:wordWrap/>
        <w:overflowPunct/>
        <w:topLinePunct w:val="0"/>
        <w:autoSpaceDE/>
        <w:autoSpaceDN/>
        <w:bidi w:val="0"/>
        <w:spacing w:line="540" w:lineRule="exact"/>
        <w:ind w:firstLine="562" w:firstLineChars="200"/>
        <w:rPr>
          <w:rFonts w:hint="eastAsia" w:hAnsi="宋体"/>
          <w:szCs w:val="28"/>
          <w:highlight w:val="none"/>
        </w:rPr>
      </w:pPr>
      <w:r>
        <w:rPr>
          <w:rFonts w:hint="eastAsia" w:hAnsi="宋体"/>
          <w:b/>
          <w:bCs/>
          <w:szCs w:val="28"/>
          <w:highlight w:val="none"/>
        </w:rPr>
        <w:t>重点工作管理制度健全性：</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该指标反映单位重点工作管理制度是否健全长效，我院针对重点工作，编制《平凉市中级人民院规章制度汇编》，共收集整理编制</w:t>
      </w:r>
      <w:r>
        <w:rPr>
          <w:rFonts w:hint="eastAsia" w:hAnsi="宋体"/>
          <w:b w:val="0"/>
          <w:bCs w:val="0"/>
          <w:szCs w:val="28"/>
          <w:highlight w:val="none"/>
          <w:lang w:val="en-US" w:eastAsia="zh-CN"/>
        </w:rPr>
        <w:t>38</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余项规章制度，涉及党建，培训、总务等各方面，有效推动分院各项工作规范化开展</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w:t>
      </w:r>
      <w:r>
        <w:rPr>
          <w:rFonts w:hint="eastAsia" w:hAnsi="宋体"/>
          <w:szCs w:val="28"/>
          <w:highlight w:val="none"/>
        </w:rPr>
        <w:t>该指标分值</w:t>
      </w:r>
      <w:r>
        <w:rPr>
          <w:rFonts w:hint="eastAsia" w:hAnsi="宋体"/>
          <w:b w:val="0"/>
          <w:bCs w:val="0"/>
          <w:szCs w:val="28"/>
          <w:highlight w:val="none"/>
          <w:lang w:val="en-US" w:eastAsia="zh-CN"/>
        </w:rPr>
        <w:t>2</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分，自评得分</w:t>
      </w:r>
      <w:r>
        <w:rPr>
          <w:rFonts w:hint="eastAsia" w:hAnsi="宋体"/>
          <w:b w:val="0"/>
          <w:bCs w:val="0"/>
          <w:szCs w:val="28"/>
          <w:highlight w:val="none"/>
          <w:lang w:val="en-US" w:eastAsia="zh-CN"/>
        </w:rPr>
        <w:t>2</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分，得分率为</w:t>
      </w:r>
      <w:r>
        <w:rPr>
          <w:rFonts w:hint="eastAsia" w:hAnsi="宋体"/>
          <w:b w:val="0"/>
          <w:bCs w:val="0"/>
          <w:color w:val="auto"/>
          <w:szCs w:val="28"/>
          <w:highlight w:val="none"/>
          <w:lang w:val="en-US" w:eastAsia="zh-CN"/>
        </w:rPr>
        <w:t>100</w:t>
      </w:r>
      <w:r>
        <w:rPr>
          <w:rFonts w:hint="eastAsia" w:hAnsi="宋体"/>
          <w:b w:val="0"/>
          <w:bCs w:val="0"/>
          <w:color w:val="auto"/>
          <w:szCs w:val="28"/>
          <w:highlight w:val="none"/>
        </w:rPr>
        <w:t>%</w:t>
      </w:r>
      <w:r>
        <w:rPr>
          <w:rFonts w:hint="default" w:ascii="Times New Roman" w:hAnsi="Times New Roman" w:eastAsia="仿宋_GB2312" w:cs="Times New Roman"/>
          <w:color w:val="000000"/>
          <w:spacing w:val="0"/>
          <w:w w:val="100"/>
          <w:kern w:val="0"/>
          <w:sz w:val="32"/>
          <w:szCs w:val="20"/>
          <w:highlight w:val="none"/>
          <w:u w:val="none" w:color="000000"/>
          <w:vertAlign w:val="baseline"/>
          <w:lang w:val="en-US" w:eastAsia="zh-CN"/>
        </w:rPr>
        <w:t>。</w:t>
      </w:r>
    </w:p>
    <w:p>
      <w:pPr>
        <w:pStyle w:val="5"/>
        <w:keepNext/>
        <w:keepLines/>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default" w:eastAsia="仿宋_GB2312"/>
          <w:highlight w:val="none"/>
          <w:lang w:val="en-US" w:eastAsia="zh-CN"/>
        </w:rPr>
      </w:pPr>
      <w:bookmarkStart w:id="50" w:name="_Toc40046032"/>
      <w:r>
        <w:rPr>
          <w:rFonts w:hint="eastAsia"/>
          <w:highlight w:val="none"/>
          <w:lang w:val="en-US" w:eastAsia="zh-CN"/>
        </w:rPr>
        <w:t>3.</w:t>
      </w:r>
      <w:r>
        <w:rPr>
          <w:rFonts w:hint="eastAsia"/>
          <w:highlight w:val="none"/>
        </w:rPr>
        <w:t>履职效果</w:t>
      </w:r>
      <w:bookmarkEnd w:id="50"/>
      <w:r>
        <w:rPr>
          <w:rFonts w:hint="eastAsia"/>
          <w:highlight w:val="none"/>
          <w:lang w:val="en-US" w:eastAsia="zh-CN"/>
        </w:rPr>
        <w:t>目标完成情况分析</w:t>
      </w:r>
    </w:p>
    <w:p>
      <w:pPr>
        <w:rPr>
          <w:rFonts w:ascii="仿宋_GB2312"/>
          <w:highlight w:val="none"/>
        </w:rPr>
      </w:pPr>
      <w:r>
        <w:rPr>
          <w:rFonts w:hint="eastAsia"/>
          <w:highlight w:val="none"/>
        </w:rPr>
        <w:t>履职效果指标包括部门履职</w:t>
      </w:r>
      <w:r>
        <w:rPr>
          <w:rFonts w:hint="eastAsia"/>
          <w:highlight w:val="none"/>
          <w:lang w:val="en-US" w:eastAsia="zh-CN"/>
        </w:rPr>
        <w:t>目标</w:t>
      </w:r>
      <w:r>
        <w:rPr>
          <w:rFonts w:hint="eastAsia"/>
          <w:highlight w:val="none"/>
        </w:rPr>
        <w:t>、</w:t>
      </w:r>
      <w:r>
        <w:rPr>
          <w:rFonts w:hint="eastAsia"/>
          <w:highlight w:val="none"/>
          <w:lang w:val="en-US" w:eastAsia="zh-CN"/>
        </w:rPr>
        <w:t>部门效果及</w:t>
      </w:r>
      <w:r>
        <w:rPr>
          <w:rFonts w:hint="eastAsia"/>
          <w:highlight w:val="none"/>
        </w:rPr>
        <w:t>社会影响</w:t>
      </w:r>
      <w:r>
        <w:rPr>
          <w:rFonts w:hint="eastAsia"/>
          <w:highlight w:val="none"/>
          <w:lang w:val="en-US" w:eastAsia="zh-CN"/>
        </w:rPr>
        <w:t>三</w:t>
      </w:r>
      <w:r>
        <w:rPr>
          <w:rFonts w:hint="eastAsia"/>
          <w:highlight w:val="none"/>
        </w:rPr>
        <w:t>个二级指标，下设</w:t>
      </w:r>
      <w:r>
        <w:rPr>
          <w:rFonts w:hint="eastAsia"/>
          <w:highlight w:val="none"/>
          <w:lang w:val="en-US" w:eastAsia="zh-CN"/>
        </w:rPr>
        <w:t>3</w:t>
      </w:r>
      <w:r>
        <w:rPr>
          <w:rFonts w:hint="eastAsia"/>
          <w:highlight w:val="none"/>
        </w:rPr>
        <w:t>个三级指标。</w:t>
      </w:r>
      <w:r>
        <w:rPr>
          <w:rFonts w:hint="eastAsia"/>
          <w:color w:val="000000" w:themeColor="text1"/>
          <w:szCs w:val="28"/>
          <w:highlight w:val="none"/>
          <w14:textFill>
            <w14:solidFill>
              <w14:schemeClr w14:val="tx1"/>
            </w14:solidFill>
          </w14:textFill>
        </w:rPr>
        <w:t>该指标分值</w:t>
      </w:r>
      <w:r>
        <w:rPr>
          <w:rFonts w:hint="eastAsia"/>
          <w:highlight w:val="none"/>
          <w:lang w:val="en-US" w:eastAsia="zh-CN"/>
        </w:rPr>
        <w:t>50</w:t>
      </w:r>
      <w:r>
        <w:rPr>
          <w:rFonts w:hint="eastAsia"/>
          <w:highlight w:val="none"/>
        </w:rPr>
        <w:t>分，自评</w:t>
      </w:r>
      <w:r>
        <w:rPr>
          <w:highlight w:val="none"/>
        </w:rPr>
        <w:t>得</w:t>
      </w:r>
      <w:r>
        <w:rPr>
          <w:rFonts w:hint="eastAsia"/>
          <w:highlight w:val="none"/>
        </w:rPr>
        <w:t>分</w:t>
      </w:r>
      <w:r>
        <w:rPr>
          <w:rFonts w:hint="eastAsia"/>
          <w:highlight w:val="none"/>
          <w:lang w:val="en-US" w:eastAsia="zh-CN"/>
        </w:rPr>
        <w:t>50</w:t>
      </w:r>
      <w:r>
        <w:rPr>
          <w:rFonts w:hint="eastAsia"/>
          <w:highlight w:val="none"/>
        </w:rPr>
        <w:t>分，</w:t>
      </w:r>
      <w:r>
        <w:rPr>
          <w:highlight w:val="none"/>
        </w:rPr>
        <w:t>得分率</w:t>
      </w:r>
      <w:r>
        <w:rPr>
          <w:rFonts w:hint="eastAsia"/>
          <w:highlight w:val="none"/>
          <w:lang w:val="en-US" w:eastAsia="zh-CN"/>
        </w:rPr>
        <w:t>100</w:t>
      </w:r>
      <w:r>
        <w:rPr>
          <w:highlight w:val="none"/>
        </w:rPr>
        <w:t>%</w:t>
      </w:r>
      <w:r>
        <w:rPr>
          <w:rFonts w:hint="eastAsia"/>
          <w:highlight w:val="none"/>
        </w:rPr>
        <w:t>。</w:t>
      </w:r>
    </w:p>
    <w:tbl>
      <w:tblPr>
        <w:tblStyle w:val="20"/>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ascii="宋体" w:hAnsi="宋体" w:cs="宋体"/>
                <w:b/>
                <w:color w:val="000000"/>
                <w:kern w:val="0"/>
                <w:sz w:val="24"/>
                <w:highlight w:val="none"/>
              </w:rPr>
            </w:pPr>
            <w:r>
              <w:rPr>
                <w:rFonts w:hint="eastAsia" w:ascii="宋体" w:hAnsi="宋体" w:cs="宋体"/>
                <w:b/>
                <w:color w:val="000000"/>
                <w:kern w:val="0"/>
                <w:sz w:val="24"/>
                <w:highlight w:val="none"/>
              </w:rPr>
              <w:t>自评</w:t>
            </w:r>
            <w:r>
              <w:rPr>
                <w:rFonts w:ascii="宋体" w:hAnsi="宋体" w:cs="宋体"/>
                <w:b/>
                <w:color w:val="000000"/>
                <w:kern w:val="0"/>
                <w:sz w:val="24"/>
                <w:highlight w:val="none"/>
              </w:rPr>
              <w:t>得分</w:t>
            </w:r>
          </w:p>
        </w:tc>
        <w:tc>
          <w:tcPr>
            <w:tcW w:w="2410"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部门</w:t>
            </w:r>
            <w:r>
              <w:rPr>
                <w:rFonts w:hAnsi="宋体" w:cs="宋体"/>
                <w:color w:val="000000"/>
                <w:kern w:val="0"/>
                <w:sz w:val="24"/>
                <w:szCs w:val="28"/>
                <w:highlight w:val="none"/>
              </w:rPr>
              <w:t>履职</w:t>
            </w:r>
            <w:r>
              <w:rPr>
                <w:rFonts w:hint="eastAsia" w:hAnsi="宋体" w:cs="宋体"/>
                <w:color w:val="000000"/>
                <w:kern w:val="0"/>
                <w:sz w:val="24"/>
                <w:szCs w:val="28"/>
                <w:highlight w:val="none"/>
              </w:rPr>
              <w:t>指标</w:t>
            </w:r>
            <w:r>
              <w:rPr>
                <w:rFonts w:hAnsi="宋体" w:cs="宋体"/>
                <w:color w:val="000000"/>
                <w:kern w:val="0"/>
                <w:sz w:val="24"/>
                <w:szCs w:val="28"/>
                <w:highlight w:val="none"/>
              </w:rPr>
              <w:t xml:space="preserve"> </w:t>
            </w:r>
          </w:p>
        </w:tc>
        <w:tc>
          <w:tcPr>
            <w:tcW w:w="182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16.6</w:t>
            </w:r>
          </w:p>
        </w:tc>
        <w:tc>
          <w:tcPr>
            <w:tcW w:w="1559"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16.6</w:t>
            </w:r>
          </w:p>
        </w:tc>
        <w:tc>
          <w:tcPr>
            <w:tcW w:w="2410" w:type="dxa"/>
            <w:vAlign w:val="center"/>
          </w:tcPr>
          <w:p>
            <w:pPr>
              <w:widowControl/>
              <w:wordWrap/>
              <w:autoSpaceDE w:val="0"/>
              <w:autoSpaceDN w:val="0"/>
              <w:adjustRightInd/>
              <w:snapToGrid/>
              <w:spacing w:line="240" w:lineRule="auto"/>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default"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lang w:val="en-US" w:eastAsia="zh-CN"/>
              </w:rPr>
              <w:t>部门效果</w:t>
            </w:r>
          </w:p>
        </w:tc>
        <w:tc>
          <w:tcPr>
            <w:tcW w:w="182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16.7</w:t>
            </w:r>
          </w:p>
        </w:tc>
        <w:tc>
          <w:tcPr>
            <w:tcW w:w="1559"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16.7</w:t>
            </w:r>
          </w:p>
        </w:tc>
        <w:tc>
          <w:tcPr>
            <w:tcW w:w="2410"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社会影响</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16.7</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16.7</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50</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50</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color w:val="000000"/>
                <w:kern w:val="0"/>
                <w:sz w:val="22"/>
                <w:szCs w:val="22"/>
                <w:highlight w:val="none"/>
              </w:rPr>
              <w:t>100%</w:t>
            </w:r>
          </w:p>
        </w:tc>
      </w:tr>
    </w:tbl>
    <w:p>
      <w:pPr>
        <w:ind w:firstLine="562"/>
        <w:rPr>
          <w:rFonts w:hint="eastAsia"/>
          <w:b/>
          <w:bCs/>
          <w:highlight w:val="none"/>
        </w:rPr>
      </w:pPr>
      <w:r>
        <w:rPr>
          <w:rFonts w:hint="eastAsia"/>
          <w:b/>
          <w:bCs/>
          <w:highlight w:val="none"/>
        </w:rPr>
        <w:t>（1）部门履职目标</w:t>
      </w:r>
    </w:p>
    <w:p>
      <w:pPr>
        <w:rPr>
          <w:rFonts w:hint="eastAsia"/>
          <w:highlight w:val="none"/>
        </w:rPr>
      </w:pPr>
      <w:r>
        <w:rPr>
          <w:rFonts w:hint="eastAsia"/>
          <w:highlight w:val="none"/>
        </w:rPr>
        <w:t>部门履职目标</w:t>
      </w:r>
      <w:r>
        <w:rPr>
          <w:rFonts w:hint="eastAsia" w:hAnsi="宋体"/>
          <w:szCs w:val="28"/>
          <w:highlight w:val="none"/>
          <w:lang w:val="en-US" w:eastAsia="zh-CN"/>
        </w:rPr>
        <w:t>指标分值</w:t>
      </w:r>
      <w:r>
        <w:rPr>
          <w:rFonts w:hint="eastAsia"/>
          <w:highlight w:val="none"/>
          <w:lang w:val="en-US" w:eastAsia="zh-CN"/>
        </w:rPr>
        <w:t>16.6</w:t>
      </w:r>
      <w:r>
        <w:rPr>
          <w:rFonts w:hint="eastAsia"/>
          <w:highlight w:val="none"/>
        </w:rPr>
        <w:t>分，自评得分</w:t>
      </w:r>
      <w:r>
        <w:rPr>
          <w:rFonts w:hint="eastAsia"/>
          <w:highlight w:val="none"/>
          <w:lang w:val="en-US" w:eastAsia="zh-CN"/>
        </w:rPr>
        <w:t>16.6</w:t>
      </w:r>
      <w:r>
        <w:rPr>
          <w:rFonts w:hint="eastAsia"/>
          <w:highlight w:val="none"/>
        </w:rPr>
        <w:t>分，得分率</w:t>
      </w:r>
      <w:r>
        <w:rPr>
          <w:rFonts w:hint="eastAsia"/>
          <w:highlight w:val="none"/>
          <w:lang w:val="en-US" w:eastAsia="zh-CN"/>
        </w:rPr>
        <w:t>100</w:t>
      </w:r>
      <w:r>
        <w:rPr>
          <w:rFonts w:hint="eastAsia"/>
          <w:highlight w:val="none"/>
        </w:rPr>
        <w:t>%。</w:t>
      </w:r>
    </w:p>
    <w:p>
      <w:pPr>
        <w:ind w:firstLine="562"/>
        <w:rPr>
          <w:rFonts w:hint="eastAsia" w:ascii="仿宋_GB2312" w:hAnsi="宋体" w:eastAsia="仿宋_GB2312" w:cstheme="minorBidi"/>
          <w:kern w:val="2"/>
          <w:sz w:val="28"/>
          <w:szCs w:val="28"/>
          <w:highlight w:val="none"/>
          <w:lang w:val="en-US" w:eastAsia="zh-CN" w:bidi="ar-SA"/>
        </w:rPr>
      </w:pPr>
      <w:r>
        <w:rPr>
          <w:rFonts w:hint="eastAsia" w:hAnsi="宋体"/>
          <w:b/>
          <w:bCs/>
          <w:szCs w:val="28"/>
          <w:highlight w:val="none"/>
          <w:lang w:val="en-US" w:eastAsia="zh-CN"/>
        </w:rPr>
        <w:t>案件结案率</w:t>
      </w:r>
      <w:r>
        <w:rPr>
          <w:rFonts w:hint="eastAsia"/>
          <w:b/>
          <w:bCs/>
          <w:highlight w:val="none"/>
          <w:lang w:val="en-US" w:eastAsia="zh-CN"/>
        </w:rPr>
        <w:t>：</w:t>
      </w:r>
      <w:r>
        <w:rPr>
          <w:rFonts w:hint="eastAsia" w:hAnsi="宋体"/>
          <w:b w:val="0"/>
          <w:bCs w:val="0"/>
          <w:szCs w:val="28"/>
          <w:highlight w:val="none"/>
          <w:lang w:val="en-US" w:eastAsia="zh-CN"/>
        </w:rPr>
        <w:t>年度指标&gt;=95%，实际完成100%，</w:t>
      </w:r>
      <w:r>
        <w:rPr>
          <w:rFonts w:hint="eastAsia" w:ascii="仿宋_GB2312" w:hAnsi="宋体" w:eastAsia="仿宋_GB2312" w:cstheme="minorBidi"/>
          <w:kern w:val="2"/>
          <w:sz w:val="28"/>
          <w:szCs w:val="28"/>
          <w:highlight w:val="none"/>
          <w:lang w:val="en-US" w:eastAsia="zh-CN" w:bidi="ar-SA"/>
        </w:rPr>
        <w:t>该指标分值</w:t>
      </w:r>
      <w:r>
        <w:rPr>
          <w:rFonts w:hint="eastAsia" w:hAnsi="宋体" w:cstheme="minorBidi"/>
          <w:kern w:val="2"/>
          <w:sz w:val="28"/>
          <w:szCs w:val="28"/>
          <w:highlight w:val="none"/>
          <w:lang w:val="en-US" w:eastAsia="zh-CN" w:bidi="ar-SA"/>
        </w:rPr>
        <w:t>16.6</w:t>
      </w:r>
      <w:r>
        <w:rPr>
          <w:rFonts w:hint="eastAsia" w:ascii="仿宋_GB2312" w:hAnsi="宋体" w:eastAsia="仿宋_GB2312" w:cstheme="minorBidi"/>
          <w:kern w:val="2"/>
          <w:sz w:val="28"/>
          <w:szCs w:val="28"/>
          <w:highlight w:val="none"/>
          <w:lang w:val="en-US" w:eastAsia="zh-CN" w:bidi="ar-SA"/>
        </w:rPr>
        <w:t>分，自评得分为</w:t>
      </w:r>
      <w:r>
        <w:rPr>
          <w:rFonts w:hint="eastAsia" w:hAnsi="宋体" w:cstheme="minorBidi"/>
          <w:kern w:val="2"/>
          <w:sz w:val="28"/>
          <w:szCs w:val="28"/>
          <w:highlight w:val="none"/>
          <w:lang w:val="en-US" w:eastAsia="zh-CN" w:bidi="ar-SA"/>
        </w:rPr>
        <w:t>16.6</w:t>
      </w:r>
      <w:r>
        <w:rPr>
          <w:rFonts w:hint="eastAsia" w:ascii="仿宋_GB2312" w:hAnsi="宋体" w:eastAsia="仿宋_GB2312" w:cstheme="minorBidi"/>
          <w:kern w:val="2"/>
          <w:sz w:val="28"/>
          <w:szCs w:val="28"/>
          <w:highlight w:val="none"/>
          <w:lang w:val="en-US" w:eastAsia="zh-CN" w:bidi="ar-SA"/>
        </w:rPr>
        <w:t>分，得分率为</w:t>
      </w:r>
      <w:r>
        <w:rPr>
          <w:rFonts w:hint="eastAsia" w:hAnsi="宋体" w:cstheme="minorBidi"/>
          <w:kern w:val="2"/>
          <w:sz w:val="28"/>
          <w:szCs w:val="28"/>
          <w:highlight w:val="none"/>
          <w:lang w:val="en-US" w:eastAsia="zh-CN" w:bidi="ar-SA"/>
        </w:rPr>
        <w:t>100</w:t>
      </w:r>
      <w:r>
        <w:rPr>
          <w:rFonts w:hint="eastAsia" w:ascii="仿宋_GB2312" w:hAnsi="宋体" w:eastAsia="仿宋_GB2312" w:cstheme="minorBidi"/>
          <w:kern w:val="2"/>
          <w:sz w:val="28"/>
          <w:szCs w:val="28"/>
          <w:highlight w:val="none"/>
          <w:lang w:val="en-US" w:eastAsia="zh-CN" w:bidi="ar-SA"/>
        </w:rPr>
        <w:t>%。</w:t>
      </w:r>
    </w:p>
    <w:p>
      <w:pPr>
        <w:ind w:firstLine="562"/>
        <w:rPr>
          <w:rFonts w:hint="eastAsia"/>
          <w:b/>
          <w:bCs/>
          <w:highlight w:val="none"/>
        </w:rPr>
      </w:pPr>
      <w:r>
        <w:rPr>
          <w:rFonts w:hint="eastAsia"/>
          <w:b/>
          <w:bCs/>
          <w:highlight w:val="none"/>
        </w:rPr>
        <w:t>（</w:t>
      </w:r>
      <w:r>
        <w:rPr>
          <w:rFonts w:hint="eastAsia"/>
          <w:b/>
          <w:bCs/>
          <w:highlight w:val="none"/>
          <w:lang w:val="en-US" w:eastAsia="zh-CN"/>
        </w:rPr>
        <w:t>2</w:t>
      </w:r>
      <w:r>
        <w:rPr>
          <w:rFonts w:hint="eastAsia"/>
          <w:b/>
          <w:bCs/>
          <w:highlight w:val="none"/>
        </w:rPr>
        <w:t>）部门</w:t>
      </w:r>
      <w:r>
        <w:rPr>
          <w:rFonts w:hint="eastAsia"/>
          <w:b/>
          <w:bCs/>
          <w:highlight w:val="none"/>
          <w:lang w:val="en-US" w:eastAsia="zh-CN"/>
        </w:rPr>
        <w:t>效果</w:t>
      </w:r>
      <w:r>
        <w:rPr>
          <w:rFonts w:hint="eastAsia"/>
          <w:b/>
          <w:bCs/>
          <w:highlight w:val="none"/>
        </w:rPr>
        <w:t>目标</w:t>
      </w:r>
    </w:p>
    <w:p>
      <w:pPr>
        <w:rPr>
          <w:rFonts w:hint="eastAsia"/>
          <w:highlight w:val="none"/>
        </w:rPr>
      </w:pPr>
      <w:r>
        <w:rPr>
          <w:rFonts w:hint="eastAsia"/>
          <w:highlight w:val="none"/>
        </w:rPr>
        <w:t>部门</w:t>
      </w:r>
      <w:r>
        <w:rPr>
          <w:rFonts w:hint="eastAsia"/>
          <w:highlight w:val="none"/>
          <w:lang w:val="en-US" w:eastAsia="zh-CN"/>
        </w:rPr>
        <w:t>效果</w:t>
      </w:r>
      <w:r>
        <w:rPr>
          <w:rFonts w:hint="eastAsia"/>
          <w:highlight w:val="none"/>
        </w:rPr>
        <w:t>目标</w:t>
      </w:r>
      <w:r>
        <w:rPr>
          <w:rFonts w:hint="eastAsia" w:hAnsi="宋体"/>
          <w:szCs w:val="28"/>
          <w:highlight w:val="none"/>
          <w:lang w:val="en-US" w:eastAsia="zh-CN"/>
        </w:rPr>
        <w:t>指标分值</w:t>
      </w:r>
      <w:r>
        <w:rPr>
          <w:rFonts w:hint="eastAsia"/>
          <w:highlight w:val="none"/>
          <w:lang w:val="en-US" w:eastAsia="zh-CN"/>
        </w:rPr>
        <w:t>16.7</w:t>
      </w:r>
      <w:r>
        <w:rPr>
          <w:rFonts w:hint="eastAsia"/>
          <w:highlight w:val="none"/>
        </w:rPr>
        <w:t>分，自评得分</w:t>
      </w:r>
      <w:r>
        <w:rPr>
          <w:rFonts w:hint="eastAsia"/>
          <w:highlight w:val="none"/>
          <w:lang w:val="en-US" w:eastAsia="zh-CN"/>
        </w:rPr>
        <w:t>16.7</w:t>
      </w:r>
      <w:r>
        <w:rPr>
          <w:rFonts w:hint="eastAsia"/>
          <w:highlight w:val="none"/>
        </w:rPr>
        <w:t>分，得分率</w:t>
      </w:r>
      <w:r>
        <w:rPr>
          <w:rFonts w:hint="eastAsia"/>
          <w:highlight w:val="none"/>
          <w:lang w:val="en-US" w:eastAsia="zh-CN"/>
        </w:rPr>
        <w:t>100</w:t>
      </w:r>
      <w:r>
        <w:rPr>
          <w:rFonts w:hint="eastAsia"/>
          <w:highlight w:val="none"/>
        </w:rPr>
        <w:t>%。</w:t>
      </w:r>
    </w:p>
    <w:p>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仿宋_GB2312" w:hAnsi="宋体" w:eastAsia="仿宋_GB2312" w:cstheme="minorBidi"/>
          <w:kern w:val="2"/>
          <w:sz w:val="28"/>
          <w:szCs w:val="28"/>
          <w:highlight w:val="none"/>
          <w:lang w:val="en-US" w:eastAsia="zh-CN" w:bidi="ar-SA"/>
        </w:rPr>
      </w:pPr>
      <w:r>
        <w:rPr>
          <w:rFonts w:hint="eastAsia" w:hAnsi="宋体"/>
          <w:b/>
          <w:bCs/>
          <w:szCs w:val="28"/>
          <w:highlight w:val="none"/>
          <w:lang w:val="en-US" w:eastAsia="zh-CN"/>
        </w:rPr>
        <w:t>审限内结案率</w:t>
      </w:r>
      <w:r>
        <w:rPr>
          <w:rFonts w:hint="eastAsia"/>
          <w:b/>
          <w:bCs/>
          <w:highlight w:val="none"/>
          <w:lang w:val="en-US" w:eastAsia="zh-CN"/>
        </w:rPr>
        <w:t>：</w:t>
      </w:r>
      <w:r>
        <w:rPr>
          <w:rFonts w:hint="eastAsia" w:hAnsi="宋体"/>
          <w:b w:val="0"/>
          <w:bCs w:val="0"/>
          <w:szCs w:val="28"/>
          <w:highlight w:val="none"/>
          <w:lang w:val="en-US" w:eastAsia="zh-CN"/>
        </w:rPr>
        <w:t>年度指标&gt;=95%，实际完成99.91%，</w:t>
      </w:r>
      <w:r>
        <w:rPr>
          <w:rFonts w:hint="eastAsia" w:ascii="仿宋_GB2312" w:hAnsi="宋体" w:eastAsia="仿宋_GB2312" w:cstheme="minorBidi"/>
          <w:kern w:val="2"/>
          <w:sz w:val="28"/>
          <w:szCs w:val="28"/>
          <w:highlight w:val="none"/>
          <w:lang w:val="en-US" w:eastAsia="zh-CN" w:bidi="ar-SA"/>
        </w:rPr>
        <w:t>该指标分值</w:t>
      </w:r>
      <w:r>
        <w:rPr>
          <w:rFonts w:hint="eastAsia" w:hAnsi="宋体" w:cstheme="minorBidi"/>
          <w:kern w:val="2"/>
          <w:sz w:val="28"/>
          <w:szCs w:val="28"/>
          <w:highlight w:val="none"/>
          <w:lang w:val="en-US" w:eastAsia="zh-CN" w:bidi="ar-SA"/>
        </w:rPr>
        <w:t>16.7</w:t>
      </w:r>
      <w:r>
        <w:rPr>
          <w:rFonts w:hint="eastAsia" w:ascii="仿宋_GB2312" w:hAnsi="宋体" w:eastAsia="仿宋_GB2312" w:cstheme="minorBidi"/>
          <w:kern w:val="2"/>
          <w:sz w:val="28"/>
          <w:szCs w:val="28"/>
          <w:highlight w:val="none"/>
          <w:lang w:val="en-US" w:eastAsia="zh-CN" w:bidi="ar-SA"/>
        </w:rPr>
        <w:t>分，自评得分为</w:t>
      </w:r>
      <w:r>
        <w:rPr>
          <w:rFonts w:hint="eastAsia" w:hAnsi="宋体" w:cstheme="minorBidi"/>
          <w:kern w:val="2"/>
          <w:sz w:val="28"/>
          <w:szCs w:val="28"/>
          <w:highlight w:val="none"/>
          <w:lang w:val="en-US" w:eastAsia="zh-CN" w:bidi="ar-SA"/>
        </w:rPr>
        <w:t>16.7</w:t>
      </w:r>
      <w:r>
        <w:rPr>
          <w:rFonts w:hint="eastAsia" w:ascii="仿宋_GB2312" w:hAnsi="宋体" w:eastAsia="仿宋_GB2312" w:cstheme="minorBidi"/>
          <w:kern w:val="2"/>
          <w:sz w:val="28"/>
          <w:szCs w:val="28"/>
          <w:highlight w:val="none"/>
          <w:lang w:val="en-US" w:eastAsia="zh-CN" w:bidi="ar-SA"/>
        </w:rPr>
        <w:t>分，得分率为</w:t>
      </w:r>
      <w:r>
        <w:rPr>
          <w:rFonts w:hint="eastAsia" w:hAnsi="宋体" w:cstheme="minorBidi"/>
          <w:kern w:val="2"/>
          <w:sz w:val="28"/>
          <w:szCs w:val="28"/>
          <w:highlight w:val="none"/>
          <w:lang w:val="en-US" w:eastAsia="zh-CN" w:bidi="ar-SA"/>
        </w:rPr>
        <w:t>100</w:t>
      </w:r>
      <w:r>
        <w:rPr>
          <w:rFonts w:hint="eastAsia" w:ascii="仿宋_GB2312" w:hAnsi="宋体" w:eastAsia="仿宋_GB2312" w:cstheme="minorBidi"/>
          <w:kern w:val="2"/>
          <w:sz w:val="28"/>
          <w:szCs w:val="28"/>
          <w:highlight w:val="none"/>
          <w:lang w:val="en-US" w:eastAsia="zh-CN" w:bidi="ar-SA"/>
        </w:rPr>
        <w:t>%</w:t>
      </w:r>
    </w:p>
    <w:p>
      <w:pPr>
        <w:ind w:firstLine="562"/>
        <w:rPr>
          <w:rFonts w:hint="eastAsia" w:eastAsia="仿宋_GB2312"/>
          <w:b/>
          <w:bCs/>
          <w:highlight w:val="none"/>
          <w:lang w:eastAsia="zh-CN"/>
        </w:rPr>
      </w:pPr>
      <w:bookmarkStart w:id="51" w:name="_Toc40046033"/>
      <w:r>
        <w:rPr>
          <w:rFonts w:hint="eastAsia"/>
          <w:b/>
          <w:bCs/>
          <w:highlight w:val="none"/>
        </w:rPr>
        <w:t>（</w:t>
      </w:r>
      <w:r>
        <w:rPr>
          <w:rFonts w:hint="eastAsia"/>
          <w:b/>
          <w:bCs/>
          <w:highlight w:val="none"/>
          <w:lang w:val="en-US" w:eastAsia="zh-CN"/>
        </w:rPr>
        <w:t>3</w:t>
      </w:r>
      <w:r>
        <w:rPr>
          <w:rFonts w:hint="eastAsia"/>
          <w:b/>
          <w:bCs/>
          <w:highlight w:val="none"/>
        </w:rPr>
        <w:t>）</w:t>
      </w:r>
      <w:r>
        <w:rPr>
          <w:rFonts w:hint="eastAsia"/>
          <w:b/>
          <w:bCs/>
          <w:highlight w:val="none"/>
          <w:lang w:val="en-US" w:eastAsia="zh-CN"/>
        </w:rPr>
        <w:t>社会影响</w:t>
      </w:r>
    </w:p>
    <w:p>
      <w:pPr>
        <w:rPr>
          <w:rFonts w:hint="eastAsia"/>
          <w:highlight w:val="none"/>
        </w:rPr>
      </w:pPr>
      <w:r>
        <w:rPr>
          <w:rFonts w:hint="eastAsia"/>
          <w:highlight w:val="none"/>
          <w:lang w:val="en-US" w:eastAsia="zh-CN"/>
        </w:rPr>
        <w:t>社会影响</w:t>
      </w:r>
      <w:r>
        <w:rPr>
          <w:rFonts w:hint="eastAsia" w:hAnsi="宋体"/>
          <w:szCs w:val="28"/>
          <w:highlight w:val="none"/>
          <w:lang w:val="en-US" w:eastAsia="zh-CN"/>
        </w:rPr>
        <w:t>指标分值</w:t>
      </w:r>
      <w:r>
        <w:rPr>
          <w:rFonts w:hint="eastAsia"/>
          <w:highlight w:val="none"/>
          <w:lang w:val="en-US" w:eastAsia="zh-CN"/>
        </w:rPr>
        <w:t>16.7</w:t>
      </w:r>
      <w:r>
        <w:rPr>
          <w:rFonts w:hint="eastAsia"/>
          <w:highlight w:val="none"/>
        </w:rPr>
        <w:t>分，自评得分</w:t>
      </w:r>
      <w:r>
        <w:rPr>
          <w:rFonts w:hint="eastAsia"/>
          <w:highlight w:val="none"/>
          <w:lang w:val="en-US" w:eastAsia="zh-CN"/>
        </w:rPr>
        <w:t>16.7</w:t>
      </w:r>
      <w:r>
        <w:rPr>
          <w:rFonts w:hint="eastAsia"/>
          <w:highlight w:val="none"/>
        </w:rPr>
        <w:t>分，得分率</w:t>
      </w:r>
      <w:r>
        <w:rPr>
          <w:rFonts w:hint="eastAsia"/>
          <w:highlight w:val="none"/>
          <w:lang w:val="en-US" w:eastAsia="zh-CN"/>
        </w:rPr>
        <w:t>100</w:t>
      </w:r>
      <w:r>
        <w:rPr>
          <w:rFonts w:hint="eastAsia"/>
          <w:highlight w:val="none"/>
        </w:rPr>
        <w:t>%。</w:t>
      </w:r>
    </w:p>
    <w:p>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仿宋_GB2312" w:hAnsi="宋体" w:eastAsia="仿宋_GB2312" w:cstheme="minorBidi"/>
          <w:kern w:val="2"/>
          <w:sz w:val="28"/>
          <w:szCs w:val="28"/>
          <w:highlight w:val="none"/>
          <w:lang w:val="en-US" w:eastAsia="zh-CN" w:bidi="ar-SA"/>
        </w:rPr>
      </w:pPr>
      <w:r>
        <w:rPr>
          <w:rFonts w:hint="eastAsia" w:hAnsi="宋体"/>
          <w:b/>
          <w:bCs/>
          <w:szCs w:val="28"/>
          <w:highlight w:val="none"/>
          <w:lang w:val="en-US" w:eastAsia="zh-CN"/>
        </w:rPr>
        <w:t>稳定社会预期能力增强程度</w:t>
      </w:r>
      <w:r>
        <w:rPr>
          <w:rFonts w:hint="eastAsia"/>
          <w:b/>
          <w:bCs/>
          <w:highlight w:val="none"/>
          <w:lang w:val="en-US" w:eastAsia="zh-CN"/>
        </w:rPr>
        <w:t>：</w:t>
      </w:r>
      <w:r>
        <w:rPr>
          <w:rFonts w:hint="eastAsia" w:hAnsi="宋体"/>
          <w:b w:val="0"/>
          <w:bCs w:val="0"/>
          <w:szCs w:val="28"/>
          <w:highlight w:val="none"/>
          <w:lang w:val="en-US" w:eastAsia="zh-CN"/>
        </w:rPr>
        <w:t>我院本年度稳定社会预期能力增强，达到年度指标值。</w:t>
      </w:r>
      <w:r>
        <w:rPr>
          <w:rFonts w:hint="eastAsia" w:ascii="仿宋_GB2312" w:hAnsi="宋体" w:eastAsia="仿宋_GB2312" w:cstheme="minorBidi"/>
          <w:kern w:val="2"/>
          <w:sz w:val="28"/>
          <w:szCs w:val="28"/>
          <w:highlight w:val="none"/>
          <w:lang w:val="en-US" w:eastAsia="zh-CN" w:bidi="ar-SA"/>
        </w:rPr>
        <w:t>该指标分值</w:t>
      </w:r>
      <w:r>
        <w:rPr>
          <w:rFonts w:hint="eastAsia" w:hAnsi="宋体" w:cstheme="minorBidi"/>
          <w:kern w:val="2"/>
          <w:sz w:val="28"/>
          <w:szCs w:val="28"/>
          <w:highlight w:val="none"/>
          <w:lang w:val="en-US" w:eastAsia="zh-CN" w:bidi="ar-SA"/>
        </w:rPr>
        <w:t>16.7</w:t>
      </w:r>
      <w:r>
        <w:rPr>
          <w:rFonts w:hint="eastAsia" w:ascii="仿宋_GB2312" w:hAnsi="宋体" w:eastAsia="仿宋_GB2312" w:cstheme="minorBidi"/>
          <w:kern w:val="2"/>
          <w:sz w:val="28"/>
          <w:szCs w:val="28"/>
          <w:highlight w:val="none"/>
          <w:lang w:val="en-US" w:eastAsia="zh-CN" w:bidi="ar-SA"/>
        </w:rPr>
        <w:t>分，自评得分为</w:t>
      </w:r>
      <w:r>
        <w:rPr>
          <w:rFonts w:hint="eastAsia" w:hAnsi="宋体" w:cstheme="minorBidi"/>
          <w:kern w:val="2"/>
          <w:sz w:val="28"/>
          <w:szCs w:val="28"/>
          <w:highlight w:val="none"/>
          <w:lang w:val="en-US" w:eastAsia="zh-CN" w:bidi="ar-SA"/>
        </w:rPr>
        <w:t>16.7</w:t>
      </w:r>
      <w:r>
        <w:rPr>
          <w:rFonts w:hint="eastAsia" w:ascii="仿宋_GB2312" w:hAnsi="宋体" w:eastAsia="仿宋_GB2312" w:cstheme="minorBidi"/>
          <w:kern w:val="2"/>
          <w:sz w:val="28"/>
          <w:szCs w:val="28"/>
          <w:highlight w:val="none"/>
          <w:lang w:val="en-US" w:eastAsia="zh-CN" w:bidi="ar-SA"/>
        </w:rPr>
        <w:t>分，得分率为</w:t>
      </w:r>
      <w:r>
        <w:rPr>
          <w:rFonts w:hint="eastAsia" w:hAnsi="宋体" w:cstheme="minorBidi"/>
          <w:kern w:val="2"/>
          <w:sz w:val="28"/>
          <w:szCs w:val="28"/>
          <w:highlight w:val="none"/>
          <w:lang w:val="en-US" w:eastAsia="zh-CN" w:bidi="ar-SA"/>
        </w:rPr>
        <w:t>100</w:t>
      </w:r>
      <w:r>
        <w:rPr>
          <w:rFonts w:hint="eastAsia" w:ascii="仿宋_GB2312" w:hAnsi="宋体" w:eastAsia="仿宋_GB2312" w:cstheme="minorBidi"/>
          <w:kern w:val="2"/>
          <w:sz w:val="28"/>
          <w:szCs w:val="28"/>
          <w:highlight w:val="none"/>
          <w:lang w:val="en-US" w:eastAsia="zh-CN" w:bidi="ar-SA"/>
        </w:rPr>
        <w:t>%</w:t>
      </w:r>
    </w:p>
    <w:p>
      <w:pPr>
        <w:pStyle w:val="5"/>
        <w:ind w:firstLine="562"/>
        <w:rPr>
          <w:highlight w:val="none"/>
        </w:rPr>
      </w:pPr>
      <w:r>
        <w:rPr>
          <w:rFonts w:hint="eastAsia"/>
          <w:highlight w:val="none"/>
        </w:rPr>
        <w:t>4</w:t>
      </w:r>
      <w:r>
        <w:rPr>
          <w:rFonts w:hint="eastAsia"/>
          <w:highlight w:val="none"/>
          <w:lang w:eastAsia="zh-CN"/>
        </w:rPr>
        <w:t>.</w:t>
      </w:r>
      <w:r>
        <w:rPr>
          <w:rFonts w:hint="eastAsia"/>
          <w:highlight w:val="none"/>
        </w:rPr>
        <w:t>能力建设</w:t>
      </w:r>
      <w:bookmarkEnd w:id="51"/>
    </w:p>
    <w:p>
      <w:pPr>
        <w:ind w:firstLine="560"/>
        <w:rPr>
          <w:rFonts w:hint="default" w:hAnsi="宋体" w:eastAsia="仿宋_GB2312"/>
          <w:szCs w:val="28"/>
          <w:highlight w:val="none"/>
          <w:lang w:val="en-US" w:eastAsia="zh-CN"/>
        </w:rPr>
      </w:pPr>
      <w:r>
        <w:rPr>
          <w:rFonts w:hint="eastAsia" w:hAnsi="宋体"/>
          <w:szCs w:val="28"/>
          <w:highlight w:val="none"/>
          <w:lang w:val="en-US" w:eastAsia="zh-CN"/>
        </w:rPr>
        <w:t>能力建设指标分值</w:t>
      </w:r>
      <w:r>
        <w:rPr>
          <w:rFonts w:hint="eastAsia"/>
          <w:highlight w:val="none"/>
          <w:lang w:val="en-US" w:eastAsia="zh-CN"/>
        </w:rPr>
        <w:t>10</w:t>
      </w:r>
      <w:r>
        <w:rPr>
          <w:rFonts w:hint="eastAsia"/>
          <w:highlight w:val="none"/>
        </w:rPr>
        <w:t>分，自评得分</w:t>
      </w:r>
      <w:r>
        <w:rPr>
          <w:rFonts w:hint="eastAsia"/>
          <w:highlight w:val="none"/>
          <w:lang w:val="en-US" w:eastAsia="zh-CN"/>
        </w:rPr>
        <w:t>10</w:t>
      </w:r>
      <w:r>
        <w:rPr>
          <w:rFonts w:hint="eastAsia"/>
          <w:highlight w:val="none"/>
        </w:rPr>
        <w:t>分，得分率</w:t>
      </w:r>
      <w:r>
        <w:rPr>
          <w:rFonts w:hint="eastAsia"/>
          <w:highlight w:val="none"/>
          <w:lang w:val="en-US" w:eastAsia="zh-CN"/>
        </w:rPr>
        <w:t>100</w:t>
      </w:r>
      <w:r>
        <w:rPr>
          <w:rFonts w:hint="eastAsia"/>
          <w:highlight w:val="none"/>
        </w:rPr>
        <w:t>%。</w:t>
      </w:r>
    </w:p>
    <w:p>
      <w:pPr>
        <w:ind w:firstLine="843" w:firstLineChars="300"/>
        <w:rPr>
          <w:highlight w:val="none"/>
        </w:rPr>
      </w:pPr>
      <w:r>
        <w:rPr>
          <w:rFonts w:hint="eastAsia" w:hAnsi="宋体"/>
          <w:b/>
          <w:bCs/>
          <w:szCs w:val="28"/>
          <w:highlight w:val="none"/>
        </w:rPr>
        <w:t>信息化应用覆盖率：</w:t>
      </w:r>
      <w:r>
        <w:rPr>
          <w:rFonts w:hint="eastAsia" w:hAnsi="宋体"/>
          <w:szCs w:val="28"/>
          <w:highlight w:val="none"/>
        </w:rPr>
        <w:t>落实全省法院“基层基础建设年”安排部署，加快信息化建设步伐，智能化水平不断提升；开展智慧法庭建设，建成“云上法庭”、远程提审和在线调解等平台；安装审务督察系统，审判全流程监管更加透明。该指标分值3分，自评得分为3分，得分率100%。</w:t>
      </w:r>
    </w:p>
    <w:p>
      <w:pPr>
        <w:ind w:firstLine="562"/>
        <w:rPr>
          <w:rFonts w:hint="eastAsia" w:hAnsi="宋体"/>
          <w:b/>
          <w:bCs/>
          <w:szCs w:val="28"/>
          <w:highlight w:val="none"/>
        </w:rPr>
      </w:pPr>
      <w:r>
        <w:rPr>
          <w:rFonts w:hint="eastAsia" w:hAnsi="宋体" w:cs="宋体"/>
          <w:b/>
          <w:bCs/>
          <w:kern w:val="0"/>
          <w:szCs w:val="28"/>
          <w:highlight w:val="none"/>
        </w:rPr>
        <w:t>培训合格率：</w:t>
      </w:r>
      <w:r>
        <w:rPr>
          <w:rFonts w:hint="eastAsia" w:ascii="Times New Roman" w:eastAsia="仿宋_GB2312"/>
          <w:b w:val="0"/>
          <w:bCs w:val="0"/>
          <w:sz w:val="28"/>
          <w:szCs w:val="21"/>
          <w:lang w:val="en-US" w:eastAsia="zh-CN"/>
        </w:rPr>
        <w:t>本年度我院所有宣传、培训均及时开展，达到年度指标值。</w:t>
      </w:r>
      <w:r>
        <w:rPr>
          <w:rFonts w:hint="eastAsia" w:hAnsi="宋体"/>
          <w:szCs w:val="28"/>
          <w:highlight w:val="none"/>
          <w:lang w:val="en-US" w:eastAsia="zh-CN"/>
        </w:rPr>
        <w:t>年度指标=100%，实际完成=100%.</w:t>
      </w:r>
      <w:r>
        <w:rPr>
          <w:rFonts w:hint="eastAsia" w:hAnsi="宋体" w:cs="宋体"/>
          <w:kern w:val="0"/>
          <w:szCs w:val="28"/>
          <w:highlight w:val="none"/>
        </w:rPr>
        <w:t>该指标分值</w:t>
      </w:r>
      <w:r>
        <w:rPr>
          <w:rFonts w:hint="eastAsia" w:hAnsi="宋体" w:cs="宋体"/>
          <w:kern w:val="0"/>
          <w:szCs w:val="28"/>
          <w:highlight w:val="none"/>
          <w:lang w:val="en-US" w:eastAsia="zh-CN"/>
        </w:rPr>
        <w:t>3</w:t>
      </w:r>
      <w:r>
        <w:rPr>
          <w:rFonts w:hint="eastAsia" w:hAnsi="宋体" w:cs="宋体"/>
          <w:kern w:val="0"/>
          <w:szCs w:val="28"/>
          <w:highlight w:val="none"/>
        </w:rPr>
        <w:t>分，自评得分为</w:t>
      </w:r>
      <w:r>
        <w:rPr>
          <w:rFonts w:hint="eastAsia" w:hAnsi="宋体" w:cs="宋体"/>
          <w:kern w:val="0"/>
          <w:szCs w:val="28"/>
          <w:highlight w:val="none"/>
          <w:lang w:val="en-US" w:eastAsia="zh-CN"/>
        </w:rPr>
        <w:t>3</w:t>
      </w:r>
      <w:r>
        <w:rPr>
          <w:rFonts w:hint="eastAsia" w:hAnsi="宋体" w:cs="宋体"/>
          <w:kern w:val="0"/>
          <w:szCs w:val="28"/>
          <w:highlight w:val="none"/>
        </w:rPr>
        <w:t>分，得分率为100%。</w:t>
      </w:r>
    </w:p>
    <w:p>
      <w:pPr>
        <w:ind w:firstLine="562"/>
        <w:rPr>
          <w:rFonts w:hAnsi="宋体"/>
          <w:szCs w:val="28"/>
          <w:highlight w:val="none"/>
        </w:rPr>
      </w:pPr>
      <w:r>
        <w:rPr>
          <w:rFonts w:hint="eastAsia" w:hAnsi="宋体"/>
          <w:b/>
          <w:bCs/>
          <w:szCs w:val="28"/>
          <w:highlight w:val="none"/>
        </w:rPr>
        <w:t>档案归档及时性：</w:t>
      </w:r>
      <w:r>
        <w:rPr>
          <w:rFonts w:hint="eastAsia" w:hAnsi="宋体"/>
          <w:szCs w:val="28"/>
          <w:highlight w:val="none"/>
        </w:rPr>
        <w:t>我院严格规范和完善各项档案管理工作，在档案收集、保管方面管理到位，有效执行，并设有档案管理的专职人员，</w:t>
      </w:r>
      <w:r>
        <w:rPr>
          <w:rFonts w:hint="eastAsia" w:hAnsi="宋体"/>
          <w:szCs w:val="28"/>
          <w:highlight w:val="none"/>
          <w:lang w:val="en-US" w:eastAsia="zh-CN"/>
        </w:rPr>
        <w:t>档案保存完好</w:t>
      </w:r>
      <w:r>
        <w:rPr>
          <w:rFonts w:hint="eastAsia" w:hAnsi="宋体"/>
          <w:szCs w:val="28"/>
          <w:highlight w:val="none"/>
        </w:rPr>
        <w:t>,</w:t>
      </w:r>
      <w:r>
        <w:rPr>
          <w:rFonts w:hint="eastAsia"/>
          <w:highlight w:val="none"/>
        </w:rPr>
        <w:t>达到年度指标值。</w:t>
      </w:r>
      <w:r>
        <w:rPr>
          <w:rFonts w:hint="eastAsia" w:hAnsi="宋体"/>
          <w:szCs w:val="28"/>
          <w:highlight w:val="none"/>
        </w:rPr>
        <w:t>该指标分值</w:t>
      </w:r>
      <w:r>
        <w:rPr>
          <w:rFonts w:hint="eastAsia" w:hAnsi="宋体"/>
          <w:szCs w:val="28"/>
          <w:highlight w:val="none"/>
          <w:lang w:val="en-US" w:eastAsia="zh-CN"/>
        </w:rPr>
        <w:t>4</w:t>
      </w:r>
      <w:r>
        <w:rPr>
          <w:rFonts w:hint="eastAsia" w:hAnsi="宋体"/>
          <w:szCs w:val="28"/>
          <w:highlight w:val="none"/>
        </w:rPr>
        <w:t>分，自评得分为</w:t>
      </w:r>
      <w:r>
        <w:rPr>
          <w:rFonts w:hint="eastAsia" w:hAnsi="宋体"/>
          <w:szCs w:val="28"/>
          <w:highlight w:val="none"/>
          <w:lang w:val="en-US" w:eastAsia="zh-CN"/>
        </w:rPr>
        <w:t>4</w:t>
      </w:r>
      <w:r>
        <w:rPr>
          <w:rFonts w:hint="eastAsia" w:hAnsi="宋体"/>
          <w:szCs w:val="28"/>
          <w:highlight w:val="none"/>
        </w:rPr>
        <w:t>分，得分率100%。</w:t>
      </w:r>
    </w:p>
    <w:p>
      <w:pPr>
        <w:pStyle w:val="5"/>
        <w:bidi w:val="0"/>
        <w:rPr>
          <w:highlight w:val="none"/>
        </w:rPr>
      </w:pPr>
      <w:bookmarkStart w:id="52" w:name="_Toc40046034"/>
      <w:r>
        <w:rPr>
          <w:rFonts w:hint="eastAsia"/>
          <w:highlight w:val="none"/>
        </w:rPr>
        <w:t>5</w:t>
      </w:r>
      <w:r>
        <w:rPr>
          <w:rFonts w:hint="eastAsia"/>
          <w:highlight w:val="none"/>
          <w:lang w:eastAsia="zh-CN"/>
        </w:rPr>
        <w:t>.</w:t>
      </w:r>
      <w:r>
        <w:rPr>
          <w:rFonts w:hint="eastAsia"/>
          <w:highlight w:val="none"/>
        </w:rPr>
        <w:t>服务对象满意度</w:t>
      </w:r>
      <w:bookmarkEnd w:id="52"/>
    </w:p>
    <w:p>
      <w:pPr>
        <w:ind w:firstLine="560"/>
        <w:rPr>
          <w:highlight w:val="none"/>
        </w:rPr>
      </w:pPr>
      <w:bookmarkStart w:id="53" w:name="_Toc16731"/>
      <w:bookmarkStart w:id="54" w:name="_Toc12558"/>
      <w:bookmarkStart w:id="55" w:name="_Toc40046035"/>
      <w:bookmarkStart w:id="56" w:name="_Toc16525"/>
      <w:bookmarkStart w:id="57" w:name="_Toc3174"/>
      <w:r>
        <w:rPr>
          <w:rFonts w:hint="eastAsia" w:hAnsi="宋体"/>
          <w:szCs w:val="28"/>
          <w:highlight w:val="none"/>
        </w:rPr>
        <w:t>服务对象满意度主要考察当事人满意度</w:t>
      </w:r>
      <w:r>
        <w:rPr>
          <w:rFonts w:hint="eastAsia" w:hAnsi="宋体"/>
          <w:szCs w:val="28"/>
          <w:highlight w:val="none"/>
          <w:lang w:val="en-US" w:eastAsia="zh-CN"/>
        </w:rPr>
        <w:t>和干警满意度</w:t>
      </w:r>
      <w:r>
        <w:rPr>
          <w:rFonts w:hint="eastAsia" w:hAnsi="宋体"/>
          <w:szCs w:val="28"/>
          <w:highlight w:val="none"/>
          <w:lang w:eastAsia="zh-CN"/>
        </w:rPr>
        <w:t>。</w:t>
      </w:r>
      <w:r>
        <w:rPr>
          <w:rFonts w:hAnsi="宋体"/>
          <w:szCs w:val="28"/>
          <w:highlight w:val="none"/>
        </w:rPr>
        <w:t>该指标分值</w:t>
      </w:r>
      <w:r>
        <w:rPr>
          <w:rFonts w:hint="eastAsia" w:hAnsi="宋体"/>
          <w:szCs w:val="28"/>
          <w:highlight w:val="none"/>
          <w:lang w:val="en-US" w:eastAsia="zh-CN"/>
        </w:rPr>
        <w:t>10</w:t>
      </w:r>
      <w:r>
        <w:rPr>
          <w:rFonts w:hint="eastAsia" w:hAnsi="宋体"/>
          <w:szCs w:val="28"/>
          <w:highlight w:val="none"/>
        </w:rPr>
        <w:t>分，自评得分</w:t>
      </w:r>
      <w:r>
        <w:rPr>
          <w:rFonts w:hint="eastAsia" w:hAnsi="宋体"/>
          <w:szCs w:val="28"/>
          <w:highlight w:val="none"/>
          <w:lang w:val="en-US" w:eastAsia="zh-CN"/>
        </w:rPr>
        <w:t>10</w:t>
      </w:r>
      <w:r>
        <w:rPr>
          <w:rFonts w:hint="eastAsia" w:hAnsi="宋体"/>
          <w:szCs w:val="28"/>
          <w:highlight w:val="none"/>
        </w:rPr>
        <w:t>分，得分率</w:t>
      </w:r>
      <w:r>
        <w:rPr>
          <w:rFonts w:hint="eastAsia" w:hAnsi="宋体"/>
          <w:szCs w:val="28"/>
          <w:highlight w:val="none"/>
          <w:lang w:val="en-US" w:eastAsia="zh-CN"/>
        </w:rPr>
        <w:t>100</w:t>
      </w:r>
      <w:r>
        <w:rPr>
          <w:rFonts w:hint="eastAsia" w:hAnsi="宋体"/>
          <w:szCs w:val="28"/>
          <w:highlight w:val="none"/>
        </w:rPr>
        <w:t>%。</w:t>
      </w:r>
    </w:p>
    <w:p>
      <w:pPr>
        <w:bidi w:val="0"/>
        <w:rPr>
          <w:rFonts w:hint="eastAsia"/>
          <w:szCs w:val="28"/>
          <w:highlight w:val="none"/>
        </w:rPr>
      </w:pPr>
      <w:r>
        <w:rPr>
          <w:rFonts w:hint="eastAsia"/>
          <w:szCs w:val="28"/>
          <w:highlight w:val="none"/>
        </w:rPr>
        <w:t>202</w:t>
      </w:r>
      <w:r>
        <w:rPr>
          <w:rFonts w:hint="eastAsia"/>
          <w:szCs w:val="28"/>
          <w:highlight w:val="none"/>
          <w:lang w:val="en-US" w:eastAsia="zh-CN"/>
        </w:rPr>
        <w:t>2</w:t>
      </w:r>
      <w:r>
        <w:rPr>
          <w:rFonts w:hint="eastAsia"/>
          <w:szCs w:val="28"/>
          <w:highlight w:val="none"/>
        </w:rPr>
        <w:t>年，我院在院党组的正确领导和分管院领导的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达到了目标值。该指标分值10分，根据评分标准自评得分</w:t>
      </w:r>
      <w:r>
        <w:rPr>
          <w:rFonts w:hint="eastAsia"/>
          <w:szCs w:val="28"/>
          <w:highlight w:val="none"/>
          <w:lang w:val="en-US" w:eastAsia="zh-CN"/>
        </w:rPr>
        <w:t>10</w:t>
      </w:r>
      <w:r>
        <w:rPr>
          <w:rFonts w:hint="eastAsia"/>
          <w:szCs w:val="28"/>
          <w:highlight w:val="none"/>
        </w:rPr>
        <w:t>分，得分率为</w:t>
      </w:r>
      <w:r>
        <w:rPr>
          <w:rFonts w:hint="eastAsia"/>
          <w:szCs w:val="28"/>
          <w:highlight w:val="none"/>
          <w:lang w:val="en-US" w:eastAsia="zh-CN"/>
        </w:rPr>
        <w:t>10</w:t>
      </w:r>
      <w:r>
        <w:rPr>
          <w:rFonts w:hint="eastAsia"/>
          <w:szCs w:val="28"/>
          <w:highlight w:val="none"/>
        </w:rPr>
        <w:t>0%。</w:t>
      </w:r>
    </w:p>
    <w:p>
      <w:pPr>
        <w:pStyle w:val="4"/>
        <w:bidi w:val="0"/>
        <w:rPr>
          <w:rFonts w:hint="eastAsia"/>
          <w:highlight w:val="none"/>
        </w:rPr>
      </w:pPr>
      <w:bookmarkStart w:id="58" w:name="_Toc28959"/>
      <w:r>
        <w:rPr>
          <w:rFonts w:hint="eastAsia"/>
          <w:highlight w:val="none"/>
          <w:lang w:eastAsia="zh-CN"/>
        </w:rPr>
        <w:t>（四）</w:t>
      </w:r>
      <w:r>
        <w:rPr>
          <w:rFonts w:hint="eastAsia"/>
          <w:highlight w:val="none"/>
        </w:rPr>
        <w:t>偏离绩效目标的原因及下一步改进措施</w:t>
      </w:r>
      <w:bookmarkEnd w:id="53"/>
      <w:bookmarkEnd w:id="54"/>
      <w:bookmarkEnd w:id="55"/>
      <w:bookmarkEnd w:id="56"/>
      <w:bookmarkEnd w:id="57"/>
      <w:bookmarkEnd w:id="58"/>
    </w:p>
    <w:p>
      <w:pPr>
        <w:bidi w:val="0"/>
        <w:rPr>
          <w:rFonts w:hint="eastAsia"/>
          <w:b w:val="0"/>
          <w:bCs w:val="0"/>
          <w:highlight w:val="none"/>
          <w:lang w:val="en-US" w:eastAsia="zh-CN"/>
        </w:rPr>
      </w:pPr>
      <w:bookmarkStart w:id="59" w:name="_Toc2045"/>
      <w:bookmarkStart w:id="60" w:name="_Toc8740"/>
      <w:bookmarkStart w:id="61" w:name="_Toc16890"/>
      <w:r>
        <w:rPr>
          <w:rFonts w:hint="eastAsia"/>
          <w:b/>
          <w:bCs/>
          <w:highlight w:val="none"/>
          <w:lang w:val="en-US" w:eastAsia="zh-CN"/>
        </w:rPr>
        <w:t>1.部分指标未达到目标值。</w:t>
      </w:r>
      <w:r>
        <w:rPr>
          <w:rFonts w:hint="eastAsia"/>
          <w:b w:val="0"/>
          <w:bCs w:val="0"/>
          <w:highlight w:val="none"/>
          <w:lang w:val="en-US" w:eastAsia="zh-CN"/>
        </w:rPr>
        <w:t>“三公经费”控制率、指标目标值设置有误导致扣分，</w:t>
      </w:r>
      <w:r>
        <w:rPr>
          <w:rFonts w:hint="eastAsia"/>
          <w:highlight w:val="none"/>
          <w:lang w:val="en-US" w:eastAsia="zh-CN"/>
        </w:rPr>
        <w:t>下年度我院将加强预算绩效知识学习，合理设置年度指标值。</w:t>
      </w:r>
    </w:p>
    <w:p>
      <w:pPr>
        <w:pStyle w:val="3"/>
        <w:rPr>
          <w:highlight w:val="none"/>
        </w:rPr>
      </w:pPr>
      <w:bookmarkStart w:id="62" w:name="_Toc7092"/>
      <w:r>
        <w:rPr>
          <w:rFonts w:hint="eastAsia"/>
          <w:highlight w:val="none"/>
        </w:rPr>
        <w:t>四、部门预算项目支出绩效自评情况分析</w:t>
      </w:r>
      <w:bookmarkEnd w:id="59"/>
      <w:bookmarkEnd w:id="60"/>
      <w:bookmarkEnd w:id="61"/>
      <w:bookmarkEnd w:id="62"/>
    </w:p>
    <w:p>
      <w:pPr>
        <w:ind w:firstLine="560"/>
        <w:rPr>
          <w:rFonts w:hAnsi="宋体"/>
          <w:szCs w:val="28"/>
          <w:highlight w:val="none"/>
        </w:rPr>
      </w:pPr>
      <w:r>
        <w:rPr>
          <w:rFonts w:hint="eastAsia" w:hAnsi="宋体"/>
          <w:szCs w:val="28"/>
          <w:highlight w:val="none"/>
          <w:lang w:eastAsia="zh-CN"/>
        </w:rPr>
        <w:t>202</w:t>
      </w:r>
      <w:r>
        <w:rPr>
          <w:rFonts w:hint="eastAsia" w:hAnsi="宋体"/>
          <w:szCs w:val="28"/>
          <w:highlight w:val="none"/>
          <w:lang w:val="en-US" w:eastAsia="zh-CN"/>
        </w:rPr>
        <w:t>2</w:t>
      </w:r>
      <w:r>
        <w:rPr>
          <w:rFonts w:hint="eastAsia" w:hAnsi="宋体"/>
          <w:szCs w:val="28"/>
          <w:highlight w:val="none"/>
        </w:rPr>
        <w:t>年，我院预算支出项目为</w:t>
      </w:r>
      <w:r>
        <w:rPr>
          <w:rFonts w:hint="eastAsia" w:hAnsi="宋体"/>
          <w:szCs w:val="28"/>
          <w:highlight w:val="none"/>
          <w:lang w:val="en-US" w:eastAsia="zh-CN"/>
        </w:rPr>
        <w:t>1</w:t>
      </w:r>
      <w:r>
        <w:rPr>
          <w:rFonts w:hint="eastAsia" w:hAnsi="宋体"/>
          <w:szCs w:val="28"/>
          <w:highlight w:val="none"/>
        </w:rPr>
        <w:t>个，通过自评，</w:t>
      </w:r>
      <w:r>
        <w:rPr>
          <w:rFonts w:hint="eastAsia" w:hAnsi="宋体"/>
          <w:szCs w:val="28"/>
          <w:highlight w:val="none"/>
          <w:lang w:val="en-US" w:eastAsia="zh-CN"/>
        </w:rPr>
        <w:t>1</w:t>
      </w:r>
      <w:r>
        <w:rPr>
          <w:rFonts w:hint="eastAsia" w:hAnsi="宋体"/>
          <w:szCs w:val="28"/>
          <w:highlight w:val="none"/>
        </w:rPr>
        <w:t>个项目结果为“优”</w:t>
      </w:r>
      <w:r>
        <w:rPr>
          <w:rFonts w:hint="eastAsia" w:hAnsi="宋体"/>
          <w:szCs w:val="28"/>
          <w:highlight w:val="none"/>
          <w:lang w:val="en-US" w:eastAsia="zh-CN"/>
        </w:rPr>
        <w:t>。</w:t>
      </w:r>
      <w:r>
        <w:rPr>
          <w:rFonts w:hint="eastAsia" w:hAnsi="宋体"/>
          <w:szCs w:val="28"/>
          <w:highlight w:val="none"/>
        </w:rPr>
        <w:t>分项目自评情况分析如下：</w:t>
      </w:r>
    </w:p>
    <w:p>
      <w:pPr>
        <w:pStyle w:val="4"/>
        <w:rPr>
          <w:highlight w:val="none"/>
        </w:rPr>
      </w:pPr>
      <w:bookmarkStart w:id="63" w:name="_Toc6037"/>
      <w:bookmarkStart w:id="64" w:name="_Toc40046044"/>
      <w:bookmarkStart w:id="65" w:name="_Toc9991"/>
      <w:bookmarkStart w:id="66" w:name="_Toc28429"/>
      <w:bookmarkStart w:id="67" w:name="_Toc513"/>
      <w:bookmarkStart w:id="68" w:name="_Toc7812"/>
      <w:r>
        <w:rPr>
          <w:rFonts w:hint="eastAsia"/>
          <w:highlight w:val="none"/>
        </w:rPr>
        <w:t>（</w:t>
      </w:r>
      <w:r>
        <w:rPr>
          <w:rFonts w:hint="eastAsia"/>
          <w:highlight w:val="none"/>
          <w:lang w:val="en-US" w:eastAsia="zh-CN"/>
        </w:rPr>
        <w:t>一</w:t>
      </w:r>
      <w:r>
        <w:rPr>
          <w:rFonts w:hint="eastAsia"/>
          <w:highlight w:val="none"/>
        </w:rPr>
        <w:t>）</w:t>
      </w:r>
      <w:bookmarkEnd w:id="63"/>
      <w:bookmarkEnd w:id="64"/>
      <w:r>
        <w:rPr>
          <w:rFonts w:hint="eastAsia"/>
          <w:highlight w:val="none"/>
          <w:lang w:val="en-US" w:eastAsia="zh-CN"/>
        </w:rPr>
        <w:t>全省法院</w:t>
      </w:r>
      <w:r>
        <w:rPr>
          <w:rFonts w:hint="eastAsia"/>
          <w:highlight w:val="none"/>
        </w:rPr>
        <w:t>业务费</w:t>
      </w:r>
      <w:bookmarkEnd w:id="65"/>
      <w:bookmarkEnd w:id="66"/>
      <w:bookmarkEnd w:id="67"/>
      <w:bookmarkEnd w:id="68"/>
    </w:p>
    <w:p>
      <w:pPr>
        <w:rPr>
          <w:highlight w:val="none"/>
        </w:rPr>
      </w:pPr>
      <w:bookmarkStart w:id="69" w:name="_Toc18806"/>
      <w:bookmarkStart w:id="70" w:name="_Toc3777"/>
      <w:bookmarkStart w:id="71" w:name="_Toc1889"/>
      <w:bookmarkStart w:id="72" w:name="_Toc22570"/>
      <w:bookmarkStart w:id="73" w:name="_Toc40046064"/>
      <w:bookmarkStart w:id="74" w:name="_Toc7144"/>
      <w:bookmarkStart w:id="75" w:name="_Toc40046065"/>
      <w:r>
        <w:rPr>
          <w:rFonts w:hint="eastAsia"/>
          <w:highlight w:val="none"/>
        </w:rPr>
        <w:t>本次绩效自评综合评定202</w:t>
      </w:r>
      <w:r>
        <w:rPr>
          <w:rFonts w:hint="eastAsia"/>
          <w:highlight w:val="none"/>
          <w:lang w:val="en-US" w:eastAsia="zh-CN"/>
        </w:rPr>
        <w:t>2</w:t>
      </w:r>
      <w:r>
        <w:rPr>
          <w:rFonts w:hint="eastAsia"/>
          <w:highlight w:val="none"/>
        </w:rPr>
        <w:t>年</w:t>
      </w:r>
      <w:r>
        <w:rPr>
          <w:rFonts w:hint="eastAsia"/>
          <w:highlight w:val="none"/>
          <w:lang w:val="en-US" w:eastAsia="zh-CN"/>
        </w:rPr>
        <w:t>业务费</w:t>
      </w:r>
      <w:r>
        <w:rPr>
          <w:rFonts w:hint="eastAsia"/>
          <w:highlight w:val="none"/>
        </w:rPr>
        <w:t>项目支出绩效得分为</w:t>
      </w:r>
      <w:r>
        <w:rPr>
          <w:rFonts w:hint="eastAsia"/>
          <w:highlight w:val="none"/>
          <w:lang w:val="en-US" w:eastAsia="zh-CN"/>
        </w:rPr>
        <w:t>92.5</w:t>
      </w:r>
      <w:r>
        <w:rPr>
          <w:rFonts w:hint="eastAsia"/>
          <w:highlight w:val="none"/>
        </w:rPr>
        <w:t>分，绩效等级为“</w:t>
      </w:r>
      <w:r>
        <w:rPr>
          <w:rFonts w:hint="eastAsia"/>
          <w:highlight w:val="none"/>
          <w:lang w:val="en-US" w:eastAsia="zh-CN"/>
        </w:rPr>
        <w:t>优</w:t>
      </w:r>
      <w:r>
        <w:rPr>
          <w:rFonts w:hint="eastAsia"/>
          <w:highlight w:val="none"/>
        </w:rPr>
        <w:t>”。项目支出绩效评价包括</w:t>
      </w:r>
      <w:r>
        <w:rPr>
          <w:rFonts w:hint="eastAsia" w:ascii="仿宋_GB2312" w:hAnsi="仿宋_GB2312" w:eastAsia="仿宋_GB2312" w:cs="仿宋_GB2312"/>
          <w:highlight w:val="none"/>
          <w:lang w:val="en-US" w:eastAsia="zh-CN"/>
        </w:rPr>
        <w:t>项目资金预算执行率</w:t>
      </w:r>
      <w:r>
        <w:rPr>
          <w:rFonts w:hint="eastAsia" w:ascii="仿宋_GB2312" w:hAnsi="仿宋_GB2312" w:cs="仿宋_GB2312"/>
          <w:highlight w:val="none"/>
          <w:lang w:val="en-US" w:eastAsia="zh-CN"/>
        </w:rPr>
        <w:t>、</w:t>
      </w:r>
      <w:r>
        <w:rPr>
          <w:rFonts w:hint="eastAsia"/>
          <w:highlight w:val="none"/>
        </w:rPr>
        <w:t>产出、效益、满意度</w:t>
      </w:r>
      <w:r>
        <w:rPr>
          <w:rFonts w:hint="eastAsia"/>
          <w:highlight w:val="none"/>
          <w:lang w:val="en-US" w:eastAsia="zh-CN"/>
        </w:rPr>
        <w:t>四</w:t>
      </w:r>
      <w:r>
        <w:rPr>
          <w:rFonts w:hint="eastAsia"/>
          <w:highlight w:val="none"/>
        </w:rPr>
        <w:t>个一级指标，下设</w:t>
      </w:r>
      <w:r>
        <w:rPr>
          <w:rFonts w:hint="eastAsia"/>
          <w:highlight w:val="none"/>
          <w:lang w:val="en-US" w:eastAsia="zh-CN"/>
        </w:rPr>
        <w:t>9</w:t>
      </w:r>
      <w:r>
        <w:rPr>
          <w:rFonts w:hint="eastAsia"/>
          <w:highlight w:val="none"/>
        </w:rPr>
        <w:t>个二级指标和</w:t>
      </w:r>
      <w:r>
        <w:rPr>
          <w:rFonts w:hint="eastAsia"/>
          <w:highlight w:val="none"/>
          <w:lang w:val="en-US" w:eastAsia="zh-CN"/>
        </w:rPr>
        <w:t>9</w:t>
      </w:r>
      <w:r>
        <w:rPr>
          <w:rFonts w:hint="eastAsia"/>
          <w:highlight w:val="none"/>
        </w:rPr>
        <w:t>个三级指标。项目资金预算执行率</w:t>
      </w:r>
      <w:r>
        <w:rPr>
          <w:rFonts w:hint="eastAsia"/>
          <w:highlight w:val="none"/>
          <w:lang w:val="en-US" w:eastAsia="zh-CN"/>
        </w:rPr>
        <w:t>100</w:t>
      </w:r>
      <w:r>
        <w:rPr>
          <w:rFonts w:hint="eastAsia"/>
          <w:highlight w:val="none"/>
        </w:rPr>
        <w:t>%，一级指标得分情况详见下表 ：</w:t>
      </w:r>
    </w:p>
    <w:tbl>
      <w:tblPr>
        <w:tblStyle w:val="20"/>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668"/>
        <w:gridCol w:w="216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widowControl/>
              <w:suppressLineNumbers w:val="0"/>
              <w:ind w:firstLine="482" w:firstLineChars="200"/>
              <w:jc w:val="center"/>
              <w:textAlignment w:val="center"/>
              <w:rPr>
                <w:rFonts w:ascii="宋体" w:hAnsi="宋体" w:cs="宋体"/>
                <w:b/>
                <w:color w:val="000000"/>
                <w:kern w:val="0"/>
                <w:sz w:val="24"/>
                <w:highlight w:val="none"/>
                <w:shd w:val="clear" w:color="auto" w:fill="BDD6EE"/>
              </w:rPr>
            </w:pPr>
            <w:r>
              <w:rPr>
                <w:rFonts w:hint="eastAsia" w:ascii="仿宋_GB2312" w:hAnsi="宋体" w:eastAsia="仿宋_GB2312" w:cs="仿宋_GB2312"/>
                <w:b/>
                <w:bCs/>
                <w:i w:val="0"/>
                <w:iCs w:val="0"/>
                <w:color w:val="000000"/>
                <w:kern w:val="0"/>
                <w:sz w:val="24"/>
                <w:szCs w:val="24"/>
                <w:highlight w:val="none"/>
                <w:u w:val="none"/>
                <w:lang w:val="en-US" w:eastAsia="zh-CN" w:bidi="ar"/>
              </w:rPr>
              <w:t>一级指标</w:t>
            </w:r>
          </w:p>
        </w:tc>
        <w:tc>
          <w:tcPr>
            <w:tcW w:w="1678" w:type="dxa"/>
            <w:shd w:val="clear" w:color="auto" w:fill="BDD6EE"/>
            <w:vAlign w:val="center"/>
          </w:tcPr>
          <w:p>
            <w:pPr>
              <w:keepNext w:val="0"/>
              <w:keepLines w:val="0"/>
              <w:widowControl/>
              <w:suppressLineNumbers w:val="0"/>
              <w:ind w:firstLine="482" w:firstLineChars="200"/>
              <w:jc w:val="both"/>
              <w:textAlignment w:val="center"/>
              <w:rPr>
                <w:rFonts w:ascii="宋体" w:hAnsi="宋体" w:cs="宋体"/>
                <w:b/>
                <w:color w:val="000000"/>
                <w:kern w:val="0"/>
                <w:sz w:val="24"/>
                <w:highlight w:val="none"/>
                <w:shd w:val="clear" w:color="auto" w:fill="BDD6EE"/>
              </w:rPr>
            </w:pPr>
            <w:r>
              <w:rPr>
                <w:rFonts w:hint="eastAsia" w:ascii="仿宋_GB2312" w:hAnsi="宋体" w:eastAsia="仿宋_GB2312" w:cs="仿宋_GB2312"/>
                <w:b/>
                <w:bCs/>
                <w:i w:val="0"/>
                <w:iCs w:val="0"/>
                <w:color w:val="000000"/>
                <w:kern w:val="0"/>
                <w:sz w:val="24"/>
                <w:szCs w:val="24"/>
                <w:highlight w:val="none"/>
                <w:u w:val="none"/>
                <w:lang w:val="en-US" w:eastAsia="zh-CN" w:bidi="ar"/>
              </w:rPr>
              <w:t>分值</w:t>
            </w:r>
          </w:p>
        </w:tc>
        <w:tc>
          <w:tcPr>
            <w:tcW w:w="1668" w:type="dxa"/>
            <w:shd w:val="clear" w:color="auto" w:fill="BDD6EE"/>
            <w:vAlign w:val="center"/>
          </w:tcPr>
          <w:p>
            <w:pPr>
              <w:keepNext w:val="0"/>
              <w:keepLines w:val="0"/>
              <w:widowControl/>
              <w:suppressLineNumbers w:val="0"/>
              <w:ind w:firstLine="482" w:firstLineChars="200"/>
              <w:jc w:val="center"/>
              <w:textAlignment w:val="center"/>
              <w:rPr>
                <w:rFonts w:ascii="宋体" w:hAnsi="宋体" w:cs="宋体"/>
                <w:b/>
                <w:color w:val="000000"/>
                <w:kern w:val="0"/>
                <w:sz w:val="24"/>
                <w:highlight w:val="none"/>
                <w:shd w:val="clear" w:color="auto" w:fill="BDD6EE"/>
              </w:rPr>
            </w:pPr>
            <w:r>
              <w:rPr>
                <w:rFonts w:hint="eastAsia" w:ascii="仿宋_GB2312" w:hAnsi="宋体" w:eastAsia="仿宋_GB2312" w:cs="仿宋_GB2312"/>
                <w:b/>
                <w:bCs/>
                <w:i w:val="0"/>
                <w:iCs w:val="0"/>
                <w:color w:val="000000"/>
                <w:kern w:val="0"/>
                <w:sz w:val="24"/>
                <w:szCs w:val="24"/>
                <w:highlight w:val="none"/>
                <w:u w:val="none"/>
                <w:lang w:val="en-US" w:eastAsia="zh-CN" w:bidi="ar"/>
              </w:rPr>
              <w:t>自评得分</w:t>
            </w:r>
          </w:p>
        </w:tc>
        <w:tc>
          <w:tcPr>
            <w:tcW w:w="2160" w:type="dxa"/>
            <w:shd w:val="clear" w:color="auto" w:fill="BDD6EE"/>
            <w:vAlign w:val="center"/>
          </w:tcPr>
          <w:p>
            <w:pPr>
              <w:keepNext w:val="0"/>
              <w:keepLines w:val="0"/>
              <w:widowControl/>
              <w:suppressLineNumbers w:val="0"/>
              <w:ind w:firstLine="482" w:firstLineChars="200"/>
              <w:jc w:val="center"/>
              <w:textAlignment w:val="center"/>
              <w:rPr>
                <w:rFonts w:ascii="宋体" w:hAnsi="宋体" w:cs="宋体"/>
                <w:b/>
                <w:color w:val="000000"/>
                <w:kern w:val="0"/>
                <w:sz w:val="24"/>
                <w:highlight w:val="none"/>
                <w:shd w:val="clear" w:color="auto" w:fill="BDD6EE"/>
              </w:rPr>
            </w:pPr>
            <w:r>
              <w:rPr>
                <w:rFonts w:hint="eastAsia" w:ascii="仿宋_GB2312" w:hAnsi="宋体" w:eastAsia="仿宋_GB2312" w:cs="仿宋_GB2312"/>
                <w:b/>
                <w:bCs/>
                <w:i w:val="0"/>
                <w:iCs w:val="0"/>
                <w:color w:val="000000"/>
                <w:kern w:val="0"/>
                <w:sz w:val="24"/>
                <w:szCs w:val="24"/>
                <w:highlight w:val="none"/>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highlight w:val="none"/>
                <w:u w:val="none"/>
                <w:lang w:val="en-US" w:eastAsia="zh-CN" w:bidi="ar"/>
              </w:rPr>
              <w:t>预算执行率</w:t>
            </w:r>
          </w:p>
        </w:tc>
        <w:tc>
          <w:tcPr>
            <w:tcW w:w="1678"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8"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w:t>
            </w:r>
          </w:p>
        </w:tc>
        <w:tc>
          <w:tcPr>
            <w:tcW w:w="2160"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widowControl/>
              <w:suppressLineNumbers w:val="0"/>
              <w:ind w:firstLine="480" w:firstLineChars="200"/>
              <w:jc w:val="left"/>
              <w:textAlignment w:val="center"/>
              <w:rPr>
                <w:rFonts w:hint="eastAsia" w:hAnsi="宋体" w:eastAsia="仿宋_GB2312" w:cs="宋体"/>
                <w:color w:val="000000"/>
                <w:kern w:val="0"/>
                <w:sz w:val="24"/>
                <w:szCs w:val="28"/>
                <w:highlight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bidi="ar"/>
              </w:rPr>
              <w:t>产出指标</w:t>
            </w:r>
          </w:p>
        </w:tc>
        <w:tc>
          <w:tcPr>
            <w:tcW w:w="1678"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668"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50</w:t>
            </w:r>
          </w:p>
        </w:tc>
        <w:tc>
          <w:tcPr>
            <w:tcW w:w="2160"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widowControl/>
              <w:suppressLineNumbers w:val="0"/>
              <w:ind w:firstLine="480" w:firstLineChars="200"/>
              <w:jc w:val="left"/>
              <w:textAlignment w:val="center"/>
              <w:rPr>
                <w:rFonts w:hint="eastAsia" w:hAnsi="宋体" w:eastAsia="仿宋_GB2312" w:cs="宋体"/>
                <w:color w:val="000000"/>
                <w:kern w:val="0"/>
                <w:sz w:val="24"/>
                <w:szCs w:val="28"/>
                <w:highlight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bidi="ar"/>
              </w:rPr>
              <w:t>效益指标</w:t>
            </w:r>
          </w:p>
        </w:tc>
        <w:tc>
          <w:tcPr>
            <w:tcW w:w="1678"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668"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22.5</w:t>
            </w:r>
          </w:p>
        </w:tc>
        <w:tc>
          <w:tcPr>
            <w:tcW w:w="2160"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widowControl/>
              <w:suppressLineNumbers w:val="0"/>
              <w:ind w:firstLine="480" w:firstLineChars="200"/>
              <w:jc w:val="left"/>
              <w:textAlignment w:val="center"/>
              <w:rPr>
                <w:rFonts w:hint="eastAsia" w:hAnsi="宋体" w:eastAsia="仿宋_GB2312" w:cs="宋体"/>
                <w:color w:val="000000"/>
                <w:kern w:val="0"/>
                <w:sz w:val="24"/>
                <w:szCs w:val="28"/>
                <w:highlight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bidi="ar"/>
              </w:rPr>
              <w:t>满意度指标</w:t>
            </w:r>
          </w:p>
        </w:tc>
        <w:tc>
          <w:tcPr>
            <w:tcW w:w="1678"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8"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160"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widowControl/>
              <w:suppressLineNumbers w:val="0"/>
              <w:ind w:firstLine="482" w:firstLineChars="200"/>
              <w:jc w:val="center"/>
              <w:textAlignment w:val="center"/>
              <w:rPr>
                <w:rFonts w:ascii="宋体" w:hAnsi="宋体" w:cs="宋体"/>
                <w:b/>
                <w:color w:val="000000"/>
                <w:kern w:val="0"/>
                <w:sz w:val="24"/>
                <w:highlight w:val="none"/>
                <w:shd w:val="clear" w:color="auto" w:fill="BDD6EE"/>
              </w:rPr>
            </w:pPr>
            <w:r>
              <w:rPr>
                <w:rFonts w:hint="eastAsia" w:ascii="仿宋_GB2312" w:hAnsi="宋体" w:eastAsia="仿宋_GB2312" w:cs="仿宋_GB2312"/>
                <w:b/>
                <w:bCs/>
                <w:i w:val="0"/>
                <w:iCs w:val="0"/>
                <w:color w:val="000000"/>
                <w:kern w:val="0"/>
                <w:sz w:val="24"/>
                <w:szCs w:val="24"/>
                <w:highlight w:val="none"/>
                <w:u w:val="none"/>
                <w:lang w:val="en-US" w:eastAsia="zh-CN" w:bidi="ar"/>
              </w:rPr>
              <w:t>合计</w:t>
            </w:r>
          </w:p>
        </w:tc>
        <w:tc>
          <w:tcPr>
            <w:tcW w:w="167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100</w:t>
            </w:r>
          </w:p>
        </w:tc>
        <w:tc>
          <w:tcPr>
            <w:tcW w:w="1668" w:type="dxa"/>
            <w:shd w:val="clear" w:color="auto" w:fill="BDD6EE"/>
            <w:vAlign w:val="center"/>
          </w:tcPr>
          <w:p>
            <w:pPr>
              <w:keepNext w:val="0"/>
              <w:keepLines w:val="0"/>
              <w:widowControl/>
              <w:suppressLineNumbers w:val="0"/>
              <w:ind w:firstLine="442" w:firstLineChars="20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92.5</w:t>
            </w:r>
          </w:p>
        </w:tc>
        <w:tc>
          <w:tcPr>
            <w:tcW w:w="2160"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92.5%</w:t>
            </w:r>
          </w:p>
        </w:tc>
      </w:tr>
    </w:tbl>
    <w:p>
      <w:pPr>
        <w:pStyle w:val="5"/>
        <w:ind w:firstLine="562"/>
        <w:rPr>
          <w:szCs w:val="28"/>
          <w:highlight w:val="none"/>
        </w:rPr>
      </w:pPr>
      <w:r>
        <w:rPr>
          <w:rFonts w:hint="eastAsia"/>
          <w:szCs w:val="28"/>
          <w:highlight w:val="none"/>
        </w:rPr>
        <w:t>1</w:t>
      </w:r>
      <w:r>
        <w:rPr>
          <w:rFonts w:hint="eastAsia"/>
          <w:szCs w:val="28"/>
          <w:highlight w:val="none"/>
          <w:lang w:eastAsia="zh-CN"/>
        </w:rPr>
        <w:t>.</w:t>
      </w:r>
      <w:r>
        <w:rPr>
          <w:rFonts w:hint="eastAsia"/>
          <w:szCs w:val="28"/>
          <w:highlight w:val="none"/>
        </w:rPr>
        <w:t>项目支出预算执行情况</w:t>
      </w:r>
    </w:p>
    <w:p>
      <w:pPr>
        <w:ind w:firstLine="560"/>
        <w:rPr>
          <w:highlight w:val="none"/>
        </w:rPr>
      </w:pPr>
      <w:r>
        <w:rPr>
          <w:rFonts w:hint="eastAsia"/>
          <w:highlight w:val="none"/>
          <w:lang w:eastAsia="zh-CN"/>
        </w:rPr>
        <w:t>业务费</w:t>
      </w:r>
      <w:r>
        <w:rPr>
          <w:rFonts w:hint="eastAsia"/>
          <w:szCs w:val="28"/>
          <w:highlight w:val="none"/>
        </w:rPr>
        <w:t>项目年初预算数</w:t>
      </w:r>
      <w:r>
        <w:rPr>
          <w:rFonts w:hint="eastAsia"/>
          <w:szCs w:val="28"/>
          <w:highlight w:val="none"/>
          <w:lang w:eastAsia="zh-CN"/>
        </w:rPr>
        <w:t>为</w:t>
      </w:r>
      <w:r>
        <w:rPr>
          <w:rFonts w:hint="eastAsia"/>
          <w:szCs w:val="28"/>
          <w:highlight w:val="none"/>
          <w:lang w:val="en-US" w:eastAsia="zh-CN"/>
        </w:rPr>
        <w:t>241万元</w:t>
      </w:r>
      <w:r>
        <w:rPr>
          <w:rFonts w:hint="eastAsia"/>
          <w:szCs w:val="28"/>
          <w:highlight w:val="none"/>
          <w:lang w:eastAsia="zh-CN"/>
        </w:rPr>
        <w:t>，</w:t>
      </w:r>
      <w:r>
        <w:rPr>
          <w:rFonts w:hint="eastAsia"/>
          <w:szCs w:val="28"/>
          <w:highlight w:val="none"/>
        </w:rPr>
        <w:t>全年预算数</w:t>
      </w:r>
      <w:r>
        <w:rPr>
          <w:rFonts w:hint="eastAsia"/>
          <w:szCs w:val="28"/>
          <w:highlight w:val="none"/>
          <w:lang w:eastAsia="zh-CN"/>
        </w:rPr>
        <w:t>和</w:t>
      </w:r>
      <w:r>
        <w:rPr>
          <w:rFonts w:hint="eastAsia"/>
          <w:szCs w:val="28"/>
          <w:highlight w:val="none"/>
        </w:rPr>
        <w:t>全年执行数均为</w:t>
      </w:r>
      <w:r>
        <w:rPr>
          <w:rFonts w:hint="eastAsia"/>
          <w:szCs w:val="28"/>
          <w:highlight w:val="none"/>
          <w:lang w:val="en-US" w:eastAsia="zh-CN"/>
        </w:rPr>
        <w:t>270</w:t>
      </w:r>
      <w:r>
        <w:rPr>
          <w:rFonts w:hint="eastAsia"/>
          <w:szCs w:val="28"/>
          <w:highlight w:val="none"/>
        </w:rPr>
        <w:t>万元，预算执行率100%，</w:t>
      </w:r>
      <w:r>
        <w:rPr>
          <w:rFonts w:hint="eastAsia"/>
          <w:szCs w:val="28"/>
          <w:highlight w:val="none"/>
          <w:lang w:val="en-US" w:eastAsia="zh-CN"/>
        </w:rPr>
        <w:t>分值</w:t>
      </w:r>
      <w:r>
        <w:rPr>
          <w:rFonts w:hint="eastAsia"/>
          <w:szCs w:val="28"/>
          <w:highlight w:val="none"/>
        </w:rPr>
        <w:t>10分，得分10分。</w:t>
      </w:r>
    </w:p>
    <w:p>
      <w:pPr>
        <w:pStyle w:val="5"/>
        <w:ind w:firstLine="562"/>
        <w:rPr>
          <w:szCs w:val="28"/>
          <w:highlight w:val="none"/>
        </w:rPr>
      </w:pPr>
      <w:r>
        <w:rPr>
          <w:rFonts w:hint="eastAsia"/>
          <w:szCs w:val="28"/>
          <w:highlight w:val="none"/>
        </w:rPr>
        <w:t>2</w:t>
      </w:r>
      <w:r>
        <w:rPr>
          <w:rFonts w:hint="eastAsia"/>
          <w:szCs w:val="28"/>
          <w:highlight w:val="none"/>
          <w:lang w:eastAsia="zh-CN"/>
        </w:rPr>
        <w:t>.</w:t>
      </w:r>
      <w:r>
        <w:rPr>
          <w:rFonts w:hint="eastAsia"/>
          <w:szCs w:val="28"/>
          <w:highlight w:val="none"/>
        </w:rPr>
        <w:t>总体绩效目标完成情况分析</w:t>
      </w:r>
    </w:p>
    <w:p>
      <w:pPr>
        <w:bidi w:val="0"/>
        <w:rPr>
          <w:rFonts w:hint="eastAsia" w:ascii="宋体" w:hAnsi="宋体" w:eastAsia="宋体" w:cs="宋体"/>
          <w:sz w:val="28"/>
          <w:szCs w:val="28"/>
          <w:highlight w:val="none"/>
          <w:lang w:val="en-US" w:eastAsia="zh-CN"/>
        </w:rPr>
      </w:pPr>
      <w:r>
        <w:rPr>
          <w:rFonts w:hint="eastAsia"/>
          <w:szCs w:val="28"/>
          <w:highlight w:val="none"/>
          <w:lang w:val="en-US" w:eastAsia="zh-CN"/>
        </w:rPr>
        <w:t>本通过2022年度业务费的投入，保障单位正常审判执行工作顺利开展，提高办案效率，从而推动本院各项工作顺利开展。业务费的投入，主要用于支付工作人员在日常办理案件过程中需要开支的办公费、印刷费、差旅费等费用，保障了办案业务工作正常开展。</w:t>
      </w:r>
    </w:p>
    <w:p>
      <w:pPr>
        <w:pStyle w:val="5"/>
        <w:bidi w:val="0"/>
        <w:rPr>
          <w:rFonts w:hint="eastAsia"/>
          <w:highlight w:val="none"/>
        </w:rPr>
      </w:pPr>
      <w:r>
        <w:rPr>
          <w:rFonts w:hint="eastAsia"/>
          <w:highlight w:val="none"/>
        </w:rPr>
        <w:t>3</w:t>
      </w:r>
      <w:r>
        <w:rPr>
          <w:rFonts w:hint="eastAsia"/>
          <w:highlight w:val="none"/>
          <w:lang w:eastAsia="zh-CN"/>
        </w:rPr>
        <w:t>.</w:t>
      </w:r>
      <w:r>
        <w:rPr>
          <w:rFonts w:hint="eastAsia"/>
          <w:highlight w:val="none"/>
        </w:rPr>
        <w:t>各项指标完成情况分析</w:t>
      </w:r>
    </w:p>
    <w:p>
      <w:pPr>
        <w:bidi w:val="0"/>
        <w:rPr>
          <w:highlight w:val="none"/>
        </w:rPr>
      </w:pPr>
      <w:r>
        <w:rPr>
          <w:rFonts w:hint="eastAsia"/>
          <w:highlight w:val="none"/>
        </w:rPr>
        <w:t>（1）产出指标</w:t>
      </w:r>
    </w:p>
    <w:p>
      <w:pPr>
        <w:ind w:firstLine="560"/>
        <w:rPr>
          <w:rFonts w:cs="仿宋_GB2312"/>
          <w:szCs w:val="28"/>
          <w:highlight w:val="none"/>
        </w:rPr>
      </w:pPr>
      <w:r>
        <w:rPr>
          <w:rFonts w:hint="eastAsia" w:cs="仿宋_GB2312"/>
          <w:szCs w:val="28"/>
          <w:highlight w:val="none"/>
        </w:rPr>
        <w:t>产出指标下设数量</w:t>
      </w:r>
      <w:r>
        <w:rPr>
          <w:rFonts w:hint="eastAsia" w:cs="仿宋_GB2312"/>
          <w:szCs w:val="28"/>
          <w:highlight w:val="none"/>
          <w:lang w:eastAsia="zh-CN"/>
        </w:rPr>
        <w:t>、</w:t>
      </w:r>
      <w:r>
        <w:rPr>
          <w:rFonts w:hint="eastAsia" w:cs="仿宋_GB2312"/>
          <w:szCs w:val="28"/>
          <w:highlight w:val="none"/>
        </w:rPr>
        <w:t>质量</w:t>
      </w:r>
      <w:r>
        <w:rPr>
          <w:rFonts w:hint="eastAsia" w:cs="仿宋_GB2312"/>
          <w:szCs w:val="28"/>
          <w:highlight w:val="none"/>
          <w:lang w:eastAsia="zh-CN"/>
        </w:rPr>
        <w:t>、时效和成本</w:t>
      </w:r>
      <w:r>
        <w:rPr>
          <w:rFonts w:hint="eastAsia" w:cs="仿宋_GB2312"/>
          <w:szCs w:val="28"/>
          <w:highlight w:val="none"/>
          <w:lang w:val="en-US" w:eastAsia="zh-CN"/>
        </w:rPr>
        <w:t>4</w:t>
      </w:r>
      <w:r>
        <w:rPr>
          <w:rFonts w:hint="eastAsia" w:cs="仿宋_GB2312"/>
          <w:szCs w:val="28"/>
          <w:highlight w:val="none"/>
        </w:rPr>
        <w:t>个二级指标。总分值50分，得分</w:t>
      </w:r>
      <w:r>
        <w:rPr>
          <w:rFonts w:hint="eastAsia" w:cs="仿宋_GB2312"/>
          <w:szCs w:val="28"/>
          <w:highlight w:val="none"/>
          <w:lang w:val="en-US" w:eastAsia="zh-CN"/>
        </w:rPr>
        <w:t>50</w:t>
      </w:r>
      <w:r>
        <w:rPr>
          <w:rFonts w:hint="eastAsia" w:cs="仿宋_GB2312"/>
          <w:szCs w:val="28"/>
          <w:highlight w:val="none"/>
        </w:rPr>
        <w:t>分，得分率</w:t>
      </w:r>
      <w:r>
        <w:rPr>
          <w:rFonts w:hint="eastAsia" w:cs="仿宋_GB2312"/>
          <w:szCs w:val="28"/>
          <w:highlight w:val="none"/>
          <w:lang w:val="en-US" w:eastAsia="zh-CN"/>
        </w:rPr>
        <w:t>100</w:t>
      </w:r>
      <w:r>
        <w:rPr>
          <w:rFonts w:hint="eastAsia" w:cs="仿宋_GB2312"/>
          <w:szCs w:val="28"/>
          <w:highlight w:val="none"/>
        </w:rPr>
        <w:t>%。</w:t>
      </w:r>
    </w:p>
    <w:p>
      <w:pPr>
        <w:ind w:firstLine="562"/>
        <w:rPr>
          <w:rFonts w:cs="仿宋_GB2312"/>
          <w:szCs w:val="28"/>
          <w:highlight w:val="none"/>
        </w:rPr>
      </w:pPr>
      <w:r>
        <w:rPr>
          <w:rFonts w:hint="eastAsia"/>
          <w:b/>
          <w:bCs/>
          <w:szCs w:val="28"/>
          <w:highlight w:val="none"/>
        </w:rPr>
        <w:t>①数量指标</w:t>
      </w:r>
    </w:p>
    <w:p>
      <w:pPr>
        <w:ind w:firstLine="560"/>
        <w:rPr>
          <w:rFonts w:hAnsi="宋体"/>
          <w:szCs w:val="28"/>
          <w:highlight w:val="none"/>
        </w:rPr>
      </w:pPr>
      <w:r>
        <w:rPr>
          <w:rFonts w:hint="eastAsia"/>
          <w:highlight w:val="none"/>
        </w:rPr>
        <w:t>数量指标下设</w:t>
      </w:r>
      <w:r>
        <w:rPr>
          <w:rFonts w:hint="eastAsia"/>
          <w:highlight w:val="none"/>
          <w:lang w:val="en-US" w:eastAsia="zh-CN"/>
        </w:rPr>
        <w:t>1</w:t>
      </w:r>
      <w:r>
        <w:rPr>
          <w:rFonts w:hint="eastAsia"/>
          <w:highlight w:val="none"/>
        </w:rPr>
        <w:t>个三级指标，</w:t>
      </w:r>
      <w:r>
        <w:rPr>
          <w:rFonts w:hint="eastAsia"/>
          <w:highlight w:val="none"/>
          <w:lang w:val="en-US" w:eastAsia="zh-CN"/>
        </w:rPr>
        <w:t>该</w:t>
      </w:r>
      <w:r>
        <w:rPr>
          <w:rFonts w:hint="eastAsia" w:hAnsi="宋体"/>
          <w:szCs w:val="28"/>
          <w:highlight w:val="none"/>
        </w:rPr>
        <w:t>指标</w:t>
      </w:r>
      <w:r>
        <w:rPr>
          <w:rFonts w:hint="eastAsia" w:hAnsi="宋体"/>
          <w:szCs w:val="28"/>
          <w:highlight w:val="none"/>
          <w:lang w:val="en-US" w:eastAsia="zh-CN"/>
        </w:rPr>
        <w:t>分值12.5</w:t>
      </w:r>
      <w:r>
        <w:rPr>
          <w:rFonts w:hint="eastAsia" w:hAnsi="宋体"/>
          <w:szCs w:val="28"/>
          <w:highlight w:val="none"/>
        </w:rPr>
        <w:t>分，自评得分</w:t>
      </w:r>
      <w:r>
        <w:rPr>
          <w:rFonts w:hint="eastAsia" w:hAnsi="宋体"/>
          <w:szCs w:val="28"/>
          <w:highlight w:val="none"/>
          <w:lang w:val="en-US" w:eastAsia="zh-CN"/>
        </w:rPr>
        <w:t>12.5</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hAnsi="宋体"/>
          <w:color w:val="auto"/>
          <w:szCs w:val="28"/>
          <w:highlight w:val="none"/>
          <w:lang w:val="en-US" w:eastAsia="zh-CN"/>
        </w:rPr>
      </w:pPr>
      <w:r>
        <w:rPr>
          <w:rFonts w:hint="eastAsia" w:hAnsi="宋体"/>
          <w:b/>
          <w:bCs/>
          <w:color w:val="auto"/>
          <w:szCs w:val="28"/>
          <w:highlight w:val="none"/>
          <w:lang w:val="en-US" w:eastAsia="zh-CN"/>
        </w:rPr>
        <w:t>法院业务培训结业率：</w:t>
      </w:r>
      <w:r>
        <w:rPr>
          <w:rFonts w:hint="eastAsia" w:hAnsi="宋体"/>
          <w:b w:val="0"/>
          <w:bCs w:val="0"/>
          <w:color w:val="auto"/>
          <w:szCs w:val="28"/>
          <w:highlight w:val="none"/>
          <w:lang w:val="en-US" w:eastAsia="zh-CN"/>
        </w:rPr>
        <w:t>我院本年度所有培训均已按时结业，达到年度指标值。</w:t>
      </w:r>
      <w:r>
        <w:rPr>
          <w:rFonts w:hint="eastAsia" w:hAnsi="宋体" w:cstheme="minorBidi"/>
          <w:b w:val="0"/>
          <w:bCs w:val="0"/>
          <w:color w:val="auto"/>
          <w:kern w:val="2"/>
          <w:sz w:val="28"/>
          <w:szCs w:val="28"/>
          <w:highlight w:val="none"/>
          <w:lang w:val="en-US" w:eastAsia="zh-CN" w:bidi="ar-SA"/>
        </w:rPr>
        <w:t>年度目标&gt;=100%，实际完成=100%，</w:t>
      </w:r>
      <w:r>
        <w:rPr>
          <w:rFonts w:hint="eastAsia" w:hAnsi="宋体"/>
          <w:color w:val="auto"/>
          <w:szCs w:val="28"/>
          <w:highlight w:val="none"/>
        </w:rPr>
        <w:t>该指标分值</w:t>
      </w:r>
      <w:r>
        <w:rPr>
          <w:rFonts w:hint="eastAsia" w:hAnsi="宋体"/>
          <w:color w:val="auto"/>
          <w:szCs w:val="28"/>
          <w:highlight w:val="none"/>
          <w:lang w:val="en-US" w:eastAsia="zh-CN"/>
        </w:rPr>
        <w:t>12.5</w:t>
      </w:r>
      <w:r>
        <w:rPr>
          <w:rFonts w:hint="eastAsia" w:hAnsi="宋体"/>
          <w:color w:val="auto"/>
          <w:szCs w:val="28"/>
          <w:highlight w:val="none"/>
        </w:rPr>
        <w:t>分，自评得分为</w:t>
      </w:r>
      <w:r>
        <w:rPr>
          <w:rFonts w:hint="eastAsia" w:hAnsi="宋体"/>
          <w:color w:val="auto"/>
          <w:szCs w:val="28"/>
          <w:highlight w:val="none"/>
          <w:lang w:val="en-US" w:eastAsia="zh-CN"/>
        </w:rPr>
        <w:t>12.5</w:t>
      </w:r>
      <w:r>
        <w:rPr>
          <w:rFonts w:hint="eastAsia" w:hAnsi="宋体"/>
          <w:color w:val="auto"/>
          <w:szCs w:val="28"/>
          <w:highlight w:val="none"/>
        </w:rPr>
        <w:t>分，得分率为</w:t>
      </w:r>
      <w:r>
        <w:rPr>
          <w:rFonts w:hint="eastAsia" w:hAnsi="宋体"/>
          <w:color w:val="auto"/>
          <w:szCs w:val="28"/>
          <w:highlight w:val="none"/>
          <w:lang w:val="en-US" w:eastAsia="zh-CN"/>
        </w:rPr>
        <w:t>100</w:t>
      </w:r>
      <w:r>
        <w:rPr>
          <w:rFonts w:hint="eastAsia" w:hAnsi="宋体"/>
          <w:color w:val="auto"/>
          <w:szCs w:val="28"/>
          <w:highlight w:val="none"/>
        </w:rPr>
        <w:t>%。</w:t>
      </w:r>
    </w:p>
    <w:p>
      <w:pPr>
        <w:bidi w:val="0"/>
        <w:rPr>
          <w:b/>
          <w:bCs/>
          <w:highlight w:val="none"/>
        </w:rPr>
      </w:pPr>
      <w:r>
        <w:rPr>
          <w:rFonts w:hint="eastAsia"/>
          <w:b/>
          <w:bCs/>
          <w:highlight w:val="none"/>
          <w:lang w:eastAsia="zh-CN"/>
        </w:rPr>
        <w:t>②</w:t>
      </w:r>
      <w:r>
        <w:rPr>
          <w:rFonts w:hint="eastAsia"/>
          <w:b/>
          <w:bCs/>
          <w:highlight w:val="none"/>
        </w:rPr>
        <w:t>质量指标</w:t>
      </w:r>
    </w:p>
    <w:p>
      <w:pPr>
        <w:bidi w:val="0"/>
        <w:rPr>
          <w:highlight w:val="none"/>
        </w:rPr>
      </w:pPr>
      <w:r>
        <w:rPr>
          <w:rFonts w:hint="eastAsia"/>
          <w:highlight w:val="none"/>
        </w:rPr>
        <w:t>质量指标下设</w:t>
      </w:r>
      <w:r>
        <w:rPr>
          <w:rFonts w:hint="eastAsia"/>
          <w:highlight w:val="none"/>
          <w:lang w:val="en-US" w:eastAsia="zh-CN"/>
        </w:rPr>
        <w:t>1</w:t>
      </w:r>
      <w:r>
        <w:rPr>
          <w:rFonts w:hint="eastAsia"/>
          <w:highlight w:val="none"/>
        </w:rPr>
        <w:t>个三级指标，指标</w:t>
      </w:r>
      <w:r>
        <w:rPr>
          <w:rFonts w:hint="eastAsia"/>
          <w:highlight w:val="none"/>
          <w:lang w:val="en-US" w:eastAsia="zh-CN"/>
        </w:rPr>
        <w:t>分值合计12.5</w:t>
      </w:r>
      <w:r>
        <w:rPr>
          <w:rFonts w:hint="eastAsia"/>
          <w:highlight w:val="none"/>
        </w:rPr>
        <w:t>分，自评得分</w:t>
      </w:r>
      <w:r>
        <w:rPr>
          <w:rFonts w:hint="eastAsia"/>
          <w:highlight w:val="none"/>
          <w:lang w:val="en-US" w:eastAsia="zh-CN"/>
        </w:rPr>
        <w:t>12.5</w:t>
      </w:r>
      <w:r>
        <w:rPr>
          <w:rFonts w:hint="eastAsia"/>
          <w:highlight w:val="none"/>
        </w:rPr>
        <w:t>分，得分率为</w:t>
      </w:r>
      <w:r>
        <w:rPr>
          <w:rFonts w:hint="eastAsia"/>
          <w:highlight w:val="none"/>
          <w:lang w:val="en-US" w:eastAsia="zh-CN"/>
        </w:rPr>
        <w:t>100%</w:t>
      </w:r>
      <w:r>
        <w:rPr>
          <w:rFonts w:hint="eastAsia"/>
          <w:highlight w:val="none"/>
        </w:rPr>
        <w:t>。</w:t>
      </w:r>
    </w:p>
    <w:p>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hAnsi="宋体" w:cstheme="minorBidi"/>
          <w:b w:val="0"/>
          <w:bCs w:val="0"/>
          <w:kern w:val="2"/>
          <w:sz w:val="28"/>
          <w:szCs w:val="28"/>
          <w:highlight w:val="none"/>
          <w:lang w:val="en-US" w:eastAsia="zh-CN" w:bidi="ar-SA"/>
        </w:rPr>
      </w:pPr>
      <w:r>
        <w:rPr>
          <w:rFonts w:hint="eastAsia" w:hAnsi="宋体"/>
          <w:b/>
          <w:bCs/>
          <w:szCs w:val="28"/>
          <w:highlight w:val="none"/>
          <w:lang w:val="en-US" w:eastAsia="zh-CN"/>
        </w:rPr>
        <w:t>培训合格率：</w:t>
      </w:r>
      <w:r>
        <w:rPr>
          <w:rFonts w:hint="eastAsia" w:hAnsi="宋体" w:cstheme="minorBidi"/>
          <w:b w:val="0"/>
          <w:bCs w:val="0"/>
          <w:color w:val="auto"/>
          <w:kern w:val="2"/>
          <w:sz w:val="28"/>
          <w:szCs w:val="28"/>
          <w:highlight w:val="none"/>
          <w:lang w:val="en-US" w:eastAsia="zh-CN" w:bidi="ar-SA"/>
        </w:rPr>
        <w:t>年度目标&gt;=100%，实际完成=100%，</w:t>
      </w:r>
      <w:r>
        <w:rPr>
          <w:rFonts w:hint="eastAsia" w:hAnsi="宋体"/>
          <w:szCs w:val="28"/>
          <w:highlight w:val="none"/>
        </w:rPr>
        <w:t>该指标分值</w:t>
      </w:r>
      <w:r>
        <w:rPr>
          <w:rFonts w:hint="eastAsia" w:hAnsi="宋体"/>
          <w:szCs w:val="28"/>
          <w:highlight w:val="none"/>
          <w:lang w:val="en-US" w:eastAsia="zh-CN"/>
        </w:rPr>
        <w:t>12.5</w:t>
      </w:r>
      <w:r>
        <w:rPr>
          <w:rFonts w:hint="eastAsia" w:hAnsi="宋体"/>
          <w:szCs w:val="28"/>
          <w:highlight w:val="none"/>
        </w:rPr>
        <w:t>分，自评得分为</w:t>
      </w:r>
      <w:r>
        <w:rPr>
          <w:rFonts w:hint="eastAsia" w:hAnsi="宋体"/>
          <w:szCs w:val="28"/>
          <w:highlight w:val="none"/>
          <w:lang w:val="en-US" w:eastAsia="zh-CN"/>
        </w:rPr>
        <w:t>12.5</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pStyle w:val="9"/>
        <w:ind w:firstLine="560"/>
        <w:rPr>
          <w:rFonts w:hint="eastAsia" w:ascii="Calibri" w:hAnsi="Calibri" w:eastAsia="仿宋_GB2312" w:cs="Calibri"/>
          <w:b/>
          <w:bCs/>
          <w:kern w:val="2"/>
          <w:sz w:val="28"/>
          <w:szCs w:val="28"/>
          <w:highlight w:val="none"/>
          <w:lang w:val="en-US" w:eastAsia="zh-CN" w:bidi="ar-SA"/>
        </w:rPr>
      </w:pPr>
      <w:r>
        <w:rPr>
          <w:rFonts w:hint="eastAsia" w:ascii="Calibri" w:hAnsi="Calibri" w:eastAsia="仿宋_GB2312" w:cs="Calibri"/>
          <w:b/>
          <w:bCs/>
          <w:kern w:val="2"/>
          <w:sz w:val="28"/>
          <w:szCs w:val="28"/>
          <w:highlight w:val="none"/>
          <w:lang w:val="en-US" w:eastAsia="zh-CN" w:bidi="ar-SA"/>
        </w:rPr>
        <w:t>③时效指标</w:t>
      </w:r>
    </w:p>
    <w:p>
      <w:pPr>
        <w:ind w:firstLine="560"/>
        <w:rPr>
          <w:rFonts w:hint="eastAsia"/>
          <w:highlight w:val="none"/>
          <w:lang w:val="en-US" w:eastAsia="zh-CN"/>
        </w:rPr>
      </w:pPr>
      <w:r>
        <w:rPr>
          <w:rFonts w:hint="eastAsia"/>
          <w:highlight w:val="none"/>
          <w:lang w:eastAsia="zh-CN"/>
        </w:rPr>
        <w:t>时效</w:t>
      </w:r>
      <w:r>
        <w:rPr>
          <w:rFonts w:hint="eastAsia"/>
          <w:highlight w:val="none"/>
        </w:rPr>
        <w:t>指标下设</w:t>
      </w:r>
      <w:r>
        <w:rPr>
          <w:rFonts w:hint="eastAsia"/>
          <w:highlight w:val="none"/>
          <w:lang w:val="en-US" w:eastAsia="zh-CN"/>
        </w:rPr>
        <w:t>1</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分值合计12.5</w:t>
      </w:r>
      <w:r>
        <w:rPr>
          <w:rFonts w:hint="eastAsia" w:hAnsi="宋体"/>
          <w:szCs w:val="28"/>
          <w:highlight w:val="none"/>
        </w:rPr>
        <w:t>分，自评得分</w:t>
      </w:r>
      <w:r>
        <w:rPr>
          <w:rFonts w:hint="eastAsia" w:hAnsi="宋体"/>
          <w:szCs w:val="28"/>
          <w:highlight w:val="none"/>
          <w:lang w:val="en-US" w:eastAsia="zh-CN"/>
        </w:rPr>
        <w:t>12.5</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ind w:firstLine="562"/>
        <w:rPr>
          <w:rFonts w:hint="eastAsia"/>
          <w:b/>
          <w:bCs/>
          <w:highlight w:val="none"/>
        </w:rPr>
      </w:pPr>
      <w:r>
        <w:rPr>
          <w:rFonts w:hint="eastAsia" w:ascii="仿宋_GB2312" w:hAnsi="仿宋_GB2312" w:eastAsia="仿宋_GB2312" w:cstheme="minorBidi"/>
          <w:b/>
          <w:bCs/>
          <w:kern w:val="2"/>
          <w:sz w:val="28"/>
          <w:szCs w:val="28"/>
          <w:highlight w:val="none"/>
          <w:lang w:val="en-US" w:eastAsia="zh-CN" w:bidi="ar-SA"/>
        </w:rPr>
        <w:t>宣传活动开展及时率</w:t>
      </w:r>
      <w:r>
        <w:rPr>
          <w:rFonts w:hint="eastAsia" w:cstheme="minorBidi"/>
          <w:b/>
          <w:bCs/>
          <w:kern w:val="2"/>
          <w:sz w:val="28"/>
          <w:szCs w:val="28"/>
          <w:highlight w:val="none"/>
          <w:lang w:val="en-US" w:eastAsia="zh-CN" w:bidi="ar-SA"/>
        </w:rPr>
        <w:t>：</w:t>
      </w:r>
      <w:r>
        <w:rPr>
          <w:rFonts w:hint="eastAsia" w:hAnsi="宋体" w:cstheme="minorBidi"/>
          <w:b w:val="0"/>
          <w:bCs w:val="0"/>
          <w:kern w:val="2"/>
          <w:sz w:val="28"/>
          <w:szCs w:val="28"/>
          <w:highlight w:val="none"/>
          <w:lang w:val="en-US" w:eastAsia="zh-CN" w:bidi="ar-SA"/>
        </w:rPr>
        <w:t>本年度宣传活动开展及时，达到年度指标值。</w:t>
      </w:r>
      <w:r>
        <w:rPr>
          <w:rFonts w:hint="eastAsia" w:hAnsi="宋体"/>
          <w:b w:val="0"/>
          <w:bCs w:val="0"/>
          <w:szCs w:val="28"/>
          <w:highlight w:val="none"/>
        </w:rPr>
        <w:t>该指标分值</w:t>
      </w:r>
      <w:r>
        <w:rPr>
          <w:rFonts w:hint="eastAsia" w:hAnsi="宋体"/>
          <w:b w:val="0"/>
          <w:bCs w:val="0"/>
          <w:szCs w:val="28"/>
          <w:highlight w:val="none"/>
          <w:lang w:val="en-US" w:eastAsia="zh-CN"/>
        </w:rPr>
        <w:t>12.5</w:t>
      </w:r>
      <w:r>
        <w:rPr>
          <w:rFonts w:hint="eastAsia" w:hAnsi="宋体"/>
          <w:b w:val="0"/>
          <w:bCs w:val="0"/>
          <w:szCs w:val="28"/>
          <w:highlight w:val="none"/>
        </w:rPr>
        <w:t>分，自评得分为</w:t>
      </w:r>
      <w:r>
        <w:rPr>
          <w:rFonts w:hint="eastAsia" w:hAnsi="宋体"/>
          <w:b w:val="0"/>
          <w:bCs w:val="0"/>
          <w:szCs w:val="28"/>
          <w:highlight w:val="none"/>
          <w:lang w:val="en-US" w:eastAsia="zh-CN"/>
        </w:rPr>
        <w:t>12.5</w:t>
      </w:r>
      <w:r>
        <w:rPr>
          <w:rFonts w:hint="eastAsia" w:hAnsi="宋体"/>
          <w:b w:val="0"/>
          <w:bCs w:val="0"/>
          <w:szCs w:val="28"/>
          <w:highlight w:val="none"/>
        </w:rPr>
        <w:t>分，得分率为</w:t>
      </w:r>
      <w:r>
        <w:rPr>
          <w:rFonts w:hint="eastAsia" w:hAnsi="宋体"/>
          <w:b w:val="0"/>
          <w:bCs w:val="0"/>
          <w:szCs w:val="28"/>
          <w:highlight w:val="none"/>
          <w:lang w:val="en-US" w:eastAsia="zh-CN"/>
        </w:rPr>
        <w:t>100</w:t>
      </w:r>
      <w:r>
        <w:rPr>
          <w:rFonts w:hint="eastAsia" w:hAnsi="宋体"/>
          <w:b w:val="0"/>
          <w:bCs w:val="0"/>
          <w:szCs w:val="28"/>
          <w:highlight w:val="none"/>
        </w:rPr>
        <w:t>%。</w:t>
      </w:r>
    </w:p>
    <w:p>
      <w:pPr>
        <w:bidi w:val="0"/>
        <w:rPr>
          <w:rFonts w:hint="eastAsia"/>
          <w:b/>
          <w:bCs/>
          <w:highlight w:val="none"/>
          <w:lang w:val="en-US" w:eastAsia="zh-CN"/>
        </w:rPr>
      </w:pPr>
      <w:r>
        <w:rPr>
          <w:rFonts w:hint="eastAsia"/>
          <w:b/>
          <w:bCs/>
          <w:highlight w:val="none"/>
          <w:lang w:val="en-US" w:eastAsia="zh-CN"/>
        </w:rPr>
        <w:t>④成本指标</w:t>
      </w:r>
    </w:p>
    <w:p>
      <w:pPr>
        <w:bidi w:val="0"/>
        <w:rPr>
          <w:rFonts w:hint="eastAsia"/>
          <w:highlight w:val="none"/>
          <w:lang w:val="en-US" w:eastAsia="zh-CN"/>
        </w:rPr>
      </w:pPr>
      <w:r>
        <w:rPr>
          <w:rFonts w:hint="eastAsia"/>
          <w:highlight w:val="none"/>
          <w:lang w:eastAsia="zh-CN"/>
        </w:rPr>
        <w:t>成本</w:t>
      </w:r>
      <w:r>
        <w:rPr>
          <w:rFonts w:hint="eastAsia"/>
          <w:highlight w:val="none"/>
        </w:rPr>
        <w:t>指标下设</w:t>
      </w:r>
      <w:r>
        <w:rPr>
          <w:rFonts w:hint="eastAsia"/>
          <w:highlight w:val="none"/>
          <w:lang w:val="en-US" w:eastAsia="zh-CN"/>
        </w:rPr>
        <w:t>1</w:t>
      </w:r>
      <w:r>
        <w:rPr>
          <w:rFonts w:hint="eastAsia"/>
          <w:highlight w:val="none"/>
        </w:rPr>
        <w:t>个三级指标，指标</w:t>
      </w:r>
      <w:r>
        <w:rPr>
          <w:rFonts w:hint="eastAsia"/>
          <w:highlight w:val="none"/>
          <w:lang w:val="en-US" w:eastAsia="zh-CN"/>
        </w:rPr>
        <w:t>分值合计12.5</w:t>
      </w:r>
      <w:r>
        <w:rPr>
          <w:rFonts w:hint="eastAsia"/>
          <w:highlight w:val="none"/>
        </w:rPr>
        <w:t>分，自评得分</w:t>
      </w:r>
      <w:r>
        <w:rPr>
          <w:rFonts w:hint="eastAsia"/>
          <w:highlight w:val="none"/>
          <w:lang w:val="en-US" w:eastAsia="zh-CN"/>
        </w:rPr>
        <w:t>12.5</w:t>
      </w:r>
      <w:r>
        <w:rPr>
          <w:rFonts w:hint="eastAsia"/>
          <w:highlight w:val="none"/>
        </w:rPr>
        <w:t>分，得分率为</w:t>
      </w:r>
      <w:r>
        <w:rPr>
          <w:rFonts w:hint="eastAsia"/>
          <w:highlight w:val="none"/>
          <w:lang w:val="en-US" w:eastAsia="zh-CN"/>
        </w:rPr>
        <w:t>100</w:t>
      </w:r>
      <w:r>
        <w:rPr>
          <w:rFonts w:hint="eastAsia"/>
          <w:highlight w:val="none"/>
        </w:rPr>
        <w:t>%。</w:t>
      </w:r>
    </w:p>
    <w:p>
      <w:pPr>
        <w:ind w:left="0" w:leftChars="0" w:firstLine="562" w:firstLineChars="200"/>
        <w:rPr>
          <w:rFonts w:hAnsi="宋体"/>
          <w:szCs w:val="28"/>
          <w:highlight w:val="none"/>
        </w:rPr>
      </w:pPr>
      <w:r>
        <w:rPr>
          <w:rFonts w:hint="eastAsia" w:ascii="仿宋_GB2312" w:hAnsi="宋体" w:eastAsia="仿宋_GB2312" w:cstheme="minorBidi"/>
          <w:b/>
          <w:bCs/>
          <w:kern w:val="2"/>
          <w:sz w:val="28"/>
          <w:szCs w:val="28"/>
          <w:highlight w:val="none"/>
          <w:lang w:val="en-US" w:eastAsia="zh-CN" w:bidi="ar-SA"/>
        </w:rPr>
        <w:t>是否控制在预算批复范围内</w:t>
      </w:r>
      <w:r>
        <w:rPr>
          <w:rFonts w:hint="eastAsia" w:hAnsi="宋体" w:cstheme="minorBidi"/>
          <w:b/>
          <w:bCs/>
          <w:kern w:val="2"/>
          <w:sz w:val="28"/>
          <w:szCs w:val="28"/>
          <w:highlight w:val="none"/>
          <w:lang w:val="en-US" w:eastAsia="zh-CN" w:bidi="ar-SA"/>
        </w:rPr>
        <w:t>：</w:t>
      </w:r>
      <w:r>
        <w:rPr>
          <w:rFonts w:hint="eastAsia" w:hAnsi="宋体"/>
          <w:szCs w:val="28"/>
          <w:highlight w:val="none"/>
          <w:lang w:val="en-US" w:eastAsia="zh-CN"/>
        </w:rPr>
        <w:t>我院业务费</w:t>
      </w:r>
      <w:r>
        <w:rPr>
          <w:rFonts w:hint="eastAsia" w:hAnsi="宋体"/>
          <w:szCs w:val="28"/>
          <w:highlight w:val="none"/>
        </w:rPr>
        <w:t>全年预算数</w:t>
      </w:r>
      <w:r>
        <w:rPr>
          <w:rFonts w:hint="eastAsia" w:hAnsi="宋体"/>
          <w:szCs w:val="28"/>
          <w:highlight w:val="none"/>
          <w:lang w:eastAsia="zh-CN"/>
        </w:rPr>
        <w:t>和</w:t>
      </w:r>
      <w:r>
        <w:rPr>
          <w:rFonts w:hint="eastAsia" w:hAnsi="宋体"/>
          <w:szCs w:val="28"/>
          <w:highlight w:val="none"/>
        </w:rPr>
        <w:t>实际支出数</w:t>
      </w:r>
      <w:r>
        <w:rPr>
          <w:rFonts w:hint="eastAsia" w:hAnsi="宋体"/>
          <w:szCs w:val="28"/>
          <w:highlight w:val="none"/>
          <w:lang w:eastAsia="zh-CN"/>
        </w:rPr>
        <w:t>均</w:t>
      </w:r>
      <w:r>
        <w:rPr>
          <w:rFonts w:hint="eastAsia" w:hAnsi="宋体"/>
          <w:szCs w:val="28"/>
          <w:highlight w:val="none"/>
        </w:rPr>
        <w:t>为</w:t>
      </w:r>
      <w:r>
        <w:rPr>
          <w:rFonts w:hint="eastAsia" w:hAnsi="宋体"/>
          <w:szCs w:val="28"/>
          <w:highlight w:val="none"/>
          <w:lang w:val="en-US" w:eastAsia="zh-CN"/>
        </w:rPr>
        <w:t>270</w:t>
      </w:r>
      <w:r>
        <w:rPr>
          <w:rFonts w:hint="eastAsia" w:hAnsi="宋体"/>
          <w:szCs w:val="28"/>
          <w:highlight w:val="none"/>
        </w:rPr>
        <w:t>万元，</w:t>
      </w:r>
      <w:r>
        <w:rPr>
          <w:rFonts w:hint="eastAsia" w:hAnsi="宋体" w:cs="宋体"/>
          <w:kern w:val="0"/>
          <w:szCs w:val="28"/>
          <w:highlight w:val="none"/>
          <w:lang w:eastAsia="zh-CN"/>
        </w:rPr>
        <w:t>成本控制在</w:t>
      </w:r>
      <w:r>
        <w:rPr>
          <w:rFonts w:hint="eastAsia" w:hAnsi="宋体" w:cs="宋体"/>
          <w:kern w:val="0"/>
          <w:szCs w:val="28"/>
          <w:highlight w:val="none"/>
        </w:rPr>
        <w:t>全年预算数</w:t>
      </w:r>
      <w:r>
        <w:rPr>
          <w:rFonts w:hint="eastAsia" w:hAnsi="宋体" w:cs="宋体"/>
          <w:kern w:val="0"/>
          <w:szCs w:val="28"/>
          <w:highlight w:val="none"/>
          <w:lang w:eastAsia="zh-CN"/>
        </w:rPr>
        <w:t>以内</w:t>
      </w:r>
      <w:r>
        <w:rPr>
          <w:rFonts w:hint="eastAsia" w:hAnsi="宋体" w:cs="宋体"/>
          <w:kern w:val="0"/>
          <w:szCs w:val="28"/>
          <w:highlight w:val="none"/>
        </w:rPr>
        <w:t>，符合年度指标值的要求。</w:t>
      </w:r>
      <w:r>
        <w:rPr>
          <w:rFonts w:hint="eastAsia" w:hAnsi="宋体"/>
          <w:szCs w:val="28"/>
          <w:highlight w:val="none"/>
        </w:rPr>
        <w:t>该指标分值</w:t>
      </w:r>
      <w:r>
        <w:rPr>
          <w:rFonts w:hint="eastAsia" w:hAnsi="宋体"/>
          <w:szCs w:val="28"/>
          <w:highlight w:val="none"/>
          <w:lang w:val="en-US" w:eastAsia="zh-CN"/>
        </w:rPr>
        <w:t>12.5</w:t>
      </w:r>
      <w:r>
        <w:rPr>
          <w:rFonts w:hint="eastAsia" w:hAnsi="宋体"/>
          <w:szCs w:val="28"/>
          <w:highlight w:val="none"/>
        </w:rPr>
        <w:t>分，</w:t>
      </w:r>
      <w:r>
        <w:rPr>
          <w:rFonts w:hAnsi="宋体"/>
          <w:szCs w:val="28"/>
          <w:highlight w:val="none"/>
        </w:rPr>
        <w:t>按评价标准得</w:t>
      </w:r>
      <w:r>
        <w:rPr>
          <w:rFonts w:hint="eastAsia" w:hAnsi="宋体"/>
          <w:szCs w:val="28"/>
          <w:highlight w:val="none"/>
          <w:lang w:val="en-US" w:eastAsia="zh-CN"/>
        </w:rPr>
        <w:t>12.5</w:t>
      </w:r>
      <w:r>
        <w:rPr>
          <w:rFonts w:hAnsi="宋体"/>
          <w:szCs w:val="28"/>
          <w:highlight w:val="none"/>
        </w:rPr>
        <w:t>分，得分率为</w:t>
      </w:r>
      <w:r>
        <w:rPr>
          <w:rFonts w:hint="eastAsia" w:hAnsi="宋体"/>
          <w:szCs w:val="28"/>
          <w:highlight w:val="none"/>
          <w:lang w:val="en-US" w:eastAsia="zh-CN"/>
        </w:rPr>
        <w:t>100</w:t>
      </w:r>
      <w:r>
        <w:rPr>
          <w:rFonts w:hAnsi="宋体"/>
          <w:szCs w:val="28"/>
          <w:highlight w:val="none"/>
        </w:rPr>
        <w:t>%。</w:t>
      </w:r>
    </w:p>
    <w:p>
      <w:pPr>
        <w:ind w:firstLine="562"/>
        <w:rPr>
          <w:b/>
          <w:bCs/>
          <w:szCs w:val="28"/>
          <w:highlight w:val="none"/>
        </w:rPr>
      </w:pPr>
      <w:r>
        <w:rPr>
          <w:rFonts w:hint="eastAsia"/>
          <w:b/>
          <w:bCs/>
          <w:szCs w:val="28"/>
          <w:highlight w:val="none"/>
        </w:rPr>
        <w:t>（2）效益指标</w:t>
      </w:r>
    </w:p>
    <w:p>
      <w:pPr>
        <w:ind w:firstLine="560"/>
        <w:rPr>
          <w:szCs w:val="28"/>
          <w:highlight w:val="none"/>
        </w:rPr>
      </w:pPr>
      <w:r>
        <w:rPr>
          <w:rFonts w:hint="eastAsia"/>
          <w:szCs w:val="28"/>
          <w:highlight w:val="none"/>
        </w:rPr>
        <w:t>本项目效益指标主要考虑</w:t>
      </w:r>
      <w:r>
        <w:rPr>
          <w:rFonts w:hint="eastAsia"/>
          <w:szCs w:val="28"/>
          <w:highlight w:val="none"/>
          <w:lang w:eastAsia="zh-CN"/>
        </w:rPr>
        <w:t>经济效益、</w:t>
      </w:r>
      <w:r>
        <w:rPr>
          <w:rFonts w:hint="eastAsia"/>
          <w:szCs w:val="28"/>
          <w:highlight w:val="none"/>
        </w:rPr>
        <w:t>社会效益</w:t>
      </w:r>
      <w:r>
        <w:rPr>
          <w:rFonts w:hint="eastAsia"/>
          <w:szCs w:val="28"/>
          <w:highlight w:val="none"/>
          <w:lang w:eastAsia="zh-CN"/>
        </w:rPr>
        <w:t>、</w:t>
      </w:r>
      <w:r>
        <w:rPr>
          <w:rFonts w:hint="eastAsia"/>
          <w:szCs w:val="28"/>
          <w:highlight w:val="none"/>
          <w:lang w:val="en-US" w:eastAsia="zh-CN"/>
        </w:rPr>
        <w:t>生态效益及</w:t>
      </w:r>
      <w:r>
        <w:rPr>
          <w:rFonts w:hint="eastAsia"/>
          <w:szCs w:val="28"/>
          <w:highlight w:val="none"/>
        </w:rPr>
        <w:t>可持续影响</w:t>
      </w:r>
      <w:r>
        <w:rPr>
          <w:rFonts w:hint="eastAsia"/>
          <w:szCs w:val="28"/>
          <w:highlight w:val="none"/>
          <w:lang w:val="en-US" w:eastAsia="zh-CN"/>
        </w:rPr>
        <w:t>4个二级指标</w:t>
      </w:r>
      <w:r>
        <w:rPr>
          <w:rFonts w:hint="eastAsia"/>
          <w:szCs w:val="28"/>
          <w:highlight w:val="none"/>
        </w:rPr>
        <w:t>。总分值30分，得分</w:t>
      </w:r>
      <w:r>
        <w:rPr>
          <w:rFonts w:hint="eastAsia"/>
          <w:szCs w:val="28"/>
          <w:highlight w:val="none"/>
          <w:lang w:val="en-US" w:eastAsia="zh-CN"/>
        </w:rPr>
        <w:t>22.5</w:t>
      </w:r>
      <w:r>
        <w:rPr>
          <w:rFonts w:hint="eastAsia"/>
          <w:szCs w:val="28"/>
          <w:highlight w:val="none"/>
        </w:rPr>
        <w:t>分，得分率</w:t>
      </w:r>
      <w:r>
        <w:rPr>
          <w:rFonts w:hint="eastAsia"/>
          <w:szCs w:val="28"/>
          <w:highlight w:val="none"/>
          <w:lang w:val="en-US" w:eastAsia="zh-CN"/>
        </w:rPr>
        <w:t>75</w:t>
      </w:r>
      <w:r>
        <w:rPr>
          <w:rFonts w:hint="eastAsia"/>
          <w:szCs w:val="28"/>
          <w:highlight w:val="none"/>
        </w:rPr>
        <w:t>%。</w:t>
      </w:r>
    </w:p>
    <w:p>
      <w:pPr>
        <w:ind w:firstLine="562"/>
        <w:rPr>
          <w:rFonts w:hint="eastAsia"/>
          <w:b/>
          <w:bCs/>
          <w:szCs w:val="28"/>
          <w:highlight w:val="none"/>
          <w:lang w:eastAsia="zh-CN"/>
        </w:rPr>
      </w:pPr>
      <w:r>
        <w:rPr>
          <w:rFonts w:hint="eastAsia"/>
          <w:b/>
          <w:bCs/>
          <w:szCs w:val="28"/>
          <w:highlight w:val="none"/>
        </w:rPr>
        <w:t>①</w:t>
      </w:r>
      <w:r>
        <w:rPr>
          <w:rFonts w:hint="eastAsia"/>
          <w:b/>
          <w:bCs/>
          <w:szCs w:val="28"/>
          <w:highlight w:val="none"/>
          <w:lang w:eastAsia="zh-CN"/>
        </w:rPr>
        <w:t>经济效益指标</w:t>
      </w:r>
    </w:p>
    <w:p>
      <w:pPr>
        <w:ind w:firstLine="560"/>
        <w:rPr>
          <w:rFonts w:hAnsi="宋体"/>
          <w:szCs w:val="28"/>
          <w:highlight w:val="none"/>
        </w:rPr>
      </w:pPr>
      <w:r>
        <w:rPr>
          <w:rFonts w:hint="eastAsia"/>
          <w:highlight w:val="none"/>
          <w:lang w:eastAsia="zh-CN"/>
        </w:rPr>
        <w:t>经济效益指标</w:t>
      </w:r>
      <w:r>
        <w:rPr>
          <w:rFonts w:hint="eastAsia"/>
          <w:highlight w:val="none"/>
        </w:rPr>
        <w:t>下设</w:t>
      </w:r>
      <w:r>
        <w:rPr>
          <w:rFonts w:hint="eastAsia"/>
          <w:highlight w:val="none"/>
          <w:lang w:val="en-US" w:eastAsia="zh-CN"/>
        </w:rPr>
        <w:t>1</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分值7.5</w:t>
      </w:r>
      <w:r>
        <w:rPr>
          <w:rFonts w:hint="eastAsia" w:hAnsi="宋体"/>
          <w:szCs w:val="28"/>
          <w:highlight w:val="none"/>
        </w:rPr>
        <w:t>分，自评得分</w:t>
      </w:r>
      <w:r>
        <w:rPr>
          <w:rFonts w:hint="eastAsia" w:hAnsi="宋体"/>
          <w:szCs w:val="28"/>
          <w:highlight w:val="none"/>
          <w:lang w:val="en-US" w:eastAsia="zh-CN"/>
        </w:rPr>
        <w:t>0</w:t>
      </w:r>
      <w:r>
        <w:rPr>
          <w:rFonts w:hint="eastAsia" w:hAnsi="宋体"/>
          <w:szCs w:val="28"/>
          <w:highlight w:val="none"/>
        </w:rPr>
        <w:t>分，得分率为</w:t>
      </w:r>
      <w:r>
        <w:rPr>
          <w:rFonts w:hint="eastAsia" w:hAnsi="宋体"/>
          <w:szCs w:val="28"/>
          <w:highlight w:val="none"/>
          <w:lang w:val="en-US" w:eastAsia="zh-CN"/>
        </w:rPr>
        <w:t>0</w:t>
      </w:r>
      <w:r>
        <w:rPr>
          <w:rFonts w:hint="eastAsia" w:hAnsi="宋体"/>
          <w:szCs w:val="28"/>
          <w:highlight w:val="none"/>
        </w:rPr>
        <w:t>%。</w:t>
      </w:r>
    </w:p>
    <w:p>
      <w:pPr>
        <w:ind w:firstLine="562"/>
        <w:rPr>
          <w:rFonts w:hint="eastAsia"/>
          <w:b/>
          <w:bCs/>
          <w:highlight w:val="none"/>
          <w:lang w:val="en-US" w:eastAsia="zh-CN"/>
        </w:rPr>
      </w:pPr>
      <w:r>
        <w:rPr>
          <w:rFonts w:hint="eastAsia"/>
          <w:b/>
          <w:bCs/>
          <w:highlight w:val="none"/>
          <w:lang w:val="en-US" w:eastAsia="zh-CN"/>
        </w:rPr>
        <w:t>公用经费超支率：</w:t>
      </w:r>
      <w:r>
        <w:rPr>
          <w:rFonts w:hint="eastAsia"/>
          <w:b w:val="0"/>
          <w:bCs w:val="0"/>
          <w:highlight w:val="none"/>
          <w:lang w:val="en-US" w:eastAsia="zh-CN"/>
        </w:rPr>
        <w:t>我院本年度公用经费超支得分0，该指标目标值设置有误导致扣分。</w:t>
      </w:r>
      <w:r>
        <w:rPr>
          <w:rFonts w:hint="eastAsia" w:hAnsi="宋体"/>
          <w:szCs w:val="28"/>
          <w:highlight w:val="none"/>
          <w:lang w:val="en-US" w:eastAsia="zh-CN"/>
        </w:rPr>
        <w:t>该</w:t>
      </w:r>
      <w:r>
        <w:rPr>
          <w:rFonts w:hint="eastAsia" w:hAnsi="宋体"/>
          <w:szCs w:val="28"/>
          <w:highlight w:val="none"/>
        </w:rPr>
        <w:t>指标分值</w:t>
      </w:r>
      <w:r>
        <w:rPr>
          <w:rFonts w:hint="eastAsia" w:hAnsi="宋体"/>
          <w:szCs w:val="28"/>
          <w:highlight w:val="none"/>
          <w:lang w:val="en-US" w:eastAsia="zh-CN"/>
        </w:rPr>
        <w:t>7.5</w:t>
      </w:r>
      <w:r>
        <w:rPr>
          <w:rFonts w:hint="eastAsia" w:hAnsi="宋体"/>
          <w:szCs w:val="28"/>
          <w:highlight w:val="none"/>
        </w:rPr>
        <w:t>分，自评得分</w:t>
      </w:r>
      <w:r>
        <w:rPr>
          <w:rFonts w:hint="eastAsia" w:hAnsi="宋体"/>
          <w:szCs w:val="28"/>
          <w:highlight w:val="none"/>
          <w:lang w:val="en-US" w:eastAsia="zh-CN"/>
        </w:rPr>
        <w:t>0</w:t>
      </w:r>
      <w:r>
        <w:rPr>
          <w:rFonts w:hint="eastAsia" w:hAnsi="宋体"/>
          <w:szCs w:val="28"/>
          <w:highlight w:val="none"/>
        </w:rPr>
        <w:t>分，得分率为</w:t>
      </w:r>
      <w:r>
        <w:rPr>
          <w:rFonts w:hint="eastAsia" w:hAnsi="宋体"/>
          <w:szCs w:val="28"/>
          <w:highlight w:val="none"/>
          <w:lang w:val="en-US" w:eastAsia="zh-CN"/>
        </w:rPr>
        <w:t>0</w:t>
      </w:r>
      <w:r>
        <w:rPr>
          <w:rFonts w:hint="eastAsia" w:hAnsi="宋体"/>
          <w:szCs w:val="28"/>
          <w:highlight w:val="none"/>
        </w:rPr>
        <w:t>%</w:t>
      </w:r>
    </w:p>
    <w:p>
      <w:pPr>
        <w:bidi w:val="0"/>
        <w:rPr>
          <w:rFonts w:hint="eastAsia"/>
          <w:b/>
          <w:bCs/>
          <w:highlight w:val="none"/>
          <w:lang w:eastAsia="zh-CN"/>
        </w:rPr>
      </w:pPr>
      <w:r>
        <w:rPr>
          <w:rFonts w:hint="eastAsia"/>
          <w:b/>
          <w:bCs/>
          <w:highlight w:val="none"/>
          <w:lang w:eastAsia="zh-CN"/>
        </w:rPr>
        <w:t>②社会效益指标</w:t>
      </w:r>
    </w:p>
    <w:p>
      <w:pPr>
        <w:ind w:firstLine="560"/>
        <w:rPr>
          <w:highlight w:val="none"/>
        </w:rPr>
      </w:pPr>
      <w:r>
        <w:rPr>
          <w:rFonts w:hint="eastAsia"/>
          <w:highlight w:val="none"/>
        </w:rPr>
        <w:t>社会效益指标下设</w:t>
      </w:r>
      <w:r>
        <w:rPr>
          <w:rFonts w:hint="eastAsia"/>
          <w:highlight w:val="none"/>
          <w:lang w:val="en-US" w:eastAsia="zh-CN"/>
        </w:rPr>
        <w:t>1</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分值7.5</w:t>
      </w:r>
      <w:r>
        <w:rPr>
          <w:rFonts w:hint="eastAsia" w:hAnsi="宋体"/>
          <w:szCs w:val="28"/>
          <w:highlight w:val="none"/>
        </w:rPr>
        <w:t>分，自评得分</w:t>
      </w:r>
      <w:r>
        <w:rPr>
          <w:rFonts w:hint="eastAsia" w:hAnsi="宋体"/>
          <w:szCs w:val="28"/>
          <w:highlight w:val="none"/>
          <w:lang w:val="en-US" w:eastAsia="zh-CN"/>
        </w:rPr>
        <w:t>7.5</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pStyle w:val="2"/>
        <w:rPr>
          <w:rFonts w:hint="eastAsia" w:hAnsi="宋体"/>
          <w:color w:val="auto"/>
          <w:szCs w:val="28"/>
          <w:highlight w:val="none"/>
        </w:rPr>
      </w:pPr>
      <w:r>
        <w:rPr>
          <w:rFonts w:hint="eastAsia"/>
          <w:b/>
          <w:bCs/>
          <w:highlight w:val="none"/>
          <w:lang w:val="en-US" w:eastAsia="zh-CN"/>
        </w:rPr>
        <w:t>信息化平台投入使用率：</w:t>
      </w:r>
      <w:r>
        <w:rPr>
          <w:rFonts w:hint="eastAsia" w:hAnsi="宋体" w:cstheme="minorBidi"/>
          <w:b w:val="0"/>
          <w:bCs w:val="0"/>
          <w:color w:val="auto"/>
          <w:kern w:val="2"/>
          <w:sz w:val="28"/>
          <w:szCs w:val="28"/>
          <w:highlight w:val="none"/>
          <w:lang w:val="en-US" w:eastAsia="zh-CN" w:bidi="ar-SA"/>
        </w:rPr>
        <w:t>年度目标&gt;=85%，实际完成=85%，</w:t>
      </w:r>
      <w:r>
        <w:rPr>
          <w:rFonts w:hint="eastAsia" w:hAnsi="宋体"/>
          <w:color w:val="auto"/>
          <w:szCs w:val="28"/>
          <w:highlight w:val="none"/>
        </w:rPr>
        <w:t>该指标分值</w:t>
      </w:r>
      <w:r>
        <w:rPr>
          <w:rFonts w:hint="eastAsia" w:hAnsi="宋体"/>
          <w:color w:val="auto"/>
          <w:szCs w:val="28"/>
          <w:highlight w:val="none"/>
          <w:lang w:val="en-US" w:eastAsia="zh-CN"/>
        </w:rPr>
        <w:t>7.5</w:t>
      </w:r>
      <w:r>
        <w:rPr>
          <w:rFonts w:hint="eastAsia" w:hAnsi="宋体"/>
          <w:color w:val="auto"/>
          <w:szCs w:val="28"/>
          <w:highlight w:val="none"/>
        </w:rPr>
        <w:t>分，自评得分为</w:t>
      </w:r>
      <w:r>
        <w:rPr>
          <w:rFonts w:hint="eastAsia" w:hAnsi="宋体"/>
          <w:color w:val="auto"/>
          <w:szCs w:val="28"/>
          <w:highlight w:val="none"/>
          <w:lang w:val="en-US" w:eastAsia="zh-CN"/>
        </w:rPr>
        <w:t>7.5</w:t>
      </w:r>
      <w:r>
        <w:rPr>
          <w:rFonts w:hint="eastAsia" w:hAnsi="宋体"/>
          <w:color w:val="auto"/>
          <w:szCs w:val="28"/>
          <w:highlight w:val="none"/>
        </w:rPr>
        <w:t>分，得分率为</w:t>
      </w:r>
      <w:r>
        <w:rPr>
          <w:rFonts w:hint="eastAsia" w:hAnsi="宋体"/>
          <w:color w:val="auto"/>
          <w:szCs w:val="28"/>
          <w:highlight w:val="none"/>
          <w:lang w:val="en-US" w:eastAsia="zh-CN"/>
        </w:rPr>
        <w:t>100</w:t>
      </w:r>
      <w:r>
        <w:rPr>
          <w:rFonts w:hint="eastAsia" w:hAnsi="宋体"/>
          <w:color w:val="auto"/>
          <w:szCs w:val="28"/>
          <w:highlight w:val="none"/>
        </w:rPr>
        <w:t>%。</w:t>
      </w:r>
    </w:p>
    <w:p>
      <w:pPr>
        <w:rPr>
          <w:rFonts w:hint="eastAsia"/>
          <w:b/>
          <w:bCs/>
          <w:highlight w:val="none"/>
          <w:lang w:val="en-US" w:eastAsia="zh-CN"/>
        </w:rPr>
      </w:pPr>
      <w:r>
        <w:rPr>
          <w:rFonts w:hint="eastAsia"/>
          <w:b/>
          <w:bCs/>
          <w:highlight w:val="none"/>
          <w:lang w:val="en-US" w:eastAsia="zh-CN"/>
        </w:rPr>
        <w:t>③生态效益指标</w:t>
      </w:r>
    </w:p>
    <w:p>
      <w:pPr>
        <w:ind w:firstLine="560"/>
        <w:rPr>
          <w:highlight w:val="none"/>
        </w:rPr>
      </w:pPr>
      <w:r>
        <w:rPr>
          <w:rFonts w:hint="eastAsia"/>
          <w:highlight w:val="none"/>
          <w:lang w:val="en-US" w:eastAsia="zh-CN"/>
        </w:rPr>
        <w:t>生态</w:t>
      </w:r>
      <w:r>
        <w:rPr>
          <w:rFonts w:hint="eastAsia"/>
          <w:highlight w:val="none"/>
        </w:rPr>
        <w:t>效益指标下设</w:t>
      </w:r>
      <w:r>
        <w:rPr>
          <w:rFonts w:hint="eastAsia"/>
          <w:highlight w:val="none"/>
          <w:lang w:val="en-US" w:eastAsia="zh-CN"/>
        </w:rPr>
        <w:t>1</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分值7.5</w:t>
      </w:r>
      <w:r>
        <w:rPr>
          <w:rFonts w:hint="eastAsia" w:hAnsi="宋体"/>
          <w:szCs w:val="28"/>
          <w:highlight w:val="none"/>
        </w:rPr>
        <w:t>分，自评得分</w:t>
      </w:r>
      <w:r>
        <w:rPr>
          <w:rFonts w:hint="eastAsia" w:hAnsi="宋体"/>
          <w:szCs w:val="28"/>
          <w:highlight w:val="none"/>
          <w:lang w:val="en-US" w:eastAsia="zh-CN"/>
        </w:rPr>
        <w:t>7.5</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pStyle w:val="2"/>
        <w:rPr>
          <w:rFonts w:hint="default"/>
          <w:b/>
          <w:bCs/>
          <w:lang w:val="en-US" w:eastAsia="zh-CN"/>
        </w:rPr>
      </w:pPr>
      <w:r>
        <w:rPr>
          <w:rFonts w:hint="default"/>
          <w:b/>
          <w:bCs/>
          <w:lang w:val="en-US" w:eastAsia="zh-CN"/>
        </w:rPr>
        <w:t>公众生态环境保护意识</w:t>
      </w:r>
      <w:r>
        <w:rPr>
          <w:rFonts w:hint="eastAsia"/>
          <w:b/>
          <w:bCs/>
          <w:lang w:val="en-US" w:eastAsia="zh-CN"/>
        </w:rPr>
        <w:t>：</w:t>
      </w:r>
      <w:r>
        <w:rPr>
          <w:rFonts w:hint="eastAsia" w:hAnsi="宋体" w:cstheme="minorBidi"/>
          <w:b w:val="0"/>
          <w:bCs w:val="0"/>
          <w:color w:val="auto"/>
          <w:kern w:val="2"/>
          <w:sz w:val="28"/>
          <w:szCs w:val="28"/>
          <w:highlight w:val="none"/>
          <w:lang w:val="en-US" w:eastAsia="zh-CN" w:bidi="ar-SA"/>
        </w:rPr>
        <w:t>年度目标&gt;=80%，实际完成=80%，</w:t>
      </w:r>
      <w:r>
        <w:rPr>
          <w:rFonts w:hint="eastAsia" w:hAnsi="宋体"/>
          <w:color w:val="auto"/>
          <w:szCs w:val="28"/>
          <w:highlight w:val="none"/>
        </w:rPr>
        <w:t>该指标分值</w:t>
      </w:r>
      <w:r>
        <w:rPr>
          <w:rFonts w:hint="eastAsia" w:hAnsi="宋体"/>
          <w:color w:val="auto"/>
          <w:szCs w:val="28"/>
          <w:highlight w:val="none"/>
          <w:lang w:val="en-US" w:eastAsia="zh-CN"/>
        </w:rPr>
        <w:t>7.5</w:t>
      </w:r>
      <w:r>
        <w:rPr>
          <w:rFonts w:hint="eastAsia" w:hAnsi="宋体"/>
          <w:color w:val="auto"/>
          <w:szCs w:val="28"/>
          <w:highlight w:val="none"/>
        </w:rPr>
        <w:t>分，自评得分为</w:t>
      </w:r>
      <w:r>
        <w:rPr>
          <w:rFonts w:hint="eastAsia" w:hAnsi="宋体"/>
          <w:color w:val="auto"/>
          <w:szCs w:val="28"/>
          <w:highlight w:val="none"/>
          <w:lang w:val="en-US" w:eastAsia="zh-CN"/>
        </w:rPr>
        <w:t>7.5</w:t>
      </w:r>
      <w:r>
        <w:rPr>
          <w:rFonts w:hint="eastAsia" w:hAnsi="宋体"/>
          <w:color w:val="auto"/>
          <w:szCs w:val="28"/>
          <w:highlight w:val="none"/>
        </w:rPr>
        <w:t>分，得分率为</w:t>
      </w:r>
      <w:r>
        <w:rPr>
          <w:rFonts w:hint="eastAsia" w:hAnsi="宋体"/>
          <w:color w:val="auto"/>
          <w:szCs w:val="28"/>
          <w:highlight w:val="none"/>
          <w:lang w:val="en-US" w:eastAsia="zh-CN"/>
        </w:rPr>
        <w:t>100</w:t>
      </w:r>
      <w:r>
        <w:rPr>
          <w:rFonts w:hint="eastAsia" w:hAnsi="宋体"/>
          <w:color w:val="auto"/>
          <w:szCs w:val="28"/>
          <w:highlight w:val="none"/>
        </w:rPr>
        <w:t>%。</w:t>
      </w:r>
    </w:p>
    <w:p>
      <w:pPr>
        <w:bidi w:val="0"/>
        <w:rPr>
          <w:rFonts w:hint="default"/>
          <w:b/>
          <w:bCs/>
          <w:highlight w:val="none"/>
          <w:lang w:val="en-US" w:eastAsia="zh-CN"/>
        </w:rPr>
      </w:pPr>
      <w:r>
        <w:rPr>
          <w:rFonts w:hint="eastAsia" w:ascii="Calibri" w:hAnsi="Calibri" w:eastAsia="仿宋_GB2312" w:cs="Calibri"/>
          <w:b/>
          <w:bCs/>
          <w:kern w:val="2"/>
          <w:sz w:val="28"/>
          <w:szCs w:val="28"/>
          <w:highlight w:val="none"/>
          <w:lang w:val="en-US" w:eastAsia="zh-CN" w:bidi="ar-SA"/>
        </w:rPr>
        <w:t>④</w:t>
      </w:r>
      <w:r>
        <w:rPr>
          <w:rFonts w:hint="eastAsia"/>
          <w:b/>
          <w:bCs/>
          <w:highlight w:val="none"/>
          <w:lang w:val="en-US" w:eastAsia="zh-CN"/>
        </w:rPr>
        <w:t>可持续影响指标</w:t>
      </w:r>
    </w:p>
    <w:p>
      <w:pPr>
        <w:ind w:firstLine="560"/>
        <w:rPr>
          <w:rFonts w:hint="eastAsia" w:hAnsi="宋体"/>
          <w:szCs w:val="28"/>
          <w:highlight w:val="none"/>
        </w:rPr>
      </w:pPr>
      <w:r>
        <w:rPr>
          <w:rFonts w:hint="eastAsia"/>
          <w:highlight w:val="none"/>
          <w:lang w:val="en-US" w:eastAsia="zh-CN"/>
        </w:rPr>
        <w:t>可持续影响</w:t>
      </w:r>
      <w:r>
        <w:rPr>
          <w:rFonts w:hint="eastAsia"/>
          <w:highlight w:val="none"/>
        </w:rPr>
        <w:t>指标下设</w:t>
      </w:r>
      <w:r>
        <w:rPr>
          <w:rFonts w:hint="eastAsia"/>
          <w:highlight w:val="none"/>
          <w:lang w:val="en-US" w:eastAsia="zh-CN"/>
        </w:rPr>
        <w:t>1</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分值7.5</w:t>
      </w:r>
      <w:r>
        <w:rPr>
          <w:rFonts w:hint="eastAsia" w:hAnsi="宋体"/>
          <w:szCs w:val="28"/>
          <w:highlight w:val="none"/>
        </w:rPr>
        <w:t>分，自评得分</w:t>
      </w:r>
      <w:r>
        <w:rPr>
          <w:rFonts w:hint="eastAsia" w:hAnsi="宋体"/>
          <w:szCs w:val="28"/>
          <w:highlight w:val="none"/>
          <w:lang w:val="en-US" w:eastAsia="zh-CN"/>
        </w:rPr>
        <w:t>7.5</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ind w:firstLine="562"/>
        <w:rPr>
          <w:rFonts w:hint="eastAsia" w:hAnsi="宋体" w:eastAsia="仿宋_GB2312"/>
          <w:b/>
          <w:bCs/>
          <w:szCs w:val="28"/>
          <w:highlight w:val="none"/>
          <w:lang w:eastAsia="zh-CN"/>
        </w:rPr>
      </w:pPr>
      <w:r>
        <w:rPr>
          <w:rFonts w:hint="eastAsia" w:hAnsi="宋体"/>
          <w:b/>
          <w:bCs/>
          <w:szCs w:val="28"/>
          <w:highlight w:val="none"/>
          <w:lang w:val="en-US" w:eastAsia="zh-CN"/>
        </w:rPr>
        <w:t>档案管理机制：</w:t>
      </w:r>
      <w:r>
        <w:rPr>
          <w:rFonts w:hint="eastAsia" w:ascii="Times New Roman" w:hAnsi="宋体" w:eastAsia="仿宋_GB2312" w:cstheme="minorBidi"/>
          <w:kern w:val="2"/>
          <w:sz w:val="28"/>
          <w:szCs w:val="24"/>
          <w:highlight w:val="none"/>
          <w:lang w:val="en-US" w:eastAsia="zh-CN" w:bidi="ar-SA"/>
        </w:rPr>
        <w:t>我我院档案管理工作完成较好，档案收集、档案保管方面管理到位，并设有档案管理的专职人员。</w:t>
      </w:r>
      <w:r>
        <w:rPr>
          <w:rFonts w:hint="eastAsia" w:hAnsi="宋体"/>
          <w:szCs w:val="28"/>
          <w:highlight w:val="none"/>
          <w:lang w:val="en-US" w:eastAsia="zh-CN"/>
        </w:rPr>
        <w:t>该</w:t>
      </w:r>
      <w:r>
        <w:rPr>
          <w:rFonts w:hint="eastAsia" w:hAnsi="宋体"/>
          <w:szCs w:val="28"/>
          <w:highlight w:val="none"/>
        </w:rPr>
        <w:t>指标分值</w:t>
      </w:r>
      <w:r>
        <w:rPr>
          <w:rFonts w:hint="eastAsia" w:hAnsi="宋体"/>
          <w:szCs w:val="28"/>
          <w:highlight w:val="none"/>
          <w:lang w:val="en-US" w:eastAsia="zh-CN"/>
        </w:rPr>
        <w:t>7.5</w:t>
      </w:r>
      <w:r>
        <w:rPr>
          <w:rFonts w:hint="eastAsia" w:hAnsi="宋体"/>
          <w:szCs w:val="28"/>
          <w:highlight w:val="none"/>
        </w:rPr>
        <w:t>分，自评得分</w:t>
      </w:r>
      <w:r>
        <w:rPr>
          <w:rFonts w:hint="eastAsia" w:hAnsi="宋体"/>
          <w:szCs w:val="28"/>
          <w:highlight w:val="none"/>
          <w:lang w:val="en-US" w:eastAsia="zh-CN"/>
        </w:rPr>
        <w:t>7.5</w:t>
      </w:r>
      <w:r>
        <w:rPr>
          <w:rFonts w:hint="eastAsia" w:hAnsi="宋体"/>
          <w:szCs w:val="28"/>
          <w:highlight w:val="none"/>
        </w:rPr>
        <w:t>分，得分率为100%</w:t>
      </w:r>
    </w:p>
    <w:p>
      <w:pPr>
        <w:pStyle w:val="5"/>
        <w:bidi w:val="0"/>
        <w:rPr>
          <w:highlight w:val="none"/>
        </w:rPr>
      </w:pPr>
      <w:r>
        <w:rPr>
          <w:rFonts w:hint="eastAsia"/>
          <w:b w:val="0"/>
          <w:bCs w:val="0"/>
          <w:szCs w:val="28"/>
          <w:highlight w:val="none"/>
        </w:rPr>
        <w:t>（3）</w:t>
      </w:r>
      <w:r>
        <w:rPr>
          <w:rFonts w:hint="eastAsia"/>
          <w:highlight w:val="none"/>
        </w:rPr>
        <w:t>服务对象满意度指标</w:t>
      </w:r>
    </w:p>
    <w:p>
      <w:pPr>
        <w:ind w:firstLine="560"/>
        <w:rPr>
          <w:highlight w:val="none"/>
        </w:rPr>
      </w:pPr>
      <w:r>
        <w:rPr>
          <w:rFonts w:hint="eastAsia" w:hAnsi="宋体"/>
          <w:szCs w:val="28"/>
          <w:highlight w:val="none"/>
        </w:rPr>
        <w:t>服务对象满意度主要考察当事人满意度</w:t>
      </w:r>
      <w:r>
        <w:rPr>
          <w:rFonts w:hint="eastAsia" w:hAnsi="宋体"/>
          <w:szCs w:val="28"/>
          <w:highlight w:val="none"/>
          <w:lang w:eastAsia="zh-CN"/>
        </w:rPr>
        <w:t>。</w:t>
      </w:r>
      <w:r>
        <w:rPr>
          <w:rFonts w:hAnsi="宋体"/>
          <w:szCs w:val="28"/>
          <w:highlight w:val="none"/>
        </w:rPr>
        <w:t>该指标分值</w:t>
      </w:r>
      <w:r>
        <w:rPr>
          <w:rFonts w:hint="eastAsia" w:hAnsi="宋体"/>
          <w:szCs w:val="28"/>
          <w:highlight w:val="none"/>
          <w:lang w:val="en-US" w:eastAsia="zh-CN"/>
        </w:rPr>
        <w:t>10</w:t>
      </w:r>
      <w:r>
        <w:rPr>
          <w:rFonts w:hint="eastAsia" w:hAnsi="宋体"/>
          <w:szCs w:val="28"/>
          <w:highlight w:val="none"/>
        </w:rPr>
        <w:t>分，自评得分</w:t>
      </w:r>
      <w:r>
        <w:rPr>
          <w:rFonts w:hint="eastAsia" w:hAnsi="宋体"/>
          <w:szCs w:val="28"/>
          <w:highlight w:val="none"/>
          <w:lang w:val="en-US" w:eastAsia="zh-CN"/>
        </w:rPr>
        <w:t>10</w:t>
      </w:r>
      <w:r>
        <w:rPr>
          <w:rFonts w:hint="eastAsia" w:hAnsi="宋体"/>
          <w:szCs w:val="28"/>
          <w:highlight w:val="none"/>
        </w:rPr>
        <w:t>分，得分率</w:t>
      </w:r>
      <w:r>
        <w:rPr>
          <w:rFonts w:hint="eastAsia" w:hAnsi="宋体"/>
          <w:szCs w:val="28"/>
          <w:highlight w:val="none"/>
          <w:lang w:val="en-US" w:eastAsia="zh-CN"/>
        </w:rPr>
        <w:t>100</w:t>
      </w:r>
      <w:r>
        <w:rPr>
          <w:rFonts w:hint="eastAsia" w:hAnsi="宋体"/>
          <w:szCs w:val="28"/>
          <w:highlight w:val="none"/>
        </w:rPr>
        <w:t>%。</w:t>
      </w:r>
    </w:p>
    <w:p>
      <w:pPr>
        <w:bidi w:val="0"/>
        <w:rPr>
          <w:rFonts w:hint="eastAsia" w:eastAsia="仿宋_GB2312"/>
          <w:b/>
          <w:bCs/>
          <w:highlight w:val="none"/>
          <w:lang w:eastAsia="zh-CN"/>
        </w:rPr>
      </w:pPr>
      <w:r>
        <w:rPr>
          <w:rFonts w:hint="eastAsia"/>
          <w:szCs w:val="28"/>
          <w:highlight w:val="none"/>
        </w:rPr>
        <w:t>202</w:t>
      </w:r>
      <w:r>
        <w:rPr>
          <w:rFonts w:hint="eastAsia"/>
          <w:szCs w:val="28"/>
          <w:highlight w:val="none"/>
          <w:lang w:val="en-US" w:eastAsia="zh-CN"/>
        </w:rPr>
        <w:t>2</w:t>
      </w:r>
      <w:r>
        <w:rPr>
          <w:rFonts w:hint="eastAsia"/>
          <w:szCs w:val="28"/>
          <w:highlight w:val="none"/>
        </w:rPr>
        <w:t>年，我院在院党组的正确领导和分管院领导的悉心指导下，坚持以审判需求为导向、以司法能力建设为核心、以社会责任为目标，忠实履职尽责，主动担当作为，在常态化疫情防控形势下书写了本院工作高质量发展的新篇章，通过满意度调查，当事人对法院工作满意，达到了目标值。该指标分值10分，根据评分标准自评得分</w:t>
      </w:r>
      <w:r>
        <w:rPr>
          <w:rFonts w:hint="eastAsia"/>
          <w:szCs w:val="28"/>
          <w:highlight w:val="none"/>
          <w:lang w:val="en-US" w:eastAsia="zh-CN"/>
        </w:rPr>
        <w:t>10</w:t>
      </w:r>
      <w:r>
        <w:rPr>
          <w:rFonts w:hint="eastAsia"/>
          <w:szCs w:val="28"/>
          <w:highlight w:val="none"/>
        </w:rPr>
        <w:t>分，得分率为</w:t>
      </w:r>
      <w:r>
        <w:rPr>
          <w:rFonts w:hint="eastAsia"/>
          <w:szCs w:val="28"/>
          <w:highlight w:val="none"/>
          <w:lang w:val="en-US" w:eastAsia="zh-CN"/>
        </w:rPr>
        <w:t>10</w:t>
      </w:r>
      <w:r>
        <w:rPr>
          <w:rFonts w:hint="eastAsia"/>
          <w:szCs w:val="28"/>
          <w:highlight w:val="none"/>
        </w:rPr>
        <w:t>0%</w:t>
      </w:r>
      <w:r>
        <w:rPr>
          <w:rFonts w:hint="eastAsia"/>
          <w:szCs w:val="28"/>
          <w:highlight w:val="none"/>
          <w:lang w:eastAsia="zh-CN"/>
        </w:rPr>
        <w:t>。</w:t>
      </w:r>
    </w:p>
    <w:p>
      <w:pPr>
        <w:pStyle w:val="5"/>
        <w:ind w:firstLine="562"/>
        <w:rPr>
          <w:rFonts w:hint="eastAsia"/>
          <w:highlight w:val="none"/>
        </w:rPr>
      </w:pPr>
      <w:r>
        <w:rPr>
          <w:rFonts w:hint="eastAsia"/>
          <w:highlight w:val="none"/>
        </w:rPr>
        <w:t>4</w:t>
      </w:r>
      <w:r>
        <w:rPr>
          <w:rFonts w:hint="eastAsia"/>
          <w:highlight w:val="none"/>
          <w:lang w:eastAsia="zh-CN"/>
        </w:rPr>
        <w:t>.</w:t>
      </w:r>
      <w:r>
        <w:rPr>
          <w:rFonts w:hint="eastAsia"/>
          <w:highlight w:val="none"/>
        </w:rPr>
        <w:t>偏离绩效目标的原因及下一步改进措施</w:t>
      </w:r>
    </w:p>
    <w:p>
      <w:pPr>
        <w:bidi w:val="0"/>
        <w:rPr>
          <w:rFonts w:hint="eastAsia"/>
          <w:b w:val="0"/>
          <w:bCs w:val="0"/>
          <w:highlight w:val="none"/>
          <w:lang w:val="en-US" w:eastAsia="zh-CN"/>
        </w:rPr>
      </w:pPr>
      <w:bookmarkStart w:id="76" w:name="_Toc11271"/>
      <w:r>
        <w:rPr>
          <w:rFonts w:hint="eastAsia"/>
          <w:b/>
          <w:bCs/>
          <w:highlight w:val="none"/>
          <w:lang w:val="en-US" w:eastAsia="zh-CN"/>
        </w:rPr>
        <w:t>1.部分指标未达到目标值。</w:t>
      </w:r>
      <w:r>
        <w:rPr>
          <w:rFonts w:hint="eastAsia"/>
          <w:b w:val="0"/>
          <w:bCs w:val="0"/>
          <w:highlight w:val="none"/>
          <w:lang w:val="en-US" w:eastAsia="zh-CN"/>
        </w:rPr>
        <w:t>“公用经费超支率，指标目标值设置有误导致扣分，</w:t>
      </w:r>
      <w:r>
        <w:rPr>
          <w:rFonts w:hint="eastAsia"/>
          <w:highlight w:val="none"/>
          <w:lang w:val="en-US" w:eastAsia="zh-CN"/>
        </w:rPr>
        <w:t>下年度我院将加强预算绩效知识学习，合理设置年度指标值。</w:t>
      </w:r>
    </w:p>
    <w:p>
      <w:pPr>
        <w:pStyle w:val="3"/>
        <w:rPr>
          <w:highlight w:val="none"/>
        </w:rPr>
      </w:pPr>
      <w:r>
        <w:rPr>
          <w:rFonts w:hint="eastAsia"/>
          <w:highlight w:val="none"/>
        </w:rPr>
        <w:t>五、部门管理的省对市县转移支付绩效自评情况分析</w:t>
      </w:r>
      <w:bookmarkEnd w:id="69"/>
      <w:bookmarkEnd w:id="70"/>
      <w:bookmarkEnd w:id="71"/>
      <w:bookmarkEnd w:id="72"/>
      <w:bookmarkEnd w:id="73"/>
      <w:bookmarkEnd w:id="76"/>
      <w:r>
        <w:rPr>
          <w:rFonts w:hint="eastAsia"/>
          <w:highlight w:val="none"/>
        </w:rPr>
        <w:tab/>
      </w:r>
    </w:p>
    <w:p>
      <w:pPr>
        <w:ind w:firstLine="560"/>
        <w:rPr>
          <w:rFonts w:hAnsi="宋体"/>
          <w:szCs w:val="28"/>
          <w:highlight w:val="none"/>
        </w:rPr>
      </w:pPr>
      <w:r>
        <w:rPr>
          <w:rFonts w:hint="eastAsia" w:hAnsi="宋体"/>
          <w:szCs w:val="28"/>
          <w:highlight w:val="none"/>
          <w:lang w:eastAsia="zh-CN"/>
        </w:rPr>
        <w:t>202</w:t>
      </w:r>
      <w:r>
        <w:rPr>
          <w:rFonts w:hint="eastAsia" w:hAnsi="宋体"/>
          <w:szCs w:val="28"/>
          <w:highlight w:val="none"/>
          <w:lang w:val="en-US" w:eastAsia="zh-CN"/>
        </w:rPr>
        <w:t>2</w:t>
      </w:r>
      <w:r>
        <w:rPr>
          <w:rFonts w:hint="eastAsia" w:hAnsi="宋体"/>
          <w:szCs w:val="28"/>
          <w:highlight w:val="none"/>
        </w:rPr>
        <w:t>年，我院转移支付自评项目为1个，通过自评，结果为“优”，自评情况分析如下：</w:t>
      </w:r>
    </w:p>
    <w:p>
      <w:pPr>
        <w:pStyle w:val="4"/>
        <w:ind w:firstLine="643"/>
        <w:rPr>
          <w:highlight w:val="none"/>
        </w:rPr>
      </w:pPr>
      <w:bookmarkStart w:id="77" w:name="_Toc31419"/>
      <w:bookmarkStart w:id="78" w:name="_Toc12566"/>
      <w:bookmarkStart w:id="79" w:name="_Toc6868"/>
      <w:bookmarkStart w:id="80" w:name="_Toc3384"/>
      <w:r>
        <w:rPr>
          <w:rFonts w:hint="eastAsia"/>
          <w:highlight w:val="none"/>
        </w:rPr>
        <w:t>（一）中央政法转移支付资金</w:t>
      </w:r>
      <w:bookmarkEnd w:id="77"/>
      <w:bookmarkEnd w:id="78"/>
      <w:bookmarkEnd w:id="79"/>
      <w:bookmarkEnd w:id="80"/>
    </w:p>
    <w:p>
      <w:pPr>
        <w:rPr>
          <w:highlight w:val="none"/>
        </w:rPr>
      </w:pPr>
      <w:bookmarkStart w:id="81" w:name="_Toc6252"/>
      <w:bookmarkStart w:id="82" w:name="_Toc26665"/>
      <w:bookmarkStart w:id="83" w:name="_Toc32543"/>
      <w:r>
        <w:rPr>
          <w:rFonts w:hint="eastAsia"/>
          <w:highlight w:val="none"/>
        </w:rPr>
        <w:t>本次绩效自评综合评定202</w:t>
      </w:r>
      <w:r>
        <w:rPr>
          <w:rFonts w:hint="eastAsia"/>
          <w:highlight w:val="none"/>
          <w:lang w:val="en-US" w:eastAsia="zh-CN"/>
        </w:rPr>
        <w:t>2</w:t>
      </w:r>
      <w:r>
        <w:rPr>
          <w:rFonts w:hint="eastAsia"/>
          <w:highlight w:val="none"/>
        </w:rPr>
        <w:t>年</w:t>
      </w:r>
      <w:r>
        <w:rPr>
          <w:rFonts w:hint="eastAsia"/>
          <w:highlight w:val="none"/>
          <w:lang w:val="en-US" w:eastAsia="zh-CN"/>
        </w:rPr>
        <w:t>中央政法转移支付资金</w:t>
      </w:r>
      <w:r>
        <w:rPr>
          <w:rFonts w:hint="eastAsia"/>
          <w:highlight w:val="none"/>
        </w:rPr>
        <w:t>支出绩效得分为</w:t>
      </w:r>
      <w:r>
        <w:rPr>
          <w:rFonts w:hint="eastAsia"/>
          <w:highlight w:val="none"/>
          <w:lang w:val="en-US" w:eastAsia="zh-CN"/>
        </w:rPr>
        <w:t>95.77</w:t>
      </w:r>
      <w:r>
        <w:rPr>
          <w:rFonts w:hint="eastAsia"/>
          <w:highlight w:val="none"/>
        </w:rPr>
        <w:t>分，绩效等级为“优”。项目支出绩效评价包括</w:t>
      </w:r>
      <w:r>
        <w:rPr>
          <w:rFonts w:hint="eastAsia" w:ascii="仿宋_GB2312" w:hAnsi="仿宋_GB2312" w:eastAsia="仿宋_GB2312" w:cs="仿宋_GB2312"/>
          <w:highlight w:val="none"/>
          <w:lang w:val="en-US" w:eastAsia="zh-CN"/>
        </w:rPr>
        <w:t>项目资金预算执行率</w:t>
      </w:r>
      <w:r>
        <w:rPr>
          <w:rFonts w:hint="eastAsia" w:ascii="仿宋_GB2312" w:hAnsi="仿宋_GB2312" w:cs="仿宋_GB2312"/>
          <w:highlight w:val="none"/>
          <w:lang w:val="en-US" w:eastAsia="zh-CN"/>
        </w:rPr>
        <w:t>、</w:t>
      </w:r>
      <w:r>
        <w:rPr>
          <w:rFonts w:hint="eastAsia"/>
          <w:highlight w:val="none"/>
        </w:rPr>
        <w:t>产出、效益、满意度</w:t>
      </w:r>
      <w:r>
        <w:rPr>
          <w:rFonts w:hint="eastAsia"/>
          <w:highlight w:val="none"/>
          <w:lang w:val="en-US" w:eastAsia="zh-CN"/>
        </w:rPr>
        <w:t>四</w:t>
      </w:r>
      <w:r>
        <w:rPr>
          <w:rFonts w:hint="eastAsia"/>
          <w:highlight w:val="none"/>
        </w:rPr>
        <w:t>个一级指标，下设</w:t>
      </w:r>
      <w:r>
        <w:rPr>
          <w:rFonts w:hint="eastAsia"/>
          <w:highlight w:val="none"/>
          <w:lang w:val="en-US" w:eastAsia="zh-CN"/>
        </w:rPr>
        <w:t>9</w:t>
      </w:r>
      <w:r>
        <w:rPr>
          <w:rFonts w:hint="eastAsia"/>
          <w:highlight w:val="none"/>
        </w:rPr>
        <w:t>个二级指标和</w:t>
      </w:r>
      <w:r>
        <w:rPr>
          <w:rFonts w:hint="eastAsia"/>
          <w:highlight w:val="none"/>
          <w:lang w:val="en-US" w:eastAsia="zh-CN"/>
        </w:rPr>
        <w:t>23</w:t>
      </w:r>
      <w:r>
        <w:rPr>
          <w:rFonts w:hint="eastAsia"/>
          <w:highlight w:val="none"/>
        </w:rPr>
        <w:t>个三级指标。项目资金预算执行率</w:t>
      </w:r>
      <w:r>
        <w:rPr>
          <w:rFonts w:hint="eastAsia"/>
          <w:highlight w:val="none"/>
          <w:lang w:val="en-US" w:eastAsia="zh-CN"/>
        </w:rPr>
        <w:t>100</w:t>
      </w:r>
      <w:r>
        <w:rPr>
          <w:rFonts w:hint="eastAsia"/>
          <w:highlight w:val="none"/>
        </w:rPr>
        <w:t>%，一级指标得分情况详见下表：</w:t>
      </w:r>
    </w:p>
    <w:tbl>
      <w:tblPr>
        <w:tblStyle w:val="20"/>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产出</w:t>
            </w:r>
            <w:r>
              <w:rPr>
                <w:rFonts w:hint="eastAsia" w:hAnsi="宋体" w:cs="宋体"/>
                <w:color w:val="000000"/>
                <w:kern w:val="0"/>
                <w:sz w:val="24"/>
                <w:szCs w:val="28"/>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45.77</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91.54</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效益</w:t>
            </w:r>
            <w:r>
              <w:rPr>
                <w:rFonts w:hint="eastAsia" w:hAnsi="宋体" w:cs="宋体"/>
                <w:color w:val="000000"/>
                <w:kern w:val="0"/>
                <w:sz w:val="24"/>
                <w:szCs w:val="28"/>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满意度</w:t>
            </w:r>
            <w:r>
              <w:rPr>
                <w:rFonts w:hint="eastAsia" w:hAnsi="宋体" w:cs="宋体"/>
                <w:color w:val="000000"/>
                <w:kern w:val="0"/>
                <w:sz w:val="24"/>
                <w:szCs w:val="28"/>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ascii="宋体" w:hAnsi="宋体" w:eastAsia="宋体" w:cs="宋体"/>
                <w:color w:val="000000"/>
                <w:kern w:val="0"/>
                <w:sz w:val="22"/>
                <w:szCs w:val="22"/>
                <w:highlight w:val="none"/>
              </w:rPr>
              <w:t>10</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95.77</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95.77</w:t>
            </w:r>
            <w:r>
              <w:rPr>
                <w:rFonts w:hint="eastAsia" w:ascii="宋体" w:hAnsi="宋体" w:eastAsia="宋体" w:cs="宋体"/>
                <w:b/>
                <w:color w:val="000000"/>
                <w:kern w:val="0"/>
                <w:sz w:val="22"/>
                <w:szCs w:val="22"/>
                <w:highlight w:val="none"/>
              </w:rPr>
              <w:t>%</w:t>
            </w:r>
          </w:p>
        </w:tc>
      </w:tr>
    </w:tbl>
    <w:p>
      <w:pPr>
        <w:pStyle w:val="5"/>
        <w:ind w:firstLine="562"/>
        <w:rPr>
          <w:szCs w:val="28"/>
          <w:highlight w:val="none"/>
        </w:rPr>
      </w:pPr>
      <w:r>
        <w:rPr>
          <w:rFonts w:hint="eastAsia"/>
          <w:szCs w:val="28"/>
          <w:highlight w:val="none"/>
        </w:rPr>
        <w:t>1</w:t>
      </w:r>
      <w:r>
        <w:rPr>
          <w:rFonts w:hint="eastAsia"/>
          <w:szCs w:val="28"/>
          <w:highlight w:val="none"/>
          <w:lang w:eastAsia="zh-CN"/>
        </w:rPr>
        <w:t>.</w:t>
      </w:r>
      <w:r>
        <w:rPr>
          <w:rFonts w:hint="eastAsia"/>
          <w:szCs w:val="28"/>
          <w:highlight w:val="none"/>
        </w:rPr>
        <w:t>项目支出预算执行情况</w:t>
      </w:r>
    </w:p>
    <w:p>
      <w:pPr>
        <w:ind w:firstLine="560"/>
        <w:rPr>
          <w:rFonts w:hint="eastAsia"/>
          <w:szCs w:val="28"/>
          <w:highlight w:val="none"/>
          <w:lang w:eastAsia="zh-CN"/>
        </w:rPr>
      </w:pPr>
      <w:r>
        <w:rPr>
          <w:rFonts w:hint="eastAsia"/>
          <w:highlight w:val="none"/>
        </w:rPr>
        <w:t>中央政法转移支付</w:t>
      </w:r>
      <w:r>
        <w:rPr>
          <w:rFonts w:hint="eastAsia"/>
          <w:szCs w:val="28"/>
          <w:highlight w:val="none"/>
        </w:rPr>
        <w:t>项目年初预算数</w:t>
      </w:r>
      <w:r>
        <w:rPr>
          <w:rFonts w:hint="eastAsia"/>
          <w:szCs w:val="28"/>
          <w:highlight w:val="none"/>
          <w:lang w:eastAsia="zh-CN"/>
        </w:rPr>
        <w:t>为</w:t>
      </w:r>
      <w:r>
        <w:rPr>
          <w:rFonts w:hint="eastAsia"/>
          <w:szCs w:val="28"/>
          <w:highlight w:val="none"/>
          <w:lang w:val="en-US" w:eastAsia="zh-CN"/>
        </w:rPr>
        <w:t>414万元</w:t>
      </w:r>
      <w:r>
        <w:rPr>
          <w:rFonts w:hint="eastAsia"/>
          <w:szCs w:val="28"/>
          <w:highlight w:val="none"/>
          <w:lang w:eastAsia="zh-CN"/>
        </w:rPr>
        <w:t>，</w:t>
      </w:r>
      <w:r>
        <w:rPr>
          <w:rFonts w:hint="eastAsia"/>
          <w:szCs w:val="28"/>
          <w:highlight w:val="none"/>
        </w:rPr>
        <w:t>全年预算数</w:t>
      </w:r>
      <w:r>
        <w:rPr>
          <w:rFonts w:hint="eastAsia"/>
          <w:szCs w:val="28"/>
          <w:highlight w:val="none"/>
          <w:lang w:val="en-US" w:eastAsia="zh-CN"/>
        </w:rPr>
        <w:t>为554</w:t>
      </w:r>
      <w:r>
        <w:rPr>
          <w:rFonts w:hint="eastAsia"/>
          <w:szCs w:val="28"/>
          <w:highlight w:val="none"/>
        </w:rPr>
        <w:t>全年执行数为</w:t>
      </w:r>
      <w:r>
        <w:rPr>
          <w:rFonts w:hint="eastAsia"/>
          <w:szCs w:val="28"/>
          <w:highlight w:val="none"/>
          <w:lang w:val="en-US" w:eastAsia="zh-CN"/>
        </w:rPr>
        <w:t>554</w:t>
      </w:r>
      <w:r>
        <w:rPr>
          <w:rFonts w:hint="eastAsia"/>
          <w:szCs w:val="28"/>
          <w:highlight w:val="none"/>
        </w:rPr>
        <w:t>万元，</w:t>
      </w:r>
      <w:r>
        <w:rPr>
          <w:rFonts w:hint="eastAsia"/>
          <w:szCs w:val="28"/>
          <w:highlight w:val="none"/>
          <w:lang w:eastAsia="zh-CN"/>
        </w:rPr>
        <w:t>预算执行率</w:t>
      </w:r>
      <w:r>
        <w:rPr>
          <w:rFonts w:hint="eastAsia"/>
          <w:szCs w:val="28"/>
          <w:highlight w:val="none"/>
          <w:lang w:val="en-US" w:eastAsia="zh-CN"/>
        </w:rPr>
        <w:t>100</w:t>
      </w:r>
      <w:r>
        <w:rPr>
          <w:rFonts w:hint="eastAsia"/>
          <w:szCs w:val="28"/>
          <w:highlight w:val="none"/>
          <w:lang w:eastAsia="zh-CN"/>
        </w:rPr>
        <w:t>%，</w:t>
      </w:r>
      <w:r>
        <w:rPr>
          <w:rFonts w:hint="eastAsia"/>
          <w:szCs w:val="28"/>
          <w:highlight w:val="none"/>
          <w:lang w:val="en-US" w:eastAsia="zh-CN"/>
        </w:rPr>
        <w:t>分值</w:t>
      </w:r>
      <w:r>
        <w:rPr>
          <w:rFonts w:hint="eastAsia"/>
          <w:szCs w:val="28"/>
          <w:highlight w:val="none"/>
          <w:lang w:eastAsia="zh-CN"/>
        </w:rPr>
        <w:t>10分，得分</w:t>
      </w:r>
      <w:r>
        <w:rPr>
          <w:rFonts w:hint="eastAsia"/>
          <w:szCs w:val="28"/>
          <w:highlight w:val="none"/>
          <w:lang w:val="en-US" w:eastAsia="zh-CN"/>
        </w:rPr>
        <w:t>10</w:t>
      </w:r>
      <w:r>
        <w:rPr>
          <w:rFonts w:hint="eastAsia"/>
          <w:szCs w:val="28"/>
          <w:highlight w:val="none"/>
          <w:lang w:eastAsia="zh-CN"/>
        </w:rPr>
        <w:t>分。</w:t>
      </w:r>
    </w:p>
    <w:p>
      <w:pPr>
        <w:pStyle w:val="5"/>
        <w:ind w:firstLine="562"/>
        <w:rPr>
          <w:szCs w:val="28"/>
          <w:highlight w:val="none"/>
        </w:rPr>
      </w:pPr>
      <w:r>
        <w:rPr>
          <w:rFonts w:hint="eastAsia"/>
          <w:szCs w:val="28"/>
          <w:highlight w:val="none"/>
        </w:rPr>
        <w:t>2</w:t>
      </w:r>
      <w:r>
        <w:rPr>
          <w:rFonts w:hint="eastAsia"/>
          <w:szCs w:val="28"/>
          <w:highlight w:val="none"/>
          <w:lang w:eastAsia="zh-CN"/>
        </w:rPr>
        <w:t>.</w:t>
      </w:r>
      <w:r>
        <w:rPr>
          <w:rFonts w:hint="eastAsia"/>
          <w:szCs w:val="28"/>
          <w:highlight w:val="none"/>
        </w:rPr>
        <w:t>总体绩效目标完成情况分析</w:t>
      </w:r>
    </w:p>
    <w:p>
      <w:pPr>
        <w:bidi w:val="0"/>
        <w:rPr>
          <w:rFonts w:hint="eastAsia" w:eastAsia="仿宋_GB2312"/>
          <w:highlight w:val="none"/>
          <w:lang w:val="en-US" w:eastAsia="zh-CN"/>
        </w:rPr>
      </w:pPr>
      <w:r>
        <w:rPr>
          <w:rFonts w:hint="eastAsia"/>
          <w:szCs w:val="28"/>
          <w:highlight w:val="none"/>
        </w:rPr>
        <w:t>通过2022中央政法转移支付资金的投入，</w:t>
      </w:r>
      <w:r>
        <w:rPr>
          <w:rFonts w:hint="eastAsia"/>
          <w:szCs w:val="28"/>
          <w:highlight w:val="none"/>
          <w:lang w:eastAsia="zh-CN"/>
        </w:rPr>
        <w:t>（</w:t>
      </w:r>
      <w:r>
        <w:rPr>
          <w:rFonts w:hint="eastAsia"/>
          <w:szCs w:val="28"/>
          <w:highlight w:val="none"/>
        </w:rPr>
        <w:t>1</w:t>
      </w:r>
      <w:r>
        <w:rPr>
          <w:rFonts w:hint="eastAsia"/>
          <w:szCs w:val="28"/>
          <w:highlight w:val="none"/>
          <w:lang w:eastAsia="zh-CN"/>
        </w:rPr>
        <w:t>）</w:t>
      </w:r>
      <w:r>
        <w:rPr>
          <w:rFonts w:hint="eastAsia"/>
          <w:szCs w:val="28"/>
          <w:highlight w:val="none"/>
          <w:lang w:val="en-US" w:eastAsia="zh-CN"/>
        </w:rPr>
        <w:t>、</w:t>
      </w:r>
      <w:r>
        <w:rPr>
          <w:rFonts w:hint="eastAsia"/>
          <w:szCs w:val="28"/>
          <w:highlight w:val="none"/>
        </w:rPr>
        <w:t>提高办案经费保障水平，使队伍管理、教育培训、新闻宣传、文化建设、装备得到保障。</w:t>
      </w:r>
      <w:r>
        <w:rPr>
          <w:rFonts w:hint="eastAsia"/>
          <w:szCs w:val="28"/>
          <w:highlight w:val="none"/>
          <w:lang w:eastAsia="zh-CN"/>
        </w:rPr>
        <w:t>（</w:t>
      </w:r>
      <w:r>
        <w:rPr>
          <w:rFonts w:hint="eastAsia"/>
          <w:szCs w:val="28"/>
          <w:highlight w:val="none"/>
          <w:lang w:val="en-US" w:eastAsia="zh-CN"/>
        </w:rPr>
        <w:t>2</w:t>
      </w:r>
      <w:r>
        <w:rPr>
          <w:rFonts w:hint="eastAsia"/>
          <w:szCs w:val="28"/>
          <w:highlight w:val="none"/>
          <w:lang w:eastAsia="zh-CN"/>
        </w:rPr>
        <w:t>）</w:t>
      </w:r>
      <w:r>
        <w:rPr>
          <w:rFonts w:hint="eastAsia"/>
          <w:szCs w:val="28"/>
          <w:highlight w:val="none"/>
        </w:rPr>
        <w:t>、合理使用办案经费，专款专用，不超范围支付，确保单位各项资产的安全有效使用及安全运行，进一步提高财政资金使用效率；</w:t>
      </w:r>
      <w:r>
        <w:rPr>
          <w:rFonts w:hint="eastAsia"/>
          <w:szCs w:val="28"/>
          <w:highlight w:val="none"/>
          <w:lang w:eastAsia="zh-CN"/>
        </w:rPr>
        <w:t>（</w:t>
      </w:r>
      <w:r>
        <w:rPr>
          <w:rFonts w:hint="eastAsia"/>
          <w:szCs w:val="28"/>
          <w:highlight w:val="none"/>
          <w:lang w:val="en-US" w:eastAsia="zh-CN"/>
        </w:rPr>
        <w:t>3</w:t>
      </w:r>
      <w:r>
        <w:rPr>
          <w:rFonts w:hint="eastAsia"/>
          <w:szCs w:val="28"/>
          <w:highlight w:val="none"/>
          <w:lang w:eastAsia="zh-CN"/>
        </w:rPr>
        <w:t>）</w:t>
      </w:r>
      <w:r>
        <w:rPr>
          <w:rFonts w:hint="eastAsia"/>
          <w:szCs w:val="28"/>
          <w:highlight w:val="none"/>
        </w:rPr>
        <w:t>、保障单位正常审判执行工作顺利开展；</w:t>
      </w:r>
      <w:r>
        <w:rPr>
          <w:rFonts w:hint="eastAsia"/>
          <w:szCs w:val="28"/>
          <w:highlight w:val="none"/>
          <w:lang w:eastAsia="zh-CN"/>
        </w:rPr>
        <w:t>（</w:t>
      </w:r>
      <w:r>
        <w:rPr>
          <w:rFonts w:hint="eastAsia"/>
          <w:szCs w:val="28"/>
          <w:highlight w:val="none"/>
          <w:lang w:val="en-US" w:eastAsia="zh-CN"/>
        </w:rPr>
        <w:t>4</w:t>
      </w:r>
      <w:r>
        <w:rPr>
          <w:rFonts w:hint="eastAsia"/>
          <w:szCs w:val="28"/>
          <w:highlight w:val="none"/>
          <w:lang w:eastAsia="zh-CN"/>
        </w:rPr>
        <w:t>）</w:t>
      </w:r>
      <w:r>
        <w:rPr>
          <w:rFonts w:hint="eastAsia"/>
          <w:szCs w:val="28"/>
          <w:highlight w:val="none"/>
        </w:rPr>
        <w:t>、及时分配资金，加快预算执行进度，确保完成各项工作目标。主要用于办案劳务费，及各项办公设备的购置，以及公车购置。保障了各类案件的审判执行工作</w:t>
      </w:r>
      <w:r>
        <w:rPr>
          <w:rFonts w:hint="eastAsia"/>
          <w:szCs w:val="28"/>
          <w:highlight w:val="none"/>
          <w:lang w:eastAsia="zh-CN"/>
        </w:rPr>
        <w:t>。</w:t>
      </w:r>
    </w:p>
    <w:p>
      <w:pPr>
        <w:pStyle w:val="5"/>
        <w:bidi w:val="0"/>
        <w:rPr>
          <w:rFonts w:hint="eastAsia"/>
          <w:highlight w:val="none"/>
        </w:rPr>
      </w:pPr>
      <w:r>
        <w:rPr>
          <w:rFonts w:hint="eastAsia"/>
          <w:highlight w:val="none"/>
        </w:rPr>
        <w:t>3</w:t>
      </w:r>
      <w:r>
        <w:rPr>
          <w:rFonts w:hint="eastAsia"/>
          <w:highlight w:val="none"/>
          <w:lang w:eastAsia="zh-CN"/>
        </w:rPr>
        <w:t>.</w:t>
      </w:r>
      <w:r>
        <w:rPr>
          <w:rFonts w:hint="eastAsia"/>
          <w:highlight w:val="none"/>
        </w:rPr>
        <w:t>各项指标完成情况分析</w:t>
      </w:r>
    </w:p>
    <w:p>
      <w:pPr>
        <w:ind w:firstLine="562"/>
        <w:rPr>
          <w:b/>
          <w:bCs/>
          <w:szCs w:val="28"/>
          <w:highlight w:val="none"/>
        </w:rPr>
      </w:pPr>
      <w:r>
        <w:rPr>
          <w:rFonts w:hint="eastAsia"/>
          <w:b/>
          <w:bCs/>
          <w:szCs w:val="28"/>
          <w:highlight w:val="none"/>
        </w:rPr>
        <w:t>（1）产出指标</w:t>
      </w:r>
    </w:p>
    <w:p>
      <w:pPr>
        <w:ind w:firstLine="560"/>
        <w:rPr>
          <w:rFonts w:cs="仿宋_GB2312"/>
          <w:szCs w:val="28"/>
          <w:highlight w:val="none"/>
        </w:rPr>
      </w:pPr>
      <w:r>
        <w:rPr>
          <w:rFonts w:hint="eastAsia" w:cs="仿宋_GB2312"/>
          <w:szCs w:val="28"/>
          <w:highlight w:val="none"/>
        </w:rPr>
        <w:t>产出指标下设数量</w:t>
      </w:r>
      <w:r>
        <w:rPr>
          <w:rFonts w:hint="eastAsia" w:cs="仿宋_GB2312"/>
          <w:szCs w:val="28"/>
          <w:highlight w:val="none"/>
          <w:lang w:eastAsia="zh-CN"/>
        </w:rPr>
        <w:t>、</w:t>
      </w:r>
      <w:r>
        <w:rPr>
          <w:rFonts w:hint="eastAsia" w:cs="仿宋_GB2312"/>
          <w:szCs w:val="28"/>
          <w:highlight w:val="none"/>
        </w:rPr>
        <w:t>质量</w:t>
      </w:r>
      <w:r>
        <w:rPr>
          <w:rFonts w:hint="eastAsia" w:cs="仿宋_GB2312"/>
          <w:szCs w:val="28"/>
          <w:highlight w:val="none"/>
          <w:lang w:eastAsia="zh-CN"/>
        </w:rPr>
        <w:t>、时效和成本</w:t>
      </w:r>
      <w:r>
        <w:rPr>
          <w:rFonts w:hint="eastAsia" w:cs="仿宋_GB2312"/>
          <w:szCs w:val="28"/>
          <w:highlight w:val="none"/>
          <w:lang w:val="en-US" w:eastAsia="zh-CN"/>
        </w:rPr>
        <w:t>4</w:t>
      </w:r>
      <w:r>
        <w:rPr>
          <w:rFonts w:hint="eastAsia" w:cs="仿宋_GB2312"/>
          <w:szCs w:val="28"/>
          <w:highlight w:val="none"/>
        </w:rPr>
        <w:t>个二级指标。</w:t>
      </w:r>
      <w:r>
        <w:rPr>
          <w:rFonts w:hint="eastAsia" w:cs="仿宋_GB2312"/>
          <w:szCs w:val="28"/>
          <w:highlight w:val="none"/>
          <w:lang w:val="en-US" w:eastAsia="zh-CN"/>
        </w:rPr>
        <w:t>指标</w:t>
      </w:r>
      <w:r>
        <w:rPr>
          <w:rFonts w:hint="eastAsia" w:cs="仿宋_GB2312"/>
          <w:szCs w:val="28"/>
          <w:highlight w:val="none"/>
        </w:rPr>
        <w:t>分值50分，</w:t>
      </w:r>
      <w:r>
        <w:rPr>
          <w:rFonts w:hint="eastAsia" w:cs="仿宋_GB2312"/>
          <w:szCs w:val="28"/>
          <w:highlight w:val="none"/>
          <w:lang w:val="en-US" w:eastAsia="zh-CN"/>
        </w:rPr>
        <w:t>自评</w:t>
      </w:r>
      <w:r>
        <w:rPr>
          <w:rFonts w:hint="eastAsia" w:cs="仿宋_GB2312"/>
          <w:szCs w:val="28"/>
          <w:highlight w:val="none"/>
        </w:rPr>
        <w:t>得分</w:t>
      </w:r>
      <w:r>
        <w:rPr>
          <w:rFonts w:hint="eastAsia" w:cs="仿宋_GB2312"/>
          <w:szCs w:val="28"/>
          <w:highlight w:val="none"/>
          <w:lang w:val="en-US" w:eastAsia="zh-CN"/>
        </w:rPr>
        <w:t>45.77</w:t>
      </w:r>
      <w:r>
        <w:rPr>
          <w:rFonts w:hint="eastAsia" w:cs="仿宋_GB2312"/>
          <w:szCs w:val="28"/>
          <w:highlight w:val="none"/>
        </w:rPr>
        <w:t>分，得分率</w:t>
      </w:r>
      <w:r>
        <w:rPr>
          <w:rFonts w:hint="eastAsia" w:cs="仿宋_GB2312"/>
          <w:szCs w:val="28"/>
          <w:highlight w:val="none"/>
          <w:lang w:val="en-US" w:eastAsia="zh-CN"/>
        </w:rPr>
        <w:t>91.54</w:t>
      </w:r>
      <w:r>
        <w:rPr>
          <w:rFonts w:hint="eastAsia" w:cs="仿宋_GB2312"/>
          <w:szCs w:val="28"/>
          <w:highlight w:val="none"/>
        </w:rPr>
        <w:t>%。</w:t>
      </w:r>
    </w:p>
    <w:p>
      <w:pPr>
        <w:ind w:firstLine="562"/>
        <w:rPr>
          <w:rFonts w:cs="仿宋_GB2312"/>
          <w:szCs w:val="28"/>
          <w:highlight w:val="none"/>
        </w:rPr>
      </w:pPr>
      <w:r>
        <w:rPr>
          <w:rFonts w:hint="eastAsia"/>
          <w:b/>
          <w:bCs/>
          <w:szCs w:val="28"/>
          <w:highlight w:val="none"/>
        </w:rPr>
        <w:t>①数量指标</w:t>
      </w:r>
    </w:p>
    <w:p>
      <w:pPr>
        <w:ind w:firstLine="560"/>
        <w:rPr>
          <w:highlight w:val="none"/>
        </w:rPr>
      </w:pPr>
      <w:r>
        <w:rPr>
          <w:rFonts w:hint="eastAsia"/>
          <w:highlight w:val="none"/>
        </w:rPr>
        <w:t>数量指标下设</w:t>
      </w:r>
      <w:r>
        <w:rPr>
          <w:rFonts w:hint="eastAsia"/>
          <w:highlight w:val="none"/>
          <w:lang w:val="en-US" w:eastAsia="zh-CN"/>
        </w:rPr>
        <w:t>3</w:t>
      </w:r>
      <w:r>
        <w:rPr>
          <w:rFonts w:hint="eastAsia"/>
          <w:highlight w:val="none"/>
        </w:rPr>
        <w:t>个三级指标，</w:t>
      </w:r>
      <w:r>
        <w:rPr>
          <w:rFonts w:hint="eastAsia" w:cs="仿宋_GB2312"/>
          <w:szCs w:val="28"/>
          <w:highlight w:val="none"/>
        </w:rPr>
        <w:t>指标</w:t>
      </w:r>
      <w:r>
        <w:rPr>
          <w:rFonts w:hint="eastAsia" w:cs="仿宋_GB2312"/>
          <w:szCs w:val="28"/>
          <w:highlight w:val="none"/>
          <w:lang w:val="en-US" w:eastAsia="zh-CN"/>
        </w:rPr>
        <w:t>分值11.55</w:t>
      </w:r>
      <w:r>
        <w:rPr>
          <w:rFonts w:hint="eastAsia" w:cs="仿宋_GB2312"/>
          <w:szCs w:val="28"/>
          <w:highlight w:val="none"/>
        </w:rPr>
        <w:t>分，自评得分</w:t>
      </w:r>
      <w:r>
        <w:rPr>
          <w:rFonts w:hint="eastAsia" w:cs="仿宋_GB2312"/>
          <w:szCs w:val="28"/>
          <w:highlight w:val="none"/>
          <w:lang w:val="en-US" w:eastAsia="zh-CN"/>
        </w:rPr>
        <w:t>11.17</w:t>
      </w:r>
      <w:r>
        <w:rPr>
          <w:rFonts w:hint="eastAsia" w:cs="仿宋_GB2312"/>
          <w:szCs w:val="28"/>
          <w:highlight w:val="none"/>
        </w:rPr>
        <w:t>分，得分率为</w:t>
      </w:r>
      <w:r>
        <w:rPr>
          <w:rFonts w:hint="eastAsia" w:cs="仿宋_GB2312"/>
          <w:szCs w:val="28"/>
          <w:highlight w:val="none"/>
          <w:lang w:val="en-US" w:eastAsia="zh-CN"/>
        </w:rPr>
        <w:t>96.71</w:t>
      </w:r>
      <w:r>
        <w:rPr>
          <w:rFonts w:hint="eastAsia" w:cs="仿宋_GB2312"/>
          <w:szCs w:val="28"/>
          <w:highlight w:val="none"/>
        </w:rPr>
        <w:t>%。</w:t>
      </w:r>
    </w:p>
    <w:p>
      <w:pPr>
        <w:bidi w:val="0"/>
        <w:rPr>
          <w:rFonts w:hint="eastAsia"/>
          <w:highlight w:val="none"/>
        </w:rPr>
      </w:pPr>
      <w:r>
        <w:rPr>
          <w:rFonts w:hint="eastAsia"/>
          <w:b/>
          <w:bCs/>
          <w:highlight w:val="none"/>
          <w:lang w:val="en-US" w:eastAsia="zh-CN"/>
        </w:rPr>
        <w:t>全年办理刑事案件数：</w:t>
      </w:r>
      <w:r>
        <w:rPr>
          <w:rFonts w:hint="eastAsia"/>
          <w:b w:val="0"/>
          <w:bCs w:val="0"/>
          <w:highlight w:val="none"/>
          <w:lang w:val="en-US" w:eastAsia="zh-CN"/>
        </w:rPr>
        <w:t>年度目标</w:t>
      </w:r>
      <w:r>
        <w:rPr>
          <w:rFonts w:hint="eastAsia" w:cs="仿宋_GB2312"/>
          <w:b w:val="0"/>
          <w:bCs w:val="0"/>
          <w:highlight w:val="none"/>
          <w:lang w:val="en-US" w:eastAsia="zh-CN"/>
        </w:rPr>
        <w:t>&gt;=270件</w:t>
      </w:r>
      <w:r>
        <w:rPr>
          <w:rFonts w:hint="eastAsia"/>
          <w:b w:val="0"/>
          <w:bCs w:val="0"/>
          <w:highlight w:val="none"/>
          <w:lang w:val="en-US" w:eastAsia="zh-CN"/>
        </w:rPr>
        <w:t>，实际办案数=243件，</w:t>
      </w:r>
      <w:r>
        <w:rPr>
          <w:rFonts w:hint="eastAsia"/>
          <w:highlight w:val="none"/>
        </w:rPr>
        <w:t>该指标分值</w:t>
      </w:r>
      <w:r>
        <w:rPr>
          <w:rFonts w:hint="eastAsia"/>
          <w:highlight w:val="none"/>
          <w:lang w:val="en-US" w:eastAsia="zh-CN"/>
        </w:rPr>
        <w:t>3.85</w:t>
      </w:r>
      <w:r>
        <w:rPr>
          <w:rFonts w:hint="eastAsia"/>
          <w:highlight w:val="none"/>
        </w:rPr>
        <w:t>分，自评得分为</w:t>
      </w:r>
      <w:r>
        <w:rPr>
          <w:rFonts w:hint="eastAsia"/>
          <w:highlight w:val="none"/>
          <w:lang w:val="en-US" w:eastAsia="zh-CN"/>
        </w:rPr>
        <w:t>3.47</w:t>
      </w:r>
      <w:r>
        <w:rPr>
          <w:rFonts w:hint="eastAsia"/>
          <w:highlight w:val="none"/>
        </w:rPr>
        <w:t>分，得分率</w:t>
      </w:r>
      <w:r>
        <w:rPr>
          <w:rFonts w:hint="eastAsia"/>
          <w:highlight w:val="none"/>
          <w:lang w:val="en-US" w:eastAsia="zh-CN"/>
        </w:rPr>
        <w:t>90.13</w:t>
      </w:r>
      <w:r>
        <w:rPr>
          <w:rFonts w:hint="eastAsia"/>
          <w:highlight w:val="none"/>
        </w:rPr>
        <w:t>%。</w:t>
      </w:r>
    </w:p>
    <w:p>
      <w:pPr>
        <w:bidi w:val="0"/>
        <w:rPr>
          <w:rFonts w:hint="eastAsia"/>
        </w:rPr>
      </w:pPr>
      <w:r>
        <w:rPr>
          <w:rFonts w:hint="eastAsia"/>
          <w:b/>
          <w:bCs/>
          <w:highlight w:val="none"/>
          <w:lang w:val="en-US" w:eastAsia="zh-CN"/>
        </w:rPr>
        <w:t>入额院领导办案数：</w:t>
      </w:r>
      <w:r>
        <w:rPr>
          <w:rFonts w:hint="eastAsia"/>
          <w:b w:val="0"/>
          <w:bCs w:val="0"/>
          <w:highlight w:val="none"/>
          <w:lang w:val="en-US" w:eastAsia="zh-CN"/>
        </w:rPr>
        <w:t>年度目标</w:t>
      </w:r>
      <w:r>
        <w:rPr>
          <w:rFonts w:hint="eastAsia" w:ascii="仿宋_GB2312" w:hAnsi="仿宋_GB2312" w:eastAsia="仿宋_GB2312" w:cs="仿宋_GB2312"/>
          <w:b w:val="0"/>
          <w:bCs w:val="0"/>
          <w:highlight w:val="none"/>
          <w:lang w:val="en-US" w:eastAsia="zh-CN"/>
        </w:rPr>
        <w:t>&gt;=55件</w:t>
      </w:r>
      <w:r>
        <w:rPr>
          <w:rFonts w:hint="eastAsia"/>
          <w:b w:val="0"/>
          <w:bCs w:val="0"/>
          <w:highlight w:val="none"/>
          <w:lang w:val="en-US" w:eastAsia="zh-CN"/>
        </w:rPr>
        <w:t>，实际完成=55件，</w:t>
      </w:r>
      <w:r>
        <w:rPr>
          <w:rFonts w:hint="eastAsia"/>
          <w:highlight w:val="none"/>
        </w:rPr>
        <w:t>该指标分值</w:t>
      </w:r>
      <w:r>
        <w:rPr>
          <w:rFonts w:hint="eastAsia"/>
          <w:highlight w:val="none"/>
          <w:lang w:val="en-US" w:eastAsia="zh-CN"/>
        </w:rPr>
        <w:t>3.85</w:t>
      </w:r>
      <w:r>
        <w:rPr>
          <w:rFonts w:hint="eastAsia"/>
          <w:highlight w:val="none"/>
        </w:rPr>
        <w:t>分，自评得分为</w:t>
      </w:r>
      <w:r>
        <w:rPr>
          <w:rFonts w:hint="eastAsia"/>
          <w:highlight w:val="none"/>
          <w:lang w:val="en-US" w:eastAsia="zh-CN"/>
        </w:rPr>
        <w:t>3.85</w:t>
      </w:r>
      <w:r>
        <w:rPr>
          <w:rFonts w:hint="eastAsia"/>
          <w:highlight w:val="none"/>
        </w:rPr>
        <w:t>分，得分率</w:t>
      </w:r>
      <w:r>
        <w:rPr>
          <w:rFonts w:hint="eastAsia"/>
          <w:highlight w:val="none"/>
          <w:lang w:val="en-US" w:eastAsia="zh-CN"/>
        </w:rPr>
        <w:t>100</w:t>
      </w:r>
      <w:r>
        <w:rPr>
          <w:rFonts w:hint="eastAsia"/>
          <w:highlight w:val="none"/>
        </w:rPr>
        <w:t>%</w:t>
      </w:r>
      <w:r>
        <w:rPr>
          <w:rFonts w:hint="eastAsia"/>
        </w:rPr>
        <w:t>。</w:t>
      </w:r>
    </w:p>
    <w:p>
      <w:pPr>
        <w:pStyle w:val="2"/>
        <w:rPr>
          <w:rFonts w:hint="eastAsia" w:eastAsia="仿宋_GB2312"/>
          <w:b/>
          <w:bCs/>
          <w:lang w:eastAsia="zh-CN"/>
        </w:rPr>
      </w:pPr>
      <w:r>
        <w:rPr>
          <w:rFonts w:hint="eastAsia"/>
          <w:b/>
          <w:bCs/>
        </w:rPr>
        <w:t>监督立案数</w:t>
      </w:r>
      <w:r>
        <w:rPr>
          <w:rFonts w:hint="eastAsia"/>
          <w:b/>
          <w:bCs/>
          <w:lang w:eastAsia="zh-CN"/>
        </w:rPr>
        <w:t>：</w:t>
      </w:r>
      <w:r>
        <w:rPr>
          <w:rFonts w:hint="eastAsia"/>
          <w:b w:val="0"/>
          <w:bCs w:val="0"/>
          <w:highlight w:val="none"/>
          <w:lang w:val="en-US" w:eastAsia="zh-CN"/>
        </w:rPr>
        <w:t>年度目标</w:t>
      </w:r>
      <w:r>
        <w:rPr>
          <w:rFonts w:hint="eastAsia" w:ascii="仿宋_GB2312" w:hAnsi="仿宋_GB2312" w:eastAsia="仿宋_GB2312" w:cs="仿宋_GB2312"/>
          <w:b w:val="0"/>
          <w:bCs w:val="0"/>
          <w:highlight w:val="none"/>
          <w:lang w:val="en-US" w:eastAsia="zh-CN"/>
        </w:rPr>
        <w:t>&gt;=2件</w:t>
      </w:r>
      <w:r>
        <w:rPr>
          <w:rFonts w:hint="eastAsia"/>
          <w:b w:val="0"/>
          <w:bCs w:val="0"/>
          <w:highlight w:val="none"/>
          <w:lang w:val="en-US" w:eastAsia="zh-CN"/>
        </w:rPr>
        <w:t>，实际完成=6件，</w:t>
      </w:r>
      <w:r>
        <w:rPr>
          <w:rFonts w:hint="eastAsia"/>
          <w:highlight w:val="none"/>
        </w:rPr>
        <w:t>该指标分值</w:t>
      </w:r>
      <w:r>
        <w:rPr>
          <w:rFonts w:hint="eastAsia"/>
          <w:highlight w:val="none"/>
          <w:lang w:val="en-US" w:eastAsia="zh-CN"/>
        </w:rPr>
        <w:t>3.85</w:t>
      </w:r>
      <w:r>
        <w:rPr>
          <w:rFonts w:hint="eastAsia"/>
          <w:highlight w:val="none"/>
        </w:rPr>
        <w:t>分，自评得分为</w:t>
      </w:r>
      <w:r>
        <w:rPr>
          <w:rFonts w:hint="eastAsia"/>
          <w:highlight w:val="none"/>
          <w:lang w:val="en-US" w:eastAsia="zh-CN"/>
        </w:rPr>
        <w:t>3.85</w:t>
      </w:r>
      <w:r>
        <w:rPr>
          <w:rFonts w:hint="eastAsia"/>
          <w:highlight w:val="none"/>
        </w:rPr>
        <w:t>分，得分率</w:t>
      </w:r>
      <w:r>
        <w:rPr>
          <w:rFonts w:hint="eastAsia"/>
          <w:highlight w:val="none"/>
          <w:lang w:val="en-US" w:eastAsia="zh-CN"/>
        </w:rPr>
        <w:t>100</w:t>
      </w:r>
      <w:r>
        <w:rPr>
          <w:rFonts w:hint="eastAsia"/>
          <w:highlight w:val="none"/>
        </w:rPr>
        <w:t>%</w:t>
      </w:r>
      <w:r>
        <w:rPr>
          <w:rFonts w:hint="eastAsia"/>
        </w:rPr>
        <w:t>。</w:t>
      </w:r>
    </w:p>
    <w:p>
      <w:pPr>
        <w:bidi w:val="0"/>
        <w:rPr>
          <w:b/>
          <w:bCs/>
          <w:highlight w:val="none"/>
        </w:rPr>
      </w:pPr>
      <w:r>
        <w:rPr>
          <w:rFonts w:hint="eastAsia"/>
          <w:b/>
          <w:bCs/>
          <w:highlight w:val="none"/>
          <w:lang w:eastAsia="zh-CN"/>
        </w:rPr>
        <w:t>②</w:t>
      </w:r>
      <w:r>
        <w:rPr>
          <w:rFonts w:hint="eastAsia"/>
          <w:b/>
          <w:bCs/>
          <w:highlight w:val="none"/>
        </w:rPr>
        <w:t>质量指标</w:t>
      </w:r>
    </w:p>
    <w:p>
      <w:pPr>
        <w:ind w:firstLine="560"/>
        <w:rPr>
          <w:rFonts w:hint="eastAsia"/>
          <w:highlight w:val="none"/>
          <w:lang w:val="en-US" w:eastAsia="zh-CN"/>
        </w:rPr>
      </w:pPr>
      <w:r>
        <w:rPr>
          <w:rFonts w:hint="eastAsia"/>
          <w:highlight w:val="none"/>
        </w:rPr>
        <w:t>质量指标下设</w:t>
      </w:r>
      <w:r>
        <w:rPr>
          <w:rFonts w:hint="eastAsia"/>
          <w:highlight w:val="none"/>
          <w:lang w:val="en-US" w:eastAsia="zh-CN"/>
        </w:rPr>
        <w:t>4</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分值15.5</w:t>
      </w:r>
      <w:r>
        <w:rPr>
          <w:rFonts w:hint="eastAsia" w:hAnsi="宋体"/>
          <w:szCs w:val="28"/>
          <w:highlight w:val="none"/>
        </w:rPr>
        <w:t>分，自评得分</w:t>
      </w:r>
      <w:r>
        <w:rPr>
          <w:rFonts w:hint="eastAsia" w:hAnsi="宋体"/>
          <w:szCs w:val="28"/>
          <w:highlight w:val="none"/>
          <w:lang w:val="en-US" w:eastAsia="zh-CN"/>
        </w:rPr>
        <w:t>11.55</w:t>
      </w:r>
      <w:r>
        <w:rPr>
          <w:rFonts w:hint="eastAsia" w:hAnsi="宋体"/>
          <w:szCs w:val="28"/>
          <w:highlight w:val="none"/>
        </w:rPr>
        <w:t>分，得分率为</w:t>
      </w:r>
      <w:r>
        <w:rPr>
          <w:rFonts w:hint="eastAsia" w:hAnsi="宋体"/>
          <w:szCs w:val="28"/>
          <w:highlight w:val="none"/>
          <w:lang w:val="en-US" w:eastAsia="zh-CN"/>
        </w:rPr>
        <w:t>75</w:t>
      </w:r>
      <w:r>
        <w:rPr>
          <w:rFonts w:hint="eastAsia" w:hAnsi="宋体"/>
          <w:szCs w:val="28"/>
          <w:highlight w:val="none"/>
        </w:rPr>
        <w:t>%。</w:t>
      </w:r>
    </w:p>
    <w:p>
      <w:pPr>
        <w:rPr>
          <w:rFonts w:hint="eastAsia"/>
          <w:highlight w:val="yellow"/>
          <w:lang w:val="en-US" w:eastAsia="zh-CN"/>
        </w:rPr>
      </w:pPr>
      <w:r>
        <w:rPr>
          <w:rFonts w:hint="eastAsia"/>
          <w:b/>
          <w:bCs/>
          <w:highlight w:val="none"/>
          <w:lang w:val="en-US" w:eastAsia="zh-CN"/>
        </w:rPr>
        <w:t>认罪认罚从宽适用率：</w:t>
      </w:r>
      <w:r>
        <w:rPr>
          <w:rFonts w:hint="eastAsia"/>
          <w:b w:val="0"/>
          <w:bCs w:val="0"/>
          <w:highlight w:val="none"/>
          <w:lang w:val="en-US" w:eastAsia="zh-CN"/>
        </w:rPr>
        <w:t>年度目标</w:t>
      </w:r>
      <w:r>
        <w:rPr>
          <w:rFonts w:hint="eastAsia" w:ascii="仿宋_GB2312" w:hAnsi="仿宋_GB2312" w:eastAsia="仿宋_GB2312" w:cs="仿宋_GB2312"/>
          <w:b w:val="0"/>
          <w:bCs w:val="0"/>
          <w:highlight w:val="none"/>
          <w:lang w:val="en-US" w:eastAsia="zh-CN"/>
        </w:rPr>
        <w:t>&gt;=85%</w:t>
      </w:r>
      <w:r>
        <w:rPr>
          <w:rFonts w:hint="eastAsia"/>
          <w:b w:val="0"/>
          <w:bCs w:val="0"/>
          <w:highlight w:val="none"/>
          <w:lang w:val="en-US" w:eastAsia="zh-CN"/>
        </w:rPr>
        <w:t>，实际完成=85%，</w:t>
      </w:r>
      <w:r>
        <w:rPr>
          <w:rFonts w:hint="eastAsia"/>
          <w:highlight w:val="none"/>
        </w:rPr>
        <w:t>该指标分值</w:t>
      </w:r>
      <w:r>
        <w:rPr>
          <w:rFonts w:hint="eastAsia"/>
          <w:highlight w:val="none"/>
          <w:lang w:val="en-US" w:eastAsia="zh-CN"/>
        </w:rPr>
        <w:t>3.85</w:t>
      </w:r>
      <w:r>
        <w:rPr>
          <w:rFonts w:hint="eastAsia"/>
          <w:highlight w:val="none"/>
        </w:rPr>
        <w:t>分，自评得分为</w:t>
      </w:r>
      <w:r>
        <w:rPr>
          <w:rFonts w:hint="eastAsia"/>
          <w:highlight w:val="none"/>
          <w:lang w:val="en-US" w:eastAsia="zh-CN"/>
        </w:rPr>
        <w:t>3.85</w:t>
      </w:r>
      <w:r>
        <w:rPr>
          <w:rFonts w:hint="eastAsia"/>
          <w:highlight w:val="none"/>
        </w:rPr>
        <w:t>分，得分率</w:t>
      </w:r>
      <w:r>
        <w:rPr>
          <w:rFonts w:hint="eastAsia"/>
          <w:highlight w:val="none"/>
          <w:lang w:val="en-US" w:eastAsia="zh-CN"/>
        </w:rPr>
        <w:t>100</w:t>
      </w:r>
      <w:r>
        <w:rPr>
          <w:rFonts w:hint="eastAsia"/>
          <w:highlight w:val="none"/>
        </w:rPr>
        <w:t>%</w:t>
      </w:r>
      <w:r>
        <w:rPr>
          <w:rFonts w:hint="eastAsia"/>
        </w:rPr>
        <w:t>。</w:t>
      </w:r>
    </w:p>
    <w:p>
      <w:pPr>
        <w:ind w:left="0" w:leftChars="0" w:firstLine="562" w:firstLineChars="200"/>
        <w:rPr>
          <w:rFonts w:hint="eastAsia"/>
          <w:highlight w:val="none"/>
        </w:rPr>
      </w:pPr>
      <w:r>
        <w:rPr>
          <w:rFonts w:hint="eastAsia" w:hAnsi="宋体" w:cstheme="minorBidi"/>
          <w:b/>
          <w:bCs/>
          <w:kern w:val="2"/>
          <w:sz w:val="28"/>
          <w:szCs w:val="28"/>
          <w:highlight w:val="none"/>
          <w:lang w:val="en-US" w:eastAsia="zh-CN" w:bidi="ar-SA"/>
        </w:rPr>
        <w:t>合格案件</w:t>
      </w:r>
      <w:r>
        <w:rPr>
          <w:rFonts w:hint="eastAsia" w:ascii="仿宋_GB2312" w:hAnsi="宋体" w:eastAsia="仿宋_GB2312" w:cstheme="minorBidi"/>
          <w:b/>
          <w:bCs/>
          <w:kern w:val="2"/>
          <w:sz w:val="28"/>
          <w:szCs w:val="28"/>
          <w:highlight w:val="none"/>
          <w:lang w:val="en-US" w:eastAsia="zh-CN" w:bidi="ar-SA"/>
        </w:rPr>
        <w:t>：</w:t>
      </w:r>
      <w:r>
        <w:rPr>
          <w:rFonts w:hint="eastAsia"/>
          <w:b w:val="0"/>
          <w:bCs w:val="0"/>
          <w:highlight w:val="none"/>
          <w:lang w:val="en-US" w:eastAsia="zh-CN"/>
        </w:rPr>
        <w:t>年度目标</w:t>
      </w:r>
      <w:r>
        <w:rPr>
          <w:rFonts w:hint="eastAsia" w:ascii="仿宋_GB2312" w:hAnsi="仿宋_GB2312" w:eastAsia="仿宋_GB2312" w:cs="仿宋_GB2312"/>
          <w:b w:val="0"/>
          <w:bCs w:val="0"/>
          <w:highlight w:val="none"/>
          <w:lang w:val="en-US" w:eastAsia="zh-CN"/>
        </w:rPr>
        <w:t>&gt;=90%</w:t>
      </w:r>
      <w:r>
        <w:rPr>
          <w:rFonts w:hint="eastAsia"/>
          <w:b w:val="0"/>
          <w:bCs w:val="0"/>
          <w:highlight w:val="none"/>
          <w:lang w:val="en-US" w:eastAsia="zh-CN"/>
        </w:rPr>
        <w:t>，实际完成=99.85%，</w:t>
      </w:r>
      <w:r>
        <w:rPr>
          <w:rFonts w:hint="eastAsia"/>
          <w:highlight w:val="none"/>
        </w:rPr>
        <w:t>该指标分值</w:t>
      </w:r>
      <w:r>
        <w:rPr>
          <w:rFonts w:hint="eastAsia"/>
          <w:highlight w:val="none"/>
          <w:lang w:val="en-US" w:eastAsia="zh-CN"/>
        </w:rPr>
        <w:t>3.85</w:t>
      </w:r>
      <w:r>
        <w:rPr>
          <w:rFonts w:hint="eastAsia"/>
          <w:highlight w:val="none"/>
        </w:rPr>
        <w:t>分，自评得分为</w:t>
      </w:r>
      <w:r>
        <w:rPr>
          <w:rFonts w:hint="eastAsia"/>
          <w:highlight w:val="none"/>
          <w:lang w:val="en-US" w:eastAsia="zh-CN"/>
        </w:rPr>
        <w:t>3.85</w:t>
      </w:r>
      <w:r>
        <w:rPr>
          <w:rFonts w:hint="eastAsia"/>
          <w:highlight w:val="none"/>
        </w:rPr>
        <w:t>分，得分率</w:t>
      </w:r>
      <w:r>
        <w:rPr>
          <w:rFonts w:hint="eastAsia"/>
          <w:highlight w:val="none"/>
          <w:lang w:val="en-US" w:eastAsia="zh-CN"/>
        </w:rPr>
        <w:t>100</w:t>
      </w:r>
      <w:r>
        <w:rPr>
          <w:rFonts w:hint="eastAsia"/>
          <w:highlight w:val="none"/>
        </w:rPr>
        <w:t>%。</w:t>
      </w:r>
    </w:p>
    <w:p>
      <w:pPr>
        <w:ind w:left="0" w:leftChars="0" w:firstLine="562" w:firstLineChars="200"/>
        <w:rPr>
          <w:rFonts w:hint="eastAsia"/>
          <w:highlight w:val="none"/>
        </w:rPr>
      </w:pPr>
      <w:r>
        <w:rPr>
          <w:rFonts w:hint="eastAsia"/>
          <w:b/>
          <w:bCs/>
          <w:highlight w:val="none"/>
          <w:lang w:val="en-US" w:eastAsia="zh-CN"/>
        </w:rPr>
        <w:t>案件比：</w:t>
      </w:r>
      <w:r>
        <w:rPr>
          <w:rFonts w:hint="eastAsia"/>
          <w:b w:val="0"/>
          <w:bCs w:val="0"/>
          <w:highlight w:val="none"/>
          <w:lang w:val="en-US" w:eastAsia="zh-CN"/>
        </w:rPr>
        <w:t>年度目标</w:t>
      </w:r>
      <w:r>
        <w:rPr>
          <w:rFonts w:hint="eastAsia" w:ascii="仿宋_GB2312" w:hAnsi="仿宋_GB2312" w:eastAsia="仿宋_GB2312" w:cs="仿宋_GB2312"/>
          <w:b w:val="0"/>
          <w:bCs w:val="0"/>
          <w:highlight w:val="none"/>
          <w:lang w:val="en-US" w:eastAsia="zh-CN"/>
        </w:rPr>
        <w:t>&gt;=1.4</w:t>
      </w:r>
      <w:r>
        <w:rPr>
          <w:rFonts w:hint="eastAsia"/>
          <w:b w:val="0"/>
          <w:bCs w:val="0"/>
          <w:highlight w:val="none"/>
          <w:lang w:val="en-US" w:eastAsia="zh-CN"/>
        </w:rPr>
        <w:t>，实际完成1.4，</w:t>
      </w:r>
      <w:r>
        <w:rPr>
          <w:rFonts w:hint="eastAsia"/>
          <w:highlight w:val="none"/>
        </w:rPr>
        <w:t>该指标分值</w:t>
      </w:r>
      <w:r>
        <w:rPr>
          <w:rFonts w:hint="eastAsia"/>
          <w:highlight w:val="none"/>
          <w:lang w:val="en-US" w:eastAsia="zh-CN"/>
        </w:rPr>
        <w:t>3.85</w:t>
      </w:r>
      <w:r>
        <w:rPr>
          <w:rFonts w:hint="eastAsia"/>
          <w:highlight w:val="none"/>
        </w:rPr>
        <w:t>分，自评得分为</w:t>
      </w:r>
      <w:r>
        <w:rPr>
          <w:rFonts w:hint="eastAsia"/>
          <w:highlight w:val="none"/>
          <w:lang w:val="en-US" w:eastAsia="zh-CN"/>
        </w:rPr>
        <w:t>3.85</w:t>
      </w:r>
      <w:r>
        <w:rPr>
          <w:rFonts w:hint="eastAsia"/>
          <w:highlight w:val="none"/>
        </w:rPr>
        <w:t>分，得分率</w:t>
      </w:r>
      <w:r>
        <w:rPr>
          <w:rFonts w:hint="eastAsia"/>
          <w:highlight w:val="none"/>
          <w:lang w:val="en-US" w:eastAsia="zh-CN"/>
        </w:rPr>
        <w:t>100</w:t>
      </w:r>
      <w:r>
        <w:rPr>
          <w:rFonts w:hint="eastAsia"/>
          <w:highlight w:val="none"/>
        </w:rPr>
        <w:t>%。</w:t>
      </w:r>
    </w:p>
    <w:p>
      <w:pPr>
        <w:ind w:left="0" w:leftChars="0" w:firstLine="562" w:firstLineChars="200"/>
        <w:rPr>
          <w:rFonts w:hint="eastAsia"/>
          <w:b/>
          <w:bCs/>
          <w:lang w:val="en-US" w:eastAsia="zh-CN"/>
        </w:rPr>
      </w:pPr>
      <w:r>
        <w:rPr>
          <w:rFonts w:hint="eastAsia"/>
          <w:b/>
          <w:bCs/>
          <w:lang w:val="en-US" w:eastAsia="zh-CN"/>
        </w:rPr>
        <w:t>无罪判决率：</w:t>
      </w:r>
      <w:r>
        <w:rPr>
          <w:rFonts w:hint="eastAsia"/>
          <w:b w:val="0"/>
          <w:bCs w:val="0"/>
          <w:highlight w:val="none"/>
          <w:lang w:val="en-US" w:eastAsia="zh-CN"/>
        </w:rPr>
        <w:t>年度目标</w:t>
      </w:r>
      <w:r>
        <w:rPr>
          <w:rFonts w:hint="eastAsia" w:ascii="仿宋_GB2312" w:hAnsi="仿宋_GB2312" w:eastAsia="仿宋_GB2312" w:cs="仿宋_GB2312"/>
          <w:b w:val="0"/>
          <w:bCs w:val="0"/>
          <w:highlight w:val="none"/>
          <w:lang w:val="en-US" w:eastAsia="zh-CN"/>
        </w:rPr>
        <w:t>&lt;=1</w:t>
      </w:r>
      <w:r>
        <w:rPr>
          <w:rFonts w:hint="eastAsia"/>
          <w:b w:val="0"/>
          <w:bCs w:val="0"/>
          <w:highlight w:val="none"/>
          <w:lang w:val="en-US" w:eastAsia="zh-CN"/>
        </w:rPr>
        <w:t>，实际完成=0，系统原因导致扣分，已完成年终目标。</w:t>
      </w:r>
      <w:r>
        <w:rPr>
          <w:rFonts w:hint="eastAsia"/>
          <w:highlight w:val="none"/>
        </w:rPr>
        <w:t>该指标分值</w:t>
      </w:r>
      <w:r>
        <w:rPr>
          <w:rFonts w:hint="eastAsia"/>
          <w:highlight w:val="none"/>
          <w:lang w:val="en-US" w:eastAsia="zh-CN"/>
        </w:rPr>
        <w:t>3.85</w:t>
      </w:r>
      <w:r>
        <w:rPr>
          <w:rFonts w:hint="eastAsia"/>
          <w:highlight w:val="none"/>
        </w:rPr>
        <w:t>分，自评得分为</w:t>
      </w:r>
      <w:r>
        <w:rPr>
          <w:rFonts w:hint="eastAsia"/>
          <w:highlight w:val="none"/>
          <w:lang w:val="en-US" w:eastAsia="zh-CN"/>
        </w:rPr>
        <w:t>0</w:t>
      </w:r>
      <w:r>
        <w:rPr>
          <w:rFonts w:hint="eastAsia"/>
          <w:highlight w:val="none"/>
        </w:rPr>
        <w:t>分，得分率</w:t>
      </w:r>
      <w:r>
        <w:rPr>
          <w:rFonts w:hint="eastAsia"/>
          <w:highlight w:val="none"/>
          <w:lang w:val="en-US" w:eastAsia="zh-CN"/>
        </w:rPr>
        <w:t>100</w:t>
      </w:r>
      <w:r>
        <w:rPr>
          <w:rFonts w:hint="eastAsia"/>
          <w:highlight w:val="none"/>
        </w:rPr>
        <w:t>%。</w:t>
      </w:r>
    </w:p>
    <w:p>
      <w:pPr>
        <w:pStyle w:val="9"/>
        <w:ind w:firstLine="560"/>
        <w:rPr>
          <w:rFonts w:hint="eastAsia" w:ascii="Calibri" w:hAnsi="Calibri" w:eastAsia="仿宋_GB2312" w:cs="Calibri"/>
          <w:b/>
          <w:bCs/>
          <w:kern w:val="2"/>
          <w:sz w:val="28"/>
          <w:szCs w:val="28"/>
          <w:highlight w:val="none"/>
          <w:lang w:val="en-US" w:eastAsia="zh-CN" w:bidi="ar-SA"/>
        </w:rPr>
      </w:pPr>
      <w:r>
        <w:rPr>
          <w:rFonts w:hint="eastAsia" w:ascii="Calibri" w:hAnsi="Calibri" w:eastAsia="仿宋_GB2312" w:cs="Calibri"/>
          <w:b/>
          <w:bCs/>
          <w:kern w:val="2"/>
          <w:sz w:val="28"/>
          <w:szCs w:val="28"/>
          <w:highlight w:val="none"/>
          <w:lang w:val="en-US" w:eastAsia="zh-CN" w:bidi="ar-SA"/>
        </w:rPr>
        <w:t>③时效指标</w:t>
      </w:r>
    </w:p>
    <w:p>
      <w:pPr>
        <w:ind w:firstLine="560"/>
        <w:rPr>
          <w:rFonts w:hint="eastAsia"/>
          <w:highlight w:val="none"/>
          <w:lang w:val="en-US" w:eastAsia="zh-CN"/>
        </w:rPr>
      </w:pPr>
      <w:r>
        <w:rPr>
          <w:rFonts w:hint="eastAsia"/>
          <w:highlight w:val="none"/>
          <w:lang w:eastAsia="zh-CN"/>
        </w:rPr>
        <w:t>时效</w:t>
      </w:r>
      <w:r>
        <w:rPr>
          <w:rFonts w:hint="eastAsia"/>
          <w:highlight w:val="none"/>
        </w:rPr>
        <w:t>指标下设</w:t>
      </w:r>
      <w:r>
        <w:rPr>
          <w:rFonts w:hint="eastAsia"/>
          <w:highlight w:val="none"/>
          <w:lang w:val="en-US" w:eastAsia="zh-CN"/>
        </w:rPr>
        <w:t>2</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分值7.7</w:t>
      </w:r>
      <w:r>
        <w:rPr>
          <w:rFonts w:hint="eastAsia" w:hAnsi="宋体"/>
          <w:szCs w:val="28"/>
          <w:highlight w:val="none"/>
        </w:rPr>
        <w:t>分，自评得分</w:t>
      </w:r>
      <w:r>
        <w:rPr>
          <w:rFonts w:hint="eastAsia" w:hAnsi="宋体"/>
          <w:szCs w:val="28"/>
          <w:highlight w:val="none"/>
          <w:lang w:val="en-US" w:eastAsia="zh-CN"/>
        </w:rPr>
        <w:t>7.7</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bidi w:val="0"/>
        <w:rPr>
          <w:rFonts w:hint="eastAsia"/>
          <w:highlight w:val="none"/>
          <w:lang w:val="en-US" w:eastAsia="zh-CN"/>
        </w:rPr>
      </w:pPr>
      <w:r>
        <w:rPr>
          <w:rFonts w:hint="eastAsia"/>
          <w:b/>
          <w:bCs/>
          <w:highlight w:val="none"/>
          <w:lang w:val="en-US" w:eastAsia="zh-CN"/>
        </w:rPr>
        <w:t>案件流转及时性：</w:t>
      </w:r>
      <w:r>
        <w:rPr>
          <w:rFonts w:hint="eastAsia"/>
          <w:b w:val="0"/>
          <w:bCs w:val="0"/>
          <w:highlight w:val="none"/>
          <w:lang w:val="en-US" w:eastAsia="zh-CN"/>
        </w:rPr>
        <w:t>我院</w:t>
      </w:r>
      <w:r>
        <w:rPr>
          <w:rFonts w:hint="eastAsia"/>
          <w:highlight w:val="none"/>
          <w:lang w:val="en-US" w:eastAsia="zh-CN"/>
        </w:rPr>
        <w:t>本年度</w:t>
      </w:r>
      <w:r>
        <w:rPr>
          <w:rFonts w:hint="eastAsia"/>
          <w:b w:val="0"/>
          <w:bCs w:val="0"/>
          <w:highlight w:val="none"/>
          <w:lang w:val="en-US" w:eastAsia="zh-CN"/>
        </w:rPr>
        <w:t>案件流转及时完成，</w:t>
      </w:r>
      <w:r>
        <w:rPr>
          <w:rFonts w:hint="eastAsia"/>
          <w:highlight w:val="none"/>
          <w:lang w:val="en-US" w:eastAsia="zh-CN"/>
        </w:rPr>
        <w:t>并全部通过验收，达到年度指标值。该指标分值3.85分，自评得分为3.85分，得分率为100%。</w:t>
      </w:r>
    </w:p>
    <w:p>
      <w:pPr>
        <w:ind w:firstLine="562"/>
        <w:rPr>
          <w:rFonts w:hint="eastAsia"/>
          <w:b/>
          <w:bCs/>
          <w:highlight w:val="none"/>
        </w:rPr>
      </w:pPr>
      <w:r>
        <w:rPr>
          <w:rFonts w:hint="default"/>
          <w:b/>
          <w:bCs/>
          <w:highlight w:val="none"/>
          <w:lang w:val="en-US" w:eastAsia="zh-CN"/>
        </w:rPr>
        <w:t>案件是否按期办结</w:t>
      </w:r>
      <w:r>
        <w:rPr>
          <w:rFonts w:hint="eastAsia"/>
          <w:b/>
          <w:bCs/>
          <w:highlight w:val="none"/>
          <w:lang w:val="en-US" w:eastAsia="zh-CN"/>
        </w:rPr>
        <w:t>：</w:t>
      </w:r>
      <w:r>
        <w:rPr>
          <w:rFonts w:hint="eastAsia"/>
          <w:b w:val="0"/>
          <w:bCs w:val="0"/>
          <w:highlight w:val="none"/>
          <w:lang w:val="en-US" w:eastAsia="zh-CN"/>
        </w:rPr>
        <w:t>我院本年度案件按期办结</w:t>
      </w:r>
      <w:r>
        <w:rPr>
          <w:rFonts w:hint="eastAsia" w:hAnsi="宋体" w:cstheme="minorBidi"/>
          <w:b w:val="0"/>
          <w:bCs w:val="0"/>
          <w:kern w:val="2"/>
          <w:sz w:val="28"/>
          <w:szCs w:val="28"/>
          <w:highlight w:val="none"/>
          <w:lang w:val="en-US" w:eastAsia="zh-CN" w:bidi="ar-SA"/>
        </w:rPr>
        <w:t>，达到年度指标值。</w:t>
      </w:r>
      <w:r>
        <w:rPr>
          <w:rFonts w:hint="eastAsia" w:hAnsi="宋体"/>
          <w:szCs w:val="28"/>
          <w:highlight w:val="none"/>
        </w:rPr>
        <w:t>该指标分值</w:t>
      </w:r>
      <w:r>
        <w:rPr>
          <w:rFonts w:hint="eastAsia" w:hAnsi="宋体"/>
          <w:szCs w:val="28"/>
          <w:highlight w:val="none"/>
          <w:lang w:val="en-US" w:eastAsia="zh-CN"/>
        </w:rPr>
        <w:t>3.85</w:t>
      </w:r>
      <w:r>
        <w:rPr>
          <w:rFonts w:hint="eastAsia" w:hAnsi="宋体"/>
          <w:szCs w:val="28"/>
          <w:highlight w:val="none"/>
        </w:rPr>
        <w:t>分，自评得分为</w:t>
      </w:r>
      <w:r>
        <w:rPr>
          <w:rFonts w:hint="eastAsia" w:hAnsi="宋体"/>
          <w:szCs w:val="28"/>
          <w:highlight w:val="none"/>
          <w:lang w:val="en-US" w:eastAsia="zh-CN"/>
        </w:rPr>
        <w:t>3.85</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pStyle w:val="9"/>
        <w:ind w:firstLine="560"/>
        <w:rPr>
          <w:rFonts w:hint="eastAsia" w:ascii="Calibri" w:hAnsi="Calibri" w:cs="Calibri"/>
          <w:b/>
          <w:bCs/>
          <w:kern w:val="2"/>
          <w:sz w:val="28"/>
          <w:szCs w:val="28"/>
          <w:highlight w:val="none"/>
          <w:lang w:val="en-US" w:eastAsia="zh-CN" w:bidi="ar-SA"/>
        </w:rPr>
      </w:pPr>
      <w:r>
        <w:rPr>
          <w:rFonts w:hint="eastAsia" w:ascii="Calibri" w:hAnsi="Calibri" w:eastAsia="仿宋_GB2312" w:cs="Calibri"/>
          <w:b/>
          <w:bCs/>
          <w:kern w:val="2"/>
          <w:sz w:val="28"/>
          <w:szCs w:val="28"/>
          <w:highlight w:val="none"/>
          <w:lang w:val="en-US" w:eastAsia="zh-CN" w:bidi="ar-SA"/>
        </w:rPr>
        <w:t>④</w:t>
      </w:r>
      <w:r>
        <w:rPr>
          <w:rFonts w:hint="eastAsia" w:ascii="Calibri" w:hAnsi="Calibri" w:cs="Calibri"/>
          <w:b/>
          <w:bCs/>
          <w:kern w:val="2"/>
          <w:sz w:val="28"/>
          <w:szCs w:val="28"/>
          <w:highlight w:val="none"/>
          <w:lang w:val="en-US" w:eastAsia="zh-CN" w:bidi="ar-SA"/>
        </w:rPr>
        <w:t>成本指标</w:t>
      </w:r>
    </w:p>
    <w:p>
      <w:pPr>
        <w:ind w:firstLine="560"/>
        <w:rPr>
          <w:rFonts w:hint="eastAsia"/>
          <w:highlight w:val="none"/>
          <w:lang w:val="en-US" w:eastAsia="zh-CN"/>
        </w:rPr>
      </w:pPr>
      <w:r>
        <w:rPr>
          <w:rFonts w:hint="eastAsia"/>
          <w:highlight w:val="none"/>
          <w:lang w:eastAsia="zh-CN"/>
        </w:rPr>
        <w:t>成本</w:t>
      </w:r>
      <w:r>
        <w:rPr>
          <w:rFonts w:hint="eastAsia"/>
          <w:highlight w:val="none"/>
        </w:rPr>
        <w:t>指标下设</w:t>
      </w:r>
      <w:r>
        <w:rPr>
          <w:rFonts w:hint="eastAsia"/>
          <w:highlight w:val="none"/>
          <w:lang w:val="en-US" w:eastAsia="zh-CN"/>
        </w:rPr>
        <w:t>4</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分值15.53</w:t>
      </w:r>
      <w:r>
        <w:rPr>
          <w:rFonts w:hint="eastAsia" w:hAnsi="宋体"/>
          <w:szCs w:val="28"/>
          <w:highlight w:val="none"/>
        </w:rPr>
        <w:t>分，自评得分</w:t>
      </w:r>
      <w:r>
        <w:rPr>
          <w:rFonts w:hint="eastAsia" w:hAnsi="宋体"/>
          <w:szCs w:val="28"/>
          <w:highlight w:val="none"/>
          <w:lang w:val="en-US" w:eastAsia="zh-CN"/>
        </w:rPr>
        <w:t>15.53</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bidi w:val="0"/>
        <w:rPr>
          <w:rFonts w:hint="eastAsia"/>
          <w:highlight w:val="none"/>
          <w:lang w:val="en-US" w:eastAsia="zh-CN"/>
        </w:rPr>
      </w:pPr>
      <w:r>
        <w:rPr>
          <w:rFonts w:hint="eastAsia" w:ascii="仿宋_GB2312" w:hAnsi="宋体" w:eastAsia="仿宋_GB2312" w:cstheme="minorBidi"/>
          <w:b/>
          <w:bCs/>
          <w:kern w:val="2"/>
          <w:sz w:val="28"/>
          <w:szCs w:val="28"/>
          <w:highlight w:val="none"/>
          <w:lang w:val="en-US" w:eastAsia="zh-CN" w:bidi="ar-SA"/>
        </w:rPr>
        <w:t>办案业务成本</w:t>
      </w:r>
      <w:r>
        <w:rPr>
          <w:rFonts w:hint="eastAsia" w:hAnsi="宋体" w:cstheme="minorBidi"/>
          <w:b/>
          <w:bCs/>
          <w:kern w:val="2"/>
          <w:sz w:val="28"/>
          <w:szCs w:val="28"/>
          <w:highlight w:val="none"/>
          <w:lang w:val="en-US" w:eastAsia="zh-CN" w:bidi="ar-SA"/>
        </w:rPr>
        <w:t>：</w:t>
      </w:r>
      <w:r>
        <w:rPr>
          <w:rFonts w:hint="eastAsia" w:hAnsi="宋体" w:cs="宋体"/>
          <w:kern w:val="0"/>
          <w:szCs w:val="28"/>
          <w:highlight w:val="none"/>
          <w:lang w:val="en-US" w:eastAsia="zh-CN"/>
        </w:rPr>
        <w:t>落实全省法院“基层基础建设年”安排部署，建成“六专四室”；加快信息化建设步伐，智能化水平不断提升；保证办案经费及时拨付。</w:t>
      </w:r>
      <w:r>
        <w:rPr>
          <w:rFonts w:hint="eastAsia"/>
          <w:highlight w:val="none"/>
          <w:lang w:val="en-US" w:eastAsia="zh-CN"/>
        </w:rPr>
        <w:t>该指标分值3.85分，自评得分为3.85分，得分率为100%。</w:t>
      </w:r>
    </w:p>
    <w:p>
      <w:pPr>
        <w:bidi w:val="0"/>
        <w:rPr>
          <w:rFonts w:hint="eastAsia"/>
          <w:highlight w:val="none"/>
          <w:lang w:val="en-US" w:eastAsia="zh-CN"/>
        </w:rPr>
      </w:pPr>
      <w:r>
        <w:rPr>
          <w:rFonts w:hint="eastAsia"/>
          <w:b/>
          <w:bCs/>
          <w:highlight w:val="none"/>
          <w:lang w:val="en-US" w:eastAsia="zh-CN"/>
        </w:rPr>
        <w:t>办案技术水平:</w:t>
      </w:r>
      <w:r>
        <w:rPr>
          <w:rFonts w:hint="eastAsia"/>
          <w:b w:val="0"/>
          <w:bCs w:val="0"/>
          <w:highlight w:val="none"/>
          <w:lang w:val="en-US" w:eastAsia="zh-CN"/>
        </w:rPr>
        <w:t>我</w:t>
      </w:r>
      <w:r>
        <w:rPr>
          <w:rFonts w:hint="eastAsia" w:ascii="Times New Roman" w:eastAsia="仿宋_GB2312"/>
          <w:sz w:val="28"/>
          <w:szCs w:val="21"/>
          <w:highlight w:val="none"/>
          <w:lang w:val="en-US" w:eastAsia="zh-CN"/>
        </w:rPr>
        <w:t>院</w:t>
      </w:r>
      <w:r>
        <w:rPr>
          <w:rFonts w:hint="eastAsia" w:ascii="Times New Roman"/>
          <w:sz w:val="28"/>
          <w:szCs w:val="21"/>
          <w:highlight w:val="none"/>
          <w:lang w:val="en-US" w:eastAsia="zh-CN"/>
        </w:rPr>
        <w:t>本年度办案技术水平不断提升，达到年度指标值</w:t>
      </w:r>
      <w:r>
        <w:rPr>
          <w:rFonts w:hint="eastAsia" w:ascii="Times New Roman" w:eastAsia="仿宋_GB2312"/>
          <w:sz w:val="32"/>
          <w:highlight w:val="none"/>
          <w:lang w:val="en-US" w:eastAsia="zh-CN"/>
        </w:rPr>
        <w:t>。</w:t>
      </w:r>
      <w:r>
        <w:rPr>
          <w:rFonts w:hint="eastAsia"/>
          <w:highlight w:val="none"/>
          <w:lang w:val="en-US" w:eastAsia="zh-CN"/>
        </w:rPr>
        <w:t>该指标分值3.85分，自评得分为3.85分，得分率为100%。</w:t>
      </w:r>
    </w:p>
    <w:p>
      <w:pPr>
        <w:pStyle w:val="2"/>
        <w:rPr>
          <w:rFonts w:hint="eastAsia"/>
          <w:highlight w:val="none"/>
          <w:lang w:val="en-US" w:eastAsia="zh-CN"/>
        </w:rPr>
      </w:pPr>
      <w:r>
        <w:rPr>
          <w:rFonts w:hint="default"/>
          <w:b/>
          <w:bCs/>
          <w:lang w:val="en-US" w:eastAsia="zh-CN"/>
        </w:rPr>
        <w:t>办案条件改善有效性</w:t>
      </w:r>
      <w:r>
        <w:rPr>
          <w:rFonts w:hint="eastAsia"/>
          <w:b/>
          <w:bCs/>
          <w:lang w:val="en-US" w:eastAsia="zh-CN"/>
        </w:rPr>
        <w:t>：</w:t>
      </w:r>
      <w:r>
        <w:rPr>
          <w:rFonts w:hint="eastAsia"/>
          <w:b w:val="0"/>
          <w:bCs w:val="0"/>
          <w:lang w:val="en-US" w:eastAsia="zh-CN"/>
        </w:rPr>
        <w:t>我院本年度办案条件得到有效改善，达到年度指标值，</w:t>
      </w:r>
      <w:r>
        <w:rPr>
          <w:rFonts w:hint="eastAsia"/>
          <w:highlight w:val="none"/>
          <w:lang w:val="en-US" w:eastAsia="zh-CN"/>
        </w:rPr>
        <w:t>该指标分值3.8分，自评得分为3.8分，得分率为100%。</w:t>
      </w:r>
    </w:p>
    <w:p>
      <w:pPr>
        <w:snapToGrid/>
        <w:spacing w:beforeAutospacing="0" w:afterAutospacing="0" w:line="560" w:lineRule="exact"/>
        <w:ind w:left="0" w:leftChars="0" w:firstLine="562" w:firstLineChars="200"/>
        <w:rPr>
          <w:rFonts w:hint="default"/>
          <w:b/>
          <w:bCs/>
          <w:lang w:val="en-US" w:eastAsia="zh-CN"/>
        </w:rPr>
      </w:pPr>
      <w:r>
        <w:rPr>
          <w:rFonts w:hint="default"/>
          <w:b/>
          <w:bCs/>
          <w:lang w:val="en-US" w:eastAsia="zh-CN"/>
        </w:rPr>
        <w:t>办案经费控制率</w:t>
      </w:r>
      <w:r>
        <w:rPr>
          <w:rFonts w:hint="eastAsia"/>
          <w:b/>
          <w:bCs/>
          <w:highlight w:val="none"/>
          <w:lang w:val="en-US" w:eastAsia="zh-CN"/>
        </w:rPr>
        <w:t>：</w:t>
      </w:r>
      <w:r>
        <w:rPr>
          <w:rFonts w:hint="eastAsia" w:ascii="Times New Roman" w:eastAsia="仿宋_GB2312"/>
          <w:b w:val="0"/>
          <w:bCs w:val="0"/>
          <w:sz w:val="28"/>
          <w:szCs w:val="21"/>
          <w:highlight w:val="none"/>
          <w:lang w:val="en-US" w:eastAsia="zh-CN"/>
        </w:rPr>
        <w:t>年度指标值</w:t>
      </w:r>
      <w:r>
        <w:rPr>
          <w:rFonts w:hint="eastAsia" w:ascii="仿宋_GB2312" w:hAnsi="仿宋_GB2312" w:eastAsia="仿宋_GB2312" w:cs="仿宋_GB2312"/>
          <w:b w:val="0"/>
          <w:bCs w:val="0"/>
          <w:highlight w:val="none"/>
          <w:lang w:val="en-US" w:eastAsia="zh-CN"/>
        </w:rPr>
        <w:t>&lt;=</w:t>
      </w:r>
      <w:r>
        <w:rPr>
          <w:rFonts w:hint="eastAsia" w:cs="仿宋_GB2312"/>
          <w:b w:val="0"/>
          <w:bCs w:val="0"/>
          <w:highlight w:val="none"/>
          <w:lang w:val="en-US" w:eastAsia="zh-CN"/>
        </w:rPr>
        <w:t>60%</w:t>
      </w:r>
      <w:r>
        <w:rPr>
          <w:rFonts w:hint="eastAsia" w:ascii="Times New Roman" w:eastAsia="仿宋_GB2312"/>
          <w:b w:val="0"/>
          <w:bCs w:val="0"/>
          <w:sz w:val="32"/>
          <w:highlight w:val="none"/>
          <w:lang w:val="en-US" w:eastAsia="zh-CN"/>
        </w:rPr>
        <w:t>，</w:t>
      </w:r>
      <w:r>
        <w:rPr>
          <w:rFonts w:hint="eastAsia" w:ascii="Times New Roman" w:eastAsia="仿宋_GB2312"/>
          <w:b w:val="0"/>
          <w:bCs w:val="0"/>
          <w:sz w:val="28"/>
          <w:szCs w:val="28"/>
          <w:highlight w:val="none"/>
          <w:lang w:val="en-US" w:eastAsia="zh-CN"/>
        </w:rPr>
        <w:t>实际完成</w:t>
      </w:r>
      <w:r>
        <w:rPr>
          <w:rFonts w:hint="eastAsia" w:hAnsi="宋体"/>
          <w:sz w:val="28"/>
          <w:szCs w:val="28"/>
          <w:highlight w:val="none"/>
          <w:lang w:val="en-US" w:eastAsia="zh-CN"/>
        </w:rPr>
        <w:t>55</w:t>
      </w:r>
      <w:r>
        <w:rPr>
          <w:rFonts w:hint="eastAsia" w:hAnsi="宋体"/>
          <w:sz w:val="28"/>
          <w:szCs w:val="28"/>
          <w:highlight w:val="none"/>
        </w:rPr>
        <w:t>%</w:t>
      </w:r>
      <w:r>
        <w:rPr>
          <w:rFonts w:hint="eastAsia" w:ascii="Times New Roman" w:eastAsia="仿宋_GB2312"/>
          <w:b w:val="0"/>
          <w:bCs w:val="0"/>
          <w:sz w:val="28"/>
          <w:szCs w:val="28"/>
          <w:highlight w:val="none"/>
          <w:lang w:val="en-US" w:eastAsia="zh-CN"/>
        </w:rPr>
        <w:t>。</w:t>
      </w:r>
      <w:r>
        <w:rPr>
          <w:rFonts w:hint="eastAsia" w:ascii="Times New Roman" w:hAnsi="宋体" w:eastAsia="仿宋_GB2312" w:cs="宋体"/>
          <w:b w:val="0"/>
          <w:bCs w:val="0"/>
          <w:kern w:val="0"/>
          <w:sz w:val="28"/>
          <w:szCs w:val="28"/>
          <w:highlight w:val="none"/>
        </w:rPr>
        <w:t>该指标分值</w:t>
      </w:r>
      <w:r>
        <w:rPr>
          <w:rFonts w:hint="eastAsia" w:hAnsi="宋体"/>
          <w:sz w:val="28"/>
          <w:szCs w:val="28"/>
          <w:highlight w:val="none"/>
          <w:lang w:val="en-US" w:eastAsia="zh-CN"/>
        </w:rPr>
        <w:t>3.8</w:t>
      </w:r>
      <w:r>
        <w:rPr>
          <w:rFonts w:hint="eastAsia" w:ascii="Times New Roman" w:hAnsi="宋体" w:eastAsia="仿宋_GB2312" w:cs="宋体"/>
          <w:b w:val="0"/>
          <w:bCs w:val="0"/>
          <w:kern w:val="0"/>
          <w:sz w:val="28"/>
          <w:szCs w:val="28"/>
          <w:highlight w:val="none"/>
        </w:rPr>
        <w:t>分，自评得分为</w:t>
      </w:r>
      <w:r>
        <w:rPr>
          <w:rFonts w:hint="eastAsia" w:hAnsi="宋体"/>
          <w:sz w:val="28"/>
          <w:szCs w:val="28"/>
          <w:highlight w:val="none"/>
          <w:lang w:val="en-US" w:eastAsia="zh-CN"/>
        </w:rPr>
        <w:t>3.8</w:t>
      </w:r>
      <w:r>
        <w:rPr>
          <w:rFonts w:hint="eastAsia" w:ascii="Times New Roman" w:hAnsi="宋体" w:eastAsia="仿宋_GB2312" w:cs="宋体"/>
          <w:b w:val="0"/>
          <w:bCs w:val="0"/>
          <w:kern w:val="0"/>
          <w:sz w:val="28"/>
          <w:szCs w:val="28"/>
          <w:highlight w:val="none"/>
        </w:rPr>
        <w:t>分，得分率为</w:t>
      </w:r>
      <w:r>
        <w:rPr>
          <w:rFonts w:hint="eastAsia" w:hAnsi="宋体"/>
          <w:sz w:val="28"/>
          <w:szCs w:val="28"/>
          <w:highlight w:val="none"/>
        </w:rPr>
        <w:t>100%</w:t>
      </w:r>
      <w:r>
        <w:rPr>
          <w:rFonts w:hint="eastAsia" w:ascii="Times New Roman" w:hAnsi="宋体" w:eastAsia="仿宋_GB2312" w:cs="宋体"/>
          <w:b w:val="0"/>
          <w:bCs w:val="0"/>
          <w:kern w:val="0"/>
          <w:sz w:val="28"/>
          <w:szCs w:val="28"/>
          <w:highlight w:val="none"/>
        </w:rPr>
        <w:t>。</w:t>
      </w:r>
    </w:p>
    <w:p>
      <w:pPr>
        <w:ind w:firstLine="562"/>
        <w:rPr>
          <w:b/>
          <w:bCs/>
          <w:szCs w:val="28"/>
          <w:highlight w:val="none"/>
        </w:rPr>
      </w:pPr>
      <w:r>
        <w:rPr>
          <w:rFonts w:hint="eastAsia"/>
          <w:b/>
          <w:bCs/>
          <w:szCs w:val="28"/>
          <w:highlight w:val="none"/>
        </w:rPr>
        <w:t>（2）效益指标</w:t>
      </w:r>
    </w:p>
    <w:p>
      <w:pPr>
        <w:ind w:firstLine="560"/>
        <w:rPr>
          <w:rFonts w:hint="eastAsia"/>
          <w:szCs w:val="28"/>
          <w:highlight w:val="none"/>
        </w:rPr>
      </w:pPr>
      <w:r>
        <w:rPr>
          <w:rFonts w:hint="eastAsia"/>
          <w:szCs w:val="28"/>
          <w:highlight w:val="none"/>
        </w:rPr>
        <w:t>本项目效益指标主要考虑</w:t>
      </w:r>
      <w:r>
        <w:rPr>
          <w:rFonts w:hint="eastAsia"/>
          <w:szCs w:val="28"/>
          <w:highlight w:val="none"/>
          <w:lang w:val="en-US" w:eastAsia="zh-CN"/>
        </w:rPr>
        <w:t>经济效益、</w:t>
      </w:r>
      <w:r>
        <w:rPr>
          <w:rFonts w:hint="eastAsia"/>
          <w:szCs w:val="28"/>
          <w:highlight w:val="none"/>
        </w:rPr>
        <w:t>社会效益</w:t>
      </w:r>
      <w:r>
        <w:rPr>
          <w:rFonts w:hint="eastAsia"/>
          <w:szCs w:val="28"/>
          <w:highlight w:val="none"/>
          <w:lang w:eastAsia="zh-CN"/>
        </w:rPr>
        <w:t>、</w:t>
      </w:r>
      <w:r>
        <w:rPr>
          <w:rFonts w:hint="eastAsia"/>
          <w:szCs w:val="28"/>
          <w:highlight w:val="none"/>
          <w:lang w:val="en-US" w:eastAsia="zh-CN"/>
        </w:rPr>
        <w:t>生态效益</w:t>
      </w:r>
      <w:r>
        <w:rPr>
          <w:rFonts w:hint="eastAsia"/>
          <w:szCs w:val="28"/>
          <w:highlight w:val="none"/>
        </w:rPr>
        <w:t>和可持续影响</w:t>
      </w:r>
      <w:r>
        <w:rPr>
          <w:rFonts w:hint="eastAsia"/>
          <w:szCs w:val="28"/>
          <w:highlight w:val="none"/>
          <w:lang w:val="en-US" w:eastAsia="zh-CN"/>
        </w:rPr>
        <w:t>4个二级指标</w:t>
      </w:r>
      <w:r>
        <w:rPr>
          <w:rFonts w:hint="eastAsia"/>
          <w:szCs w:val="28"/>
          <w:highlight w:val="none"/>
        </w:rPr>
        <w:t>。总分值30分，得分</w:t>
      </w:r>
      <w:r>
        <w:rPr>
          <w:rFonts w:hint="eastAsia"/>
          <w:szCs w:val="28"/>
          <w:highlight w:val="none"/>
          <w:lang w:val="en-US" w:eastAsia="zh-CN"/>
        </w:rPr>
        <w:t>30</w:t>
      </w:r>
      <w:r>
        <w:rPr>
          <w:rFonts w:hint="eastAsia"/>
          <w:szCs w:val="28"/>
          <w:highlight w:val="none"/>
        </w:rPr>
        <w:t>分，得分率</w:t>
      </w:r>
      <w:r>
        <w:rPr>
          <w:rFonts w:hint="eastAsia"/>
          <w:szCs w:val="28"/>
          <w:highlight w:val="none"/>
          <w:lang w:val="en-US" w:eastAsia="zh-CN"/>
        </w:rPr>
        <w:t>100</w:t>
      </w:r>
      <w:r>
        <w:rPr>
          <w:rFonts w:hint="eastAsia"/>
          <w:szCs w:val="28"/>
          <w:highlight w:val="none"/>
        </w:rPr>
        <w:t>%。</w:t>
      </w:r>
    </w:p>
    <w:p>
      <w:pPr>
        <w:ind w:firstLine="562"/>
        <w:rPr>
          <w:rFonts w:hint="eastAsia"/>
          <w:b/>
          <w:bCs/>
          <w:szCs w:val="28"/>
          <w:highlight w:val="none"/>
          <w:lang w:eastAsia="zh-CN"/>
        </w:rPr>
      </w:pPr>
      <w:r>
        <w:rPr>
          <w:rFonts w:hint="eastAsia"/>
          <w:b/>
          <w:bCs/>
          <w:szCs w:val="28"/>
          <w:highlight w:val="none"/>
        </w:rPr>
        <w:t>①</w:t>
      </w:r>
      <w:r>
        <w:rPr>
          <w:rFonts w:hint="eastAsia"/>
          <w:b/>
          <w:bCs/>
          <w:szCs w:val="28"/>
          <w:highlight w:val="none"/>
          <w:lang w:eastAsia="zh-CN"/>
        </w:rPr>
        <w:t>经济效益指标</w:t>
      </w:r>
    </w:p>
    <w:p>
      <w:pPr>
        <w:ind w:firstLine="560"/>
        <w:rPr>
          <w:rFonts w:hAnsi="宋体"/>
          <w:szCs w:val="28"/>
          <w:highlight w:val="none"/>
        </w:rPr>
      </w:pPr>
      <w:r>
        <w:rPr>
          <w:rFonts w:hint="eastAsia"/>
          <w:highlight w:val="none"/>
          <w:lang w:eastAsia="zh-CN"/>
        </w:rPr>
        <w:t>经济效益指标</w:t>
      </w:r>
      <w:r>
        <w:rPr>
          <w:rFonts w:hint="eastAsia"/>
          <w:highlight w:val="none"/>
        </w:rPr>
        <w:t>下设</w:t>
      </w:r>
      <w:r>
        <w:rPr>
          <w:rFonts w:hint="eastAsia"/>
          <w:highlight w:val="none"/>
          <w:lang w:val="en-US" w:eastAsia="zh-CN"/>
        </w:rPr>
        <w:t>1</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分值3.75</w:t>
      </w:r>
      <w:r>
        <w:rPr>
          <w:rFonts w:hint="eastAsia" w:hAnsi="宋体"/>
          <w:szCs w:val="28"/>
          <w:highlight w:val="none"/>
        </w:rPr>
        <w:t>分，自评得分</w:t>
      </w:r>
      <w:r>
        <w:rPr>
          <w:rFonts w:hint="eastAsia" w:hAnsi="宋体"/>
          <w:szCs w:val="28"/>
          <w:highlight w:val="none"/>
          <w:lang w:val="en-US" w:eastAsia="zh-CN"/>
        </w:rPr>
        <w:t>3.75</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ind w:firstLine="560"/>
        <w:rPr>
          <w:rFonts w:hint="eastAsia"/>
          <w:highlight w:val="none"/>
          <w:lang w:eastAsia="zh-CN"/>
        </w:rPr>
      </w:pPr>
      <w:r>
        <w:rPr>
          <w:rFonts w:hint="eastAsia"/>
          <w:b/>
          <w:bCs/>
          <w:highlight w:val="none"/>
          <w:lang w:val="en-US" w:eastAsia="zh-CN"/>
        </w:rPr>
        <w:t>提升法院服务形象：</w:t>
      </w:r>
      <w:r>
        <w:rPr>
          <w:rFonts w:hint="eastAsia"/>
          <w:b w:val="0"/>
          <w:bCs w:val="0"/>
          <w:highlight w:val="none"/>
          <w:lang w:val="en-US" w:eastAsia="zh-CN"/>
        </w:rPr>
        <w:t>我院不断提升法院服务形象，达到年度指标值，</w:t>
      </w:r>
      <w:r>
        <w:rPr>
          <w:rFonts w:hint="eastAsia" w:hAnsi="宋体"/>
          <w:szCs w:val="28"/>
          <w:highlight w:val="none"/>
          <w:lang w:val="en-US" w:eastAsia="zh-CN"/>
        </w:rPr>
        <w:t>该</w:t>
      </w:r>
      <w:r>
        <w:rPr>
          <w:rFonts w:hint="eastAsia" w:hAnsi="宋体"/>
          <w:szCs w:val="28"/>
          <w:highlight w:val="none"/>
        </w:rPr>
        <w:t>指标分值</w:t>
      </w:r>
      <w:r>
        <w:rPr>
          <w:rFonts w:hint="eastAsia" w:hAnsi="宋体"/>
          <w:szCs w:val="28"/>
          <w:highlight w:val="none"/>
          <w:lang w:val="en-US" w:eastAsia="zh-CN"/>
        </w:rPr>
        <w:t>3.75</w:t>
      </w:r>
      <w:r>
        <w:rPr>
          <w:rFonts w:hint="eastAsia" w:hAnsi="宋体"/>
          <w:szCs w:val="28"/>
          <w:highlight w:val="none"/>
        </w:rPr>
        <w:t>分，自评得分</w:t>
      </w:r>
      <w:r>
        <w:rPr>
          <w:rFonts w:hint="eastAsia" w:hAnsi="宋体"/>
          <w:szCs w:val="28"/>
          <w:highlight w:val="none"/>
          <w:lang w:val="en-US" w:eastAsia="zh-CN"/>
        </w:rPr>
        <w:t>3.75</w:t>
      </w:r>
      <w:r>
        <w:rPr>
          <w:rFonts w:hint="eastAsia" w:hAnsi="宋体"/>
          <w:szCs w:val="28"/>
          <w:highlight w:val="none"/>
        </w:rPr>
        <w:t>分，得分率为100%</w:t>
      </w:r>
      <w:r>
        <w:rPr>
          <w:rFonts w:hint="eastAsia" w:hAnsi="宋体"/>
          <w:szCs w:val="28"/>
          <w:highlight w:val="none"/>
          <w:lang w:eastAsia="zh-CN"/>
        </w:rPr>
        <w:t>。</w:t>
      </w:r>
    </w:p>
    <w:p>
      <w:pPr>
        <w:bidi w:val="0"/>
        <w:rPr>
          <w:rFonts w:hint="eastAsia"/>
          <w:b/>
          <w:bCs/>
          <w:highlight w:val="none"/>
          <w:lang w:eastAsia="zh-CN"/>
        </w:rPr>
      </w:pPr>
      <w:r>
        <w:rPr>
          <w:rFonts w:hint="eastAsia"/>
          <w:b/>
          <w:bCs/>
          <w:highlight w:val="none"/>
          <w:lang w:eastAsia="zh-CN"/>
        </w:rPr>
        <w:t>②社会效益指标</w:t>
      </w:r>
    </w:p>
    <w:p>
      <w:pPr>
        <w:ind w:firstLine="560"/>
        <w:rPr>
          <w:rFonts w:hint="eastAsia" w:hAnsi="宋体"/>
          <w:szCs w:val="28"/>
          <w:highlight w:val="none"/>
        </w:rPr>
      </w:pPr>
      <w:r>
        <w:rPr>
          <w:rFonts w:hint="eastAsia"/>
          <w:highlight w:val="none"/>
        </w:rPr>
        <w:t>社会效益指标下设</w:t>
      </w:r>
      <w:r>
        <w:rPr>
          <w:rFonts w:hint="eastAsia"/>
          <w:highlight w:val="none"/>
          <w:lang w:val="en-US" w:eastAsia="zh-CN"/>
        </w:rPr>
        <w:t>3</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分值11.25</w:t>
      </w:r>
      <w:r>
        <w:rPr>
          <w:rFonts w:hint="eastAsia" w:hAnsi="宋体"/>
          <w:szCs w:val="28"/>
          <w:highlight w:val="none"/>
        </w:rPr>
        <w:t>分，自评得分</w:t>
      </w:r>
      <w:r>
        <w:rPr>
          <w:rFonts w:hint="eastAsia" w:hAnsi="宋体"/>
          <w:szCs w:val="28"/>
          <w:highlight w:val="none"/>
          <w:lang w:val="en-US" w:eastAsia="zh-CN"/>
        </w:rPr>
        <w:t>11.25</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ind w:firstLine="562"/>
        <w:rPr>
          <w:rFonts w:hint="eastAsia" w:hAnsi="宋体"/>
          <w:szCs w:val="28"/>
          <w:highlight w:val="none"/>
          <w:lang w:eastAsia="zh-CN"/>
        </w:rPr>
      </w:pPr>
      <w:r>
        <w:rPr>
          <w:rFonts w:hint="eastAsia" w:hAnsi="仿宋"/>
          <w:b/>
          <w:bCs/>
          <w:spacing w:val="4"/>
          <w:szCs w:val="28"/>
          <w:highlight w:val="none"/>
          <w:lang w:val="en-US" w:eastAsia="zh-CN"/>
        </w:rPr>
        <w:t>审理案件公开透明度</w:t>
      </w:r>
      <w:r>
        <w:rPr>
          <w:rFonts w:hint="eastAsia" w:hAnsi="仿宋"/>
          <w:b/>
          <w:bCs/>
          <w:spacing w:val="4"/>
          <w:szCs w:val="28"/>
          <w:highlight w:val="none"/>
        </w:rPr>
        <w:t>：</w:t>
      </w:r>
      <w:r>
        <w:rPr>
          <w:rFonts w:hint="eastAsia"/>
          <w:b w:val="0"/>
          <w:bCs w:val="0"/>
          <w:highlight w:val="none"/>
          <w:lang w:val="en-US" w:eastAsia="zh-CN"/>
        </w:rPr>
        <w:t>司法透明是现代法治国家普遍遵循的重要法律原则，是司法公正、司法廉洁、司法公信的重要保障。</w:t>
      </w:r>
      <w:r>
        <w:rPr>
          <w:rFonts w:hint="eastAsia" w:hAnsi="宋体"/>
          <w:szCs w:val="28"/>
          <w:highlight w:val="none"/>
          <w:lang w:val="en-US" w:eastAsia="zh-CN"/>
        </w:rPr>
        <w:t>该</w:t>
      </w:r>
      <w:r>
        <w:rPr>
          <w:rFonts w:hint="eastAsia" w:hAnsi="宋体"/>
          <w:szCs w:val="28"/>
          <w:highlight w:val="none"/>
        </w:rPr>
        <w:t>指标分值</w:t>
      </w:r>
      <w:r>
        <w:rPr>
          <w:rFonts w:hint="eastAsia" w:hAnsi="宋体"/>
          <w:szCs w:val="28"/>
          <w:highlight w:val="none"/>
          <w:lang w:val="en-US" w:eastAsia="zh-CN"/>
        </w:rPr>
        <w:t>3.75</w:t>
      </w:r>
      <w:r>
        <w:rPr>
          <w:rFonts w:hint="eastAsia" w:hAnsi="宋体"/>
          <w:szCs w:val="28"/>
          <w:highlight w:val="none"/>
        </w:rPr>
        <w:t>分，自评得分</w:t>
      </w:r>
      <w:r>
        <w:rPr>
          <w:rFonts w:hint="eastAsia" w:hAnsi="宋体"/>
          <w:szCs w:val="28"/>
          <w:highlight w:val="none"/>
          <w:lang w:val="en-US" w:eastAsia="zh-CN"/>
        </w:rPr>
        <w:t>3.75</w:t>
      </w:r>
      <w:r>
        <w:rPr>
          <w:rFonts w:hint="eastAsia" w:hAnsi="宋体"/>
          <w:szCs w:val="28"/>
          <w:highlight w:val="none"/>
        </w:rPr>
        <w:t>分，得分率为100%</w:t>
      </w:r>
      <w:r>
        <w:rPr>
          <w:rFonts w:hint="eastAsia" w:hAnsi="宋体"/>
          <w:szCs w:val="28"/>
          <w:highlight w:val="none"/>
          <w:lang w:eastAsia="zh-CN"/>
        </w:rPr>
        <w:t>。</w:t>
      </w:r>
    </w:p>
    <w:p>
      <w:pPr>
        <w:pStyle w:val="2"/>
        <w:rPr>
          <w:rFonts w:hint="eastAsia" w:eastAsia="仿宋_GB2312"/>
          <w:b/>
          <w:bCs/>
          <w:highlight w:val="none"/>
          <w:lang w:eastAsia="zh-CN"/>
        </w:rPr>
      </w:pPr>
      <w:r>
        <w:rPr>
          <w:rFonts w:hint="eastAsia"/>
          <w:b/>
          <w:bCs/>
          <w:highlight w:val="none"/>
        </w:rPr>
        <w:t>涉黑涉恶案件结案率</w:t>
      </w:r>
      <w:r>
        <w:rPr>
          <w:rFonts w:hint="eastAsia"/>
          <w:b/>
          <w:bCs/>
          <w:highlight w:val="none"/>
          <w:lang w:eastAsia="zh-CN"/>
        </w:rPr>
        <w:t>：</w:t>
      </w:r>
      <w:r>
        <w:rPr>
          <w:rFonts w:hint="eastAsia" w:ascii="Times New Roman" w:eastAsia="仿宋_GB2312"/>
          <w:b w:val="0"/>
          <w:bCs w:val="0"/>
          <w:sz w:val="28"/>
          <w:szCs w:val="21"/>
          <w:highlight w:val="none"/>
          <w:lang w:val="en-US" w:eastAsia="zh-CN"/>
        </w:rPr>
        <w:t>年度指标值</w:t>
      </w:r>
      <w:r>
        <w:rPr>
          <w:rFonts w:hint="eastAsia" w:ascii="仿宋_GB2312" w:hAnsi="仿宋_GB2312" w:eastAsia="仿宋_GB2312" w:cs="仿宋_GB2312"/>
          <w:b w:val="0"/>
          <w:bCs w:val="0"/>
          <w:highlight w:val="none"/>
          <w:lang w:val="en-US" w:eastAsia="zh-CN"/>
        </w:rPr>
        <w:t>=100%</w:t>
      </w:r>
      <w:r>
        <w:rPr>
          <w:rFonts w:hint="eastAsia" w:ascii="Times New Roman" w:eastAsia="仿宋_GB2312"/>
          <w:b w:val="0"/>
          <w:bCs w:val="0"/>
          <w:sz w:val="32"/>
          <w:highlight w:val="none"/>
          <w:lang w:val="en-US" w:eastAsia="zh-CN"/>
        </w:rPr>
        <w:t>，</w:t>
      </w:r>
      <w:r>
        <w:rPr>
          <w:rFonts w:hint="eastAsia" w:ascii="Times New Roman" w:eastAsia="仿宋_GB2312"/>
          <w:b w:val="0"/>
          <w:bCs w:val="0"/>
          <w:sz w:val="28"/>
          <w:szCs w:val="28"/>
          <w:highlight w:val="none"/>
          <w:lang w:val="en-US" w:eastAsia="zh-CN"/>
        </w:rPr>
        <w:t>实际完成</w:t>
      </w:r>
      <w:r>
        <w:rPr>
          <w:rFonts w:hint="eastAsia" w:ascii="仿宋_GB2312" w:hAnsi="仿宋_GB2312" w:eastAsia="仿宋_GB2312" w:cs="仿宋_GB2312"/>
          <w:b w:val="0"/>
          <w:bCs w:val="0"/>
          <w:highlight w:val="none"/>
          <w:lang w:val="en-US" w:eastAsia="zh-CN"/>
        </w:rPr>
        <w:t>100%</w:t>
      </w:r>
      <w:r>
        <w:rPr>
          <w:rFonts w:hint="eastAsia" w:ascii="Times New Roman" w:eastAsia="仿宋_GB2312"/>
          <w:b w:val="0"/>
          <w:bCs w:val="0"/>
          <w:sz w:val="28"/>
          <w:szCs w:val="28"/>
          <w:highlight w:val="none"/>
          <w:lang w:val="en-US" w:eastAsia="zh-CN"/>
        </w:rPr>
        <w:t>。</w:t>
      </w:r>
      <w:r>
        <w:rPr>
          <w:rFonts w:hint="eastAsia" w:ascii="Times New Roman" w:hAnsi="宋体" w:eastAsia="仿宋_GB2312" w:cs="宋体"/>
          <w:b w:val="0"/>
          <w:bCs w:val="0"/>
          <w:kern w:val="0"/>
          <w:sz w:val="28"/>
          <w:szCs w:val="28"/>
          <w:highlight w:val="none"/>
        </w:rPr>
        <w:t>该指标分值</w:t>
      </w:r>
      <w:r>
        <w:rPr>
          <w:rFonts w:hint="eastAsia" w:hAnsi="宋体"/>
          <w:sz w:val="28"/>
          <w:szCs w:val="28"/>
          <w:highlight w:val="none"/>
          <w:lang w:val="en-US" w:eastAsia="zh-CN"/>
        </w:rPr>
        <w:t>3.75</w:t>
      </w:r>
      <w:r>
        <w:rPr>
          <w:rFonts w:hint="eastAsia" w:ascii="Times New Roman" w:hAnsi="宋体" w:eastAsia="仿宋_GB2312" w:cs="宋体"/>
          <w:b w:val="0"/>
          <w:bCs w:val="0"/>
          <w:kern w:val="0"/>
          <w:sz w:val="28"/>
          <w:szCs w:val="28"/>
          <w:highlight w:val="none"/>
        </w:rPr>
        <w:t>分，自评得分为</w:t>
      </w:r>
      <w:r>
        <w:rPr>
          <w:rFonts w:hint="eastAsia" w:hAnsi="宋体"/>
          <w:sz w:val="28"/>
          <w:szCs w:val="28"/>
          <w:highlight w:val="none"/>
          <w:lang w:val="en-US" w:eastAsia="zh-CN"/>
        </w:rPr>
        <w:t>3.75</w:t>
      </w:r>
      <w:r>
        <w:rPr>
          <w:rFonts w:hint="eastAsia" w:ascii="Times New Roman" w:hAnsi="宋体" w:eastAsia="仿宋_GB2312" w:cs="宋体"/>
          <w:b w:val="0"/>
          <w:bCs w:val="0"/>
          <w:kern w:val="0"/>
          <w:sz w:val="28"/>
          <w:szCs w:val="28"/>
          <w:highlight w:val="none"/>
        </w:rPr>
        <w:t>分，得分率为</w:t>
      </w:r>
      <w:r>
        <w:rPr>
          <w:rFonts w:hint="eastAsia" w:hAnsi="宋体"/>
          <w:sz w:val="28"/>
          <w:szCs w:val="28"/>
          <w:highlight w:val="none"/>
        </w:rPr>
        <w:t>100%</w:t>
      </w:r>
      <w:r>
        <w:rPr>
          <w:rFonts w:hint="eastAsia" w:ascii="Times New Roman" w:hAnsi="宋体" w:eastAsia="仿宋_GB2312" w:cs="宋体"/>
          <w:b w:val="0"/>
          <w:bCs w:val="0"/>
          <w:kern w:val="0"/>
          <w:sz w:val="28"/>
          <w:szCs w:val="28"/>
          <w:highlight w:val="none"/>
        </w:rPr>
        <w:t>。</w:t>
      </w:r>
    </w:p>
    <w:p>
      <w:pPr>
        <w:ind w:firstLine="562"/>
        <w:rPr>
          <w:rFonts w:hint="eastAsia" w:ascii="仿宋_GB2312" w:hAnsi="宋体" w:eastAsia="仿宋_GB2312" w:cstheme="minorBidi"/>
          <w:kern w:val="2"/>
          <w:sz w:val="28"/>
          <w:szCs w:val="28"/>
          <w:highlight w:val="none"/>
          <w:lang w:val="en-US" w:eastAsia="zh-CN" w:bidi="ar-SA"/>
        </w:rPr>
      </w:pPr>
      <w:r>
        <w:rPr>
          <w:rFonts w:hint="eastAsia"/>
          <w:b/>
          <w:bCs/>
          <w:highlight w:val="none"/>
          <w:lang w:val="en-US" w:eastAsia="zh-CN"/>
        </w:rPr>
        <w:t>提高维护社会稳定：</w:t>
      </w:r>
      <w:r>
        <w:rPr>
          <w:rFonts w:hint="eastAsia" w:ascii="Times New Roman" w:eastAsia="仿宋_GB2312"/>
          <w:sz w:val="28"/>
          <w:szCs w:val="24"/>
          <w:highlight w:val="none"/>
          <w:lang w:val="en-US" w:eastAsia="zh-CN"/>
        </w:rPr>
        <w:t>我院依法开展刑事审判，全力维护社会稳定</w:t>
      </w:r>
      <w:r>
        <w:rPr>
          <w:rFonts w:hint="eastAsia"/>
          <w:b w:val="0"/>
          <w:bCs w:val="0"/>
          <w:highlight w:val="none"/>
          <w:lang w:val="en-US" w:eastAsia="zh-CN"/>
        </w:rPr>
        <w:t>，</w:t>
      </w:r>
      <w:r>
        <w:rPr>
          <w:rFonts w:hint="eastAsia" w:hAnsi="宋体"/>
          <w:szCs w:val="28"/>
          <w:highlight w:val="none"/>
          <w:lang w:val="en-US" w:eastAsia="zh-CN"/>
        </w:rPr>
        <w:t>该</w:t>
      </w:r>
      <w:r>
        <w:rPr>
          <w:rFonts w:hint="eastAsia" w:hAnsi="宋体"/>
          <w:szCs w:val="28"/>
          <w:highlight w:val="none"/>
        </w:rPr>
        <w:t>指标分值</w:t>
      </w:r>
      <w:r>
        <w:rPr>
          <w:rFonts w:hint="eastAsia" w:hAnsi="宋体"/>
          <w:szCs w:val="28"/>
          <w:highlight w:val="none"/>
          <w:lang w:val="en-US" w:eastAsia="zh-CN"/>
        </w:rPr>
        <w:t>3.75</w:t>
      </w:r>
      <w:r>
        <w:rPr>
          <w:rFonts w:hint="eastAsia" w:hAnsi="宋体"/>
          <w:szCs w:val="28"/>
          <w:highlight w:val="none"/>
        </w:rPr>
        <w:t>分，自评得分</w:t>
      </w:r>
      <w:r>
        <w:rPr>
          <w:rFonts w:hint="eastAsia" w:hAnsi="宋体"/>
          <w:szCs w:val="28"/>
          <w:highlight w:val="none"/>
          <w:lang w:val="en-US" w:eastAsia="zh-CN"/>
        </w:rPr>
        <w:t>3.75</w:t>
      </w:r>
      <w:r>
        <w:rPr>
          <w:rFonts w:hint="eastAsia" w:hAnsi="宋体"/>
          <w:szCs w:val="28"/>
          <w:highlight w:val="none"/>
        </w:rPr>
        <w:t>分，得分率为100%</w:t>
      </w:r>
      <w:r>
        <w:rPr>
          <w:rFonts w:hint="eastAsia" w:hAnsi="宋体"/>
          <w:szCs w:val="28"/>
          <w:highlight w:val="none"/>
          <w:lang w:eastAsia="zh-CN"/>
        </w:rPr>
        <w:t>。</w:t>
      </w:r>
    </w:p>
    <w:p>
      <w:pPr>
        <w:bidi w:val="0"/>
        <w:rPr>
          <w:rFonts w:hint="default"/>
          <w:b/>
          <w:bCs/>
          <w:highlight w:val="none"/>
          <w:lang w:val="en-US" w:eastAsia="zh-CN"/>
        </w:rPr>
      </w:pPr>
      <w:r>
        <w:rPr>
          <w:rFonts w:hint="eastAsia"/>
          <w:b/>
          <w:bCs/>
          <w:highlight w:val="none"/>
          <w:lang w:val="en-US" w:eastAsia="zh-CN"/>
        </w:rPr>
        <w:t>③生态效益指标</w:t>
      </w:r>
    </w:p>
    <w:p>
      <w:pPr>
        <w:ind w:firstLine="560"/>
        <w:rPr>
          <w:rFonts w:hint="eastAsia" w:hAnsi="宋体"/>
          <w:szCs w:val="28"/>
          <w:highlight w:val="none"/>
        </w:rPr>
      </w:pPr>
      <w:r>
        <w:rPr>
          <w:rFonts w:hint="eastAsia"/>
          <w:highlight w:val="none"/>
          <w:lang w:val="en-US" w:eastAsia="zh-CN"/>
        </w:rPr>
        <w:t>生态效益</w:t>
      </w:r>
      <w:r>
        <w:rPr>
          <w:rFonts w:hint="eastAsia"/>
          <w:highlight w:val="none"/>
        </w:rPr>
        <w:t>指标下设</w:t>
      </w:r>
      <w:r>
        <w:rPr>
          <w:rFonts w:hint="eastAsia"/>
          <w:highlight w:val="none"/>
          <w:lang w:val="en-US" w:eastAsia="zh-CN"/>
        </w:rPr>
        <w:t>1</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分值3.75</w:t>
      </w:r>
      <w:r>
        <w:rPr>
          <w:rFonts w:hint="eastAsia" w:hAnsi="宋体"/>
          <w:szCs w:val="28"/>
          <w:highlight w:val="none"/>
        </w:rPr>
        <w:t>分，自评得分</w:t>
      </w:r>
      <w:r>
        <w:rPr>
          <w:rFonts w:hint="eastAsia" w:hAnsi="宋体"/>
          <w:szCs w:val="28"/>
          <w:highlight w:val="none"/>
          <w:lang w:val="en-US" w:eastAsia="zh-CN"/>
        </w:rPr>
        <w:t>3.75</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ind w:firstLine="562"/>
        <w:rPr>
          <w:rFonts w:hint="eastAsia" w:ascii="Times New Roman" w:hAnsi="宋体" w:eastAsia="仿宋_GB2312" w:cs="宋体"/>
          <w:b w:val="0"/>
          <w:bCs w:val="0"/>
          <w:kern w:val="0"/>
          <w:sz w:val="28"/>
          <w:szCs w:val="28"/>
          <w:highlight w:val="none"/>
        </w:rPr>
      </w:pPr>
      <w:r>
        <w:rPr>
          <w:rFonts w:hint="eastAsia" w:hAnsi="宋体"/>
          <w:b/>
          <w:bCs/>
          <w:szCs w:val="28"/>
          <w:highlight w:val="none"/>
          <w:lang w:val="en-US" w:eastAsia="zh-CN"/>
        </w:rPr>
        <w:t>生态环境资源保护议采纳率：</w:t>
      </w:r>
      <w:r>
        <w:rPr>
          <w:rFonts w:hint="eastAsia" w:ascii="Times New Roman" w:eastAsia="仿宋_GB2312"/>
          <w:b w:val="0"/>
          <w:bCs w:val="0"/>
          <w:sz w:val="28"/>
          <w:szCs w:val="21"/>
          <w:highlight w:val="none"/>
          <w:lang w:val="en-US" w:eastAsia="zh-CN"/>
        </w:rPr>
        <w:t>年度指标值</w:t>
      </w:r>
      <w:r>
        <w:rPr>
          <w:rFonts w:hint="eastAsia" w:ascii="仿宋_GB2312" w:hAnsi="仿宋_GB2312" w:eastAsia="仿宋_GB2312" w:cs="仿宋_GB2312"/>
          <w:b w:val="0"/>
          <w:bCs w:val="0"/>
          <w:highlight w:val="none"/>
          <w:lang w:val="en-US" w:eastAsia="zh-CN"/>
        </w:rPr>
        <w:t>&gt;=80%</w:t>
      </w:r>
      <w:r>
        <w:rPr>
          <w:rFonts w:hint="eastAsia" w:ascii="Times New Roman" w:eastAsia="仿宋_GB2312"/>
          <w:b w:val="0"/>
          <w:bCs w:val="0"/>
          <w:sz w:val="32"/>
          <w:highlight w:val="none"/>
          <w:lang w:val="en-US" w:eastAsia="zh-CN"/>
        </w:rPr>
        <w:t>，</w:t>
      </w:r>
      <w:r>
        <w:rPr>
          <w:rFonts w:hint="eastAsia" w:ascii="Times New Roman" w:eastAsia="仿宋_GB2312"/>
          <w:b w:val="0"/>
          <w:bCs w:val="0"/>
          <w:sz w:val="28"/>
          <w:szCs w:val="28"/>
          <w:highlight w:val="none"/>
          <w:lang w:val="en-US" w:eastAsia="zh-CN"/>
        </w:rPr>
        <w:t>实际完成</w:t>
      </w:r>
      <w:r>
        <w:rPr>
          <w:rFonts w:hint="eastAsia" w:ascii="仿宋_GB2312" w:hAnsi="仿宋_GB2312" w:eastAsia="仿宋_GB2312" w:cs="仿宋_GB2312"/>
          <w:b w:val="0"/>
          <w:bCs w:val="0"/>
          <w:highlight w:val="none"/>
          <w:lang w:val="en-US" w:eastAsia="zh-CN"/>
        </w:rPr>
        <w:t>80%</w:t>
      </w:r>
      <w:r>
        <w:rPr>
          <w:rFonts w:hint="eastAsia" w:ascii="Times New Roman" w:eastAsia="仿宋_GB2312"/>
          <w:b w:val="0"/>
          <w:bCs w:val="0"/>
          <w:sz w:val="28"/>
          <w:szCs w:val="28"/>
          <w:highlight w:val="none"/>
          <w:lang w:val="en-US" w:eastAsia="zh-CN"/>
        </w:rPr>
        <w:t>。</w:t>
      </w:r>
      <w:r>
        <w:rPr>
          <w:rFonts w:hint="eastAsia" w:ascii="Times New Roman" w:hAnsi="宋体" w:eastAsia="仿宋_GB2312" w:cs="宋体"/>
          <w:b w:val="0"/>
          <w:bCs w:val="0"/>
          <w:kern w:val="0"/>
          <w:sz w:val="28"/>
          <w:szCs w:val="28"/>
          <w:highlight w:val="none"/>
        </w:rPr>
        <w:t>该指标分值</w:t>
      </w:r>
      <w:r>
        <w:rPr>
          <w:rFonts w:hint="eastAsia" w:hAnsi="宋体"/>
          <w:sz w:val="28"/>
          <w:szCs w:val="28"/>
          <w:highlight w:val="none"/>
          <w:lang w:val="en-US" w:eastAsia="zh-CN"/>
        </w:rPr>
        <w:t>3.75</w:t>
      </w:r>
      <w:r>
        <w:rPr>
          <w:rFonts w:hint="eastAsia" w:ascii="Times New Roman" w:hAnsi="宋体" w:eastAsia="仿宋_GB2312" w:cs="宋体"/>
          <w:b w:val="0"/>
          <w:bCs w:val="0"/>
          <w:kern w:val="0"/>
          <w:sz w:val="28"/>
          <w:szCs w:val="28"/>
          <w:highlight w:val="none"/>
        </w:rPr>
        <w:t>分，自评得分为</w:t>
      </w:r>
      <w:r>
        <w:rPr>
          <w:rFonts w:hint="eastAsia" w:hAnsi="宋体"/>
          <w:sz w:val="28"/>
          <w:szCs w:val="28"/>
          <w:highlight w:val="none"/>
          <w:lang w:val="en-US" w:eastAsia="zh-CN"/>
        </w:rPr>
        <w:t>3.75</w:t>
      </w:r>
      <w:r>
        <w:rPr>
          <w:rFonts w:hint="eastAsia" w:ascii="Times New Roman" w:hAnsi="宋体" w:eastAsia="仿宋_GB2312" w:cs="宋体"/>
          <w:b w:val="0"/>
          <w:bCs w:val="0"/>
          <w:kern w:val="0"/>
          <w:sz w:val="28"/>
          <w:szCs w:val="28"/>
          <w:highlight w:val="none"/>
        </w:rPr>
        <w:t>分，得分率为</w:t>
      </w:r>
      <w:r>
        <w:rPr>
          <w:rFonts w:hint="eastAsia" w:hAnsi="宋体"/>
          <w:sz w:val="28"/>
          <w:szCs w:val="28"/>
          <w:highlight w:val="none"/>
        </w:rPr>
        <w:t>100%</w:t>
      </w:r>
      <w:r>
        <w:rPr>
          <w:rFonts w:hint="eastAsia" w:ascii="Times New Roman" w:hAnsi="宋体" w:eastAsia="仿宋_GB2312" w:cs="宋体"/>
          <w:b w:val="0"/>
          <w:bCs w:val="0"/>
          <w:kern w:val="0"/>
          <w:sz w:val="28"/>
          <w:szCs w:val="28"/>
          <w:highlight w:val="none"/>
        </w:rPr>
        <w:t>。</w:t>
      </w:r>
    </w:p>
    <w:p>
      <w:pPr>
        <w:pStyle w:val="2"/>
        <w:rPr>
          <w:rFonts w:hint="eastAsia" w:ascii="Calibri" w:hAnsi="Calibri" w:eastAsia="仿宋_GB2312" w:cs="Calibri"/>
          <w:b/>
          <w:bCs/>
          <w:kern w:val="2"/>
          <w:sz w:val="28"/>
          <w:szCs w:val="28"/>
          <w:highlight w:val="none"/>
          <w:lang w:val="en-US" w:eastAsia="zh-CN" w:bidi="ar-SA"/>
        </w:rPr>
      </w:pPr>
      <w:r>
        <w:rPr>
          <w:rFonts w:hint="eastAsia" w:ascii="Calibri" w:hAnsi="Calibri" w:eastAsia="仿宋_GB2312" w:cs="Calibri"/>
          <w:b/>
          <w:bCs/>
          <w:kern w:val="2"/>
          <w:sz w:val="28"/>
          <w:szCs w:val="28"/>
          <w:highlight w:val="none"/>
          <w:lang w:val="en-US" w:eastAsia="zh-CN" w:bidi="ar-SA"/>
        </w:rPr>
        <w:t>④可持续影响指标</w:t>
      </w:r>
    </w:p>
    <w:p>
      <w:pPr>
        <w:rPr>
          <w:rFonts w:hint="eastAsia"/>
          <w:lang w:val="en-US" w:eastAsia="zh-CN"/>
        </w:rPr>
      </w:pPr>
      <w:r>
        <w:rPr>
          <w:rFonts w:hint="eastAsia"/>
          <w:lang w:val="en-US" w:eastAsia="zh-CN"/>
        </w:rPr>
        <w:t>生态效益指标下设3个三级指标，指标分值11.25分，自评得分11.25分，得分率为100%。</w:t>
      </w:r>
    </w:p>
    <w:p>
      <w:pPr>
        <w:rPr>
          <w:rFonts w:hint="eastAsia"/>
          <w:lang w:val="en-US" w:eastAsia="zh-CN"/>
        </w:rPr>
      </w:pPr>
      <w:r>
        <w:rPr>
          <w:rFonts w:hint="eastAsia"/>
          <w:b/>
          <w:bCs/>
          <w:lang w:val="en-US" w:eastAsia="zh-CN"/>
        </w:rPr>
        <w:t>社会综合治理：</w:t>
      </w:r>
      <w:r>
        <w:rPr>
          <w:rFonts w:hint="eastAsia"/>
          <w:b w:val="0"/>
          <w:bCs w:val="0"/>
          <w:lang w:val="en-US" w:eastAsia="zh-CN"/>
        </w:rPr>
        <w:t>我院本年度社会综合治理有效化解了社会矛盾，达到年度指标目标值。</w:t>
      </w:r>
      <w:r>
        <w:rPr>
          <w:rFonts w:hint="eastAsia"/>
          <w:lang w:val="en-US" w:eastAsia="zh-CN"/>
        </w:rPr>
        <w:t>指标分值3.75分，自评得分3.75分，得分率为100%。</w:t>
      </w:r>
    </w:p>
    <w:p>
      <w:pPr>
        <w:pStyle w:val="2"/>
        <w:rPr>
          <w:rFonts w:hint="eastAsia" w:ascii="Times New Roman" w:hAnsi="宋体" w:eastAsia="仿宋_GB2312" w:cs="宋体"/>
          <w:b w:val="0"/>
          <w:bCs w:val="0"/>
          <w:kern w:val="0"/>
          <w:sz w:val="28"/>
          <w:szCs w:val="28"/>
          <w:highlight w:val="none"/>
        </w:rPr>
      </w:pPr>
      <w:r>
        <w:rPr>
          <w:rFonts w:hint="default"/>
          <w:b/>
          <w:bCs/>
          <w:lang w:val="en-US" w:eastAsia="zh-CN"/>
        </w:rPr>
        <w:t>办案人员到位率</w:t>
      </w:r>
      <w:r>
        <w:rPr>
          <w:rFonts w:hint="eastAsia"/>
          <w:b/>
          <w:bCs/>
          <w:lang w:val="en-US" w:eastAsia="zh-CN"/>
        </w:rPr>
        <w:t>：</w:t>
      </w:r>
      <w:r>
        <w:rPr>
          <w:rFonts w:hint="eastAsia" w:ascii="Times New Roman" w:eastAsia="仿宋_GB2312"/>
          <w:b w:val="0"/>
          <w:bCs w:val="0"/>
          <w:sz w:val="28"/>
          <w:szCs w:val="21"/>
          <w:highlight w:val="none"/>
          <w:lang w:val="en-US" w:eastAsia="zh-CN"/>
        </w:rPr>
        <w:t>年度指标值</w:t>
      </w:r>
      <w:r>
        <w:rPr>
          <w:rFonts w:hint="eastAsia" w:ascii="仿宋_GB2312" w:hAnsi="仿宋_GB2312" w:eastAsia="仿宋_GB2312" w:cs="仿宋_GB2312"/>
          <w:b w:val="0"/>
          <w:bCs w:val="0"/>
          <w:highlight w:val="none"/>
          <w:lang w:val="en-US" w:eastAsia="zh-CN"/>
        </w:rPr>
        <w:t>&gt;=85%</w:t>
      </w:r>
      <w:r>
        <w:rPr>
          <w:rFonts w:hint="eastAsia" w:ascii="Times New Roman" w:eastAsia="仿宋_GB2312"/>
          <w:b w:val="0"/>
          <w:bCs w:val="0"/>
          <w:sz w:val="32"/>
          <w:highlight w:val="none"/>
          <w:lang w:val="en-US" w:eastAsia="zh-CN"/>
        </w:rPr>
        <w:t>，</w:t>
      </w:r>
      <w:r>
        <w:rPr>
          <w:rFonts w:hint="eastAsia" w:ascii="Times New Roman" w:eastAsia="仿宋_GB2312"/>
          <w:b w:val="0"/>
          <w:bCs w:val="0"/>
          <w:sz w:val="28"/>
          <w:szCs w:val="28"/>
          <w:highlight w:val="none"/>
          <w:lang w:val="en-US" w:eastAsia="zh-CN"/>
        </w:rPr>
        <w:t>实际完成</w:t>
      </w:r>
      <w:r>
        <w:rPr>
          <w:rFonts w:hint="eastAsia" w:ascii="仿宋_GB2312" w:hAnsi="仿宋_GB2312" w:eastAsia="仿宋_GB2312" w:cs="仿宋_GB2312"/>
          <w:b w:val="0"/>
          <w:bCs w:val="0"/>
          <w:highlight w:val="none"/>
          <w:lang w:val="en-US" w:eastAsia="zh-CN"/>
        </w:rPr>
        <w:t>92%</w:t>
      </w:r>
      <w:r>
        <w:rPr>
          <w:rFonts w:hint="eastAsia" w:ascii="Times New Roman" w:eastAsia="仿宋_GB2312"/>
          <w:b w:val="0"/>
          <w:bCs w:val="0"/>
          <w:sz w:val="28"/>
          <w:szCs w:val="28"/>
          <w:highlight w:val="none"/>
          <w:lang w:val="en-US" w:eastAsia="zh-CN"/>
        </w:rPr>
        <w:t>。</w:t>
      </w:r>
      <w:r>
        <w:rPr>
          <w:rFonts w:hint="eastAsia" w:ascii="Times New Roman" w:hAnsi="宋体" w:eastAsia="仿宋_GB2312" w:cs="宋体"/>
          <w:b w:val="0"/>
          <w:bCs w:val="0"/>
          <w:kern w:val="0"/>
          <w:sz w:val="28"/>
          <w:szCs w:val="28"/>
          <w:highlight w:val="none"/>
        </w:rPr>
        <w:t>该指标分值</w:t>
      </w:r>
      <w:r>
        <w:rPr>
          <w:rFonts w:hint="eastAsia" w:hAnsi="宋体"/>
          <w:sz w:val="28"/>
          <w:szCs w:val="28"/>
          <w:highlight w:val="none"/>
          <w:lang w:val="en-US" w:eastAsia="zh-CN"/>
        </w:rPr>
        <w:t>3.75</w:t>
      </w:r>
      <w:r>
        <w:rPr>
          <w:rFonts w:hint="eastAsia" w:ascii="Times New Roman" w:hAnsi="宋体" w:eastAsia="仿宋_GB2312" w:cs="宋体"/>
          <w:b w:val="0"/>
          <w:bCs w:val="0"/>
          <w:kern w:val="0"/>
          <w:sz w:val="28"/>
          <w:szCs w:val="28"/>
          <w:highlight w:val="none"/>
        </w:rPr>
        <w:t>分，自评得分为</w:t>
      </w:r>
      <w:r>
        <w:rPr>
          <w:rFonts w:hint="eastAsia" w:hAnsi="宋体"/>
          <w:sz w:val="28"/>
          <w:szCs w:val="28"/>
          <w:highlight w:val="none"/>
          <w:lang w:val="en-US" w:eastAsia="zh-CN"/>
        </w:rPr>
        <w:t>3.75</w:t>
      </w:r>
      <w:r>
        <w:rPr>
          <w:rFonts w:hint="eastAsia" w:ascii="Times New Roman" w:hAnsi="宋体" w:eastAsia="仿宋_GB2312" w:cs="宋体"/>
          <w:b w:val="0"/>
          <w:bCs w:val="0"/>
          <w:kern w:val="0"/>
          <w:sz w:val="28"/>
          <w:szCs w:val="28"/>
          <w:highlight w:val="none"/>
        </w:rPr>
        <w:t>分，得分率为</w:t>
      </w:r>
      <w:r>
        <w:rPr>
          <w:rFonts w:hint="eastAsia" w:hAnsi="宋体"/>
          <w:sz w:val="28"/>
          <w:szCs w:val="28"/>
          <w:highlight w:val="none"/>
        </w:rPr>
        <w:t>100%</w:t>
      </w:r>
      <w:r>
        <w:rPr>
          <w:rFonts w:hint="eastAsia" w:ascii="Times New Roman" w:hAnsi="宋体" w:eastAsia="仿宋_GB2312" w:cs="宋体"/>
          <w:b w:val="0"/>
          <w:bCs w:val="0"/>
          <w:kern w:val="0"/>
          <w:sz w:val="28"/>
          <w:szCs w:val="28"/>
          <w:highlight w:val="none"/>
        </w:rPr>
        <w:t>。</w:t>
      </w:r>
    </w:p>
    <w:p>
      <w:pPr>
        <w:pStyle w:val="2"/>
        <w:rPr>
          <w:rFonts w:hint="default"/>
          <w:b/>
          <w:bCs/>
          <w:lang w:val="en-US" w:eastAsia="zh-CN"/>
        </w:rPr>
      </w:pPr>
      <w:r>
        <w:rPr>
          <w:rFonts w:hint="default"/>
          <w:b/>
          <w:bCs/>
          <w:lang w:val="en-US" w:eastAsia="zh-CN"/>
        </w:rPr>
        <w:t>配备设备到位率</w:t>
      </w:r>
      <w:r>
        <w:rPr>
          <w:rFonts w:hint="eastAsia"/>
          <w:b/>
          <w:bCs/>
          <w:lang w:val="en-US" w:eastAsia="zh-CN"/>
        </w:rPr>
        <w:t>：</w:t>
      </w:r>
      <w:r>
        <w:rPr>
          <w:rFonts w:hint="eastAsia" w:ascii="Times New Roman" w:eastAsia="仿宋_GB2312"/>
          <w:b w:val="0"/>
          <w:bCs w:val="0"/>
          <w:sz w:val="28"/>
          <w:szCs w:val="21"/>
          <w:highlight w:val="none"/>
          <w:lang w:val="en-US" w:eastAsia="zh-CN"/>
        </w:rPr>
        <w:t>年度指标值</w:t>
      </w:r>
      <w:r>
        <w:rPr>
          <w:rFonts w:hint="eastAsia" w:ascii="仿宋_GB2312" w:hAnsi="仿宋_GB2312" w:eastAsia="仿宋_GB2312" w:cs="仿宋_GB2312"/>
          <w:b w:val="0"/>
          <w:bCs w:val="0"/>
          <w:highlight w:val="none"/>
          <w:lang w:val="en-US" w:eastAsia="zh-CN"/>
        </w:rPr>
        <w:t>&gt;=80%</w:t>
      </w:r>
      <w:r>
        <w:rPr>
          <w:rFonts w:hint="eastAsia" w:ascii="Times New Roman" w:eastAsia="仿宋_GB2312"/>
          <w:b w:val="0"/>
          <w:bCs w:val="0"/>
          <w:sz w:val="32"/>
          <w:highlight w:val="none"/>
          <w:lang w:val="en-US" w:eastAsia="zh-CN"/>
        </w:rPr>
        <w:t>，</w:t>
      </w:r>
      <w:r>
        <w:rPr>
          <w:rFonts w:hint="eastAsia" w:ascii="Times New Roman" w:eastAsia="仿宋_GB2312"/>
          <w:b w:val="0"/>
          <w:bCs w:val="0"/>
          <w:sz w:val="28"/>
          <w:szCs w:val="28"/>
          <w:highlight w:val="none"/>
          <w:lang w:val="en-US" w:eastAsia="zh-CN"/>
        </w:rPr>
        <w:t>实际完成</w:t>
      </w:r>
      <w:r>
        <w:rPr>
          <w:rFonts w:hint="eastAsia" w:ascii="仿宋_GB2312" w:hAnsi="仿宋_GB2312" w:eastAsia="仿宋_GB2312" w:cs="仿宋_GB2312"/>
          <w:b w:val="0"/>
          <w:bCs w:val="0"/>
          <w:highlight w:val="none"/>
          <w:lang w:val="en-US" w:eastAsia="zh-CN"/>
        </w:rPr>
        <w:t>80%</w:t>
      </w:r>
      <w:r>
        <w:rPr>
          <w:rFonts w:hint="eastAsia" w:ascii="Times New Roman" w:eastAsia="仿宋_GB2312"/>
          <w:b w:val="0"/>
          <w:bCs w:val="0"/>
          <w:sz w:val="28"/>
          <w:szCs w:val="28"/>
          <w:highlight w:val="none"/>
          <w:lang w:val="en-US" w:eastAsia="zh-CN"/>
        </w:rPr>
        <w:t>。</w:t>
      </w:r>
      <w:r>
        <w:rPr>
          <w:rFonts w:hint="eastAsia" w:ascii="Times New Roman" w:hAnsi="宋体" w:eastAsia="仿宋_GB2312" w:cs="宋体"/>
          <w:b w:val="0"/>
          <w:bCs w:val="0"/>
          <w:kern w:val="0"/>
          <w:sz w:val="28"/>
          <w:szCs w:val="28"/>
          <w:highlight w:val="none"/>
        </w:rPr>
        <w:t>该指标分值</w:t>
      </w:r>
      <w:r>
        <w:rPr>
          <w:rFonts w:hint="eastAsia" w:hAnsi="宋体"/>
          <w:sz w:val="28"/>
          <w:szCs w:val="28"/>
          <w:highlight w:val="none"/>
          <w:lang w:val="en-US" w:eastAsia="zh-CN"/>
        </w:rPr>
        <w:t>3.75</w:t>
      </w:r>
      <w:r>
        <w:rPr>
          <w:rFonts w:hint="eastAsia" w:ascii="Times New Roman" w:hAnsi="宋体" w:eastAsia="仿宋_GB2312" w:cs="宋体"/>
          <w:b w:val="0"/>
          <w:bCs w:val="0"/>
          <w:kern w:val="0"/>
          <w:sz w:val="28"/>
          <w:szCs w:val="28"/>
          <w:highlight w:val="none"/>
        </w:rPr>
        <w:t>分，自评得分为</w:t>
      </w:r>
      <w:r>
        <w:rPr>
          <w:rFonts w:hint="eastAsia" w:hAnsi="宋体"/>
          <w:sz w:val="28"/>
          <w:szCs w:val="28"/>
          <w:highlight w:val="none"/>
          <w:lang w:val="en-US" w:eastAsia="zh-CN"/>
        </w:rPr>
        <w:t>3.75</w:t>
      </w:r>
      <w:r>
        <w:rPr>
          <w:rFonts w:hint="eastAsia" w:ascii="Times New Roman" w:hAnsi="宋体" w:eastAsia="仿宋_GB2312" w:cs="宋体"/>
          <w:b w:val="0"/>
          <w:bCs w:val="0"/>
          <w:kern w:val="0"/>
          <w:sz w:val="28"/>
          <w:szCs w:val="28"/>
          <w:highlight w:val="none"/>
        </w:rPr>
        <w:t>分，得分率为</w:t>
      </w:r>
      <w:r>
        <w:rPr>
          <w:rFonts w:hint="eastAsia" w:hAnsi="宋体"/>
          <w:sz w:val="28"/>
          <w:szCs w:val="28"/>
          <w:highlight w:val="none"/>
        </w:rPr>
        <w:t>100%</w:t>
      </w:r>
      <w:r>
        <w:rPr>
          <w:rFonts w:hint="eastAsia" w:ascii="Times New Roman" w:hAnsi="宋体" w:eastAsia="仿宋_GB2312" w:cs="宋体"/>
          <w:b w:val="0"/>
          <w:bCs w:val="0"/>
          <w:kern w:val="0"/>
          <w:sz w:val="28"/>
          <w:szCs w:val="28"/>
          <w:highlight w:val="none"/>
        </w:rPr>
        <w:t>。</w:t>
      </w:r>
    </w:p>
    <w:p>
      <w:pPr>
        <w:numPr>
          <w:ilvl w:val="0"/>
          <w:numId w:val="1"/>
        </w:numPr>
        <w:ind w:firstLine="562"/>
        <w:rPr>
          <w:rFonts w:hint="eastAsia"/>
          <w:b/>
          <w:bCs/>
          <w:szCs w:val="28"/>
          <w:highlight w:val="none"/>
        </w:rPr>
      </w:pPr>
      <w:r>
        <w:rPr>
          <w:rFonts w:hint="eastAsia"/>
          <w:b/>
          <w:bCs/>
          <w:szCs w:val="28"/>
          <w:highlight w:val="none"/>
        </w:rPr>
        <w:t>满意度指标</w:t>
      </w:r>
    </w:p>
    <w:p>
      <w:pPr>
        <w:ind w:firstLine="560"/>
        <w:rPr>
          <w:rFonts w:hint="eastAsia"/>
          <w:highlight w:val="none"/>
        </w:rPr>
      </w:pPr>
      <w:r>
        <w:rPr>
          <w:rFonts w:hint="eastAsia" w:hAnsi="宋体"/>
          <w:szCs w:val="28"/>
          <w:highlight w:val="none"/>
        </w:rPr>
        <w:t>服务对象满意度主要考察释法说理群众满意度</w:t>
      </w:r>
      <w:r>
        <w:rPr>
          <w:rFonts w:hint="eastAsia" w:hAnsi="宋体"/>
          <w:szCs w:val="28"/>
          <w:highlight w:val="none"/>
          <w:lang w:eastAsia="zh-CN"/>
        </w:rPr>
        <w:t>、服务营商环境工作。</w:t>
      </w:r>
      <w:r>
        <w:rPr>
          <w:rFonts w:hAnsi="宋体"/>
          <w:szCs w:val="28"/>
          <w:highlight w:val="none"/>
        </w:rPr>
        <w:t>该指标分值</w:t>
      </w:r>
      <w:r>
        <w:rPr>
          <w:rFonts w:hint="eastAsia" w:hAnsi="宋体"/>
          <w:szCs w:val="28"/>
          <w:highlight w:val="none"/>
          <w:lang w:val="en-US" w:eastAsia="zh-CN"/>
        </w:rPr>
        <w:t>10</w:t>
      </w:r>
      <w:r>
        <w:rPr>
          <w:rFonts w:hint="eastAsia" w:hAnsi="宋体"/>
          <w:szCs w:val="28"/>
          <w:highlight w:val="none"/>
        </w:rPr>
        <w:t>分，自评得分</w:t>
      </w:r>
      <w:r>
        <w:rPr>
          <w:rFonts w:hint="eastAsia" w:hAnsi="宋体"/>
          <w:szCs w:val="28"/>
          <w:highlight w:val="none"/>
          <w:lang w:val="en-US" w:eastAsia="zh-CN"/>
        </w:rPr>
        <w:t>10</w:t>
      </w:r>
      <w:r>
        <w:rPr>
          <w:rFonts w:hint="eastAsia" w:hAnsi="宋体"/>
          <w:szCs w:val="28"/>
          <w:highlight w:val="none"/>
        </w:rPr>
        <w:t>分，得分率</w:t>
      </w:r>
      <w:r>
        <w:rPr>
          <w:rFonts w:hint="eastAsia" w:hAnsi="宋体"/>
          <w:szCs w:val="28"/>
          <w:highlight w:val="none"/>
          <w:lang w:val="en-US" w:eastAsia="zh-CN"/>
        </w:rPr>
        <w:t>100</w:t>
      </w:r>
      <w:r>
        <w:rPr>
          <w:rFonts w:hint="eastAsia" w:hAnsi="宋体"/>
          <w:szCs w:val="28"/>
          <w:highlight w:val="none"/>
        </w:rPr>
        <w:t>%。</w:t>
      </w:r>
    </w:p>
    <w:p>
      <w:pPr>
        <w:pStyle w:val="2"/>
        <w:rPr>
          <w:rFonts w:hint="eastAsia" w:hAnsi="宋体"/>
          <w:szCs w:val="28"/>
          <w:highlight w:val="none"/>
        </w:rPr>
      </w:pPr>
      <w:r>
        <w:rPr>
          <w:rFonts w:hint="eastAsia" w:hAnsi="宋体"/>
          <w:b/>
          <w:bCs/>
          <w:szCs w:val="28"/>
          <w:highlight w:val="none"/>
        </w:rPr>
        <w:t>释法说理群众满意度</w:t>
      </w:r>
      <w:r>
        <w:rPr>
          <w:rFonts w:hint="eastAsia" w:hAnsi="宋体"/>
          <w:szCs w:val="28"/>
          <w:highlight w:val="none"/>
          <w:lang w:eastAsia="zh-CN"/>
        </w:rPr>
        <w:t>：</w:t>
      </w:r>
      <w:r>
        <w:rPr>
          <w:rFonts w:hint="eastAsia" w:ascii="Times New Roman"/>
          <w:sz w:val="28"/>
          <w:szCs w:val="24"/>
          <w:highlight w:val="none"/>
          <w:lang w:val="en-US" w:eastAsia="zh-CN"/>
        </w:rPr>
        <w:t>坚持以人民为中心的发展思想，深入践行司法为民，持续完善司法利民、便民、惠民机制措施，全力服务保障人民群众安居乐业。</w:t>
      </w:r>
      <w:r>
        <w:rPr>
          <w:rFonts w:hint="eastAsia" w:hAnsi="宋体"/>
          <w:szCs w:val="28"/>
          <w:highlight w:val="none"/>
          <w:lang w:val="en-US" w:eastAsia="zh-CN"/>
        </w:rPr>
        <w:t>该</w:t>
      </w:r>
      <w:r>
        <w:rPr>
          <w:rFonts w:hint="eastAsia" w:hAnsi="宋体"/>
          <w:szCs w:val="28"/>
          <w:highlight w:val="none"/>
        </w:rPr>
        <w:t>指标分值</w:t>
      </w:r>
      <w:r>
        <w:rPr>
          <w:rFonts w:hint="eastAsia" w:hAnsi="宋体"/>
          <w:szCs w:val="28"/>
          <w:highlight w:val="none"/>
          <w:lang w:val="en-US" w:eastAsia="zh-CN"/>
        </w:rPr>
        <w:t>5</w:t>
      </w:r>
      <w:r>
        <w:rPr>
          <w:rFonts w:hint="eastAsia" w:hAnsi="宋体"/>
          <w:szCs w:val="28"/>
          <w:highlight w:val="none"/>
        </w:rPr>
        <w:t>分，自评得分</w:t>
      </w:r>
      <w:r>
        <w:rPr>
          <w:rFonts w:hint="eastAsia" w:hAnsi="宋体"/>
          <w:szCs w:val="28"/>
          <w:highlight w:val="none"/>
          <w:lang w:val="en-US" w:eastAsia="zh-CN"/>
        </w:rPr>
        <w:t>5</w:t>
      </w:r>
      <w:r>
        <w:rPr>
          <w:rFonts w:hint="eastAsia" w:hAnsi="宋体"/>
          <w:szCs w:val="28"/>
          <w:highlight w:val="none"/>
        </w:rPr>
        <w:t>分，得分率为100%。</w:t>
      </w:r>
    </w:p>
    <w:p>
      <w:pPr>
        <w:pStyle w:val="2"/>
        <w:rPr>
          <w:rFonts w:hint="eastAsia" w:eastAsia="仿宋_GB2312"/>
          <w:highlight w:val="none"/>
          <w:lang w:eastAsia="zh-CN"/>
        </w:rPr>
      </w:pPr>
      <w:r>
        <w:rPr>
          <w:rFonts w:hint="eastAsia" w:ascii="Times New Roman" w:hAnsi="Times New Roman" w:eastAsia="仿宋_GB2312" w:cs="Times New Roman"/>
          <w:b/>
          <w:bCs/>
          <w:snapToGrid w:val="0"/>
          <w:spacing w:val="0"/>
          <w:w w:val="100"/>
          <w:kern w:val="0"/>
          <w:sz w:val="28"/>
          <w:szCs w:val="28"/>
          <w:highlight w:val="none"/>
          <w:shd w:val="clear" w:color="auto" w:fill="auto"/>
          <w:lang w:val="en-US" w:eastAsia="zh-CN" w:bidi="ar-SA"/>
        </w:rPr>
        <w:t>服务营商环境工作</w:t>
      </w:r>
      <w:r>
        <w:rPr>
          <w:rFonts w:hint="eastAsia" w:ascii="Times New Roman" w:hAnsi="Times New Roman" w:cs="Times New Roman"/>
          <w:b/>
          <w:bCs/>
          <w:snapToGrid w:val="0"/>
          <w:spacing w:val="0"/>
          <w:w w:val="100"/>
          <w:kern w:val="0"/>
          <w:sz w:val="28"/>
          <w:szCs w:val="28"/>
          <w:highlight w:val="none"/>
          <w:shd w:val="clear" w:color="auto" w:fill="auto"/>
          <w:lang w:val="en-US" w:eastAsia="zh-CN" w:bidi="ar-SA"/>
        </w:rPr>
        <w:t>：</w:t>
      </w:r>
      <w:r>
        <w:rPr>
          <w:rFonts w:hint="eastAsia" w:ascii="Times New Roman" w:hAnsi="Times New Roman" w:eastAsia="仿宋_GB2312" w:cs="Times New Roman"/>
          <w:snapToGrid w:val="0"/>
          <w:spacing w:val="0"/>
          <w:w w:val="100"/>
          <w:kern w:val="0"/>
          <w:sz w:val="28"/>
          <w:szCs w:val="28"/>
          <w:highlight w:val="none"/>
          <w:shd w:val="clear" w:color="auto" w:fill="auto"/>
          <w:lang w:val="en-US" w:eastAsia="zh-CN" w:bidi="ar-SA"/>
        </w:rPr>
        <w:t>坚持把办案融入大局之中，</w:t>
      </w:r>
      <w:r>
        <w:rPr>
          <w:rFonts w:hint="eastAsia" w:ascii="仿宋_GB2312" w:hAnsi="仿宋_GB2312" w:eastAsia="仿宋_GB2312" w:cs="仿宋_GB2312"/>
          <w:b w:val="0"/>
          <w:bCs/>
          <w:color w:val="070707"/>
          <w:spacing w:val="0"/>
          <w:sz w:val="28"/>
          <w:szCs w:val="28"/>
          <w:highlight w:val="none"/>
          <w:lang w:eastAsia="zh-CN"/>
        </w:rPr>
        <w:t>完整准确全面贯彻新发展理念，精准对接</w:t>
      </w:r>
      <w:r>
        <w:rPr>
          <w:rFonts w:hint="eastAsia" w:eastAsia="仿宋_GB2312" w:cs="仿宋_GB2312"/>
          <w:b w:val="0"/>
          <w:bCs/>
          <w:color w:val="070707"/>
          <w:spacing w:val="0"/>
          <w:sz w:val="28"/>
          <w:szCs w:val="28"/>
          <w:highlight w:val="none"/>
          <w:lang w:eastAsia="zh-CN"/>
        </w:rPr>
        <w:t>中央、省委决策部署和市委</w:t>
      </w:r>
      <w:r>
        <w:rPr>
          <w:rFonts w:hint="eastAsia" w:ascii="仿宋_GB2312" w:hAnsi="仿宋_GB2312" w:eastAsia="仿宋_GB2312" w:cs="仿宋_GB2312"/>
          <w:b w:val="0"/>
          <w:bCs/>
          <w:color w:val="070707"/>
          <w:spacing w:val="0"/>
          <w:sz w:val="28"/>
          <w:szCs w:val="28"/>
          <w:highlight w:val="none"/>
          <w:lang w:eastAsia="zh-CN"/>
        </w:rPr>
        <w:t>“</w:t>
      </w:r>
      <w:r>
        <w:rPr>
          <w:rFonts w:hint="eastAsia" w:eastAsia="仿宋_GB2312" w:cs="仿宋_GB2312"/>
          <w:b w:val="0"/>
          <w:bCs/>
          <w:color w:val="070707"/>
          <w:spacing w:val="0"/>
          <w:sz w:val="28"/>
          <w:szCs w:val="28"/>
          <w:highlight w:val="none"/>
          <w:lang w:val="en-US" w:eastAsia="zh-CN"/>
        </w:rPr>
        <w:t>3659</w:t>
      </w:r>
      <w:r>
        <w:rPr>
          <w:rFonts w:hint="eastAsia" w:ascii="仿宋_GB2312" w:hAnsi="仿宋_GB2312" w:eastAsia="仿宋_GB2312" w:cs="仿宋_GB2312"/>
          <w:b w:val="0"/>
          <w:bCs/>
          <w:color w:val="070707"/>
          <w:spacing w:val="0"/>
          <w:sz w:val="28"/>
          <w:szCs w:val="28"/>
          <w:highlight w:val="none"/>
          <w:lang w:eastAsia="zh-CN"/>
        </w:rPr>
        <w:t>”</w:t>
      </w:r>
      <w:r>
        <w:rPr>
          <w:rFonts w:hint="eastAsia" w:eastAsia="仿宋_GB2312" w:cs="仿宋_GB2312"/>
          <w:b w:val="0"/>
          <w:bCs/>
          <w:color w:val="070707"/>
          <w:spacing w:val="0"/>
          <w:sz w:val="28"/>
          <w:szCs w:val="28"/>
          <w:highlight w:val="none"/>
          <w:lang w:eastAsia="zh-CN"/>
        </w:rPr>
        <w:t>发展思路，持续</w:t>
      </w:r>
      <w:r>
        <w:rPr>
          <w:rFonts w:hint="eastAsia" w:ascii="Times New Roman" w:hAnsi="Times New Roman" w:eastAsia="仿宋_GB2312" w:cs="Times New Roman"/>
          <w:snapToGrid w:val="0"/>
          <w:color w:val="070707"/>
          <w:spacing w:val="0"/>
          <w:w w:val="100"/>
          <w:kern w:val="0"/>
          <w:sz w:val="28"/>
          <w:szCs w:val="28"/>
          <w:highlight w:val="none"/>
          <w:shd w:val="clear" w:color="auto" w:fill="auto"/>
          <w:lang w:val="en-US" w:eastAsia="zh-CN" w:bidi="ar-SA"/>
        </w:rPr>
        <w:t>优化司法服务，</w:t>
      </w:r>
      <w:r>
        <w:rPr>
          <w:rFonts w:hint="eastAsia" w:eastAsia="仿宋_GB2312" w:cs="仿宋_GB2312"/>
          <w:b w:val="0"/>
          <w:bCs/>
          <w:color w:val="070707"/>
          <w:spacing w:val="0"/>
          <w:sz w:val="28"/>
          <w:szCs w:val="28"/>
          <w:highlight w:val="none"/>
          <w:lang w:eastAsia="zh-CN"/>
        </w:rPr>
        <w:t>完善机制</w:t>
      </w:r>
      <w:r>
        <w:rPr>
          <w:rFonts w:hint="eastAsia" w:ascii="仿宋_GB2312" w:hAnsi="仿宋_GB2312" w:eastAsia="仿宋_GB2312" w:cs="仿宋_GB2312"/>
          <w:b w:val="0"/>
          <w:bCs/>
          <w:color w:val="070707"/>
          <w:spacing w:val="0"/>
          <w:sz w:val="28"/>
          <w:szCs w:val="28"/>
          <w:highlight w:val="none"/>
          <w:lang w:eastAsia="zh-CN"/>
        </w:rPr>
        <w:t>措施，</w:t>
      </w:r>
      <w:r>
        <w:rPr>
          <w:rFonts w:hint="eastAsia" w:ascii="Times New Roman" w:hAnsi="Times New Roman" w:eastAsia="仿宋_GB2312" w:cs="Times New Roman"/>
          <w:snapToGrid w:val="0"/>
          <w:color w:val="070707"/>
          <w:spacing w:val="0"/>
          <w:w w:val="100"/>
          <w:kern w:val="0"/>
          <w:sz w:val="28"/>
          <w:szCs w:val="28"/>
          <w:highlight w:val="none"/>
          <w:shd w:val="clear" w:color="auto" w:fill="auto"/>
          <w:lang w:val="en-US" w:eastAsia="zh-CN" w:bidi="ar-SA"/>
        </w:rPr>
        <w:t>竭力为项目建设攻坚、</w:t>
      </w:r>
      <w:r>
        <w:rPr>
          <w:rFonts w:hint="eastAsia" w:ascii="Times New Roman" w:hAnsi="Times New Roman" w:eastAsia="仿宋_GB2312" w:cs="Times New Roman"/>
          <w:snapToGrid w:val="0"/>
          <w:spacing w:val="0"/>
          <w:w w:val="100"/>
          <w:kern w:val="0"/>
          <w:sz w:val="28"/>
          <w:szCs w:val="28"/>
          <w:highlight w:val="none"/>
          <w:shd w:val="clear" w:color="auto" w:fill="auto"/>
          <w:lang w:val="en-US" w:eastAsia="zh-CN" w:bidi="ar-SA"/>
        </w:rPr>
        <w:t>“强工业”行动、乡村振兴推进、全域创城、营商环境优化、生态环境保护等重点工作</w:t>
      </w:r>
      <w:r>
        <w:rPr>
          <w:rFonts w:hint="default" w:ascii="Times New Roman" w:hAnsi="Times New Roman" w:eastAsia="仿宋_GB2312" w:cs="Times New Roman"/>
          <w:snapToGrid w:val="0"/>
          <w:color w:val="070707"/>
          <w:spacing w:val="0"/>
          <w:w w:val="100"/>
          <w:kern w:val="0"/>
          <w:sz w:val="28"/>
          <w:szCs w:val="28"/>
          <w:highlight w:val="none"/>
          <w:shd w:val="clear" w:color="auto" w:fill="auto"/>
          <w:lang w:val="en-US" w:eastAsia="zh-CN" w:bidi="ar-SA"/>
        </w:rPr>
        <w:t>提供全方位法治</w:t>
      </w:r>
      <w:r>
        <w:rPr>
          <w:rFonts w:hint="eastAsia" w:ascii="Times New Roman" w:hAnsi="Times New Roman" w:eastAsia="仿宋_GB2312" w:cs="Times New Roman"/>
          <w:snapToGrid w:val="0"/>
          <w:color w:val="070707"/>
          <w:spacing w:val="0"/>
          <w:w w:val="100"/>
          <w:kern w:val="0"/>
          <w:sz w:val="28"/>
          <w:szCs w:val="28"/>
          <w:highlight w:val="none"/>
          <w:shd w:val="clear" w:color="auto" w:fill="auto"/>
          <w:lang w:val="en-US" w:eastAsia="zh-CN" w:bidi="ar-SA"/>
        </w:rPr>
        <w:t>服务</w:t>
      </w:r>
      <w:r>
        <w:rPr>
          <w:rFonts w:hint="default" w:ascii="Times New Roman" w:hAnsi="Times New Roman" w:eastAsia="仿宋_GB2312" w:cs="Times New Roman"/>
          <w:snapToGrid w:val="0"/>
          <w:color w:val="070707"/>
          <w:spacing w:val="0"/>
          <w:w w:val="100"/>
          <w:kern w:val="0"/>
          <w:sz w:val="28"/>
          <w:szCs w:val="28"/>
          <w:highlight w:val="none"/>
          <w:shd w:val="clear" w:color="auto" w:fill="auto"/>
          <w:lang w:val="en-US" w:eastAsia="zh-CN" w:bidi="ar-SA"/>
        </w:rPr>
        <w:t>保障。</w:t>
      </w:r>
      <w:r>
        <w:rPr>
          <w:rFonts w:hint="eastAsia" w:hAnsi="宋体"/>
          <w:szCs w:val="28"/>
          <w:highlight w:val="none"/>
          <w:lang w:val="en-US" w:eastAsia="zh-CN"/>
        </w:rPr>
        <w:t>该</w:t>
      </w:r>
      <w:r>
        <w:rPr>
          <w:rFonts w:hint="eastAsia" w:hAnsi="宋体"/>
          <w:szCs w:val="28"/>
          <w:highlight w:val="none"/>
        </w:rPr>
        <w:t>指标分值</w:t>
      </w:r>
      <w:r>
        <w:rPr>
          <w:rFonts w:hint="eastAsia" w:hAnsi="宋体"/>
          <w:szCs w:val="28"/>
          <w:highlight w:val="none"/>
          <w:lang w:val="en-US" w:eastAsia="zh-CN"/>
        </w:rPr>
        <w:t>5</w:t>
      </w:r>
      <w:r>
        <w:rPr>
          <w:rFonts w:hint="eastAsia" w:hAnsi="宋体"/>
          <w:szCs w:val="28"/>
          <w:highlight w:val="none"/>
        </w:rPr>
        <w:t>分，自评得分</w:t>
      </w:r>
      <w:r>
        <w:rPr>
          <w:rFonts w:hint="eastAsia" w:hAnsi="宋体"/>
          <w:szCs w:val="28"/>
          <w:highlight w:val="none"/>
          <w:lang w:val="en-US" w:eastAsia="zh-CN"/>
        </w:rPr>
        <w:t>5</w:t>
      </w:r>
      <w:r>
        <w:rPr>
          <w:rFonts w:hint="eastAsia" w:hAnsi="宋体"/>
          <w:szCs w:val="28"/>
          <w:highlight w:val="none"/>
        </w:rPr>
        <w:t>分，得分率为100%</w:t>
      </w:r>
      <w:r>
        <w:rPr>
          <w:rFonts w:hint="eastAsia" w:hAnsi="宋体"/>
          <w:szCs w:val="28"/>
          <w:highlight w:val="none"/>
          <w:lang w:eastAsia="zh-CN"/>
        </w:rPr>
        <w:t>。</w:t>
      </w:r>
    </w:p>
    <w:p>
      <w:pPr>
        <w:pStyle w:val="5"/>
        <w:ind w:firstLine="562"/>
        <w:rPr>
          <w:rFonts w:hint="eastAsia"/>
          <w:highlight w:val="none"/>
        </w:rPr>
      </w:pPr>
      <w:r>
        <w:rPr>
          <w:rFonts w:hint="eastAsia"/>
          <w:highlight w:val="none"/>
        </w:rPr>
        <w:t>4</w:t>
      </w:r>
      <w:r>
        <w:rPr>
          <w:rFonts w:hint="eastAsia"/>
          <w:highlight w:val="none"/>
          <w:lang w:eastAsia="zh-CN"/>
        </w:rPr>
        <w:t>.</w:t>
      </w:r>
      <w:r>
        <w:rPr>
          <w:rFonts w:hint="eastAsia"/>
          <w:highlight w:val="none"/>
        </w:rPr>
        <w:t>偏离绩效目标的原因及下一步改进措施</w:t>
      </w:r>
    </w:p>
    <w:p>
      <w:pPr>
        <w:bidi w:val="0"/>
        <w:rPr>
          <w:rFonts w:hint="default"/>
          <w:b/>
          <w:bCs/>
          <w:highlight w:val="none"/>
          <w:lang w:val="en-US" w:eastAsia="zh-CN"/>
        </w:rPr>
      </w:pPr>
      <w:r>
        <w:rPr>
          <w:rFonts w:hint="eastAsia"/>
          <w:b/>
          <w:bCs/>
          <w:highlight w:val="none"/>
          <w:lang w:val="en-US" w:eastAsia="zh-CN"/>
        </w:rPr>
        <w:t>1.办公设备购置成本标准符合率指标设置不合理，该不属于数量指标。</w:t>
      </w:r>
      <w:r>
        <w:rPr>
          <w:rFonts w:hint="eastAsia"/>
          <w:highlight w:val="none"/>
          <w:lang w:val="en-US" w:eastAsia="zh-CN"/>
        </w:rPr>
        <w:t>下年度我院将加强预算绩效知识学习，合理设置指标。</w:t>
      </w:r>
    </w:p>
    <w:p>
      <w:pPr>
        <w:pStyle w:val="3"/>
        <w:rPr>
          <w:highlight w:val="none"/>
        </w:rPr>
      </w:pPr>
      <w:bookmarkStart w:id="84" w:name="_Toc11458"/>
      <w:r>
        <w:rPr>
          <w:rFonts w:hint="eastAsia"/>
          <w:highlight w:val="none"/>
        </w:rPr>
        <w:t>六、绩效自评结果拟应用和公开情况</w:t>
      </w:r>
      <w:bookmarkEnd w:id="74"/>
      <w:bookmarkEnd w:id="75"/>
      <w:bookmarkEnd w:id="81"/>
      <w:bookmarkEnd w:id="82"/>
      <w:bookmarkEnd w:id="83"/>
      <w:bookmarkEnd w:id="84"/>
    </w:p>
    <w:p>
      <w:pPr>
        <w:widowControl/>
        <w:ind w:firstLine="560"/>
        <w:jc w:val="left"/>
        <w:rPr>
          <w:rFonts w:hAnsi="宋体"/>
          <w:szCs w:val="28"/>
          <w:highlight w:val="none"/>
        </w:rPr>
      </w:pPr>
      <w:r>
        <w:rPr>
          <w:rFonts w:hint="eastAsia" w:hAnsi="宋体"/>
          <w:szCs w:val="28"/>
          <w:highlight w:val="none"/>
        </w:rPr>
        <w:t>绩效自评结果的应用是</w:t>
      </w:r>
      <w:r>
        <w:rPr>
          <w:rFonts w:hint="eastAsia" w:hAnsi="宋体"/>
          <w:szCs w:val="28"/>
          <w:highlight w:val="none"/>
          <w:lang w:eastAsia="zh-CN"/>
        </w:rPr>
        <w:t>部门</w:t>
      </w:r>
      <w:r>
        <w:rPr>
          <w:rFonts w:hint="eastAsia" w:hAnsi="宋体"/>
          <w:szCs w:val="28"/>
          <w:highlight w:val="none"/>
        </w:rPr>
        <w:t>完善政策和改进管理的重要依据，</w:t>
      </w:r>
      <w:r>
        <w:rPr>
          <w:rFonts w:hint="eastAsia" w:hAnsi="宋体"/>
          <w:szCs w:val="28"/>
          <w:highlight w:val="none"/>
          <w:lang w:eastAsia="zh-CN"/>
        </w:rPr>
        <w:t>部门</w:t>
      </w:r>
      <w:r>
        <w:rPr>
          <w:rFonts w:hint="eastAsia" w:hAnsi="宋体"/>
          <w:szCs w:val="28"/>
          <w:highlight w:val="none"/>
        </w:rPr>
        <w:t>要加强评价结果的应用。根据政策文件规定，</w:t>
      </w:r>
      <w:r>
        <w:rPr>
          <w:rFonts w:hint="eastAsia" w:hAnsi="宋体"/>
          <w:szCs w:val="28"/>
          <w:highlight w:val="none"/>
          <w:lang w:eastAsia="zh-CN"/>
        </w:rPr>
        <w:t>我院</w:t>
      </w:r>
      <w:r>
        <w:rPr>
          <w:rFonts w:hint="eastAsia" w:hAnsi="宋体"/>
          <w:szCs w:val="28"/>
          <w:highlight w:val="none"/>
        </w:rPr>
        <w:t>绩效自评结果将编入</w:t>
      </w:r>
      <w:r>
        <w:rPr>
          <w:rFonts w:hint="eastAsia" w:hAnsi="宋体"/>
          <w:szCs w:val="28"/>
          <w:highlight w:val="none"/>
          <w:lang w:eastAsia="zh-CN"/>
        </w:rPr>
        <w:t>202</w:t>
      </w:r>
      <w:r>
        <w:rPr>
          <w:rFonts w:hint="eastAsia" w:hAnsi="宋体"/>
          <w:szCs w:val="28"/>
          <w:highlight w:val="none"/>
          <w:lang w:val="en-US" w:eastAsia="zh-CN"/>
        </w:rPr>
        <w:t>2</w:t>
      </w:r>
      <w:r>
        <w:rPr>
          <w:rFonts w:hint="eastAsia" w:hAnsi="宋体"/>
          <w:szCs w:val="28"/>
          <w:highlight w:val="none"/>
        </w:rPr>
        <w:t>年度决算中，随同</w:t>
      </w:r>
      <w:r>
        <w:rPr>
          <w:rFonts w:hint="eastAsia" w:hAnsi="宋体"/>
          <w:szCs w:val="28"/>
          <w:highlight w:val="none"/>
          <w:lang w:eastAsia="zh-CN"/>
        </w:rPr>
        <w:t>202</w:t>
      </w:r>
      <w:r>
        <w:rPr>
          <w:rFonts w:hint="eastAsia" w:hAnsi="宋体"/>
          <w:szCs w:val="28"/>
          <w:highlight w:val="none"/>
          <w:lang w:val="en-US" w:eastAsia="zh-CN"/>
        </w:rPr>
        <w:t>2</w:t>
      </w:r>
      <w:r>
        <w:rPr>
          <w:rFonts w:hint="eastAsia" w:hAnsi="宋体"/>
          <w:szCs w:val="28"/>
          <w:highlight w:val="none"/>
        </w:rPr>
        <w:t>年度</w:t>
      </w:r>
      <w:r>
        <w:rPr>
          <w:rFonts w:hint="eastAsia" w:hAnsi="宋体"/>
          <w:szCs w:val="28"/>
          <w:highlight w:val="none"/>
          <w:lang w:eastAsia="zh-CN"/>
        </w:rPr>
        <w:t>部门</w:t>
      </w:r>
      <w:r>
        <w:rPr>
          <w:rFonts w:hint="eastAsia" w:hAnsi="宋体"/>
          <w:szCs w:val="28"/>
          <w:highlight w:val="none"/>
        </w:rPr>
        <w:t>决算同步公开。</w:t>
      </w:r>
    </w:p>
    <w:p>
      <w:pPr>
        <w:pStyle w:val="3"/>
        <w:rPr>
          <w:highlight w:val="none"/>
        </w:rPr>
      </w:pPr>
      <w:bookmarkStart w:id="85" w:name="_Toc6781"/>
      <w:bookmarkStart w:id="86" w:name="_Toc4491"/>
      <w:bookmarkStart w:id="87" w:name="_Toc40046066"/>
      <w:bookmarkStart w:id="88" w:name="_Toc2494"/>
      <w:bookmarkStart w:id="89" w:name="_Toc17181"/>
      <w:bookmarkStart w:id="90" w:name="_Toc21490"/>
      <w:r>
        <w:rPr>
          <w:rFonts w:hint="eastAsia"/>
          <w:highlight w:val="none"/>
        </w:rPr>
        <w:t>七、其他需要说明的问题</w:t>
      </w:r>
      <w:bookmarkEnd w:id="85"/>
      <w:bookmarkEnd w:id="86"/>
      <w:bookmarkEnd w:id="87"/>
      <w:bookmarkEnd w:id="88"/>
      <w:bookmarkEnd w:id="89"/>
      <w:bookmarkEnd w:id="90"/>
    </w:p>
    <w:p>
      <w:pPr>
        <w:pStyle w:val="27"/>
        <w:ind w:left="0" w:leftChars="0" w:firstLine="0" w:firstLineChars="0"/>
      </w:pPr>
      <w:r>
        <w:rPr>
          <w:rFonts w:hint="eastAsia" w:hAnsi="宋体"/>
          <w:szCs w:val="28"/>
        </w:rPr>
        <w:t>无</w:t>
      </w:r>
      <w:r>
        <w:rPr>
          <w:rFonts w:hint="eastAsia" w:hAnsi="宋体"/>
          <w:szCs w:val="28"/>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059213"/>
    </w:sdtPr>
    <w:sdtContent>
      <w:p>
        <w:pPr>
          <w:pStyle w:val="13"/>
          <w:ind w:firstLine="360"/>
          <w:jc w:val="center"/>
        </w:pPr>
        <w:r>
          <w:fldChar w:fldCharType="begin"/>
        </w:r>
        <w:r>
          <w:instrText xml:space="preserve">PAGE   \* MERGEFORMAT</w:instrText>
        </w:r>
        <w:r>
          <w:fldChar w:fldCharType="separate"/>
        </w:r>
        <w:r>
          <w:rPr>
            <w:lang w:val="zh-CN"/>
          </w:rPr>
          <w:t>2</w:t>
        </w:r>
        <w:r>
          <w:fldChar w:fldCharType="end"/>
        </w:r>
      </w:p>
    </w:sdtContent>
  </w:sdt>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D7861"/>
    <w:multiLevelType w:val="singleLevel"/>
    <w:tmpl w:val="7AFD786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xNzFjOTFlY2NlMWQxMjBiOWQyNTgyZjQ0MzVmYWYifQ=="/>
  </w:docVars>
  <w:rsids>
    <w:rsidRoot w:val="00172A27"/>
    <w:rsid w:val="00052A18"/>
    <w:rsid w:val="00074885"/>
    <w:rsid w:val="000846DD"/>
    <w:rsid w:val="0009668A"/>
    <w:rsid w:val="000A57E0"/>
    <w:rsid w:val="000A6007"/>
    <w:rsid w:val="000B791F"/>
    <w:rsid w:val="000D228A"/>
    <w:rsid w:val="00116A7E"/>
    <w:rsid w:val="001317A2"/>
    <w:rsid w:val="00132B05"/>
    <w:rsid w:val="00136178"/>
    <w:rsid w:val="00172A27"/>
    <w:rsid w:val="001A5FBA"/>
    <w:rsid w:val="001C3244"/>
    <w:rsid w:val="001C5292"/>
    <w:rsid w:val="001F5079"/>
    <w:rsid w:val="00213991"/>
    <w:rsid w:val="0026306D"/>
    <w:rsid w:val="002A2B4C"/>
    <w:rsid w:val="002A4C84"/>
    <w:rsid w:val="002C705C"/>
    <w:rsid w:val="00354A66"/>
    <w:rsid w:val="0037297D"/>
    <w:rsid w:val="003A4775"/>
    <w:rsid w:val="003B33F8"/>
    <w:rsid w:val="003B4445"/>
    <w:rsid w:val="00411640"/>
    <w:rsid w:val="00440055"/>
    <w:rsid w:val="004555C6"/>
    <w:rsid w:val="00486086"/>
    <w:rsid w:val="004951D2"/>
    <w:rsid w:val="004A31A3"/>
    <w:rsid w:val="004A6727"/>
    <w:rsid w:val="004C4F85"/>
    <w:rsid w:val="004D56A6"/>
    <w:rsid w:val="0050326C"/>
    <w:rsid w:val="0051422B"/>
    <w:rsid w:val="0052622F"/>
    <w:rsid w:val="00591A5D"/>
    <w:rsid w:val="005F4EFE"/>
    <w:rsid w:val="006903F9"/>
    <w:rsid w:val="006A4784"/>
    <w:rsid w:val="006C7775"/>
    <w:rsid w:val="006D3D71"/>
    <w:rsid w:val="006F31A0"/>
    <w:rsid w:val="007104B3"/>
    <w:rsid w:val="00756C8C"/>
    <w:rsid w:val="007616B0"/>
    <w:rsid w:val="0077240E"/>
    <w:rsid w:val="007C3784"/>
    <w:rsid w:val="007C52D7"/>
    <w:rsid w:val="007C78AD"/>
    <w:rsid w:val="007D2489"/>
    <w:rsid w:val="007D7D6C"/>
    <w:rsid w:val="00814620"/>
    <w:rsid w:val="00835CA9"/>
    <w:rsid w:val="008559BB"/>
    <w:rsid w:val="00872C90"/>
    <w:rsid w:val="008901DE"/>
    <w:rsid w:val="008949AA"/>
    <w:rsid w:val="008B0628"/>
    <w:rsid w:val="008B7A39"/>
    <w:rsid w:val="008D4175"/>
    <w:rsid w:val="00911B80"/>
    <w:rsid w:val="009165DD"/>
    <w:rsid w:val="009302C0"/>
    <w:rsid w:val="00984072"/>
    <w:rsid w:val="009C15A4"/>
    <w:rsid w:val="009D7ABF"/>
    <w:rsid w:val="00A149C3"/>
    <w:rsid w:val="00A55CA9"/>
    <w:rsid w:val="00A959C7"/>
    <w:rsid w:val="00AE078A"/>
    <w:rsid w:val="00B42316"/>
    <w:rsid w:val="00B435CF"/>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74A57"/>
    <w:rsid w:val="00F869BE"/>
    <w:rsid w:val="00FB4EB0"/>
    <w:rsid w:val="00FC28C9"/>
    <w:rsid w:val="00FF2BDA"/>
    <w:rsid w:val="01183111"/>
    <w:rsid w:val="0125204F"/>
    <w:rsid w:val="016210FD"/>
    <w:rsid w:val="01865733"/>
    <w:rsid w:val="01A06E9D"/>
    <w:rsid w:val="01BB35F3"/>
    <w:rsid w:val="023A109F"/>
    <w:rsid w:val="02441F1E"/>
    <w:rsid w:val="0294218E"/>
    <w:rsid w:val="02D93C69"/>
    <w:rsid w:val="0305754E"/>
    <w:rsid w:val="03586C8C"/>
    <w:rsid w:val="03B80F4C"/>
    <w:rsid w:val="03B93EF4"/>
    <w:rsid w:val="03DE64EE"/>
    <w:rsid w:val="045D1075"/>
    <w:rsid w:val="046D109D"/>
    <w:rsid w:val="04AE1CD1"/>
    <w:rsid w:val="04AE6573"/>
    <w:rsid w:val="04C826FC"/>
    <w:rsid w:val="04D710AE"/>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80E4270"/>
    <w:rsid w:val="086174AA"/>
    <w:rsid w:val="087F1930"/>
    <w:rsid w:val="088272FC"/>
    <w:rsid w:val="08A7247E"/>
    <w:rsid w:val="08A728CF"/>
    <w:rsid w:val="08A84A40"/>
    <w:rsid w:val="08F834BD"/>
    <w:rsid w:val="09077DF6"/>
    <w:rsid w:val="091241C8"/>
    <w:rsid w:val="09376339"/>
    <w:rsid w:val="09B13A45"/>
    <w:rsid w:val="09BE6112"/>
    <w:rsid w:val="0A6C3DC0"/>
    <w:rsid w:val="0AAC7535"/>
    <w:rsid w:val="0AFD6D5D"/>
    <w:rsid w:val="0B3D575C"/>
    <w:rsid w:val="0B8D6294"/>
    <w:rsid w:val="0B987180"/>
    <w:rsid w:val="0BA35E5E"/>
    <w:rsid w:val="0BA70E60"/>
    <w:rsid w:val="0BE1433A"/>
    <w:rsid w:val="0C040E46"/>
    <w:rsid w:val="0C126BE9"/>
    <w:rsid w:val="0C141A9E"/>
    <w:rsid w:val="0C6032F9"/>
    <w:rsid w:val="0C6C6699"/>
    <w:rsid w:val="0C8F023A"/>
    <w:rsid w:val="0D1369DD"/>
    <w:rsid w:val="0DD248FB"/>
    <w:rsid w:val="0DE74A3D"/>
    <w:rsid w:val="0DF0188C"/>
    <w:rsid w:val="0DF46805"/>
    <w:rsid w:val="0E071816"/>
    <w:rsid w:val="0E130328"/>
    <w:rsid w:val="0E14510B"/>
    <w:rsid w:val="0E5E4367"/>
    <w:rsid w:val="0E791344"/>
    <w:rsid w:val="0E975183"/>
    <w:rsid w:val="0E9E4764"/>
    <w:rsid w:val="0EB9159E"/>
    <w:rsid w:val="0ECC7523"/>
    <w:rsid w:val="0F087E2F"/>
    <w:rsid w:val="0F0E7B3C"/>
    <w:rsid w:val="0F5301E5"/>
    <w:rsid w:val="0F5B62C1"/>
    <w:rsid w:val="0FAD1102"/>
    <w:rsid w:val="0FBE7ED7"/>
    <w:rsid w:val="0FC91CB4"/>
    <w:rsid w:val="0FDE440A"/>
    <w:rsid w:val="10054175"/>
    <w:rsid w:val="10953945"/>
    <w:rsid w:val="109A22B0"/>
    <w:rsid w:val="10ED0DA6"/>
    <w:rsid w:val="115B7B4E"/>
    <w:rsid w:val="119368FA"/>
    <w:rsid w:val="11A11963"/>
    <w:rsid w:val="11C03DEA"/>
    <w:rsid w:val="11C20FE9"/>
    <w:rsid w:val="11CF41B2"/>
    <w:rsid w:val="11E85901"/>
    <w:rsid w:val="126D4DDF"/>
    <w:rsid w:val="12F942BB"/>
    <w:rsid w:val="14055456"/>
    <w:rsid w:val="1410241B"/>
    <w:rsid w:val="146A4AEC"/>
    <w:rsid w:val="14A1264A"/>
    <w:rsid w:val="14A14FAE"/>
    <w:rsid w:val="14A237DC"/>
    <w:rsid w:val="14C17805"/>
    <w:rsid w:val="153A283C"/>
    <w:rsid w:val="1578500A"/>
    <w:rsid w:val="15937A9B"/>
    <w:rsid w:val="15B716F5"/>
    <w:rsid w:val="160A3D95"/>
    <w:rsid w:val="16133C89"/>
    <w:rsid w:val="169A0A5A"/>
    <w:rsid w:val="16EA10E2"/>
    <w:rsid w:val="171A2DA3"/>
    <w:rsid w:val="17364B64"/>
    <w:rsid w:val="17400B06"/>
    <w:rsid w:val="17914727"/>
    <w:rsid w:val="17A22D12"/>
    <w:rsid w:val="17A41D79"/>
    <w:rsid w:val="17D45E88"/>
    <w:rsid w:val="183B1909"/>
    <w:rsid w:val="18657FD3"/>
    <w:rsid w:val="187F540D"/>
    <w:rsid w:val="18BF1BE0"/>
    <w:rsid w:val="18CA4D24"/>
    <w:rsid w:val="19167A27"/>
    <w:rsid w:val="19444033"/>
    <w:rsid w:val="194F153B"/>
    <w:rsid w:val="1980048D"/>
    <w:rsid w:val="19855E4D"/>
    <w:rsid w:val="198804EA"/>
    <w:rsid w:val="199708B4"/>
    <w:rsid w:val="19A35684"/>
    <w:rsid w:val="19A8223C"/>
    <w:rsid w:val="19C01A32"/>
    <w:rsid w:val="19C85E69"/>
    <w:rsid w:val="1A1A43C2"/>
    <w:rsid w:val="1A913C2A"/>
    <w:rsid w:val="1AB901AA"/>
    <w:rsid w:val="1ABA3711"/>
    <w:rsid w:val="1ACC2EC5"/>
    <w:rsid w:val="1B3604F2"/>
    <w:rsid w:val="1B367A94"/>
    <w:rsid w:val="1B391536"/>
    <w:rsid w:val="1B7D7F7E"/>
    <w:rsid w:val="1C770035"/>
    <w:rsid w:val="1C934265"/>
    <w:rsid w:val="1CA9356C"/>
    <w:rsid w:val="1CB60D97"/>
    <w:rsid w:val="1CC41839"/>
    <w:rsid w:val="1CD540C4"/>
    <w:rsid w:val="1CE82FAE"/>
    <w:rsid w:val="1D172F01"/>
    <w:rsid w:val="1D4B7A4A"/>
    <w:rsid w:val="1D6B5FA6"/>
    <w:rsid w:val="1DE5415D"/>
    <w:rsid w:val="1E0730ED"/>
    <w:rsid w:val="1E4A23BC"/>
    <w:rsid w:val="1EC73863"/>
    <w:rsid w:val="1EFC175F"/>
    <w:rsid w:val="201C2D22"/>
    <w:rsid w:val="204131A1"/>
    <w:rsid w:val="20462111"/>
    <w:rsid w:val="205A1343"/>
    <w:rsid w:val="206A11BC"/>
    <w:rsid w:val="20B724D5"/>
    <w:rsid w:val="21132B7C"/>
    <w:rsid w:val="215313DE"/>
    <w:rsid w:val="216E0AF3"/>
    <w:rsid w:val="21A10725"/>
    <w:rsid w:val="21D94E53"/>
    <w:rsid w:val="21E94BEF"/>
    <w:rsid w:val="22C541CF"/>
    <w:rsid w:val="22F26762"/>
    <w:rsid w:val="23A31DC3"/>
    <w:rsid w:val="23AF71DA"/>
    <w:rsid w:val="23C10B07"/>
    <w:rsid w:val="23C75000"/>
    <w:rsid w:val="24223CEC"/>
    <w:rsid w:val="247C56A2"/>
    <w:rsid w:val="248C0A40"/>
    <w:rsid w:val="24A819DF"/>
    <w:rsid w:val="24E54A43"/>
    <w:rsid w:val="25AB104A"/>
    <w:rsid w:val="25B4378E"/>
    <w:rsid w:val="25D37B28"/>
    <w:rsid w:val="25E12217"/>
    <w:rsid w:val="26323CB8"/>
    <w:rsid w:val="26555BF8"/>
    <w:rsid w:val="269A7D3C"/>
    <w:rsid w:val="270E5FB0"/>
    <w:rsid w:val="27EC5A7D"/>
    <w:rsid w:val="27F751B9"/>
    <w:rsid w:val="27FA58DE"/>
    <w:rsid w:val="281C4006"/>
    <w:rsid w:val="2841391F"/>
    <w:rsid w:val="28452D46"/>
    <w:rsid w:val="2872534E"/>
    <w:rsid w:val="28A571DE"/>
    <w:rsid w:val="28BB61E6"/>
    <w:rsid w:val="28F33A63"/>
    <w:rsid w:val="29121B7F"/>
    <w:rsid w:val="29440026"/>
    <w:rsid w:val="29447DE6"/>
    <w:rsid w:val="295973BD"/>
    <w:rsid w:val="298720F0"/>
    <w:rsid w:val="29D52BB5"/>
    <w:rsid w:val="29F55728"/>
    <w:rsid w:val="29FA3933"/>
    <w:rsid w:val="2A070BEE"/>
    <w:rsid w:val="2A273408"/>
    <w:rsid w:val="2A731D21"/>
    <w:rsid w:val="2A7F3244"/>
    <w:rsid w:val="2AB949A8"/>
    <w:rsid w:val="2ACD0453"/>
    <w:rsid w:val="2ACE3A90"/>
    <w:rsid w:val="2B0A5203"/>
    <w:rsid w:val="2B252A91"/>
    <w:rsid w:val="2B4017F0"/>
    <w:rsid w:val="2B6348E0"/>
    <w:rsid w:val="2B970537"/>
    <w:rsid w:val="2BE76212"/>
    <w:rsid w:val="2C09185D"/>
    <w:rsid w:val="2C0F7531"/>
    <w:rsid w:val="2C7A0167"/>
    <w:rsid w:val="2C8F33BD"/>
    <w:rsid w:val="2C8F54B1"/>
    <w:rsid w:val="2D5662C8"/>
    <w:rsid w:val="2DF56335"/>
    <w:rsid w:val="2DF9286A"/>
    <w:rsid w:val="2ED6443A"/>
    <w:rsid w:val="2EE138F7"/>
    <w:rsid w:val="2F0C4BE3"/>
    <w:rsid w:val="2F377CAB"/>
    <w:rsid w:val="2F4D1ED1"/>
    <w:rsid w:val="2FCB61DD"/>
    <w:rsid w:val="3018707D"/>
    <w:rsid w:val="307E4298"/>
    <w:rsid w:val="30952D41"/>
    <w:rsid w:val="30DD0CC4"/>
    <w:rsid w:val="30E271B6"/>
    <w:rsid w:val="31397F4B"/>
    <w:rsid w:val="31541DBA"/>
    <w:rsid w:val="317070E4"/>
    <w:rsid w:val="31775428"/>
    <w:rsid w:val="318F7220"/>
    <w:rsid w:val="31B63FAB"/>
    <w:rsid w:val="31D65E3F"/>
    <w:rsid w:val="31EB672C"/>
    <w:rsid w:val="31F02617"/>
    <w:rsid w:val="329A6E6D"/>
    <w:rsid w:val="32DC4272"/>
    <w:rsid w:val="33150BE9"/>
    <w:rsid w:val="336C775A"/>
    <w:rsid w:val="33725861"/>
    <w:rsid w:val="33CF4883"/>
    <w:rsid w:val="33D62126"/>
    <w:rsid w:val="33D75E9F"/>
    <w:rsid w:val="33DE375D"/>
    <w:rsid w:val="33F71B1A"/>
    <w:rsid w:val="342E014E"/>
    <w:rsid w:val="346A0719"/>
    <w:rsid w:val="34B306BA"/>
    <w:rsid w:val="34BC46A1"/>
    <w:rsid w:val="34D36666"/>
    <w:rsid w:val="34F146C2"/>
    <w:rsid w:val="351358AA"/>
    <w:rsid w:val="35303AB8"/>
    <w:rsid w:val="35324607"/>
    <w:rsid w:val="363277FD"/>
    <w:rsid w:val="365E57FF"/>
    <w:rsid w:val="366A70C8"/>
    <w:rsid w:val="36AF7935"/>
    <w:rsid w:val="36B928EF"/>
    <w:rsid w:val="36D901FE"/>
    <w:rsid w:val="37164F30"/>
    <w:rsid w:val="372B7BCD"/>
    <w:rsid w:val="375D1400"/>
    <w:rsid w:val="376728C4"/>
    <w:rsid w:val="376E08C8"/>
    <w:rsid w:val="379067CC"/>
    <w:rsid w:val="38021539"/>
    <w:rsid w:val="380A28CA"/>
    <w:rsid w:val="383A2C56"/>
    <w:rsid w:val="38514471"/>
    <w:rsid w:val="388C6E04"/>
    <w:rsid w:val="389A5030"/>
    <w:rsid w:val="38A327F3"/>
    <w:rsid w:val="38E250CA"/>
    <w:rsid w:val="39B95231"/>
    <w:rsid w:val="39E7313A"/>
    <w:rsid w:val="39EC1C54"/>
    <w:rsid w:val="3A1F19CA"/>
    <w:rsid w:val="3A8B731D"/>
    <w:rsid w:val="3A946897"/>
    <w:rsid w:val="3A976B41"/>
    <w:rsid w:val="3A9B7C32"/>
    <w:rsid w:val="3AAE4F93"/>
    <w:rsid w:val="3ACB48BB"/>
    <w:rsid w:val="3AD25272"/>
    <w:rsid w:val="3AFC6ED7"/>
    <w:rsid w:val="3B0112DE"/>
    <w:rsid w:val="3B282FD3"/>
    <w:rsid w:val="3B375346"/>
    <w:rsid w:val="3B5129DA"/>
    <w:rsid w:val="3B5B20B0"/>
    <w:rsid w:val="3BA33E48"/>
    <w:rsid w:val="3BBD0A54"/>
    <w:rsid w:val="3BBE58F0"/>
    <w:rsid w:val="3BDA41CF"/>
    <w:rsid w:val="3BE4409F"/>
    <w:rsid w:val="3C663A24"/>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9B2476"/>
    <w:rsid w:val="3FC12A9B"/>
    <w:rsid w:val="40287B7C"/>
    <w:rsid w:val="403A4B1E"/>
    <w:rsid w:val="40516350"/>
    <w:rsid w:val="4081490E"/>
    <w:rsid w:val="408F79A5"/>
    <w:rsid w:val="40B17223"/>
    <w:rsid w:val="40C96B6F"/>
    <w:rsid w:val="41B62723"/>
    <w:rsid w:val="41C474D0"/>
    <w:rsid w:val="41C8474B"/>
    <w:rsid w:val="41CD47B2"/>
    <w:rsid w:val="423B584A"/>
    <w:rsid w:val="43166C1A"/>
    <w:rsid w:val="43291B47"/>
    <w:rsid w:val="432F247C"/>
    <w:rsid w:val="43625A2A"/>
    <w:rsid w:val="437F06E0"/>
    <w:rsid w:val="43C31F9B"/>
    <w:rsid w:val="43D14C90"/>
    <w:rsid w:val="43DB4144"/>
    <w:rsid w:val="44093E52"/>
    <w:rsid w:val="44475071"/>
    <w:rsid w:val="445E3AFF"/>
    <w:rsid w:val="44612E7B"/>
    <w:rsid w:val="44753B35"/>
    <w:rsid w:val="44A571E8"/>
    <w:rsid w:val="44E67F14"/>
    <w:rsid w:val="45343151"/>
    <w:rsid w:val="456F5F37"/>
    <w:rsid w:val="45BE1410"/>
    <w:rsid w:val="45CA5863"/>
    <w:rsid w:val="45E00434"/>
    <w:rsid w:val="45F047F0"/>
    <w:rsid w:val="45F4583A"/>
    <w:rsid w:val="46054912"/>
    <w:rsid w:val="46112717"/>
    <w:rsid w:val="46307B3F"/>
    <w:rsid w:val="46317690"/>
    <w:rsid w:val="469448BA"/>
    <w:rsid w:val="46DC1289"/>
    <w:rsid w:val="472655E6"/>
    <w:rsid w:val="477D2815"/>
    <w:rsid w:val="47982EAF"/>
    <w:rsid w:val="481B63B6"/>
    <w:rsid w:val="487550B7"/>
    <w:rsid w:val="48B40105"/>
    <w:rsid w:val="48C20A74"/>
    <w:rsid w:val="48D569F9"/>
    <w:rsid w:val="48D83D6A"/>
    <w:rsid w:val="48F202EF"/>
    <w:rsid w:val="490F7059"/>
    <w:rsid w:val="49747127"/>
    <w:rsid w:val="49B35FD2"/>
    <w:rsid w:val="49B45B0A"/>
    <w:rsid w:val="49BF4D9E"/>
    <w:rsid w:val="49D337CF"/>
    <w:rsid w:val="4A642CF0"/>
    <w:rsid w:val="4AC565F9"/>
    <w:rsid w:val="4AF07AF1"/>
    <w:rsid w:val="4B4439C2"/>
    <w:rsid w:val="4BD110E2"/>
    <w:rsid w:val="4C261319"/>
    <w:rsid w:val="4C261844"/>
    <w:rsid w:val="4C3E48B5"/>
    <w:rsid w:val="4C5E4F57"/>
    <w:rsid w:val="4C6F4027"/>
    <w:rsid w:val="4C975D73"/>
    <w:rsid w:val="4CBD1B1E"/>
    <w:rsid w:val="4CDF1128"/>
    <w:rsid w:val="4D0B54AD"/>
    <w:rsid w:val="4D16026A"/>
    <w:rsid w:val="4D2A1AB4"/>
    <w:rsid w:val="4D633045"/>
    <w:rsid w:val="4DBA72D7"/>
    <w:rsid w:val="4DBD57AB"/>
    <w:rsid w:val="4E471E75"/>
    <w:rsid w:val="4E64507F"/>
    <w:rsid w:val="4E8D3684"/>
    <w:rsid w:val="4E957926"/>
    <w:rsid w:val="4F224D8D"/>
    <w:rsid w:val="4F974A08"/>
    <w:rsid w:val="4FB54E8E"/>
    <w:rsid w:val="4FCD667C"/>
    <w:rsid w:val="4FE237A9"/>
    <w:rsid w:val="501D04CE"/>
    <w:rsid w:val="501D387E"/>
    <w:rsid w:val="50493828"/>
    <w:rsid w:val="50591CBD"/>
    <w:rsid w:val="5076286F"/>
    <w:rsid w:val="50957359"/>
    <w:rsid w:val="509F6EC6"/>
    <w:rsid w:val="510D6CCE"/>
    <w:rsid w:val="511E659C"/>
    <w:rsid w:val="512B1283"/>
    <w:rsid w:val="51493A4C"/>
    <w:rsid w:val="520143BB"/>
    <w:rsid w:val="520E29DF"/>
    <w:rsid w:val="5237602E"/>
    <w:rsid w:val="52397BDB"/>
    <w:rsid w:val="5261421A"/>
    <w:rsid w:val="52874813"/>
    <w:rsid w:val="52986A2B"/>
    <w:rsid w:val="52A068B2"/>
    <w:rsid w:val="53034162"/>
    <w:rsid w:val="53182FAD"/>
    <w:rsid w:val="53283BC9"/>
    <w:rsid w:val="536F17F8"/>
    <w:rsid w:val="53874D93"/>
    <w:rsid w:val="53932FF4"/>
    <w:rsid w:val="53DC53F9"/>
    <w:rsid w:val="543071D9"/>
    <w:rsid w:val="543C16DA"/>
    <w:rsid w:val="54843081"/>
    <w:rsid w:val="54CE139D"/>
    <w:rsid w:val="54E720BB"/>
    <w:rsid w:val="551B4A12"/>
    <w:rsid w:val="5588094F"/>
    <w:rsid w:val="558A2919"/>
    <w:rsid w:val="5634588C"/>
    <w:rsid w:val="56615E0C"/>
    <w:rsid w:val="567846EC"/>
    <w:rsid w:val="56AC0B61"/>
    <w:rsid w:val="56B45E9F"/>
    <w:rsid w:val="56EE5DFD"/>
    <w:rsid w:val="5714693E"/>
    <w:rsid w:val="57272B15"/>
    <w:rsid w:val="575C16B2"/>
    <w:rsid w:val="57966F2A"/>
    <w:rsid w:val="57AD207D"/>
    <w:rsid w:val="5806097D"/>
    <w:rsid w:val="58134E48"/>
    <w:rsid w:val="583A6878"/>
    <w:rsid w:val="5889335C"/>
    <w:rsid w:val="58960718"/>
    <w:rsid w:val="58B80B09"/>
    <w:rsid w:val="58C500FD"/>
    <w:rsid w:val="58DC7930"/>
    <w:rsid w:val="590C03A2"/>
    <w:rsid w:val="593E3D0B"/>
    <w:rsid w:val="596334BB"/>
    <w:rsid w:val="59727BBE"/>
    <w:rsid w:val="5977555C"/>
    <w:rsid w:val="59964C22"/>
    <w:rsid w:val="59A97E57"/>
    <w:rsid w:val="5A112DD4"/>
    <w:rsid w:val="5A4A24F3"/>
    <w:rsid w:val="5A5B1C29"/>
    <w:rsid w:val="5A7F2300"/>
    <w:rsid w:val="5A825F68"/>
    <w:rsid w:val="5AED49A0"/>
    <w:rsid w:val="5AFE65A3"/>
    <w:rsid w:val="5B92709A"/>
    <w:rsid w:val="5BDA5CF3"/>
    <w:rsid w:val="5BFE0297"/>
    <w:rsid w:val="5C161EDE"/>
    <w:rsid w:val="5C207B33"/>
    <w:rsid w:val="5C880D1C"/>
    <w:rsid w:val="5CA91A5D"/>
    <w:rsid w:val="5D04082A"/>
    <w:rsid w:val="5D16107E"/>
    <w:rsid w:val="5D2914FD"/>
    <w:rsid w:val="5D611791"/>
    <w:rsid w:val="5D755C5D"/>
    <w:rsid w:val="5DAE0264"/>
    <w:rsid w:val="5DD5494D"/>
    <w:rsid w:val="5DDE74C5"/>
    <w:rsid w:val="5E916AC6"/>
    <w:rsid w:val="5E9640DD"/>
    <w:rsid w:val="5E992621"/>
    <w:rsid w:val="5EC67DA5"/>
    <w:rsid w:val="5ED247CC"/>
    <w:rsid w:val="5F3A0F0C"/>
    <w:rsid w:val="5F58262D"/>
    <w:rsid w:val="5F6419A2"/>
    <w:rsid w:val="5F775691"/>
    <w:rsid w:val="5FBD12F8"/>
    <w:rsid w:val="600414DC"/>
    <w:rsid w:val="603319A6"/>
    <w:rsid w:val="605F1472"/>
    <w:rsid w:val="60A12843"/>
    <w:rsid w:val="60BA744E"/>
    <w:rsid w:val="60BB23FA"/>
    <w:rsid w:val="60FB49D2"/>
    <w:rsid w:val="61D474C9"/>
    <w:rsid w:val="62950A8E"/>
    <w:rsid w:val="629774D1"/>
    <w:rsid w:val="62BE64F4"/>
    <w:rsid w:val="62C9714A"/>
    <w:rsid w:val="635B3466"/>
    <w:rsid w:val="637B00FA"/>
    <w:rsid w:val="63DC4C88"/>
    <w:rsid w:val="64234172"/>
    <w:rsid w:val="6431668F"/>
    <w:rsid w:val="64803EF5"/>
    <w:rsid w:val="64835103"/>
    <w:rsid w:val="64920676"/>
    <w:rsid w:val="64970BAF"/>
    <w:rsid w:val="64AA6F1D"/>
    <w:rsid w:val="64C50052"/>
    <w:rsid w:val="64F8164D"/>
    <w:rsid w:val="6502427A"/>
    <w:rsid w:val="656C3DE9"/>
    <w:rsid w:val="65715BFD"/>
    <w:rsid w:val="65732D00"/>
    <w:rsid w:val="65B34C8C"/>
    <w:rsid w:val="66050395"/>
    <w:rsid w:val="661A0932"/>
    <w:rsid w:val="66302426"/>
    <w:rsid w:val="66364452"/>
    <w:rsid w:val="6651710F"/>
    <w:rsid w:val="66624590"/>
    <w:rsid w:val="66D90189"/>
    <w:rsid w:val="66E85FB4"/>
    <w:rsid w:val="67330E86"/>
    <w:rsid w:val="674033C8"/>
    <w:rsid w:val="67614E4C"/>
    <w:rsid w:val="679C7C07"/>
    <w:rsid w:val="67B37AAD"/>
    <w:rsid w:val="67F524F3"/>
    <w:rsid w:val="67F92005"/>
    <w:rsid w:val="68025435"/>
    <w:rsid w:val="688F22C8"/>
    <w:rsid w:val="68C267B6"/>
    <w:rsid w:val="68CF738C"/>
    <w:rsid w:val="68D76A40"/>
    <w:rsid w:val="68F20812"/>
    <w:rsid w:val="69021FA8"/>
    <w:rsid w:val="69137A07"/>
    <w:rsid w:val="697415F1"/>
    <w:rsid w:val="697F3ADF"/>
    <w:rsid w:val="69AE1423"/>
    <w:rsid w:val="69DA3ABA"/>
    <w:rsid w:val="6A3762A4"/>
    <w:rsid w:val="6A631F51"/>
    <w:rsid w:val="6A887F5F"/>
    <w:rsid w:val="6AAB7162"/>
    <w:rsid w:val="6AC3566F"/>
    <w:rsid w:val="6B037C3A"/>
    <w:rsid w:val="6B2B4A32"/>
    <w:rsid w:val="6B3A67D0"/>
    <w:rsid w:val="6B4B7556"/>
    <w:rsid w:val="6B6179F5"/>
    <w:rsid w:val="6B7C13D5"/>
    <w:rsid w:val="6BD72D2C"/>
    <w:rsid w:val="6C0652F9"/>
    <w:rsid w:val="6C53512B"/>
    <w:rsid w:val="6C560EC1"/>
    <w:rsid w:val="6C8E0AE9"/>
    <w:rsid w:val="6CA04267"/>
    <w:rsid w:val="6CA63EB8"/>
    <w:rsid w:val="6CB227F2"/>
    <w:rsid w:val="6CC30793"/>
    <w:rsid w:val="6CC8224D"/>
    <w:rsid w:val="6D18328F"/>
    <w:rsid w:val="6D8619E9"/>
    <w:rsid w:val="6D8C5C0C"/>
    <w:rsid w:val="6D8D7335"/>
    <w:rsid w:val="6DF95048"/>
    <w:rsid w:val="6E0472B5"/>
    <w:rsid w:val="6E09753D"/>
    <w:rsid w:val="6E7320EC"/>
    <w:rsid w:val="6EB73860"/>
    <w:rsid w:val="6EF255E1"/>
    <w:rsid w:val="6F3C1C82"/>
    <w:rsid w:val="6F4B5004"/>
    <w:rsid w:val="6F9E02F2"/>
    <w:rsid w:val="6FF00AC7"/>
    <w:rsid w:val="700F01D3"/>
    <w:rsid w:val="7015387B"/>
    <w:rsid w:val="705A41AE"/>
    <w:rsid w:val="70D07922"/>
    <w:rsid w:val="70E14841"/>
    <w:rsid w:val="7113156F"/>
    <w:rsid w:val="718524BB"/>
    <w:rsid w:val="718631F8"/>
    <w:rsid w:val="71CE1DE8"/>
    <w:rsid w:val="72A11576"/>
    <w:rsid w:val="72B56CCB"/>
    <w:rsid w:val="72D46929"/>
    <w:rsid w:val="72D729DB"/>
    <w:rsid w:val="72EC0317"/>
    <w:rsid w:val="73353469"/>
    <w:rsid w:val="73644117"/>
    <w:rsid w:val="736D3FC9"/>
    <w:rsid w:val="73BF6E3A"/>
    <w:rsid w:val="74035919"/>
    <w:rsid w:val="741D30BD"/>
    <w:rsid w:val="74213FF1"/>
    <w:rsid w:val="745E0709"/>
    <w:rsid w:val="74962374"/>
    <w:rsid w:val="74FB38D2"/>
    <w:rsid w:val="750E0A19"/>
    <w:rsid w:val="75606932"/>
    <w:rsid w:val="75685790"/>
    <w:rsid w:val="756E5918"/>
    <w:rsid w:val="75712C55"/>
    <w:rsid w:val="757B7431"/>
    <w:rsid w:val="75D7226C"/>
    <w:rsid w:val="76332FB4"/>
    <w:rsid w:val="76740D50"/>
    <w:rsid w:val="768E46C3"/>
    <w:rsid w:val="769C1001"/>
    <w:rsid w:val="76EB38E3"/>
    <w:rsid w:val="775547B2"/>
    <w:rsid w:val="777404D2"/>
    <w:rsid w:val="77F35CA4"/>
    <w:rsid w:val="781D7C27"/>
    <w:rsid w:val="7875145D"/>
    <w:rsid w:val="788809AD"/>
    <w:rsid w:val="78A23E67"/>
    <w:rsid w:val="78AF7473"/>
    <w:rsid w:val="78BB3CBA"/>
    <w:rsid w:val="79291DBD"/>
    <w:rsid w:val="79463D2A"/>
    <w:rsid w:val="79584959"/>
    <w:rsid w:val="796E3278"/>
    <w:rsid w:val="79B80DE0"/>
    <w:rsid w:val="79BA775E"/>
    <w:rsid w:val="7A574C10"/>
    <w:rsid w:val="7AAC0AB8"/>
    <w:rsid w:val="7AAF2356"/>
    <w:rsid w:val="7AD06AA1"/>
    <w:rsid w:val="7B011F41"/>
    <w:rsid w:val="7B101CDA"/>
    <w:rsid w:val="7B587A97"/>
    <w:rsid w:val="7B7209AE"/>
    <w:rsid w:val="7BD644A9"/>
    <w:rsid w:val="7C0F7502"/>
    <w:rsid w:val="7C162517"/>
    <w:rsid w:val="7C2D3A49"/>
    <w:rsid w:val="7C5950EA"/>
    <w:rsid w:val="7D657644"/>
    <w:rsid w:val="7D670C49"/>
    <w:rsid w:val="7D9A5540"/>
    <w:rsid w:val="7DB40352"/>
    <w:rsid w:val="7DF67493"/>
    <w:rsid w:val="7E3B4056"/>
    <w:rsid w:val="7E8640F9"/>
    <w:rsid w:val="7E8E06E9"/>
    <w:rsid w:val="7EA31D98"/>
    <w:rsid w:val="7EC81C39"/>
    <w:rsid w:val="7EF700DD"/>
    <w:rsid w:val="7F951BF0"/>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3">
    <w:name w:val="heading 1"/>
    <w:basedOn w:val="1"/>
    <w:next w:val="1"/>
    <w:link w:val="31"/>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4">
    <w:name w:val="heading 2"/>
    <w:basedOn w:val="1"/>
    <w:next w:val="1"/>
    <w:link w:val="32"/>
    <w:unhideWhenUsed/>
    <w:qFormat/>
    <w:uiPriority w:val="9"/>
    <w:pPr>
      <w:keepNext/>
      <w:keepLines/>
      <w:spacing w:before="100" w:after="100"/>
      <w:outlineLvl w:val="1"/>
    </w:pPr>
    <w:rPr>
      <w:rFonts w:ascii="楷体" w:hAnsi="楷体" w:eastAsia="楷体" w:cstheme="majorBidi"/>
      <w:b/>
      <w:bCs/>
      <w:sz w:val="32"/>
      <w:szCs w:val="32"/>
    </w:rPr>
  </w:style>
  <w:style w:type="paragraph" w:styleId="5">
    <w:name w:val="heading 3"/>
    <w:basedOn w:val="1"/>
    <w:next w:val="1"/>
    <w:link w:val="33"/>
    <w:unhideWhenUsed/>
    <w:qFormat/>
    <w:uiPriority w:val="9"/>
    <w:pPr>
      <w:keepNext/>
      <w:keepLines/>
      <w:outlineLvl w:val="2"/>
    </w:pPr>
    <w:rPr>
      <w:b/>
      <w:bCs/>
      <w:szCs w:val="32"/>
    </w:rPr>
  </w:style>
  <w:style w:type="paragraph" w:styleId="6">
    <w:name w:val="heading 6"/>
    <w:basedOn w:val="1"/>
    <w:next w:val="1"/>
    <w:unhideWhenUsed/>
    <w:qFormat/>
    <w:uiPriority w:val="9"/>
    <w:pPr>
      <w:keepNext/>
      <w:keepLines/>
      <w:outlineLvl w:val="5"/>
    </w:pPr>
    <w:rPr>
      <w:rFonts w:ascii="Cambria" w:hAnsi="Cambria"/>
      <w:bCs/>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qFormat/>
    <w:uiPriority w:val="0"/>
  </w:style>
  <w:style w:type="paragraph" w:styleId="7">
    <w:name w:val="caption"/>
    <w:basedOn w:val="1"/>
    <w:next w:val="1"/>
    <w:unhideWhenUsed/>
    <w:qFormat/>
    <w:uiPriority w:val="0"/>
    <w:rPr>
      <w:rFonts w:eastAsia="黑体" w:asciiTheme="majorHAnsi" w:hAnsiTheme="majorHAnsi" w:cstheme="majorBidi"/>
      <w:sz w:val="20"/>
      <w:szCs w:val="20"/>
    </w:rPr>
  </w:style>
  <w:style w:type="paragraph" w:styleId="8">
    <w:name w:val="annotation text"/>
    <w:basedOn w:val="1"/>
    <w:link w:val="35"/>
    <w:semiHidden/>
    <w:unhideWhenUsed/>
    <w:qFormat/>
    <w:uiPriority w:val="99"/>
    <w:pPr>
      <w:jc w:val="left"/>
    </w:pPr>
  </w:style>
  <w:style w:type="paragraph" w:styleId="9">
    <w:name w:val="Body Text"/>
    <w:basedOn w:val="1"/>
    <w:next w:val="1"/>
    <w:qFormat/>
    <w:uiPriority w:val="99"/>
    <w:rPr>
      <w:szCs w:val="21"/>
    </w:rPr>
  </w:style>
  <w:style w:type="paragraph" w:styleId="10">
    <w:name w:val="Body Text Indent"/>
    <w:basedOn w:val="1"/>
    <w:qFormat/>
    <w:uiPriority w:val="0"/>
    <w:pPr>
      <w:ind w:left="200" w:leftChars="200"/>
    </w:pPr>
    <w:rPr>
      <w:szCs w:val="21"/>
    </w:rPr>
  </w:style>
  <w:style w:type="paragraph" w:styleId="11">
    <w:name w:val="Plain Text"/>
    <w:basedOn w:val="1"/>
    <w:qFormat/>
    <w:uiPriority w:val="0"/>
    <w:rPr>
      <w:rFonts w:hint="eastAsia" w:ascii="宋体" w:hAnsi="Courier New" w:eastAsia="宋体" w:cs="Times New Roman"/>
      <w:szCs w:val="20"/>
    </w:rPr>
  </w:style>
  <w:style w:type="paragraph" w:styleId="12">
    <w:name w:val="Body Text Indent 2"/>
    <w:basedOn w:val="1"/>
    <w:next w:val="11"/>
    <w:qFormat/>
    <w:uiPriority w:val="0"/>
    <w:pPr>
      <w:ind w:left="-718" w:leftChars="-342" w:firstLine="720" w:firstLineChars="225"/>
      <w:jc w:val="left"/>
    </w:pPr>
    <w:rPr>
      <w:sz w:val="32"/>
      <w:szCs w:val="32"/>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296"/>
      </w:tabs>
      <w:ind w:firstLine="0" w:firstLineChars="0"/>
    </w:pPr>
    <w:rPr>
      <w:rFonts w:hAnsi="宋体"/>
      <w:b/>
      <w:bCs/>
    </w:rPr>
  </w:style>
  <w:style w:type="paragraph" w:styleId="16">
    <w:name w:val="toc 2"/>
    <w:basedOn w:val="1"/>
    <w:next w:val="1"/>
    <w:unhideWhenUsed/>
    <w:qFormat/>
    <w:uiPriority w:val="39"/>
    <w:pPr>
      <w:tabs>
        <w:tab w:val="right" w:leader="dot" w:pos="8296"/>
      </w:tabs>
      <w:ind w:left="560" w:leftChars="200" w:firstLine="0" w:firstLineChars="0"/>
    </w:pPr>
  </w:style>
  <w:style w:type="paragraph" w:styleId="1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8">
    <w:name w:val="Normal (Web)"/>
    <w:basedOn w:val="1"/>
    <w:semiHidden/>
    <w:unhideWhenUsed/>
    <w:qFormat/>
    <w:uiPriority w:val="99"/>
    <w:pPr>
      <w:spacing w:beforeAutospacing="1" w:afterAutospacing="1"/>
      <w:jc w:val="left"/>
    </w:pPr>
    <w:rPr>
      <w:rFonts w:cs="Times New Roman"/>
      <w:kern w:val="0"/>
      <w:sz w:val="24"/>
    </w:rPr>
  </w:style>
  <w:style w:type="paragraph" w:styleId="19">
    <w:name w:val="annotation subject"/>
    <w:basedOn w:val="8"/>
    <w:next w:val="8"/>
    <w:link w:val="36"/>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paragraph" w:customStyle="1" w:styleId="25">
    <w:name w:val="Body Text First Indent 2"/>
    <w:basedOn w:val="1"/>
    <w:qFormat/>
    <w:uiPriority w:val="0"/>
    <w:pPr>
      <w:ind w:left="420" w:leftChars="200" w:firstLine="420" w:firstLineChars="200"/>
    </w:pPr>
  </w:style>
  <w:style w:type="paragraph" w:customStyle="1" w:styleId="26">
    <w:name w:val="Body Text First Indent 21"/>
    <w:basedOn w:val="1"/>
    <w:qFormat/>
    <w:uiPriority w:val="0"/>
    <w:pPr>
      <w:ind w:left="420" w:leftChars="200" w:firstLine="420" w:firstLineChars="200"/>
    </w:pPr>
  </w:style>
  <w:style w:type="paragraph" w:customStyle="1" w:styleId="27">
    <w:name w:val="BodyTextIndent"/>
    <w:basedOn w:val="1"/>
    <w:qFormat/>
    <w:uiPriority w:val="0"/>
    <w:pPr>
      <w:widowControl/>
      <w:ind w:left="200" w:leftChars="200"/>
      <w:jc w:val="both"/>
      <w:textAlignment w:val="baseline"/>
    </w:pPr>
    <w:rPr>
      <w:kern w:val="2"/>
      <w:sz w:val="21"/>
      <w:szCs w:val="21"/>
      <w:lang w:val="en-US" w:eastAsia="zh-CN" w:bidi="ar-SA"/>
    </w:rPr>
  </w:style>
  <w:style w:type="character" w:customStyle="1" w:styleId="28">
    <w:name w:val="页眉 字符"/>
    <w:basedOn w:val="22"/>
    <w:link w:val="14"/>
    <w:qFormat/>
    <w:uiPriority w:val="99"/>
    <w:rPr>
      <w:sz w:val="18"/>
      <w:szCs w:val="18"/>
    </w:rPr>
  </w:style>
  <w:style w:type="character" w:customStyle="1" w:styleId="29">
    <w:name w:val="页脚 字符"/>
    <w:basedOn w:val="22"/>
    <w:link w:val="13"/>
    <w:qFormat/>
    <w:uiPriority w:val="99"/>
    <w:rPr>
      <w:sz w:val="18"/>
      <w:szCs w:val="18"/>
    </w:rPr>
  </w:style>
  <w:style w:type="paragraph" w:customStyle="1" w:styleId="3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1">
    <w:name w:val="标题 1 字符"/>
    <w:basedOn w:val="22"/>
    <w:link w:val="3"/>
    <w:qFormat/>
    <w:uiPriority w:val="9"/>
    <w:rPr>
      <w:rFonts w:ascii="黑体" w:hAnsi="黑体" w:eastAsia="黑体"/>
      <w:b/>
      <w:bCs/>
      <w:kern w:val="44"/>
      <w:sz w:val="32"/>
      <w:szCs w:val="44"/>
    </w:rPr>
  </w:style>
  <w:style w:type="character" w:customStyle="1" w:styleId="32">
    <w:name w:val="标题 2 字符"/>
    <w:basedOn w:val="22"/>
    <w:link w:val="4"/>
    <w:qFormat/>
    <w:uiPriority w:val="9"/>
    <w:rPr>
      <w:rFonts w:ascii="楷体" w:hAnsi="楷体" w:eastAsia="楷体" w:cstheme="majorBidi"/>
      <w:b/>
      <w:bCs/>
      <w:sz w:val="32"/>
      <w:szCs w:val="32"/>
    </w:rPr>
  </w:style>
  <w:style w:type="character" w:customStyle="1" w:styleId="33">
    <w:name w:val="标题 3 字符"/>
    <w:basedOn w:val="22"/>
    <w:link w:val="5"/>
    <w:qFormat/>
    <w:uiPriority w:val="9"/>
    <w:rPr>
      <w:rFonts w:ascii="仿宋_GB2312" w:hAnsi="仿宋_GB2312" w:eastAsia="仿宋_GB2312"/>
      <w:b/>
      <w:bCs/>
      <w:sz w:val="28"/>
      <w:szCs w:val="32"/>
    </w:rPr>
  </w:style>
  <w:style w:type="character" w:customStyle="1" w:styleId="34">
    <w:name w:val="font01"/>
    <w:basedOn w:val="22"/>
    <w:qFormat/>
    <w:uiPriority w:val="0"/>
    <w:rPr>
      <w:rFonts w:hint="eastAsia" w:ascii="宋体" w:hAnsi="宋体" w:eastAsia="宋体" w:cs="宋体"/>
      <w:color w:val="000000"/>
      <w:sz w:val="21"/>
      <w:szCs w:val="21"/>
      <w:u w:val="none"/>
    </w:rPr>
  </w:style>
  <w:style w:type="character" w:customStyle="1" w:styleId="35">
    <w:name w:val="批注文字 字符"/>
    <w:basedOn w:val="22"/>
    <w:link w:val="8"/>
    <w:semiHidden/>
    <w:qFormat/>
    <w:uiPriority w:val="99"/>
    <w:rPr>
      <w:rFonts w:ascii="仿宋_GB2312" w:hAnsi="仿宋_GB2312" w:eastAsia="仿宋_GB2312" w:cstheme="minorBidi"/>
      <w:kern w:val="2"/>
      <w:sz w:val="28"/>
      <w:szCs w:val="22"/>
    </w:rPr>
  </w:style>
  <w:style w:type="character" w:customStyle="1" w:styleId="36">
    <w:name w:val="批注主题 字符"/>
    <w:basedOn w:val="35"/>
    <w:link w:val="19"/>
    <w:semiHidden/>
    <w:qFormat/>
    <w:uiPriority w:val="99"/>
    <w:rPr>
      <w:rFonts w:ascii="仿宋_GB2312" w:hAnsi="仿宋_GB2312" w:eastAsia="仿宋_GB2312" w:cstheme="minorBidi"/>
      <w:b/>
      <w:bCs/>
      <w:kern w:val="2"/>
      <w:sz w:val="28"/>
      <w:szCs w:val="22"/>
    </w:rPr>
  </w:style>
  <w:style w:type="paragraph" w:customStyle="1" w:styleId="37">
    <w:name w:val="NormalIndent"/>
    <w:basedOn w:val="1"/>
    <w:qFormat/>
    <w:uiPriority w:val="99"/>
    <w:pPr>
      <w:ind w:firstLine="420" w:firstLineChars="200"/>
      <w:textAlignment w:val="baseline"/>
    </w:pPr>
    <w:rPr>
      <w:szCs w:val="21"/>
    </w:rPr>
  </w:style>
  <w:style w:type="character" w:customStyle="1" w:styleId="38">
    <w:name w:val="content1"/>
    <w:basedOn w:val="22"/>
    <w:qFormat/>
    <w:uiPriority w:val="0"/>
    <w:rPr>
      <w:rFonts w:hint="default"/>
      <w:sz w:val="21"/>
    </w:rPr>
  </w:style>
  <w:style w:type="paragraph" w:customStyle="1" w:styleId="39">
    <w:name w:val="Char2"/>
    <w:basedOn w:val="1"/>
    <w:qFormat/>
    <w:uiPriority w:val="0"/>
    <w:rPr>
      <w:rFonts w:ascii="Courier" w:hAnsi="Courier" w:cs="Courier"/>
      <w:szCs w:val="21"/>
    </w:rPr>
  </w:style>
  <w:style w:type="character" w:customStyle="1" w:styleId="40">
    <w:name w:val="NormalCharacter"/>
    <w:semiHidden/>
    <w:qFormat/>
    <w:uiPriority w:val="0"/>
  </w:style>
  <w:style w:type="paragraph" w:customStyle="1" w:styleId="41">
    <w:name w:val="Normal Indent1"/>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9364</Words>
  <Characters>10586</Characters>
  <Lines>132</Lines>
  <Paragraphs>37</Paragraphs>
  <TotalTime>6</TotalTime>
  <ScaleCrop>false</ScaleCrop>
  <LinksUpToDate>false</LinksUpToDate>
  <CharactersWithSpaces>10646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HUAWEI</cp:lastModifiedBy>
  <cp:lastPrinted>2021-04-25T06:46:00Z</cp:lastPrinted>
  <dcterms:modified xsi:type="dcterms:W3CDTF">2023-05-06T02:07:00Z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C0F2268E3CD64D409070F7A84AC56315</vt:lpwstr>
  </property>
</Properties>
</file>