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outlineLvl w:val="9"/>
        <w:rPr>
          <w:rFonts w:hint="eastAsia" w:ascii="宋体" w:hAnsi="宋体" w:eastAsia="宋体"/>
          <w:b/>
          <w:bCs/>
          <w:sz w:val="44"/>
          <w:szCs w:val="44"/>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rPr>
        <w:t>武威铁路运输法院</w:t>
      </w:r>
    </w:p>
    <w:p>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outlineLvl w:val="9"/>
        <w:rPr>
          <w:rFonts w:ascii="宋体" w:hAnsi="宋体" w:eastAsia="宋体"/>
          <w:b/>
          <w:bCs/>
          <w:sz w:val="44"/>
          <w:szCs w:val="44"/>
        </w:rPr>
      </w:pPr>
      <w:bookmarkStart w:id="0" w:name="_Toc24073"/>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bookmarkEnd w:id="0"/>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武威铁路运输法院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ind w:firstLine="560"/>
      </w:pPr>
    </w:p>
    <w:p>
      <w:pPr>
        <w:pStyle w:val="14"/>
        <w:keepNext w:val="0"/>
        <w:keepLines w:val="0"/>
        <w:pageBreakBefore w:val="0"/>
        <w:widowControl w:val="0"/>
        <w:tabs>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pgSz w:w="11906" w:h="16838"/>
          <w:pgMar w:top="1928" w:right="1531" w:bottom="1701" w:left="1531" w:header="737" w:footer="851" w:gutter="0"/>
          <w:pgNumType w:fmt="decimal" w:start="1"/>
          <w:cols w:space="720" w:num="1"/>
          <w:docGrid w:type="lines" w:linePitch="312" w:charSpace="0"/>
        </w:sectPr>
      </w:pPr>
    </w:p>
    <w:sdt>
      <w:sdtPr>
        <w:rPr>
          <w:rFonts w:ascii="宋体" w:hAnsi="宋体" w:eastAsia="宋体" w:cs="Times New Roman"/>
          <w:b w:val="0"/>
          <w:kern w:val="2"/>
          <w:sz w:val="36"/>
          <w:szCs w:val="22"/>
          <w:lang w:val="en-US" w:eastAsia="zh-CN" w:bidi="ar-SA"/>
        </w:rPr>
        <w:id w:val="147465318"/>
        <w15:color w:val="DBDBDB"/>
      </w:sdtPr>
      <w:sdtEndPr>
        <w:rPr>
          <w:rFonts w:ascii="Times New Roman" w:hAnsi="Times New Roman" w:eastAsia="仿宋_GB2312" w:cs="Times New Roman"/>
          <w:b/>
          <w:kern w:val="2"/>
          <w:sz w:val="32"/>
          <w:szCs w:val="24"/>
          <w:lang w:val="en-US" w:eastAsia="zh-CN" w:bidi="ar-SA"/>
        </w:rPr>
      </w:sdtEndPr>
      <w:sdtContent>
        <w:p>
          <w:pPr>
            <w:snapToGrid/>
            <w:spacing w:beforeAutospacing="0" w:afterAutospacing="0" w:line="560" w:lineRule="exact"/>
            <w:ind w:left="0" w:leftChars="0" w:right="0" w:rightChars="0" w:firstLine="0" w:firstLineChars="0"/>
            <w:jc w:val="center"/>
            <w:rPr>
              <w:rFonts w:ascii="宋体" w:hAnsi="宋体" w:eastAsia="宋体"/>
              <w:b w:val="0"/>
              <w:sz w:val="36"/>
              <w:szCs w:val="44"/>
            </w:rPr>
          </w:pPr>
          <w:r>
            <w:rPr>
              <w:rFonts w:ascii="宋体" w:hAnsi="宋体" w:eastAsia="宋体"/>
              <w:b w:val="0"/>
              <w:sz w:val="36"/>
              <w:szCs w:val="44"/>
            </w:rPr>
            <w:t>目</w:t>
          </w:r>
          <w:r>
            <w:rPr>
              <w:rFonts w:hint="eastAsia" w:ascii="宋体" w:hAnsi="宋体" w:eastAsia="宋体"/>
              <w:b w:val="0"/>
              <w:sz w:val="36"/>
              <w:szCs w:val="44"/>
              <w:lang w:val="en-US" w:eastAsia="zh-CN"/>
            </w:rPr>
            <w:t xml:space="preserve">  </w:t>
          </w:r>
          <w:r>
            <w:rPr>
              <w:rFonts w:ascii="宋体" w:hAnsi="宋体" w:eastAsia="宋体"/>
              <w:b w:val="0"/>
              <w:sz w:val="36"/>
              <w:szCs w:val="44"/>
            </w:rPr>
            <w:t>录</w:t>
          </w:r>
        </w:p>
        <w:p>
          <w:pPr>
            <w:pStyle w:val="2"/>
          </w:pPr>
        </w:p>
        <w:p>
          <w:pPr>
            <w:pStyle w:val="24"/>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rPr>
            <w:fldChar w:fldCharType="begin"/>
          </w:r>
          <w:r>
            <w:rPr>
              <w:rFonts w:ascii="黑体" w:eastAsia="黑体"/>
              <w:b w:val="0"/>
              <w:sz w:val="28"/>
            </w:rPr>
            <w:instrText xml:space="preserve">TOC \o "1-2" \h \u </w:instrText>
          </w:r>
          <w:r>
            <w:rPr>
              <w:rFonts w:ascii="黑体" w:eastAsia="黑体"/>
              <w:b w:val="0"/>
              <w:sz w:val="28"/>
            </w:rPr>
            <w:fldChar w:fldCharType="separate"/>
          </w:r>
          <w:r>
            <w:rPr>
              <w:rFonts w:ascii="黑体" w:eastAsia="黑体"/>
              <w:b w:val="0"/>
              <w:sz w:val="28"/>
              <w:szCs w:val="28"/>
            </w:rPr>
            <w:fldChar w:fldCharType="begin"/>
          </w:r>
          <w:r>
            <w:rPr>
              <w:rFonts w:ascii="黑体" w:eastAsia="黑体"/>
              <w:b w:val="0"/>
              <w:sz w:val="28"/>
              <w:szCs w:val="28"/>
            </w:rPr>
            <w:instrText xml:space="preserve"> HYPERLINK \l _Toc27826 </w:instrText>
          </w:r>
          <w:r>
            <w:rPr>
              <w:rFonts w:ascii="黑体" w:eastAsia="黑体"/>
              <w:b w:val="0"/>
              <w:sz w:val="28"/>
              <w:szCs w:val="28"/>
            </w:rPr>
            <w:fldChar w:fldCharType="separate"/>
          </w:r>
          <w:r>
            <w:rPr>
              <w:rFonts w:hint="eastAsia" w:ascii="黑体" w:eastAsia="黑体"/>
              <w:b w:val="0"/>
              <w:sz w:val="28"/>
              <w:szCs w:val="28"/>
            </w:rPr>
            <w:t>一、基本情况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_Toc27826 \h </w:instrText>
          </w:r>
          <w:r>
            <w:rPr>
              <w:rFonts w:ascii="黑体" w:eastAsia="黑体"/>
              <w:b w:val="0"/>
              <w:sz w:val="28"/>
              <w:szCs w:val="28"/>
            </w:rPr>
            <w:fldChar w:fldCharType="separate"/>
          </w:r>
          <w:r>
            <w:rPr>
              <w:rFonts w:ascii="黑体" w:eastAsia="黑体"/>
              <w:b w:val="0"/>
              <w:sz w:val="28"/>
              <w:szCs w:val="28"/>
            </w:rPr>
            <w:t>1</w:t>
          </w:r>
          <w:r>
            <w:rPr>
              <w:rFonts w:ascii="黑体" w:eastAsia="黑体"/>
              <w:b w:val="0"/>
              <w:sz w:val="28"/>
              <w:szCs w:val="28"/>
            </w:rPr>
            <w:fldChar w:fldCharType="end"/>
          </w:r>
          <w:r>
            <w:rPr>
              <w:rFonts w:ascii="黑体" w:eastAsia="黑体"/>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_Toc4454 </w:instrText>
          </w:r>
          <w:r>
            <w:rPr>
              <w:rFonts w:ascii="仿宋" w:eastAsia="仿宋"/>
              <w:b w:val="0"/>
              <w:sz w:val="28"/>
              <w:szCs w:val="28"/>
            </w:rPr>
            <w:fldChar w:fldCharType="separate"/>
          </w:r>
          <w:r>
            <w:rPr>
              <w:rFonts w:hint="eastAsia" w:ascii="仿宋" w:eastAsia="仿宋"/>
              <w:b w:val="0"/>
              <w:sz w:val="28"/>
              <w:szCs w:val="28"/>
            </w:rPr>
            <w:t>（一）单位主要职能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_Toc4454 \h </w:instrText>
          </w:r>
          <w:r>
            <w:rPr>
              <w:rFonts w:ascii="仿宋" w:eastAsia="仿宋"/>
              <w:b w:val="0"/>
              <w:sz w:val="28"/>
              <w:szCs w:val="28"/>
            </w:rPr>
            <w:fldChar w:fldCharType="separate"/>
          </w:r>
          <w:r>
            <w:rPr>
              <w:rFonts w:ascii="仿宋" w:eastAsia="仿宋"/>
              <w:b w:val="0"/>
              <w:sz w:val="28"/>
              <w:szCs w:val="28"/>
            </w:rPr>
            <w:t>1</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_Toc31551 </w:instrText>
          </w:r>
          <w:r>
            <w:rPr>
              <w:rFonts w:ascii="仿宋" w:eastAsia="仿宋"/>
              <w:b w:val="0"/>
              <w:sz w:val="28"/>
              <w:szCs w:val="28"/>
            </w:rPr>
            <w:fldChar w:fldCharType="separate"/>
          </w:r>
          <w:r>
            <w:rPr>
              <w:rFonts w:hint="eastAsia" w:ascii="仿宋" w:eastAsia="仿宋"/>
              <w:b w:val="0"/>
              <w:sz w:val="28"/>
              <w:szCs w:val="28"/>
            </w:rPr>
            <w:t>（二）</w:t>
          </w:r>
          <w:r>
            <w:rPr>
              <w:rFonts w:hint="eastAsia" w:ascii="仿宋" w:eastAsia="仿宋"/>
              <w:b w:val="0"/>
              <w:sz w:val="28"/>
              <w:szCs w:val="28"/>
              <w:highlight w:val="none"/>
            </w:rPr>
            <w:t>单位内设机构及</w:t>
          </w:r>
          <w:r>
            <w:rPr>
              <w:rFonts w:hint="eastAsia" w:ascii="仿宋" w:eastAsia="仿宋"/>
              <w:b w:val="0"/>
              <w:sz w:val="28"/>
              <w:szCs w:val="28"/>
            </w:rPr>
            <w:t>人员编制情况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_Toc31551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24"/>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_Toc17545 </w:instrText>
          </w:r>
          <w:r>
            <w:rPr>
              <w:rFonts w:ascii="黑体" w:eastAsia="黑体"/>
              <w:b w:val="0"/>
              <w:sz w:val="28"/>
              <w:szCs w:val="28"/>
            </w:rPr>
            <w:fldChar w:fldCharType="separate"/>
          </w:r>
          <w:r>
            <w:rPr>
              <w:rFonts w:hint="eastAsia" w:ascii="黑体" w:eastAsia="黑体"/>
              <w:b w:val="0"/>
              <w:sz w:val="28"/>
              <w:szCs w:val="28"/>
              <w:highlight w:val="none"/>
            </w:rPr>
            <w:t>二、绩效评价工作组织开展情况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_Toc17545 \h </w:instrText>
          </w:r>
          <w:r>
            <w:rPr>
              <w:rFonts w:ascii="黑体" w:eastAsia="黑体"/>
              <w:b w:val="0"/>
              <w:sz w:val="28"/>
              <w:szCs w:val="28"/>
            </w:rPr>
            <w:fldChar w:fldCharType="separate"/>
          </w:r>
          <w:r>
            <w:rPr>
              <w:rFonts w:ascii="黑体" w:eastAsia="黑体"/>
              <w:b w:val="0"/>
              <w:sz w:val="28"/>
              <w:szCs w:val="28"/>
            </w:rPr>
            <w:t>2</w:t>
          </w:r>
          <w:r>
            <w:rPr>
              <w:rFonts w:ascii="黑体" w:eastAsia="黑体"/>
              <w:b w:val="0"/>
              <w:sz w:val="28"/>
              <w:szCs w:val="28"/>
            </w:rPr>
            <w:fldChar w:fldCharType="end"/>
          </w:r>
          <w:r>
            <w:rPr>
              <w:rFonts w:ascii="黑体" w:eastAsia="黑体"/>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_Toc26654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一</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自评工作组织管理情况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_Toc26654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_Toc819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二</w:t>
          </w:r>
          <w:r>
            <w:rPr>
              <w:rFonts w:hint="eastAsia" w:ascii="仿宋" w:eastAsia="仿宋"/>
              <w:b w:val="0"/>
              <w:sz w:val="28"/>
              <w:szCs w:val="28"/>
              <w:highlight w:val="none"/>
              <w:lang w:eastAsia="zh-CN"/>
            </w:rPr>
            <w:t>）</w:t>
          </w:r>
          <w:r>
            <w:rPr>
              <w:rFonts w:hint="eastAsia" w:ascii="仿宋" w:eastAsia="仿宋"/>
              <w:b w:val="0"/>
              <w:sz w:val="28"/>
              <w:szCs w:val="28"/>
              <w:highlight w:val="none"/>
            </w:rPr>
            <w:t>自评范围</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_Toc819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_Toc21475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三</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自评工作程序</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_Toc21475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24"/>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_Toc8633 </w:instrText>
          </w:r>
          <w:r>
            <w:rPr>
              <w:rFonts w:ascii="黑体" w:eastAsia="黑体"/>
              <w:b w:val="0"/>
              <w:sz w:val="28"/>
              <w:szCs w:val="28"/>
            </w:rPr>
            <w:fldChar w:fldCharType="separate"/>
          </w:r>
          <w:r>
            <w:rPr>
              <w:rFonts w:hint="eastAsia" w:ascii="黑体" w:eastAsia="黑体"/>
              <w:b w:val="0"/>
              <w:sz w:val="28"/>
              <w:szCs w:val="28"/>
              <w:highlight w:val="none"/>
            </w:rPr>
            <w:t>三、部门整体支出绩效自评情况分析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_Toc8633 \h </w:instrText>
          </w:r>
          <w:r>
            <w:rPr>
              <w:rFonts w:ascii="黑体" w:eastAsia="黑体"/>
              <w:b w:val="0"/>
              <w:sz w:val="28"/>
              <w:szCs w:val="28"/>
            </w:rPr>
            <w:fldChar w:fldCharType="separate"/>
          </w:r>
          <w:r>
            <w:rPr>
              <w:rFonts w:ascii="黑体" w:eastAsia="黑体"/>
              <w:b w:val="0"/>
              <w:sz w:val="28"/>
              <w:szCs w:val="28"/>
            </w:rPr>
            <w:t>4</w:t>
          </w:r>
          <w:r>
            <w:rPr>
              <w:rFonts w:ascii="黑体" w:eastAsia="黑体"/>
              <w:b w:val="0"/>
              <w:sz w:val="28"/>
              <w:szCs w:val="28"/>
            </w:rPr>
            <w:fldChar w:fldCharType="end"/>
          </w:r>
          <w:r>
            <w:rPr>
              <w:rFonts w:ascii="黑体" w:eastAsia="黑体"/>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_Toc18291 </w:instrText>
          </w:r>
          <w:r>
            <w:rPr>
              <w:rFonts w:ascii="仿宋" w:eastAsia="仿宋"/>
              <w:b w:val="0"/>
              <w:sz w:val="28"/>
              <w:szCs w:val="28"/>
            </w:rPr>
            <w:fldChar w:fldCharType="separate"/>
          </w:r>
          <w:r>
            <w:rPr>
              <w:rFonts w:hint="eastAsia" w:ascii="仿宋" w:eastAsia="仿宋"/>
              <w:b w:val="0"/>
              <w:sz w:val="28"/>
              <w:szCs w:val="28"/>
              <w:highlight w:val="none"/>
            </w:rPr>
            <w:t>（一）部门决算情况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_Toc18291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_Toc31683 </w:instrText>
          </w:r>
          <w:r>
            <w:rPr>
              <w:rFonts w:ascii="仿宋" w:eastAsia="仿宋"/>
              <w:b w:val="0"/>
              <w:sz w:val="28"/>
              <w:szCs w:val="28"/>
            </w:rPr>
            <w:fldChar w:fldCharType="separate"/>
          </w:r>
          <w:r>
            <w:rPr>
              <w:rFonts w:hint="eastAsia" w:ascii="仿宋" w:eastAsia="仿宋"/>
              <w:b w:val="0"/>
              <w:sz w:val="28"/>
              <w:szCs w:val="28"/>
              <w:highlight w:val="none"/>
            </w:rPr>
            <w:t>（二）总体绩效目标完成情况分析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_Toc31683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_Toc13510 </w:instrText>
          </w:r>
          <w:r>
            <w:rPr>
              <w:rFonts w:ascii="仿宋" w:eastAsia="仿宋"/>
              <w:b w:val="0"/>
              <w:sz w:val="28"/>
              <w:szCs w:val="28"/>
            </w:rPr>
            <w:fldChar w:fldCharType="separate"/>
          </w:r>
          <w:r>
            <w:rPr>
              <w:rFonts w:hint="eastAsia" w:ascii="仿宋" w:eastAsia="仿宋"/>
              <w:b w:val="0"/>
              <w:bCs/>
              <w:sz w:val="28"/>
              <w:szCs w:val="28"/>
              <w:highlight w:val="none"/>
            </w:rPr>
            <w:t>（三）各项指标完成情况分析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_Toc13510 \h </w:instrText>
          </w:r>
          <w:r>
            <w:rPr>
              <w:rFonts w:ascii="仿宋" w:eastAsia="仿宋"/>
              <w:b w:val="0"/>
              <w:sz w:val="28"/>
              <w:szCs w:val="28"/>
            </w:rPr>
            <w:fldChar w:fldCharType="separate"/>
          </w:r>
          <w:r>
            <w:rPr>
              <w:rFonts w:ascii="仿宋" w:eastAsia="仿宋"/>
              <w:b w:val="0"/>
              <w:sz w:val="28"/>
              <w:szCs w:val="28"/>
            </w:rPr>
            <w:t>7</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_Toc29843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偏离绩效目标的原因及下一步改进措施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_Toc29843 \h </w:instrText>
          </w:r>
          <w:r>
            <w:rPr>
              <w:rFonts w:ascii="仿宋" w:eastAsia="仿宋"/>
              <w:b w:val="0"/>
              <w:sz w:val="28"/>
              <w:szCs w:val="28"/>
            </w:rPr>
            <w:fldChar w:fldCharType="separate"/>
          </w:r>
          <w:r>
            <w:rPr>
              <w:rFonts w:ascii="仿宋" w:eastAsia="仿宋"/>
              <w:b w:val="0"/>
              <w:sz w:val="28"/>
              <w:szCs w:val="28"/>
            </w:rPr>
            <w:t>13</w:t>
          </w:r>
          <w:r>
            <w:rPr>
              <w:rFonts w:ascii="仿宋" w:eastAsia="仿宋"/>
              <w:b w:val="0"/>
              <w:sz w:val="28"/>
              <w:szCs w:val="28"/>
            </w:rPr>
            <w:fldChar w:fldCharType="end"/>
          </w:r>
          <w:r>
            <w:rPr>
              <w:rFonts w:ascii="仿宋" w:eastAsia="仿宋"/>
              <w:b w:val="0"/>
              <w:sz w:val="28"/>
              <w:szCs w:val="28"/>
            </w:rPr>
            <w:fldChar w:fldCharType="end"/>
          </w:r>
        </w:p>
        <w:p>
          <w:pPr>
            <w:pStyle w:val="24"/>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_Toc28315 </w:instrText>
          </w:r>
          <w:r>
            <w:rPr>
              <w:rFonts w:ascii="黑体" w:eastAsia="黑体"/>
              <w:b w:val="0"/>
              <w:sz w:val="28"/>
              <w:szCs w:val="28"/>
            </w:rPr>
            <w:fldChar w:fldCharType="separate"/>
          </w:r>
          <w:r>
            <w:rPr>
              <w:rFonts w:hint="eastAsia" w:ascii="黑体" w:eastAsia="黑体"/>
              <w:b w:val="0"/>
              <w:sz w:val="28"/>
              <w:szCs w:val="28"/>
              <w:highlight w:val="none"/>
            </w:rPr>
            <w:t>四、部门预算项目支出绩效自评情况分析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_Toc28315 \h </w:instrText>
          </w:r>
          <w:r>
            <w:rPr>
              <w:rFonts w:ascii="黑体" w:eastAsia="黑体"/>
              <w:b w:val="0"/>
              <w:sz w:val="28"/>
              <w:szCs w:val="28"/>
            </w:rPr>
            <w:fldChar w:fldCharType="separate"/>
          </w:r>
          <w:r>
            <w:rPr>
              <w:rFonts w:ascii="黑体" w:eastAsia="黑体"/>
              <w:b w:val="0"/>
              <w:sz w:val="28"/>
              <w:szCs w:val="28"/>
            </w:rPr>
            <w:t>14</w:t>
          </w:r>
          <w:r>
            <w:rPr>
              <w:rFonts w:ascii="黑体" w:eastAsia="黑体"/>
              <w:b w:val="0"/>
              <w:sz w:val="28"/>
              <w:szCs w:val="28"/>
            </w:rPr>
            <w:fldChar w:fldCharType="end"/>
          </w:r>
          <w:r>
            <w:rPr>
              <w:rFonts w:ascii="黑体" w:eastAsia="黑体"/>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_Toc9832 </w:instrText>
          </w:r>
          <w:r>
            <w:rPr>
              <w:rFonts w:ascii="仿宋" w:eastAsia="仿宋"/>
              <w:b w:val="0"/>
              <w:sz w:val="28"/>
              <w:szCs w:val="28"/>
            </w:rPr>
            <w:fldChar w:fldCharType="separate"/>
          </w:r>
          <w:r>
            <w:rPr>
              <w:rFonts w:hint="eastAsia" w:ascii="仿宋" w:eastAsia="仿宋"/>
              <w:b w:val="0"/>
              <w:sz w:val="28"/>
              <w:szCs w:val="28"/>
              <w:highlight w:val="none"/>
            </w:rPr>
            <w:t>（一）全省法院业务费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_Toc9832 \h </w:instrText>
          </w:r>
          <w:r>
            <w:rPr>
              <w:rFonts w:ascii="仿宋" w:eastAsia="仿宋"/>
              <w:b w:val="0"/>
              <w:sz w:val="28"/>
              <w:szCs w:val="28"/>
            </w:rPr>
            <w:fldChar w:fldCharType="separate"/>
          </w:r>
          <w:r>
            <w:rPr>
              <w:rFonts w:ascii="仿宋" w:eastAsia="仿宋"/>
              <w:b w:val="0"/>
              <w:sz w:val="28"/>
              <w:szCs w:val="28"/>
            </w:rPr>
            <w:t>14</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_Toc8716 </w:instrText>
          </w:r>
          <w:r>
            <w:rPr>
              <w:rFonts w:ascii="仿宋" w:eastAsia="仿宋"/>
              <w:b w:val="0"/>
              <w:sz w:val="28"/>
              <w:szCs w:val="28"/>
            </w:rPr>
            <w:fldChar w:fldCharType="separate"/>
          </w:r>
          <w:r>
            <w:rPr>
              <w:rFonts w:hint="eastAsia" w:ascii="仿宋" w:eastAsia="仿宋"/>
              <w:b w:val="0"/>
              <w:sz w:val="28"/>
              <w:szCs w:val="28"/>
              <w:highlight w:val="none"/>
            </w:rPr>
            <w:t>（二）</w:t>
          </w:r>
          <w:r>
            <w:rPr>
              <w:rFonts w:hint="eastAsia" w:ascii="仿宋" w:eastAsia="仿宋"/>
              <w:b w:val="0"/>
              <w:sz w:val="28"/>
              <w:szCs w:val="28"/>
              <w:highlight w:val="none"/>
              <w:lang w:val="en-US" w:eastAsia="zh-CN"/>
            </w:rPr>
            <w:t>物业费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_Toc8716 \h </w:instrText>
          </w:r>
          <w:r>
            <w:rPr>
              <w:rFonts w:ascii="仿宋" w:eastAsia="仿宋"/>
              <w:b w:val="0"/>
              <w:sz w:val="28"/>
              <w:szCs w:val="28"/>
            </w:rPr>
            <w:fldChar w:fldCharType="separate"/>
          </w:r>
          <w:r>
            <w:rPr>
              <w:rFonts w:ascii="仿宋" w:eastAsia="仿宋"/>
              <w:b w:val="0"/>
              <w:sz w:val="28"/>
              <w:szCs w:val="28"/>
            </w:rPr>
            <w:t>19</w:t>
          </w:r>
          <w:r>
            <w:rPr>
              <w:rFonts w:ascii="仿宋" w:eastAsia="仿宋"/>
              <w:b w:val="0"/>
              <w:sz w:val="28"/>
              <w:szCs w:val="28"/>
            </w:rPr>
            <w:fldChar w:fldCharType="end"/>
          </w:r>
          <w:r>
            <w:rPr>
              <w:rFonts w:ascii="仿宋" w:eastAsia="仿宋"/>
              <w:b w:val="0"/>
              <w:sz w:val="28"/>
              <w:szCs w:val="28"/>
            </w:rPr>
            <w:fldChar w:fldCharType="end"/>
          </w:r>
        </w:p>
        <w:p>
          <w:pPr>
            <w:pStyle w:val="25"/>
            <w:tabs>
              <w:tab w:val="right" w:leader="dot" w:pos="884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_Toc26581 </w:instrText>
          </w:r>
          <w:r>
            <w:rPr>
              <w:rFonts w:ascii="仿宋" w:eastAsia="仿宋"/>
              <w:b w:val="0"/>
              <w:sz w:val="28"/>
              <w:szCs w:val="28"/>
            </w:rPr>
            <w:fldChar w:fldCharType="separate"/>
          </w:r>
          <w:r>
            <w:rPr>
              <w:rFonts w:hint="eastAsia" w:ascii="仿宋" w:eastAsia="仿宋"/>
              <w:b w:val="0"/>
              <w:sz w:val="28"/>
              <w:szCs w:val="28"/>
              <w:highlight w:val="none"/>
            </w:rPr>
            <w:t>（三）</w:t>
          </w:r>
          <w:r>
            <w:rPr>
              <w:rFonts w:hint="eastAsia" w:ascii="仿宋" w:eastAsia="仿宋"/>
              <w:b w:val="0"/>
              <w:sz w:val="28"/>
              <w:szCs w:val="28"/>
              <w:highlight w:val="none"/>
              <w:lang w:val="en-US" w:eastAsia="zh-CN"/>
            </w:rPr>
            <w:t>办案</w:t>
          </w:r>
          <w:r>
            <w:rPr>
              <w:rFonts w:hint="eastAsia" w:ascii="仿宋" w:eastAsia="仿宋"/>
              <w:b w:val="0"/>
              <w:sz w:val="28"/>
              <w:szCs w:val="28"/>
              <w:highlight w:val="none"/>
            </w:rPr>
            <w:t>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_Toc26581 \h </w:instrText>
          </w:r>
          <w:r>
            <w:rPr>
              <w:rFonts w:ascii="仿宋" w:eastAsia="仿宋"/>
              <w:b w:val="0"/>
              <w:sz w:val="28"/>
              <w:szCs w:val="28"/>
            </w:rPr>
            <w:fldChar w:fldCharType="separate"/>
          </w:r>
          <w:r>
            <w:rPr>
              <w:rFonts w:ascii="仿宋" w:eastAsia="仿宋"/>
              <w:b w:val="0"/>
              <w:sz w:val="28"/>
              <w:szCs w:val="28"/>
            </w:rPr>
            <w:t>22</w:t>
          </w:r>
          <w:r>
            <w:rPr>
              <w:rFonts w:ascii="仿宋" w:eastAsia="仿宋"/>
              <w:b w:val="0"/>
              <w:sz w:val="28"/>
              <w:szCs w:val="28"/>
            </w:rPr>
            <w:fldChar w:fldCharType="end"/>
          </w:r>
          <w:r>
            <w:rPr>
              <w:rFonts w:ascii="仿宋" w:eastAsia="仿宋"/>
              <w:b w:val="0"/>
              <w:sz w:val="28"/>
              <w:szCs w:val="28"/>
            </w:rPr>
            <w:fldChar w:fldCharType="end"/>
          </w:r>
        </w:p>
        <w:p>
          <w:pPr>
            <w:pStyle w:val="24"/>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_Toc19869 </w:instrText>
          </w:r>
          <w:r>
            <w:rPr>
              <w:rFonts w:ascii="黑体" w:eastAsia="黑体"/>
              <w:b w:val="0"/>
              <w:sz w:val="28"/>
              <w:szCs w:val="28"/>
            </w:rPr>
            <w:fldChar w:fldCharType="separate"/>
          </w:r>
          <w:r>
            <w:rPr>
              <w:rFonts w:hint="eastAsia" w:ascii="黑体" w:eastAsia="黑体"/>
              <w:b w:val="0"/>
              <w:sz w:val="28"/>
              <w:szCs w:val="28"/>
              <w:highlight w:val="none"/>
            </w:rPr>
            <w:t>五、绩效自评结果拟应用和公开情况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_Toc19869 \h </w:instrText>
          </w:r>
          <w:r>
            <w:rPr>
              <w:rFonts w:ascii="黑体" w:eastAsia="黑体"/>
              <w:b w:val="0"/>
              <w:sz w:val="28"/>
              <w:szCs w:val="28"/>
            </w:rPr>
            <w:fldChar w:fldCharType="separate"/>
          </w:r>
          <w:r>
            <w:rPr>
              <w:rFonts w:ascii="黑体" w:eastAsia="黑体"/>
              <w:b w:val="0"/>
              <w:sz w:val="28"/>
              <w:szCs w:val="28"/>
            </w:rPr>
            <w:t>28</w:t>
          </w:r>
          <w:r>
            <w:rPr>
              <w:rFonts w:ascii="黑体" w:eastAsia="黑体"/>
              <w:b w:val="0"/>
              <w:sz w:val="28"/>
              <w:szCs w:val="28"/>
            </w:rPr>
            <w:fldChar w:fldCharType="end"/>
          </w:r>
          <w:r>
            <w:rPr>
              <w:rFonts w:ascii="黑体" w:eastAsia="黑体"/>
              <w:b w:val="0"/>
              <w:sz w:val="28"/>
              <w:szCs w:val="28"/>
            </w:rPr>
            <w:fldChar w:fldCharType="end"/>
          </w:r>
        </w:p>
        <w:p>
          <w:pPr>
            <w:pStyle w:val="24"/>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_Toc19360 </w:instrText>
          </w:r>
          <w:r>
            <w:rPr>
              <w:rFonts w:ascii="黑体" w:eastAsia="黑体"/>
              <w:b w:val="0"/>
              <w:sz w:val="28"/>
              <w:szCs w:val="28"/>
            </w:rPr>
            <w:fldChar w:fldCharType="separate"/>
          </w:r>
          <w:r>
            <w:rPr>
              <w:rFonts w:hint="eastAsia" w:ascii="黑体" w:eastAsia="黑体"/>
              <w:b w:val="0"/>
              <w:sz w:val="28"/>
              <w:szCs w:val="28"/>
              <w:lang w:val="en-US" w:eastAsia="zh-CN"/>
            </w:rPr>
            <w:t>六</w:t>
          </w:r>
          <w:r>
            <w:rPr>
              <w:rFonts w:hint="eastAsia" w:ascii="黑体" w:eastAsia="黑体"/>
              <w:b w:val="0"/>
              <w:sz w:val="28"/>
              <w:szCs w:val="28"/>
            </w:rPr>
            <w:t>、其他需要说明的问题</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_Toc19360 \h </w:instrText>
          </w:r>
          <w:r>
            <w:rPr>
              <w:rFonts w:ascii="黑体" w:eastAsia="黑体"/>
              <w:b w:val="0"/>
              <w:sz w:val="28"/>
              <w:szCs w:val="28"/>
            </w:rPr>
            <w:fldChar w:fldCharType="separate"/>
          </w:r>
          <w:r>
            <w:rPr>
              <w:rFonts w:ascii="黑体" w:eastAsia="黑体"/>
              <w:b w:val="0"/>
              <w:sz w:val="28"/>
              <w:szCs w:val="28"/>
            </w:rPr>
            <w:t>28</w:t>
          </w:r>
          <w:r>
            <w:rPr>
              <w:rFonts w:ascii="黑体" w:eastAsia="黑体"/>
              <w:b w:val="0"/>
              <w:sz w:val="28"/>
              <w:szCs w:val="28"/>
            </w:rPr>
            <w:fldChar w:fldCharType="end"/>
          </w:r>
          <w:r>
            <w:rPr>
              <w:rFonts w:ascii="黑体" w:eastAsia="黑体"/>
              <w:b w:val="0"/>
              <w:sz w:val="28"/>
              <w:szCs w:val="28"/>
            </w:rPr>
            <w:fldChar w:fldCharType="end"/>
          </w:r>
        </w:p>
        <w:p>
          <w:pPr>
            <w:pStyle w:val="24"/>
            <w:tabs>
              <w:tab w:val="right" w:leader="dot" w:pos="884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_Toc24952 </w:instrText>
          </w:r>
          <w:r>
            <w:rPr>
              <w:rFonts w:ascii="黑体" w:eastAsia="黑体"/>
              <w:b w:val="0"/>
              <w:sz w:val="28"/>
              <w:szCs w:val="28"/>
            </w:rPr>
            <w:fldChar w:fldCharType="separate"/>
          </w:r>
          <w:r>
            <w:rPr>
              <w:rFonts w:hint="eastAsia" w:ascii="黑体" w:eastAsia="黑体"/>
              <w:b w:val="0"/>
              <w:sz w:val="28"/>
              <w:szCs w:val="28"/>
              <w:highlight w:val="none"/>
              <w:lang w:val="en-US" w:eastAsia="zh-CN"/>
            </w:rPr>
            <w:t>附件：2022年度省级预算执行情况绩效自评报表</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_Toc24952 \h </w:instrText>
          </w:r>
          <w:r>
            <w:rPr>
              <w:rFonts w:ascii="黑体" w:eastAsia="黑体"/>
              <w:b w:val="0"/>
              <w:sz w:val="28"/>
              <w:szCs w:val="28"/>
            </w:rPr>
            <w:fldChar w:fldCharType="separate"/>
          </w:r>
          <w:r>
            <w:rPr>
              <w:rFonts w:ascii="黑体" w:eastAsia="黑体"/>
              <w:b w:val="0"/>
              <w:sz w:val="28"/>
              <w:szCs w:val="28"/>
            </w:rPr>
            <w:t>29</w:t>
          </w:r>
          <w:r>
            <w:rPr>
              <w:rFonts w:ascii="黑体" w:eastAsia="黑体"/>
              <w:b w:val="0"/>
              <w:sz w:val="28"/>
              <w:szCs w:val="28"/>
            </w:rPr>
            <w:fldChar w:fldCharType="end"/>
          </w:r>
          <w:r>
            <w:rPr>
              <w:rFonts w:ascii="黑体" w:eastAsia="黑体"/>
              <w:b w:val="0"/>
              <w:sz w:val="28"/>
              <w:szCs w:val="28"/>
            </w:rPr>
            <w:fldChar w:fldCharType="end"/>
          </w:r>
        </w:p>
        <w:p>
          <w:pPr>
            <w:snapToGrid/>
            <w:spacing w:beforeAutospacing="0" w:afterAutospacing="0" w:line="560" w:lineRule="exact"/>
            <w:ind w:left="0" w:leftChars="0" w:right="0" w:rightChars="0" w:firstLine="0" w:firstLineChars="0"/>
            <w:jc w:val="both"/>
            <w:rPr>
              <w:rFonts w:ascii="黑体" w:eastAsia="黑体"/>
              <w:b w:val="0"/>
              <w:sz w:val="28"/>
            </w:rPr>
            <w:sectPr>
              <w:footerReference r:id="rId5" w:type="default"/>
              <w:pgSz w:w="11906" w:h="16838"/>
              <w:pgMar w:top="1928" w:right="1531" w:bottom="1701" w:left="1531" w:header="737" w:footer="851" w:gutter="0"/>
              <w:pgNumType w:fmt="decimal" w:start="1"/>
              <w:cols w:space="720" w:num="1"/>
              <w:docGrid w:type="lines" w:linePitch="312" w:charSpace="0"/>
            </w:sectPr>
          </w:pPr>
        </w:p>
        <w:p>
          <w:pPr>
            <w:ind w:left="0" w:leftChars="0" w:firstLine="0" w:firstLineChars="0"/>
          </w:pPr>
          <w:r>
            <w:rPr>
              <w:b/>
            </w:rPr>
            <w:fldChar w:fldCharType="end"/>
          </w:r>
          <w:bookmarkStart w:id="1" w:name="_Toc31639"/>
        </w:p>
      </w:sdtContent>
    </w:sdt>
    <w:p>
      <w:pPr>
        <w:snapToGrid/>
        <w:spacing w:beforeAutospacing="0" w:afterAutospacing="0" w:line="560" w:lineRule="exact"/>
        <w:ind w:left="0" w:leftChars="0" w:right="0" w:rightChars="0" w:firstLine="0" w:firstLineChars="0"/>
        <w:jc w:val="center"/>
        <w:rPr>
          <w:rFonts w:hint="eastAsia" w:ascii="宋体" w:hAnsi="宋体" w:eastAsia="宋体" w:cs="Arial"/>
          <w:b/>
          <w:bCs/>
          <w:sz w:val="44"/>
          <w:szCs w:val="44"/>
        </w:rPr>
      </w:pPr>
      <w:r>
        <w:rPr>
          <w:rFonts w:hint="eastAsia" w:ascii="宋体" w:hAnsi="宋体" w:eastAsia="宋体" w:cs="Arial"/>
          <w:b/>
          <w:bCs/>
          <w:sz w:val="44"/>
          <w:szCs w:val="44"/>
          <w:lang w:eastAsia="zh-CN"/>
        </w:rPr>
        <w:t>武威铁路运输法院2022</w:t>
      </w:r>
      <w:r>
        <w:rPr>
          <w:rFonts w:hint="eastAsia" w:ascii="宋体" w:hAnsi="宋体" w:eastAsia="宋体" w:cs="Arial"/>
          <w:b/>
          <w:bCs/>
          <w:sz w:val="44"/>
          <w:szCs w:val="44"/>
        </w:rPr>
        <w:t>年度</w:t>
      </w:r>
      <w:bookmarkEnd w:id="1"/>
      <w:bookmarkStart w:id="2" w:name="_Toc14153"/>
      <w:bookmarkStart w:id="3" w:name="_Toc19034"/>
      <w:bookmarkStart w:id="4" w:name="_Toc4040"/>
      <w:bookmarkStart w:id="5" w:name="_Toc1050"/>
      <w:bookmarkStart w:id="6" w:name="_Toc224"/>
      <w:bookmarkStart w:id="7" w:name="_Toc16783"/>
    </w:p>
    <w:p>
      <w:pPr>
        <w:snapToGrid/>
        <w:spacing w:beforeAutospacing="0" w:afterAutospacing="0" w:line="560" w:lineRule="exact"/>
        <w:ind w:left="0" w:leftChars="0" w:right="0" w:rightChars="0" w:firstLine="0" w:firstLineChars="0"/>
        <w:jc w:val="center"/>
        <w:rPr>
          <w:rFonts w:ascii="宋体" w:hAnsi="宋体" w:eastAsia="宋体" w:cs="Arial"/>
          <w:b/>
          <w:bCs/>
          <w:sz w:val="44"/>
          <w:szCs w:val="44"/>
        </w:rPr>
      </w:pPr>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2"/>
      <w:bookmarkEnd w:id="3"/>
      <w:bookmarkEnd w:id="4"/>
      <w:bookmarkEnd w:id="5"/>
      <w:bookmarkEnd w:id="6"/>
      <w:bookmarkEnd w:id="7"/>
    </w:p>
    <w:p>
      <w:pPr>
        <w:pStyle w:val="4"/>
        <w:keepNext w:val="0"/>
        <w:keepLines w:val="0"/>
        <w:pageBreakBefore w:val="0"/>
        <w:widowControl w:val="0"/>
        <w:kinsoku/>
        <w:wordWrap/>
        <w:overflowPunct/>
        <w:topLinePunct w:val="0"/>
        <w:autoSpaceDE w:val="0"/>
        <w:autoSpaceDN w:val="0"/>
        <w:bidi w:val="0"/>
        <w:adjustRightInd/>
        <w:snapToGrid/>
        <w:ind w:left="0" w:leftChars="0" w:firstLine="643" w:firstLineChars="200"/>
        <w:textAlignment w:val="auto"/>
        <w:outlineLvl w:val="9"/>
        <w:rPr>
          <w:rFonts w:hint="eastAsia"/>
        </w:rPr>
      </w:pPr>
      <w:bookmarkStart w:id="8" w:name="_Toc18175"/>
      <w:bookmarkStart w:id="9" w:name="_Toc8312"/>
      <w:bookmarkStart w:id="10" w:name="_Toc30875"/>
      <w:bookmarkStart w:id="11" w:name="_Toc11984"/>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12" w:name="_Toc776"/>
      <w:bookmarkStart w:id="13" w:name="_Toc27826"/>
      <w:bookmarkStart w:id="14" w:name="_Toc25676"/>
      <w:r>
        <w:rPr>
          <w:rFonts w:hint="eastAsia" w:ascii="Times New Roman" w:eastAsia="黑体"/>
          <w:b/>
          <w:sz w:val="32"/>
        </w:rPr>
        <w:t>一、基本情况</w:t>
      </w:r>
      <w:bookmarkEnd w:id="8"/>
      <w:bookmarkEnd w:id="9"/>
      <w:bookmarkEnd w:id="10"/>
      <w:bookmarkEnd w:id="11"/>
      <w:bookmarkEnd w:id="12"/>
      <w:bookmarkEnd w:id="13"/>
      <w:bookmarkEnd w:id="14"/>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15" w:name="_Toc8695"/>
      <w:bookmarkStart w:id="16" w:name="_Toc20434"/>
      <w:bookmarkStart w:id="17" w:name="_Toc4454"/>
      <w:bookmarkStart w:id="18" w:name="_Toc18686"/>
      <w:bookmarkStart w:id="19" w:name="_Toc15864"/>
      <w:bookmarkStart w:id="20" w:name="_Toc26035"/>
      <w:bookmarkStart w:id="21" w:name="_Toc4907"/>
      <w:r>
        <w:rPr>
          <w:rFonts w:hint="eastAsia" w:ascii="Arial" w:eastAsia="楷体"/>
          <w:b/>
          <w:sz w:val="32"/>
        </w:rPr>
        <w:t>（一）单位主要职能</w:t>
      </w:r>
      <w:bookmarkEnd w:id="15"/>
      <w:bookmarkEnd w:id="16"/>
      <w:bookmarkEnd w:id="17"/>
      <w:bookmarkEnd w:id="18"/>
      <w:bookmarkEnd w:id="19"/>
      <w:bookmarkEnd w:id="20"/>
      <w:bookmarkEnd w:id="21"/>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bookmarkStart w:id="22" w:name="_Toc29345"/>
      <w:bookmarkStart w:id="23" w:name="_Toc25290"/>
      <w:bookmarkStart w:id="24" w:name="_Toc1024"/>
      <w:bookmarkStart w:id="25" w:name="_Toc26218"/>
      <w:bookmarkStart w:id="26" w:name="_Toc17875"/>
      <w:bookmarkStart w:id="27" w:name="_Toc9682"/>
      <w:r>
        <w:rPr>
          <w:rFonts w:hint="eastAsia" w:ascii="Times New Roman" w:eastAsia="仿宋_GB2312"/>
          <w:sz w:val="32"/>
          <w:lang w:val="en-US" w:eastAsia="zh-CN"/>
        </w:rPr>
        <w:t>武威铁路运输法院是国家审判机关，依法独立行使审判权。其主要职责是：</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1.依法审理武威铁路运输检察院提起公诉的刑事案件。依法审理辖区内的刑事自诉案件；</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2.依法审理辖区内涉及铁路运输、铁路安全、铁路财产的民商事一审案件；</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3.受理由甘肃省高级人民法院指定的凉州区管辖内的交通运输合同、保险合同、道路交通事故责任纠纷三类民商事案件。</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4.依法审理上级法院指定本院审理的刑事、民事案件；</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5.依法行使司法执行权，依法执行本院已经发生法律效力的判决、裁定的执行案件；接受上级人民法院对本院执行案件业务上的监督、指导和工作上的统一协调、指挥；</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6.调查研究审判执行工作中的法律政策及疑难问题，总结审判工作经验；针对案件审理中发现的问题提出司法建议。在审判工作中宣传法制，教育公民自觉遵守宪法和法律；</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7.对本院的法官和其他工作人员组织专业培训；负责本院的思想政治和教育培训工作；按照干部管理权限管理法官和其他工作人员；协助中院主管部门管理本院的机构、编制工作；</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8.负责本院的纪检监察工作和党建工作；</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9.管理本院司法行政事务及本院的专项物资装备和有关经费，负责本院的岗位目标责任制管理工作；</w:t>
      </w:r>
    </w:p>
    <w:p>
      <w:pPr>
        <w:bidi w:val="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10.承办其他应由武威铁路运输法院负责的工作。</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28" w:name="_Toc31551"/>
      <w:r>
        <w:rPr>
          <w:rFonts w:hint="eastAsia" w:ascii="Arial" w:eastAsia="楷体"/>
          <w:b/>
          <w:sz w:val="32"/>
        </w:rPr>
        <w:t>（二）</w:t>
      </w:r>
      <w:r>
        <w:rPr>
          <w:rFonts w:hint="eastAsia" w:ascii="Arial" w:eastAsia="楷体"/>
          <w:b/>
          <w:sz w:val="32"/>
          <w:highlight w:val="none"/>
        </w:rPr>
        <w:t>单位内设机构及</w:t>
      </w:r>
      <w:r>
        <w:rPr>
          <w:rFonts w:hint="eastAsia" w:ascii="Arial" w:eastAsia="楷体"/>
          <w:b/>
          <w:sz w:val="32"/>
        </w:rPr>
        <w:t>人员编制情况</w:t>
      </w:r>
      <w:bookmarkEnd w:id="22"/>
      <w:bookmarkEnd w:id="23"/>
      <w:bookmarkEnd w:id="24"/>
      <w:bookmarkEnd w:id="25"/>
      <w:bookmarkEnd w:id="26"/>
      <w:bookmarkEnd w:id="27"/>
      <w:bookmarkEnd w:id="28"/>
    </w:p>
    <w:p>
      <w:pPr>
        <w:bidi w:val="0"/>
        <w:snapToGrid/>
        <w:spacing w:beforeAutospacing="0" w:afterAutospacing="0" w:line="560" w:lineRule="exact"/>
        <w:ind w:left="0" w:leftChars="0" w:firstLine="640" w:firstLineChars="200"/>
        <w:rPr>
          <w:rFonts w:hint="default" w:ascii="Times New Roman" w:eastAsia="仿宋_GB2312"/>
          <w:sz w:val="32"/>
          <w:lang w:val="en-US" w:eastAsia="zh-CN"/>
        </w:rPr>
      </w:pPr>
      <w:bookmarkStart w:id="29" w:name="_Toc10080"/>
      <w:bookmarkStart w:id="30" w:name="_Toc809"/>
      <w:bookmarkStart w:id="31" w:name="_Toc875"/>
      <w:bookmarkStart w:id="32" w:name="_Toc16297"/>
      <w:r>
        <w:rPr>
          <w:rFonts w:hint="eastAsia" w:ascii="Times New Roman" w:eastAsia="仿宋_GB2312"/>
          <w:sz w:val="32"/>
          <w:lang w:val="en-US" w:eastAsia="zh-CN"/>
        </w:rPr>
        <w:t>武威铁路运输法院为财政全额拨款单位。内设机构5个：综合办公室（司法警察大队）、政治部（机关党委）、立案庭（诉讼服务中心）、综合审判庭、执行庭（局），部门按内设机构改革有关规定设置。截止2022年12月31日，核定政法编制39人，实有在职人员33人。其中：正处1人，副处3人，正科12人，副科11人，科员6人。按照内设机构人员分类：单独序列员额法官10人（其中三级高级法官1人，四级高级法官2人，一级法官6人，三级法官1人），司法辅助人员16人（其中一级法官助理1人，四级法官助理6人，五级法官助理5人，司法警察4人），司法行政人员6人，执行局长1人。省高院统一聘用书记员11人，2022年调离1人，退休1人，截止2022年底有退休人员15人，自聘人员20人。</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33" w:name="_Toc17545"/>
      <w:r>
        <w:rPr>
          <w:rFonts w:hint="eastAsia" w:ascii="Times New Roman" w:eastAsia="黑体"/>
          <w:b/>
          <w:sz w:val="32"/>
          <w:highlight w:val="none"/>
        </w:rPr>
        <w:t>二、绩效评价工作组织开展情况</w:t>
      </w:r>
      <w:bookmarkEnd w:id="29"/>
      <w:bookmarkEnd w:id="30"/>
      <w:bookmarkEnd w:id="31"/>
      <w:bookmarkEnd w:id="32"/>
      <w:bookmarkEnd w:id="3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34" w:name="_Toc20896"/>
      <w:bookmarkStart w:id="35" w:name="_Toc11166"/>
      <w:bookmarkStart w:id="36" w:name="_Toc899"/>
      <w:r>
        <w:rPr>
          <w:rFonts w:hint="eastAsia" w:ascii="Times New Roman" w:eastAsia="仿宋_GB2312"/>
          <w:sz w:val="32"/>
          <w:highlight w:val="none"/>
        </w:rPr>
        <w:t>根据《甘肃省财政厅关于开展</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年度省级预算执行情况绩效自评</w:t>
      </w:r>
      <w:r>
        <w:rPr>
          <w:rFonts w:hint="eastAsia" w:ascii="Times New Roman" w:eastAsia="仿宋_GB2312"/>
          <w:sz w:val="32"/>
          <w:highlight w:val="none"/>
          <w:lang w:val="en-US" w:eastAsia="zh-CN"/>
        </w:rPr>
        <w:t>工作</w:t>
      </w:r>
      <w:r>
        <w:rPr>
          <w:rFonts w:hint="eastAsia" w:ascii="Times New Roman" w:eastAsia="仿宋_GB2312"/>
          <w:sz w:val="32"/>
          <w:highlight w:val="none"/>
        </w:rPr>
        <w:t>的通知》（甘财绩〔</w:t>
      </w:r>
      <w:r>
        <w:rPr>
          <w:rFonts w:hint="eastAsia" w:ascii="Times New Roman" w:eastAsia="仿宋_GB2312"/>
          <w:sz w:val="32"/>
          <w:highlight w:val="none"/>
          <w:lang w:eastAsia="zh-CN"/>
        </w:rPr>
        <w:t>2022</w:t>
      </w:r>
      <w:r>
        <w:rPr>
          <w:rFonts w:hint="eastAsia" w:ascii="Times New Roman" w:eastAsia="仿宋_GB2312"/>
          <w:sz w:val="32"/>
          <w:highlight w:val="none"/>
        </w:rPr>
        <w:t>〕</w:t>
      </w:r>
      <w:r>
        <w:rPr>
          <w:rFonts w:hint="eastAsia" w:ascii="Times New Roman" w:eastAsia="仿宋_GB2312"/>
          <w:sz w:val="32"/>
          <w:highlight w:val="none"/>
          <w:lang w:val="en-US" w:eastAsia="zh-CN"/>
        </w:rPr>
        <w:t>7</w:t>
      </w:r>
      <w:r>
        <w:rPr>
          <w:rFonts w:hint="eastAsia" w:ascii="Times New Roman" w:eastAsia="仿宋_GB2312"/>
          <w:sz w:val="32"/>
          <w:highlight w:val="none"/>
        </w:rPr>
        <w:t>号）文件要求，</w:t>
      </w:r>
      <w:r>
        <w:rPr>
          <w:rFonts w:hint="eastAsia" w:ascii="Times New Roman" w:eastAsia="仿宋_GB2312"/>
          <w:sz w:val="32"/>
          <w:highlight w:val="none"/>
          <w:lang w:val="en-US" w:eastAsia="zh-CN"/>
        </w:rPr>
        <w:t>我院</w:t>
      </w:r>
      <w:r>
        <w:rPr>
          <w:rFonts w:hint="eastAsia" w:ascii="Times New Roman" w:eastAsia="仿宋_GB2312"/>
          <w:sz w:val="32"/>
          <w:highlight w:val="none"/>
        </w:rPr>
        <w:t>及时组织开展绩效</w:t>
      </w:r>
      <w:r>
        <w:rPr>
          <w:rFonts w:hint="eastAsia" w:ascii="Times New Roman" w:eastAsia="仿宋_GB2312"/>
          <w:sz w:val="32"/>
          <w:highlight w:val="none"/>
          <w:lang w:val="en-US" w:eastAsia="zh-CN"/>
        </w:rPr>
        <w:t>自评</w:t>
      </w:r>
      <w:r>
        <w:rPr>
          <w:rFonts w:hint="eastAsia" w:ascii="Times New Roman" w:eastAsia="仿宋_GB2312"/>
          <w:sz w:val="32"/>
          <w:highlight w:val="none"/>
        </w:rPr>
        <w:t>工作，对</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年度省级预算执行绩效完成情况进行自我评价。具体工作开展情况如下：</w:t>
      </w:r>
      <w:bookmarkEnd w:id="34"/>
      <w:bookmarkEnd w:id="35"/>
      <w:bookmarkEnd w:id="36"/>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37" w:name="_Toc4667"/>
      <w:bookmarkStart w:id="38" w:name="_Toc25921"/>
      <w:bookmarkStart w:id="39" w:name="_Toc29383"/>
      <w:bookmarkStart w:id="40" w:name="_Toc26654"/>
      <w:bookmarkStart w:id="41" w:name="_Toc29270"/>
      <w:bookmarkStart w:id="42" w:name="_Toc4291"/>
      <w:bookmarkStart w:id="43" w:name="_Toc26937"/>
      <w:r>
        <w:rPr>
          <w:rFonts w:hint="eastAsia" w:ascii="Arial" w:eastAsia="楷体"/>
          <w:b/>
          <w:sz w:val="32"/>
          <w:highlight w:val="none"/>
          <w:lang w:eastAsia="zh-CN"/>
        </w:rPr>
        <w:t>（</w:t>
      </w:r>
      <w:r>
        <w:rPr>
          <w:rFonts w:hint="eastAsia" w:ascii="Arial" w:eastAsia="楷体"/>
          <w:b/>
          <w:sz w:val="32"/>
          <w:highlight w:val="none"/>
          <w:lang w:val="en-US" w:eastAsia="zh-CN"/>
        </w:rPr>
        <w:t>一</w:t>
      </w:r>
      <w:r>
        <w:rPr>
          <w:rFonts w:hint="eastAsia" w:ascii="Arial" w:eastAsia="楷体"/>
          <w:b/>
          <w:sz w:val="32"/>
          <w:highlight w:val="none"/>
          <w:lang w:eastAsia="zh-CN"/>
        </w:rPr>
        <w:t>）</w:t>
      </w:r>
      <w:r>
        <w:rPr>
          <w:rFonts w:hint="eastAsia" w:ascii="Arial" w:eastAsia="楷体"/>
          <w:b/>
          <w:sz w:val="32"/>
          <w:highlight w:val="none"/>
        </w:rPr>
        <w:t>自评工作组织管理情况</w:t>
      </w:r>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4" w:name="_Toc4453"/>
      <w:bookmarkStart w:id="45" w:name="_Toc26980"/>
      <w:bookmarkStart w:id="46" w:name="_Toc28216"/>
      <w:bookmarkStart w:id="47" w:name="_Toc4267"/>
      <w:bookmarkStart w:id="48" w:name="_Toc23568"/>
      <w:bookmarkStart w:id="49" w:name="_Toc819"/>
      <w:bookmarkStart w:id="50" w:name="_Toc13356"/>
      <w:r>
        <w:rPr>
          <w:rFonts w:hint="eastAsia" w:ascii="Arial" w:eastAsia="楷体"/>
          <w:b/>
          <w:sz w:val="32"/>
          <w:highlight w:val="none"/>
          <w:lang w:eastAsia="zh-CN"/>
        </w:rPr>
        <w:t>（</w:t>
      </w:r>
      <w:r>
        <w:rPr>
          <w:rFonts w:hint="eastAsia" w:ascii="Arial" w:eastAsia="楷体"/>
          <w:b/>
          <w:sz w:val="32"/>
          <w:highlight w:val="none"/>
          <w:lang w:val="en-US" w:eastAsia="zh-CN"/>
        </w:rPr>
        <w:t>二</w:t>
      </w:r>
      <w:r>
        <w:rPr>
          <w:rFonts w:hint="eastAsia" w:ascii="Arial" w:eastAsia="楷体"/>
          <w:b/>
          <w:sz w:val="32"/>
          <w:highlight w:val="none"/>
          <w:lang w:eastAsia="zh-CN"/>
        </w:rPr>
        <w:t>）</w:t>
      </w:r>
      <w:r>
        <w:rPr>
          <w:rFonts w:hint="eastAsia" w:ascii="Arial" w:eastAsia="楷体"/>
          <w:b/>
          <w:sz w:val="32"/>
          <w:highlight w:val="none"/>
        </w:rPr>
        <w:t>自评范围</w:t>
      </w:r>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本次绩效自评范围为中心</w:t>
      </w:r>
      <w:r>
        <w:rPr>
          <w:rFonts w:hint="eastAsia" w:ascii="Times New Roman" w:eastAsia="仿宋_GB2312"/>
          <w:sz w:val="32"/>
          <w:highlight w:val="none"/>
          <w:lang w:eastAsia="zh-CN"/>
        </w:rPr>
        <w:t>2022</w:t>
      </w:r>
      <w:r>
        <w:rPr>
          <w:rFonts w:hint="eastAsia" w:ascii="Times New Roman" w:eastAsia="仿宋_GB2312"/>
          <w:sz w:val="32"/>
          <w:highlight w:val="none"/>
        </w:rPr>
        <w:t>年度省级财政拨款的基本支出和项目支出。按照省级部门项目支出、省对市县转移支付、部门整体支出三类评价对象全覆盖的原则，结合我院实际情况，自评对象为部门整体支出自评</w:t>
      </w:r>
      <w:r>
        <w:rPr>
          <w:rFonts w:hint="eastAsia" w:ascii="Times New Roman" w:eastAsia="仿宋_GB2312"/>
          <w:sz w:val="32"/>
          <w:highlight w:val="none"/>
          <w:lang w:val="en-US" w:eastAsia="zh-CN"/>
        </w:rPr>
        <w:t>及办案业务费、物业费和</w:t>
      </w:r>
      <w:r>
        <w:rPr>
          <w:rFonts w:hint="eastAsia" w:ascii="Times New Roman" w:eastAsia="仿宋_GB2312"/>
          <w:sz w:val="32"/>
          <w:highlight w:val="none"/>
        </w:rPr>
        <w:t>业务费</w:t>
      </w:r>
      <w:r>
        <w:rPr>
          <w:rFonts w:hint="eastAsia" w:ascii="Times New Roman" w:eastAsia="仿宋_GB2312"/>
          <w:sz w:val="32"/>
          <w:highlight w:val="none"/>
          <w:lang w:val="en-US" w:eastAsia="zh-CN"/>
        </w:rPr>
        <w:t>三</w:t>
      </w:r>
      <w:r>
        <w:rPr>
          <w:rFonts w:hint="eastAsia" w:ascii="Times New Roman" w:eastAsia="仿宋_GB2312"/>
          <w:sz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51" w:name="_Toc25429"/>
      <w:bookmarkStart w:id="52" w:name="_Toc32735"/>
      <w:bookmarkStart w:id="53" w:name="_Toc14711"/>
      <w:bookmarkStart w:id="54" w:name="_Toc21475"/>
      <w:bookmarkStart w:id="55" w:name="_Toc22785"/>
      <w:bookmarkStart w:id="56" w:name="_Toc18694"/>
      <w:bookmarkStart w:id="57" w:name="_Toc7689"/>
      <w:r>
        <w:rPr>
          <w:rFonts w:hint="eastAsia" w:ascii="Arial" w:eastAsia="楷体"/>
          <w:b/>
          <w:sz w:val="32"/>
          <w:highlight w:val="none"/>
          <w:lang w:eastAsia="zh-CN"/>
        </w:rPr>
        <w:t>（</w:t>
      </w:r>
      <w:r>
        <w:rPr>
          <w:rFonts w:hint="eastAsia" w:ascii="Arial" w:eastAsia="楷体"/>
          <w:b/>
          <w:sz w:val="32"/>
          <w:highlight w:val="none"/>
          <w:lang w:val="en-US" w:eastAsia="zh-CN"/>
        </w:rPr>
        <w:t>三</w:t>
      </w:r>
      <w:r>
        <w:rPr>
          <w:rFonts w:hint="eastAsia" w:ascii="Arial" w:eastAsia="楷体"/>
          <w:b/>
          <w:sz w:val="32"/>
          <w:highlight w:val="none"/>
          <w:lang w:eastAsia="zh-CN"/>
        </w:rPr>
        <w:t>）</w:t>
      </w:r>
      <w:r>
        <w:rPr>
          <w:rFonts w:hint="eastAsia" w:ascii="Arial" w:eastAsia="楷体"/>
          <w:b/>
          <w:sz w:val="32"/>
          <w:highlight w:val="none"/>
        </w:rPr>
        <w:t>自评工作程序</w:t>
      </w:r>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本次绩效自评工作主要包括以下工作程序</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1.根据</w:t>
      </w:r>
      <w:r>
        <w:rPr>
          <w:rFonts w:hint="eastAsia" w:ascii="Times New Roman" w:eastAsia="仿宋_GB2312"/>
          <w:sz w:val="32"/>
          <w:highlight w:val="none"/>
          <w:lang w:val="en-US" w:eastAsia="zh-CN"/>
        </w:rPr>
        <w:t>我院</w:t>
      </w:r>
      <w:r>
        <w:rPr>
          <w:rFonts w:hint="eastAsia" w:ascii="Times New Roman" w:eastAsia="仿宋_GB2312"/>
          <w:sz w:val="32"/>
          <w:highlight w:val="none"/>
        </w:rPr>
        <w:t>整体</w:t>
      </w:r>
      <w:r>
        <w:rPr>
          <w:rFonts w:ascii="Times New Roman" w:eastAsia="仿宋_GB2312"/>
          <w:sz w:val="32"/>
          <w:highlight w:val="none"/>
        </w:rPr>
        <w:t>支出和</w:t>
      </w:r>
      <w:r>
        <w:rPr>
          <w:rFonts w:hint="eastAsia" w:ascii="Times New Roman" w:eastAsia="仿宋_GB2312"/>
          <w:sz w:val="32"/>
          <w:highlight w:val="none"/>
        </w:rPr>
        <w:t>项目支出绩效目标的设定情况，收集各业务</w:t>
      </w:r>
      <w:r>
        <w:rPr>
          <w:rFonts w:hint="eastAsia" w:ascii="Times New Roman" w:eastAsia="仿宋_GB2312"/>
          <w:sz w:val="32"/>
          <w:highlight w:val="none"/>
          <w:lang w:val="en-US" w:eastAsia="zh-CN"/>
        </w:rPr>
        <w:t>部门</w:t>
      </w:r>
      <w:r>
        <w:rPr>
          <w:rFonts w:ascii="Times New Roman" w:eastAsia="仿宋_GB2312"/>
          <w:sz w:val="32"/>
          <w:highlight w:val="none"/>
        </w:rPr>
        <w:t>绩效目标</w:t>
      </w:r>
      <w:r>
        <w:rPr>
          <w:rFonts w:hint="eastAsia" w:ascii="Times New Roman" w:eastAsia="仿宋_GB2312"/>
          <w:sz w:val="32"/>
          <w:highlight w:val="none"/>
        </w:rPr>
        <w:t>实现程度</w:t>
      </w:r>
      <w:r>
        <w:rPr>
          <w:rFonts w:ascii="Times New Roman" w:eastAsia="仿宋_GB2312"/>
          <w:sz w:val="32"/>
          <w:highlight w:val="none"/>
        </w:rPr>
        <w:t>、预算执行进度</w:t>
      </w:r>
      <w:r>
        <w:rPr>
          <w:rFonts w:hint="eastAsia" w:ascii="Times New Roman" w:eastAsia="仿宋_GB2312"/>
          <w:sz w:val="32"/>
          <w:highlight w:val="none"/>
        </w:rPr>
        <w:t>等绩效评价</w:t>
      </w:r>
      <w:r>
        <w:rPr>
          <w:rFonts w:ascii="Times New Roman" w:eastAsia="仿宋_GB2312"/>
          <w:sz w:val="32"/>
          <w:highlight w:val="none"/>
        </w:rPr>
        <w:t>基础</w:t>
      </w:r>
      <w:r>
        <w:rPr>
          <w:rFonts w:hint="eastAsia" w:ascii="Times New Roman" w:eastAsia="仿宋_GB2312"/>
          <w:sz w:val="32"/>
          <w:highlight w:val="none"/>
        </w:rPr>
        <w:t>资料。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t>2.</w:t>
      </w:r>
      <w:r>
        <w:rPr>
          <w:rFonts w:hint="eastAsia" w:ascii="Times New Roman" w:eastAsia="仿宋_GB2312"/>
          <w:sz w:val="32"/>
          <w:highlight w:val="none"/>
        </w:rPr>
        <w:t>整理分析相关资料，统计财政资金预算执行情况和各项</w:t>
      </w:r>
      <w:r>
        <w:rPr>
          <w:rFonts w:ascii="Times New Roman" w:eastAsia="仿宋_GB2312"/>
          <w:sz w:val="32"/>
          <w:highlight w:val="none"/>
        </w:rPr>
        <w:t>绩效目标完成</w:t>
      </w:r>
      <w:r>
        <w:rPr>
          <w:rFonts w:hint="eastAsia" w:ascii="Times New Roman" w:eastAsia="仿宋_GB2312"/>
          <w:sz w:val="32"/>
          <w:highlight w:val="none"/>
        </w:rPr>
        <w:t>情况，对年初</w:t>
      </w:r>
      <w:r>
        <w:rPr>
          <w:rFonts w:ascii="Times New Roman" w:eastAsia="仿宋_GB2312"/>
          <w:sz w:val="32"/>
          <w:highlight w:val="none"/>
        </w:rPr>
        <w:t>设定的</w:t>
      </w:r>
      <w:r>
        <w:rPr>
          <w:rFonts w:hint="eastAsia" w:ascii="Times New Roman" w:eastAsia="仿宋_GB2312"/>
          <w:sz w:val="32"/>
          <w:highlight w:val="none"/>
        </w:rPr>
        <w:t>绩效指标及各项指标完成情况进行对比分析，填写《</w:t>
      </w:r>
      <w:r>
        <w:rPr>
          <w:rFonts w:hint="eastAsia" w:ascii="Times New Roman" w:eastAsia="仿宋_GB2312"/>
          <w:sz w:val="32"/>
          <w:highlight w:val="none"/>
          <w:lang w:eastAsia="zh-CN"/>
        </w:rPr>
        <w:t>2022</w:t>
      </w:r>
      <w:r>
        <w:rPr>
          <w:rFonts w:hint="eastAsia" w:ascii="Times New Roman" w:eastAsia="仿宋_GB2312"/>
          <w:sz w:val="32"/>
          <w:highlight w:val="none"/>
        </w:rPr>
        <w:t>年度部门预算执行情况绩效自评报表》；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t>3.</w:t>
      </w:r>
      <w:r>
        <w:rPr>
          <w:rFonts w:hint="eastAsia" w:ascii="Times New Roman" w:eastAsia="仿宋_GB2312"/>
          <w:sz w:val="32"/>
          <w:highlight w:val="none"/>
        </w:rPr>
        <w:t>总结评价结论，归纳问题，分析原因，提出改进</w:t>
      </w:r>
      <w:r>
        <w:rPr>
          <w:rFonts w:ascii="Times New Roman" w:eastAsia="仿宋_GB2312"/>
          <w:sz w:val="32"/>
          <w:highlight w:val="none"/>
        </w:rPr>
        <w:t>措施</w:t>
      </w:r>
      <w:r>
        <w:rPr>
          <w:rFonts w:hint="eastAsia" w:ascii="Times New Roman" w:eastAsia="仿宋_GB2312"/>
          <w:sz w:val="32"/>
          <w:highlight w:val="none"/>
        </w:rPr>
        <w:t>，完成《</w:t>
      </w:r>
      <w:r>
        <w:rPr>
          <w:rFonts w:hint="eastAsia" w:ascii="Times New Roman" w:eastAsia="仿宋_GB2312"/>
          <w:sz w:val="32"/>
          <w:lang w:val="en-US" w:eastAsia="zh-CN"/>
        </w:rPr>
        <w:t>武威铁路运输法院</w:t>
      </w:r>
      <w:r>
        <w:rPr>
          <w:rFonts w:hint="eastAsia" w:ascii="Times New Roman" w:eastAsia="仿宋_GB2312"/>
          <w:sz w:val="32"/>
          <w:highlight w:val="none"/>
          <w:lang w:eastAsia="zh-CN"/>
        </w:rPr>
        <w:t>2022</w:t>
      </w:r>
      <w:r>
        <w:rPr>
          <w:rFonts w:hint="eastAsia" w:ascii="Times New Roman" w:eastAsia="仿宋_GB2312"/>
          <w:sz w:val="32"/>
          <w:highlight w:val="none"/>
        </w:rPr>
        <w:t>年度预算执行情况自评报告》</w:t>
      </w:r>
      <w:r>
        <w:rPr>
          <w:rFonts w:hint="eastAsia" w:ascii="Times New Roman" w:eastAsia="仿宋_GB2312"/>
          <w:sz w:val="32"/>
          <w:highlight w:val="none"/>
          <w:lang w:val="en-US" w:eastAsia="zh-CN"/>
        </w:rPr>
        <w:t>撰写</w:t>
      </w:r>
      <w:r>
        <w:rPr>
          <w:rFonts w:hint="eastAsia" w:ascii="Times New Roman" w:eastAsia="仿宋_GB2312"/>
          <w:sz w:val="32"/>
          <w:highlight w:val="none"/>
        </w:rPr>
        <w:t>。</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58" w:name="_Toc10351"/>
      <w:bookmarkStart w:id="59" w:name="_Toc7212"/>
      <w:bookmarkStart w:id="60" w:name="_Toc15790"/>
      <w:bookmarkStart w:id="61" w:name="_Toc17117"/>
      <w:bookmarkStart w:id="62" w:name="_Toc20589"/>
      <w:bookmarkStart w:id="63" w:name="_Toc8633"/>
      <w:bookmarkStart w:id="64" w:name="_Toc11173"/>
      <w:r>
        <w:rPr>
          <w:rFonts w:hint="eastAsia" w:ascii="Times New Roman" w:eastAsia="黑体"/>
          <w:b/>
          <w:sz w:val="32"/>
          <w:highlight w:val="none"/>
        </w:rPr>
        <w:t>三、部门整体支出绩效自评情况分析</w:t>
      </w:r>
      <w:bookmarkEnd w:id="58"/>
      <w:bookmarkEnd w:id="59"/>
      <w:bookmarkEnd w:id="60"/>
      <w:bookmarkEnd w:id="61"/>
      <w:bookmarkEnd w:id="62"/>
      <w:bookmarkEnd w:id="63"/>
      <w:bookmarkEnd w:id="64"/>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65" w:name="_Toc20175"/>
      <w:bookmarkStart w:id="66" w:name="_Toc15351"/>
      <w:bookmarkStart w:id="67" w:name="_Toc14783"/>
      <w:bookmarkStart w:id="68" w:name="_Toc31360"/>
      <w:bookmarkStart w:id="69" w:name="_Toc3592"/>
      <w:bookmarkStart w:id="70" w:name="_Toc18291"/>
      <w:bookmarkStart w:id="71" w:name="_Toc19773"/>
      <w:r>
        <w:rPr>
          <w:rFonts w:hint="eastAsia" w:ascii="Arial" w:eastAsia="楷体"/>
          <w:b/>
          <w:sz w:val="32"/>
          <w:highlight w:val="none"/>
        </w:rPr>
        <w:t>（一）部门决算情况</w:t>
      </w:r>
      <w:bookmarkEnd w:id="65"/>
      <w:bookmarkEnd w:id="66"/>
      <w:bookmarkEnd w:id="67"/>
      <w:bookmarkEnd w:id="68"/>
      <w:bookmarkEnd w:id="69"/>
      <w:bookmarkEnd w:id="70"/>
      <w:bookmarkEnd w:id="71"/>
    </w:p>
    <w:p>
      <w:pPr>
        <w:bidi w:val="0"/>
        <w:snapToGrid/>
        <w:spacing w:beforeAutospacing="0" w:afterAutospacing="0" w:line="560" w:lineRule="exact"/>
        <w:ind w:left="0" w:leftChars="0" w:firstLine="640" w:firstLineChars="200"/>
        <w:rPr>
          <w:rFonts w:hint="eastAsia" w:ascii="Times New Roman" w:hAnsi="Times New Roman" w:eastAsia="仿宋_GB2312" w:cs="Times New Roman"/>
          <w:b w:val="0"/>
          <w:kern w:val="2"/>
          <w:sz w:val="32"/>
          <w:szCs w:val="24"/>
          <w:highlight w:val="none"/>
          <w:lang w:val="en-US" w:eastAsia="zh-CN" w:bidi="ar-SA"/>
        </w:rPr>
      </w:pPr>
      <w:bookmarkStart w:id="72" w:name="_Toc27516"/>
      <w:r>
        <w:rPr>
          <w:rFonts w:hint="eastAsia" w:ascii="Times New Roman" w:eastAsia="仿宋_GB2312"/>
          <w:sz w:val="32"/>
          <w:lang w:val="en-US" w:eastAsia="zh-CN"/>
        </w:rPr>
        <w:t>2022年度，武威铁路运输法院年初预算数1,176.18万元，全年预算数1,384.46万元，全年实际支出1.279.26万元，其中：基本支出988.41万元，项目支出290.85万元，部门整体支出预算执行率为92.40%。</w:t>
      </w:r>
      <w:bookmarkEnd w:id="72"/>
      <w:bookmarkStart w:id="73" w:name="_Toc11740"/>
      <w:bookmarkStart w:id="74" w:name="_Toc28258"/>
      <w:bookmarkStart w:id="75" w:name="_Toc24134"/>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hAnsi="仿宋" w:eastAsia="楷体" w:cs="仿宋"/>
          <w:b/>
          <w:sz w:val="32"/>
          <w:szCs w:val="30"/>
          <w:highlight w:val="none"/>
        </w:rPr>
      </w:pPr>
      <w:bookmarkStart w:id="76" w:name="_Toc31683"/>
      <w:bookmarkStart w:id="77" w:name="_Toc29214"/>
      <w:bookmarkStart w:id="78" w:name="_Toc25637"/>
      <w:r>
        <w:rPr>
          <w:rFonts w:hint="eastAsia" w:ascii="Arial" w:eastAsia="楷体"/>
          <w:b/>
          <w:sz w:val="32"/>
          <w:highlight w:val="none"/>
        </w:rPr>
        <w:t>（二）总体绩效目标完成情况分析</w:t>
      </w:r>
      <w:bookmarkEnd w:id="73"/>
      <w:bookmarkEnd w:id="74"/>
      <w:bookmarkEnd w:id="75"/>
      <w:bookmarkEnd w:id="76"/>
      <w:bookmarkEnd w:id="77"/>
      <w:bookmarkEnd w:id="7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经综合评价与分析，</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lang w:val="en-US" w:eastAsia="zh-CN"/>
        </w:rPr>
        <w:t>武威铁路运输法院</w:t>
      </w:r>
      <w:r>
        <w:rPr>
          <w:rFonts w:hint="eastAsia" w:ascii="Times New Roman" w:eastAsia="仿宋_GB2312"/>
          <w:sz w:val="32"/>
          <w:highlight w:val="none"/>
        </w:rPr>
        <w:t>整体支出绩效得分为</w:t>
      </w:r>
      <w:r>
        <w:rPr>
          <w:rFonts w:hint="eastAsia" w:ascii="Times New Roman" w:eastAsia="仿宋_GB2312"/>
          <w:sz w:val="32"/>
          <w:highlight w:val="none"/>
          <w:lang w:val="en-US" w:eastAsia="zh-CN"/>
        </w:rPr>
        <w:t>96.49</w:t>
      </w:r>
      <w:r>
        <w:rPr>
          <w:rFonts w:hint="eastAsia" w:ascii="Times New Roman" w:eastAsia="仿宋_GB2312"/>
          <w:sz w:val="32"/>
          <w:highlight w:val="none"/>
        </w:rPr>
        <w:t>分</w:t>
      </w:r>
      <w:r>
        <w:rPr>
          <w:rFonts w:hint="eastAsia" w:ascii="Times New Roman" w:eastAsia="仿宋_GB2312"/>
          <w:sz w:val="32"/>
          <w:highlight w:val="none"/>
          <w:lang w:eastAsia="zh-CN"/>
        </w:rPr>
        <w:t>，</w:t>
      </w:r>
      <w:r>
        <w:rPr>
          <w:rFonts w:hint="eastAsia" w:ascii="Times New Roman" w:eastAsia="仿宋_GB2312"/>
          <w:sz w:val="32"/>
          <w:highlight w:val="none"/>
        </w:rPr>
        <w:t>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p>
    <w:p>
      <w:pPr>
        <w:snapToGrid/>
        <w:spacing w:beforeAutospacing="0" w:afterAutospacing="0" w:line="560" w:lineRule="exact"/>
        <w:ind w:left="0" w:leftChars="0" w:firstLine="643" w:firstLineChars="200"/>
        <w:jc w:val="center"/>
        <w:rPr>
          <w:rFonts w:ascii="Times New Roman" w:hAnsi="宋体" w:eastAsia="仿宋_GB2312"/>
          <w:sz w:val="32"/>
          <w:highlight w:val="none"/>
        </w:rPr>
      </w:pPr>
      <w:r>
        <w:rPr>
          <w:rFonts w:hint="eastAsia" w:ascii="Times New Roman" w:hAnsi="宋体" w:eastAsia="仿宋_GB2312" w:cs="宋体"/>
          <w:b/>
          <w:bCs/>
          <w:kern w:val="0"/>
          <w:sz w:val="32"/>
          <w:highlight w:val="none"/>
          <w:lang w:eastAsia="zh-CN"/>
        </w:rPr>
        <w:t>2022</w:t>
      </w:r>
      <w:r>
        <w:rPr>
          <w:rFonts w:hint="eastAsia" w:ascii="Times New Roman" w:hAnsi="宋体" w:eastAsia="仿宋_GB2312" w:cs="宋体"/>
          <w:b/>
          <w:bCs/>
          <w:kern w:val="0"/>
          <w:sz w:val="32"/>
          <w:highlight w:val="none"/>
        </w:rPr>
        <w:t>年度部门整体支出绩效评价指标得分情况</w:t>
      </w:r>
    </w:p>
    <w:tbl>
      <w:tblPr>
        <w:tblStyle w:val="19"/>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9.24</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92.40%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27</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24.89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92.19%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42</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41.36</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98.48%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15</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15</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6</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6</w:t>
            </w:r>
          </w:p>
        </w:tc>
        <w:tc>
          <w:tcPr>
            <w:tcW w:w="226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96.49</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96.49%</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围绕全年工作目标任务，</w:t>
      </w:r>
      <w:r>
        <w:rPr>
          <w:rFonts w:hint="eastAsia" w:ascii="Times New Roman" w:eastAsia="仿宋_GB2312"/>
          <w:sz w:val="32"/>
          <w:lang w:val="en-US" w:eastAsia="zh-CN"/>
        </w:rPr>
        <w:t>武威铁路运输法院</w:t>
      </w:r>
      <w:r>
        <w:rPr>
          <w:rFonts w:hint="eastAsia" w:ascii="Times New Roman" w:eastAsia="仿宋_GB2312"/>
          <w:sz w:val="32"/>
          <w:highlight w:val="none"/>
          <w:lang w:eastAsia="zh-CN"/>
        </w:rPr>
        <w:t>2022</w:t>
      </w:r>
      <w:r>
        <w:rPr>
          <w:rFonts w:hint="eastAsia" w:ascii="Times New Roman" w:eastAsia="仿宋_GB2312"/>
          <w:sz w:val="32"/>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rPr>
      </w:pPr>
      <w:r>
        <w:rPr>
          <w:rFonts w:hint="eastAsia" w:ascii="仿宋_GB2312" w:eastAsia="仿宋_GB2312"/>
          <w:b/>
          <w:sz w:val="32"/>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）坚持政治建院，推动法院工作新发展。</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努力找准党的二十大精神在审判执行工作的着力点和落脚点，积极践行“枫桥经验”和“马锡五审判方式”，把提质增效作为第一要务，严格落实宽严相济的刑事政策和认罪认罚从宽制度，突出“调判结合，调撤先行”，依法强制执行与善意文明执行双管齐下，全心全力保障当事人诉讼权益，维护社会公平正义。</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）坚持以人民为中心的发展思想，坚持司法为民便民。</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4</w:t>
      </w:r>
      <w:r>
        <w:rPr>
          <w:rFonts w:hint="eastAsia" w:ascii="Times New Roman" w:eastAsia="仿宋_GB2312"/>
          <w:sz w:val="32"/>
          <w:highlight w:val="none"/>
          <w:lang w:eastAsia="zh-CN"/>
        </w:rPr>
        <w:t>）充分运用“智慧法院”建设成果，健全立体化诉讼服务中心，实现线上与线下“并轨发展”的工作模式，有效减轻当事人诉累。</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牢牢把握法院工作正确方向。深入开展“两个确立”主题教育，累计开展党组理论学习中心组学习4次，交流研讨2次，视频观看“两个确立”相关解读短片2次，各支部开展集中学习30次，心得交流5次，支部书记党课宣讲5次，严格按照上级法院教育培训计划开展政治轮训。党的二十大召开以来，累计召开3次党组理论学习中心组和8次党组专题学习会议，隔空将因疫情居家的党员干警联系起来，先后进行17次集中学习研讨。强化意识形态工作责任制，成立领导小组。认真履行领导班子集体意识形态工作的主体责任，坚持“一把手”带头，切实当好“第一责任人”，班子成员各负其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2）全年共受理各类案件706件，审执结642件。本年共受理刑事案件4件，判处罪犯6人，结案率100%。重点打击新型网络犯罪，审理帮助信息网络犯罪活动罪3件。受理民事案件600件（含旧存案件83件），审结544件，结案率90%。坚持“调解优先、调判结合”，调撤率达73.29％。受理各类执行案件102件（含旧存8件），收案总标的额为2989.82万元；执结94件，结案总标的额为2102.65万元；实际执结率为89.41%；执行到位1359.9万元，实际执行到位率为45.48%。</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（3）坚持“人人都是营商环境，案案都是营商环境”的工作思路，健全工作机制，助企纾困</w:t>
      </w:r>
      <w:r>
        <w:rPr>
          <w:rFonts w:hint="eastAsia" w:ascii="Times New Roman" w:eastAsia="仿宋_GB2312"/>
          <w:sz w:val="32"/>
          <w:highlight w:val="none"/>
          <w:lang w:eastAsia="zh-CN"/>
        </w:rPr>
        <w:t>解难</w:t>
      </w:r>
      <w:r>
        <w:rPr>
          <w:rFonts w:hint="eastAsia" w:ascii="Times New Roman" w:eastAsia="仿宋_GB2312"/>
          <w:sz w:val="32"/>
          <w:highlight w:val="none"/>
        </w:rPr>
        <w:t>，办理涉企案件423件，努力为各类市场主体提供优质司法服务。全年引导当事人通过诉前调解化解矛盾纠纷149件，调解成功149件，调解成功率达100%。司法确认46件，音视频调解案件15件。紧紧抓住新媒体发展的机遇期，大胆探索，开拓创新，深入推进媒体融合，推动形成良好的网络生态。自开通微信公众号以来，发布信息700余条，及时报道法院工作动态、普及法律知识、摘登典型案例、转发防疫信息等，发挥司法裁判的社会导向作用，积极宣传法治正能量。</w:t>
      </w:r>
    </w:p>
    <w:p>
      <w:pPr>
        <w:pStyle w:val="2"/>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4</w:t>
      </w:r>
      <w:r>
        <w:rPr>
          <w:rFonts w:hint="eastAsia" w:ascii="Times New Roman" w:eastAsia="仿宋_GB2312"/>
          <w:sz w:val="32"/>
          <w:highlight w:val="none"/>
          <w:lang w:eastAsia="zh-CN"/>
        </w:rPr>
        <w:t>）全年网上立案79件，协助跨域立案1件；电子送达330件，电子送达率69.62%；邮寄集约送达1534次，集约率91.5%；送达文书4842次，文书送达率1021.52%；12368回复2件，协调办理解决率100%；网上缴费案件404件，网上诉讼保全1件，平均办理时长3天；线上委托鉴定134件，在线司法确认率100%，实现疫情防控与诉讼服务两不误。</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hint="eastAsia" w:ascii="Arial" w:eastAsia="楷体"/>
          <w:b/>
          <w:bCs/>
          <w:color w:val="auto"/>
          <w:sz w:val="32"/>
          <w:highlight w:val="none"/>
        </w:rPr>
      </w:pPr>
      <w:bookmarkStart w:id="79" w:name="_Toc7985"/>
      <w:bookmarkStart w:id="80" w:name="_Toc8612"/>
      <w:bookmarkStart w:id="81" w:name="_Toc19903"/>
      <w:bookmarkStart w:id="82" w:name="_Toc13510"/>
      <w:bookmarkStart w:id="83" w:name="_Toc16398"/>
      <w:r>
        <w:rPr>
          <w:rFonts w:hint="eastAsia" w:ascii="Arial" w:eastAsia="楷体"/>
          <w:b/>
          <w:bCs/>
          <w:color w:val="auto"/>
          <w:sz w:val="32"/>
          <w:highlight w:val="none"/>
        </w:rPr>
        <w:t>（三）各项指标完成情况分析</w:t>
      </w:r>
      <w:bookmarkEnd w:id="79"/>
      <w:bookmarkEnd w:id="80"/>
      <w:bookmarkEnd w:id="81"/>
      <w:bookmarkEnd w:id="82"/>
      <w:bookmarkEnd w:id="83"/>
      <w:bookmarkStart w:id="84" w:name="_Toc18873"/>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5" w:name="_Toc6203"/>
      <w:bookmarkStart w:id="86" w:name="_Toc31465"/>
      <w:bookmarkStart w:id="87" w:name="_Toc15464"/>
      <w:bookmarkStart w:id="88" w:name="_Toc15975"/>
      <w:r>
        <w:rPr>
          <w:rFonts w:hint="eastAsia" w:ascii="仿宋_GB2312" w:eastAsia="仿宋_GB2312"/>
          <w:b/>
          <w:sz w:val="32"/>
          <w:highlight w:val="none"/>
        </w:rPr>
        <w:t>1.部门整体支出预算执行率目标完成情况分析</w:t>
      </w:r>
      <w:bookmarkEnd w:id="84"/>
      <w:bookmarkEnd w:id="85"/>
      <w:bookmarkEnd w:id="86"/>
      <w:bookmarkEnd w:id="87"/>
      <w:bookmarkEnd w:id="8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整体支出预算执行率：指标分值10分，自评得分</w:t>
      </w:r>
      <w:r>
        <w:rPr>
          <w:rFonts w:hint="eastAsia" w:ascii="Times New Roman" w:eastAsia="仿宋_GB2312"/>
          <w:sz w:val="32"/>
          <w:highlight w:val="none"/>
          <w:lang w:val="en-US" w:eastAsia="zh-CN"/>
        </w:rPr>
        <w:t>9.24</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92.40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因预算执行率偏低扣</w:t>
      </w:r>
      <w:r>
        <w:rPr>
          <w:rFonts w:hint="eastAsia" w:ascii="Times New Roman" w:eastAsia="仿宋_GB2312"/>
          <w:sz w:val="32"/>
          <w:highlight w:val="none"/>
          <w:lang w:val="en-US" w:eastAsia="zh-CN"/>
        </w:rPr>
        <w:t>0.76</w:t>
      </w:r>
      <w:r>
        <w:rPr>
          <w:rFonts w:hint="eastAsia" w:ascii="Times New Roman" w:eastAsia="仿宋_GB2312"/>
          <w:sz w:val="32"/>
          <w:highlight w:val="none"/>
        </w:rPr>
        <w:t>分。</w:t>
      </w:r>
    </w:p>
    <w:tbl>
      <w:tblPr>
        <w:tblStyle w:val="19"/>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9.24</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92.40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部门整体支出全年预算数</w:t>
      </w:r>
      <w:r>
        <w:rPr>
          <w:rFonts w:hint="eastAsia" w:ascii="Times New Roman" w:eastAsia="仿宋_GB2312"/>
          <w:sz w:val="32"/>
          <w:highlight w:val="none"/>
          <w:lang w:val="en-US" w:eastAsia="zh-CN"/>
        </w:rPr>
        <w:t>1,384.46</w:t>
      </w:r>
      <w:r>
        <w:rPr>
          <w:rFonts w:hint="eastAsia" w:ascii="Times New Roman" w:eastAsia="仿宋_GB2312"/>
          <w:sz w:val="32"/>
          <w:highlight w:val="none"/>
        </w:rPr>
        <w:t>万元，全年执行数</w:t>
      </w:r>
      <w:r>
        <w:rPr>
          <w:rFonts w:hint="eastAsia" w:ascii="Times New Roman" w:eastAsia="仿宋_GB2312"/>
          <w:sz w:val="32"/>
          <w:highlight w:val="none"/>
          <w:lang w:val="en-US" w:eastAsia="zh-CN"/>
        </w:rPr>
        <w:t>1,279.26</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92.40</w:t>
      </w:r>
      <w:r>
        <w:rPr>
          <w:rFonts w:hint="eastAsia" w:ascii="Times New Roman" w:eastAsia="仿宋_GB2312"/>
          <w:sz w:val="32"/>
          <w:highlight w:val="none"/>
        </w:rPr>
        <w:t>%，本年度结转资金</w:t>
      </w:r>
      <w:r>
        <w:rPr>
          <w:rFonts w:hint="eastAsia" w:ascii="Times New Roman" w:eastAsia="仿宋_GB2312"/>
          <w:sz w:val="32"/>
          <w:highlight w:val="none"/>
          <w:lang w:val="en-US" w:eastAsia="zh-CN"/>
        </w:rPr>
        <w:t>105.20</w:t>
      </w:r>
      <w:r>
        <w:rPr>
          <w:rFonts w:hint="eastAsia" w:ascii="Times New Roman" w:eastAsia="仿宋_GB2312"/>
          <w:sz w:val="32"/>
          <w:highlight w:val="none"/>
        </w:rPr>
        <w:t>万元。</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9" w:name="_Toc20518"/>
      <w:bookmarkStart w:id="90" w:name="_Toc4746"/>
      <w:bookmarkStart w:id="91" w:name="_Toc28283"/>
      <w:bookmarkStart w:id="92" w:name="_Toc30381"/>
      <w:bookmarkStart w:id="93" w:name="_Toc12110"/>
      <w:r>
        <w:rPr>
          <w:rFonts w:hint="eastAsia" w:ascii="仿宋_GB2312" w:eastAsia="仿宋_GB2312"/>
          <w:b/>
          <w:sz w:val="32"/>
          <w:highlight w:val="none"/>
        </w:rPr>
        <w:t>2.部门管理目标完成情况分析</w:t>
      </w:r>
      <w:bookmarkEnd w:id="89"/>
      <w:bookmarkEnd w:id="90"/>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部门管理指标包括资金投入、财务管理、采购管理、资产管理、人员管理、重点工作管理六个二级指标，下设10个三级指标。指标分值2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24.89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92.19</w:t>
      </w:r>
      <w:r>
        <w:rPr>
          <w:rFonts w:hint="eastAsia" w:ascii="Times New Roman" w:eastAsia="仿宋_GB2312"/>
          <w:sz w:val="32"/>
          <w:highlight w:val="none"/>
        </w:rPr>
        <w:t>%。具体如下表：</w:t>
      </w:r>
    </w:p>
    <w:tbl>
      <w:tblPr>
        <w:tblStyle w:val="19"/>
        <w:tblW w:w="8755"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8.69</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80.46</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rPr>
              <w:t>2</w:t>
            </w:r>
            <w:r>
              <w:rPr>
                <w:rFonts w:hint="eastAsia" w:ascii="宋体" w:hAnsi="宋体" w:eastAsia="宋体" w:cs="宋体"/>
                <w:b/>
                <w:color w:val="000000"/>
                <w:kern w:val="0"/>
                <w:sz w:val="22"/>
                <w:szCs w:val="22"/>
                <w:highlight w:val="none"/>
                <w:lang w:val="en-US" w:eastAsia="zh-CN"/>
              </w:rPr>
              <w:t>7</w:t>
            </w:r>
          </w:p>
        </w:tc>
        <w:tc>
          <w:tcPr>
            <w:tcW w:w="141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24.89</w:t>
            </w:r>
          </w:p>
        </w:tc>
        <w:tc>
          <w:tcPr>
            <w:tcW w:w="1984"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92.19</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（1）资金投入</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基本支出预算执行率</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年基本支出</w:t>
      </w:r>
      <w:r>
        <w:rPr>
          <w:rFonts w:hint="eastAsia" w:ascii="Times New Roman" w:eastAsia="仿宋_GB2312"/>
          <w:sz w:val="32"/>
          <w:highlight w:val="none"/>
          <w:lang w:val="en-US" w:eastAsia="zh-CN"/>
        </w:rPr>
        <w:t>财政拨款</w:t>
      </w:r>
      <w:r>
        <w:rPr>
          <w:rFonts w:hint="eastAsia" w:ascii="Times New Roman" w:eastAsia="仿宋_GB2312"/>
          <w:sz w:val="32"/>
          <w:highlight w:val="none"/>
        </w:rPr>
        <w:t>收入</w:t>
      </w:r>
      <w:r>
        <w:rPr>
          <w:rFonts w:hint="eastAsia" w:ascii="Times New Roman" w:eastAsia="仿宋_GB2312"/>
          <w:sz w:val="32"/>
          <w:highlight w:val="none"/>
          <w:lang w:val="en-US" w:eastAsia="zh-CN"/>
        </w:rPr>
        <w:t>995.96</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上年结转资金4.37万元，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988.41</w:t>
      </w:r>
      <w:r>
        <w:rPr>
          <w:rFonts w:hint="eastAsia" w:ascii="Times New Roman" w:eastAsia="仿宋_GB2312"/>
          <w:sz w:val="32"/>
          <w:highlight w:val="none"/>
        </w:rPr>
        <w:t>万元，基本支出</w:t>
      </w:r>
      <w:r>
        <w:rPr>
          <w:rFonts w:hint="eastAsia" w:ascii="Times New Roman" w:eastAsia="仿宋_GB2312"/>
          <w:sz w:val="32"/>
          <w:highlight w:val="none"/>
          <w:lang w:val="en-US" w:eastAsia="zh-CN"/>
        </w:rPr>
        <w:t>结转</w:t>
      </w:r>
      <w:r>
        <w:rPr>
          <w:rFonts w:hint="eastAsia" w:ascii="Times New Roman" w:eastAsia="仿宋_GB2312"/>
          <w:sz w:val="32"/>
          <w:highlight w:val="none"/>
        </w:rPr>
        <w:t>结余</w:t>
      </w:r>
      <w:r>
        <w:rPr>
          <w:rFonts w:hint="eastAsia" w:ascii="Times New Roman" w:eastAsia="仿宋_GB2312"/>
          <w:sz w:val="32"/>
          <w:highlight w:val="none"/>
          <w:lang w:val="en-US" w:eastAsia="zh-CN"/>
        </w:rPr>
        <w:t>11.92</w:t>
      </w:r>
      <w:r>
        <w:rPr>
          <w:rFonts w:hint="eastAsia" w:ascii="Times New Roman" w:eastAsia="仿宋_GB2312"/>
          <w:sz w:val="32"/>
          <w:highlight w:val="none"/>
        </w:rPr>
        <w:t>万元，基本支出预算执行率</w:t>
      </w:r>
      <w:r>
        <w:rPr>
          <w:rFonts w:hint="eastAsia" w:ascii="Times New Roman" w:eastAsia="仿宋_GB2312"/>
          <w:sz w:val="32"/>
          <w:highlight w:val="none"/>
          <w:lang w:val="en-US" w:eastAsia="zh-CN"/>
        </w:rPr>
        <w:t>98.81</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项目支出预算执行率</w:t>
      </w:r>
      <w:r>
        <w:rPr>
          <w:rFonts w:ascii="Times New Roman" w:eastAsia="仿宋_GB2312"/>
          <w:sz w:val="32"/>
          <w:highlight w:val="none"/>
        </w:rPr>
        <w:t>：</w:t>
      </w:r>
      <w:r>
        <w:rPr>
          <w:rFonts w:ascii="Times New Roman" w:eastAsia="仿宋_GB2312"/>
          <w:sz w:val="32"/>
          <w:highlight w:val="none"/>
        </w:rPr>
        <w:tab/>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项目支出本年</w:t>
      </w:r>
      <w:r>
        <w:rPr>
          <w:rFonts w:hint="eastAsia" w:ascii="Times New Roman" w:eastAsia="仿宋_GB2312"/>
          <w:sz w:val="32"/>
          <w:highlight w:val="none"/>
          <w:lang w:val="en-US" w:eastAsia="zh-CN"/>
        </w:rPr>
        <w:t>财政拨款收入263.00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上年结转资金121.13万元，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290.85</w:t>
      </w:r>
      <w:r>
        <w:rPr>
          <w:rFonts w:hint="eastAsia" w:ascii="Times New Roman" w:eastAsia="仿宋_GB2312"/>
          <w:sz w:val="32"/>
          <w:highlight w:val="none"/>
        </w:rPr>
        <w:t>万元，</w:t>
      </w:r>
      <w:r>
        <w:rPr>
          <w:rFonts w:hint="eastAsia" w:ascii="Times New Roman" w:eastAsia="仿宋_GB2312"/>
          <w:sz w:val="32"/>
          <w:highlight w:val="none"/>
          <w:lang w:val="en-US" w:eastAsia="zh-CN"/>
        </w:rPr>
        <w:t>项目支出结转结余93.28万元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75.72</w:t>
      </w:r>
      <w:r>
        <w:rPr>
          <w:rFonts w:hint="eastAsia" w:ascii="Times New Roman" w:eastAsia="仿宋_GB2312"/>
          <w:sz w:val="32"/>
          <w:highlight w:val="none"/>
        </w:rPr>
        <w:t>%</w:t>
      </w:r>
      <w:r>
        <w:rPr>
          <w:rFonts w:ascii="Times New Roman" w:eastAsia="仿宋_GB2312"/>
          <w:sz w:val="32"/>
          <w:highlight w:val="none"/>
        </w:rPr>
        <w:t>。</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2.04</w:t>
      </w:r>
      <w:r>
        <w:rPr>
          <w:rFonts w:hint="eastAsia" w:ascii="Times New Roman" w:eastAsia="仿宋_GB2312"/>
          <w:sz w:val="32"/>
          <w:highlight w:val="none"/>
        </w:rPr>
        <w:t>分，得分率为</w:t>
      </w:r>
      <w:r>
        <w:rPr>
          <w:rFonts w:hint="default" w:ascii="Times New Roman" w:eastAsia="仿宋_GB2312"/>
          <w:sz w:val="32"/>
          <w:highlight w:val="none"/>
          <w:lang w:val="en-US"/>
        </w:rPr>
        <w:t>75.56</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2022年度我院按照国家、省市区有关厉行节约的规定，对“三公”经费进行控制，本年度我院“三公经费”预算数26.75万元，实际支出12.42万元，控制率46.43%。本年“三公经费”未超预算，系统原因导致扣分，</w:t>
      </w:r>
      <w:r>
        <w:rPr>
          <w:rFonts w:hint="eastAsia" w:ascii="Times New Roman" w:eastAsia="仿宋_GB2312"/>
          <w:sz w:val="32"/>
          <w:highlight w:val="none"/>
        </w:rPr>
        <w:t>指标值2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1.25</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46.30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结转</w:t>
      </w:r>
      <w:r>
        <w:rPr>
          <w:rFonts w:ascii="Times New Roman" w:eastAsia="仿宋_GB2312"/>
          <w:sz w:val="32"/>
          <w:highlight w:val="none"/>
        </w:rPr>
        <w:t>结余变动率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w:t>
      </w:r>
      <w:r>
        <w:rPr>
          <w:rFonts w:hint="eastAsia" w:ascii="Times New Roman" w:eastAsia="仿宋_GB2312"/>
          <w:sz w:val="32"/>
          <w:highlight w:val="none"/>
          <w:lang w:val="en-US" w:eastAsia="zh-CN"/>
        </w:rPr>
        <w:t>21</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127.20</w:t>
      </w:r>
      <w:r>
        <w:rPr>
          <w:rFonts w:hint="eastAsia" w:ascii="Times New Roman" w:eastAsia="仿宋_GB2312"/>
          <w:sz w:val="32"/>
          <w:highlight w:val="none"/>
        </w:rPr>
        <w:t>万元，</w:t>
      </w:r>
      <w:r>
        <w:rPr>
          <w:rFonts w:hint="eastAsia" w:ascii="Times New Roman" w:eastAsia="仿宋_GB2312"/>
          <w:sz w:val="32"/>
          <w:highlight w:val="none"/>
          <w:lang w:eastAsia="zh-CN"/>
        </w:rPr>
        <w:t>2022</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106.90</w:t>
      </w:r>
      <w:r>
        <w:rPr>
          <w:rFonts w:hint="eastAsia" w:ascii="Times New Roman" w:eastAsia="仿宋_GB2312"/>
          <w:sz w:val="32"/>
          <w:highlight w:val="none"/>
        </w:rPr>
        <w:t>万元，</w:t>
      </w:r>
      <w:r>
        <w:rPr>
          <w:rFonts w:hint="eastAsia" w:ascii="Times New Roman" w:eastAsia="仿宋_GB2312"/>
          <w:sz w:val="32"/>
          <w:highlight w:val="none"/>
          <w:lang w:val="en-US" w:eastAsia="zh-CN"/>
        </w:rPr>
        <w:t>本年度我院</w:t>
      </w:r>
      <w:r>
        <w:rPr>
          <w:rFonts w:hint="eastAsia" w:ascii="Times New Roman" w:eastAsia="仿宋_GB2312"/>
          <w:sz w:val="32"/>
          <w:highlight w:val="none"/>
        </w:rPr>
        <w:t>结转结余资金</w:t>
      </w:r>
      <w:r>
        <w:rPr>
          <w:rFonts w:hint="eastAsia" w:ascii="Times New Roman" w:eastAsia="仿宋_GB2312"/>
          <w:sz w:val="32"/>
          <w:highlight w:val="none"/>
          <w:lang w:val="en-US" w:eastAsia="zh-CN"/>
        </w:rPr>
        <w:t>较上年减少20.30</w:t>
      </w:r>
      <w:r>
        <w:rPr>
          <w:rFonts w:hint="eastAsia" w:ascii="Times New Roman" w:eastAsia="仿宋_GB2312"/>
          <w:sz w:val="32"/>
          <w:highlight w:val="none"/>
        </w:rPr>
        <w:t>万元，结转结余变动率</w:t>
      </w:r>
      <w:r>
        <w:rPr>
          <w:rFonts w:hint="eastAsia" w:ascii="Times New Roman" w:eastAsia="仿宋_GB2312"/>
          <w:sz w:val="32"/>
          <w:highlight w:val="none"/>
          <w:lang w:val="en-US" w:eastAsia="zh-CN"/>
        </w:rPr>
        <w:t>-15.96%</w:t>
      </w:r>
      <w:r>
        <w:rPr>
          <w:rFonts w:ascii="Times New Roman" w:eastAsia="仿宋_GB2312"/>
          <w:sz w:val="32"/>
          <w:highlight w:val="none"/>
        </w:rPr>
        <w:t>。</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（2）财务管理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rPr>
        <w:t>财务管理制度健全</w:t>
      </w:r>
      <w:r>
        <w:rPr>
          <w:rFonts w:hint="eastAsia" w:ascii="Times New Roman" w:eastAsia="仿宋_GB2312"/>
          <w:sz w:val="32"/>
          <w:highlight w:val="none"/>
          <w:lang w:eastAsia="zh-CN"/>
        </w:rPr>
        <w:t>，</w:t>
      </w:r>
      <w:r>
        <w:rPr>
          <w:rFonts w:hint="eastAsia" w:ascii="Times New Roman" w:eastAsia="仿宋_GB2312"/>
          <w:sz w:val="32"/>
          <w:highlight w:val="none"/>
        </w:rPr>
        <w:t>依据《政府会计制度》进行财务核算。会计凭证、会计账簿、财务会计报告和其他会计资料均符合会计制度的规定，财务信息真实、完整，资金支出、会计核算方面较为规范，未发现违规支付及超标准开支的情况。中心预算、决算信息及三公经费支出情况按照信息公开的要求定期在指定网站公开。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ascii="Times New Roman" w:eastAsia="仿宋_GB2312"/>
          <w:sz w:val="32"/>
          <w:highlight w:val="none"/>
        </w:rPr>
        <w:t>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资金使</w:t>
      </w:r>
      <w:r>
        <w:rPr>
          <w:rFonts w:ascii="Times New Roman" w:eastAsia="仿宋_GB2312"/>
          <w:sz w:val="32"/>
          <w:highlight w:val="none"/>
        </w:rPr>
        <w:t>用规范性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我院资金支出总体上审批程序合规、手续齐全，支出内容符合省财政预算批复规定的用途，严格使用公务卡报销，有效提高了财务资金使用的合理性和规范性</w:t>
      </w:r>
      <w:r>
        <w:rPr>
          <w:rFonts w:hint="eastAsia" w:ascii="Times New Roman" w:eastAsia="仿宋_GB2312"/>
          <w:sz w:val="32"/>
          <w:highlight w:val="none"/>
          <w:lang w:eastAsia="zh-CN"/>
        </w:rPr>
        <w:t>，</w:t>
      </w:r>
      <w:r>
        <w:rPr>
          <w:rFonts w:hint="eastAsia" w:ascii="Times New Roman" w:eastAsia="仿宋_GB2312"/>
          <w:sz w:val="32"/>
          <w:highlight w:val="none"/>
        </w:rPr>
        <w:t>防止了国有资金流失。该指标分值2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分，自评得分为2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（3）采购管理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我院采购实际执行情况与采购计划安排无差异。采购事项严格执行相关标准，采购业务符合政府采购相关规定</w:t>
      </w:r>
      <w:r>
        <w:rPr>
          <w:rFonts w:hint="eastAsia" w:ascii="Times New Roman" w:eastAsia="仿宋_GB2312"/>
          <w:sz w:val="32"/>
          <w:highlight w:val="none"/>
          <w:lang w:eastAsia="zh-CN"/>
        </w:rPr>
        <w:t>，</w:t>
      </w:r>
      <w:r>
        <w:rPr>
          <w:rFonts w:hint="eastAsia" w:ascii="Times New Roman" w:eastAsia="仿宋_GB2312"/>
          <w:sz w:val="32"/>
          <w:highlight w:val="none"/>
        </w:rPr>
        <w:t>采购文件、档案完整。政府采购规范性指标分值2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ascii="Times New Roman" w:eastAsia="仿宋_GB2312"/>
          <w:sz w:val="32"/>
          <w:highlight w:val="none"/>
        </w:rPr>
        <w:t>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（4）资产管理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2022年我院账务和资产卡片数据相符，资产卡片与实物相符，各类资产保存完整、使用合规、配置合理、处置规范，资产处置收入能够及时足额上缴财政，资产管理符合相关要求。资产管理规范性指标分值2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（5）人员</w:t>
      </w:r>
      <w:r>
        <w:rPr>
          <w:rFonts w:ascii="Times New Roman" w:eastAsia="仿宋_GB2312"/>
          <w:sz w:val="32"/>
          <w:highlight w:val="none"/>
        </w:rPr>
        <w:t>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截止2022年12月31日，核定政法编制39人，实有在职人员33人，</w:t>
      </w:r>
      <w:r>
        <w:rPr>
          <w:rFonts w:hint="eastAsia" w:ascii="Times New Roman" w:hAnsi="宋体" w:eastAsia="仿宋_GB2312"/>
          <w:sz w:val="32"/>
          <w:szCs w:val="28"/>
        </w:rPr>
        <w:t>在职人员控制率为100%</w:t>
      </w:r>
      <w:r>
        <w:rPr>
          <w:rFonts w:hint="eastAsia" w:ascii="Times New Roman" w:eastAsia="仿宋_GB2312"/>
          <w:sz w:val="32"/>
          <w:highlight w:val="none"/>
        </w:rPr>
        <w:t>。在职人员控制率指标分值2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分，自评得分2</w:t>
      </w:r>
      <w:r>
        <w:rPr>
          <w:rFonts w:hint="eastAsia" w:ascii="Times New Roman" w:eastAsia="仿宋_GB2312"/>
          <w:sz w:val="32"/>
          <w:highlight w:val="none"/>
          <w:lang w:val="en-US" w:eastAsia="zh-CN"/>
        </w:rPr>
        <w:t>.7</w:t>
      </w:r>
      <w:r>
        <w:rPr>
          <w:rFonts w:hint="eastAsia" w:ascii="Times New Roman" w:eastAsia="仿宋_GB2312"/>
          <w:sz w:val="32"/>
          <w:highlight w:val="none"/>
        </w:rPr>
        <w:t>分，得分率为1</w:t>
      </w:r>
      <w:r>
        <w:rPr>
          <w:rFonts w:ascii="Times New Roman" w:eastAsia="仿宋_GB2312"/>
          <w:sz w:val="32"/>
          <w:highlight w:val="none"/>
        </w:rPr>
        <w:t>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我院针对重点工作，修订并完善了相关案件审判制度，制度合法、合规、完整，并且能够有效执行和指导重点工作的有效推进和实施。重点工作管理制度健全性指标分值2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4" w:name="_Toc24486"/>
      <w:bookmarkStart w:id="95" w:name="_Toc15417"/>
      <w:bookmarkStart w:id="96" w:name="_Toc25347"/>
      <w:bookmarkStart w:id="97" w:name="_Toc19704"/>
      <w:bookmarkStart w:id="98" w:name="_Toc29524"/>
      <w:r>
        <w:rPr>
          <w:rFonts w:hint="eastAsia" w:ascii="仿宋_GB2312" w:eastAsia="仿宋_GB2312"/>
          <w:b/>
          <w:sz w:val="32"/>
          <w:highlight w:val="none"/>
        </w:rPr>
        <w:t>3.履职效果目标完成情况分析</w:t>
      </w:r>
      <w:bookmarkEnd w:id="94"/>
      <w:bookmarkEnd w:id="95"/>
      <w:bookmarkEnd w:id="96"/>
      <w:bookmarkEnd w:id="97"/>
      <w:bookmarkEnd w:id="9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履职效果指标包括部门履职、部门效果</w:t>
      </w:r>
      <w:r>
        <w:rPr>
          <w:rFonts w:hint="eastAsia" w:ascii="Times New Roman" w:eastAsia="仿宋_GB2312"/>
          <w:sz w:val="32"/>
          <w:highlight w:val="none"/>
          <w:lang w:val="en-US" w:eastAsia="zh-CN"/>
        </w:rPr>
        <w:t>和</w:t>
      </w:r>
      <w:r>
        <w:rPr>
          <w:rFonts w:hint="eastAsia" w:ascii="Times New Roman" w:eastAsia="仿宋_GB2312"/>
          <w:sz w:val="32"/>
          <w:highlight w:val="none"/>
        </w:rPr>
        <w:t>社会影响</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个三级指标。履职效果指标分值</w:t>
      </w:r>
      <w:r>
        <w:rPr>
          <w:rFonts w:hint="eastAsia" w:ascii="Times New Roman" w:eastAsia="仿宋_GB2312"/>
          <w:sz w:val="32"/>
          <w:highlight w:val="none"/>
          <w:lang w:val="en-US" w:eastAsia="zh-CN"/>
        </w:rPr>
        <w:t>42</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41.36</w:t>
      </w:r>
      <w:r>
        <w:rPr>
          <w:rFonts w:hint="eastAsia" w:ascii="Times New Roman" w:eastAsia="仿宋_GB2312"/>
          <w:sz w:val="32"/>
          <w:highlight w:val="none"/>
        </w:rPr>
        <w:t>分，</w:t>
      </w:r>
      <w:r>
        <w:rPr>
          <w:rFonts w:ascii="Times New Roman" w:eastAsia="仿宋_GB2312"/>
          <w:sz w:val="32"/>
          <w:highlight w:val="none"/>
        </w:rPr>
        <w:t>得分率</w:t>
      </w:r>
      <w:r>
        <w:rPr>
          <w:rFonts w:hint="eastAsia" w:ascii="Times New Roman" w:eastAsia="仿宋_GB2312"/>
          <w:sz w:val="32"/>
          <w:highlight w:val="none"/>
          <w:lang w:val="en-US" w:eastAsia="zh-CN"/>
        </w:rPr>
        <w:t>98.48</w:t>
      </w:r>
      <w:r>
        <w:rPr>
          <w:rFonts w:ascii="Times New Roman" w:eastAsia="仿宋_GB2312"/>
          <w:sz w:val="32"/>
          <w:highlight w:val="none"/>
        </w:rPr>
        <w:t>%</w:t>
      </w:r>
      <w:r>
        <w:rPr>
          <w:rFonts w:hint="eastAsia" w:ascii="Times New Roman" w:eastAsia="仿宋_GB2312"/>
          <w:sz w:val="32"/>
          <w:highlight w:val="none"/>
        </w:rPr>
        <w:t>。具体如下表：</w:t>
      </w:r>
    </w:p>
    <w:tbl>
      <w:tblPr>
        <w:tblStyle w:val="19"/>
        <w:tblW w:w="903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24</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23.36</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97.33</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12</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12</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42</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41.36</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98.48</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（1）部门</w:t>
      </w:r>
      <w:r>
        <w:rPr>
          <w:rFonts w:ascii="Times New Roman" w:eastAsia="仿宋_GB2312"/>
          <w:sz w:val="32"/>
          <w:highlight w:val="none"/>
        </w:rPr>
        <w:t>履职指标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default" w:ascii="Times New Roman" w:hAnsi="仿宋" w:eastAsia="仿宋_GB2312" w:cs="仿宋"/>
          <w:sz w:val="32"/>
          <w:highlight w:val="none"/>
          <w:lang w:val="en-US" w:eastAsia="zh-CN"/>
        </w:rPr>
      </w:pPr>
      <w:r>
        <w:rPr>
          <w:rFonts w:hint="eastAsia" w:ascii="Times New Roman" w:eastAsia="仿宋_GB2312"/>
          <w:sz w:val="32"/>
          <w:highlight w:val="none"/>
        </w:rPr>
        <w:t>部门履职</w:t>
      </w:r>
      <w:r>
        <w:rPr>
          <w:rFonts w:hint="eastAsia" w:ascii="Times New Roman" w:eastAsia="仿宋_GB2312"/>
          <w:sz w:val="32"/>
          <w:highlight w:val="none"/>
          <w:lang w:eastAsia="zh-CN"/>
        </w:rPr>
        <w:t>指标</w:t>
      </w:r>
      <w:r>
        <w:rPr>
          <w:rFonts w:hint="eastAsia" w:ascii="Times New Roman" w:eastAsia="仿宋_GB2312"/>
          <w:sz w:val="32"/>
          <w:highlight w:val="none"/>
        </w:rPr>
        <w:t>分值</w:t>
      </w:r>
      <w:r>
        <w:rPr>
          <w:rFonts w:hint="eastAsia" w:ascii="Times New Roman" w:eastAsia="仿宋_GB2312"/>
          <w:sz w:val="32"/>
          <w:highlight w:val="none"/>
          <w:lang w:val="en-US" w:eastAsia="zh-CN"/>
        </w:rPr>
        <w:t>24</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23.36</w:t>
      </w:r>
      <w:r>
        <w:rPr>
          <w:rFonts w:hint="eastAsia" w:ascii="Times New Roman" w:eastAsia="仿宋_GB2312"/>
          <w:sz w:val="32"/>
          <w:highlight w:val="none"/>
        </w:rPr>
        <w:t>分，得分率97.33%。</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eastAsia="zh-CN"/>
        </w:rPr>
      </w:pPr>
      <w:r>
        <w:rPr>
          <w:rFonts w:hint="eastAsia" w:ascii="Times New Roman" w:eastAsia="仿宋_GB2312"/>
          <w:color w:val="auto"/>
          <w:sz w:val="32"/>
        </w:rPr>
        <w:t>受理各类案件工作完成情况</w:t>
      </w:r>
      <w:r>
        <w:rPr>
          <w:rFonts w:hint="eastAsia" w:ascii="Times New Roman" w:eastAsia="仿宋_GB2312"/>
          <w:color w:val="auto"/>
          <w:sz w:val="32"/>
          <w:lang w:eastAsia="zh-CN"/>
        </w:rPr>
        <w:t>：</w:t>
      </w:r>
      <w:r>
        <w:rPr>
          <w:rFonts w:hint="eastAsia" w:ascii="Times New Roman" w:hAnsi="宋体" w:eastAsia="仿宋_GB2312"/>
          <w:color w:val="auto"/>
          <w:sz w:val="32"/>
          <w:szCs w:val="28"/>
        </w:rPr>
        <w:t>我院积极优化审判资源，狠抓执法办案第一要务</w:t>
      </w:r>
      <w:r>
        <w:rPr>
          <w:rFonts w:hint="eastAsia" w:ascii="Times New Roman" w:hAnsi="宋体" w:eastAsia="仿宋_GB2312"/>
          <w:color w:val="auto"/>
          <w:sz w:val="32"/>
          <w:szCs w:val="28"/>
          <w:lang w:eastAsia="zh-CN"/>
        </w:rPr>
        <w:t>，</w:t>
      </w:r>
      <w:r>
        <w:rPr>
          <w:rFonts w:hint="eastAsia" w:ascii="Times New Roman" w:eastAsia="仿宋_GB2312"/>
          <w:color w:val="auto"/>
          <w:sz w:val="32"/>
          <w:lang w:val="en-US" w:eastAsia="zh-CN"/>
        </w:rPr>
        <w:t>全年</w:t>
      </w:r>
      <w:r>
        <w:rPr>
          <w:rFonts w:hint="eastAsia" w:ascii="Times New Roman" w:hAnsi="Times New Roman" w:eastAsia="仿宋_GB2312" w:cs="Times New Roman"/>
          <w:color w:val="auto"/>
          <w:sz w:val="32"/>
          <w:szCs w:val="32"/>
          <w:shd w:val="clear" w:color="auto" w:fill="FFFFFF"/>
        </w:rPr>
        <w:t>共受理各类案件706件，</w:t>
      </w:r>
      <w:r>
        <w:rPr>
          <w:rFonts w:hint="eastAsia" w:ascii="Times New Roman" w:eastAsia="仿宋_GB2312" w:cs="Times New Roman"/>
          <w:color w:val="auto"/>
          <w:sz w:val="32"/>
          <w:szCs w:val="32"/>
          <w:shd w:val="clear" w:color="auto" w:fill="FFFFFF"/>
          <w:lang w:val="en-US" w:eastAsia="zh-CN"/>
        </w:rPr>
        <w:t>其中：</w:t>
      </w:r>
      <w:r>
        <w:rPr>
          <w:rFonts w:hint="eastAsia" w:ascii="Times New Roman" w:hAnsi="Times New Roman" w:eastAsia="仿宋_GB2312" w:cs="Times New Roman"/>
          <w:color w:val="auto"/>
          <w:sz w:val="32"/>
          <w:szCs w:val="32"/>
          <w:shd w:val="clear" w:color="auto" w:fill="FFFFFF"/>
        </w:rPr>
        <w:t>刑事案件4件</w:t>
      </w:r>
      <w:r>
        <w:rPr>
          <w:rFonts w:hint="eastAsia" w:asci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受理民事案件600件</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执行案件102件</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eastAsia="仿宋_GB2312" w:cs="Times New Roman"/>
          <w:color w:val="auto"/>
          <w:sz w:val="32"/>
          <w:szCs w:val="32"/>
          <w:shd w:val="clear" w:color="auto" w:fill="FFFFFF"/>
          <w:lang w:val="en-US" w:eastAsia="zh-CN"/>
        </w:rPr>
        <w:t>完成年度目标，</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w:t>
      </w:r>
      <w:r>
        <w:rPr>
          <w:rFonts w:ascii="Times New Roman" w:eastAsia="仿宋_GB2312"/>
          <w:color w:val="auto"/>
          <w:sz w:val="32"/>
          <w:highlight w:val="none"/>
        </w:rPr>
        <w:t>0</w:t>
      </w:r>
      <w:r>
        <w:rPr>
          <w:rFonts w:hint="eastAsia" w:ascii="Times New Roman" w:eastAsia="仿宋_GB2312"/>
          <w:color w:val="auto"/>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eastAsia="zh-CN"/>
        </w:rPr>
      </w:pPr>
      <w:r>
        <w:rPr>
          <w:rFonts w:hint="eastAsia" w:ascii="Times New Roman" w:eastAsia="仿宋_GB2312"/>
          <w:color w:val="auto"/>
          <w:sz w:val="32"/>
          <w:lang w:val="en-US" w:eastAsia="zh-CN"/>
        </w:rPr>
        <w:t>审判执行案件工作完成情况：全年</w:t>
      </w:r>
      <w:r>
        <w:rPr>
          <w:rFonts w:hint="eastAsia" w:ascii="Times New Roman" w:hAnsi="仿宋_GB2312" w:eastAsia="仿宋_GB2312" w:cs="仿宋_GB2312"/>
          <w:color w:val="auto"/>
          <w:sz w:val="32"/>
          <w:szCs w:val="32"/>
        </w:rPr>
        <w:t>受理各类执行案件102件，执结94件，执结率为89.41%</w:t>
      </w:r>
      <w:r>
        <w:rPr>
          <w:rFonts w:hint="eastAsia" w:ascii="Times New Roman" w:eastAsia="仿宋_GB2312"/>
          <w:color w:val="auto"/>
          <w:sz w:val="32"/>
          <w:lang w:eastAsia="zh-CN"/>
        </w:rPr>
        <w:t>，</w:t>
      </w:r>
      <w:r>
        <w:rPr>
          <w:rFonts w:hint="eastAsia" w:ascii="Times New Roman" w:eastAsia="仿宋_GB2312"/>
          <w:color w:val="auto"/>
          <w:sz w:val="32"/>
          <w:lang w:val="en-US" w:eastAsia="zh-CN"/>
        </w:rPr>
        <w:t>未完成年度目标，</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5.36</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89.33</w:t>
      </w:r>
      <w:r>
        <w:rPr>
          <w:rFonts w:hint="eastAsia" w:ascii="Times New Roman" w:eastAsia="仿宋_GB2312"/>
          <w:color w:val="auto"/>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val="en-US" w:eastAsia="zh-CN"/>
        </w:rPr>
        <w:t>审判民事案件工作完成情况：受理民事案件600件（含旧存案件83件），审结544件</w:t>
      </w:r>
      <w:r>
        <w:rPr>
          <w:rFonts w:hint="eastAsia" w:ascii="Times New Roman" w:eastAsia="仿宋_GB2312"/>
          <w:sz w:val="32"/>
          <w:lang w:eastAsia="zh-CN"/>
        </w:rPr>
        <w:t>，结案率90%。</w:t>
      </w:r>
      <w:r>
        <w:rPr>
          <w:rFonts w:hint="eastAsia" w:ascii="Times New Roman" w:eastAsia="仿宋_GB2312"/>
          <w:sz w:val="32"/>
          <w:highlight w:val="none"/>
        </w:rPr>
        <w:t>指标分值</w:t>
      </w:r>
      <w:r>
        <w:rPr>
          <w:rFonts w:hint="eastAsia" w:ascii="Times New Roman" w:eastAsia="仿宋_GB2312"/>
          <w:sz w:val="32"/>
          <w:highlight w:val="none"/>
          <w:lang w:val="en-US" w:eastAsia="zh-CN"/>
        </w:rPr>
        <w:t>6</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6</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eastAsia="zh-CN"/>
        </w:rPr>
      </w:pPr>
      <w:r>
        <w:rPr>
          <w:rFonts w:hint="default" w:ascii="Times New Roman" w:hAnsi="Calibri" w:eastAsia="仿宋_GB2312" w:cs="Calibri"/>
          <w:color w:val="auto"/>
          <w:sz w:val="32"/>
          <w:highlight w:val="none"/>
          <w:lang w:val="en-US" w:eastAsia="zh-CN"/>
        </w:rPr>
        <w:t>审刑事案件工作完成情况</w:t>
      </w:r>
      <w:r>
        <w:rPr>
          <w:rFonts w:hint="eastAsia" w:ascii="Times New Roman" w:hAnsi="Calibri" w:eastAsia="仿宋_GB2312" w:cs="Calibri"/>
          <w:color w:val="auto"/>
          <w:sz w:val="32"/>
          <w:highlight w:val="none"/>
          <w:lang w:val="en-US" w:eastAsia="zh-CN"/>
        </w:rPr>
        <w:t>：全年</w:t>
      </w:r>
      <w:r>
        <w:rPr>
          <w:rFonts w:hint="eastAsia" w:ascii="Times New Roman" w:hAnsi="Times New Roman" w:eastAsia="仿宋_GB2312" w:cs="Times New Roman"/>
          <w:color w:val="auto"/>
          <w:sz w:val="32"/>
          <w:szCs w:val="32"/>
          <w:shd w:val="clear" w:color="auto" w:fill="FFFFFF"/>
        </w:rPr>
        <w:t>受理刑事案件4件，判处罪犯6人，结案率100%</w:t>
      </w:r>
      <w:r>
        <w:rPr>
          <w:rFonts w:hint="eastAsia" w:ascii="Times New Roman" w:eastAsia="仿宋_GB2312"/>
          <w:color w:val="auto"/>
          <w:sz w:val="32"/>
          <w:lang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88.33</w:t>
      </w:r>
      <w:r>
        <w:rPr>
          <w:rFonts w:hint="eastAsia" w:ascii="Times New Roman" w:eastAsia="仿宋_GB2312"/>
          <w:color w:val="auto"/>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（2）部门效果指标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部门效果指标分值</w:t>
      </w:r>
      <w:r>
        <w:rPr>
          <w:rFonts w:hint="eastAsia" w:ascii="Times New Roman" w:eastAsia="仿宋_GB2312"/>
          <w:sz w:val="32"/>
          <w:highlight w:val="none"/>
          <w:lang w:val="en-US" w:eastAsia="zh-CN"/>
        </w:rPr>
        <w:t>12</w:t>
      </w:r>
      <w:r>
        <w:rPr>
          <w:rFonts w:hint="eastAsia" w:ascii="Times New Roman" w:eastAsia="仿宋_GB2312"/>
          <w:sz w:val="32"/>
          <w:highlight w:val="none"/>
          <w:lang w:eastAsia="zh-CN"/>
        </w:rPr>
        <w:t>分，自评得分</w:t>
      </w:r>
      <w:r>
        <w:rPr>
          <w:rFonts w:hint="eastAsia" w:ascii="Times New Roman" w:eastAsia="仿宋_GB2312"/>
          <w:sz w:val="32"/>
          <w:highlight w:val="none"/>
          <w:lang w:val="en-US" w:eastAsia="zh-CN"/>
        </w:rPr>
        <w:t>12</w:t>
      </w:r>
      <w:r>
        <w:rPr>
          <w:rFonts w:hint="eastAsia" w:ascii="Times New Roman" w:eastAsia="仿宋_GB2312"/>
          <w:sz w:val="32"/>
          <w:highlight w:val="none"/>
          <w:lang w:eastAsia="zh-CN"/>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eastAsia="zh-CN"/>
        </w:rPr>
      </w:pPr>
      <w:r>
        <w:rPr>
          <w:rFonts w:hint="default" w:ascii="Times New Roman" w:hAnsi="Calibri" w:eastAsia="仿宋_GB2312" w:cs="Calibri"/>
          <w:color w:val="auto"/>
          <w:sz w:val="32"/>
          <w:highlight w:val="none"/>
          <w:lang w:val="en-US" w:eastAsia="zh-CN"/>
        </w:rPr>
        <w:t>开展法制宣传活动次数</w:t>
      </w:r>
      <w:r>
        <w:rPr>
          <w:rFonts w:hint="eastAsia" w:ascii="Times New Roman" w:hAnsi="Calibri" w:eastAsia="仿宋_GB2312" w:cs="Calibri"/>
          <w:color w:val="auto"/>
          <w:sz w:val="32"/>
          <w:highlight w:val="none"/>
          <w:lang w:val="en-US" w:eastAsia="zh-CN"/>
        </w:rPr>
        <w:t>：</w:t>
      </w:r>
      <w:r>
        <w:rPr>
          <w:rFonts w:hint="eastAsia" w:ascii="Times New Roman" w:hAnsi="Times New Roman" w:eastAsia="仿宋_GB2312" w:cs="Times New Roman"/>
          <w:color w:val="auto"/>
          <w:sz w:val="32"/>
          <w:szCs w:val="32"/>
          <w:shd w:val="clear" w:color="auto" w:fill="FFFFFF"/>
        </w:rPr>
        <w:t>自开通微信公众号以来，发布信息700余条，及时报道法院工作动态、普及法律知识、摘登典型案例、转发防疫信息等，发挥司法裁判的社会导向作用，积极宣传法治正能量</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eastAsia="仿宋_GB2312"/>
          <w:color w:val="auto"/>
          <w:sz w:val="32"/>
          <w:lang w:val="en-US" w:eastAsia="zh-CN"/>
        </w:rPr>
        <w:t>年度目标值</w:t>
      </w:r>
      <w:r>
        <w:rPr>
          <w:rFonts w:hint="eastAsia" w:ascii="Times New Roman" w:hAnsi="仿宋" w:eastAsia="仿宋_GB2312" w:cs="仿宋"/>
          <w:color w:val="auto"/>
          <w:sz w:val="32"/>
          <w:lang w:val="en-US" w:eastAsia="zh-CN"/>
        </w:rPr>
        <w:t>≥1</w:t>
      </w:r>
      <w:r>
        <w:rPr>
          <w:rFonts w:hint="eastAsia" w:ascii="Times New Roman" w:eastAsia="仿宋_GB2312"/>
          <w:color w:val="auto"/>
          <w:sz w:val="32"/>
          <w:lang w:val="en-US" w:eastAsia="zh-CN"/>
        </w:rPr>
        <w:t>次，实际</w:t>
      </w:r>
      <w:r>
        <w:rPr>
          <w:rFonts w:hint="default" w:ascii="Times New Roman" w:hAnsi="Calibri" w:eastAsia="仿宋_GB2312" w:cs="Calibri"/>
          <w:color w:val="auto"/>
          <w:sz w:val="32"/>
          <w:highlight w:val="none"/>
          <w:lang w:val="en-US" w:eastAsia="zh-CN"/>
        </w:rPr>
        <w:t>开展法制宣传活动次数</w:t>
      </w:r>
      <w:r>
        <w:rPr>
          <w:rFonts w:hint="eastAsia" w:ascii="Times New Roman" w:eastAsia="仿宋_GB2312"/>
          <w:color w:val="auto"/>
          <w:sz w:val="32"/>
          <w:lang w:val="en-US" w:eastAsia="zh-CN"/>
        </w:rPr>
        <w:t>10次</w:t>
      </w:r>
      <w:r>
        <w:rPr>
          <w:rFonts w:hint="eastAsia" w:ascii="Times New Roman" w:eastAsia="仿宋_GB2312"/>
          <w:color w:val="auto"/>
          <w:sz w:val="32"/>
          <w:lang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w:t>
      </w:r>
      <w:r>
        <w:rPr>
          <w:rFonts w:ascii="Times New Roman" w:eastAsia="仿宋_GB2312"/>
          <w:color w:val="auto"/>
          <w:sz w:val="32"/>
          <w:highlight w:val="none"/>
        </w:rPr>
        <w:t>0</w:t>
      </w:r>
      <w:r>
        <w:rPr>
          <w:rFonts w:hint="eastAsia" w:ascii="Times New Roman" w:eastAsia="仿宋_GB2312"/>
          <w:color w:val="auto"/>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eastAsia="zh-CN"/>
        </w:rPr>
      </w:pPr>
      <w:r>
        <w:rPr>
          <w:rFonts w:hint="eastAsia" w:ascii="Times New Roman" w:eastAsia="仿宋_GB2312"/>
          <w:color w:val="auto"/>
          <w:sz w:val="32"/>
          <w:highlight w:val="none"/>
          <w:lang w:val="en-US" w:eastAsia="zh-CN"/>
        </w:rPr>
        <w:t>化解社会矛盾、维护社会稳定：</w:t>
      </w:r>
      <w:r>
        <w:rPr>
          <w:rFonts w:hint="eastAsia" w:ascii="Times New Roman" w:hAnsi="仿宋" w:eastAsia="仿宋_GB2312" w:cs="Times New Roman"/>
          <w:bCs/>
          <w:color w:val="auto"/>
          <w:kern w:val="0"/>
          <w:sz w:val="32"/>
          <w:szCs w:val="32"/>
        </w:rPr>
        <w:t>坚持“调解优先、调判结合”，调撤率达73.29％，法官在调解工作中坚持耐心、诚心、恒心、公心，从法、理、情多方面向当事人释法、明理，促使当事人自愿达成调解意见。通过公正裁判树立行为规则，引领社会风尚，做到让司法有力量、有是非、有温度；让群众有温暖、有遵循、有保障</w:t>
      </w:r>
      <w:r>
        <w:rPr>
          <w:rFonts w:hint="eastAsia" w:ascii="Times New Roman" w:eastAsia="仿宋_GB2312"/>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达到年度指标值</w:t>
      </w:r>
      <w:r>
        <w:rPr>
          <w:rFonts w:hint="eastAsia" w:ascii="Times New Roman" w:eastAsia="仿宋_GB2312"/>
          <w:color w:val="auto"/>
          <w:sz w:val="32"/>
          <w:lang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6</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w:t>
      </w:r>
      <w:r>
        <w:rPr>
          <w:rFonts w:ascii="Times New Roman" w:eastAsia="仿宋_GB2312"/>
          <w:color w:val="auto"/>
          <w:sz w:val="32"/>
          <w:highlight w:val="none"/>
        </w:rPr>
        <w:t>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w:t>
      </w:r>
      <w:r>
        <w:rPr>
          <w:rFonts w:hint="eastAsia" w:ascii="Times New Roman" w:eastAsia="仿宋_GB2312"/>
          <w:sz w:val="32"/>
          <w:highlight w:val="none"/>
          <w:lang w:val="en-US" w:eastAsia="zh-CN"/>
        </w:rPr>
        <w:t>3</w:t>
      </w:r>
      <w:r>
        <w:rPr>
          <w:rFonts w:hint="eastAsia" w:ascii="Times New Roman" w:eastAsia="仿宋_GB2312"/>
          <w:sz w:val="32"/>
          <w:highlight w:val="none"/>
        </w:rPr>
        <w:t>）社会影响</w:t>
      </w:r>
    </w:p>
    <w:p>
      <w:pPr>
        <w:pStyle w:val="20"/>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社会影响指标分值</w:t>
      </w:r>
      <w:r>
        <w:rPr>
          <w:rFonts w:hint="eastAsia" w:ascii="Times New Roman" w:eastAsia="仿宋_GB2312"/>
          <w:sz w:val="32"/>
          <w:highlight w:val="none"/>
          <w:lang w:val="en-US" w:eastAsia="zh-CN"/>
        </w:rPr>
        <w:t>6</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6</w:t>
      </w:r>
      <w:r>
        <w:rPr>
          <w:rFonts w:hint="eastAsia" w:ascii="Times New Roman" w:eastAsia="仿宋_GB2312"/>
          <w:sz w:val="32"/>
          <w:highlight w:val="none"/>
        </w:rPr>
        <w:t>分，得分率100%。</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rPr>
        <w:t>违法违纪情况</w:t>
      </w:r>
      <w:r>
        <w:rPr>
          <w:rFonts w:hint="eastAsia" w:ascii="Times New Roman" w:eastAsia="仿宋_GB2312"/>
          <w:sz w:val="32"/>
          <w:highlight w:val="none"/>
          <w:lang w:eastAsia="zh-CN"/>
        </w:rPr>
        <w:t>：</w:t>
      </w:r>
      <w:r>
        <w:rPr>
          <w:rFonts w:hint="eastAsia" w:ascii="Times New Roman" w:eastAsia="仿宋_GB2312"/>
          <w:sz w:val="32"/>
          <w:lang w:val="en-US" w:eastAsia="zh-CN"/>
        </w:rPr>
        <w:t>2022年我院未出现在国家层面督查或人大审计、监察等监督监察时发现问题被问责的情况</w:t>
      </w:r>
      <w:r>
        <w:rPr>
          <w:rFonts w:hint="eastAsia" w:ascii="Times New Roman" w:eastAsia="仿宋_GB2312"/>
          <w:sz w:val="32"/>
          <w:lang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6</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6</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9" w:name="_Toc10966"/>
      <w:bookmarkStart w:id="100" w:name="_Toc30570"/>
      <w:bookmarkStart w:id="101" w:name="_Toc30465"/>
      <w:bookmarkStart w:id="102" w:name="_Toc13530"/>
      <w:bookmarkStart w:id="103" w:name="_Toc26820"/>
      <w:r>
        <w:rPr>
          <w:rFonts w:hint="eastAsia" w:ascii="仿宋_GB2312" w:eastAsia="仿宋_GB2312"/>
          <w:b/>
          <w:sz w:val="32"/>
          <w:highlight w:val="none"/>
        </w:rPr>
        <w:t>4.能力建设目标完成情况分析</w:t>
      </w:r>
      <w:bookmarkEnd w:id="99"/>
      <w:bookmarkEnd w:id="100"/>
      <w:bookmarkEnd w:id="101"/>
      <w:bookmarkEnd w:id="102"/>
      <w:bookmarkEnd w:id="103"/>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能力建设指标包括长效管理</w:t>
      </w:r>
      <w:r>
        <w:rPr>
          <w:rFonts w:hint="eastAsia" w:ascii="Times New Roman" w:eastAsia="仿宋_GB2312"/>
          <w:sz w:val="32"/>
          <w:highlight w:val="none"/>
          <w:lang w:val="en-US" w:eastAsia="zh-CN"/>
        </w:rPr>
        <w:t>、</w:t>
      </w:r>
      <w:r>
        <w:rPr>
          <w:rFonts w:hint="eastAsia" w:ascii="Times New Roman" w:eastAsia="仿宋_GB2312"/>
          <w:sz w:val="32"/>
          <w:highlight w:val="none"/>
        </w:rPr>
        <w:t>人力资源建设、档案管理</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个三级指标。能力建设指标分值</w:t>
      </w:r>
      <w:r>
        <w:rPr>
          <w:rFonts w:hint="eastAsia" w:ascii="Times New Roman" w:eastAsia="仿宋_GB2312"/>
          <w:sz w:val="32"/>
          <w:highlight w:val="none"/>
          <w:lang w:val="en-US" w:eastAsia="zh-CN"/>
        </w:rPr>
        <w:t>15</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15</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9"/>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0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90"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长效管理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6</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6</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15</w:t>
            </w:r>
          </w:p>
        </w:tc>
        <w:tc>
          <w:tcPr>
            <w:tcW w:w="1559" w:type="dxa"/>
            <w:shd w:val="clear" w:color="auto" w:fill="BDD6EE"/>
            <w:vAlign w:val="center"/>
          </w:tcPr>
          <w:p>
            <w:pPr>
              <w:widowControl/>
              <w:wordWrap/>
              <w:autoSpaceDE w:val="0"/>
              <w:autoSpaceDN w:val="0"/>
              <w:adjustRightInd/>
              <w:snapToGrid/>
              <w:spacing w:line="240" w:lineRule="auto"/>
              <w:ind w:firstLine="442" w:firstLineChars="20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15</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长效管理</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在认真贯彻执行中央重大方针政策及省委省政府决策部署的基础上，坚持重点工作和基本工作相结合，强基固本做好各项基础性工作，中期规划建设完备程度</w:t>
      </w:r>
      <w:r>
        <w:rPr>
          <w:rFonts w:hint="eastAsia" w:ascii="Times New Roman" w:eastAsia="仿宋_GB2312"/>
          <w:sz w:val="32"/>
          <w:highlight w:val="none"/>
          <w:lang w:val="en-US" w:eastAsia="zh-CN"/>
        </w:rPr>
        <w:t>分值6分，得分6分。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分值6分，得分6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3</w:t>
      </w:r>
      <w:r>
        <w:rPr>
          <w:rFonts w:hint="eastAsia" w:ascii="Times New Roman" w:eastAsia="仿宋_GB2312"/>
          <w:color w:val="auto"/>
          <w:sz w:val="32"/>
          <w:highlight w:val="none"/>
          <w:lang w:eastAsia="zh-CN"/>
        </w:rPr>
        <w:t>）档案管理：</w:t>
      </w:r>
      <w:r>
        <w:rPr>
          <w:rFonts w:hint="eastAsia" w:ascii="Times New Roman" w:hAnsi="仿宋" w:eastAsia="仿宋_GB2312"/>
          <w:color w:val="auto"/>
          <w:sz w:val="32"/>
          <w:szCs w:val="32"/>
          <w:highlight w:val="none"/>
        </w:rPr>
        <w:t>档案管理工作规范运行，档案管理部门</w:t>
      </w:r>
      <w:r>
        <w:rPr>
          <w:rFonts w:hint="eastAsia" w:ascii="Times New Roman" w:hAnsi="仿宋" w:eastAsia="仿宋_GB2312"/>
          <w:color w:val="auto"/>
          <w:sz w:val="32"/>
          <w:szCs w:val="32"/>
          <w:highlight w:val="none"/>
          <w:lang w:val="en-US" w:eastAsia="zh-CN"/>
        </w:rPr>
        <w:t>归档及时完备</w:t>
      </w:r>
      <w:r>
        <w:rPr>
          <w:rFonts w:hint="eastAsia" w:ascii="Times New Roman" w:hAnsi="仿宋" w:eastAsia="仿宋_GB2312"/>
          <w:color w:val="auto"/>
          <w:sz w:val="32"/>
          <w:szCs w:val="32"/>
          <w:highlight w:val="none"/>
        </w:rPr>
        <w:t>。</w:t>
      </w:r>
      <w:r>
        <w:rPr>
          <w:rFonts w:hint="eastAsia" w:ascii="Times New Roman" w:eastAsia="仿宋_GB2312"/>
          <w:color w:val="auto"/>
          <w:sz w:val="32"/>
          <w:highlight w:val="none"/>
          <w:lang w:eastAsia="zh-CN"/>
        </w:rPr>
        <w:t>档案管理完备性</w:t>
      </w:r>
      <w:r>
        <w:rPr>
          <w:rFonts w:hint="eastAsia" w:ascii="Times New Roman" w:eastAsia="仿宋_GB2312"/>
          <w:color w:val="auto"/>
          <w:sz w:val="32"/>
          <w:highlight w:val="none"/>
          <w:lang w:val="en-US" w:eastAsia="zh-CN"/>
        </w:rPr>
        <w:t>分值3分，得分3分。</w:t>
      </w:r>
    </w:p>
    <w:p>
      <w:pPr>
        <w:pStyle w:val="20"/>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right="0" w:rightChars="0" w:firstLine="643" w:firstLineChars="200"/>
        <w:jc w:val="both"/>
        <w:textAlignment w:val="auto"/>
        <w:outlineLvl w:val="2"/>
        <w:rPr>
          <w:rFonts w:hint="eastAsia" w:ascii="仿宋_GB2312" w:hAnsi="Times New Roman" w:eastAsia="仿宋_GB2312" w:cs="Times New Roman"/>
          <w:b/>
          <w:kern w:val="2"/>
          <w:sz w:val="32"/>
          <w:szCs w:val="24"/>
          <w:highlight w:val="none"/>
          <w:lang w:val="en-US" w:eastAsia="zh-CN" w:bidi="ar-SA"/>
        </w:rPr>
      </w:pPr>
      <w:bookmarkStart w:id="104" w:name="_Toc9546"/>
      <w:bookmarkStart w:id="105" w:name="_Toc15386"/>
      <w:bookmarkStart w:id="106" w:name="_Toc1295"/>
      <w:bookmarkStart w:id="107" w:name="_Toc23693"/>
      <w:r>
        <w:rPr>
          <w:rFonts w:hint="eastAsia" w:ascii="仿宋_GB2312" w:hAnsi="Times New Roman" w:eastAsia="仿宋_GB2312" w:cs="Times New Roman"/>
          <w:b/>
          <w:kern w:val="2"/>
          <w:sz w:val="32"/>
          <w:szCs w:val="24"/>
          <w:highlight w:val="none"/>
          <w:lang w:val="en-US" w:eastAsia="zh-CN" w:bidi="ar-SA"/>
        </w:rPr>
        <w:t>5.服务对象满意度目标完成情况分析</w:t>
      </w:r>
      <w:bookmarkEnd w:id="104"/>
      <w:bookmarkEnd w:id="105"/>
      <w:bookmarkEnd w:id="106"/>
      <w:bookmarkEnd w:id="10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服务对象</w:t>
      </w:r>
      <w:r>
        <w:rPr>
          <w:rFonts w:ascii="Times New Roman" w:eastAsia="仿宋_GB2312"/>
          <w:sz w:val="32"/>
          <w:highlight w:val="none"/>
        </w:rPr>
        <w:t>满意度</w:t>
      </w:r>
      <w:r>
        <w:rPr>
          <w:rFonts w:hint="eastAsia" w:ascii="Times New Roman" w:eastAsia="仿宋_GB2312"/>
          <w:sz w:val="32"/>
          <w:highlight w:val="none"/>
        </w:rPr>
        <w:t>指标包括人民群众满意度</w:t>
      </w:r>
      <w:r>
        <w:rPr>
          <w:rFonts w:hint="eastAsia" w:ascii="Times New Roman" w:eastAsia="仿宋_GB2312"/>
          <w:sz w:val="32"/>
          <w:highlight w:val="none"/>
          <w:lang w:val="en-US" w:eastAsia="zh-CN"/>
        </w:rPr>
        <w:t>、</w:t>
      </w:r>
      <w:r>
        <w:rPr>
          <w:rFonts w:hint="eastAsia" w:ascii="Times New Roman" w:eastAsia="仿宋_GB2312"/>
          <w:sz w:val="32"/>
          <w:highlight w:val="none"/>
        </w:rPr>
        <w:t>案件当事人满意度</w:t>
      </w:r>
      <w:r>
        <w:rPr>
          <w:rFonts w:hint="eastAsia" w:ascii="Times New Roman" w:eastAsia="仿宋_GB2312"/>
          <w:sz w:val="32"/>
          <w:highlight w:val="none"/>
          <w:lang w:val="en-US" w:eastAsia="zh-CN"/>
        </w:rPr>
        <w:t>两</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2</w:t>
      </w:r>
      <w:r>
        <w:rPr>
          <w:rFonts w:hint="eastAsia" w:ascii="Times New Roman" w:eastAsia="仿宋_GB2312"/>
          <w:sz w:val="32"/>
          <w:highlight w:val="none"/>
        </w:rPr>
        <w:t>个三级指标。服务对象</w:t>
      </w:r>
      <w:r>
        <w:rPr>
          <w:rFonts w:ascii="Times New Roman" w:eastAsia="仿宋_GB2312"/>
          <w:sz w:val="32"/>
          <w:highlight w:val="none"/>
        </w:rPr>
        <w:t>满意度</w:t>
      </w:r>
      <w:r>
        <w:rPr>
          <w:rFonts w:hint="eastAsia" w:ascii="Times New Roman" w:eastAsia="仿宋_GB2312"/>
          <w:sz w:val="32"/>
          <w:highlight w:val="none"/>
        </w:rPr>
        <w:t>指标分值</w:t>
      </w:r>
      <w:r>
        <w:rPr>
          <w:rFonts w:hint="eastAsia" w:ascii="Times New Roman" w:eastAsia="仿宋_GB2312"/>
          <w:sz w:val="32"/>
          <w:highlight w:val="none"/>
          <w:lang w:val="en-US" w:eastAsia="zh-CN"/>
        </w:rPr>
        <w:t>6</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6</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9"/>
        <w:tblW w:w="903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人民群众满意度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案件当事人满意度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6</w:t>
            </w:r>
          </w:p>
        </w:tc>
        <w:tc>
          <w:tcPr>
            <w:tcW w:w="1559" w:type="dxa"/>
            <w:shd w:val="clear" w:color="auto" w:fill="BDD6EE"/>
            <w:vAlign w:val="center"/>
          </w:tcPr>
          <w:p>
            <w:pPr>
              <w:widowControl/>
              <w:wordWrap/>
              <w:autoSpaceDE w:val="0"/>
              <w:autoSpaceDN w:val="0"/>
              <w:adjustRightInd/>
              <w:snapToGrid/>
              <w:spacing w:line="240" w:lineRule="auto"/>
              <w:ind w:firstLine="442" w:firstLineChars="20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6</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依法审理各类案件，妥善化解矛盾纠纷和行政争议，维护了法院审判工作的有序开展，积极保障人民群众生命财产安全，不断增强人民群众获得感、幸福感和安全感，减轻人民群众诉讼诉累，经随机走访和问卷调查，均对法院工作表示满意</w:t>
      </w:r>
      <w:r>
        <w:rPr>
          <w:rFonts w:hint="eastAsia" w:ascii="Times New Roman" w:eastAsia="仿宋_GB2312"/>
          <w:sz w:val="32"/>
          <w:highlight w:val="none"/>
          <w:lang w:eastAsia="zh-CN"/>
        </w:rPr>
        <w:t>，</w:t>
      </w:r>
      <w:r>
        <w:rPr>
          <w:rFonts w:hint="eastAsia" w:ascii="Times New Roman" w:eastAsia="仿宋_GB2312"/>
          <w:sz w:val="32"/>
          <w:highlight w:val="none"/>
        </w:rPr>
        <w:t>满意度绩效</w:t>
      </w:r>
      <w:r>
        <w:rPr>
          <w:rFonts w:hint="eastAsia" w:ascii="Times New Roman" w:eastAsia="仿宋_GB2312"/>
          <w:sz w:val="32"/>
          <w:highlight w:val="none"/>
          <w:lang w:val="en-US" w:eastAsia="zh-CN"/>
        </w:rPr>
        <w:t>较好，指标得分6分</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08" w:name="_Toc29843"/>
      <w:bookmarkStart w:id="109" w:name="_Toc17696"/>
      <w:bookmarkStart w:id="110" w:name="_Toc11241"/>
      <w:bookmarkStart w:id="111" w:name="_Toc7264"/>
      <w:bookmarkStart w:id="112" w:name="_Toc12385"/>
      <w:bookmarkStart w:id="113" w:name="_Toc11739"/>
      <w:bookmarkStart w:id="114" w:name="_Toc447"/>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r>
        <w:rPr>
          <w:rFonts w:hint="eastAsia" w:ascii="Arial" w:eastAsia="楷体"/>
          <w:b/>
          <w:sz w:val="32"/>
          <w:highlight w:val="none"/>
        </w:rPr>
        <w:t>偏离绩效目标的原因及下一步改进措施</w:t>
      </w:r>
      <w:bookmarkEnd w:id="108"/>
      <w:bookmarkEnd w:id="109"/>
      <w:bookmarkEnd w:id="110"/>
      <w:bookmarkEnd w:id="111"/>
      <w:bookmarkEnd w:id="112"/>
      <w:bookmarkEnd w:id="113"/>
      <w:bookmarkEnd w:id="114"/>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lang w:val="en-US" w:eastAsia="zh-CN"/>
        </w:rPr>
      </w:pPr>
      <w:bookmarkStart w:id="115" w:name="_Toc32045"/>
      <w:bookmarkStart w:id="116" w:name="_Toc14603"/>
      <w:bookmarkStart w:id="117" w:name="_Toc23592"/>
      <w:bookmarkStart w:id="118" w:name="_Toc18075"/>
      <w:bookmarkStart w:id="119" w:name="_Toc23432"/>
      <w:r>
        <w:rPr>
          <w:rFonts w:hint="eastAsia" w:ascii="仿宋_GB2312" w:eastAsia="仿宋_GB2312"/>
          <w:b/>
          <w:sz w:val="32"/>
          <w:highlight w:val="none"/>
        </w:rPr>
        <w:t xml:space="preserve">1. </w:t>
      </w:r>
      <w:bookmarkEnd w:id="115"/>
      <w:bookmarkEnd w:id="116"/>
      <w:bookmarkEnd w:id="117"/>
      <w:r>
        <w:rPr>
          <w:rFonts w:hint="eastAsia" w:ascii="仿宋_GB2312" w:eastAsia="仿宋_GB2312"/>
          <w:b/>
          <w:sz w:val="32"/>
          <w:highlight w:val="none"/>
          <w:lang w:val="en-US" w:eastAsia="zh-CN"/>
        </w:rPr>
        <w:t>项目支出预算执行率偏低。</w:t>
      </w:r>
      <w:bookmarkEnd w:id="118"/>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项目资金上年存量资金较大，本年优先支出存量资金。我院将</w:t>
      </w:r>
      <w:r>
        <w:rPr>
          <w:rFonts w:hint="default" w:ascii="Times New Roman" w:eastAsia="仿宋_GB2312"/>
          <w:sz w:val="32"/>
          <w:highlight w:val="none"/>
          <w:lang w:val="en-US" w:eastAsia="zh-CN"/>
        </w:rPr>
        <w:t>进一步加强资金支付管理，督促项目实施相关部门加快工程建设进度。</w:t>
      </w:r>
    </w:p>
    <w:bookmarkEnd w:id="119"/>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lang w:val="en-US" w:eastAsia="zh-CN"/>
        </w:rPr>
      </w:pPr>
      <w:bookmarkStart w:id="120" w:name="_Toc11452"/>
      <w:bookmarkStart w:id="121" w:name="_Toc9254"/>
      <w:bookmarkStart w:id="122" w:name="_Toc27349"/>
      <w:bookmarkStart w:id="123" w:name="_Toc30946"/>
      <w:bookmarkStart w:id="124" w:name="_Toc2008"/>
      <w:bookmarkStart w:id="125" w:name="_Toc17645"/>
      <w:bookmarkStart w:id="126" w:name="_Toc30978"/>
      <w:bookmarkStart w:id="127" w:name="_Toc23943"/>
      <w:bookmarkStart w:id="128" w:name="_Toc16102"/>
      <w:r>
        <w:rPr>
          <w:rFonts w:hint="eastAsia" w:ascii="仿宋_GB2312" w:eastAsia="仿宋_GB2312"/>
          <w:b/>
          <w:sz w:val="32"/>
          <w:highlight w:val="none"/>
        </w:rPr>
        <w:t>2.</w:t>
      </w:r>
      <w:bookmarkEnd w:id="120"/>
      <w:bookmarkEnd w:id="121"/>
      <w:bookmarkEnd w:id="122"/>
      <w:r>
        <w:rPr>
          <w:rFonts w:hint="eastAsia" w:ascii="仿宋_GB2312" w:eastAsia="仿宋_GB2312"/>
          <w:b/>
          <w:sz w:val="32"/>
          <w:highlight w:val="none"/>
          <w:lang w:val="en-US" w:eastAsia="zh-CN"/>
        </w:rPr>
        <w:t>审判执行案件工作完成情况指标未达到目标值。</w:t>
      </w:r>
      <w:bookmarkEnd w:id="123"/>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rPr>
        <w:t>受理各类执行案件102件，执结94件，实际执结率为89.41%</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未达到年度目标。我院将强化部门联动机制、推行执行繁简分流建设、加大仲裁裁决执行力度等方式，提高案件结案率。</w:t>
      </w:r>
    </w:p>
    <w:p>
      <w:pPr>
        <w:snapToGrid/>
        <w:spacing w:beforeAutospacing="0" w:afterAutospacing="0" w:line="560" w:lineRule="exact"/>
        <w:ind w:left="0" w:leftChars="0" w:right="0" w:rightChars="0" w:firstLine="643" w:firstLineChars="200"/>
        <w:jc w:val="both"/>
        <w:outlineLvl w:val="2"/>
        <w:rPr>
          <w:rFonts w:hint="eastAsia" w:ascii="仿宋_GB2312" w:hAnsi="Times New Roman" w:eastAsia="仿宋_GB2312" w:cs="Times New Roman"/>
          <w:b/>
          <w:kern w:val="2"/>
          <w:sz w:val="32"/>
          <w:szCs w:val="24"/>
          <w:highlight w:val="none"/>
          <w:lang w:val="en-US" w:eastAsia="zh-CN" w:bidi="ar-SA"/>
        </w:rPr>
      </w:pPr>
      <w:r>
        <w:rPr>
          <w:rFonts w:hint="eastAsia" w:ascii="仿宋_GB2312" w:hAnsi="Times New Roman" w:eastAsia="仿宋_GB2312" w:cs="Times New Roman"/>
          <w:b/>
          <w:kern w:val="2"/>
          <w:sz w:val="32"/>
          <w:szCs w:val="24"/>
          <w:highlight w:val="none"/>
          <w:lang w:val="en-US" w:eastAsia="zh-CN" w:bidi="ar-SA"/>
        </w:rPr>
        <w:t>3.“三公经费”控制率指标目标值设置有误。</w:t>
      </w:r>
    </w:p>
    <w:p>
      <w:pPr>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 xml:space="preserve">年度指标值设置为定性目标导致扣分，本年“三公经费”未超预算，我院将加强绩效管理，提高绩效目标编制的科学性、准确性。  </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29" w:name="_Toc24945"/>
      <w:bookmarkStart w:id="130" w:name="_Toc28315"/>
      <w:r>
        <w:rPr>
          <w:rFonts w:hint="eastAsia" w:ascii="Times New Roman" w:eastAsia="黑体"/>
          <w:b/>
          <w:sz w:val="32"/>
          <w:highlight w:val="none"/>
        </w:rPr>
        <w:t>四、部门预算项目支出绩效自评情况分析</w:t>
      </w:r>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31" w:name="_Toc29251"/>
      <w:bookmarkStart w:id="132" w:name="_Toc12029"/>
      <w:bookmarkStart w:id="133" w:name="_Toc13161"/>
      <w:bookmarkStart w:id="259" w:name="_GoBack"/>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预算支出项目共</w:t>
      </w:r>
      <w:r>
        <w:rPr>
          <w:rFonts w:hint="eastAsia" w:ascii="Times New Roman" w:eastAsia="仿宋_GB2312"/>
          <w:sz w:val="32"/>
          <w:highlight w:val="none"/>
          <w:lang w:val="en-US" w:eastAsia="zh-CN"/>
        </w:rPr>
        <w:t>3</w:t>
      </w:r>
      <w:r>
        <w:rPr>
          <w:rFonts w:hint="eastAsia" w:ascii="Times New Roman" w:eastAsia="仿宋_GB2312"/>
          <w:sz w:val="32"/>
          <w:highlight w:val="none"/>
        </w:rPr>
        <w:t>个，通过自评，</w:t>
      </w:r>
      <w:r>
        <w:rPr>
          <w:rFonts w:hint="eastAsia" w:ascii="Times New Roman" w:eastAsia="仿宋_GB2312"/>
          <w:sz w:val="32"/>
          <w:highlight w:val="none"/>
          <w:lang w:val="en-US" w:eastAsia="zh-CN"/>
        </w:rPr>
        <w:t>3</w:t>
      </w:r>
      <w:r>
        <w:rPr>
          <w:rFonts w:hint="eastAsia" w:ascii="Times New Roman" w:eastAsia="仿宋_GB2312"/>
          <w:sz w:val="32"/>
          <w:highlight w:val="none"/>
        </w:rPr>
        <w:t>个项目结果为“优</w:t>
      </w:r>
      <w:r>
        <w:rPr>
          <w:rFonts w:hint="eastAsia" w:ascii="Times New Roman" w:eastAsia="仿宋_GB2312"/>
          <w:sz w:val="32"/>
          <w:highlight w:val="none"/>
          <w:lang w:val="en-US" w:eastAsia="zh-CN"/>
        </w:rPr>
        <w:t>秀</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平均分</w:t>
      </w:r>
      <w:r>
        <w:rPr>
          <w:rFonts w:hint="eastAsia" w:ascii="Times New Roman" w:eastAsia="仿宋_GB2312"/>
          <w:sz w:val="32"/>
          <w:highlight w:val="none"/>
          <w:lang w:val="en-US" w:eastAsia="zh-CN"/>
        </w:rPr>
        <w:t>96.45</w:t>
      </w:r>
      <w:r>
        <w:rPr>
          <w:rFonts w:hint="eastAsia" w:ascii="Times New Roman" w:eastAsia="仿宋_GB2312"/>
          <w:sz w:val="32"/>
          <w:highlight w:val="none"/>
        </w:rPr>
        <w:t>分。</w:t>
      </w:r>
      <w:bookmarkEnd w:id="259"/>
      <w:r>
        <w:rPr>
          <w:rFonts w:hint="eastAsia" w:ascii="Times New Roman" w:eastAsia="仿宋_GB2312"/>
          <w:sz w:val="32"/>
          <w:highlight w:val="none"/>
        </w:rPr>
        <w:t>分项目自评情况分析如下：</w:t>
      </w:r>
      <w:bookmarkEnd w:id="131"/>
      <w:bookmarkEnd w:id="132"/>
      <w:bookmarkEnd w:id="133"/>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34" w:name="_Toc18448"/>
      <w:bookmarkStart w:id="135" w:name="_Toc25663"/>
      <w:bookmarkStart w:id="136" w:name="_Toc756"/>
      <w:bookmarkStart w:id="137" w:name="_Toc26965"/>
      <w:bookmarkStart w:id="138" w:name="_Toc18395"/>
      <w:bookmarkStart w:id="139" w:name="_Toc23965"/>
      <w:bookmarkStart w:id="140" w:name="_Toc9832"/>
      <w:r>
        <w:rPr>
          <w:rFonts w:hint="eastAsia" w:ascii="Arial" w:eastAsia="楷体"/>
          <w:b/>
          <w:sz w:val="32"/>
          <w:highlight w:val="none"/>
        </w:rPr>
        <w:t>（一）</w:t>
      </w:r>
      <w:bookmarkEnd w:id="134"/>
      <w:bookmarkEnd w:id="135"/>
      <w:bookmarkEnd w:id="136"/>
      <w:bookmarkEnd w:id="137"/>
      <w:r>
        <w:rPr>
          <w:rFonts w:hint="eastAsia" w:ascii="Arial" w:eastAsia="楷体"/>
          <w:b/>
          <w:sz w:val="32"/>
          <w:highlight w:val="none"/>
        </w:rPr>
        <w:t>全省法院业务费</w:t>
      </w:r>
      <w:bookmarkEnd w:id="138"/>
      <w:bookmarkEnd w:id="139"/>
      <w:bookmarkEnd w:id="14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eastAsia="zh-CN"/>
        </w:rPr>
        <w:t>全省法院业务费</w:t>
      </w:r>
      <w:r>
        <w:rPr>
          <w:rFonts w:hint="eastAsia" w:ascii="Times New Roman" w:eastAsia="仿宋_GB2312"/>
          <w:sz w:val="32"/>
          <w:highlight w:val="none"/>
        </w:rPr>
        <w:t>支出绩效得分为</w:t>
      </w:r>
      <w:r>
        <w:rPr>
          <w:rFonts w:hint="eastAsia" w:ascii="Times New Roman" w:eastAsia="仿宋_GB2312"/>
          <w:sz w:val="32"/>
          <w:highlight w:val="none"/>
          <w:lang w:val="en-US" w:eastAsia="zh-CN"/>
        </w:rPr>
        <w:t>98.74</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22</w:t>
      </w:r>
      <w:r>
        <w:rPr>
          <w:rFonts w:hint="eastAsia" w:ascii="Times New Roman" w:eastAsia="仿宋_GB2312"/>
          <w:sz w:val="32"/>
          <w:highlight w:val="none"/>
        </w:rPr>
        <w:t>个三级指标。项目资金预算执行率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%。一级指标得分情况详见下表 ：</w:t>
      </w:r>
    </w:p>
    <w:tbl>
      <w:tblPr>
        <w:tblStyle w:val="19"/>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48.74</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97.48</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98.74</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98.74</w:t>
            </w:r>
            <w:r>
              <w:rPr>
                <w:rFonts w:hint="eastAsia" w:ascii="宋体" w:hAnsi="宋体" w:eastAsia="宋体" w:cs="宋体"/>
                <w:b/>
                <w:color w:val="000000"/>
                <w:kern w:val="0"/>
                <w:sz w:val="22"/>
                <w:szCs w:val="22"/>
                <w:highlight w:val="none"/>
              </w:rPr>
              <w:t>%</w:t>
            </w:r>
          </w:p>
        </w:tc>
      </w:tr>
    </w:tbl>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1" w:name="_Toc15598"/>
      <w:bookmarkStart w:id="142" w:name="_Toc6866"/>
      <w:bookmarkStart w:id="143" w:name="_Toc30557"/>
      <w:bookmarkStart w:id="144" w:name="_Toc28936"/>
      <w:bookmarkStart w:id="145" w:name="_Toc23017"/>
      <w:r>
        <w:rPr>
          <w:rFonts w:hint="eastAsia" w:ascii="仿宋_GB2312" w:eastAsia="仿宋_GB2312"/>
          <w:b/>
          <w:sz w:val="32"/>
          <w:highlight w:val="none"/>
          <w:lang w:val="en-US" w:eastAsia="zh-CN"/>
        </w:rPr>
        <w:t>1.</w:t>
      </w:r>
      <w:r>
        <w:rPr>
          <w:rFonts w:hint="eastAsia" w:ascii="仿宋_GB2312" w:eastAsia="仿宋_GB2312"/>
          <w:b/>
          <w:sz w:val="32"/>
          <w:highlight w:val="none"/>
        </w:rPr>
        <w:t>项目支出预算执行情况</w:t>
      </w:r>
      <w:bookmarkEnd w:id="141"/>
      <w:bookmarkEnd w:id="142"/>
      <w:bookmarkEnd w:id="143"/>
      <w:bookmarkEnd w:id="144"/>
      <w:bookmarkEnd w:id="145"/>
      <w:bookmarkStart w:id="146" w:name="_Toc69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47" w:name="_Toc22202"/>
      <w:bookmarkStart w:id="148" w:name="_Toc25902"/>
      <w:r>
        <w:rPr>
          <w:rFonts w:hint="eastAsia"/>
          <w:sz w:val="32"/>
          <w:highlight w:val="none"/>
          <w:lang w:eastAsia="zh-CN"/>
        </w:rPr>
        <w:t>全省法院</w:t>
      </w:r>
      <w:r>
        <w:rPr>
          <w:rFonts w:hint="eastAsia" w:ascii="Times New Roman" w:eastAsia="仿宋_GB2312"/>
          <w:sz w:val="32"/>
          <w:highlight w:val="none"/>
        </w:rPr>
        <w:t>业务费项目</w:t>
      </w:r>
      <w:r>
        <w:rPr>
          <w:rFonts w:hint="eastAsia" w:ascii="Times New Roman" w:eastAsia="仿宋_GB2312"/>
          <w:sz w:val="32"/>
          <w:highlight w:val="none"/>
          <w:lang w:val="en-US" w:eastAsia="zh-CN"/>
        </w:rPr>
        <w:t>全年</w:t>
      </w:r>
      <w:r>
        <w:rPr>
          <w:rFonts w:hint="eastAsia" w:ascii="Times New Roman" w:eastAsia="仿宋_GB2312"/>
          <w:sz w:val="32"/>
          <w:highlight w:val="none"/>
        </w:rPr>
        <w:t>预算</w:t>
      </w:r>
      <w:r>
        <w:rPr>
          <w:rFonts w:hint="eastAsia" w:ascii="Times New Roman" w:eastAsia="仿宋_GB2312"/>
          <w:sz w:val="32"/>
          <w:highlight w:val="none"/>
          <w:lang w:val="en-US" w:eastAsia="zh-CN"/>
        </w:rPr>
        <w:t>153.00</w:t>
      </w:r>
      <w:r>
        <w:rPr>
          <w:rFonts w:hint="eastAsia" w:ascii="Times New Roman" w:eastAsia="仿宋_GB2312"/>
          <w:sz w:val="32"/>
          <w:highlight w:val="none"/>
        </w:rPr>
        <w:t>万元，全年支出</w:t>
      </w:r>
      <w:r>
        <w:rPr>
          <w:rFonts w:hint="eastAsia" w:ascii="Times New Roman" w:eastAsia="仿宋_GB2312"/>
          <w:sz w:val="32"/>
          <w:highlight w:val="none"/>
          <w:lang w:val="en-US" w:eastAsia="zh-CN"/>
        </w:rPr>
        <w:t>153.00</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46"/>
      <w:bookmarkEnd w:id="147"/>
      <w:bookmarkEnd w:id="148"/>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9" w:name="_Toc6841"/>
      <w:bookmarkStart w:id="150" w:name="_Toc7127"/>
      <w:bookmarkStart w:id="151" w:name="_Toc10073"/>
      <w:bookmarkStart w:id="152" w:name="_Toc21744"/>
      <w:bookmarkStart w:id="153" w:name="_Toc2839"/>
      <w:r>
        <w:rPr>
          <w:rFonts w:hint="eastAsia" w:ascii="仿宋_GB2312" w:eastAsia="仿宋_GB2312"/>
          <w:b/>
          <w:sz w:val="32"/>
          <w:highlight w:val="none"/>
        </w:rPr>
        <w:t>2.总体绩效目标完成情况分析</w:t>
      </w:r>
      <w:bookmarkEnd w:id="149"/>
      <w:bookmarkEnd w:id="150"/>
      <w:bookmarkEnd w:id="151"/>
      <w:bookmarkEnd w:id="152"/>
      <w:bookmarkEnd w:id="15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54" w:name="_Toc26281"/>
      <w:bookmarkStart w:id="155" w:name="_Toc23304"/>
      <w:bookmarkStart w:id="156" w:name="_Toc22475"/>
      <w:r>
        <w:rPr>
          <w:rFonts w:hint="eastAsia" w:ascii="Times New Roman" w:eastAsia="仿宋_GB2312"/>
          <w:sz w:val="32"/>
          <w:highlight w:val="none"/>
        </w:rPr>
        <w:t>项目总体绩效目标为：</w:t>
      </w:r>
      <w:bookmarkEnd w:id="154"/>
      <w:bookmarkEnd w:id="155"/>
      <w:bookmarkEnd w:id="156"/>
      <w:r>
        <w:rPr>
          <w:rFonts w:hint="eastAsia" w:ascii="Times New Roman" w:eastAsia="仿宋_GB2312"/>
          <w:sz w:val="32"/>
          <w:highlight w:val="none"/>
          <w:lang w:eastAsia="zh-CN"/>
        </w:rPr>
        <w:t>更好地维护国家法制、法律的权威、公平和正义，维护社会稳定和谐，达到公众认同，当事人满意的效果，确保本年度受理案件审判和执行工作的顺利完成。各类案件基本全部结案。</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年度实际完成情况：2022年全年，我院按照计划完成了各项业务活动，为我院开展司法工作提供了必要保障，提升了司法公信力，有效地维护了社会秩序。</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57" w:name="_Toc17270"/>
      <w:bookmarkStart w:id="158" w:name="_Toc18377"/>
      <w:bookmarkStart w:id="159" w:name="_Toc30499"/>
      <w:bookmarkStart w:id="160" w:name="_Toc14103"/>
      <w:bookmarkStart w:id="161" w:name="_Toc6273"/>
      <w:r>
        <w:rPr>
          <w:rFonts w:hint="eastAsia" w:ascii="仿宋_GB2312" w:eastAsia="仿宋_GB2312"/>
          <w:b/>
          <w:sz w:val="32"/>
          <w:highlight w:val="none"/>
        </w:rPr>
        <w:t>3.各项指标完成情况分析</w:t>
      </w:r>
      <w:bookmarkEnd w:id="157"/>
      <w:bookmarkEnd w:id="158"/>
      <w:bookmarkEnd w:id="159"/>
      <w:bookmarkEnd w:id="160"/>
      <w:bookmarkEnd w:id="16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2" w:name="_Toc19554"/>
      <w:bookmarkStart w:id="163" w:name="_Toc5521"/>
      <w:bookmarkStart w:id="164" w:name="_Toc23003"/>
      <w:r>
        <w:rPr>
          <w:rFonts w:hint="eastAsia" w:ascii="Times New Roman" w:eastAsia="仿宋_GB2312"/>
          <w:sz w:val="32"/>
          <w:highlight w:val="none"/>
        </w:rPr>
        <w:t>（1）项目产出指标完成情况分析</w:t>
      </w:r>
      <w:bookmarkEnd w:id="162"/>
      <w:bookmarkEnd w:id="163"/>
      <w:bookmarkEnd w:id="16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5" w:name="_Toc5747"/>
      <w:bookmarkStart w:id="166" w:name="_Toc13583"/>
      <w:bookmarkStart w:id="167" w:name="_Toc31353"/>
      <w:r>
        <w:rPr>
          <w:rFonts w:hint="eastAsia" w:ascii="Times New Roman" w:eastAsia="仿宋_GB2312"/>
          <w:sz w:val="32"/>
          <w:highlight w:val="none"/>
        </w:rPr>
        <w:t>项目</w:t>
      </w:r>
      <w:r>
        <w:rPr>
          <w:rFonts w:ascii="Times New Roman" w:eastAsia="仿宋_GB2312"/>
          <w:sz w:val="32"/>
          <w:highlight w:val="none"/>
        </w:rPr>
        <w:t>产出</w:t>
      </w:r>
      <w:r>
        <w:rPr>
          <w:rFonts w:hint="eastAsia" w:ascii="Times New Roman" w:eastAsia="仿宋_GB2312"/>
          <w:sz w:val="32"/>
          <w:highlight w:val="none"/>
        </w:rPr>
        <w:t>指标包括数量、质量、时效、成本四个二级指标，下设</w:t>
      </w:r>
      <w:r>
        <w:rPr>
          <w:rFonts w:hint="eastAsia" w:ascii="Times New Roman" w:eastAsia="仿宋_GB2312"/>
          <w:sz w:val="32"/>
          <w:highlight w:val="none"/>
          <w:lang w:val="en-US" w:eastAsia="zh-CN"/>
        </w:rPr>
        <w:t>14</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48.74</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97.48</w:t>
      </w:r>
      <w:r>
        <w:rPr>
          <w:rFonts w:hint="eastAsia" w:ascii="Times New Roman" w:eastAsia="仿宋_GB2312"/>
          <w:sz w:val="32"/>
          <w:highlight w:val="none"/>
        </w:rPr>
        <w:t>%。</w:t>
      </w:r>
      <w:bookmarkEnd w:id="165"/>
      <w:bookmarkEnd w:id="1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snapToGrid/>
        <w:spacing w:beforeAutospacing="0" w:afterAutospacing="0" w:line="560" w:lineRule="exact"/>
        <w:ind w:left="0" w:leftChars="0" w:firstLine="640" w:firstLineChars="200"/>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受理各类案件工作完成率：</w:t>
      </w:r>
      <w:r>
        <w:rPr>
          <w:rFonts w:hint="eastAsia" w:ascii="Times New Roman" w:hAnsi="宋体" w:eastAsia="仿宋_GB2312"/>
          <w:color w:val="auto"/>
          <w:sz w:val="32"/>
          <w:szCs w:val="28"/>
          <w:highlight w:val="none"/>
        </w:rPr>
        <w:t>我院积极优化审判资源，狠抓执法办案第一要务</w:t>
      </w:r>
      <w:r>
        <w:rPr>
          <w:rFonts w:hint="eastAsia" w:ascii="Times New Roman" w:hAnsi="宋体" w:eastAsia="仿宋_GB2312"/>
          <w:color w:val="auto"/>
          <w:sz w:val="32"/>
          <w:szCs w:val="28"/>
          <w:highlight w:val="none"/>
          <w:lang w:eastAsia="zh-CN"/>
        </w:rPr>
        <w:t>，</w:t>
      </w:r>
      <w:r>
        <w:rPr>
          <w:rFonts w:hint="eastAsia" w:ascii="Times New Roman" w:eastAsia="仿宋_GB2312"/>
          <w:color w:val="auto"/>
          <w:sz w:val="32"/>
          <w:highlight w:val="none"/>
          <w:lang w:val="en-US" w:eastAsia="zh-CN"/>
        </w:rPr>
        <w:t>全年</w:t>
      </w:r>
      <w:r>
        <w:rPr>
          <w:rFonts w:hint="eastAsia" w:ascii="Times New Roman" w:hAnsi="Times New Roman" w:eastAsia="仿宋_GB2312" w:cs="Times New Roman"/>
          <w:color w:val="auto"/>
          <w:sz w:val="32"/>
          <w:szCs w:val="32"/>
          <w:highlight w:val="none"/>
          <w:shd w:val="clear" w:color="auto" w:fill="FFFFFF"/>
        </w:rPr>
        <w:t>共受理各类案件706件，</w:t>
      </w:r>
      <w:r>
        <w:rPr>
          <w:rFonts w:hint="eastAsia" w:ascii="Times New Roman" w:eastAsia="仿宋_GB2312" w:cs="Times New Roman"/>
          <w:color w:val="auto"/>
          <w:sz w:val="32"/>
          <w:szCs w:val="32"/>
          <w:highlight w:val="none"/>
          <w:shd w:val="clear" w:color="auto" w:fill="FFFFFF"/>
          <w:lang w:val="en-US" w:eastAsia="zh-CN"/>
        </w:rPr>
        <w:t>其中：</w:t>
      </w:r>
      <w:r>
        <w:rPr>
          <w:rFonts w:hint="eastAsia" w:ascii="Times New Roman" w:hAnsi="Times New Roman" w:eastAsia="仿宋_GB2312" w:cs="Times New Roman"/>
          <w:color w:val="auto"/>
          <w:sz w:val="32"/>
          <w:szCs w:val="32"/>
          <w:highlight w:val="none"/>
          <w:shd w:val="clear" w:color="auto" w:fill="FFFFFF"/>
        </w:rPr>
        <w:t>刑事案件4件</w:t>
      </w:r>
      <w:r>
        <w:rPr>
          <w:rFonts w:hint="eastAsia" w:asci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受理民事案件600件</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执行案件102件</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eastAsia="仿宋_GB2312" w:cs="Times New Roman"/>
          <w:color w:val="auto"/>
          <w:sz w:val="32"/>
          <w:szCs w:val="32"/>
          <w:highlight w:val="none"/>
          <w:shd w:val="clear" w:color="auto" w:fill="FFFFFF"/>
          <w:lang w:val="en-US" w:eastAsia="zh-CN"/>
        </w:rPr>
        <w:t>完成年度目标，</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3.59</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3.59</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审判各类案件工作完成率：</w:t>
      </w:r>
      <w:r>
        <w:rPr>
          <w:rFonts w:hint="eastAsia" w:ascii="Times New Roman" w:hAnsi="宋体" w:eastAsia="仿宋_GB2312"/>
          <w:sz w:val="32"/>
          <w:szCs w:val="32"/>
          <w:highlight w:val="none"/>
        </w:rPr>
        <w:t>全年共受理各类案件706件，审执结642件</w:t>
      </w:r>
      <w:r>
        <w:rPr>
          <w:rFonts w:hint="eastAsia" w:ascii="Times New Roman" w:hAnsi="宋体" w:eastAsia="仿宋_GB2312"/>
          <w:sz w:val="32"/>
          <w:szCs w:val="32"/>
          <w:highlight w:val="none"/>
          <w:lang w:eastAsia="zh-CN"/>
        </w:rPr>
        <w:t>，</w:t>
      </w:r>
      <w:r>
        <w:rPr>
          <w:rFonts w:hint="eastAsia" w:ascii="Times New Roman" w:hAnsi="宋体" w:eastAsia="仿宋_GB2312"/>
          <w:sz w:val="32"/>
          <w:szCs w:val="32"/>
          <w:highlight w:val="none"/>
          <w:lang w:val="en-US" w:eastAsia="zh-CN"/>
        </w:rPr>
        <w:t>结案率90.93%</w:t>
      </w:r>
      <w:r>
        <w:rPr>
          <w:rFonts w:hint="eastAsia" w:ascii="Times New Roman" w:hAnsi="仿宋" w:eastAsia="仿宋_GB2312" w:cs="仿宋"/>
          <w:sz w:val="32"/>
          <w:szCs w:val="32"/>
          <w:highlight w:val="none"/>
          <w:lang w:val="en-US"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3.57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color w:val="auto"/>
          <w:sz w:val="32"/>
          <w:highlight w:val="none"/>
          <w:lang w:val="en-US" w:eastAsia="zh-CN"/>
        </w:rPr>
      </w:pPr>
      <w:r>
        <w:rPr>
          <w:rFonts w:hint="eastAsia" w:ascii="Times New Roman" w:eastAsia="仿宋_GB2312"/>
          <w:color w:val="auto"/>
          <w:sz w:val="32"/>
          <w:lang w:val="en-US" w:eastAsia="zh-CN"/>
        </w:rPr>
        <w:t>开展法制宣传活动次数</w:t>
      </w:r>
      <w:r>
        <w:rPr>
          <w:rFonts w:hint="eastAsia" w:ascii="Times New Roman" w:eastAsia="仿宋_GB2312"/>
          <w:color w:val="auto"/>
          <w:sz w:val="32"/>
          <w:highlight w:val="none"/>
          <w:lang w:val="en-US" w:eastAsia="zh-CN"/>
        </w:rPr>
        <w:t>：年度目标</w:t>
      </w:r>
      <w:r>
        <w:rPr>
          <w:rFonts w:hint="eastAsia" w:ascii="Times New Roman" w:hAnsi="仿宋" w:eastAsia="仿宋_GB2312" w:cs="仿宋"/>
          <w:color w:val="auto"/>
          <w:sz w:val="32"/>
          <w:szCs w:val="32"/>
          <w:lang w:val="en-US" w:eastAsia="zh-CN"/>
        </w:rPr>
        <w:t>≥</w:t>
      </w:r>
      <w:r>
        <w:rPr>
          <w:rFonts w:hint="eastAsia" w:ascii="Times New Roman" w:hAnsi="仿宋_GB2312" w:eastAsia="仿宋_GB2312" w:cs="仿宋_GB2312"/>
          <w:color w:val="auto"/>
          <w:sz w:val="32"/>
          <w:szCs w:val="32"/>
        </w:rPr>
        <w:t>4次，</w:t>
      </w:r>
      <w:r>
        <w:rPr>
          <w:rFonts w:hint="eastAsia" w:ascii="Times New Roman" w:hAnsi="仿宋_GB2312" w:eastAsia="仿宋_GB2312" w:cs="仿宋_GB2312"/>
          <w:color w:val="auto"/>
          <w:sz w:val="32"/>
          <w:szCs w:val="32"/>
          <w:lang w:val="en-US" w:eastAsia="zh-CN"/>
        </w:rPr>
        <w:t>实际开展10次，实际完成值大于年度目标的130%导致扣分</w:t>
      </w:r>
      <w:r>
        <w:rPr>
          <w:rFonts w:hint="eastAsia" w:ascii="Times New Roman" w:hAnsi="仿宋" w:eastAsia="仿宋_GB2312" w:cs="仿宋"/>
          <w:color w:val="auto"/>
          <w:sz w:val="32"/>
          <w:szCs w:val="32"/>
          <w:highlight w:val="none"/>
          <w:lang w:val="en-US"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2.41</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67.51</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color w:val="auto"/>
          <w:sz w:val="32"/>
          <w:highlight w:val="none"/>
          <w:lang w:val="en-US" w:eastAsia="zh-CN"/>
        </w:rPr>
      </w:pPr>
      <w:r>
        <w:rPr>
          <w:rFonts w:hint="eastAsia" w:ascii="Times New Roman" w:eastAsia="仿宋_GB2312"/>
          <w:color w:val="auto"/>
          <w:sz w:val="32"/>
          <w:lang w:val="en-US" w:eastAsia="zh-CN"/>
        </w:rPr>
        <w:t>培训开展次数</w:t>
      </w:r>
      <w:r>
        <w:rPr>
          <w:rFonts w:hint="eastAsia" w:ascii="Times New Roman" w:eastAsia="仿宋_GB2312"/>
          <w:color w:val="auto"/>
          <w:sz w:val="32"/>
          <w:highlight w:val="none"/>
          <w:lang w:val="en-US" w:eastAsia="zh-CN"/>
        </w:rPr>
        <w:t>：</w:t>
      </w:r>
      <w:r>
        <w:rPr>
          <w:rFonts w:hint="eastAsia" w:ascii="Times New Roman" w:hAnsi="仿宋" w:eastAsia="仿宋_GB2312" w:cs="仿宋"/>
          <w:color w:val="auto"/>
          <w:sz w:val="32"/>
          <w:szCs w:val="32"/>
          <w:highlight w:val="none"/>
          <w:lang w:val="en-US" w:eastAsia="zh-CN"/>
        </w:rPr>
        <w:t>年度目标值</w:t>
      </w:r>
      <w:r>
        <w:rPr>
          <w:rFonts w:hint="eastAsia" w:ascii="Times New Roman" w:hAnsi="仿宋" w:eastAsia="仿宋_GB2312" w:cs="仿宋"/>
          <w:color w:val="auto"/>
          <w:sz w:val="32"/>
          <w:szCs w:val="32"/>
          <w:lang w:val="en-US" w:eastAsia="zh-CN"/>
        </w:rPr>
        <w:t>≥5</w:t>
      </w:r>
      <w:r>
        <w:rPr>
          <w:rFonts w:hint="eastAsia" w:ascii="Times New Roman" w:hAnsi="仿宋" w:eastAsia="仿宋_GB2312" w:cs="仿宋"/>
          <w:color w:val="auto"/>
          <w:sz w:val="32"/>
          <w:szCs w:val="32"/>
          <w:highlight w:val="none"/>
          <w:lang w:val="en-US" w:eastAsia="zh-CN"/>
        </w:rPr>
        <w:t>次，实际完成目标7次，</w:t>
      </w:r>
      <w:r>
        <w:rPr>
          <w:rFonts w:hint="eastAsia" w:ascii="Times New Roman" w:hAnsi="仿宋_GB2312" w:eastAsia="仿宋_GB2312" w:cs="仿宋_GB2312"/>
          <w:color w:val="auto"/>
          <w:sz w:val="32"/>
          <w:szCs w:val="32"/>
          <w:lang w:val="en-US" w:eastAsia="zh-CN"/>
        </w:rPr>
        <w:t>实际完成值大于年度目标的130%导致扣分</w:t>
      </w:r>
      <w:r>
        <w:rPr>
          <w:rFonts w:hint="eastAsia" w:ascii="Times New Roman" w:hAnsi="仿宋_GB2312" w:eastAsia="仿宋_GB2312" w:cs="仿宋_GB2312"/>
          <w:color w:val="auto"/>
          <w:sz w:val="32"/>
          <w:szCs w:val="32"/>
          <w:lang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3.47</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97.20</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采购工作完成率</w:t>
      </w:r>
      <w:r>
        <w:rPr>
          <w:rFonts w:hint="eastAsia" w:ascii="Times New Roman" w:eastAsia="仿宋_GB2312"/>
          <w:sz w:val="32"/>
          <w:highlight w:val="none"/>
          <w:lang w:val="en-US" w:eastAsia="zh-CN"/>
        </w:rPr>
        <w:t>：</w:t>
      </w:r>
      <w:r>
        <w:rPr>
          <w:rFonts w:hint="eastAsia" w:ascii="Times New Roman" w:eastAsia="仿宋_GB2312"/>
          <w:sz w:val="32"/>
          <w:lang w:val="en-US" w:eastAsia="zh-CN"/>
        </w:rPr>
        <w:t>我院本着厉行节约，反对浪费原则，尽量做到了在预算范围内采购，年</w:t>
      </w:r>
      <w:r>
        <w:rPr>
          <w:rFonts w:hint="eastAsia" w:ascii="Times New Roman" w:hAnsi="仿宋" w:eastAsia="仿宋_GB2312" w:cs="仿宋"/>
          <w:sz w:val="32"/>
          <w:szCs w:val="32"/>
          <w:highlight w:val="none"/>
          <w:lang w:val="en-US" w:eastAsia="zh-CN"/>
        </w:rPr>
        <w:t>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90%，实际</w:t>
      </w:r>
      <w:r>
        <w:rPr>
          <w:rFonts w:hint="eastAsia" w:ascii="Times New Roman" w:eastAsia="仿宋_GB2312"/>
          <w:sz w:val="32"/>
          <w:lang w:val="en-US" w:eastAsia="zh-CN"/>
        </w:rPr>
        <w:t>采购工作完成率</w:t>
      </w:r>
      <w:r>
        <w:rPr>
          <w:rFonts w:hint="eastAsia" w:ascii="Times New Roman" w:hAnsi="仿宋" w:eastAsia="仿宋_GB2312" w:cs="仿宋"/>
          <w:sz w:val="32"/>
          <w:szCs w:val="32"/>
          <w:highlight w:val="none"/>
          <w:lang w:val="en-US" w:eastAsia="zh-CN"/>
        </w:rPr>
        <w:t>100%，</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3.57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bookmarkEnd w:id="167"/>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68" w:name="_Toc20327"/>
      <w:bookmarkStart w:id="169" w:name="_Toc14235"/>
      <w:bookmarkStart w:id="170" w:name="_Toc30394"/>
      <w:r>
        <w:rPr>
          <w:rFonts w:hint="eastAsia" w:ascii="Times New Roman" w:eastAsia="仿宋_GB2312"/>
          <w:sz w:val="32"/>
          <w:highlight w:val="none"/>
          <w:lang w:val="en-US" w:eastAsia="zh-CN"/>
        </w:rPr>
        <w:t>②质量指标分析：</w:t>
      </w:r>
    </w:p>
    <w:p>
      <w:pPr>
        <w:pStyle w:val="20"/>
        <w:snapToGrid/>
        <w:spacing w:beforeAutospacing="0" w:afterAutospacing="0" w:line="560" w:lineRule="exact"/>
        <w:ind w:left="0" w:leftChars="0" w:firstLine="640" w:firstLineChars="200"/>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法定审限内结案率：</w:t>
      </w:r>
      <w:r>
        <w:rPr>
          <w:rFonts w:hint="eastAsia" w:ascii="Times New Roman" w:hAnsi="Times New Roman" w:eastAsia="仿宋_GB2312" w:cs="Times New Roman"/>
          <w:color w:val="auto"/>
          <w:sz w:val="32"/>
          <w:szCs w:val="32"/>
          <w:shd w:val="clear" w:color="auto" w:fill="FFFFFF"/>
        </w:rPr>
        <w:t>我院2022年在法定审限内所受理案件全部审判完成，法定审限内结案率100%</w:t>
      </w:r>
      <w:r>
        <w:rPr>
          <w:rFonts w:hint="eastAsia" w:ascii="Times New Roman" w:hAnsi="仿宋" w:eastAsia="仿宋_GB2312" w:cs="仿宋"/>
          <w:color w:val="auto"/>
          <w:sz w:val="32"/>
          <w:szCs w:val="32"/>
          <w:highlight w:val="none"/>
          <w:lang w:val="en-US"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宣传覆盖率：</w:t>
      </w:r>
      <w:r>
        <w:rPr>
          <w:rFonts w:hint="eastAsia" w:ascii="Times New Roman" w:hAnsi="仿宋" w:eastAsia="仿宋_GB2312" w:cs="仿宋"/>
          <w:sz w:val="32"/>
          <w:szCs w:val="32"/>
          <w:highlight w:val="none"/>
          <w:lang w:val="en-US" w:eastAsia="zh-CN"/>
        </w:rPr>
        <w:t>年度目标值</w:t>
      </w:r>
      <w:r>
        <w:rPr>
          <w:rFonts w:hint="eastAsia" w:ascii="Times New Roman" w:hAnsi="仿宋" w:eastAsia="仿宋_GB2312" w:cs="仿宋"/>
          <w:sz w:val="32"/>
          <w:szCs w:val="32"/>
          <w:lang w:val="en-US" w:eastAsia="zh-CN"/>
        </w:rPr>
        <w:t>≥</w:t>
      </w:r>
      <w:r>
        <w:rPr>
          <w:rFonts w:hint="eastAsia" w:ascii="Times New Roman" w:hAnsi="仿宋" w:eastAsia="仿宋_GB2312" w:cs="仿宋"/>
          <w:sz w:val="32"/>
          <w:szCs w:val="32"/>
          <w:highlight w:val="none"/>
          <w:lang w:val="en-US" w:eastAsia="zh-CN"/>
        </w:rPr>
        <w:t>90%，完成</w:t>
      </w:r>
      <w:r>
        <w:rPr>
          <w:rFonts w:hint="eastAsia" w:ascii="Times New Roman" w:eastAsia="仿宋_GB2312"/>
          <w:sz w:val="32"/>
          <w:highlight w:val="none"/>
          <w:lang w:val="en-US" w:eastAsia="zh-CN"/>
        </w:rPr>
        <w:t>宣传覆盖率</w:t>
      </w:r>
      <w:r>
        <w:rPr>
          <w:rFonts w:hint="eastAsia" w:ascii="Times New Roman" w:hAnsi="仿宋" w:eastAsia="仿宋_GB2312" w:cs="仿宋"/>
          <w:sz w:val="32"/>
          <w:szCs w:val="32"/>
          <w:highlight w:val="none"/>
          <w:lang w:val="en-US" w:eastAsia="zh-CN"/>
        </w:rPr>
        <w:t>100%，</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3.57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20"/>
        <w:snapToGrid/>
        <w:spacing w:beforeAutospacing="0" w:afterAutospacing="0" w:line="560" w:lineRule="exact"/>
        <w:ind w:left="0" w:leftChars="0" w:firstLine="640" w:firstLineChars="200"/>
        <w:rPr>
          <w:rFonts w:hint="eastAsia" w:ascii="Times New Roman" w:eastAsia="仿宋_GB2312"/>
          <w:color w:val="auto"/>
          <w:sz w:val="32"/>
          <w:lang w:val="en-US" w:eastAsia="zh-CN"/>
        </w:rPr>
      </w:pPr>
      <w:r>
        <w:rPr>
          <w:rFonts w:hint="eastAsia" w:ascii="Times New Roman" w:eastAsia="仿宋_GB2312"/>
          <w:color w:val="auto"/>
          <w:sz w:val="32"/>
          <w:highlight w:val="none"/>
          <w:lang w:val="en-US" w:eastAsia="zh-CN"/>
        </w:rPr>
        <w:t>执行案件执结率：</w:t>
      </w:r>
      <w:r>
        <w:rPr>
          <w:rFonts w:hint="eastAsia" w:ascii="Times New Roman" w:hAnsi="Times New Roman" w:eastAsia="仿宋_GB2312" w:cs="Times New Roman"/>
          <w:color w:val="auto"/>
          <w:sz w:val="32"/>
          <w:szCs w:val="32"/>
          <w:shd w:val="clear" w:color="auto" w:fill="FFFFFF"/>
        </w:rPr>
        <w:t>受理各类执行案件102件（含旧存8件），收案总标的额为2989.82万元；执结94件，结案总标的额为2102.65万元；实际执结率为89.41%</w:t>
      </w:r>
      <w:r>
        <w:rPr>
          <w:rFonts w:hint="eastAsia" w:ascii="Times New Roman" w:hAnsi="仿宋" w:eastAsia="仿宋_GB2312" w:cs="仿宋"/>
          <w:color w:val="auto"/>
          <w:sz w:val="32"/>
          <w:szCs w:val="32"/>
          <w:highlight w:val="none"/>
          <w:lang w:val="en-US"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w:t>
      </w:r>
    </w:p>
    <w:p>
      <w:pPr>
        <w:pStyle w:val="20"/>
        <w:snapToGrid/>
        <w:spacing w:beforeAutospacing="0" w:afterAutospacing="0" w:line="560" w:lineRule="exact"/>
        <w:ind w:left="0" w:leftChars="0" w:firstLine="640" w:firstLineChars="200"/>
        <w:rPr>
          <w:rFonts w:hint="eastAsia" w:ascii="Times New Roman" w:eastAsia="仿宋_GB2312"/>
          <w:color w:val="auto"/>
          <w:sz w:val="32"/>
          <w:lang w:val="en-US" w:eastAsia="zh-CN"/>
        </w:rPr>
      </w:pPr>
      <w:r>
        <w:rPr>
          <w:rFonts w:hint="eastAsia" w:ascii="Times New Roman" w:eastAsia="仿宋_GB2312"/>
          <w:color w:val="auto"/>
          <w:sz w:val="32"/>
          <w:highlight w:val="none"/>
          <w:lang w:val="en-US" w:eastAsia="zh-CN"/>
        </w:rPr>
        <w:t>培训考核通过率：本年我院积极组织工作人员参加培训，并全部通过考核，培训考核通过率</w:t>
      </w:r>
      <w:r>
        <w:rPr>
          <w:rFonts w:hint="eastAsia" w:ascii="Times New Roman" w:eastAsia="仿宋_GB2312" w:cs="Times New Roman"/>
          <w:color w:val="auto"/>
          <w:sz w:val="32"/>
          <w:szCs w:val="32"/>
          <w:shd w:val="clear" w:color="auto" w:fill="FFFFFF"/>
          <w:lang w:val="en-US" w:eastAsia="zh-CN"/>
        </w:rPr>
        <w:t>100</w:t>
      </w:r>
      <w:r>
        <w:rPr>
          <w:rFonts w:hint="eastAsia" w:ascii="Times New Roman" w:hAnsi="仿宋" w:eastAsia="仿宋_GB2312" w:cs="仿宋"/>
          <w:color w:val="auto"/>
          <w:sz w:val="32"/>
          <w:szCs w:val="32"/>
          <w:highlight w:val="none"/>
          <w:lang w:val="en-US" w:eastAsia="zh-CN"/>
        </w:rPr>
        <w:t>%，</w:t>
      </w:r>
      <w:r>
        <w:rPr>
          <w:rFonts w:hint="eastAsia" w:ascii="Times New Roman" w:eastAsia="仿宋_GB2312"/>
          <w:color w:val="auto"/>
          <w:sz w:val="32"/>
          <w:highlight w:val="none"/>
        </w:rPr>
        <w:t>指标分值</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分，自评得分</w:t>
      </w:r>
      <w:r>
        <w:rPr>
          <w:rFonts w:hint="eastAsia" w:ascii="Times New Roman" w:eastAsia="仿宋_GB2312"/>
          <w:color w:val="auto"/>
          <w:sz w:val="32"/>
          <w:highlight w:val="none"/>
          <w:lang w:val="en-US" w:eastAsia="zh-CN"/>
        </w:rPr>
        <w:t>3.57</w:t>
      </w:r>
      <w:r>
        <w:rPr>
          <w:rFonts w:hint="eastAsia" w:ascii="Times New Roman" w:eastAsia="仿宋_GB2312"/>
          <w:color w:val="auto"/>
          <w:sz w:val="32"/>
          <w:highlight w:val="none"/>
        </w:rPr>
        <w:t>分，得分率为</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w:t>
      </w:r>
    </w:p>
    <w:p>
      <w:pPr>
        <w:pStyle w:val="2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highlight w:val="none"/>
          <w:lang w:val="en-US" w:eastAsia="zh-CN"/>
        </w:rPr>
        <w:t>采购设备质量验收合格率：为保障法院法庭庭审、诉讼活动的顺利开展，对采购的专用设备质量问题严格把控，确保其能正常使用，验收合格率为100%</w:t>
      </w:r>
      <w:r>
        <w:rPr>
          <w:rFonts w:hint="eastAsia" w:ascii="Times New Roman" w:hAnsi="仿宋" w:eastAsia="仿宋_GB2312" w:cs="仿宋"/>
          <w:sz w:val="32"/>
          <w:szCs w:val="32"/>
          <w:highlight w:val="none"/>
          <w:lang w:val="en-US" w:eastAsia="zh-CN"/>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3.57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开展培训及时性：本年我院及时组织工作人员参加培训</w:t>
      </w:r>
      <w:r>
        <w:rPr>
          <w:rFonts w:hint="eastAsia" w:ascii="Times New Roman" w:hAnsi="仿宋" w:eastAsia="仿宋_GB2312" w:cs="仿宋"/>
          <w:sz w:val="32"/>
          <w:szCs w:val="32"/>
          <w:highlight w:val="none"/>
          <w:lang w:val="en-US" w:eastAsia="zh-CN"/>
        </w:rPr>
        <w:t>，提高干警司法能力，</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3.57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eastAsia="zh-CN"/>
        </w:rPr>
        <w:t>。</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采购工作完成及时性：2022年度我院设备购置工作均已按时完成，并全部通过验收，</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3.57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pStyle w:val="2"/>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default" w:ascii="Times New Roman" w:eastAsia="仿宋_GB2312"/>
          <w:sz w:val="32"/>
          <w:lang w:val="en-US" w:eastAsia="zh-CN"/>
        </w:rPr>
        <w:t>宣传工作完成及时性</w:t>
      </w:r>
      <w:r>
        <w:rPr>
          <w:rFonts w:hint="eastAsia" w:ascii="Times New Roman" w:eastAsia="仿宋_GB2312"/>
          <w:sz w:val="32"/>
          <w:lang w:val="en-US" w:eastAsia="zh-CN"/>
        </w:rPr>
        <w:t>：本年度我院按计划完成宣传活动</w:t>
      </w:r>
      <w:r>
        <w:rPr>
          <w:rFonts w:hint="eastAsia" w:ascii="Times New Roman" w:eastAsia="仿宋_GB2312"/>
          <w:sz w:val="32"/>
          <w:highlight w:val="none"/>
          <w:lang w:val="en-US" w:eastAsia="zh-CN"/>
        </w:rPr>
        <w:t>，</w:t>
      </w:r>
      <w:r>
        <w:rPr>
          <w:rFonts w:hint="eastAsia" w:ascii="Times New Roman" w:hAnsi="仿宋" w:eastAsia="仿宋_GB2312" w:cs="仿宋"/>
          <w:sz w:val="32"/>
          <w:szCs w:val="32"/>
          <w:highlight w:val="none"/>
          <w:lang w:val="en-US" w:eastAsia="zh-CN"/>
        </w:rPr>
        <w:t>完成年度目标，</w:t>
      </w:r>
      <w:r>
        <w:rPr>
          <w:rFonts w:hint="eastAsia" w:ascii="Times New Roman" w:eastAsia="仿宋_GB2312"/>
          <w:sz w:val="32"/>
          <w:highlight w:val="none"/>
        </w:rPr>
        <w:t>指标分值</w:t>
      </w:r>
      <w:r>
        <w:rPr>
          <w:rFonts w:hint="eastAsia" w:ascii="Times New Roman" w:eastAsia="仿宋_GB2312"/>
          <w:sz w:val="32"/>
          <w:highlight w:val="none"/>
          <w:lang w:val="en-US" w:eastAsia="zh-CN"/>
        </w:rPr>
        <w:t>3.57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3.57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r>
        <w:rPr>
          <w:rFonts w:hint="eastAsia" w:ascii="Times New Roman" w:eastAsia="仿宋_GB2312"/>
          <w:sz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成本控制情况，该项目本年支出在预算范围内，实际成本未超预算。指标得分3.57分。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bookmarkEnd w:id="168"/>
      <w:bookmarkEnd w:id="169"/>
      <w:bookmarkEnd w:id="17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71" w:name="_Toc9742"/>
      <w:bookmarkStart w:id="172" w:name="_Toc469"/>
      <w:bookmarkStart w:id="173" w:name="_Toc28391"/>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社会效益、</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两</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6</w:t>
      </w:r>
      <w:r>
        <w:rPr>
          <w:rFonts w:hint="eastAsia" w:ascii="Times New Roman" w:eastAsia="仿宋_GB2312"/>
          <w:sz w:val="32"/>
          <w:highlight w:val="none"/>
        </w:rPr>
        <w:t>个三级指标。指标分值</w:t>
      </w:r>
      <w:r>
        <w:rPr>
          <w:rFonts w:ascii="Times New Roman" w:eastAsia="仿宋_GB2312"/>
          <w:sz w:val="32"/>
          <w:highlight w:val="none"/>
        </w:rPr>
        <w:t>3</w:t>
      </w:r>
      <w:r>
        <w:rPr>
          <w:rFonts w:hint="eastAsia" w:ascii="Times New Roman" w:eastAsia="仿宋_GB2312"/>
          <w:sz w:val="32"/>
          <w:highlight w:val="none"/>
        </w:rPr>
        <w:t>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71"/>
      <w:bookmarkEnd w:id="172"/>
    </w:p>
    <w:bookmarkEnd w:id="173"/>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社会效益指标分析：</w:t>
      </w:r>
    </w:p>
    <w:p>
      <w:pPr>
        <w:snapToGrid/>
        <w:spacing w:beforeAutospacing="0" w:afterAutospacing="0" w:line="560" w:lineRule="exact"/>
        <w:ind w:left="0" w:leftChars="0" w:firstLine="640" w:firstLineChars="200"/>
        <w:rPr>
          <w:rFonts w:hint="default"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工作人员专业能力提升：</w:t>
      </w:r>
      <w:r>
        <w:rPr>
          <w:rFonts w:hint="eastAsia" w:ascii="Times New Roman" w:hAnsi="Times New Roman" w:eastAsia="仿宋_GB2312" w:cs="Times New Roman"/>
          <w:color w:val="auto"/>
          <w:sz w:val="32"/>
          <w:szCs w:val="32"/>
          <w:shd w:val="clear" w:color="auto" w:fill="FFFFFF"/>
        </w:rPr>
        <w:t>持续打造“学习型”法院，始终把提升干警综合素能作为重点，夯实审判业务本领。组织全体干警参加各级各类线上、线下培训25期。其中干警参加脱产培训7期7人（次）310课时；参加视频培训18期435人（次），通过不同形式的学习培训，学习覆盖率达到100%，干警综合素质和业务能力得到了明显提升</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eastAsia="仿宋_GB2312"/>
          <w:color w:val="auto"/>
          <w:sz w:val="32"/>
          <w:highlight w:val="none"/>
          <w:lang w:val="en-US" w:eastAsia="zh-CN"/>
        </w:rPr>
        <w:t>指标得分5分。</w:t>
      </w:r>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公众法律意识增强：自开通微信公众号以来，发布信息700余条，及时报道法院工作动态、普及法律知识、摘登典型案例、转发防疫信息等，发挥司法裁判的社会导向作用，积极宣传法治正能量，</w:t>
      </w:r>
      <w:r>
        <w:rPr>
          <w:rFonts w:hint="eastAsia" w:ascii="Times New Roman" w:hAnsi="宋体" w:eastAsia="仿宋_GB2312"/>
          <w:sz w:val="32"/>
          <w:szCs w:val="32"/>
          <w:lang w:val="en-US" w:eastAsia="zh-CN"/>
        </w:rPr>
        <w:t>公众法律意识有效得到增强</w:t>
      </w:r>
      <w:r>
        <w:rPr>
          <w:rFonts w:hint="eastAsia" w:ascii="Times New Roman" w:eastAsia="仿宋_GB2312"/>
          <w:sz w:val="32"/>
          <w:highlight w:val="none"/>
          <w:lang w:val="en-US" w:eastAsia="zh-CN"/>
        </w:rPr>
        <w:t>，指标得分5分。</w:t>
      </w:r>
    </w:p>
    <w:p>
      <w:pPr>
        <w:snapToGrid/>
        <w:spacing w:beforeAutospacing="0" w:afterAutospacing="0" w:line="560" w:lineRule="exact"/>
        <w:ind w:left="0" w:leftChars="0" w:firstLine="640" w:firstLineChars="200"/>
        <w:rPr>
          <w:rFonts w:hint="default"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促进司法公正：</w:t>
      </w:r>
      <w:r>
        <w:rPr>
          <w:rFonts w:hint="eastAsia" w:ascii="Times New Roman" w:hAnsi="Times New Roman" w:eastAsia="仿宋_GB2312" w:cs="Times New Roman"/>
          <w:color w:val="auto"/>
          <w:sz w:val="32"/>
          <w:szCs w:val="32"/>
          <w:shd w:val="clear" w:color="auto" w:fill="FFFFFF"/>
        </w:rPr>
        <w:t>紧紧围绕“努力让人民群众在每一个司法案件中感受到公平正义”的目标，坚持服务大局、司法为民、公正司法</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指标</w:t>
      </w:r>
      <w:r>
        <w:rPr>
          <w:rFonts w:hint="eastAsia" w:ascii="Times New Roman" w:eastAsia="仿宋_GB2312"/>
          <w:color w:val="auto"/>
          <w:sz w:val="32"/>
          <w:highlight w:val="none"/>
        </w:rPr>
        <w:t>得分</w:t>
      </w:r>
      <w:r>
        <w:rPr>
          <w:rFonts w:hint="eastAsia" w:ascii="Times New Roman" w:eastAsia="仿宋_GB2312"/>
          <w:color w:val="auto"/>
          <w:sz w:val="32"/>
          <w:highlight w:val="none"/>
          <w:lang w:val="en-US" w:eastAsia="zh-CN"/>
        </w:rPr>
        <w:t>5</w:t>
      </w:r>
      <w:r>
        <w:rPr>
          <w:rFonts w:hint="eastAsia" w:ascii="Times New Roman" w:eastAsia="仿宋_GB2312"/>
          <w:color w:val="auto"/>
          <w:sz w:val="32"/>
          <w:highlight w:val="none"/>
        </w:rPr>
        <w:t>分</w:t>
      </w:r>
      <w:r>
        <w:rPr>
          <w:rFonts w:hint="eastAsia" w:ascii="Times New Roman" w:eastAsia="仿宋_GB2312"/>
          <w:color w:val="auto"/>
          <w:sz w:val="32"/>
          <w:highlight w:val="none"/>
          <w:lang w:val="en-US" w:eastAsia="zh-CN"/>
        </w:rPr>
        <w:t>。</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②可持续影响指标分析：</w:t>
      </w:r>
    </w:p>
    <w:p>
      <w:pPr>
        <w:pStyle w:val="20"/>
        <w:snapToGrid/>
        <w:spacing w:beforeAutospacing="0" w:afterAutospacing="0" w:line="560" w:lineRule="exact"/>
        <w:ind w:left="0" w:leftChars="0" w:firstLine="640" w:firstLineChars="200"/>
        <w:rPr>
          <w:rFonts w:hint="eastAsia" w:ascii="Times New Roman" w:eastAsia="仿宋_GB2312"/>
          <w:color w:val="auto"/>
          <w:sz w:val="32"/>
          <w:lang w:val="en-US" w:eastAsia="zh-CN"/>
        </w:rPr>
      </w:pPr>
      <w:r>
        <w:rPr>
          <w:rFonts w:hint="eastAsia" w:ascii="Times New Roman" w:eastAsia="仿宋_GB2312"/>
          <w:color w:val="auto"/>
          <w:sz w:val="32"/>
          <w:lang w:val="en-US" w:eastAsia="zh-CN"/>
        </w:rPr>
        <w:t>培训机制健全性：</w:t>
      </w:r>
      <w:r>
        <w:rPr>
          <w:rFonts w:hint="eastAsia" w:ascii="Times New Roman" w:hAnsi="Times New Roman" w:eastAsia="仿宋_GB2312" w:cs="Times New Roman"/>
          <w:color w:val="auto"/>
          <w:sz w:val="32"/>
          <w:szCs w:val="32"/>
          <w:shd w:val="clear" w:color="auto" w:fill="FFFFFF"/>
        </w:rPr>
        <w:t>持续打造“学习型”法院，始终把提升干警综合素能作为重点，夯实审判业务本领</w:t>
      </w:r>
      <w:r>
        <w:rPr>
          <w:rFonts w:hint="eastAsia" w:ascii="Times New Roman" w:eastAsia="仿宋_GB2312"/>
          <w:color w:val="auto"/>
          <w:sz w:val="32"/>
          <w:lang w:val="en-US" w:eastAsia="zh-CN"/>
        </w:rPr>
        <w:t>，培训机制健全，</w:t>
      </w:r>
      <w:r>
        <w:rPr>
          <w:rFonts w:hint="eastAsia" w:ascii="Times New Roman" w:eastAsia="仿宋_GB2312"/>
          <w:color w:val="auto"/>
          <w:sz w:val="32"/>
          <w:highlight w:val="none"/>
          <w:lang w:val="en-US" w:eastAsia="zh-CN"/>
        </w:rPr>
        <w:t>指标得分5分。</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采购管理机制健全性：</w:t>
      </w:r>
      <w:r>
        <w:rPr>
          <w:rFonts w:hint="eastAsia" w:ascii="Times New Roman" w:hAnsi="仿宋" w:eastAsia="仿宋_GB2312"/>
          <w:sz w:val="32"/>
          <w:szCs w:val="32"/>
          <w:lang w:val="en-US" w:eastAsia="zh-CN"/>
        </w:rPr>
        <w:t>我院采购管理机制建设完善，有效地规避了采购过程中可能出现的各种风险，极大地提高了采购工作的效率</w:t>
      </w:r>
      <w:r>
        <w:rPr>
          <w:rFonts w:hint="eastAsia" w:ascii="Times New Roman" w:eastAsia="仿宋_GB2312"/>
          <w:sz w:val="32"/>
          <w:lang w:val="en-US" w:eastAsia="zh-CN"/>
        </w:rPr>
        <w:t>，</w:t>
      </w:r>
      <w:r>
        <w:rPr>
          <w:rFonts w:hint="eastAsia" w:ascii="Times New Roman" w:eastAsia="仿宋_GB2312"/>
          <w:sz w:val="32"/>
          <w:highlight w:val="none"/>
          <w:lang w:val="en-US" w:eastAsia="zh-CN"/>
        </w:rPr>
        <w:t>指标得分5分。</w:t>
      </w:r>
    </w:p>
    <w:p>
      <w:pPr>
        <w:pStyle w:val="20"/>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宣传机制健全性：我院本年度积极进行各类法治宣传，宣传机制逐步健全，完成年度目标，指标得分5分。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74" w:name="_Toc26341"/>
      <w:bookmarkStart w:id="175" w:name="_Toc11848"/>
      <w:bookmarkStart w:id="176" w:name="_Toc23153"/>
      <w:r>
        <w:rPr>
          <w:rFonts w:hint="eastAsia" w:ascii="Times New Roman" w:eastAsia="仿宋_GB2312"/>
          <w:sz w:val="32"/>
          <w:highlight w:val="none"/>
        </w:rPr>
        <w:t>（3）项目满意度指标完成情况分析</w:t>
      </w:r>
      <w:bookmarkEnd w:id="174"/>
      <w:bookmarkEnd w:id="175"/>
      <w:bookmarkEnd w:id="17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77" w:name="_Toc22707"/>
      <w:bookmarkStart w:id="178" w:name="_Toc12446"/>
      <w:bookmarkStart w:id="179" w:name="_Toc79"/>
      <w:r>
        <w:rPr>
          <w:rFonts w:hint="eastAsia" w:ascii="Times New Roman" w:eastAsia="仿宋_GB2312"/>
          <w:sz w:val="32"/>
          <w:highlight w:val="none"/>
        </w:rPr>
        <w:t>项目服务对象满意度指标主要为参加培训人员满意度</w:t>
      </w:r>
      <w:r>
        <w:rPr>
          <w:rFonts w:hint="eastAsia" w:ascii="Times New Roman" w:eastAsia="仿宋_GB2312"/>
          <w:sz w:val="32"/>
          <w:highlight w:val="none"/>
          <w:lang w:val="en-US" w:eastAsia="zh-CN"/>
        </w:rPr>
        <w:t>和法院工作人员满意度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bookmarkEnd w:id="177"/>
      <w:bookmarkEnd w:id="178"/>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参加培训人员满意度：</w:t>
      </w:r>
      <w:r>
        <w:rPr>
          <w:rFonts w:hint="eastAsia" w:ascii="Times New Roman" w:hAnsi="Times New Roman" w:eastAsia="仿宋_GB2312" w:cs="Times New Roman"/>
          <w:color w:val="auto"/>
          <w:sz w:val="32"/>
          <w:szCs w:val="32"/>
          <w:shd w:val="clear" w:color="auto" w:fill="FFFFFF"/>
        </w:rPr>
        <w:t>通过不同形式的学习培训，学习覆盖率达到100%</w:t>
      </w:r>
      <w:r>
        <w:rPr>
          <w:rFonts w:hint="eastAsia" w:ascii="Times New Roman" w:eastAsia="仿宋_GB2312" w:cs="Times New Roman"/>
          <w:color w:val="auto"/>
          <w:sz w:val="32"/>
          <w:szCs w:val="32"/>
          <w:shd w:val="clear" w:color="auto" w:fill="FFFFFF"/>
          <w:lang w:eastAsia="zh-CN"/>
        </w:rPr>
        <w:t>，</w:t>
      </w:r>
      <w:r>
        <w:rPr>
          <w:rFonts w:hint="eastAsia" w:ascii="Times New Roman" w:eastAsia="仿宋_GB2312" w:cs="Times New Roman"/>
          <w:color w:val="auto"/>
          <w:sz w:val="32"/>
          <w:szCs w:val="32"/>
          <w:shd w:val="clear" w:color="auto" w:fill="FFFFFF"/>
          <w:lang w:val="en-US" w:eastAsia="zh-CN"/>
        </w:rPr>
        <w:t>通过随机调查参加培训人员满意度较好</w:t>
      </w:r>
      <w:r>
        <w:rPr>
          <w:rFonts w:hint="eastAsia" w:ascii="Times New Roman" w:eastAsia="仿宋_GB2312"/>
          <w:color w:val="auto"/>
          <w:sz w:val="32"/>
        </w:rPr>
        <w:t>，自评得分为5分，得分率为100%。</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rPr>
      </w:pPr>
      <w:r>
        <w:rPr>
          <w:rFonts w:hint="eastAsia" w:ascii="Times New Roman" w:eastAsia="仿宋_GB2312"/>
          <w:sz w:val="32"/>
          <w:highlight w:val="none"/>
          <w:lang w:val="en-US" w:eastAsia="zh-CN"/>
        </w:rPr>
        <w:t>法院工作人员满意度</w:t>
      </w:r>
      <w:r>
        <w:rPr>
          <w:rFonts w:hint="eastAsia" w:ascii="Times New Roman" w:eastAsia="仿宋_GB2312"/>
          <w:sz w:val="32"/>
          <w:highlight w:val="none"/>
        </w:rPr>
        <w:t>：我院积极审判各类案件，保障人民群众合法权益，从人员配置到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w:t>
      </w:r>
      <w:r>
        <w:rPr>
          <w:rFonts w:hint="eastAsia" w:ascii="Times New Roman" w:eastAsia="仿宋_GB2312"/>
          <w:sz w:val="32"/>
          <w:highlight w:val="none"/>
          <w:lang w:val="en-US" w:eastAsia="zh-CN"/>
        </w:rPr>
        <w:t>法院工作人员满意度</w:t>
      </w:r>
      <w:r>
        <w:rPr>
          <w:rFonts w:hint="eastAsia" w:ascii="Times New Roman" w:eastAsia="仿宋_GB2312"/>
          <w:sz w:val="32"/>
        </w:rPr>
        <w:t>达到</w:t>
      </w:r>
      <w:r>
        <w:rPr>
          <w:rFonts w:hint="eastAsia" w:ascii="Times New Roman" w:eastAsia="仿宋_GB2312"/>
          <w:sz w:val="32"/>
          <w:lang w:val="en-US" w:eastAsia="zh-CN"/>
        </w:rPr>
        <w:t>98</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rPr>
        <w:t>自评得分为5分，得分率为100%。</w:t>
      </w:r>
    </w:p>
    <w:bookmarkEnd w:id="179"/>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80" w:name="_Toc19974"/>
      <w:bookmarkStart w:id="181" w:name="_Toc3945"/>
      <w:bookmarkStart w:id="182" w:name="_Toc10740"/>
      <w:bookmarkStart w:id="183" w:name="_Toc26419"/>
      <w:bookmarkStart w:id="184" w:name="_Toc17216"/>
      <w:r>
        <w:rPr>
          <w:rFonts w:hint="eastAsia" w:ascii="仿宋_GB2312" w:eastAsia="仿宋_GB2312"/>
          <w:b/>
          <w:sz w:val="32"/>
          <w:highlight w:val="none"/>
        </w:rPr>
        <w:t>4.偏离绩效目标的原因及下一步改进措施</w:t>
      </w:r>
      <w:bookmarkEnd w:id="180"/>
      <w:bookmarkEnd w:id="181"/>
      <w:bookmarkEnd w:id="182"/>
      <w:bookmarkEnd w:id="183"/>
      <w:bookmarkEnd w:id="18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b w:val="0"/>
          <w:kern w:val="2"/>
          <w:sz w:val="32"/>
          <w:szCs w:val="24"/>
          <w:lang w:val="en-US" w:eastAsia="zh-CN" w:bidi="ar-SA"/>
        </w:rPr>
      </w:pPr>
      <w:bookmarkStart w:id="185" w:name="_Toc22214"/>
      <w:bookmarkStart w:id="186" w:name="_Toc20695"/>
      <w:bookmarkStart w:id="187" w:name="_Toc9907"/>
      <w:bookmarkStart w:id="188" w:name="_Toc17918"/>
      <w:bookmarkStart w:id="189" w:name="_Toc20645"/>
      <w:bookmarkStart w:id="190" w:name="_Toc15027"/>
      <w:bookmarkStart w:id="191" w:name="_Toc15327"/>
      <w:r>
        <w:rPr>
          <w:rFonts w:hint="eastAsia" w:ascii="Times New Roman" w:hAnsi="Times New Roman" w:eastAsia="仿宋_GB2312" w:cs="Times New Roman"/>
          <w:b w:val="0"/>
          <w:kern w:val="2"/>
          <w:sz w:val="32"/>
          <w:szCs w:val="24"/>
          <w:lang w:val="en-US" w:eastAsia="zh-CN" w:bidi="ar-SA"/>
        </w:rPr>
        <w:t>开展法制宣传活动次数和培训开展次数目标值设置偏低，超本年度实际完成值大于年度目标的130%，下一步我院将加强预算绩效管理，提高绩效目标的准确性、合理性。</w:t>
      </w:r>
      <w:bookmarkEnd w:id="185"/>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92" w:name="_Toc8716"/>
      <w:r>
        <w:rPr>
          <w:rFonts w:hint="eastAsia" w:ascii="Arial" w:eastAsia="楷体"/>
          <w:b/>
          <w:sz w:val="32"/>
          <w:highlight w:val="none"/>
        </w:rPr>
        <w:t>（二）</w:t>
      </w:r>
      <w:bookmarkEnd w:id="186"/>
      <w:bookmarkEnd w:id="187"/>
      <w:bookmarkEnd w:id="188"/>
      <w:bookmarkEnd w:id="189"/>
      <w:r>
        <w:rPr>
          <w:rFonts w:hint="eastAsia" w:ascii="Arial" w:eastAsia="楷体"/>
          <w:b/>
          <w:sz w:val="32"/>
          <w:highlight w:val="none"/>
          <w:lang w:val="en-US" w:eastAsia="zh-CN"/>
        </w:rPr>
        <w:t>物业费</w:t>
      </w:r>
      <w:bookmarkEnd w:id="190"/>
      <w:bookmarkEnd w:id="191"/>
      <w:bookmarkEnd w:id="192"/>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本次绩效自评综合评定物业费项目支出绩效得分为</w:t>
      </w:r>
      <w:r>
        <w:rPr>
          <w:rFonts w:hint="eastAsia" w:ascii="Times New Roman" w:eastAsia="仿宋_GB2312"/>
          <w:sz w:val="32"/>
          <w:highlight w:val="none"/>
          <w:lang w:val="en-US" w:eastAsia="zh-CN"/>
        </w:rPr>
        <w:t>92.9</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23</w:t>
      </w:r>
      <w:r>
        <w:rPr>
          <w:rFonts w:hint="eastAsia" w:ascii="Times New Roman" w:eastAsia="仿宋_GB2312"/>
          <w:sz w:val="32"/>
          <w:highlight w:val="none"/>
        </w:rPr>
        <w:t>个三级指标。一级指标得分情况详见下表 ：</w:t>
      </w:r>
    </w:p>
    <w:tbl>
      <w:tblPr>
        <w:tblStyle w:val="19"/>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42.9</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85.8</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92.9</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92.90</w:t>
            </w:r>
            <w:r>
              <w:rPr>
                <w:rFonts w:hint="eastAsia" w:ascii="宋体" w:hAnsi="宋体" w:eastAsia="宋体" w:cs="宋体"/>
                <w:b/>
                <w:color w:val="000000"/>
                <w:kern w:val="0"/>
                <w:sz w:val="22"/>
                <w:szCs w:val="22"/>
                <w:highlight w:val="none"/>
              </w:rPr>
              <w:t>%</w:t>
            </w:r>
          </w:p>
        </w:tc>
      </w:tr>
    </w:tbl>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193" w:name="_Toc5692"/>
      <w:bookmarkStart w:id="194" w:name="_Toc3213"/>
      <w:r>
        <w:rPr>
          <w:rFonts w:hint="eastAsia" w:ascii="仿宋_GB2312" w:hAnsi="仿宋" w:eastAsia="仿宋_GB2312" w:cs="仿宋"/>
          <w:b/>
          <w:color w:val="auto"/>
          <w:sz w:val="32"/>
          <w:szCs w:val="30"/>
          <w:highlight w:val="none"/>
        </w:rPr>
        <w:t>1.项目支出预算执行情况</w:t>
      </w:r>
      <w:bookmarkEnd w:id="193"/>
      <w:bookmarkEnd w:id="19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物业费</w:t>
      </w:r>
      <w:r>
        <w:rPr>
          <w:rFonts w:hint="eastAsia" w:ascii="Times New Roman" w:eastAsia="仿宋_GB2312"/>
          <w:color w:val="auto"/>
          <w:sz w:val="32"/>
          <w:highlight w:val="none"/>
          <w:lang w:eastAsia="zh-CN"/>
        </w:rPr>
        <w:t>项目</w:t>
      </w:r>
      <w:r>
        <w:rPr>
          <w:rFonts w:hint="eastAsia" w:ascii="Times New Roman" w:eastAsia="仿宋_GB2312"/>
          <w:color w:val="auto"/>
          <w:sz w:val="32"/>
          <w:highlight w:val="none"/>
          <w:lang w:val="en-US" w:eastAsia="zh-CN"/>
        </w:rPr>
        <w:t>当年财政拨款20.00万元</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全年实际支出数20.00</w:t>
      </w:r>
      <w:r>
        <w:rPr>
          <w:rFonts w:hint="eastAsia" w:ascii="Times New Roman" w:eastAsia="仿宋_GB2312"/>
          <w:color w:val="auto"/>
          <w:sz w:val="32"/>
          <w:highlight w:val="none"/>
        </w:rPr>
        <w:t>万元，预算执行率</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指标得分10分</w:t>
      </w:r>
      <w:r>
        <w:rPr>
          <w:rFonts w:hint="eastAsia" w:ascii="Times New Roman" w:eastAsia="仿宋_GB2312"/>
          <w:color w:val="auto"/>
          <w:sz w:val="32"/>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5" w:name="_Toc30187"/>
      <w:bookmarkStart w:id="196" w:name="_Toc13227"/>
      <w:r>
        <w:rPr>
          <w:rFonts w:hint="eastAsia" w:ascii="仿宋_GB2312" w:eastAsia="仿宋_GB2312"/>
          <w:b/>
          <w:sz w:val="32"/>
          <w:highlight w:val="none"/>
        </w:rPr>
        <w:t>2.总体绩效目标完成情况分析</w:t>
      </w:r>
      <w:bookmarkEnd w:id="195"/>
      <w:bookmarkEnd w:id="19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项目总体绩效目标为：保障案件审判工作能够顺利开展，工作环境得到优化改善，后勤保障能力得到提升，确保2022年度我院机关审判场地的安全以及法庭工作的正常运行。</w:t>
      </w:r>
    </w:p>
    <w:p>
      <w:pPr>
        <w:pStyle w:val="20"/>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highlight w:val="none"/>
          <w:lang w:val="en-US" w:eastAsia="zh-CN"/>
        </w:rPr>
        <w:t>年度实际完成情况：物业费项目实施确保了我院基础设施正常运行，满足了我院后勤保障的基本需要，单位环境得到进一步美化，确保单位各项工作在安全、舒心的环境中稳步运行。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9"/>
          <w:rFonts w:ascii="仿宋_GB2312" w:eastAsia="仿宋_GB2312"/>
          <w:b/>
          <w:sz w:val="32"/>
          <w:highlight w:val="none"/>
        </w:rPr>
      </w:pPr>
      <w:bookmarkStart w:id="197" w:name="_Toc11644"/>
      <w:bookmarkStart w:id="198" w:name="_Toc6201"/>
      <w:r>
        <w:rPr>
          <w:rStyle w:val="29"/>
          <w:rFonts w:hint="eastAsia" w:ascii="仿宋_GB2312" w:eastAsia="仿宋_GB2312"/>
          <w:b/>
          <w:sz w:val="32"/>
          <w:highlight w:val="none"/>
        </w:rPr>
        <w:t>3.各项指标完成情况分析</w:t>
      </w:r>
      <w:bookmarkEnd w:id="197"/>
      <w:bookmarkEnd w:id="19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（1）项目产出指标完成情况分析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6</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42.9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85.80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autoSpaceDE w:val="0"/>
        <w:snapToGrid/>
        <w:spacing w:beforeAutospacing="0" w:afterAutospacing="0" w:line="560" w:lineRule="exact"/>
        <w:ind w:left="0" w:leftChars="0" w:firstLine="640" w:firstLineChars="200"/>
        <w:rPr>
          <w:rFonts w:hint="eastAsia" w:ascii="Times New Roman" w:eastAsia="仿宋_GB2312"/>
          <w:color w:val="auto"/>
          <w:sz w:val="32"/>
          <w:highlight w:val="none"/>
          <w:lang w:val="en-US" w:eastAsia="zh-CN"/>
        </w:rPr>
      </w:pPr>
      <w:r>
        <w:rPr>
          <w:rFonts w:hint="eastAsia" w:ascii="Times New Roman" w:eastAsia="仿宋_GB2312"/>
          <w:color w:val="auto"/>
          <w:sz w:val="32"/>
          <w:lang w:val="en-US" w:eastAsia="zh-CN"/>
        </w:rPr>
        <w:t>监督、检查、管理、监管、监测</w:t>
      </w:r>
      <w:r>
        <w:rPr>
          <w:rFonts w:hint="eastAsia" w:ascii="Times New Roman" w:eastAsia="仿宋_GB2312"/>
          <w:color w:val="auto"/>
          <w:sz w:val="32"/>
          <w:highlight w:val="none"/>
          <w:lang w:val="en-US" w:eastAsia="zh-CN"/>
        </w:rPr>
        <w:t>：年度目标</w:t>
      </w:r>
      <w:r>
        <w:rPr>
          <w:rFonts w:hint="eastAsia" w:ascii="Times New Roman" w:hAnsi="Times New Roman" w:eastAsia="仿宋_GB2312" w:cs="Times New Roman"/>
          <w:color w:val="auto"/>
          <w:sz w:val="32"/>
          <w:szCs w:val="32"/>
          <w:shd w:val="clear" w:color="auto" w:fill="FFFFFF"/>
        </w:rPr>
        <w:t>&gt;=100次</w:t>
      </w:r>
      <w:r>
        <w:rPr>
          <w:rFonts w:hint="eastAsia" w:ascii="Times New Roman" w:eastAsia="仿宋_GB2312"/>
          <w:color w:val="auto"/>
          <w:sz w:val="32"/>
          <w:highlight w:val="none"/>
          <w:lang w:val="en-US" w:eastAsia="zh-CN"/>
        </w:rPr>
        <w:t>，实际完成15次，指标得分1.25分。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资产维修维护：年度目标</w:t>
      </w:r>
      <w:r>
        <w:rPr>
          <w:rFonts w:hint="eastAsia" w:ascii="Times New Roman" w:hAnsi="Times New Roman" w:eastAsia="仿宋_GB2312" w:cs="Times New Roman"/>
          <w:color w:val="auto"/>
          <w:sz w:val="32"/>
          <w:szCs w:val="32"/>
          <w:shd w:val="clear" w:color="auto" w:fill="FFFFFF"/>
        </w:rPr>
        <w:t>&gt;=4次</w:t>
      </w:r>
      <w:r>
        <w:rPr>
          <w:rFonts w:hint="eastAsia" w:ascii="Times New Roman" w:eastAsia="仿宋_GB2312"/>
          <w:color w:val="auto"/>
          <w:sz w:val="32"/>
          <w:highlight w:val="none"/>
          <w:lang w:val="en-US" w:eastAsia="zh-CN"/>
        </w:rPr>
        <w:t>，实际完成4次，指标得分1.25分。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资金使用规范性：</w:t>
      </w:r>
      <w:r>
        <w:rPr>
          <w:rFonts w:hint="eastAsia" w:ascii="Times New Roman" w:eastAsia="仿宋_GB2312"/>
          <w:color w:val="auto"/>
          <w:sz w:val="32"/>
          <w:highlight w:val="none"/>
          <w:lang w:eastAsia="zh-CN"/>
        </w:rPr>
        <w:t>我院</w:t>
      </w:r>
      <w:r>
        <w:rPr>
          <w:rFonts w:hint="eastAsia" w:ascii="Times New Roman" w:eastAsia="仿宋_GB2312"/>
          <w:color w:val="auto"/>
          <w:sz w:val="32"/>
          <w:highlight w:val="none"/>
        </w:rPr>
        <w:t>资金支出总体上审批程序合规、手续齐全，支出内容符合省财政预算批复规定的用途，严格使用公务卡报销，有效提高了财务资金使用的合理性和规范性</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rPr>
        <w:t>防止了国有资金流失</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eastAsia="仿宋_GB2312"/>
          <w:color w:val="auto"/>
          <w:sz w:val="32"/>
          <w:highlight w:val="none"/>
          <w:lang w:val="en-US" w:eastAsia="zh-CN"/>
        </w:rPr>
        <w:t>完成年度目标，指标得分8.33分。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资金支付率：该项目年度预算数20.00万元，实际支出20.00万元，资金支付率达到100%，指标得分8.33分。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计划工作完成率：我院本年度已按计划完成了各项工作，达到年度目标值，指标得分8.33分。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是否控制在年度预算范围内，该项目成本控制在预算范围内，未超预算，指标得分8.33分。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w:t>
      </w:r>
      <w:r>
        <w:rPr>
          <w:rFonts w:hint="eastAsia" w:ascii="Times New Roman" w:eastAsia="仿宋_GB2312"/>
          <w:sz w:val="32"/>
          <w:highlight w:val="none"/>
        </w:rPr>
        <w:t>效益</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生态效益和</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四</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经济效益考察法院管理能力提升情况和检查、管理覆盖面增加情况，</w:t>
      </w:r>
      <w:r>
        <w:rPr>
          <w:rFonts w:hint="default" w:ascii="Times New Roman" w:eastAsia="仿宋_GB2312"/>
          <w:sz w:val="32"/>
          <w:highlight w:val="none"/>
          <w:lang w:val="en-US" w:eastAsia="zh-CN"/>
        </w:rPr>
        <w:t>该项目实行过程中，</w:t>
      </w:r>
      <w:r>
        <w:rPr>
          <w:rFonts w:hint="eastAsia" w:ascii="Times New Roman" w:eastAsia="仿宋_GB2312"/>
          <w:sz w:val="32"/>
          <w:highlight w:val="none"/>
          <w:lang w:val="en-US" w:eastAsia="zh-CN"/>
        </w:rPr>
        <w:t>提升了法院管理能力同时检查确保管理覆盖面达到目标，</w:t>
      </w:r>
      <w:r>
        <w:rPr>
          <w:rFonts w:hint="default" w:ascii="Times New Roman" w:eastAsia="仿宋_GB2312"/>
          <w:sz w:val="32"/>
          <w:highlight w:val="none"/>
          <w:lang w:val="en-US" w:eastAsia="zh-CN"/>
        </w:rPr>
        <w:t>产生了良好的</w:t>
      </w:r>
      <w:r>
        <w:rPr>
          <w:rFonts w:hint="eastAsia" w:ascii="Times New Roman" w:eastAsia="仿宋_GB2312"/>
          <w:sz w:val="32"/>
          <w:highlight w:val="none"/>
          <w:lang w:val="en-US" w:eastAsia="zh-CN"/>
        </w:rPr>
        <w:t>经济</w:t>
      </w:r>
      <w:r>
        <w:rPr>
          <w:rFonts w:hint="default" w:ascii="Times New Roman" w:eastAsia="仿宋_GB2312"/>
          <w:sz w:val="32"/>
          <w:highlight w:val="none"/>
          <w:lang w:val="en-US" w:eastAsia="zh-CN"/>
        </w:rPr>
        <w:t>效益，</w:t>
      </w:r>
      <w:r>
        <w:rPr>
          <w:rFonts w:hint="eastAsia" w:ascii="Times New Roman" w:eastAsia="仿宋_GB2312"/>
          <w:sz w:val="32"/>
          <w:highlight w:val="none"/>
          <w:lang w:val="en-US" w:eastAsia="zh-CN"/>
        </w:rPr>
        <w:t>指标得分8.6分。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仿宋" w:eastAsia="仿宋_GB2312" w:cs="仿宋"/>
          <w:sz w:val="32"/>
          <w:highlight w:val="none"/>
          <w:lang w:val="en-US" w:eastAsia="zh-CN"/>
        </w:rPr>
        <w:t>②</w:t>
      </w:r>
      <w:r>
        <w:rPr>
          <w:rFonts w:hint="eastAsia" w:ascii="Times New Roman" w:eastAsia="仿宋_GB2312"/>
          <w:sz w:val="32"/>
          <w:highlight w:val="none"/>
          <w:lang w:val="en-US" w:eastAsia="zh-CN"/>
        </w:rPr>
        <w:t>社会效益指标分析：</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社会效益考察业务人员工作水平提升情况和保障办公环境、设施运行安全，</w:t>
      </w:r>
      <w:r>
        <w:rPr>
          <w:rFonts w:hint="default" w:ascii="Times New Roman" w:eastAsia="仿宋_GB2312"/>
          <w:sz w:val="32"/>
          <w:highlight w:val="none"/>
          <w:lang w:val="en-US" w:eastAsia="zh-CN"/>
        </w:rPr>
        <w:t>我院通过对法院设备设施运行维护、办公用水、办公用电、冬季取暖以及每日2次清扫服务工作的开展，保障了我院正常运转，为法院工作人员提供良好的办案环境，工作人员安心工作、办案，提升了审判环境整洁性，进一步提高了法院工作人员的办案工作效率，达到年度指标值</w:t>
      </w:r>
      <w:r>
        <w:rPr>
          <w:rFonts w:hint="eastAsia" w:ascii="Times New Roman" w:eastAsia="仿宋_GB2312"/>
          <w:sz w:val="32"/>
          <w:highlight w:val="none"/>
          <w:lang w:val="en-US" w:eastAsia="zh-CN"/>
        </w:rPr>
        <w:t>，</w:t>
      </w:r>
      <w:r>
        <w:rPr>
          <w:rFonts w:hint="default" w:ascii="Times New Roman" w:eastAsia="仿宋_GB2312"/>
          <w:sz w:val="32"/>
          <w:highlight w:val="none"/>
          <w:lang w:val="en-US" w:eastAsia="zh-CN"/>
        </w:rPr>
        <w:t>产生了良好的</w:t>
      </w:r>
      <w:r>
        <w:rPr>
          <w:rFonts w:hint="eastAsia" w:ascii="Times New Roman" w:eastAsia="仿宋_GB2312"/>
          <w:sz w:val="32"/>
          <w:highlight w:val="none"/>
          <w:lang w:val="en-US" w:eastAsia="zh-CN"/>
        </w:rPr>
        <w:t>社会</w:t>
      </w:r>
      <w:r>
        <w:rPr>
          <w:rFonts w:hint="default" w:ascii="Times New Roman" w:eastAsia="仿宋_GB2312"/>
          <w:sz w:val="32"/>
          <w:highlight w:val="none"/>
          <w:lang w:val="en-US" w:eastAsia="zh-CN"/>
        </w:rPr>
        <w:t>效益，</w:t>
      </w:r>
      <w:r>
        <w:rPr>
          <w:rFonts w:hint="eastAsia" w:ascii="Times New Roman" w:eastAsia="仿宋_GB2312"/>
          <w:sz w:val="32"/>
          <w:highlight w:val="none"/>
          <w:lang w:val="en-US" w:eastAsia="zh-CN"/>
        </w:rPr>
        <w:t>指标得分8.56分。</w:t>
      </w:r>
    </w:p>
    <w:p>
      <w:pPr>
        <w:pStyle w:val="20"/>
        <w:snapToGrid/>
        <w:spacing w:beforeAutospacing="0" w:afterAutospacing="0" w:line="560" w:lineRule="exact"/>
        <w:ind w:left="0" w:leftChars="0" w:firstLine="640" w:firstLineChars="200"/>
        <w:rPr>
          <w:rFonts w:hint="default" w:ascii="Times New Roman" w:hAnsi="Calibri" w:eastAsia="仿宋_GB2312" w:cs="Calibri"/>
          <w:sz w:val="32"/>
          <w:highlight w:val="none"/>
          <w:lang w:val="en-US" w:eastAsia="zh-CN"/>
        </w:rPr>
      </w:pPr>
      <w:r>
        <w:rPr>
          <w:rFonts w:hint="default" w:ascii="Times New Roman" w:hAnsi="仿宋" w:eastAsia="仿宋_GB2312" w:cs="仿宋"/>
          <w:kern w:val="2"/>
          <w:sz w:val="32"/>
          <w:szCs w:val="24"/>
          <w:highlight w:val="none"/>
          <w:lang w:val="en-US" w:eastAsia="zh-CN" w:bidi="ar-SA"/>
        </w:rPr>
        <w:t>③</w:t>
      </w:r>
      <w:r>
        <w:rPr>
          <w:rFonts w:hint="eastAsia" w:ascii="Times New Roman" w:hAnsi="Calibri" w:eastAsia="仿宋_GB2312" w:cs="Calibri"/>
          <w:sz w:val="32"/>
          <w:highlight w:val="none"/>
          <w:lang w:val="en-US" w:eastAsia="zh-CN"/>
        </w:rPr>
        <w:t>生态</w:t>
      </w:r>
      <w:r>
        <w:rPr>
          <w:rFonts w:hint="default" w:ascii="Times New Roman" w:hAnsi="Calibri" w:eastAsia="仿宋_GB2312" w:cs="Calibri"/>
          <w:sz w:val="32"/>
          <w:highlight w:val="none"/>
          <w:lang w:val="en-US" w:eastAsia="zh-CN"/>
        </w:rPr>
        <w:t>效益指标分析：</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生态效益考察促使水土保持、水环境治理等设施安全有效和项目实施对生态、生活环境的影响，通过该项目的实施，完成了生态效益指标年度目标</w:t>
      </w:r>
      <w:r>
        <w:rPr>
          <w:rFonts w:hint="default" w:ascii="Times New Roman" w:eastAsia="仿宋_GB2312"/>
          <w:sz w:val="32"/>
          <w:highlight w:val="none"/>
          <w:lang w:val="en-US" w:eastAsia="zh-CN"/>
        </w:rPr>
        <w:t>，</w:t>
      </w:r>
      <w:r>
        <w:rPr>
          <w:rFonts w:hint="eastAsia" w:ascii="Times New Roman" w:eastAsia="仿宋_GB2312"/>
          <w:sz w:val="32"/>
          <w:highlight w:val="none"/>
          <w:lang w:val="en-US" w:eastAsia="zh-CN"/>
        </w:rPr>
        <w:t>指标得分8.56分。</w:t>
      </w:r>
    </w:p>
    <w:p>
      <w:pPr>
        <w:pStyle w:val="20"/>
        <w:snapToGrid/>
        <w:spacing w:beforeAutospacing="0" w:afterAutospacing="0" w:line="560" w:lineRule="exact"/>
        <w:ind w:left="0" w:leftChars="0" w:firstLine="640" w:firstLineChars="200"/>
        <w:rPr>
          <w:rFonts w:hint="eastAsia" w:ascii="Times New Roman" w:hAnsi="Calibri" w:eastAsia="仿宋_GB2312" w:cs="Calibri"/>
          <w:sz w:val="32"/>
          <w:highlight w:val="none"/>
          <w:lang w:val="en-US" w:eastAsia="zh-CN"/>
        </w:rPr>
      </w:pPr>
      <w:r>
        <w:rPr>
          <w:rFonts w:hint="default" w:ascii="Times New Roman" w:hAnsi="仿宋" w:eastAsia="仿宋_GB2312" w:cs="仿宋"/>
          <w:kern w:val="2"/>
          <w:sz w:val="32"/>
          <w:szCs w:val="24"/>
          <w:highlight w:val="none"/>
          <w:lang w:val="en-US" w:eastAsia="zh-CN" w:bidi="ar-SA"/>
        </w:rPr>
        <w:t>④</w:t>
      </w:r>
      <w:r>
        <w:rPr>
          <w:rFonts w:hint="default" w:ascii="Times New Roman" w:hAnsi="Calibri" w:eastAsia="仿宋_GB2312" w:cs="Calibri"/>
          <w:sz w:val="32"/>
          <w:highlight w:val="none"/>
          <w:lang w:val="en-US" w:eastAsia="zh-CN"/>
        </w:rPr>
        <w:t>可持续影响指标</w:t>
      </w:r>
      <w:r>
        <w:rPr>
          <w:rFonts w:hint="eastAsia" w:ascii="Times New Roman" w:hAnsi="Calibri" w:eastAsia="仿宋_GB2312" w:cs="Calibri"/>
          <w:sz w:val="32"/>
          <w:highlight w:val="none"/>
          <w:lang w:val="en-US" w:eastAsia="zh-CN"/>
        </w:rPr>
        <w:t>分析：</w:t>
      </w:r>
    </w:p>
    <w:p>
      <w:pPr>
        <w:pStyle w:val="20"/>
        <w:snapToGrid/>
        <w:spacing w:beforeAutospacing="0" w:afterAutospacing="0" w:line="560" w:lineRule="exact"/>
        <w:ind w:left="0" w:leftChars="0" w:firstLine="640" w:firstLineChars="200"/>
        <w:rPr>
          <w:rFonts w:hint="default" w:ascii="Times New Roman" w:hAnsi="Calibri" w:eastAsia="仿宋_GB2312" w:cs="Calibri"/>
          <w:sz w:val="32"/>
          <w:highlight w:val="none"/>
          <w:lang w:val="en-US" w:eastAsia="zh-CN"/>
        </w:rPr>
      </w:pPr>
      <w:r>
        <w:rPr>
          <w:rFonts w:hint="default" w:ascii="Times New Roman" w:hAnsi="Calibri" w:eastAsia="仿宋_GB2312" w:cs="Calibri"/>
          <w:sz w:val="32"/>
          <w:highlight w:val="none"/>
          <w:lang w:val="en-US" w:eastAsia="zh-CN"/>
        </w:rPr>
        <w:t>项目管理的可持续性</w:t>
      </w:r>
      <w:r>
        <w:rPr>
          <w:rFonts w:hint="eastAsia" w:ascii="Times New Roman" w:hAnsi="Calibri" w:eastAsia="仿宋_GB2312" w:cs="Calibri"/>
          <w:sz w:val="32"/>
          <w:highlight w:val="none"/>
          <w:lang w:val="en-US" w:eastAsia="zh-CN"/>
        </w:rPr>
        <w:t>：我院维修维护管理机制和物业服务管理机制健全，定期对设备设施进行了维修维护，改善了我院办案办公条件。保障了我院业务工作的顺利开展，可持续影响指标实际完成值均达到年度指标值，</w:t>
      </w:r>
      <w:r>
        <w:rPr>
          <w:rFonts w:hint="eastAsia" w:ascii="Times New Roman" w:eastAsia="仿宋_GB2312"/>
          <w:sz w:val="32"/>
          <w:highlight w:val="none"/>
          <w:lang w:val="en-US" w:eastAsia="zh-CN"/>
        </w:rPr>
        <w:t>指标得分4.28分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项目服务对象满意度指标主要职工满意度</w:t>
      </w:r>
      <w:r>
        <w:rPr>
          <w:rFonts w:hint="eastAsia" w:ascii="Times New Roman" w:eastAsia="仿宋_GB2312"/>
          <w:sz w:val="32"/>
          <w:highlight w:val="none"/>
          <w:lang w:val="en-US" w:eastAsia="zh-CN"/>
        </w:rPr>
        <w:t>和</w:t>
      </w:r>
      <w:r>
        <w:rPr>
          <w:rFonts w:hint="eastAsia" w:ascii="Times New Roman" w:eastAsia="仿宋_GB2312"/>
          <w:sz w:val="32"/>
          <w:highlight w:val="none"/>
        </w:rPr>
        <w:t>服务对象满意度（%），指标分值10分，自评得分10分，得分率100%。</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职工</w:t>
      </w:r>
      <w:r>
        <w:rPr>
          <w:rFonts w:hint="eastAsia" w:ascii="Times New Roman" w:eastAsia="仿宋_GB2312"/>
          <w:sz w:val="32"/>
          <w:highlight w:val="none"/>
        </w:rPr>
        <w:t>满意度：2022年我院在案件的审判上，找准短板弱项，加强分析研判，查找原因症结，围绕审判存在的问题和短板，细化工作举措，层层压实责任，确保查漏补缺工作落实到位，保障工作人员办案质量要求和业务能力水平的提升，</w:t>
      </w:r>
      <w:r>
        <w:rPr>
          <w:rFonts w:hint="eastAsia" w:ascii="Times New Roman" w:eastAsia="仿宋_GB2312"/>
          <w:sz w:val="32"/>
          <w:highlight w:val="none"/>
          <w:lang w:val="en-US" w:eastAsia="zh-CN"/>
        </w:rPr>
        <w:t>职工</w:t>
      </w:r>
      <w:r>
        <w:rPr>
          <w:rFonts w:hint="eastAsia" w:ascii="Times New Roman" w:eastAsia="仿宋_GB2312"/>
          <w:sz w:val="32"/>
          <w:highlight w:val="none"/>
        </w:rPr>
        <w:t>满意度为</w:t>
      </w:r>
      <w:r>
        <w:rPr>
          <w:rFonts w:hint="eastAsia" w:ascii="Times New Roman" w:eastAsia="仿宋_GB2312"/>
          <w:sz w:val="32"/>
          <w:highlight w:val="none"/>
          <w:lang w:val="en-US" w:eastAsia="zh-CN"/>
        </w:rPr>
        <w:t>98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指标得分5分</w:t>
      </w:r>
      <w:r>
        <w:rPr>
          <w:rFonts w:hint="eastAsia" w:ascii="Times New Roman" w:eastAsia="仿宋_GB2312"/>
          <w:sz w:val="32"/>
          <w:highlight w:val="none"/>
        </w:rPr>
        <w:t>。</w:t>
      </w:r>
    </w:p>
    <w:p>
      <w:pPr>
        <w:pStyle w:val="20"/>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服务对象满意度（%）</w:t>
      </w:r>
      <w:r>
        <w:rPr>
          <w:rFonts w:hint="eastAsia" w:ascii="Times New Roman" w:eastAsia="仿宋_GB2312"/>
          <w:sz w:val="32"/>
          <w:highlight w:val="none"/>
          <w:lang w:eastAsia="zh-CN"/>
        </w:rPr>
        <w:t>：</w:t>
      </w:r>
      <w:r>
        <w:rPr>
          <w:rFonts w:hint="eastAsia" w:ascii="Times New Roman" w:eastAsia="仿宋_GB2312"/>
          <w:sz w:val="32"/>
          <w:highlight w:val="none"/>
        </w:rPr>
        <w:t>我院积极审判各类案件，保障人民群众合法权益，从人员配置到</w:t>
      </w:r>
      <w:r>
        <w:rPr>
          <w:rFonts w:hint="eastAsia" w:ascii="Times New Roman" w:eastAsia="仿宋_GB2312"/>
          <w:sz w:val="32"/>
        </w:rPr>
        <w:t>案件审理公正性以及案件执行力度着手，法院的一切工作最终都是为人民群众服务，只有得到人民群众认可，法院的相关工作才能得到人民群众的支持，</w:t>
      </w:r>
      <w:r>
        <w:rPr>
          <w:rFonts w:hint="eastAsia" w:ascii="Times New Roman" w:eastAsia="仿宋_GB2312"/>
          <w:sz w:val="32"/>
          <w:highlight w:val="none"/>
          <w:lang w:val="en-US" w:eastAsia="zh-CN"/>
        </w:rPr>
        <w:t>服务对象满意度</w:t>
      </w:r>
      <w:r>
        <w:rPr>
          <w:rFonts w:hint="eastAsia" w:ascii="Times New Roman" w:eastAsia="仿宋_GB2312"/>
          <w:sz w:val="32"/>
        </w:rPr>
        <w:t>达到</w:t>
      </w:r>
      <w:r>
        <w:rPr>
          <w:rFonts w:hint="eastAsia" w:ascii="Times New Roman" w:eastAsia="仿宋_GB2312"/>
          <w:sz w:val="32"/>
          <w:lang w:val="en-US" w:eastAsia="zh-CN"/>
        </w:rPr>
        <w:t>98</w:t>
      </w:r>
      <w:r>
        <w:rPr>
          <w:rFonts w:hint="eastAsia" w:ascii="Times New Roman" w:eastAsia="仿宋_GB2312"/>
          <w:sz w:val="32"/>
        </w:rPr>
        <w:t>%</w:t>
      </w:r>
      <w:r>
        <w:rPr>
          <w:rFonts w:hint="eastAsia" w:ascii="Times New Roman" w:eastAsia="仿宋_GB2312"/>
          <w:sz w:val="32"/>
          <w:lang w:eastAsia="zh-CN"/>
        </w:rPr>
        <w:t>，</w:t>
      </w:r>
      <w:r>
        <w:rPr>
          <w:rFonts w:hint="eastAsia" w:ascii="Times New Roman" w:eastAsia="仿宋_GB2312"/>
          <w:sz w:val="32"/>
        </w:rPr>
        <w:t>自评得分为5分。</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9" w:name="_Toc18169"/>
      <w:bookmarkStart w:id="200" w:name="_Toc1075"/>
      <w:r>
        <w:rPr>
          <w:rFonts w:hint="eastAsia" w:ascii="仿宋_GB2312" w:eastAsia="仿宋_GB2312"/>
          <w:b/>
          <w:sz w:val="32"/>
          <w:highlight w:val="none"/>
        </w:rPr>
        <w:t>4.偏离绩效目标的原因及下一步改进措施</w:t>
      </w:r>
      <w:bookmarkEnd w:id="199"/>
      <w:bookmarkEnd w:id="20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lang w:val="en-US" w:eastAsia="zh-CN" w:bidi="ar-SA"/>
        </w:rPr>
      </w:pPr>
      <w:bookmarkStart w:id="201" w:name="_Toc16393"/>
      <w:bookmarkStart w:id="202" w:name="_Toc22931"/>
      <w:bookmarkStart w:id="203" w:name="_Toc10336"/>
      <w:bookmarkStart w:id="204" w:name="_Toc26055"/>
      <w:bookmarkStart w:id="205" w:name="_Toc17095"/>
      <w:bookmarkStart w:id="206" w:name="_Toc28558"/>
      <w:r>
        <w:rPr>
          <w:rFonts w:hint="eastAsia" w:ascii="Times New Roman" w:hAnsi="Times New Roman" w:eastAsia="仿宋_GB2312" w:cs="Times New Roman"/>
          <w:b w:val="0"/>
          <w:kern w:val="2"/>
          <w:sz w:val="32"/>
          <w:szCs w:val="24"/>
          <w:lang w:val="en-US" w:eastAsia="zh-CN" w:bidi="ar-SA"/>
        </w:rPr>
        <w:t>“监督、检查、管理、监管、监测”指标目标值设置有误，将100%设置为100次。</w:t>
      </w:r>
      <w:bookmarkEnd w:id="201"/>
      <w:r>
        <w:rPr>
          <w:rFonts w:hint="eastAsia" w:ascii="Times New Roman" w:hAnsi="Times New Roman" w:eastAsia="仿宋_GB2312" w:cs="Times New Roman"/>
          <w:b w:val="0"/>
          <w:kern w:val="2"/>
          <w:sz w:val="32"/>
          <w:szCs w:val="24"/>
          <w:lang w:val="en-US" w:eastAsia="zh-CN" w:bidi="ar-SA"/>
        </w:rPr>
        <w:t>我院将加强预算绩效管理，提高绩效目标编制的准确性、合理性。</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207" w:name="_Toc26581"/>
      <w:r>
        <w:rPr>
          <w:rFonts w:hint="eastAsia" w:ascii="Arial" w:eastAsia="楷体"/>
          <w:b/>
          <w:sz w:val="32"/>
          <w:highlight w:val="none"/>
        </w:rPr>
        <w:t>（三）</w:t>
      </w:r>
      <w:bookmarkEnd w:id="202"/>
      <w:bookmarkEnd w:id="203"/>
      <w:bookmarkEnd w:id="204"/>
      <w:r>
        <w:rPr>
          <w:rFonts w:hint="eastAsia" w:ascii="Arial" w:eastAsia="楷体"/>
          <w:b/>
          <w:sz w:val="32"/>
          <w:highlight w:val="none"/>
          <w:lang w:val="en-US" w:eastAsia="zh-CN"/>
        </w:rPr>
        <w:t>办案</w:t>
      </w:r>
      <w:r>
        <w:rPr>
          <w:rFonts w:hint="eastAsia" w:ascii="Arial" w:eastAsia="楷体"/>
          <w:b/>
          <w:sz w:val="32"/>
          <w:highlight w:val="none"/>
        </w:rPr>
        <w:t>业务费</w:t>
      </w:r>
      <w:bookmarkEnd w:id="205"/>
      <w:bookmarkEnd w:id="206"/>
      <w:bookmarkEnd w:id="207"/>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val="en-US" w:eastAsia="zh-CN"/>
        </w:rPr>
        <w:t>办案</w:t>
      </w:r>
      <w:r>
        <w:rPr>
          <w:rFonts w:hint="eastAsia" w:ascii="Times New Roman" w:eastAsia="仿宋_GB2312"/>
          <w:sz w:val="32"/>
          <w:highlight w:val="none"/>
        </w:rPr>
        <w:t>业务费项目支出绩效得分为</w:t>
      </w:r>
      <w:r>
        <w:rPr>
          <w:rFonts w:hint="eastAsia" w:ascii="Times New Roman" w:eastAsia="仿宋_GB2312"/>
          <w:sz w:val="32"/>
          <w:highlight w:val="none"/>
          <w:lang w:val="en-US" w:eastAsia="zh-CN"/>
        </w:rPr>
        <w:t>97.70</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9</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27</w:t>
      </w:r>
      <w:r>
        <w:rPr>
          <w:rFonts w:hint="eastAsia" w:ascii="Times New Roman" w:eastAsia="仿宋_GB2312"/>
          <w:sz w:val="32"/>
          <w:highlight w:val="none"/>
        </w:rPr>
        <w:t>个三级指标。一级指标得分情况详见下表：</w:t>
      </w:r>
      <w:r>
        <w:rPr>
          <w:rFonts w:ascii="Times New Roman" w:eastAsia="仿宋_GB2312"/>
          <w:sz w:val="32"/>
          <w:highlight w:val="none"/>
        </w:rPr>
        <w:t xml:space="preserve"> </w:t>
      </w:r>
    </w:p>
    <w:tbl>
      <w:tblPr>
        <w:tblStyle w:val="19"/>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47.89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95.78</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29.81</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99.37</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97.7</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rPr>
            </w:pPr>
            <w:r>
              <w:rPr>
                <w:rFonts w:hint="eastAsia" w:ascii="宋体" w:hAnsi="宋体" w:eastAsia="宋体" w:cs="宋体"/>
                <w:b/>
                <w:color w:val="000000"/>
                <w:kern w:val="0"/>
                <w:sz w:val="22"/>
                <w:szCs w:val="22"/>
                <w:highlight w:val="none"/>
                <w:lang w:val="en-US" w:eastAsia="zh-CN"/>
              </w:rPr>
              <w:t>97.70%</w:t>
            </w:r>
          </w:p>
        </w:tc>
      </w:tr>
    </w:tbl>
    <w:p>
      <w:pPr>
        <w:pStyle w:val="6"/>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8" w:name="_Toc9101"/>
      <w:bookmarkStart w:id="209" w:name="_Toc29317"/>
      <w:bookmarkStart w:id="210" w:name="_Toc18478"/>
      <w:bookmarkStart w:id="211" w:name="_Toc19960"/>
      <w:r>
        <w:rPr>
          <w:rFonts w:hint="eastAsia" w:ascii="仿宋_GB2312" w:eastAsia="仿宋_GB2312"/>
          <w:b/>
          <w:sz w:val="32"/>
          <w:highlight w:val="none"/>
        </w:rPr>
        <w:t>1.项目支出预算执行情况</w:t>
      </w:r>
      <w:bookmarkEnd w:id="208"/>
      <w:bookmarkEnd w:id="209"/>
      <w:bookmarkEnd w:id="210"/>
      <w:bookmarkEnd w:id="211"/>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212" w:name="_Toc5118"/>
      <w:bookmarkStart w:id="213" w:name="_Toc11340"/>
      <w:bookmarkStart w:id="214" w:name="_Toc22361"/>
      <w:bookmarkStart w:id="215" w:name="_Toc8508"/>
      <w:r>
        <w:rPr>
          <w:rFonts w:hint="eastAsia"/>
          <w:sz w:val="32"/>
          <w:highlight w:val="none"/>
          <w:lang w:eastAsia="zh-CN"/>
        </w:rPr>
        <w:t>办案业务费</w:t>
      </w:r>
      <w:r>
        <w:rPr>
          <w:rFonts w:hint="eastAsia" w:ascii="Times New Roman" w:eastAsia="仿宋_GB2312"/>
          <w:sz w:val="32"/>
          <w:highlight w:val="none"/>
        </w:rPr>
        <w:t>项目</w:t>
      </w:r>
      <w:r>
        <w:rPr>
          <w:rFonts w:hint="eastAsia" w:ascii="Times New Roman" w:eastAsia="仿宋_GB2312"/>
          <w:sz w:val="32"/>
          <w:highlight w:val="none"/>
          <w:lang w:val="en-US" w:eastAsia="zh-CN"/>
        </w:rPr>
        <w:t>当年财政拨款90.00</w:t>
      </w:r>
      <w:r>
        <w:rPr>
          <w:rFonts w:hint="eastAsia" w:ascii="Times New Roman" w:eastAsia="仿宋_GB2312"/>
          <w:sz w:val="32"/>
          <w:highlight w:val="none"/>
        </w:rPr>
        <w:t>万元</w:t>
      </w:r>
      <w:r>
        <w:rPr>
          <w:rFonts w:hint="eastAsia" w:ascii="Times New Roman" w:eastAsia="仿宋_GB2312"/>
          <w:sz w:val="32"/>
          <w:highlight w:val="none"/>
          <w:lang w:val="en-US" w:eastAsia="zh-CN"/>
        </w:rPr>
        <w:t>，</w:t>
      </w:r>
      <w:r>
        <w:rPr>
          <w:rFonts w:hint="eastAsia" w:ascii="Times New Roman" w:eastAsia="仿宋_GB2312"/>
          <w:sz w:val="32"/>
          <w:highlight w:val="none"/>
        </w:rPr>
        <w:t>全年支出</w:t>
      </w:r>
      <w:r>
        <w:rPr>
          <w:rFonts w:hint="eastAsia" w:ascii="Times New Roman" w:eastAsia="仿宋_GB2312"/>
          <w:sz w:val="32"/>
          <w:highlight w:val="none"/>
          <w:lang w:val="en-US" w:eastAsia="zh-CN"/>
        </w:rPr>
        <w:t>89.97</w:t>
      </w:r>
      <w:r>
        <w:rPr>
          <w:rFonts w:hint="eastAsia" w:ascii="Times New Roman" w:eastAsia="仿宋_GB2312"/>
          <w:sz w:val="32"/>
          <w:highlight w:val="none"/>
        </w:rPr>
        <w:t>万元，</w:t>
      </w:r>
      <w:r>
        <w:rPr>
          <w:rFonts w:hint="eastAsia" w:ascii="Times New Roman" w:eastAsia="仿宋_GB2312"/>
          <w:sz w:val="32"/>
          <w:highlight w:val="none"/>
          <w:lang w:val="en-US" w:eastAsia="zh-CN"/>
        </w:rPr>
        <w:t>结转结余资金0.03万元，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99.97</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p>
    <w:p>
      <w:pPr>
        <w:pStyle w:val="6"/>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r>
        <w:rPr>
          <w:rFonts w:hint="eastAsia" w:ascii="仿宋_GB2312" w:eastAsia="仿宋_GB2312"/>
          <w:b/>
          <w:sz w:val="32"/>
          <w:highlight w:val="none"/>
        </w:rPr>
        <w:t>2.总体绩效目标完成情况分析</w:t>
      </w:r>
      <w:bookmarkEnd w:id="212"/>
      <w:bookmarkEnd w:id="213"/>
      <w:bookmarkEnd w:id="214"/>
      <w:bookmarkEnd w:id="215"/>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项目总体绩效目标为：合理使用办案业务费，保障审判工作的良好运转，保证当年案件审判优质高效完成，提高案件执结率、结案率，确保受理、审判等工作顺利完成。</w:t>
      </w:r>
    </w:p>
    <w:p>
      <w:pPr>
        <w:pStyle w:val="20"/>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highlight w:val="none"/>
          <w:lang w:val="en-US" w:eastAsia="zh-CN"/>
        </w:rPr>
        <w:t xml:space="preserve">年度实际完成情况：本年度案件的受理和审判顺利开展，为日常办案提供了经费保障，提高了办案质量及效率，2022年度本院圆满完成了各类案件审判执行工作。                                                                                                                                                                                              </w:t>
      </w:r>
    </w:p>
    <w:p>
      <w:pPr>
        <w:pStyle w:val="6"/>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16" w:name="_Toc21383"/>
      <w:bookmarkStart w:id="217" w:name="_Toc9491"/>
      <w:bookmarkStart w:id="218" w:name="_Toc10387"/>
      <w:bookmarkStart w:id="219" w:name="_Toc16380"/>
      <w:r>
        <w:rPr>
          <w:rFonts w:hint="eastAsia" w:ascii="仿宋_GB2312" w:eastAsia="仿宋_GB2312"/>
          <w:b/>
          <w:sz w:val="32"/>
          <w:highlight w:val="none"/>
        </w:rPr>
        <w:t>3.各项指标完成情况分析</w:t>
      </w:r>
      <w:bookmarkEnd w:id="216"/>
      <w:bookmarkEnd w:id="217"/>
      <w:bookmarkEnd w:id="218"/>
      <w:bookmarkEnd w:id="219"/>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0" w:name="_Toc3395"/>
      <w:bookmarkStart w:id="221" w:name="_Toc6552"/>
      <w:r>
        <w:rPr>
          <w:rFonts w:hint="eastAsia" w:ascii="Times New Roman" w:eastAsia="仿宋_GB2312"/>
          <w:sz w:val="32"/>
          <w:highlight w:val="none"/>
        </w:rPr>
        <w:t>（1）项目产出指标情况分析</w:t>
      </w:r>
      <w:bookmarkEnd w:id="220"/>
      <w:bookmarkEnd w:id="221"/>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2" w:name="_Toc15385"/>
      <w:bookmarkStart w:id="223" w:name="_Toc20060"/>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18</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47.89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95.78</w:t>
      </w:r>
      <w:r>
        <w:rPr>
          <w:rFonts w:hint="eastAsia" w:ascii="Times New Roman" w:eastAsia="仿宋_GB2312"/>
          <w:sz w:val="32"/>
          <w:highlight w:val="none"/>
        </w:rPr>
        <w:t>%。</w:t>
      </w:r>
      <w:bookmarkEnd w:id="222"/>
      <w:bookmarkEnd w:id="22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lang w:val="en-US" w:eastAsia="zh-CN"/>
        </w:rPr>
        <w:t>受理各类案件工作完成率：</w:t>
      </w:r>
      <w:r>
        <w:rPr>
          <w:rFonts w:hint="eastAsia" w:ascii="Times New Roman" w:hAnsi="Times New Roman" w:eastAsia="仿宋_GB2312" w:cs="Times New Roman"/>
          <w:color w:val="auto"/>
          <w:sz w:val="32"/>
          <w:szCs w:val="32"/>
          <w:highlight w:val="none"/>
          <w:shd w:val="clear" w:color="auto" w:fill="FFFFFF"/>
        </w:rPr>
        <w:t>我院积极优化审判资源，狠抓执法办案第一要务，全年共受理各类案件706件，其中：刑事案件4件，受理民事案件600件，执行案件102件，完成年度目标</w:t>
      </w:r>
      <w:r>
        <w:rPr>
          <w:rFonts w:hint="eastAsia" w:ascii="Times New Roman" w:eastAsia="仿宋_GB2312" w:cs="Times New Roman"/>
          <w:color w:val="auto"/>
          <w:sz w:val="32"/>
          <w:szCs w:val="32"/>
          <w:highlight w:val="none"/>
          <w:shd w:val="clear" w:color="auto" w:fill="FFFFFF"/>
          <w:lang w:eastAsia="zh-CN"/>
        </w:rPr>
        <w:t>，</w:t>
      </w:r>
      <w:r>
        <w:rPr>
          <w:rFonts w:hint="eastAsia" w:ascii="Times New Roman" w:eastAsia="仿宋_GB2312"/>
          <w:color w:val="auto"/>
          <w:sz w:val="32"/>
          <w:highlight w:val="none"/>
          <w:lang w:val="en-US" w:eastAsia="zh-CN"/>
        </w:rPr>
        <w:t>指标得分2.77分。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color w:val="auto"/>
          <w:sz w:val="32"/>
          <w:lang w:val="en-US" w:eastAsia="zh-CN"/>
        </w:rPr>
      </w:pPr>
      <w:r>
        <w:rPr>
          <w:rFonts w:hint="eastAsia" w:ascii="Times New Roman" w:eastAsia="仿宋_GB2312"/>
          <w:color w:val="auto"/>
          <w:sz w:val="32"/>
          <w:lang w:val="en-US" w:eastAsia="zh-CN"/>
        </w:rPr>
        <w:t>审判刑事案件工作完成率：全年</w:t>
      </w:r>
      <w:r>
        <w:rPr>
          <w:rFonts w:hint="eastAsia" w:ascii="Times New Roman" w:hAnsi="Times New Roman" w:eastAsia="仿宋_GB2312" w:cs="Times New Roman"/>
          <w:color w:val="auto"/>
          <w:sz w:val="32"/>
          <w:szCs w:val="32"/>
          <w:shd w:val="clear" w:color="auto" w:fill="FFFFFF"/>
        </w:rPr>
        <w:t>共受理刑事案件4件，判处罪犯6人，结案率100%</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eastAsia="仿宋_GB2312"/>
          <w:color w:val="auto"/>
          <w:sz w:val="32"/>
          <w:lang w:val="en-US" w:eastAsia="zh-CN"/>
        </w:rPr>
        <w:t>年度目标值</w:t>
      </w:r>
      <w:r>
        <w:rPr>
          <w:rFonts w:hint="eastAsia" w:ascii="Times New Roman" w:hAnsi="仿宋" w:eastAsia="仿宋_GB2312" w:cs="仿宋"/>
          <w:color w:val="auto"/>
          <w:sz w:val="32"/>
          <w:lang w:val="en-US" w:eastAsia="zh-CN"/>
        </w:rPr>
        <w:t>≥</w:t>
      </w:r>
      <w:r>
        <w:rPr>
          <w:rFonts w:hint="eastAsia" w:ascii="Times New Roman" w:eastAsia="仿宋_GB2312"/>
          <w:color w:val="auto"/>
          <w:sz w:val="32"/>
          <w:lang w:val="en-US" w:eastAsia="zh-CN"/>
        </w:rPr>
        <w:t>90%</w:t>
      </w:r>
      <w:r>
        <w:rPr>
          <w:rFonts w:hint="eastAsia" w:ascii="Times New Roman" w:eastAsia="仿宋_GB2312"/>
          <w:color w:val="auto"/>
          <w:sz w:val="32"/>
          <w:vertAlign w:val="baseline"/>
          <w:lang w:val="en-US" w:eastAsia="zh-CN"/>
        </w:rPr>
        <w:t>，实际</w:t>
      </w:r>
      <w:r>
        <w:rPr>
          <w:rFonts w:hint="eastAsia" w:ascii="Times New Roman" w:eastAsia="仿宋_GB2312"/>
          <w:color w:val="auto"/>
          <w:sz w:val="32"/>
          <w:lang w:val="en-US" w:eastAsia="zh-CN"/>
        </w:rPr>
        <w:t>审判刑事案件工作完成率</w:t>
      </w:r>
      <w:r>
        <w:rPr>
          <w:rFonts w:hint="eastAsia" w:ascii="Times New Roman" w:eastAsia="仿宋_GB2312"/>
          <w:color w:val="auto"/>
          <w:sz w:val="32"/>
          <w:vertAlign w:val="baseline"/>
          <w:lang w:val="en-US" w:eastAsia="zh-CN"/>
        </w:rPr>
        <w:t>100%，</w:t>
      </w:r>
      <w:r>
        <w:rPr>
          <w:rFonts w:hint="eastAsia" w:ascii="Times New Roman" w:eastAsia="仿宋_GB2312"/>
          <w:color w:val="auto"/>
          <w:sz w:val="32"/>
          <w:highlight w:val="none"/>
          <w:lang w:val="en-US" w:eastAsia="zh-CN"/>
        </w:rPr>
        <w:t>指标得分2.77分。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color w:val="auto"/>
          <w:sz w:val="32"/>
          <w:lang w:val="en-US" w:eastAsia="zh-CN"/>
        </w:rPr>
      </w:pPr>
      <w:r>
        <w:rPr>
          <w:rFonts w:hint="eastAsia" w:ascii="Times New Roman" w:eastAsia="仿宋_GB2312"/>
          <w:color w:val="auto"/>
          <w:sz w:val="32"/>
          <w:lang w:val="en-US" w:eastAsia="zh-CN"/>
        </w:rPr>
        <w:t>审判民商事案件工作完成率：</w:t>
      </w:r>
      <w:r>
        <w:rPr>
          <w:rFonts w:hint="eastAsia" w:ascii="Times New Roman" w:hAnsi="Times New Roman" w:eastAsia="仿宋_GB2312" w:cs="Times New Roman"/>
          <w:color w:val="auto"/>
          <w:sz w:val="32"/>
          <w:szCs w:val="32"/>
          <w:shd w:val="clear" w:color="auto" w:fill="FFFFFF"/>
        </w:rPr>
        <w:t>受理民事案件600件（含旧存案件83件），审结544件</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eastAsia="仿宋_GB2312"/>
          <w:color w:val="auto"/>
          <w:sz w:val="32"/>
          <w:lang w:val="en-US" w:eastAsia="zh-CN"/>
        </w:rPr>
        <w:t>年度目标值</w:t>
      </w:r>
      <w:r>
        <w:rPr>
          <w:rFonts w:hint="eastAsia" w:ascii="Times New Roman" w:hAnsi="仿宋" w:eastAsia="仿宋_GB2312" w:cs="仿宋"/>
          <w:color w:val="auto"/>
          <w:sz w:val="32"/>
          <w:lang w:val="en-US" w:eastAsia="zh-CN"/>
        </w:rPr>
        <w:t>≥</w:t>
      </w:r>
      <w:r>
        <w:rPr>
          <w:rFonts w:hint="eastAsia" w:ascii="Times New Roman" w:eastAsia="仿宋_GB2312"/>
          <w:color w:val="auto"/>
          <w:sz w:val="32"/>
          <w:lang w:val="en-US" w:eastAsia="zh-CN"/>
        </w:rPr>
        <w:t>90%</w:t>
      </w:r>
      <w:r>
        <w:rPr>
          <w:rFonts w:hint="eastAsia" w:ascii="Times New Roman" w:eastAsia="仿宋_GB2312"/>
          <w:color w:val="auto"/>
          <w:sz w:val="32"/>
          <w:vertAlign w:val="baseline"/>
          <w:lang w:val="en-US" w:eastAsia="zh-CN"/>
        </w:rPr>
        <w:t>，实际</w:t>
      </w:r>
      <w:r>
        <w:rPr>
          <w:rFonts w:hint="eastAsia" w:ascii="Times New Roman" w:eastAsia="仿宋_GB2312"/>
          <w:color w:val="auto"/>
          <w:sz w:val="32"/>
          <w:lang w:val="en-US" w:eastAsia="zh-CN"/>
        </w:rPr>
        <w:t>审判民商事案件工作完成率</w:t>
      </w:r>
      <w:r>
        <w:rPr>
          <w:rFonts w:hint="eastAsia" w:ascii="Times New Roman" w:eastAsia="仿宋_GB2312"/>
          <w:color w:val="auto"/>
          <w:sz w:val="32"/>
          <w:vertAlign w:val="baseline"/>
          <w:lang w:val="en-US" w:eastAsia="zh-CN"/>
        </w:rPr>
        <w:t>90%，</w:t>
      </w:r>
      <w:r>
        <w:rPr>
          <w:rFonts w:hint="eastAsia" w:ascii="Times New Roman" w:eastAsia="仿宋_GB2312"/>
          <w:color w:val="auto"/>
          <w:sz w:val="32"/>
          <w:highlight w:val="none"/>
          <w:lang w:val="en-US" w:eastAsia="zh-CN"/>
        </w:rPr>
        <w:t>指标得分2.77分。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lang w:val="en-US" w:eastAsia="zh-CN"/>
        </w:rPr>
        <w:t>审判行政案件工作完成率：年度目标值</w:t>
      </w:r>
      <w:r>
        <w:rPr>
          <w:rFonts w:hint="eastAsia" w:ascii="Times New Roman" w:hAnsi="仿宋" w:eastAsia="仿宋_GB2312" w:cs="仿宋"/>
          <w:sz w:val="32"/>
          <w:lang w:val="en-US" w:eastAsia="zh-CN"/>
        </w:rPr>
        <w:t>≥</w:t>
      </w:r>
      <w:r>
        <w:rPr>
          <w:rFonts w:hint="eastAsia" w:ascii="Times New Roman" w:eastAsia="仿宋_GB2312"/>
          <w:sz w:val="32"/>
          <w:lang w:val="en-US" w:eastAsia="zh-CN"/>
        </w:rPr>
        <w:t>90%</w:t>
      </w:r>
      <w:r>
        <w:rPr>
          <w:rFonts w:hint="eastAsia" w:ascii="Times New Roman" w:eastAsia="仿宋_GB2312"/>
          <w:sz w:val="32"/>
          <w:vertAlign w:val="baseline"/>
          <w:lang w:val="en-US" w:eastAsia="zh-CN"/>
        </w:rPr>
        <w:t>，实际</w:t>
      </w:r>
      <w:r>
        <w:rPr>
          <w:rFonts w:hint="eastAsia" w:ascii="Times New Roman" w:eastAsia="仿宋_GB2312"/>
          <w:sz w:val="32"/>
          <w:lang w:val="en-US" w:eastAsia="zh-CN"/>
        </w:rPr>
        <w:t>审判行政案件工作完成率</w:t>
      </w:r>
      <w:r>
        <w:rPr>
          <w:rFonts w:hint="eastAsia" w:ascii="Times New Roman" w:eastAsia="仿宋_GB2312"/>
          <w:sz w:val="32"/>
          <w:vertAlign w:val="baseline"/>
          <w:lang w:val="en-US" w:eastAsia="zh-CN"/>
        </w:rPr>
        <w:t>100%，</w:t>
      </w:r>
      <w:r>
        <w:rPr>
          <w:rFonts w:hint="eastAsia" w:ascii="Times New Roman" w:eastAsia="仿宋_GB2312"/>
          <w:sz w:val="32"/>
          <w:highlight w:val="none"/>
          <w:lang w:val="en-US" w:eastAsia="zh-CN"/>
        </w:rPr>
        <w:t>指标得分2.77分。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color w:val="auto"/>
          <w:sz w:val="32"/>
          <w:lang w:val="en-US" w:eastAsia="zh-CN"/>
        </w:rPr>
      </w:pPr>
      <w:r>
        <w:rPr>
          <w:rFonts w:hint="eastAsia" w:ascii="Times New Roman" w:eastAsia="仿宋_GB2312"/>
          <w:color w:val="auto"/>
          <w:sz w:val="32"/>
          <w:lang w:val="en-US" w:eastAsia="zh-CN"/>
        </w:rPr>
        <w:t>审理执行案件工作完成率：</w:t>
      </w:r>
      <w:r>
        <w:rPr>
          <w:rFonts w:hint="eastAsia" w:ascii="Times New Roman" w:hAnsi="Times New Roman" w:eastAsia="仿宋_GB2312" w:cs="Times New Roman"/>
          <w:color w:val="auto"/>
          <w:sz w:val="32"/>
          <w:szCs w:val="32"/>
          <w:shd w:val="clear" w:color="auto" w:fill="FFFFFF"/>
        </w:rPr>
        <w:t>受理各类执行案件102件（含旧存8件），收案总标的额为2989.82万元；执结94件</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eastAsia="仿宋_GB2312"/>
          <w:color w:val="auto"/>
          <w:sz w:val="32"/>
          <w:lang w:val="en-US" w:eastAsia="zh-CN"/>
        </w:rPr>
        <w:t>年度目标值</w:t>
      </w:r>
      <w:r>
        <w:rPr>
          <w:rFonts w:hint="eastAsia" w:ascii="Times New Roman" w:hAnsi="仿宋" w:eastAsia="仿宋_GB2312" w:cs="仿宋"/>
          <w:color w:val="auto"/>
          <w:sz w:val="32"/>
          <w:lang w:val="en-US" w:eastAsia="zh-CN"/>
        </w:rPr>
        <w:t>≥</w:t>
      </w:r>
      <w:r>
        <w:rPr>
          <w:rFonts w:hint="eastAsia" w:ascii="Times New Roman" w:eastAsia="仿宋_GB2312"/>
          <w:color w:val="auto"/>
          <w:sz w:val="32"/>
          <w:lang w:val="en-US" w:eastAsia="zh-CN"/>
        </w:rPr>
        <w:t>90%</w:t>
      </w:r>
      <w:r>
        <w:rPr>
          <w:rFonts w:hint="eastAsia" w:ascii="Times New Roman" w:eastAsia="仿宋_GB2312"/>
          <w:color w:val="auto"/>
          <w:sz w:val="32"/>
          <w:vertAlign w:val="baseline"/>
          <w:lang w:val="en-US" w:eastAsia="zh-CN"/>
        </w:rPr>
        <w:t>，实际</w:t>
      </w:r>
      <w:r>
        <w:rPr>
          <w:rFonts w:hint="eastAsia" w:ascii="Times New Roman" w:eastAsia="仿宋_GB2312"/>
          <w:color w:val="auto"/>
          <w:sz w:val="32"/>
          <w:lang w:val="en-US" w:eastAsia="zh-CN"/>
        </w:rPr>
        <w:t>审理执行案件工作完成率</w:t>
      </w:r>
      <w:r>
        <w:rPr>
          <w:rFonts w:hint="eastAsia" w:ascii="Times New Roman" w:eastAsia="仿宋_GB2312"/>
          <w:color w:val="auto"/>
          <w:sz w:val="32"/>
          <w:vertAlign w:val="baseline"/>
          <w:lang w:val="en-US" w:eastAsia="zh-CN"/>
        </w:rPr>
        <w:t>89.41%，</w:t>
      </w:r>
      <w:r>
        <w:rPr>
          <w:rFonts w:hint="eastAsia" w:ascii="Times New Roman" w:eastAsia="仿宋_GB2312"/>
          <w:color w:val="auto"/>
          <w:sz w:val="32"/>
          <w:highlight w:val="none"/>
          <w:lang w:val="en-US" w:eastAsia="zh-CN"/>
        </w:rPr>
        <w:t>指标得分2.77分。</w:t>
      </w:r>
    </w:p>
    <w:p>
      <w:pPr>
        <w:pStyle w:val="2"/>
        <w:snapToGrid/>
        <w:spacing w:beforeAutospacing="0" w:afterAutospacing="0" w:line="560" w:lineRule="exact"/>
        <w:ind w:left="0" w:leftChars="0" w:firstLine="640" w:firstLineChars="200"/>
        <w:rPr>
          <w:rFonts w:hint="default" w:ascii="Times New Roman" w:eastAsia="仿宋_GB2312"/>
          <w:sz w:val="32"/>
          <w:lang w:val="en-US" w:eastAsia="zh-CN"/>
        </w:rPr>
      </w:pPr>
      <w:r>
        <w:rPr>
          <w:rFonts w:hint="eastAsia" w:ascii="Times New Roman" w:eastAsia="仿宋_GB2312"/>
          <w:sz w:val="32"/>
          <w:lang w:val="en-US" w:eastAsia="zh-CN"/>
        </w:rPr>
        <w:t>办公设备采购完成率：我院本着厉行节约，反对浪费原则，尽量做到了在预算范围内采购，办公设备采购完成率</w:t>
      </w:r>
      <w:r>
        <w:rPr>
          <w:rFonts w:hint="eastAsia" w:ascii="Times New Roman" w:eastAsia="仿宋_GB2312"/>
          <w:sz w:val="32"/>
          <w:vertAlign w:val="baseline"/>
          <w:lang w:val="en-US" w:eastAsia="zh-CN"/>
        </w:rPr>
        <w:t>100%，</w:t>
      </w:r>
      <w:r>
        <w:rPr>
          <w:rFonts w:hint="eastAsia" w:ascii="Times New Roman" w:eastAsia="仿宋_GB2312"/>
          <w:sz w:val="32"/>
          <w:highlight w:val="none"/>
          <w:lang w:val="en-US" w:eastAsia="zh-CN"/>
        </w:rPr>
        <w:t>指标得分2.91分。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采购设备质量验收合格率</w:t>
      </w:r>
      <w:r>
        <w:rPr>
          <w:rFonts w:hint="eastAsia" w:ascii="Times New Roman" w:eastAsia="仿宋_GB2312"/>
          <w:sz w:val="32"/>
          <w:highlight w:val="none"/>
          <w:lang w:val="en-US" w:eastAsia="zh-CN"/>
        </w:rPr>
        <w:t>：保障法院法庭庭审、诉讼活动的顺利开展，对采购的专用设备质量问题严格把控，确保其能正常使用，验收合格率为100%，指标得分2.77分。</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法定审限内结案率</w:t>
      </w:r>
      <w:r>
        <w:rPr>
          <w:rFonts w:hint="eastAsia" w:ascii="Times New Roman" w:eastAsia="仿宋_GB2312"/>
          <w:sz w:val="32"/>
          <w:highlight w:val="none"/>
          <w:lang w:val="en-US" w:eastAsia="zh-CN"/>
        </w:rPr>
        <w:t>：本年我院各项审判执行质效指标持续保持高位运行，我院2022年审判各类案件均在法定审限内全部完成，</w:t>
      </w:r>
      <w:r>
        <w:rPr>
          <w:rFonts w:hint="default" w:ascii="Times New Roman" w:eastAsia="仿宋_GB2312"/>
          <w:sz w:val="32"/>
          <w:highlight w:val="none"/>
          <w:lang w:val="en-US" w:eastAsia="zh-CN"/>
        </w:rPr>
        <w:t>法定审限内结案率</w:t>
      </w:r>
      <w:r>
        <w:rPr>
          <w:rFonts w:hint="eastAsia" w:ascii="Times New Roman" w:eastAsia="仿宋_GB2312"/>
          <w:sz w:val="32"/>
          <w:vertAlign w:val="baseline"/>
          <w:lang w:val="en-US" w:eastAsia="zh-CN"/>
        </w:rPr>
        <w:t>100%，</w:t>
      </w:r>
      <w:r>
        <w:rPr>
          <w:rFonts w:hint="eastAsia" w:ascii="Times New Roman" w:eastAsia="仿宋_GB2312"/>
          <w:sz w:val="32"/>
          <w:highlight w:val="none"/>
          <w:lang w:val="en-US" w:eastAsia="zh-CN"/>
        </w:rPr>
        <w:t>指标得分2.77分。</w:t>
      </w:r>
    </w:p>
    <w:p>
      <w:pPr>
        <w:pStyle w:val="20"/>
        <w:snapToGrid/>
        <w:spacing w:beforeAutospacing="0" w:afterAutospacing="0" w:line="560" w:lineRule="exact"/>
        <w:ind w:left="0" w:leftChars="0" w:firstLine="640" w:firstLineChars="200"/>
        <w:rPr>
          <w:rFonts w:hint="eastAsia" w:ascii="Times New Roman" w:eastAsia="仿宋_GB2312"/>
          <w:color w:val="auto"/>
          <w:sz w:val="32"/>
          <w:highlight w:val="none"/>
          <w:lang w:val="en-US" w:eastAsia="zh-CN"/>
        </w:rPr>
      </w:pPr>
      <w:r>
        <w:rPr>
          <w:rFonts w:hint="eastAsia" w:ascii="Times New Roman" w:eastAsia="仿宋_GB2312"/>
          <w:color w:val="auto"/>
          <w:sz w:val="32"/>
          <w:lang w:val="en-US" w:eastAsia="zh-CN"/>
        </w:rPr>
        <w:t>执行案件执结率</w:t>
      </w:r>
      <w:r>
        <w:rPr>
          <w:rFonts w:hint="eastAsia" w:ascii="Times New Roman" w:eastAsia="仿宋_GB2312"/>
          <w:color w:val="auto"/>
          <w:sz w:val="32"/>
          <w:highlight w:val="none"/>
          <w:lang w:val="en-US" w:eastAsia="zh-CN"/>
        </w:rPr>
        <w:t>：</w:t>
      </w:r>
      <w:r>
        <w:rPr>
          <w:rFonts w:hint="eastAsia" w:ascii="Times New Roman" w:hAnsi="Times New Roman" w:eastAsia="仿宋_GB2312" w:cs="Times New Roman"/>
          <w:color w:val="auto"/>
          <w:sz w:val="32"/>
          <w:szCs w:val="32"/>
          <w:shd w:val="clear" w:color="auto" w:fill="FFFFFF"/>
        </w:rPr>
        <w:t>受理各类执行案件102件（含旧存8件），收案总标的额为2989.82万元；执结94件</w:t>
      </w:r>
      <w:r>
        <w:rPr>
          <w:rFonts w:hint="eastAsia" w:ascii="Times New Roman" w:eastAsia="仿宋_GB2312" w:cs="Times New Roman"/>
          <w:color w:val="auto"/>
          <w:sz w:val="32"/>
          <w:szCs w:val="32"/>
          <w:shd w:val="clear" w:color="auto" w:fill="FFFFFF"/>
          <w:lang w:eastAsia="zh-CN"/>
        </w:rPr>
        <w:t>，</w:t>
      </w:r>
      <w:r>
        <w:rPr>
          <w:rFonts w:hint="eastAsia" w:ascii="Times New Roman" w:eastAsia="仿宋_GB2312"/>
          <w:color w:val="auto"/>
          <w:sz w:val="32"/>
          <w:highlight w:val="none"/>
          <w:lang w:val="en-US" w:eastAsia="zh-CN"/>
        </w:rPr>
        <w:t>年度目标值≥90%，</w:t>
      </w:r>
      <w:r>
        <w:rPr>
          <w:rFonts w:hint="eastAsia" w:ascii="Times New Roman" w:eastAsia="仿宋_GB2312"/>
          <w:color w:val="auto"/>
          <w:sz w:val="32"/>
          <w:vertAlign w:val="baseline"/>
          <w:lang w:val="en-US" w:eastAsia="zh-CN"/>
        </w:rPr>
        <w:t>实际完成89.41%，</w:t>
      </w:r>
      <w:r>
        <w:rPr>
          <w:rFonts w:hint="eastAsia" w:ascii="Times New Roman" w:eastAsia="仿宋_GB2312"/>
          <w:color w:val="auto"/>
          <w:sz w:val="32"/>
          <w:highlight w:val="none"/>
          <w:lang w:val="en-US" w:eastAsia="zh-CN"/>
        </w:rPr>
        <w:t>指标得分2.77分。</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当庭宣判率</w:t>
      </w:r>
      <w:r>
        <w:rPr>
          <w:rFonts w:hint="eastAsia" w:ascii="Times New Roman" w:eastAsia="仿宋_GB2312"/>
          <w:sz w:val="32"/>
          <w:highlight w:val="none"/>
          <w:lang w:val="en-US" w:eastAsia="zh-CN"/>
        </w:rPr>
        <w:t>：本年度我院认真履行职责，提高法官审判效率、推动法官提高业务能力，当庭宣判比率逐步是提高作为推进审判公开、提高司法公信力的重要举措，当庭宣判率达到</w:t>
      </w:r>
      <w:r>
        <w:rPr>
          <w:rFonts w:hint="eastAsia" w:ascii="Times New Roman" w:eastAsia="仿宋_GB2312"/>
          <w:sz w:val="32"/>
          <w:vertAlign w:val="baseline"/>
          <w:lang w:val="en-US" w:eastAsia="zh-CN"/>
        </w:rPr>
        <w:t>85%，</w:t>
      </w:r>
      <w:r>
        <w:rPr>
          <w:rFonts w:hint="eastAsia" w:ascii="Times New Roman" w:eastAsia="仿宋_GB2312"/>
          <w:sz w:val="32"/>
          <w:highlight w:val="none"/>
          <w:lang w:val="en-US" w:eastAsia="zh-CN"/>
        </w:rPr>
        <w:t>指标得分2.77分。</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均衡结案率</w:t>
      </w:r>
      <w:r>
        <w:rPr>
          <w:rFonts w:hint="eastAsia" w:ascii="Times New Roman" w:eastAsia="仿宋_GB2312"/>
          <w:sz w:val="32"/>
          <w:highlight w:val="none"/>
          <w:lang w:val="en-US" w:eastAsia="zh-CN"/>
        </w:rPr>
        <w:t>：年度目标值≥75%，</w:t>
      </w:r>
      <w:r>
        <w:rPr>
          <w:rFonts w:hint="eastAsia" w:ascii="Times New Roman" w:eastAsia="仿宋_GB2312"/>
          <w:sz w:val="32"/>
          <w:vertAlign w:val="baseline"/>
          <w:lang w:val="en-US" w:eastAsia="zh-CN"/>
        </w:rPr>
        <w:t>实际完成90%，指标目标值设置为定性指标导致扣分，</w:t>
      </w:r>
      <w:r>
        <w:rPr>
          <w:rFonts w:hint="eastAsia" w:ascii="Times New Roman" w:eastAsia="仿宋_GB2312"/>
          <w:sz w:val="32"/>
          <w:highlight w:val="none"/>
          <w:lang w:val="en-US" w:eastAsia="zh-CN"/>
        </w:rPr>
        <w:t>指标得分1.91分。</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庭审直播率</w:t>
      </w:r>
      <w:r>
        <w:rPr>
          <w:rFonts w:hint="eastAsia" w:ascii="Times New Roman" w:eastAsia="仿宋_GB2312"/>
          <w:sz w:val="32"/>
          <w:highlight w:val="none"/>
          <w:lang w:val="en-US" w:eastAsia="zh-CN"/>
        </w:rPr>
        <w:t>：我院要求各庭室积极开展庭审直播活动，落实“每庭必录”的要求，杜绝办案法官无正当理由不直播的情况。强化科技保障，加强科技法庭建设，定期巡查庭审直播软硬件系统，并针对庭审直播过程中的突发情况快速反应，以保障我院庭审直播活动正常进行，庭审直播率达到</w:t>
      </w:r>
      <w:r>
        <w:rPr>
          <w:rFonts w:hint="eastAsia" w:ascii="Times New Roman" w:eastAsia="仿宋_GB2312"/>
          <w:sz w:val="32"/>
          <w:vertAlign w:val="baseline"/>
          <w:lang w:val="en-US" w:eastAsia="zh-CN"/>
        </w:rPr>
        <w:t>98%，</w:t>
      </w:r>
      <w:r>
        <w:rPr>
          <w:rFonts w:hint="eastAsia" w:ascii="Times New Roman" w:eastAsia="仿宋_GB2312"/>
          <w:sz w:val="32"/>
          <w:highlight w:val="none"/>
          <w:lang w:val="en-US" w:eastAsia="zh-CN"/>
        </w:rPr>
        <w:t>指标得分2.77分。</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lang w:val="en-US" w:eastAsia="zh-CN"/>
        </w:rPr>
        <w:t>宣传覆盖率</w:t>
      </w:r>
      <w:r>
        <w:rPr>
          <w:rFonts w:hint="eastAsia" w:ascii="Times New Roman" w:eastAsia="仿宋_GB2312"/>
          <w:sz w:val="32"/>
          <w:highlight w:val="none"/>
          <w:lang w:val="en-US" w:eastAsia="zh-CN"/>
        </w:rPr>
        <w:t>：紧紧抓住新媒体发展的机遇期，大胆探索，开拓创新，深入推进媒体融合，着力打造既有严肃“法”味，又有浓浓“人”味的新媒体宣传阵地，推动形成良好的网络生态，</w:t>
      </w:r>
      <w:r>
        <w:rPr>
          <w:rFonts w:hint="eastAsia" w:ascii="Times New Roman" w:eastAsia="仿宋_GB2312"/>
          <w:sz w:val="32"/>
          <w:lang w:val="en-US" w:eastAsia="zh-CN"/>
        </w:rPr>
        <w:t>宣传覆盖率达到</w:t>
      </w:r>
      <w:r>
        <w:rPr>
          <w:rFonts w:hint="eastAsia" w:ascii="Times New Roman" w:eastAsia="仿宋_GB2312"/>
          <w:sz w:val="32"/>
          <w:vertAlign w:val="baseline"/>
          <w:lang w:val="en-US" w:eastAsia="zh-CN"/>
        </w:rPr>
        <w:t>100%，</w:t>
      </w:r>
      <w:r>
        <w:rPr>
          <w:rFonts w:hint="eastAsia" w:ascii="Times New Roman" w:eastAsia="仿宋_GB2312"/>
          <w:sz w:val="32"/>
          <w:highlight w:val="none"/>
          <w:lang w:val="en-US" w:eastAsia="zh-CN"/>
        </w:rPr>
        <w:t>指标得分2.77分。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bookmarkStart w:id="224" w:name="_Toc20676"/>
      <w:bookmarkStart w:id="225" w:name="_Toc21191"/>
      <w:r>
        <w:rPr>
          <w:rFonts w:hint="eastAsia" w:ascii="Times New Roman" w:hAnsi="宋体" w:eastAsia="仿宋_GB2312" w:cs="宋体"/>
          <w:kern w:val="0"/>
          <w:sz w:val="32"/>
          <w:szCs w:val="28"/>
          <w:highlight w:val="none"/>
          <w:lang w:eastAsia="zh-CN"/>
        </w:rPr>
        <w:t>案件办理平均天数（）天/件：</w:t>
      </w:r>
      <w:r>
        <w:rPr>
          <w:rFonts w:hint="eastAsia" w:ascii="Times New Roman" w:eastAsia="仿宋_GB2312"/>
          <w:sz w:val="32"/>
          <w:highlight w:val="none"/>
          <w:lang w:val="en-US" w:eastAsia="zh-CN"/>
        </w:rPr>
        <w:t>年度目标值=50天/件，</w:t>
      </w:r>
      <w:r>
        <w:rPr>
          <w:rFonts w:hint="eastAsia" w:ascii="Times New Roman" w:eastAsia="仿宋_GB2312"/>
          <w:sz w:val="32"/>
          <w:vertAlign w:val="baseline"/>
          <w:lang w:val="en-US" w:eastAsia="zh-CN"/>
        </w:rPr>
        <w:t>实际完成27.5天/件，</w:t>
      </w:r>
      <w:r>
        <w:rPr>
          <w:rFonts w:hint="eastAsia" w:ascii="Times New Roman" w:eastAsia="仿宋_GB2312"/>
          <w:sz w:val="32"/>
          <w:highlight w:val="none"/>
          <w:lang w:val="en-US" w:eastAsia="zh-CN"/>
        </w:rPr>
        <w:t>指标得分1.52分。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宋体" w:eastAsia="仿宋_GB2312" w:cs="宋体"/>
          <w:kern w:val="0"/>
          <w:sz w:val="32"/>
          <w:szCs w:val="28"/>
          <w:highlight w:val="none"/>
          <w:lang w:val="en-US" w:eastAsia="zh-CN"/>
        </w:rPr>
        <w:t>受理</w:t>
      </w:r>
      <w:r>
        <w:rPr>
          <w:rFonts w:hint="eastAsia" w:ascii="Times New Roman" w:hAnsi="宋体" w:eastAsia="仿宋_GB2312" w:cs="宋体"/>
          <w:kern w:val="0"/>
          <w:sz w:val="32"/>
          <w:szCs w:val="28"/>
          <w:highlight w:val="none"/>
          <w:lang w:eastAsia="zh-CN"/>
        </w:rPr>
        <w:t>案件及时性：</w:t>
      </w:r>
      <w:r>
        <w:rPr>
          <w:rFonts w:hint="eastAsia" w:ascii="Times New Roman" w:hAnsi="宋体" w:eastAsia="仿宋_GB2312" w:cs="宋体"/>
          <w:kern w:val="0"/>
          <w:sz w:val="32"/>
          <w:szCs w:val="28"/>
          <w:highlight w:val="none"/>
          <w:lang w:val="en-US" w:eastAsia="zh-CN"/>
        </w:rPr>
        <w:t>我院本着全心全意为人民服务的宗旨，均在时限内受理案件，共受理各类案件706件，达到年初设定的目标值，</w:t>
      </w:r>
      <w:r>
        <w:rPr>
          <w:rFonts w:hint="eastAsia" w:ascii="Times New Roman" w:eastAsia="仿宋_GB2312"/>
          <w:sz w:val="32"/>
          <w:highlight w:val="none"/>
          <w:lang w:val="en-US" w:eastAsia="zh-CN"/>
        </w:rPr>
        <w:t>指标得分2.77分。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宋体" w:eastAsia="仿宋_GB2312" w:cs="宋体"/>
          <w:kern w:val="0"/>
          <w:sz w:val="32"/>
          <w:szCs w:val="28"/>
          <w:highlight w:val="none"/>
          <w:lang w:eastAsia="zh-CN"/>
        </w:rPr>
        <w:t>审判案件及时性：</w:t>
      </w:r>
      <w:r>
        <w:rPr>
          <w:rFonts w:hint="eastAsia" w:ascii="Times New Roman" w:hAnsi="宋体" w:eastAsia="仿宋_GB2312" w:cs="宋体"/>
          <w:kern w:val="0"/>
          <w:sz w:val="32"/>
          <w:szCs w:val="28"/>
          <w:highlight w:val="none"/>
          <w:lang w:val="en-US" w:eastAsia="zh-CN"/>
        </w:rPr>
        <w:t>我院2022年及时受理案件，均在法定审限内结案，无积案堆案，各项业务按规定或计划的时间内完成，达到年初设定的目标值，</w:t>
      </w:r>
      <w:r>
        <w:rPr>
          <w:rFonts w:hint="eastAsia" w:ascii="Times New Roman" w:eastAsia="仿宋_GB2312"/>
          <w:sz w:val="32"/>
          <w:highlight w:val="none"/>
          <w:lang w:val="en-US" w:eastAsia="zh-CN"/>
        </w:rPr>
        <w:t>指标得分2.77分。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bookmarkEnd w:id="224"/>
    <w:bookmarkEnd w:id="225"/>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226" w:name="_Toc29713"/>
      <w:bookmarkStart w:id="227" w:name="_Toc13529"/>
      <w:r>
        <w:rPr>
          <w:rFonts w:hint="eastAsia" w:ascii="Times New Roman" w:eastAsia="仿宋_GB2312"/>
          <w:sz w:val="32"/>
          <w:highlight w:val="none"/>
          <w:lang w:val="en-US" w:eastAsia="zh-CN"/>
        </w:rPr>
        <w:t>平均办案成本：本年度我院平均办案成本控制在预算范围内，指标得分2.77分。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成本控制情况：该项目成本在控制范围内，未超预算，指标得分2.77分。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项目效益指标情况分析</w:t>
      </w:r>
      <w:bookmarkEnd w:id="226"/>
      <w:bookmarkEnd w:id="227"/>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8" w:name="_Toc4127"/>
      <w:bookmarkStart w:id="229" w:name="_Toc28897"/>
      <w:bookmarkStart w:id="230" w:name="_Toc9084"/>
      <w:bookmarkStart w:id="231" w:name="_Toc18806"/>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经济效益、社会效益、</w:t>
      </w:r>
      <w:r>
        <w:rPr>
          <w:rFonts w:hint="eastAsia" w:ascii="Times New Roman" w:eastAsia="仿宋_GB2312"/>
          <w:sz w:val="32"/>
          <w:highlight w:val="none"/>
        </w:rPr>
        <w:t>生态效益、可持续影响</w:t>
      </w:r>
      <w:r>
        <w:rPr>
          <w:rFonts w:hint="eastAsia" w:ascii="Times New Roman" w:eastAsia="仿宋_GB2312"/>
          <w:sz w:val="32"/>
          <w:highlight w:val="none"/>
          <w:lang w:val="en-US" w:eastAsia="zh-CN"/>
        </w:rPr>
        <w:t>4</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29.81</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99.37</w:t>
      </w:r>
      <w:r>
        <w:rPr>
          <w:rFonts w:hint="eastAsia" w:ascii="Times New Roman" w:eastAsia="仿宋_GB2312"/>
          <w:sz w:val="32"/>
          <w:highlight w:val="none"/>
        </w:rPr>
        <w:t>%。</w:t>
      </w:r>
      <w:bookmarkEnd w:id="228"/>
      <w:bookmarkEnd w:id="22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经济效益指标分析：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挽回经济损失效果：我院高度重视人民群众的生命和财产安全，持续加强对弱势群体保护力度，高效化解维权案件、开展强制执行措施、采取限制高消费等措施有效保障案件当事人的合法权益，挽回损失效果明显，指标得分4.32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②社会效益指标分析：</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保障社会公平正义有效性：我院积极开展刑事、民商事、行政等各类案件的受理和审判工作，妥善化解矛盾纠纷和行政争议，积极保障人民群众生命财产安全，严惩违法犯罪行为，不断增强人民群众获得感、幸福感和安全感，保障社会公平正义有效性，指标得分4.28分。</w:t>
      </w:r>
    </w:p>
    <w:p>
      <w:pPr>
        <w:pStyle w:val="2"/>
        <w:snapToGrid/>
        <w:spacing w:beforeAutospacing="0" w:afterAutospacing="0" w:line="560" w:lineRule="exact"/>
        <w:ind w:left="0" w:leftChars="0" w:firstLine="640" w:firstLineChars="200"/>
        <w:rPr>
          <w:rFonts w:hint="eastAsia" w:ascii="Times New Roman" w:eastAsia="仿宋_GB2312"/>
          <w:color w:val="auto"/>
          <w:sz w:val="32"/>
          <w:lang w:val="en-US" w:eastAsia="zh-CN"/>
        </w:rPr>
      </w:pPr>
      <w:r>
        <w:rPr>
          <w:rFonts w:hint="eastAsia" w:ascii="Times New Roman" w:eastAsia="仿宋_GB2312"/>
          <w:color w:val="auto"/>
          <w:sz w:val="32"/>
          <w:lang w:val="en-US" w:eastAsia="zh-CN"/>
        </w:rPr>
        <w:t>当场立案率：</w:t>
      </w:r>
      <w:r>
        <w:rPr>
          <w:rFonts w:hint="eastAsia" w:ascii="Times New Roman" w:hAnsi="Times New Roman" w:eastAsia="仿宋_GB2312" w:cs="Times New Roman"/>
          <w:color w:val="auto"/>
          <w:sz w:val="32"/>
          <w:szCs w:val="32"/>
          <w:highlight w:val="none"/>
          <w:shd w:val="clear" w:color="auto" w:fill="FFFFFF"/>
        </w:rPr>
        <w:t>全年共受理各类案件706件，其中：刑事案件4件，受理民事案件600件，执行案件102件</w:t>
      </w:r>
      <w:r>
        <w:rPr>
          <w:rFonts w:hint="eastAsia" w:ascii="Times New Roman" w:eastAsia="仿宋_GB2312"/>
          <w:color w:val="auto"/>
          <w:sz w:val="32"/>
          <w:highlight w:val="none"/>
          <w:lang w:val="en-US" w:eastAsia="zh-CN"/>
        </w:rPr>
        <w:t>，没有无故不立案或年初突击立案的现象，</w:t>
      </w:r>
      <w:r>
        <w:rPr>
          <w:rFonts w:hint="default" w:ascii="Times New Roman" w:eastAsia="仿宋_GB2312"/>
          <w:color w:val="auto"/>
          <w:sz w:val="32"/>
          <w:highlight w:val="none"/>
          <w:lang w:val="en-US" w:eastAsia="zh-CN"/>
        </w:rPr>
        <w:t>当场立案率</w:t>
      </w:r>
      <w:r>
        <w:rPr>
          <w:rFonts w:hint="eastAsia" w:ascii="Times New Roman" w:eastAsia="仿宋_GB2312"/>
          <w:color w:val="auto"/>
          <w:sz w:val="32"/>
          <w:highlight w:val="none"/>
          <w:lang w:val="en-US" w:eastAsia="zh-CN"/>
        </w:rPr>
        <w:t>100%，指标得分4.28分。</w:t>
      </w:r>
    </w:p>
    <w:p>
      <w:pPr>
        <w:pStyle w:val="20"/>
        <w:snapToGrid/>
        <w:spacing w:beforeAutospacing="0" w:afterAutospacing="0" w:line="560" w:lineRule="exact"/>
        <w:ind w:left="0" w:leftChars="0" w:firstLine="640" w:firstLineChars="200"/>
        <w:rPr>
          <w:rFonts w:hint="eastAsia" w:ascii="Times New Roman" w:eastAsia="仿宋_GB2312"/>
          <w:sz w:val="32"/>
          <w:lang w:val="en-US" w:eastAsia="zh-CN"/>
        </w:rPr>
      </w:pPr>
      <w:r>
        <w:rPr>
          <w:rFonts w:hint="eastAsia" w:ascii="Times New Roman" w:eastAsia="仿宋_GB2312"/>
          <w:sz w:val="32"/>
          <w:lang w:val="en-US" w:eastAsia="zh-CN"/>
        </w:rPr>
        <w:t>民事案件调解撤诉率：</w:t>
      </w:r>
      <w:r>
        <w:rPr>
          <w:rFonts w:hint="eastAsia" w:ascii="Times New Roman" w:eastAsia="仿宋_GB2312"/>
          <w:sz w:val="32"/>
          <w:highlight w:val="none"/>
          <w:lang w:val="en-US" w:eastAsia="zh-CN"/>
        </w:rPr>
        <w:t>我院坚持把非诉讼纠纷解决机制挺在前面，不断完善林场调解委员会与法院司法确认制度协调联动机制，努力从源头预防化解矛盾纠纷，民事案件调解撤诉率100%，实际完成值大于年度目标的130%，指标得分4.09分。</w:t>
      </w:r>
    </w:p>
    <w:p>
      <w:pPr>
        <w:pStyle w:val="20"/>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③生态效益指标分析：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打击生态犯罪，维护生态秩序：</w:t>
      </w:r>
      <w:r>
        <w:rPr>
          <w:rFonts w:hint="eastAsia" w:ascii="Times New Roman" w:hAnsi="仿宋" w:eastAsia="仿宋_GB2312" w:cs="仿宋"/>
          <w:sz w:val="32"/>
          <w:szCs w:val="32"/>
          <w:highlight w:val="none"/>
          <w:lang w:val="en-US" w:eastAsia="zh-CN"/>
        </w:rPr>
        <w:t>依法惩治环境资源刑事犯罪，织密生态环境司法保护网</w:t>
      </w:r>
      <w:r>
        <w:rPr>
          <w:rFonts w:hint="eastAsia" w:ascii="Times New Roman" w:hAnsi="仿宋" w:eastAsia="仿宋_GB2312" w:cs="仿宋"/>
          <w:sz w:val="32"/>
          <w:highlight w:val="none"/>
          <w:lang w:val="en-US" w:eastAsia="zh-CN"/>
        </w:rPr>
        <w:t>，维护辖区生态环境和谐发展，</w:t>
      </w:r>
      <w:r>
        <w:rPr>
          <w:rFonts w:hint="eastAsia" w:ascii="Times New Roman" w:eastAsia="仿宋_GB2312"/>
          <w:sz w:val="32"/>
          <w:highlight w:val="none"/>
          <w:lang w:val="en-US" w:eastAsia="zh-CN"/>
        </w:rPr>
        <w:t>指标得分4.28分。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hAnsi="Times New Roman" w:eastAsia="仿宋_GB2312" w:cs="Times New Roman"/>
          <w:kern w:val="2"/>
          <w:sz w:val="32"/>
          <w:szCs w:val="24"/>
          <w:highlight w:val="none"/>
          <w:lang w:val="en-US" w:eastAsia="zh-CN" w:bidi="ar-SA"/>
        </w:rPr>
        <w:t>④</w:t>
      </w:r>
      <w:r>
        <w:rPr>
          <w:rFonts w:hint="eastAsia" w:ascii="Times New Roman" w:eastAsia="仿宋_GB2312"/>
          <w:sz w:val="32"/>
          <w:highlight w:val="none"/>
          <w:lang w:val="en-US" w:eastAsia="zh-CN"/>
        </w:rPr>
        <w:t>可持续影响指标分析：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lang w:val="en-US" w:eastAsia="zh-CN"/>
        </w:rPr>
      </w:pPr>
      <w:r>
        <w:rPr>
          <w:rFonts w:hint="eastAsia" w:ascii="Times New Roman" w:eastAsia="仿宋_GB2312"/>
          <w:color w:val="auto"/>
          <w:sz w:val="32"/>
          <w:highlight w:val="none"/>
        </w:rPr>
        <w:t>案件审判管理机制健全性</w:t>
      </w:r>
      <w:r>
        <w:rPr>
          <w:rFonts w:hint="eastAsia" w:ascii="Times New Roman" w:eastAsia="仿宋_GB2312"/>
          <w:color w:val="auto"/>
          <w:sz w:val="32"/>
          <w:highlight w:val="none"/>
          <w:lang w:val="en-US" w:eastAsia="zh-CN"/>
        </w:rPr>
        <w:t>：</w:t>
      </w:r>
      <w:r>
        <w:rPr>
          <w:rFonts w:hint="eastAsia" w:ascii="Times New Roman" w:hAnsi="Times New Roman" w:eastAsia="仿宋_GB2312" w:cs="Times New Roman"/>
          <w:color w:val="auto"/>
          <w:sz w:val="32"/>
          <w:szCs w:val="32"/>
          <w:shd w:val="clear" w:color="auto" w:fill="FFFFFF"/>
        </w:rPr>
        <w:t>我院案件审判管理机制健全，深入推进信息化建设和“一站式”成果等审判执行工作平台的应用，积极保障人民群众合法权益，提高审判办案质效</w:t>
      </w:r>
      <w:r>
        <w:rPr>
          <w:rFonts w:hint="eastAsia" w:ascii="Times New Roman" w:hAnsi="仿宋" w:eastAsia="仿宋_GB2312" w:cs="仿宋"/>
          <w:color w:val="auto"/>
          <w:sz w:val="32"/>
          <w:szCs w:val="32"/>
          <w:lang w:val="en-US" w:eastAsia="zh-CN"/>
        </w:rPr>
        <w:t>，</w:t>
      </w:r>
      <w:r>
        <w:rPr>
          <w:rFonts w:hint="eastAsia" w:ascii="Times New Roman" w:eastAsia="仿宋_GB2312"/>
          <w:color w:val="auto"/>
          <w:sz w:val="32"/>
          <w:highlight w:val="none"/>
          <w:lang w:val="en-US" w:eastAsia="zh-CN"/>
        </w:rPr>
        <w:t>指标得分4.28分。</w:t>
      </w:r>
    </w:p>
    <w:p>
      <w:pPr>
        <w:pStyle w:val="20"/>
        <w:snapToGrid/>
        <w:spacing w:beforeAutospacing="0" w:afterAutospacing="0" w:line="560" w:lineRule="exact"/>
        <w:ind w:left="0" w:leftChars="0" w:firstLine="640" w:firstLineChars="200"/>
        <w:rPr>
          <w:rFonts w:hint="eastAsia" w:ascii="Times New Roman" w:eastAsia="仿宋_GB2312"/>
          <w:color w:val="auto"/>
          <w:sz w:val="32"/>
          <w:lang w:val="en-US" w:eastAsia="zh-CN"/>
        </w:rPr>
      </w:pPr>
      <w:r>
        <w:rPr>
          <w:rFonts w:hint="eastAsia" w:ascii="Times New Roman" w:eastAsia="仿宋_GB2312"/>
          <w:color w:val="auto"/>
          <w:sz w:val="32"/>
          <w:lang w:val="en-US" w:eastAsia="zh-CN"/>
        </w:rPr>
        <w:t>采购管理机制健全性：</w:t>
      </w:r>
      <w:r>
        <w:rPr>
          <w:rFonts w:hint="eastAsia" w:ascii="Times New Roman" w:hAnsi="Times New Roman" w:eastAsia="仿宋_GB2312" w:cs="Times New Roman"/>
          <w:color w:val="auto"/>
          <w:sz w:val="32"/>
          <w:szCs w:val="32"/>
          <w:shd w:val="clear" w:color="auto" w:fill="FFFFFF"/>
        </w:rPr>
        <w:t>采购管理机制健全，严格按照相关要求开展采购工作，有效保证了我院采购工作的顺利开展</w:t>
      </w:r>
      <w:r>
        <w:rPr>
          <w:rFonts w:hint="eastAsia" w:ascii="Times New Roman" w:eastAsia="仿宋_GB2312" w:cs="Times New Roman"/>
          <w:color w:val="auto"/>
          <w:sz w:val="32"/>
          <w:szCs w:val="32"/>
          <w:shd w:val="clear" w:color="auto" w:fill="FFFFFF"/>
          <w:lang w:eastAsia="zh-CN"/>
        </w:rPr>
        <w:t>，</w:t>
      </w:r>
      <w:r>
        <w:rPr>
          <w:rFonts w:hint="eastAsia" w:ascii="Times New Roman" w:eastAsia="仿宋_GB2312"/>
          <w:color w:val="auto"/>
          <w:sz w:val="32"/>
          <w:highlight w:val="none"/>
          <w:lang w:val="en-US" w:eastAsia="zh-CN"/>
        </w:rPr>
        <w:t>指标得分4.28分</w:t>
      </w:r>
      <w:r>
        <w:rPr>
          <w:rFonts w:hint="eastAsia" w:ascii="Times New Roman" w:hAnsi="仿宋" w:eastAsia="仿宋_GB2312" w:cs="仿宋"/>
          <w:color w:val="auto"/>
          <w:sz w:val="32"/>
          <w:szCs w:val="32"/>
          <w:lang w:val="en-US" w:eastAsia="zh-CN"/>
        </w:rPr>
        <w:t>。</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（3）项目满意度指标情况分析</w:t>
      </w:r>
      <w:bookmarkEnd w:id="230"/>
      <w:bookmarkEnd w:id="231"/>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项目服务对象满意度指标</w:t>
      </w:r>
      <w:r>
        <w:rPr>
          <w:rFonts w:hint="eastAsia" w:ascii="Times New Roman" w:eastAsia="仿宋_GB2312"/>
          <w:sz w:val="32"/>
          <w:highlight w:val="none"/>
          <w:lang w:val="en-US" w:eastAsia="zh-CN"/>
        </w:rPr>
        <w:t>主要考察</w:t>
      </w:r>
      <w:r>
        <w:rPr>
          <w:rFonts w:hint="eastAsia" w:ascii="Times New Roman" w:eastAsia="仿宋_GB2312"/>
          <w:sz w:val="32"/>
          <w:highlight w:val="none"/>
        </w:rPr>
        <w:t>案件当事人</w:t>
      </w:r>
      <w:r>
        <w:rPr>
          <w:rFonts w:hint="eastAsia" w:ascii="Times New Roman" w:eastAsia="仿宋_GB2312"/>
          <w:sz w:val="32"/>
          <w:highlight w:val="none"/>
          <w:lang w:eastAsia="zh-CN"/>
        </w:rPr>
        <w:t>满意度</w:t>
      </w:r>
      <w:r>
        <w:rPr>
          <w:rFonts w:hint="eastAsia" w:ascii="Times New Roman" w:eastAsia="仿宋_GB2312"/>
          <w:sz w:val="32"/>
          <w:highlight w:val="none"/>
          <w:lang w:val="en-US" w:eastAsia="zh-CN"/>
        </w:rPr>
        <w:t>和人民群众满意度</w:t>
      </w:r>
      <w:r>
        <w:rPr>
          <w:rFonts w:ascii="Times New Roman" w:eastAsia="仿宋_GB2312"/>
          <w:sz w:val="32"/>
          <w:highlight w:val="none"/>
        </w:rPr>
        <w:t>，指标</w:t>
      </w:r>
      <w:r>
        <w:rPr>
          <w:rFonts w:hint="eastAsia" w:ascii="Times New Roman" w:eastAsia="仿宋_GB2312"/>
          <w:sz w:val="32"/>
          <w:highlight w:val="none"/>
        </w:rPr>
        <w:t>分值10分，自评得分10分，得分率100%。</w:t>
      </w:r>
    </w:p>
    <w:p>
      <w:pPr>
        <w:pStyle w:val="9"/>
        <w:snapToGrid/>
        <w:spacing w:beforeAutospacing="0" w:afterAutospacing="0" w:line="560" w:lineRule="exact"/>
        <w:ind w:left="0" w:leftChars="0" w:firstLine="640" w:firstLineChars="200"/>
        <w:rPr>
          <w:rFonts w:hint="default" w:ascii="Times New Roman" w:hAnsi="Times New Roman" w:eastAsia="仿宋_GB2312" w:cs="Times New Roman"/>
          <w:kern w:val="2"/>
          <w:sz w:val="32"/>
          <w:szCs w:val="24"/>
          <w:highlight w:val="none"/>
          <w:lang w:val="en-US" w:eastAsia="zh-CN" w:bidi="ar-SA"/>
        </w:rPr>
      </w:pPr>
      <w:r>
        <w:rPr>
          <w:rFonts w:hint="default" w:ascii="Times New Roman" w:hAnsi="Times New Roman" w:eastAsia="仿宋_GB2312" w:cs="Times New Roman"/>
          <w:kern w:val="2"/>
          <w:sz w:val="32"/>
          <w:szCs w:val="24"/>
          <w:highlight w:val="none"/>
          <w:lang w:val="en-US" w:eastAsia="zh-CN" w:bidi="ar-SA"/>
        </w:rPr>
        <w:t>我院积极审理各类案件，妥善化解矛盾纠纷和行政争议，依法为案件当事人争取合法权益，积极保障人民群众生命财产安全，不断增强人民群众获得感、幸福感和安全感，减轻人民群众诉讼诉累，案件当事人满意度和人民群众满意度均为9</w:t>
      </w:r>
      <w:r>
        <w:rPr>
          <w:rFonts w:hint="eastAsia" w:ascii="Times New Roman" w:hAnsi="Times New Roman" w:eastAsia="仿宋_GB2312" w:cs="Times New Roman"/>
          <w:kern w:val="2"/>
          <w:sz w:val="32"/>
          <w:szCs w:val="24"/>
          <w:highlight w:val="none"/>
          <w:lang w:val="en-US" w:eastAsia="zh-CN" w:bidi="ar-SA"/>
        </w:rPr>
        <w:t>8</w:t>
      </w:r>
      <w:r>
        <w:rPr>
          <w:rFonts w:hint="default" w:ascii="Times New Roman" w:hAnsi="Times New Roman" w:eastAsia="仿宋_GB2312" w:cs="Times New Roman"/>
          <w:kern w:val="2"/>
          <w:sz w:val="32"/>
          <w:szCs w:val="24"/>
          <w:highlight w:val="none"/>
          <w:lang w:val="en-US" w:eastAsia="zh-CN" w:bidi="ar-SA"/>
        </w:rPr>
        <w:t>%，指标得分</w:t>
      </w:r>
      <w:r>
        <w:rPr>
          <w:rFonts w:hint="eastAsia" w:ascii="Times New Roman" w:hAnsi="Times New Roman" w:eastAsia="仿宋_GB2312" w:cs="Times New Roman"/>
          <w:kern w:val="2"/>
          <w:sz w:val="32"/>
          <w:szCs w:val="24"/>
          <w:highlight w:val="none"/>
          <w:lang w:val="en-US" w:eastAsia="zh-CN" w:bidi="ar-SA"/>
        </w:rPr>
        <w:t>10</w:t>
      </w:r>
      <w:r>
        <w:rPr>
          <w:rFonts w:hint="default" w:ascii="Times New Roman" w:hAnsi="Times New Roman" w:eastAsia="仿宋_GB2312" w:cs="Times New Roman"/>
          <w:kern w:val="2"/>
          <w:sz w:val="32"/>
          <w:szCs w:val="24"/>
          <w:highlight w:val="none"/>
          <w:lang w:val="en-US" w:eastAsia="zh-CN" w:bidi="ar-SA"/>
        </w:rPr>
        <w:t>分。</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32" w:name="_Toc4445"/>
      <w:r>
        <w:rPr>
          <w:rFonts w:hint="eastAsia" w:ascii="仿宋_GB2312" w:eastAsia="仿宋_GB2312"/>
          <w:b/>
          <w:sz w:val="32"/>
          <w:highlight w:val="none"/>
        </w:rPr>
        <w:t>4.偏离绩效目标的原因及下一步改进措施</w:t>
      </w:r>
      <w:bookmarkEnd w:id="23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233" w:name="_Toc10133"/>
      <w:bookmarkStart w:id="234" w:name="_Toc15797"/>
      <w:bookmarkStart w:id="235" w:name="_Toc845"/>
      <w:r>
        <w:rPr>
          <w:rFonts w:hint="eastAsia" w:ascii="Times New Roman" w:hAnsi="Times New Roman" w:eastAsia="仿宋_GB2312" w:cs="Times New Roman"/>
          <w:b w:val="0"/>
          <w:kern w:val="2"/>
          <w:sz w:val="32"/>
          <w:szCs w:val="24"/>
          <w:lang w:val="en-US" w:eastAsia="zh-CN" w:bidi="ar-SA"/>
        </w:rPr>
        <w:t>均衡结案率、案件办理平均天数、民事案件调解撤诉率指标目标值设置偏高，本年度实际完成值大于年度目标的130%导致扣分。下一步我院将加强绩效预算绩效管理，提高绩效目标编制的准确性、合理性。</w:t>
      </w:r>
      <w:bookmarkEnd w:id="233"/>
      <w:r>
        <w:rPr>
          <w:rFonts w:hint="eastAsia" w:ascii="Times New Roman" w:hAnsi="Times New Roman" w:eastAsia="仿宋_GB2312" w:cs="Times New Roman"/>
          <w:b w:val="0"/>
          <w:kern w:val="2"/>
          <w:sz w:val="32"/>
          <w:szCs w:val="24"/>
          <w:highlight w:val="none"/>
          <w:lang w:val="en-US" w:eastAsia="zh-CN" w:bidi="ar-SA"/>
        </w:rPr>
        <w:t xml:space="preserve">   </w:t>
      </w:r>
    </w:p>
    <w:bookmarkEnd w:id="234"/>
    <w:bookmarkEnd w:id="235"/>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36" w:name="_Toc30207"/>
      <w:bookmarkStart w:id="237" w:name="_Toc19869"/>
      <w:bookmarkStart w:id="238" w:name="_Toc27094"/>
      <w:bookmarkStart w:id="239" w:name="_Toc25155"/>
      <w:bookmarkStart w:id="240" w:name="_Toc2096"/>
      <w:bookmarkStart w:id="241" w:name="_Toc7557"/>
      <w:bookmarkStart w:id="242" w:name="_Toc3896"/>
      <w:r>
        <w:rPr>
          <w:rFonts w:hint="eastAsia" w:ascii="Times New Roman" w:eastAsia="黑体"/>
          <w:b/>
          <w:sz w:val="32"/>
          <w:highlight w:val="none"/>
        </w:rPr>
        <w:t>五、绩效自评结果拟应用和公开情况</w:t>
      </w:r>
      <w:bookmarkEnd w:id="236"/>
      <w:bookmarkEnd w:id="237"/>
      <w:bookmarkEnd w:id="238"/>
      <w:bookmarkEnd w:id="239"/>
      <w:bookmarkEnd w:id="240"/>
      <w:bookmarkEnd w:id="241"/>
      <w:bookmarkEnd w:id="24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43" w:name="_Toc6522"/>
      <w:bookmarkStart w:id="244" w:name="_Toc17780"/>
      <w:bookmarkStart w:id="245" w:name="_Toc14906"/>
      <w:r>
        <w:rPr>
          <w:rFonts w:hint="eastAsia" w:ascii="Times New Roman" w:eastAsia="仿宋_GB2312"/>
          <w:sz w:val="32"/>
          <w:highlight w:val="none"/>
        </w:rPr>
        <w:t>绩效自评结果的应用是部门完善政策和改进管理的重要依据，部门要加强评价结果的应用。根据政策文件规定，我院绩效自评结果将编入2022年度决算中，随同2022年度部门决算同步公开。</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246" w:name="_Toc19360"/>
      <w:bookmarkStart w:id="247" w:name="_Toc30950"/>
      <w:bookmarkStart w:id="248" w:name="_Toc9968"/>
      <w:bookmarkStart w:id="249" w:name="_Toc4118"/>
      <w:bookmarkStart w:id="250" w:name="_Toc6006"/>
      <w:bookmarkStart w:id="251" w:name="_Toc26975"/>
      <w:bookmarkStart w:id="252" w:name="_Toc25893"/>
      <w:r>
        <w:rPr>
          <w:rFonts w:hint="eastAsia" w:ascii="Times New Roman" w:eastAsia="黑体"/>
          <w:b/>
          <w:sz w:val="32"/>
          <w:lang w:val="en-US" w:eastAsia="zh-CN"/>
        </w:rPr>
        <w:t>六</w:t>
      </w:r>
      <w:r>
        <w:rPr>
          <w:rFonts w:hint="eastAsia" w:ascii="Times New Roman" w:eastAsia="黑体"/>
          <w:b/>
          <w:sz w:val="32"/>
        </w:rPr>
        <w:t>、其他需要说明的问题</w:t>
      </w:r>
      <w:bookmarkEnd w:id="246"/>
      <w:bookmarkEnd w:id="247"/>
      <w:bookmarkEnd w:id="24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hAnsi="宋体" w:eastAsia="仿宋_GB2312"/>
          <w:sz w:val="32"/>
          <w:szCs w:val="28"/>
          <w:lang w:eastAsia="zh-CN"/>
        </w:rPr>
      </w:pPr>
      <w:r>
        <w:rPr>
          <w:rFonts w:hint="eastAsia" w:ascii="Times New Roman" w:hAnsi="宋体" w:eastAsia="仿宋_GB2312"/>
          <w:sz w:val="32"/>
          <w:szCs w:val="28"/>
        </w:rPr>
        <w:t>无</w:t>
      </w:r>
      <w:r>
        <w:rPr>
          <w:rFonts w:hint="eastAsia" w:ascii="Times New Roman" w:hAnsi="宋体" w:eastAsia="仿宋_GB2312"/>
          <w:sz w:val="32"/>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left"/>
        <w:textAlignment w:val="auto"/>
        <w:outlineLvl w:val="9"/>
        <w:rPr>
          <w:rFonts w:hint="eastAsia" w:ascii="Times New Roman" w:eastAsia="仿宋_GB2312"/>
          <w:sz w:val="32"/>
          <w:highlight w:val="yellow"/>
          <w:lang w:val="en-US" w:eastAsia="zh-CN"/>
        </w:rPr>
      </w:pPr>
    </w:p>
    <w:p>
      <w:pPr>
        <w:pStyle w:val="2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0"/>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0"/>
        <w:rPr>
          <w:rFonts w:hint="eastAsia" w:ascii="Times New Roman" w:eastAsia="仿宋_GB2312"/>
          <w:sz w:val="32"/>
          <w:highlight w:val="none"/>
          <w:lang w:val="en-US" w:eastAsia="zh-CN"/>
        </w:rPr>
      </w:pPr>
      <w:bookmarkStart w:id="253" w:name="_Toc14505"/>
      <w:bookmarkStart w:id="254" w:name="_Toc5078"/>
      <w:bookmarkStart w:id="255" w:name="_Toc24952"/>
      <w:r>
        <w:rPr>
          <w:rFonts w:hint="eastAsia" w:ascii="Times New Roman" w:eastAsia="仿宋_GB2312"/>
          <w:sz w:val="32"/>
          <w:highlight w:val="none"/>
          <w:lang w:val="en-US" w:eastAsia="zh-CN"/>
        </w:rPr>
        <w:t>附件：2022年度省级预算执行情况绩效自评报表</w:t>
      </w:r>
      <w:bookmarkEnd w:id="249"/>
      <w:bookmarkEnd w:id="250"/>
      <w:bookmarkEnd w:id="251"/>
      <w:bookmarkEnd w:id="252"/>
      <w:bookmarkEnd w:id="253"/>
      <w:bookmarkEnd w:id="254"/>
      <w:bookmarkEnd w:id="255"/>
    </w:p>
    <w:p>
      <w:pPr>
        <w:pStyle w:val="20"/>
        <w:snapToGrid/>
        <w:spacing w:beforeAutospacing="0" w:afterAutospacing="0" w:line="560" w:lineRule="exact"/>
        <w:ind w:left="0" w:leftChars="0" w:firstLine="640" w:firstLineChars="200"/>
        <w:rPr>
          <w:rFonts w:hint="eastAsia" w:ascii="Times New Roman" w:eastAsia="仿宋_GB2312"/>
          <w:sz w:val="32"/>
          <w:highlight w:val="none"/>
        </w:rPr>
      </w:pPr>
    </w:p>
    <w:p>
      <w:pPr>
        <w:pStyle w:val="20"/>
        <w:snapToGrid/>
        <w:spacing w:beforeAutospacing="0" w:afterAutospacing="0" w:line="560" w:lineRule="exact"/>
        <w:ind w:left="0" w:leftChars="0" w:firstLine="640" w:firstLineChars="200"/>
        <w:rPr>
          <w:rFonts w:hint="eastAsia" w:ascii="Times New Roman" w:eastAsia="仿宋_GB2312"/>
          <w:sz w:val="32"/>
          <w:highlight w:val="none"/>
        </w:rPr>
      </w:pPr>
    </w:p>
    <w:p>
      <w:pPr>
        <w:pStyle w:val="20"/>
        <w:snapToGrid/>
        <w:spacing w:beforeAutospacing="0" w:afterAutospacing="0" w:line="560" w:lineRule="exact"/>
        <w:ind w:left="0" w:leftChars="0" w:firstLine="640" w:firstLineChars="200"/>
        <w:rPr>
          <w:rFonts w:hint="eastAsia" w:ascii="Times New Roman" w:eastAsia="仿宋_GB2312"/>
          <w:sz w:val="32"/>
          <w:highlight w:val="none"/>
        </w:rPr>
      </w:pPr>
    </w:p>
    <w:p>
      <w:pPr>
        <w:pStyle w:val="20"/>
        <w:snapToGrid/>
        <w:spacing w:beforeAutospacing="0" w:afterAutospacing="0" w:line="560" w:lineRule="exact"/>
        <w:ind w:left="0" w:leftChars="0" w:firstLine="640" w:firstLineChars="200"/>
        <w:rPr>
          <w:rFonts w:hint="eastAsia" w:ascii="Times New Roman" w:eastAsia="仿宋_GB2312"/>
          <w:sz w:val="32"/>
          <w:highlight w:val="none"/>
        </w:rPr>
      </w:pPr>
    </w:p>
    <w:bookmarkEnd w:id="243"/>
    <w:bookmarkEnd w:id="244"/>
    <w:bookmarkEnd w:id="245"/>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center"/>
        <w:textAlignment w:val="auto"/>
        <w:rPr>
          <w:rFonts w:hint="eastAsia" w:ascii="Times New Roman" w:eastAsia="仿宋_GB2312"/>
          <w:sz w:val="32"/>
          <w:highlight w:val="none"/>
        </w:rPr>
      </w:pPr>
      <w:bookmarkStart w:id="256" w:name="_Toc16334"/>
      <w:bookmarkStart w:id="257" w:name="_Toc7395"/>
      <w:bookmarkStart w:id="258" w:name="_Toc17325"/>
      <w:r>
        <w:rPr>
          <w:rFonts w:hint="eastAsia"/>
          <w:sz w:val="32"/>
          <w:highlight w:val="none"/>
          <w:lang w:val="en-US" w:eastAsia="zh-CN"/>
        </w:rPr>
        <w:t xml:space="preserve">          </w:t>
      </w:r>
      <w:r>
        <w:rPr>
          <w:rFonts w:hint="eastAsia" w:ascii="Times New Roman" w:eastAsia="仿宋_GB2312"/>
          <w:sz w:val="32"/>
          <w:highlight w:val="none"/>
          <w:lang w:eastAsia="zh-CN"/>
        </w:rPr>
        <w:t>武威铁路运输法院</w:t>
      </w:r>
      <w:r>
        <w:rPr>
          <w:rFonts w:hint="eastAsia" w:ascii="Times New Roman" w:eastAsia="仿宋_GB2312"/>
          <w:sz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4160" w:firstLineChars="1300"/>
        <w:jc w:val="both"/>
        <w:textAlignment w:val="auto"/>
        <w:rPr>
          <w:rFonts w:ascii="Times New Roman" w:eastAsia="仿宋_GB2312"/>
          <w:sz w:val="32"/>
          <w:highlight w:val="none"/>
        </w:rPr>
      </w:pPr>
      <w:r>
        <w:rPr>
          <w:rFonts w:hint="eastAsia" w:ascii="Times New Roman" w:eastAsia="仿宋_GB2312"/>
          <w:sz w:val="32"/>
          <w:highlight w:val="none"/>
        </w:rPr>
        <w:t>202</w:t>
      </w:r>
      <w:r>
        <w:rPr>
          <w:rFonts w:hint="eastAsia" w:ascii="Times New Roman" w:eastAsia="仿宋_GB2312"/>
          <w:sz w:val="32"/>
          <w:highlight w:val="none"/>
          <w:lang w:val="en-US" w:eastAsia="zh-CN"/>
        </w:rPr>
        <w:t>3</w:t>
      </w:r>
      <w:r>
        <w:rPr>
          <w:rFonts w:hint="eastAsia" w:ascii="Times New Roman" w:eastAsia="仿宋_GB2312"/>
          <w:sz w:val="32"/>
          <w:highlight w:val="none"/>
        </w:rPr>
        <w:t>年</w:t>
      </w:r>
      <w:r>
        <w:rPr>
          <w:rFonts w:hint="eastAsia" w:ascii="Times New Roman" w:eastAsia="仿宋_GB2312"/>
          <w:sz w:val="32"/>
          <w:highlight w:val="none"/>
          <w:lang w:val="en-US" w:eastAsia="zh-CN"/>
        </w:rPr>
        <w:t>2</w:t>
      </w:r>
      <w:r>
        <w:rPr>
          <w:rFonts w:hint="eastAsia" w:ascii="Times New Roman" w:eastAsia="仿宋_GB2312"/>
          <w:sz w:val="32"/>
          <w:highlight w:val="none"/>
        </w:rPr>
        <w:t>月</w:t>
      </w:r>
      <w:r>
        <w:rPr>
          <w:rFonts w:hint="eastAsia" w:ascii="Times New Roman" w:eastAsia="仿宋_GB2312"/>
          <w:sz w:val="32"/>
          <w:highlight w:val="none"/>
          <w:lang w:val="en-US" w:eastAsia="zh-CN"/>
        </w:rPr>
        <w:t>24</w:t>
      </w:r>
      <w:r>
        <w:rPr>
          <w:rFonts w:hint="eastAsia" w:ascii="Times New Roman" w:eastAsia="仿宋_GB2312"/>
          <w:sz w:val="32"/>
          <w:highlight w:val="none"/>
        </w:rPr>
        <w:t>日</w:t>
      </w:r>
      <w:bookmarkEnd w:id="256"/>
      <w:bookmarkEnd w:id="257"/>
      <w:bookmarkEnd w:id="258"/>
    </w:p>
    <w:sectPr>
      <w:footerReference r:id="rId6" w:type="default"/>
      <w:pgSz w:w="11906" w:h="16838"/>
      <w:pgMar w:top="1928" w:right="1531" w:bottom="1701" w:left="1531" w:header="737" w:footer="85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FnT&#10;0Sq1AQAATQMAAA4AAAAAAAAAAQAgAAAAHwEAAGRycy9lMm9Eb2MueG1sUEsFBgAAAAAGAAYAWQEA&#10;AEY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7"/>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ZDJiNjJjZjVmYTAyY2ViMmQxYzIyNmNlNTJjNjgifQ=="/>
  </w:docVars>
  <w:rsids>
    <w:rsidRoot w:val="00000000"/>
    <w:rsid w:val="07992029"/>
    <w:rsid w:val="0A7D17E4"/>
    <w:rsid w:val="15EC08DD"/>
    <w:rsid w:val="16715D75"/>
    <w:rsid w:val="294B3257"/>
    <w:rsid w:val="29E844E9"/>
    <w:rsid w:val="2D842031"/>
    <w:rsid w:val="320E5AB1"/>
    <w:rsid w:val="3AF371D4"/>
    <w:rsid w:val="4DC64B62"/>
    <w:rsid w:val="577C44E3"/>
    <w:rsid w:val="5B7E6A7C"/>
    <w:rsid w:val="70D25E6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8"/>
    <w:qFormat/>
    <w:uiPriority w:val="0"/>
    <w:pPr>
      <w:keepNext/>
      <w:keepLines/>
      <w:spacing w:line="240" w:lineRule="auto"/>
      <w:outlineLvl w:val="0"/>
    </w:pPr>
    <w:rPr>
      <w:rFonts w:eastAsia="黑体"/>
      <w:b/>
      <w:kern w:val="44"/>
    </w:rPr>
  </w:style>
  <w:style w:type="paragraph" w:styleId="5">
    <w:name w:val="heading 2"/>
    <w:basedOn w:val="1"/>
    <w:next w:val="1"/>
    <w:link w:val="27"/>
    <w:qFormat/>
    <w:uiPriority w:val="0"/>
    <w:pPr>
      <w:keepNext/>
      <w:keepLines/>
      <w:spacing w:line="240" w:lineRule="auto"/>
      <w:ind w:firstLine="420" w:firstLineChars="200"/>
      <w:outlineLvl w:val="1"/>
    </w:pPr>
    <w:rPr>
      <w:rFonts w:ascii="Arial" w:hAnsi="Arial" w:eastAsia="楷体"/>
      <w:b/>
    </w:rPr>
  </w:style>
  <w:style w:type="paragraph" w:styleId="6">
    <w:name w:val="heading 3"/>
    <w:basedOn w:val="1"/>
    <w:next w:val="1"/>
    <w:link w:val="29"/>
    <w:qFormat/>
    <w:uiPriority w:val="0"/>
    <w:pPr>
      <w:keepNext/>
      <w:keepLines/>
      <w:spacing w:line="240" w:lineRule="auto"/>
      <w:ind w:firstLine="420" w:firstLineChars="200"/>
      <w:outlineLvl w:val="2"/>
    </w:pPr>
    <w:rPr>
      <w:rFonts w:eastAsia="仿宋"/>
      <w:b/>
      <w:sz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7">
    <w:name w:val="Default Paragraph Font"/>
    <w:qFormat/>
    <w:uiPriority w:val="1"/>
  </w:style>
  <w:style w:type="table" w:default="1" w:styleId="19">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8">
    <w:name w:val="Normal Indent"/>
    <w:basedOn w:val="1"/>
    <w:qFormat/>
    <w:uiPriority w:val="99"/>
    <w:pPr>
      <w:ind w:firstLine="420" w:firstLineChars="200"/>
    </w:pPr>
  </w:style>
  <w:style w:type="paragraph" w:styleId="9">
    <w:name w:val="caption"/>
    <w:basedOn w:val="1"/>
    <w:next w:val="1"/>
    <w:qFormat/>
    <w:uiPriority w:val="0"/>
    <w:rPr>
      <w:rFonts w:ascii="Cambria" w:hAnsi="Cambria" w:eastAsia="黑体" w:cs="宋体"/>
      <w:sz w:val="20"/>
      <w:szCs w:val="20"/>
    </w:rPr>
  </w:style>
  <w:style w:type="paragraph" w:styleId="10">
    <w:name w:val="toc 3"/>
    <w:basedOn w:val="1"/>
    <w:next w:val="1"/>
    <w:qFormat/>
    <w:uiPriority w:val="39"/>
    <w:pPr>
      <w:ind w:left="840" w:leftChars="400"/>
    </w:pPr>
  </w:style>
  <w:style w:type="paragraph" w:styleId="11">
    <w:name w:val="Body Text Indent 2"/>
    <w:basedOn w:val="1"/>
    <w:next w:val="12"/>
    <w:qFormat/>
    <w:uiPriority w:val="0"/>
    <w:pPr>
      <w:spacing w:after="120" w:line="480" w:lineRule="auto"/>
      <w:ind w:left="420" w:leftChars="200"/>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5">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rPr>
  </w:style>
  <w:style w:type="character" w:styleId="18">
    <w:name w:val="Hyperlink"/>
    <w:basedOn w:val="17"/>
    <w:qFormat/>
    <w:uiPriority w:val="99"/>
    <w:rPr>
      <w:color w:val="0563C1"/>
      <w:u w:val="single"/>
    </w:rPr>
  </w:style>
  <w:style w:type="paragraph" w:customStyle="1" w:styleId="20">
    <w:name w:val="Body Text First Indent 2_dc2c826c-29ee-48f3-a837-43b0bd62fc64"/>
    <w:basedOn w:val="1"/>
    <w:qFormat/>
    <w:uiPriority w:val="0"/>
    <w:pPr>
      <w:ind w:left="420" w:leftChars="200" w:firstLine="420" w:firstLineChars="200"/>
    </w:pPr>
  </w:style>
  <w:style w:type="paragraph" w:customStyle="1" w:styleId="21">
    <w:name w:val="正文文本缩进 21"/>
    <w:basedOn w:val="1"/>
    <w:next w:val="12"/>
    <w:qFormat/>
    <w:uiPriority w:val="0"/>
    <w:pPr>
      <w:spacing w:line="480" w:lineRule="auto"/>
      <w:ind w:left="420" w:leftChars="200"/>
    </w:pPr>
  </w:style>
  <w:style w:type="paragraph" w:customStyle="1" w:styleId="2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3">
    <w:name w:val="样式  + 首行缩进:  2 字符"/>
    <w:basedOn w:val="1"/>
    <w:qFormat/>
    <w:uiPriority w:val="0"/>
    <w:pPr>
      <w:adjustRightInd w:val="0"/>
      <w:snapToGrid w:val="0"/>
      <w:ind w:firstLine="480"/>
    </w:pPr>
    <w:rPr>
      <w:kern w:val="0"/>
      <w:sz w:val="24"/>
    </w:rPr>
  </w:style>
  <w:style w:type="paragraph" w:customStyle="1" w:styleId="24">
    <w:name w:val="WPSOffice手动目录 1"/>
    <w:qFormat/>
    <w:uiPriority w:val="0"/>
    <w:rPr>
      <w:rFonts w:ascii="Calibri" w:hAnsi="Calibri" w:eastAsia="宋体" w:cs="黑体"/>
      <w:lang w:val="en-US" w:eastAsia="zh-CN" w:bidi="ar-SA"/>
    </w:rPr>
  </w:style>
  <w:style w:type="paragraph" w:customStyle="1" w:styleId="25">
    <w:name w:val="WPSOffice手动目录 2"/>
    <w:qFormat/>
    <w:uiPriority w:val="0"/>
    <w:pPr>
      <w:ind w:left="200" w:leftChars="200"/>
    </w:pPr>
    <w:rPr>
      <w:rFonts w:ascii="Calibri" w:hAnsi="Calibri" w:eastAsia="宋体" w:cs="黑体"/>
      <w:lang w:val="en-US" w:eastAsia="zh-CN" w:bidi="ar-SA"/>
    </w:rPr>
  </w:style>
  <w:style w:type="paragraph" w:customStyle="1" w:styleId="26">
    <w:name w:val="WPSOffice手动目录 3"/>
    <w:qFormat/>
    <w:uiPriority w:val="0"/>
    <w:pPr>
      <w:ind w:left="400" w:leftChars="400"/>
    </w:pPr>
    <w:rPr>
      <w:rFonts w:ascii="Calibri" w:hAnsi="Calibri" w:eastAsia="宋体" w:cs="黑体"/>
      <w:lang w:val="en-US" w:eastAsia="zh-CN" w:bidi="ar-SA"/>
    </w:rPr>
  </w:style>
  <w:style w:type="character" w:customStyle="1" w:styleId="27">
    <w:name w:val="标题 2 Char"/>
    <w:link w:val="5"/>
    <w:qFormat/>
    <w:uiPriority w:val="0"/>
    <w:rPr>
      <w:rFonts w:ascii="Arial" w:hAnsi="Arial" w:eastAsia="楷体"/>
      <w:b/>
      <w:sz w:val="32"/>
    </w:rPr>
  </w:style>
  <w:style w:type="character" w:customStyle="1" w:styleId="28">
    <w:name w:val="标题 1 Char"/>
    <w:link w:val="4"/>
    <w:qFormat/>
    <w:uiPriority w:val="0"/>
    <w:rPr>
      <w:rFonts w:eastAsia="黑体"/>
      <w:b/>
      <w:kern w:val="44"/>
      <w:sz w:val="32"/>
    </w:rPr>
  </w:style>
  <w:style w:type="character" w:customStyle="1" w:styleId="29">
    <w:name w:val="标题 3 Char"/>
    <w:link w:val="6"/>
    <w:qFormat/>
    <w:uiPriority w:val="0"/>
    <w:rPr>
      <w:rFonts w:eastAsia="仿宋"/>
      <w:b/>
      <w:sz w:val="32"/>
    </w:rPr>
  </w:style>
  <w:style w:type="paragraph" w:customStyle="1" w:styleId="30">
    <w:name w:val="List Paragraph"/>
    <w:basedOn w:val="1"/>
    <w:qFormat/>
    <w:uiPriority w:val="99"/>
    <w:pPr>
      <w:ind w:firstLine="420" w:firstLineChars="200"/>
    </w:pPr>
  </w:style>
  <w:style w:type="paragraph" w:customStyle="1" w:styleId="31">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13488</Words>
  <Characters>14985</Characters>
  <Lines>0</Lines>
  <Paragraphs>543</Paragraphs>
  <TotalTime>0</TotalTime>
  <ScaleCrop>false</ScaleCrop>
  <LinksUpToDate>false</LinksUpToDate>
  <CharactersWithSpaces>15273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田晓燕</cp:lastModifiedBy>
  <cp:lastPrinted>2023-02-06T07:15:00Z</cp:lastPrinted>
  <dcterms:modified xsi:type="dcterms:W3CDTF">2023-08-09T07:26:45Z</dcterms:modified>
  <dc:title>甘肃省金昌生态环境监测中心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F4F3548AB49F4AD4A862E685C8801B61</vt:lpwstr>
  </property>
</Properties>
</file>